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A4803C">
      <w:pPr>
        <w:jc w:val="center"/>
        <w:outlineLvl w:val="0"/>
        <w:rPr>
          <w:rStyle w:val="34"/>
          <w:rFonts w:hint="eastAsia" w:ascii="仿宋" w:hAnsi="仿宋" w:eastAsia="仿宋" w:cs="仿宋"/>
          <w:b/>
          <w:color w:val="auto"/>
          <w:sz w:val="72"/>
          <w:szCs w:val="72"/>
          <w:highlight w:val="none"/>
          <w:lang w:eastAsia="zh-CN"/>
        </w:rPr>
      </w:pPr>
      <w:bookmarkStart w:id="0" w:name="_Toc11158"/>
      <w:r>
        <w:rPr>
          <w:rStyle w:val="34"/>
          <w:rFonts w:hint="eastAsia" w:ascii="仿宋" w:hAnsi="仿宋" w:eastAsia="仿宋" w:cs="仿宋"/>
          <w:b/>
          <w:color w:val="auto"/>
          <w:sz w:val="48"/>
          <w:szCs w:val="48"/>
          <w:highlight w:val="none"/>
          <w:lang w:eastAsia="zh-CN"/>
        </w:rPr>
        <w:t>石林彝族自治县行政中心室外绿化管养外包服务（2025-2028年）</w:t>
      </w:r>
      <w:bookmarkEnd w:id="0"/>
    </w:p>
    <w:p w14:paraId="41A4848B">
      <w:pPr>
        <w:jc w:val="center"/>
        <w:rPr>
          <w:rStyle w:val="34"/>
          <w:rFonts w:ascii="仿宋" w:hAnsi="仿宋" w:eastAsia="仿宋" w:cs="仿宋"/>
          <w:b/>
          <w:color w:val="auto"/>
          <w:sz w:val="44"/>
          <w:szCs w:val="44"/>
          <w:highlight w:val="none"/>
        </w:rPr>
      </w:pPr>
    </w:p>
    <w:p w14:paraId="00417C71">
      <w:pPr>
        <w:rPr>
          <w:rStyle w:val="34"/>
          <w:rFonts w:ascii="仿宋" w:hAnsi="仿宋" w:eastAsia="仿宋" w:cs="仿宋"/>
          <w:color w:val="auto"/>
          <w:sz w:val="24"/>
          <w:szCs w:val="24"/>
          <w:highlight w:val="none"/>
        </w:rPr>
      </w:pPr>
    </w:p>
    <w:p w14:paraId="2B5880CA">
      <w:pPr>
        <w:rPr>
          <w:rStyle w:val="34"/>
          <w:rFonts w:ascii="仿宋" w:hAnsi="仿宋" w:eastAsia="仿宋" w:cs="仿宋"/>
          <w:color w:val="auto"/>
          <w:sz w:val="24"/>
          <w:szCs w:val="24"/>
          <w:highlight w:val="none"/>
        </w:rPr>
      </w:pPr>
    </w:p>
    <w:p w14:paraId="1AFAB637">
      <w:pPr>
        <w:spacing w:line="324" w:lineRule="auto"/>
        <w:rPr>
          <w:rStyle w:val="34"/>
          <w:rFonts w:ascii="仿宋" w:hAnsi="仿宋" w:eastAsia="仿宋" w:cs="仿宋"/>
          <w:b/>
          <w:bCs/>
          <w:color w:val="auto"/>
          <w:sz w:val="96"/>
          <w:szCs w:val="96"/>
          <w:highlight w:val="none"/>
        </w:rPr>
      </w:pPr>
    </w:p>
    <w:p w14:paraId="76119092">
      <w:pPr>
        <w:pStyle w:val="2"/>
        <w:rPr>
          <w:color w:val="auto"/>
          <w:highlight w:val="none"/>
        </w:rPr>
      </w:pPr>
    </w:p>
    <w:p w14:paraId="4B8EE6A8">
      <w:pPr>
        <w:pStyle w:val="10"/>
        <w:rPr>
          <w:rStyle w:val="34"/>
          <w:rFonts w:ascii="仿宋" w:hAnsi="仿宋" w:eastAsia="仿宋" w:cs="仿宋"/>
          <w:b/>
          <w:color w:val="auto"/>
          <w:sz w:val="96"/>
          <w:szCs w:val="96"/>
          <w:highlight w:val="none"/>
        </w:rPr>
      </w:pPr>
    </w:p>
    <w:p w14:paraId="4EECBA5C">
      <w:pPr>
        <w:rPr>
          <w:color w:val="auto"/>
          <w:highlight w:val="none"/>
        </w:rPr>
      </w:pPr>
    </w:p>
    <w:p w14:paraId="4F3C6418">
      <w:pPr>
        <w:rPr>
          <w:color w:val="auto"/>
          <w:highlight w:val="none"/>
        </w:rPr>
      </w:pPr>
    </w:p>
    <w:p w14:paraId="4EB2FCAF">
      <w:pPr>
        <w:spacing w:line="324" w:lineRule="auto"/>
        <w:jc w:val="center"/>
        <w:outlineLvl w:val="0"/>
        <w:rPr>
          <w:rStyle w:val="34"/>
          <w:rFonts w:ascii="仿宋" w:hAnsi="仿宋" w:eastAsia="仿宋" w:cs="仿宋"/>
          <w:color w:val="auto"/>
          <w:sz w:val="96"/>
          <w:szCs w:val="96"/>
          <w:highlight w:val="none"/>
        </w:rPr>
      </w:pPr>
      <w:bookmarkStart w:id="1" w:name="_Toc24090"/>
      <w:r>
        <w:rPr>
          <w:rStyle w:val="34"/>
          <w:rFonts w:hint="eastAsia" w:ascii="仿宋" w:hAnsi="仿宋" w:eastAsia="仿宋" w:cs="仿宋"/>
          <w:b/>
          <w:bCs/>
          <w:color w:val="auto"/>
          <w:sz w:val="96"/>
          <w:szCs w:val="96"/>
          <w:highlight w:val="none"/>
        </w:rPr>
        <w:t>竞争性磋商文件</w:t>
      </w:r>
      <w:bookmarkEnd w:id="1"/>
    </w:p>
    <w:p w14:paraId="26280255">
      <w:pPr>
        <w:spacing w:line="324" w:lineRule="auto"/>
        <w:jc w:val="center"/>
        <w:rPr>
          <w:rStyle w:val="34"/>
          <w:rFonts w:ascii="仿宋" w:hAnsi="仿宋" w:eastAsia="仿宋" w:cs="仿宋"/>
          <w:b/>
          <w:color w:val="auto"/>
          <w:sz w:val="24"/>
          <w:szCs w:val="24"/>
          <w:highlight w:val="none"/>
        </w:rPr>
      </w:pPr>
    </w:p>
    <w:p w14:paraId="1ECAFB62">
      <w:pPr>
        <w:spacing w:line="324" w:lineRule="auto"/>
        <w:jc w:val="center"/>
        <w:outlineLvl w:val="0"/>
        <w:rPr>
          <w:rStyle w:val="34"/>
          <w:rFonts w:ascii="仿宋" w:hAnsi="仿宋" w:eastAsia="仿宋" w:cs="仿宋"/>
          <w:b/>
          <w:color w:val="auto"/>
          <w:sz w:val="32"/>
          <w:szCs w:val="32"/>
          <w:highlight w:val="none"/>
        </w:rPr>
      </w:pPr>
      <w:bookmarkStart w:id="2" w:name="_Toc14916"/>
      <w:r>
        <w:rPr>
          <w:rStyle w:val="34"/>
          <w:rFonts w:hint="eastAsia" w:ascii="仿宋" w:hAnsi="仿宋" w:eastAsia="仿宋" w:cs="仿宋"/>
          <w:b/>
          <w:color w:val="auto"/>
          <w:sz w:val="32"/>
          <w:szCs w:val="32"/>
          <w:highlight w:val="none"/>
        </w:rPr>
        <w:t>招标编号：</w:t>
      </w:r>
      <w:r>
        <w:rPr>
          <w:rStyle w:val="34"/>
          <w:rFonts w:hint="eastAsia" w:ascii="仿宋" w:hAnsi="仿宋" w:eastAsia="仿宋" w:cs="仿宋"/>
          <w:b/>
          <w:color w:val="auto"/>
          <w:sz w:val="32"/>
          <w:szCs w:val="32"/>
          <w:highlight w:val="none"/>
          <w:lang w:eastAsia="zh-CN"/>
        </w:rPr>
        <w:t>SLJC2025-006</w:t>
      </w:r>
      <w:bookmarkEnd w:id="2"/>
    </w:p>
    <w:p w14:paraId="5412C7B2">
      <w:pPr>
        <w:rPr>
          <w:rStyle w:val="34"/>
          <w:rFonts w:ascii="仿宋" w:hAnsi="仿宋" w:eastAsia="仿宋" w:cs="仿宋"/>
          <w:color w:val="auto"/>
          <w:sz w:val="24"/>
          <w:szCs w:val="24"/>
          <w:highlight w:val="none"/>
        </w:rPr>
      </w:pPr>
    </w:p>
    <w:p w14:paraId="71002E11">
      <w:pPr>
        <w:tabs>
          <w:tab w:val="left" w:pos="5190"/>
        </w:tabs>
        <w:spacing w:line="324" w:lineRule="auto"/>
        <w:jc w:val="center"/>
        <w:rPr>
          <w:rStyle w:val="34"/>
          <w:rFonts w:ascii="仿宋" w:hAnsi="仿宋" w:eastAsia="仿宋" w:cs="仿宋"/>
          <w:b/>
          <w:color w:val="auto"/>
          <w:sz w:val="24"/>
          <w:szCs w:val="24"/>
          <w:highlight w:val="none"/>
        </w:rPr>
      </w:pPr>
    </w:p>
    <w:p w14:paraId="495A1615">
      <w:pPr>
        <w:tabs>
          <w:tab w:val="left" w:pos="5190"/>
        </w:tabs>
        <w:spacing w:line="324" w:lineRule="auto"/>
        <w:rPr>
          <w:rStyle w:val="34"/>
          <w:rFonts w:ascii="仿宋" w:hAnsi="仿宋" w:eastAsia="仿宋" w:cs="仿宋"/>
          <w:b/>
          <w:color w:val="auto"/>
          <w:sz w:val="24"/>
          <w:szCs w:val="24"/>
          <w:highlight w:val="none"/>
        </w:rPr>
      </w:pPr>
    </w:p>
    <w:p w14:paraId="2B0E5CC4">
      <w:pPr>
        <w:pStyle w:val="10"/>
        <w:rPr>
          <w:rStyle w:val="34"/>
          <w:rFonts w:ascii="仿宋" w:hAnsi="仿宋" w:eastAsia="仿宋" w:cs="仿宋"/>
          <w:b/>
          <w:color w:val="auto"/>
          <w:szCs w:val="24"/>
          <w:highlight w:val="none"/>
        </w:rPr>
      </w:pPr>
    </w:p>
    <w:p w14:paraId="24C5395F">
      <w:pPr>
        <w:rPr>
          <w:rStyle w:val="34"/>
          <w:rFonts w:ascii="仿宋" w:hAnsi="仿宋" w:eastAsia="仿宋" w:cs="仿宋"/>
          <w:b/>
          <w:color w:val="auto"/>
          <w:sz w:val="24"/>
          <w:szCs w:val="24"/>
          <w:highlight w:val="none"/>
        </w:rPr>
      </w:pPr>
    </w:p>
    <w:p w14:paraId="239CF289">
      <w:pPr>
        <w:pStyle w:val="2"/>
        <w:rPr>
          <w:color w:val="auto"/>
          <w:highlight w:val="none"/>
        </w:rPr>
      </w:pPr>
    </w:p>
    <w:p w14:paraId="7A7D96CC">
      <w:pPr>
        <w:pStyle w:val="10"/>
        <w:rPr>
          <w:color w:val="auto"/>
          <w:highlight w:val="none"/>
        </w:rPr>
      </w:pPr>
    </w:p>
    <w:p w14:paraId="055586BD">
      <w:pPr>
        <w:tabs>
          <w:tab w:val="left" w:pos="5190"/>
        </w:tabs>
        <w:spacing w:line="324" w:lineRule="auto"/>
        <w:rPr>
          <w:rStyle w:val="34"/>
          <w:rFonts w:ascii="仿宋" w:hAnsi="仿宋" w:eastAsia="仿宋" w:cs="仿宋"/>
          <w:b/>
          <w:color w:val="auto"/>
          <w:sz w:val="24"/>
          <w:szCs w:val="24"/>
          <w:highlight w:val="none"/>
        </w:rPr>
      </w:pPr>
    </w:p>
    <w:p w14:paraId="2ED08C7A">
      <w:pPr>
        <w:tabs>
          <w:tab w:val="left" w:pos="5190"/>
        </w:tabs>
        <w:spacing w:line="324" w:lineRule="auto"/>
        <w:jc w:val="center"/>
        <w:rPr>
          <w:rStyle w:val="34"/>
          <w:rFonts w:ascii="仿宋" w:hAnsi="仿宋" w:eastAsia="仿宋" w:cs="仿宋"/>
          <w:b/>
          <w:color w:val="auto"/>
          <w:sz w:val="24"/>
          <w:szCs w:val="24"/>
          <w:highlight w:val="none"/>
        </w:rPr>
      </w:pPr>
    </w:p>
    <w:p w14:paraId="459460BD">
      <w:pPr>
        <w:tabs>
          <w:tab w:val="left" w:pos="5190"/>
        </w:tabs>
        <w:spacing w:line="324" w:lineRule="auto"/>
        <w:jc w:val="center"/>
        <w:outlineLvl w:val="0"/>
        <w:rPr>
          <w:rStyle w:val="34"/>
          <w:rFonts w:hint="eastAsia" w:ascii="仿宋" w:hAnsi="仿宋" w:eastAsia="仿宋" w:cs="仿宋"/>
          <w:b/>
          <w:color w:val="auto"/>
          <w:sz w:val="32"/>
          <w:szCs w:val="32"/>
          <w:highlight w:val="none"/>
          <w:lang w:eastAsia="zh-CN"/>
        </w:rPr>
      </w:pPr>
      <w:r>
        <w:rPr>
          <w:rStyle w:val="34"/>
          <w:rFonts w:hint="eastAsia" w:ascii="仿宋" w:hAnsi="仿宋" w:eastAsia="仿宋" w:cs="仿宋"/>
          <w:b/>
          <w:color w:val="auto"/>
          <w:sz w:val="32"/>
          <w:szCs w:val="32"/>
          <w:highlight w:val="none"/>
          <w:lang w:val="en-US" w:eastAsia="zh-CN"/>
        </w:rPr>
        <w:t xml:space="preserve">    </w:t>
      </w:r>
      <w:bookmarkStart w:id="3" w:name="_Toc21587"/>
      <w:r>
        <w:rPr>
          <w:rStyle w:val="34"/>
          <w:rFonts w:hint="eastAsia" w:ascii="仿宋" w:hAnsi="仿宋" w:eastAsia="仿宋" w:cs="仿宋"/>
          <w:b/>
          <w:color w:val="auto"/>
          <w:sz w:val="32"/>
          <w:szCs w:val="32"/>
          <w:highlight w:val="none"/>
        </w:rPr>
        <w:t>采  购  人：</w:t>
      </w:r>
      <w:bookmarkStart w:id="4" w:name="OLE_LINK2"/>
      <w:r>
        <w:rPr>
          <w:rStyle w:val="34"/>
          <w:rFonts w:hint="eastAsia" w:ascii="仿宋" w:hAnsi="仿宋" w:eastAsia="仿宋" w:cs="仿宋"/>
          <w:b/>
          <w:color w:val="auto"/>
          <w:sz w:val="32"/>
          <w:szCs w:val="32"/>
          <w:highlight w:val="none"/>
          <w:lang w:eastAsia="zh-CN"/>
        </w:rPr>
        <w:t>石林彝族自治县机关事务管理中心</w:t>
      </w:r>
      <w:bookmarkEnd w:id="3"/>
      <w:bookmarkEnd w:id="4"/>
    </w:p>
    <w:p w14:paraId="2DB1A9B4">
      <w:pPr>
        <w:tabs>
          <w:tab w:val="left" w:pos="5190"/>
        </w:tabs>
        <w:spacing w:line="324" w:lineRule="auto"/>
        <w:ind w:firstLine="1285" w:firstLineChars="400"/>
        <w:rPr>
          <w:rStyle w:val="34"/>
          <w:rFonts w:hint="eastAsia" w:ascii="仿宋" w:hAnsi="仿宋" w:eastAsia="仿宋" w:cs="仿宋"/>
          <w:b/>
          <w:color w:val="auto"/>
          <w:sz w:val="32"/>
          <w:szCs w:val="32"/>
          <w:highlight w:val="none"/>
          <w:lang w:eastAsia="zh-CN"/>
        </w:rPr>
      </w:pPr>
      <w:r>
        <w:rPr>
          <w:rStyle w:val="34"/>
          <w:rFonts w:hint="eastAsia" w:ascii="仿宋" w:hAnsi="仿宋" w:eastAsia="仿宋" w:cs="仿宋"/>
          <w:b/>
          <w:color w:val="auto"/>
          <w:sz w:val="32"/>
          <w:szCs w:val="32"/>
          <w:highlight w:val="none"/>
        </w:rPr>
        <w:t>采购代理机构：</w:t>
      </w:r>
      <w:r>
        <w:rPr>
          <w:rStyle w:val="34"/>
          <w:rFonts w:hint="eastAsia" w:ascii="仿宋" w:hAnsi="仿宋" w:eastAsia="仿宋" w:cs="仿宋"/>
          <w:b/>
          <w:color w:val="auto"/>
          <w:sz w:val="32"/>
          <w:szCs w:val="32"/>
          <w:highlight w:val="none"/>
          <w:lang w:eastAsia="zh-CN"/>
        </w:rPr>
        <w:t>石林彝族自治县政府采购和出让中心</w:t>
      </w:r>
    </w:p>
    <w:p w14:paraId="118A13C9">
      <w:pPr>
        <w:tabs>
          <w:tab w:val="left" w:pos="5190"/>
        </w:tabs>
        <w:spacing w:line="324" w:lineRule="auto"/>
        <w:ind w:firstLine="1285" w:firstLineChars="400"/>
        <w:outlineLvl w:val="0"/>
        <w:rPr>
          <w:rStyle w:val="34"/>
          <w:rFonts w:ascii="仿宋" w:hAnsi="仿宋" w:eastAsia="仿宋" w:cs="仿宋"/>
          <w:b/>
          <w:color w:val="auto"/>
          <w:sz w:val="36"/>
          <w:szCs w:val="36"/>
          <w:highlight w:val="none"/>
        </w:rPr>
      </w:pPr>
      <w:bookmarkStart w:id="5" w:name="_Toc7539"/>
      <w:r>
        <w:rPr>
          <w:rStyle w:val="34"/>
          <w:rFonts w:hint="eastAsia" w:ascii="仿宋" w:hAnsi="仿宋" w:eastAsia="仿宋" w:cs="仿宋"/>
          <w:b/>
          <w:color w:val="auto"/>
          <w:sz w:val="32"/>
          <w:szCs w:val="32"/>
          <w:highlight w:val="none"/>
        </w:rPr>
        <w:t>日        期：二〇二</w:t>
      </w:r>
      <w:r>
        <w:rPr>
          <w:rStyle w:val="34"/>
          <w:rFonts w:hint="eastAsia" w:ascii="仿宋" w:hAnsi="仿宋" w:eastAsia="仿宋" w:cs="仿宋"/>
          <w:b/>
          <w:color w:val="auto"/>
          <w:sz w:val="32"/>
          <w:szCs w:val="32"/>
          <w:highlight w:val="none"/>
          <w:lang w:val="en-US" w:eastAsia="zh-CN"/>
        </w:rPr>
        <w:t>五</w:t>
      </w:r>
      <w:r>
        <w:rPr>
          <w:rStyle w:val="34"/>
          <w:rFonts w:hint="eastAsia" w:ascii="仿宋" w:hAnsi="仿宋" w:eastAsia="仿宋" w:cs="仿宋"/>
          <w:b/>
          <w:color w:val="auto"/>
          <w:sz w:val="32"/>
          <w:szCs w:val="32"/>
          <w:highlight w:val="none"/>
        </w:rPr>
        <w:t xml:space="preserve"> 年 </w:t>
      </w:r>
      <w:r>
        <w:rPr>
          <w:rStyle w:val="34"/>
          <w:rFonts w:hint="eastAsia" w:ascii="仿宋" w:hAnsi="仿宋" w:eastAsia="仿宋" w:cs="仿宋"/>
          <w:b/>
          <w:color w:val="auto"/>
          <w:sz w:val="32"/>
          <w:szCs w:val="32"/>
          <w:highlight w:val="none"/>
          <w:lang w:val="en-US" w:eastAsia="zh-CN"/>
        </w:rPr>
        <w:t>四</w:t>
      </w:r>
      <w:r>
        <w:rPr>
          <w:rStyle w:val="34"/>
          <w:rFonts w:hint="eastAsia" w:ascii="仿宋" w:hAnsi="仿宋" w:eastAsia="仿宋" w:cs="仿宋"/>
          <w:b/>
          <w:color w:val="auto"/>
          <w:sz w:val="32"/>
          <w:szCs w:val="32"/>
          <w:highlight w:val="none"/>
        </w:rPr>
        <w:t xml:space="preserve"> 月</w:t>
      </w:r>
      <w:bookmarkEnd w:id="5"/>
    </w:p>
    <w:p w14:paraId="7ED7DE6F">
      <w:pPr>
        <w:ind w:right="-241"/>
        <w:jc w:val="center"/>
        <w:rPr>
          <w:rStyle w:val="34"/>
          <w:rFonts w:ascii="仿宋" w:hAnsi="仿宋" w:eastAsia="仿宋" w:cs="仿宋"/>
          <w:b/>
          <w:color w:val="auto"/>
          <w:kern w:val="0"/>
          <w:sz w:val="32"/>
          <w:szCs w:val="32"/>
          <w:highlight w:val="none"/>
        </w:rPr>
        <w:sectPr>
          <w:headerReference r:id="rId3" w:type="default"/>
          <w:footerReference r:id="rId4" w:type="default"/>
          <w:pgSz w:w="11906" w:h="16838"/>
          <w:pgMar w:top="1418" w:right="1418" w:bottom="1418" w:left="1418" w:header="851" w:footer="992" w:gutter="284"/>
          <w:pgNumType w:start="1"/>
          <w:cols w:space="425" w:num="1"/>
          <w:docGrid w:type="lines" w:linePitch="312" w:charSpace="0"/>
        </w:sectPr>
      </w:pPr>
    </w:p>
    <w:sdt>
      <w:sdtPr>
        <w:rPr>
          <w:rFonts w:ascii="宋体" w:hAnsi="宋体" w:eastAsia="宋体" w:cs="Times New Roman"/>
          <w:color w:val="auto"/>
          <w:kern w:val="2"/>
          <w:sz w:val="24"/>
          <w:szCs w:val="22"/>
          <w:highlight w:val="none"/>
          <w:lang w:val="en-US" w:eastAsia="zh-CN" w:bidi="ar-SA"/>
        </w:rPr>
        <w:id w:val="147463193"/>
        <w15:color w:val="DBDBDB"/>
        <w:docPartObj>
          <w:docPartGallery w:val="Table of Contents"/>
          <w:docPartUnique/>
        </w:docPartObj>
      </w:sdtPr>
      <w:sdtEndPr>
        <w:rPr>
          <w:rFonts w:ascii="仿宋" w:hAnsi="仿宋" w:eastAsia="仿宋" w:cs="仿宋"/>
          <w:b/>
          <w:bCs/>
          <w:color w:val="auto"/>
          <w:kern w:val="2"/>
          <w:sz w:val="21"/>
          <w:szCs w:val="22"/>
          <w:highlight w:val="none"/>
          <w:lang w:val="en-US" w:eastAsia="zh-CN" w:bidi="ar-SA"/>
        </w:rPr>
      </w:sdtEndPr>
      <w:sdtContent>
        <w:p w14:paraId="140F9CD9">
          <w:pPr>
            <w:spacing w:before="0" w:beforeLines="0" w:after="0" w:afterLines="0" w:line="240" w:lineRule="auto"/>
            <w:ind w:left="0" w:leftChars="0" w:right="0" w:rightChars="0" w:firstLine="0" w:firstLineChars="0"/>
            <w:jc w:val="center"/>
            <w:rPr>
              <w:rFonts w:hint="eastAsia" w:ascii="仿宋" w:hAnsi="仿宋" w:eastAsia="仿宋" w:cs="仿宋"/>
              <w:color w:val="auto"/>
              <w:sz w:val="36"/>
              <w:szCs w:val="36"/>
              <w:highlight w:val="none"/>
            </w:rPr>
          </w:pPr>
          <w:r>
            <w:rPr>
              <w:rFonts w:hint="eastAsia" w:ascii="仿宋" w:hAnsi="仿宋" w:eastAsia="仿宋" w:cs="仿宋"/>
              <w:b/>
              <w:bCs/>
              <w:color w:val="auto"/>
              <w:sz w:val="36"/>
              <w:szCs w:val="36"/>
              <w:highlight w:val="none"/>
            </w:rPr>
            <w:t>目录</w:t>
          </w:r>
        </w:p>
        <w:p w14:paraId="11E54CC1">
          <w:pPr>
            <w:pStyle w:val="119"/>
            <w:tabs>
              <w:tab w:val="right" w:leader="dot" w:pos="9070"/>
            </w:tabs>
            <w:rPr>
              <w:rFonts w:hint="eastAsia" w:ascii="仿宋" w:hAnsi="仿宋" w:eastAsia="仿宋" w:cs="仿宋"/>
              <w:b/>
              <w:bCs/>
              <w:color w:val="auto"/>
              <w:sz w:val="30"/>
              <w:szCs w:val="30"/>
              <w:highlight w:val="none"/>
            </w:rPr>
          </w:pPr>
          <w:r>
            <w:rPr>
              <w:rStyle w:val="34"/>
              <w:rFonts w:hint="eastAsia" w:ascii="仿宋" w:hAnsi="仿宋" w:eastAsia="仿宋" w:cs="仿宋"/>
              <w:b/>
              <w:bCs/>
              <w:color w:val="auto"/>
              <w:sz w:val="30"/>
              <w:szCs w:val="30"/>
              <w:highlight w:val="none"/>
            </w:rPr>
            <w:fldChar w:fldCharType="begin"/>
          </w:r>
          <w:r>
            <w:rPr>
              <w:rStyle w:val="34"/>
              <w:rFonts w:hint="eastAsia" w:ascii="仿宋" w:hAnsi="仿宋" w:eastAsia="仿宋" w:cs="仿宋"/>
              <w:b/>
              <w:bCs/>
              <w:color w:val="auto"/>
              <w:sz w:val="30"/>
              <w:szCs w:val="30"/>
              <w:highlight w:val="none"/>
            </w:rPr>
            <w:instrText xml:space="preserve">TOC \o "1-1" \h \u </w:instrText>
          </w:r>
          <w:r>
            <w:rPr>
              <w:rStyle w:val="34"/>
              <w:rFonts w:hint="eastAsia" w:ascii="仿宋" w:hAnsi="仿宋" w:eastAsia="仿宋" w:cs="仿宋"/>
              <w:b/>
              <w:bCs/>
              <w:color w:val="auto"/>
              <w:sz w:val="30"/>
              <w:szCs w:val="30"/>
              <w:highlight w:val="none"/>
            </w:rPr>
            <w:fldChar w:fldCharType="separate"/>
          </w:r>
        </w:p>
        <w:p w14:paraId="677A55C7">
          <w:pPr>
            <w:pStyle w:val="119"/>
            <w:tabs>
              <w:tab w:val="right" w:leader="dot" w:pos="9070"/>
            </w:tabs>
            <w:spacing w:line="600" w:lineRule="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fldChar w:fldCharType="begin"/>
          </w:r>
          <w:r>
            <w:rPr>
              <w:rFonts w:hint="eastAsia" w:ascii="仿宋" w:hAnsi="仿宋" w:eastAsia="仿宋" w:cs="仿宋"/>
              <w:b/>
              <w:bCs/>
              <w:color w:val="auto"/>
              <w:sz w:val="30"/>
              <w:szCs w:val="30"/>
              <w:highlight w:val="none"/>
            </w:rPr>
            <w:instrText xml:space="preserve"> HYPERLINK \l _Toc21341 </w:instrText>
          </w:r>
          <w:r>
            <w:rPr>
              <w:rFonts w:hint="eastAsia" w:ascii="仿宋" w:hAnsi="仿宋" w:eastAsia="仿宋" w:cs="仿宋"/>
              <w:b/>
              <w:bCs/>
              <w:color w:val="auto"/>
              <w:sz w:val="30"/>
              <w:szCs w:val="30"/>
              <w:highlight w:val="none"/>
            </w:rPr>
            <w:fldChar w:fldCharType="separate"/>
          </w:r>
          <w:r>
            <w:rPr>
              <w:rFonts w:hint="eastAsia" w:ascii="仿宋" w:hAnsi="仿宋" w:eastAsia="仿宋" w:cs="仿宋"/>
              <w:b/>
              <w:bCs/>
              <w:color w:val="auto"/>
              <w:sz w:val="30"/>
              <w:szCs w:val="30"/>
              <w:highlight w:val="none"/>
            </w:rPr>
            <w:t>竞争性磋商报价一览表</w:t>
          </w:r>
          <w:r>
            <w:rPr>
              <w:rFonts w:hint="eastAsia" w:ascii="仿宋" w:hAnsi="仿宋" w:eastAsia="仿宋" w:cs="仿宋"/>
              <w:b/>
              <w:bCs/>
              <w:color w:val="auto"/>
              <w:sz w:val="30"/>
              <w:szCs w:val="30"/>
              <w:highlight w:val="none"/>
            </w:rPr>
            <w:tab/>
          </w:r>
          <w:r>
            <w:rPr>
              <w:rFonts w:hint="eastAsia" w:ascii="仿宋" w:hAnsi="仿宋" w:eastAsia="仿宋" w:cs="仿宋"/>
              <w:b/>
              <w:bCs/>
              <w:color w:val="auto"/>
              <w:sz w:val="30"/>
              <w:szCs w:val="30"/>
              <w:highlight w:val="none"/>
            </w:rPr>
            <w:fldChar w:fldCharType="begin"/>
          </w:r>
          <w:r>
            <w:rPr>
              <w:rFonts w:hint="eastAsia" w:ascii="仿宋" w:hAnsi="仿宋" w:eastAsia="仿宋" w:cs="仿宋"/>
              <w:b/>
              <w:bCs/>
              <w:color w:val="auto"/>
              <w:sz w:val="30"/>
              <w:szCs w:val="30"/>
              <w:highlight w:val="none"/>
            </w:rPr>
            <w:instrText xml:space="preserve"> PAGEREF _Toc21341 \h </w:instrText>
          </w:r>
          <w:r>
            <w:rPr>
              <w:rFonts w:hint="eastAsia" w:ascii="仿宋" w:hAnsi="仿宋" w:eastAsia="仿宋" w:cs="仿宋"/>
              <w:b/>
              <w:bCs/>
              <w:color w:val="auto"/>
              <w:sz w:val="30"/>
              <w:szCs w:val="30"/>
              <w:highlight w:val="none"/>
            </w:rPr>
            <w:fldChar w:fldCharType="separate"/>
          </w:r>
          <w:r>
            <w:rPr>
              <w:rFonts w:hint="eastAsia" w:ascii="仿宋" w:hAnsi="仿宋" w:eastAsia="仿宋" w:cs="仿宋"/>
              <w:b/>
              <w:bCs/>
              <w:color w:val="auto"/>
              <w:sz w:val="30"/>
              <w:szCs w:val="30"/>
              <w:highlight w:val="none"/>
            </w:rPr>
            <w:t>2</w:t>
          </w:r>
          <w:r>
            <w:rPr>
              <w:rFonts w:hint="eastAsia" w:ascii="仿宋" w:hAnsi="仿宋" w:eastAsia="仿宋" w:cs="仿宋"/>
              <w:b/>
              <w:bCs/>
              <w:color w:val="auto"/>
              <w:sz w:val="30"/>
              <w:szCs w:val="30"/>
              <w:highlight w:val="none"/>
            </w:rPr>
            <w:fldChar w:fldCharType="end"/>
          </w:r>
          <w:r>
            <w:rPr>
              <w:rFonts w:hint="eastAsia" w:ascii="仿宋" w:hAnsi="仿宋" w:eastAsia="仿宋" w:cs="仿宋"/>
              <w:b/>
              <w:bCs/>
              <w:color w:val="auto"/>
              <w:sz w:val="30"/>
              <w:szCs w:val="30"/>
              <w:highlight w:val="none"/>
            </w:rPr>
            <w:fldChar w:fldCharType="end"/>
          </w:r>
        </w:p>
        <w:p w14:paraId="6B7D046A">
          <w:pPr>
            <w:pStyle w:val="119"/>
            <w:tabs>
              <w:tab w:val="right" w:leader="dot" w:pos="9070"/>
            </w:tabs>
            <w:spacing w:line="600" w:lineRule="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fldChar w:fldCharType="begin"/>
          </w:r>
          <w:r>
            <w:rPr>
              <w:rFonts w:hint="eastAsia" w:ascii="仿宋" w:hAnsi="仿宋" w:eastAsia="仿宋" w:cs="仿宋"/>
              <w:b/>
              <w:bCs/>
              <w:color w:val="auto"/>
              <w:sz w:val="30"/>
              <w:szCs w:val="30"/>
              <w:highlight w:val="none"/>
            </w:rPr>
            <w:instrText xml:space="preserve"> HYPERLINK \l _Toc14381 </w:instrText>
          </w:r>
          <w:r>
            <w:rPr>
              <w:rFonts w:hint="eastAsia" w:ascii="仿宋" w:hAnsi="仿宋" w:eastAsia="仿宋" w:cs="仿宋"/>
              <w:b/>
              <w:bCs/>
              <w:color w:val="auto"/>
              <w:sz w:val="30"/>
              <w:szCs w:val="30"/>
              <w:highlight w:val="none"/>
            </w:rPr>
            <w:fldChar w:fldCharType="separate"/>
          </w:r>
          <w:r>
            <w:rPr>
              <w:rFonts w:hint="eastAsia" w:ascii="仿宋" w:hAnsi="仿宋" w:eastAsia="仿宋" w:cs="仿宋"/>
              <w:b/>
              <w:bCs/>
              <w:color w:val="auto"/>
              <w:sz w:val="30"/>
              <w:szCs w:val="30"/>
              <w:highlight w:val="none"/>
            </w:rPr>
            <w:t>第一章  竞争性磋商公告</w:t>
          </w:r>
          <w:r>
            <w:rPr>
              <w:rFonts w:hint="eastAsia" w:ascii="仿宋" w:hAnsi="仿宋" w:eastAsia="仿宋" w:cs="仿宋"/>
              <w:b/>
              <w:bCs/>
              <w:color w:val="auto"/>
              <w:sz w:val="30"/>
              <w:szCs w:val="30"/>
              <w:highlight w:val="none"/>
            </w:rPr>
            <w:tab/>
          </w:r>
          <w:r>
            <w:rPr>
              <w:rFonts w:hint="eastAsia" w:ascii="仿宋" w:hAnsi="仿宋" w:eastAsia="仿宋" w:cs="仿宋"/>
              <w:b/>
              <w:bCs/>
              <w:color w:val="auto"/>
              <w:sz w:val="30"/>
              <w:szCs w:val="30"/>
              <w:highlight w:val="none"/>
            </w:rPr>
            <w:fldChar w:fldCharType="begin"/>
          </w:r>
          <w:r>
            <w:rPr>
              <w:rFonts w:hint="eastAsia" w:ascii="仿宋" w:hAnsi="仿宋" w:eastAsia="仿宋" w:cs="仿宋"/>
              <w:b/>
              <w:bCs/>
              <w:color w:val="auto"/>
              <w:sz w:val="30"/>
              <w:szCs w:val="30"/>
              <w:highlight w:val="none"/>
            </w:rPr>
            <w:instrText xml:space="preserve"> PAGEREF _Toc14381 \h </w:instrText>
          </w:r>
          <w:r>
            <w:rPr>
              <w:rFonts w:hint="eastAsia" w:ascii="仿宋" w:hAnsi="仿宋" w:eastAsia="仿宋" w:cs="仿宋"/>
              <w:b/>
              <w:bCs/>
              <w:color w:val="auto"/>
              <w:sz w:val="30"/>
              <w:szCs w:val="30"/>
              <w:highlight w:val="none"/>
            </w:rPr>
            <w:fldChar w:fldCharType="separate"/>
          </w:r>
          <w:r>
            <w:rPr>
              <w:rFonts w:hint="eastAsia" w:ascii="仿宋" w:hAnsi="仿宋" w:eastAsia="仿宋" w:cs="仿宋"/>
              <w:b/>
              <w:bCs/>
              <w:color w:val="auto"/>
              <w:sz w:val="30"/>
              <w:szCs w:val="30"/>
              <w:highlight w:val="none"/>
            </w:rPr>
            <w:t>3</w:t>
          </w:r>
          <w:r>
            <w:rPr>
              <w:rFonts w:hint="eastAsia" w:ascii="仿宋" w:hAnsi="仿宋" w:eastAsia="仿宋" w:cs="仿宋"/>
              <w:b/>
              <w:bCs/>
              <w:color w:val="auto"/>
              <w:sz w:val="30"/>
              <w:szCs w:val="30"/>
              <w:highlight w:val="none"/>
            </w:rPr>
            <w:fldChar w:fldCharType="end"/>
          </w:r>
          <w:r>
            <w:rPr>
              <w:rFonts w:hint="eastAsia" w:ascii="仿宋" w:hAnsi="仿宋" w:eastAsia="仿宋" w:cs="仿宋"/>
              <w:b/>
              <w:bCs/>
              <w:color w:val="auto"/>
              <w:sz w:val="30"/>
              <w:szCs w:val="30"/>
              <w:highlight w:val="none"/>
            </w:rPr>
            <w:fldChar w:fldCharType="end"/>
          </w:r>
        </w:p>
        <w:p w14:paraId="17FFCA28">
          <w:pPr>
            <w:pStyle w:val="119"/>
            <w:tabs>
              <w:tab w:val="right" w:leader="dot" w:pos="9070"/>
            </w:tabs>
            <w:spacing w:line="600" w:lineRule="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fldChar w:fldCharType="begin"/>
          </w:r>
          <w:r>
            <w:rPr>
              <w:rFonts w:hint="eastAsia" w:ascii="仿宋" w:hAnsi="仿宋" w:eastAsia="仿宋" w:cs="仿宋"/>
              <w:b/>
              <w:bCs/>
              <w:color w:val="auto"/>
              <w:sz w:val="30"/>
              <w:szCs w:val="30"/>
              <w:highlight w:val="none"/>
            </w:rPr>
            <w:instrText xml:space="preserve"> HYPERLINK \l _Toc1736 </w:instrText>
          </w:r>
          <w:r>
            <w:rPr>
              <w:rFonts w:hint="eastAsia" w:ascii="仿宋" w:hAnsi="仿宋" w:eastAsia="仿宋" w:cs="仿宋"/>
              <w:b/>
              <w:bCs/>
              <w:color w:val="auto"/>
              <w:sz w:val="30"/>
              <w:szCs w:val="30"/>
              <w:highlight w:val="none"/>
            </w:rPr>
            <w:fldChar w:fldCharType="separate"/>
          </w:r>
          <w:r>
            <w:rPr>
              <w:rFonts w:hint="eastAsia" w:ascii="仿宋" w:hAnsi="仿宋" w:eastAsia="仿宋" w:cs="仿宋"/>
              <w:b/>
              <w:bCs/>
              <w:color w:val="auto"/>
              <w:sz w:val="30"/>
              <w:szCs w:val="30"/>
              <w:highlight w:val="none"/>
            </w:rPr>
            <w:t>第二章  供应商须知</w:t>
          </w:r>
          <w:r>
            <w:rPr>
              <w:rFonts w:hint="eastAsia" w:ascii="仿宋" w:hAnsi="仿宋" w:eastAsia="仿宋" w:cs="仿宋"/>
              <w:b/>
              <w:bCs/>
              <w:color w:val="auto"/>
              <w:sz w:val="30"/>
              <w:szCs w:val="30"/>
              <w:highlight w:val="none"/>
            </w:rPr>
            <w:tab/>
          </w:r>
          <w:r>
            <w:rPr>
              <w:rFonts w:hint="eastAsia" w:ascii="仿宋" w:hAnsi="仿宋" w:eastAsia="仿宋" w:cs="仿宋"/>
              <w:b/>
              <w:bCs/>
              <w:color w:val="auto"/>
              <w:sz w:val="30"/>
              <w:szCs w:val="30"/>
              <w:highlight w:val="none"/>
            </w:rPr>
            <w:fldChar w:fldCharType="begin"/>
          </w:r>
          <w:r>
            <w:rPr>
              <w:rFonts w:hint="eastAsia" w:ascii="仿宋" w:hAnsi="仿宋" w:eastAsia="仿宋" w:cs="仿宋"/>
              <w:b/>
              <w:bCs/>
              <w:color w:val="auto"/>
              <w:sz w:val="30"/>
              <w:szCs w:val="30"/>
              <w:highlight w:val="none"/>
            </w:rPr>
            <w:instrText xml:space="preserve"> PAGEREF _Toc1736 \h </w:instrText>
          </w:r>
          <w:r>
            <w:rPr>
              <w:rFonts w:hint="eastAsia" w:ascii="仿宋" w:hAnsi="仿宋" w:eastAsia="仿宋" w:cs="仿宋"/>
              <w:b/>
              <w:bCs/>
              <w:color w:val="auto"/>
              <w:sz w:val="30"/>
              <w:szCs w:val="30"/>
              <w:highlight w:val="none"/>
            </w:rPr>
            <w:fldChar w:fldCharType="separate"/>
          </w:r>
          <w:r>
            <w:rPr>
              <w:rFonts w:hint="eastAsia" w:ascii="仿宋" w:hAnsi="仿宋" w:eastAsia="仿宋" w:cs="仿宋"/>
              <w:b/>
              <w:bCs/>
              <w:color w:val="auto"/>
              <w:sz w:val="30"/>
              <w:szCs w:val="30"/>
              <w:highlight w:val="none"/>
            </w:rPr>
            <w:t>7</w:t>
          </w:r>
          <w:r>
            <w:rPr>
              <w:rFonts w:hint="eastAsia" w:ascii="仿宋" w:hAnsi="仿宋" w:eastAsia="仿宋" w:cs="仿宋"/>
              <w:b/>
              <w:bCs/>
              <w:color w:val="auto"/>
              <w:sz w:val="30"/>
              <w:szCs w:val="30"/>
              <w:highlight w:val="none"/>
            </w:rPr>
            <w:fldChar w:fldCharType="end"/>
          </w:r>
          <w:r>
            <w:rPr>
              <w:rFonts w:hint="eastAsia" w:ascii="仿宋" w:hAnsi="仿宋" w:eastAsia="仿宋" w:cs="仿宋"/>
              <w:b/>
              <w:bCs/>
              <w:color w:val="auto"/>
              <w:sz w:val="30"/>
              <w:szCs w:val="30"/>
              <w:highlight w:val="none"/>
            </w:rPr>
            <w:fldChar w:fldCharType="end"/>
          </w:r>
        </w:p>
        <w:p w14:paraId="1BB61F32">
          <w:pPr>
            <w:pStyle w:val="119"/>
            <w:tabs>
              <w:tab w:val="right" w:leader="dot" w:pos="9070"/>
            </w:tabs>
            <w:spacing w:line="600" w:lineRule="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fldChar w:fldCharType="begin"/>
          </w:r>
          <w:r>
            <w:rPr>
              <w:rFonts w:hint="eastAsia" w:ascii="仿宋" w:hAnsi="仿宋" w:eastAsia="仿宋" w:cs="仿宋"/>
              <w:b/>
              <w:bCs/>
              <w:color w:val="auto"/>
              <w:sz w:val="30"/>
              <w:szCs w:val="30"/>
              <w:highlight w:val="none"/>
            </w:rPr>
            <w:instrText xml:space="preserve"> HYPERLINK \l _Toc651 </w:instrText>
          </w:r>
          <w:r>
            <w:rPr>
              <w:rFonts w:hint="eastAsia" w:ascii="仿宋" w:hAnsi="仿宋" w:eastAsia="仿宋" w:cs="仿宋"/>
              <w:b/>
              <w:bCs/>
              <w:color w:val="auto"/>
              <w:sz w:val="30"/>
              <w:szCs w:val="30"/>
              <w:highlight w:val="none"/>
            </w:rPr>
            <w:fldChar w:fldCharType="separate"/>
          </w:r>
          <w:r>
            <w:rPr>
              <w:rFonts w:hint="eastAsia" w:ascii="仿宋" w:hAnsi="仿宋" w:eastAsia="仿宋" w:cs="仿宋"/>
              <w:b/>
              <w:bCs/>
              <w:color w:val="auto"/>
              <w:sz w:val="30"/>
              <w:szCs w:val="30"/>
              <w:highlight w:val="none"/>
            </w:rPr>
            <w:t xml:space="preserve">第三章 </w:t>
          </w: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lang w:eastAsia="zh-CN"/>
            </w:rPr>
            <w:t>服务技术要求</w:t>
          </w:r>
          <w:r>
            <w:rPr>
              <w:rFonts w:hint="eastAsia" w:ascii="仿宋" w:hAnsi="仿宋" w:eastAsia="仿宋" w:cs="仿宋"/>
              <w:b/>
              <w:bCs/>
              <w:color w:val="auto"/>
              <w:sz w:val="30"/>
              <w:szCs w:val="30"/>
              <w:highlight w:val="none"/>
            </w:rPr>
            <w:tab/>
          </w:r>
          <w:r>
            <w:rPr>
              <w:rFonts w:hint="eastAsia" w:ascii="仿宋" w:hAnsi="仿宋" w:eastAsia="仿宋" w:cs="仿宋"/>
              <w:b/>
              <w:bCs/>
              <w:color w:val="auto"/>
              <w:sz w:val="30"/>
              <w:szCs w:val="30"/>
              <w:highlight w:val="none"/>
            </w:rPr>
            <w:fldChar w:fldCharType="begin"/>
          </w:r>
          <w:r>
            <w:rPr>
              <w:rFonts w:hint="eastAsia" w:ascii="仿宋" w:hAnsi="仿宋" w:eastAsia="仿宋" w:cs="仿宋"/>
              <w:b/>
              <w:bCs/>
              <w:color w:val="auto"/>
              <w:sz w:val="30"/>
              <w:szCs w:val="30"/>
              <w:highlight w:val="none"/>
            </w:rPr>
            <w:instrText xml:space="preserve"> PAGEREF _Toc651 \h </w:instrText>
          </w:r>
          <w:r>
            <w:rPr>
              <w:rFonts w:hint="eastAsia" w:ascii="仿宋" w:hAnsi="仿宋" w:eastAsia="仿宋" w:cs="仿宋"/>
              <w:b/>
              <w:bCs/>
              <w:color w:val="auto"/>
              <w:sz w:val="30"/>
              <w:szCs w:val="30"/>
              <w:highlight w:val="none"/>
            </w:rPr>
            <w:fldChar w:fldCharType="separate"/>
          </w:r>
          <w:r>
            <w:rPr>
              <w:rFonts w:hint="eastAsia" w:ascii="仿宋" w:hAnsi="仿宋" w:eastAsia="仿宋" w:cs="仿宋"/>
              <w:b/>
              <w:bCs/>
              <w:color w:val="auto"/>
              <w:sz w:val="30"/>
              <w:szCs w:val="30"/>
              <w:highlight w:val="none"/>
            </w:rPr>
            <w:t>27</w:t>
          </w:r>
          <w:r>
            <w:rPr>
              <w:rFonts w:hint="eastAsia" w:ascii="仿宋" w:hAnsi="仿宋" w:eastAsia="仿宋" w:cs="仿宋"/>
              <w:b/>
              <w:bCs/>
              <w:color w:val="auto"/>
              <w:sz w:val="30"/>
              <w:szCs w:val="30"/>
              <w:highlight w:val="none"/>
            </w:rPr>
            <w:fldChar w:fldCharType="end"/>
          </w:r>
          <w:r>
            <w:rPr>
              <w:rFonts w:hint="eastAsia" w:ascii="仿宋" w:hAnsi="仿宋" w:eastAsia="仿宋" w:cs="仿宋"/>
              <w:b/>
              <w:bCs/>
              <w:color w:val="auto"/>
              <w:sz w:val="30"/>
              <w:szCs w:val="30"/>
              <w:highlight w:val="none"/>
            </w:rPr>
            <w:fldChar w:fldCharType="end"/>
          </w:r>
        </w:p>
        <w:p w14:paraId="14E687F9">
          <w:pPr>
            <w:pStyle w:val="119"/>
            <w:tabs>
              <w:tab w:val="right" w:leader="dot" w:pos="9070"/>
            </w:tabs>
            <w:spacing w:line="600" w:lineRule="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fldChar w:fldCharType="begin"/>
          </w:r>
          <w:r>
            <w:rPr>
              <w:rFonts w:hint="eastAsia" w:ascii="仿宋" w:hAnsi="仿宋" w:eastAsia="仿宋" w:cs="仿宋"/>
              <w:b/>
              <w:bCs/>
              <w:color w:val="auto"/>
              <w:sz w:val="30"/>
              <w:szCs w:val="30"/>
              <w:highlight w:val="none"/>
            </w:rPr>
            <w:instrText xml:space="preserve"> HYPERLINK \l _Toc6253 </w:instrText>
          </w:r>
          <w:r>
            <w:rPr>
              <w:rFonts w:hint="eastAsia" w:ascii="仿宋" w:hAnsi="仿宋" w:eastAsia="仿宋" w:cs="仿宋"/>
              <w:b/>
              <w:bCs/>
              <w:color w:val="auto"/>
              <w:sz w:val="30"/>
              <w:szCs w:val="30"/>
              <w:highlight w:val="none"/>
            </w:rPr>
            <w:fldChar w:fldCharType="separate"/>
          </w:r>
          <w:r>
            <w:rPr>
              <w:rFonts w:hint="eastAsia" w:ascii="仿宋" w:hAnsi="仿宋" w:eastAsia="仿宋" w:cs="仿宋"/>
              <w:b/>
              <w:bCs/>
              <w:color w:val="auto"/>
              <w:sz w:val="30"/>
              <w:szCs w:val="30"/>
              <w:highlight w:val="none"/>
            </w:rPr>
            <w:t>第四章  合同格式</w:t>
          </w:r>
          <w:r>
            <w:rPr>
              <w:rFonts w:hint="eastAsia" w:ascii="仿宋" w:hAnsi="仿宋" w:eastAsia="仿宋" w:cs="仿宋"/>
              <w:b/>
              <w:bCs/>
              <w:color w:val="auto"/>
              <w:sz w:val="30"/>
              <w:szCs w:val="30"/>
              <w:highlight w:val="none"/>
            </w:rPr>
            <w:tab/>
          </w:r>
          <w:r>
            <w:rPr>
              <w:rFonts w:hint="eastAsia" w:ascii="仿宋" w:hAnsi="仿宋" w:eastAsia="仿宋" w:cs="仿宋"/>
              <w:b/>
              <w:bCs/>
              <w:color w:val="auto"/>
              <w:sz w:val="30"/>
              <w:szCs w:val="30"/>
              <w:highlight w:val="none"/>
            </w:rPr>
            <w:fldChar w:fldCharType="begin"/>
          </w:r>
          <w:r>
            <w:rPr>
              <w:rFonts w:hint="eastAsia" w:ascii="仿宋" w:hAnsi="仿宋" w:eastAsia="仿宋" w:cs="仿宋"/>
              <w:b/>
              <w:bCs/>
              <w:color w:val="auto"/>
              <w:sz w:val="30"/>
              <w:szCs w:val="30"/>
              <w:highlight w:val="none"/>
            </w:rPr>
            <w:instrText xml:space="preserve"> PAGEREF _Toc6253 \h </w:instrText>
          </w:r>
          <w:r>
            <w:rPr>
              <w:rFonts w:hint="eastAsia" w:ascii="仿宋" w:hAnsi="仿宋" w:eastAsia="仿宋" w:cs="仿宋"/>
              <w:b/>
              <w:bCs/>
              <w:color w:val="auto"/>
              <w:sz w:val="30"/>
              <w:szCs w:val="30"/>
              <w:highlight w:val="none"/>
            </w:rPr>
            <w:fldChar w:fldCharType="separate"/>
          </w:r>
          <w:r>
            <w:rPr>
              <w:rFonts w:hint="eastAsia" w:ascii="仿宋" w:hAnsi="仿宋" w:eastAsia="仿宋" w:cs="仿宋"/>
              <w:b/>
              <w:bCs/>
              <w:color w:val="auto"/>
              <w:sz w:val="30"/>
              <w:szCs w:val="30"/>
              <w:highlight w:val="none"/>
            </w:rPr>
            <w:t>30</w:t>
          </w:r>
          <w:r>
            <w:rPr>
              <w:rFonts w:hint="eastAsia" w:ascii="仿宋" w:hAnsi="仿宋" w:eastAsia="仿宋" w:cs="仿宋"/>
              <w:b/>
              <w:bCs/>
              <w:color w:val="auto"/>
              <w:sz w:val="30"/>
              <w:szCs w:val="30"/>
              <w:highlight w:val="none"/>
            </w:rPr>
            <w:fldChar w:fldCharType="end"/>
          </w:r>
          <w:r>
            <w:rPr>
              <w:rFonts w:hint="eastAsia" w:ascii="仿宋" w:hAnsi="仿宋" w:eastAsia="仿宋" w:cs="仿宋"/>
              <w:b/>
              <w:bCs/>
              <w:color w:val="auto"/>
              <w:sz w:val="30"/>
              <w:szCs w:val="30"/>
              <w:highlight w:val="none"/>
            </w:rPr>
            <w:fldChar w:fldCharType="end"/>
          </w:r>
        </w:p>
        <w:p w14:paraId="1958C5A0">
          <w:pPr>
            <w:pStyle w:val="119"/>
            <w:tabs>
              <w:tab w:val="right" w:leader="dot" w:pos="9070"/>
            </w:tabs>
            <w:spacing w:line="600" w:lineRule="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fldChar w:fldCharType="begin"/>
          </w:r>
          <w:r>
            <w:rPr>
              <w:rFonts w:hint="eastAsia" w:ascii="仿宋" w:hAnsi="仿宋" w:eastAsia="仿宋" w:cs="仿宋"/>
              <w:b/>
              <w:bCs/>
              <w:color w:val="auto"/>
              <w:sz w:val="30"/>
              <w:szCs w:val="30"/>
              <w:highlight w:val="none"/>
            </w:rPr>
            <w:instrText xml:space="preserve"> HYPERLINK \l _Toc1516 </w:instrText>
          </w:r>
          <w:r>
            <w:rPr>
              <w:rFonts w:hint="eastAsia" w:ascii="仿宋" w:hAnsi="仿宋" w:eastAsia="仿宋" w:cs="仿宋"/>
              <w:b/>
              <w:bCs/>
              <w:color w:val="auto"/>
              <w:sz w:val="30"/>
              <w:szCs w:val="30"/>
              <w:highlight w:val="none"/>
            </w:rPr>
            <w:fldChar w:fldCharType="separate"/>
          </w:r>
          <w:r>
            <w:rPr>
              <w:rFonts w:hint="eastAsia" w:ascii="仿宋" w:hAnsi="仿宋" w:eastAsia="仿宋" w:cs="仿宋"/>
              <w:b/>
              <w:bCs/>
              <w:color w:val="auto"/>
              <w:sz w:val="30"/>
              <w:szCs w:val="30"/>
              <w:highlight w:val="none"/>
            </w:rPr>
            <w:t>第五章  响应文件格式</w:t>
          </w:r>
          <w:r>
            <w:rPr>
              <w:rFonts w:hint="eastAsia" w:ascii="仿宋" w:hAnsi="仿宋" w:eastAsia="仿宋" w:cs="仿宋"/>
              <w:b/>
              <w:bCs/>
              <w:color w:val="auto"/>
              <w:sz w:val="30"/>
              <w:szCs w:val="30"/>
              <w:highlight w:val="none"/>
            </w:rPr>
            <w:tab/>
          </w:r>
          <w:r>
            <w:rPr>
              <w:rFonts w:hint="eastAsia" w:ascii="仿宋" w:hAnsi="仿宋" w:eastAsia="仿宋" w:cs="仿宋"/>
              <w:b/>
              <w:bCs/>
              <w:color w:val="auto"/>
              <w:sz w:val="30"/>
              <w:szCs w:val="30"/>
              <w:highlight w:val="none"/>
            </w:rPr>
            <w:fldChar w:fldCharType="begin"/>
          </w:r>
          <w:r>
            <w:rPr>
              <w:rFonts w:hint="eastAsia" w:ascii="仿宋" w:hAnsi="仿宋" w:eastAsia="仿宋" w:cs="仿宋"/>
              <w:b/>
              <w:bCs/>
              <w:color w:val="auto"/>
              <w:sz w:val="30"/>
              <w:szCs w:val="30"/>
              <w:highlight w:val="none"/>
            </w:rPr>
            <w:instrText xml:space="preserve"> PAGEREF _Toc1516 \h </w:instrText>
          </w:r>
          <w:r>
            <w:rPr>
              <w:rFonts w:hint="eastAsia" w:ascii="仿宋" w:hAnsi="仿宋" w:eastAsia="仿宋" w:cs="仿宋"/>
              <w:b/>
              <w:bCs/>
              <w:color w:val="auto"/>
              <w:sz w:val="30"/>
              <w:szCs w:val="30"/>
              <w:highlight w:val="none"/>
            </w:rPr>
            <w:fldChar w:fldCharType="separate"/>
          </w:r>
          <w:r>
            <w:rPr>
              <w:rFonts w:hint="eastAsia" w:ascii="仿宋" w:hAnsi="仿宋" w:eastAsia="仿宋" w:cs="仿宋"/>
              <w:b/>
              <w:bCs/>
              <w:color w:val="auto"/>
              <w:sz w:val="30"/>
              <w:szCs w:val="30"/>
              <w:highlight w:val="none"/>
            </w:rPr>
            <w:t>47</w:t>
          </w:r>
          <w:r>
            <w:rPr>
              <w:rFonts w:hint="eastAsia" w:ascii="仿宋" w:hAnsi="仿宋" w:eastAsia="仿宋" w:cs="仿宋"/>
              <w:b/>
              <w:bCs/>
              <w:color w:val="auto"/>
              <w:sz w:val="30"/>
              <w:szCs w:val="30"/>
              <w:highlight w:val="none"/>
            </w:rPr>
            <w:fldChar w:fldCharType="end"/>
          </w:r>
          <w:r>
            <w:rPr>
              <w:rFonts w:hint="eastAsia" w:ascii="仿宋" w:hAnsi="仿宋" w:eastAsia="仿宋" w:cs="仿宋"/>
              <w:b/>
              <w:bCs/>
              <w:color w:val="auto"/>
              <w:sz w:val="30"/>
              <w:szCs w:val="30"/>
              <w:highlight w:val="none"/>
            </w:rPr>
            <w:fldChar w:fldCharType="end"/>
          </w:r>
        </w:p>
        <w:p w14:paraId="20C7EAB3">
          <w:pPr>
            <w:pStyle w:val="119"/>
            <w:tabs>
              <w:tab w:val="right" w:leader="dot" w:pos="9070"/>
            </w:tabs>
            <w:spacing w:line="600" w:lineRule="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fldChar w:fldCharType="begin"/>
          </w:r>
          <w:r>
            <w:rPr>
              <w:rFonts w:hint="eastAsia" w:ascii="仿宋" w:hAnsi="仿宋" w:eastAsia="仿宋" w:cs="仿宋"/>
              <w:b/>
              <w:bCs/>
              <w:color w:val="auto"/>
              <w:sz w:val="30"/>
              <w:szCs w:val="30"/>
              <w:highlight w:val="none"/>
            </w:rPr>
            <w:instrText xml:space="preserve"> HYPERLINK \l _Toc21143 </w:instrText>
          </w:r>
          <w:r>
            <w:rPr>
              <w:rFonts w:hint="eastAsia" w:ascii="仿宋" w:hAnsi="仿宋" w:eastAsia="仿宋" w:cs="仿宋"/>
              <w:b/>
              <w:bCs/>
              <w:color w:val="auto"/>
              <w:sz w:val="30"/>
              <w:szCs w:val="30"/>
              <w:highlight w:val="none"/>
            </w:rPr>
            <w:fldChar w:fldCharType="separate"/>
          </w:r>
          <w:r>
            <w:rPr>
              <w:rFonts w:hint="eastAsia" w:ascii="仿宋" w:hAnsi="仿宋" w:eastAsia="仿宋" w:cs="仿宋"/>
              <w:b/>
              <w:bCs/>
              <w:color w:val="auto"/>
              <w:sz w:val="30"/>
              <w:szCs w:val="30"/>
              <w:highlight w:val="none"/>
            </w:rPr>
            <w:t>第六章  评审标准（综合评分法）</w:t>
          </w:r>
          <w:r>
            <w:rPr>
              <w:rFonts w:hint="eastAsia" w:ascii="仿宋" w:hAnsi="仿宋" w:eastAsia="仿宋" w:cs="仿宋"/>
              <w:b/>
              <w:bCs/>
              <w:color w:val="auto"/>
              <w:sz w:val="30"/>
              <w:szCs w:val="30"/>
              <w:highlight w:val="none"/>
            </w:rPr>
            <w:tab/>
          </w:r>
          <w:r>
            <w:rPr>
              <w:rFonts w:hint="eastAsia" w:ascii="仿宋" w:hAnsi="仿宋" w:eastAsia="仿宋" w:cs="仿宋"/>
              <w:b/>
              <w:bCs/>
              <w:color w:val="auto"/>
              <w:sz w:val="30"/>
              <w:szCs w:val="30"/>
              <w:highlight w:val="none"/>
            </w:rPr>
            <w:fldChar w:fldCharType="begin"/>
          </w:r>
          <w:r>
            <w:rPr>
              <w:rFonts w:hint="eastAsia" w:ascii="仿宋" w:hAnsi="仿宋" w:eastAsia="仿宋" w:cs="仿宋"/>
              <w:b/>
              <w:bCs/>
              <w:color w:val="auto"/>
              <w:sz w:val="30"/>
              <w:szCs w:val="30"/>
              <w:highlight w:val="none"/>
            </w:rPr>
            <w:instrText xml:space="preserve"> PAGEREF _Toc21143 \h </w:instrText>
          </w:r>
          <w:r>
            <w:rPr>
              <w:rFonts w:hint="eastAsia" w:ascii="仿宋" w:hAnsi="仿宋" w:eastAsia="仿宋" w:cs="仿宋"/>
              <w:b/>
              <w:bCs/>
              <w:color w:val="auto"/>
              <w:sz w:val="30"/>
              <w:szCs w:val="30"/>
              <w:highlight w:val="none"/>
            </w:rPr>
            <w:fldChar w:fldCharType="separate"/>
          </w:r>
          <w:r>
            <w:rPr>
              <w:rFonts w:hint="eastAsia" w:ascii="仿宋" w:hAnsi="仿宋" w:eastAsia="仿宋" w:cs="仿宋"/>
              <w:b/>
              <w:bCs/>
              <w:color w:val="auto"/>
              <w:sz w:val="30"/>
              <w:szCs w:val="30"/>
              <w:highlight w:val="none"/>
            </w:rPr>
            <w:t>62</w:t>
          </w:r>
          <w:r>
            <w:rPr>
              <w:rFonts w:hint="eastAsia" w:ascii="仿宋" w:hAnsi="仿宋" w:eastAsia="仿宋" w:cs="仿宋"/>
              <w:b/>
              <w:bCs/>
              <w:color w:val="auto"/>
              <w:sz w:val="30"/>
              <w:szCs w:val="30"/>
              <w:highlight w:val="none"/>
            </w:rPr>
            <w:fldChar w:fldCharType="end"/>
          </w:r>
          <w:r>
            <w:rPr>
              <w:rFonts w:hint="eastAsia" w:ascii="仿宋" w:hAnsi="仿宋" w:eastAsia="仿宋" w:cs="仿宋"/>
              <w:b/>
              <w:bCs/>
              <w:color w:val="auto"/>
              <w:sz w:val="30"/>
              <w:szCs w:val="30"/>
              <w:highlight w:val="none"/>
            </w:rPr>
            <w:fldChar w:fldCharType="end"/>
          </w:r>
        </w:p>
        <w:p w14:paraId="2C4BD247">
          <w:pPr>
            <w:spacing w:line="720" w:lineRule="auto"/>
            <w:rPr>
              <w:rFonts w:ascii="仿宋" w:hAnsi="仿宋" w:eastAsia="仿宋" w:cs="仿宋"/>
              <w:b/>
              <w:bCs/>
              <w:color w:val="auto"/>
              <w:kern w:val="2"/>
              <w:sz w:val="21"/>
              <w:highlight w:val="none"/>
              <w:lang w:val="en-US" w:eastAsia="zh-CN" w:bidi="ar-SA"/>
            </w:rPr>
          </w:pPr>
          <w:r>
            <w:rPr>
              <w:rFonts w:hint="eastAsia" w:ascii="仿宋" w:hAnsi="仿宋" w:eastAsia="仿宋" w:cs="仿宋"/>
              <w:b/>
              <w:bCs/>
              <w:color w:val="auto"/>
              <w:sz w:val="30"/>
              <w:szCs w:val="30"/>
              <w:highlight w:val="none"/>
            </w:rPr>
            <w:fldChar w:fldCharType="end"/>
          </w:r>
        </w:p>
      </w:sdtContent>
    </w:sdt>
    <w:p w14:paraId="1A6B5B76">
      <w:pPr>
        <w:pStyle w:val="2"/>
        <w:rPr>
          <w:color w:val="auto"/>
          <w:highlight w:val="none"/>
        </w:rPr>
      </w:pPr>
    </w:p>
    <w:p w14:paraId="79FD5308">
      <w:pPr>
        <w:ind w:right="-241"/>
        <w:jc w:val="center"/>
        <w:rPr>
          <w:rStyle w:val="34"/>
          <w:rFonts w:ascii="仿宋" w:hAnsi="仿宋" w:eastAsia="仿宋" w:cs="仿宋"/>
          <w:color w:val="auto"/>
          <w:sz w:val="24"/>
          <w:szCs w:val="24"/>
          <w:highlight w:val="none"/>
        </w:rPr>
      </w:pPr>
    </w:p>
    <w:p w14:paraId="70BD56E5">
      <w:pPr>
        <w:ind w:right="-241"/>
        <w:jc w:val="center"/>
        <w:rPr>
          <w:rStyle w:val="34"/>
          <w:rFonts w:ascii="仿宋" w:hAnsi="仿宋" w:eastAsia="仿宋" w:cs="仿宋"/>
          <w:color w:val="auto"/>
          <w:sz w:val="24"/>
          <w:szCs w:val="24"/>
          <w:highlight w:val="none"/>
        </w:rPr>
      </w:pPr>
    </w:p>
    <w:p w14:paraId="0327592B">
      <w:pPr>
        <w:ind w:right="-241"/>
        <w:jc w:val="center"/>
        <w:rPr>
          <w:rStyle w:val="34"/>
          <w:rFonts w:ascii="仿宋" w:hAnsi="仿宋" w:eastAsia="仿宋" w:cs="仿宋"/>
          <w:color w:val="auto"/>
          <w:sz w:val="24"/>
          <w:szCs w:val="24"/>
          <w:highlight w:val="none"/>
        </w:rPr>
      </w:pPr>
    </w:p>
    <w:p w14:paraId="7977371E">
      <w:pPr>
        <w:ind w:right="-241"/>
        <w:jc w:val="left"/>
        <w:rPr>
          <w:rStyle w:val="34"/>
          <w:rFonts w:hint="eastAsia" w:ascii="仿宋" w:hAnsi="仿宋" w:eastAsia="仿宋" w:cs="仿宋"/>
          <w:color w:val="auto"/>
          <w:sz w:val="24"/>
          <w:szCs w:val="24"/>
          <w:highlight w:val="none"/>
          <w:lang w:eastAsia="zh-CN"/>
        </w:rPr>
      </w:pPr>
      <w:r>
        <w:rPr>
          <w:rStyle w:val="34"/>
          <w:rFonts w:hint="eastAsia" w:ascii="仿宋" w:hAnsi="仿宋" w:eastAsia="仿宋" w:cs="仿宋"/>
          <w:color w:val="auto"/>
          <w:sz w:val="24"/>
          <w:szCs w:val="24"/>
          <w:highlight w:val="none"/>
          <w:lang w:eastAsia="zh-CN"/>
        </w:rPr>
        <w:tab/>
      </w:r>
    </w:p>
    <w:p w14:paraId="0A2FC850">
      <w:pPr>
        <w:ind w:right="-241"/>
        <w:jc w:val="center"/>
        <w:rPr>
          <w:rStyle w:val="34"/>
          <w:rFonts w:ascii="仿宋" w:hAnsi="仿宋" w:eastAsia="仿宋" w:cs="仿宋"/>
          <w:color w:val="auto"/>
          <w:sz w:val="24"/>
          <w:szCs w:val="24"/>
          <w:highlight w:val="none"/>
        </w:rPr>
      </w:pPr>
    </w:p>
    <w:p w14:paraId="24D4C64F">
      <w:pPr>
        <w:ind w:right="-241"/>
        <w:jc w:val="center"/>
        <w:rPr>
          <w:rStyle w:val="34"/>
          <w:rFonts w:ascii="仿宋" w:hAnsi="仿宋" w:eastAsia="仿宋" w:cs="仿宋"/>
          <w:color w:val="auto"/>
          <w:sz w:val="24"/>
          <w:szCs w:val="24"/>
          <w:highlight w:val="none"/>
        </w:rPr>
      </w:pPr>
    </w:p>
    <w:p w14:paraId="10F15B96">
      <w:pPr>
        <w:ind w:right="-241"/>
        <w:jc w:val="center"/>
        <w:rPr>
          <w:rStyle w:val="34"/>
          <w:rFonts w:ascii="仿宋" w:hAnsi="仿宋" w:eastAsia="仿宋" w:cs="仿宋"/>
          <w:color w:val="auto"/>
          <w:sz w:val="24"/>
          <w:szCs w:val="24"/>
          <w:highlight w:val="none"/>
        </w:rPr>
      </w:pPr>
    </w:p>
    <w:p w14:paraId="68949AFC">
      <w:pPr>
        <w:rPr>
          <w:rStyle w:val="34"/>
          <w:rFonts w:ascii="仿宋" w:hAnsi="仿宋" w:eastAsia="仿宋" w:cs="仿宋"/>
          <w:b/>
          <w:color w:val="auto"/>
          <w:kern w:val="0"/>
          <w:sz w:val="32"/>
          <w:szCs w:val="32"/>
          <w:highlight w:val="none"/>
        </w:rPr>
      </w:pPr>
      <w:r>
        <w:rPr>
          <w:rStyle w:val="34"/>
          <w:rFonts w:hint="eastAsia" w:ascii="仿宋" w:hAnsi="仿宋" w:eastAsia="仿宋" w:cs="仿宋"/>
          <w:b/>
          <w:color w:val="auto"/>
          <w:kern w:val="0"/>
          <w:sz w:val="32"/>
          <w:szCs w:val="32"/>
          <w:highlight w:val="none"/>
        </w:rPr>
        <w:br w:type="page"/>
      </w:r>
    </w:p>
    <w:p w14:paraId="08BDBCF4">
      <w:pPr>
        <w:pStyle w:val="2"/>
        <w:bidi w:val="0"/>
        <w:rPr>
          <w:rStyle w:val="34"/>
          <w:rFonts w:ascii="仿宋" w:hAnsi="仿宋" w:eastAsia="仿宋" w:cs="仿宋"/>
          <w:b/>
          <w:color w:val="auto"/>
          <w:kern w:val="0"/>
          <w:szCs w:val="32"/>
          <w:highlight w:val="none"/>
        </w:rPr>
      </w:pPr>
      <w:bookmarkStart w:id="6" w:name="_Toc21341"/>
      <w:r>
        <w:rPr>
          <w:rFonts w:hint="eastAsia" w:ascii="仿宋" w:hAnsi="仿宋" w:eastAsia="仿宋" w:cs="仿宋"/>
          <w:color w:val="auto"/>
          <w:highlight w:val="none"/>
        </w:rPr>
        <w:t>竞争性磋商报价一览表</w:t>
      </w:r>
      <w:bookmarkEnd w:id="6"/>
    </w:p>
    <w:p w14:paraId="1BB9A86D">
      <w:pPr>
        <w:ind w:right="-241"/>
        <w:rPr>
          <w:rStyle w:val="34"/>
          <w:rFonts w:ascii="仿宋" w:hAnsi="仿宋" w:eastAsia="仿宋" w:cs="仿宋"/>
          <w:color w:val="auto"/>
          <w:szCs w:val="21"/>
          <w:highlight w:val="none"/>
        </w:rPr>
      </w:pPr>
    </w:p>
    <w:p w14:paraId="5517AB4F">
      <w:pPr>
        <w:tabs>
          <w:tab w:val="center" w:pos="4535"/>
        </w:tabs>
        <w:ind w:right="-241"/>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项目名称：</w:t>
      </w:r>
      <w:r>
        <w:rPr>
          <w:rStyle w:val="34"/>
          <w:rFonts w:hint="eastAsia" w:ascii="仿宋" w:hAnsi="仿宋" w:eastAsia="仿宋" w:cs="仿宋"/>
          <w:color w:val="auto"/>
          <w:szCs w:val="21"/>
          <w:highlight w:val="none"/>
          <w:lang w:eastAsia="zh-CN"/>
        </w:rPr>
        <w:t>石林彝族自治县行政中心室外绿化管养外包服务（2025-2028年）</w:t>
      </w:r>
      <w:r>
        <w:rPr>
          <w:rStyle w:val="34"/>
          <w:rFonts w:hint="eastAsia" w:ascii="仿宋" w:hAnsi="仿宋" w:eastAsia="仿宋" w:cs="仿宋"/>
          <w:color w:val="auto"/>
          <w:szCs w:val="21"/>
          <w:highlight w:val="none"/>
        </w:rPr>
        <w:tab/>
      </w:r>
    </w:p>
    <w:p w14:paraId="11047CBD">
      <w:pPr>
        <w:snapToGrid w:val="0"/>
        <w:spacing w:line="360" w:lineRule="auto"/>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招标编号：</w:t>
      </w:r>
      <w:r>
        <w:rPr>
          <w:rStyle w:val="34"/>
          <w:rFonts w:hint="eastAsia" w:ascii="仿宋" w:hAnsi="仿宋" w:eastAsia="仿宋" w:cs="仿宋"/>
          <w:color w:val="auto"/>
          <w:szCs w:val="21"/>
          <w:highlight w:val="none"/>
          <w:lang w:eastAsia="zh-CN"/>
        </w:rPr>
        <w:t>SLJC2025-006</w:t>
      </w:r>
    </w:p>
    <w:tbl>
      <w:tblPr>
        <w:tblStyle w:val="21"/>
        <w:tblW w:w="87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42"/>
        <w:gridCol w:w="6035"/>
      </w:tblGrid>
      <w:tr w14:paraId="472E4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2742" w:type="dxa"/>
            <w:tcBorders>
              <w:top w:val="single" w:color="000000" w:sz="4" w:space="0"/>
              <w:left w:val="single" w:color="000000" w:sz="4" w:space="0"/>
              <w:bottom w:val="single" w:color="000000" w:sz="4" w:space="0"/>
              <w:right w:val="single" w:color="000000" w:sz="4" w:space="0"/>
            </w:tcBorders>
            <w:vAlign w:val="center"/>
          </w:tcPr>
          <w:p w14:paraId="494CEC65">
            <w:pPr>
              <w:spacing w:before="120" w:after="120" w:line="240" w:lineRule="atLeast"/>
              <w:jc w:val="center"/>
              <w:rPr>
                <w:rStyle w:val="34"/>
                <w:rFonts w:ascii="仿宋" w:hAnsi="仿宋" w:eastAsia="仿宋" w:cs="仿宋"/>
                <w:b/>
                <w:bCs/>
                <w:color w:val="auto"/>
                <w:szCs w:val="21"/>
                <w:highlight w:val="none"/>
              </w:rPr>
            </w:pPr>
            <w:r>
              <w:rPr>
                <w:rStyle w:val="34"/>
                <w:rFonts w:hint="eastAsia" w:ascii="仿宋" w:hAnsi="仿宋" w:eastAsia="仿宋" w:cs="仿宋"/>
                <w:b/>
                <w:bCs/>
                <w:color w:val="auto"/>
                <w:szCs w:val="21"/>
                <w:highlight w:val="none"/>
              </w:rPr>
              <w:t>竞争性磋商</w:t>
            </w:r>
          </w:p>
          <w:p w14:paraId="5CC38E8E">
            <w:pPr>
              <w:spacing w:before="120" w:after="120" w:line="240" w:lineRule="atLeast"/>
              <w:jc w:val="center"/>
              <w:rPr>
                <w:rStyle w:val="34"/>
                <w:rFonts w:ascii="仿宋" w:hAnsi="仿宋" w:eastAsia="仿宋" w:cs="仿宋"/>
                <w:color w:val="auto"/>
                <w:szCs w:val="21"/>
                <w:highlight w:val="none"/>
              </w:rPr>
            </w:pPr>
            <w:r>
              <w:rPr>
                <w:rStyle w:val="34"/>
                <w:rFonts w:hint="eastAsia" w:ascii="仿宋" w:hAnsi="仿宋" w:eastAsia="仿宋" w:cs="仿宋"/>
                <w:b/>
                <w:bCs/>
                <w:color w:val="auto"/>
                <w:szCs w:val="21"/>
                <w:highlight w:val="none"/>
              </w:rPr>
              <w:t>供应商名称</w:t>
            </w:r>
          </w:p>
        </w:tc>
        <w:tc>
          <w:tcPr>
            <w:tcW w:w="6035" w:type="dxa"/>
            <w:tcBorders>
              <w:top w:val="single" w:color="000000" w:sz="4" w:space="0"/>
              <w:left w:val="single" w:color="000000" w:sz="4" w:space="0"/>
              <w:bottom w:val="single" w:color="000000" w:sz="4" w:space="0"/>
              <w:right w:val="single" w:color="000000" w:sz="4" w:space="0"/>
            </w:tcBorders>
            <w:vAlign w:val="center"/>
          </w:tcPr>
          <w:p w14:paraId="60DCA603">
            <w:pPr>
              <w:spacing w:before="120" w:after="120" w:line="240" w:lineRule="atLeast"/>
              <w:jc w:val="center"/>
              <w:rPr>
                <w:rStyle w:val="34"/>
                <w:rFonts w:ascii="仿宋" w:hAnsi="仿宋" w:eastAsia="仿宋" w:cs="仿宋"/>
                <w:color w:val="auto"/>
                <w:szCs w:val="21"/>
                <w:highlight w:val="none"/>
              </w:rPr>
            </w:pPr>
          </w:p>
        </w:tc>
      </w:tr>
      <w:tr w14:paraId="0CFE7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8" w:hRule="atLeast"/>
        </w:trPr>
        <w:tc>
          <w:tcPr>
            <w:tcW w:w="2742" w:type="dxa"/>
            <w:tcBorders>
              <w:top w:val="single" w:color="000000" w:sz="4" w:space="0"/>
              <w:left w:val="single" w:color="000000" w:sz="4" w:space="0"/>
              <w:bottom w:val="single" w:color="000000" w:sz="4" w:space="0"/>
              <w:right w:val="single" w:color="000000" w:sz="4" w:space="0"/>
            </w:tcBorders>
            <w:vAlign w:val="center"/>
          </w:tcPr>
          <w:p w14:paraId="24AE65A0">
            <w:pPr>
              <w:spacing w:before="120" w:after="120" w:line="240" w:lineRule="atLeast"/>
              <w:jc w:val="center"/>
              <w:rPr>
                <w:rStyle w:val="34"/>
                <w:rFonts w:ascii="仿宋" w:hAnsi="仿宋" w:eastAsia="仿宋" w:cs="仿宋"/>
                <w:b/>
                <w:bCs/>
                <w:color w:val="auto"/>
                <w:szCs w:val="21"/>
                <w:highlight w:val="none"/>
              </w:rPr>
            </w:pPr>
            <w:r>
              <w:rPr>
                <w:rStyle w:val="34"/>
                <w:rFonts w:hint="eastAsia" w:ascii="仿宋" w:hAnsi="仿宋" w:eastAsia="仿宋" w:cs="仿宋"/>
                <w:b/>
                <w:bCs/>
                <w:color w:val="auto"/>
                <w:szCs w:val="21"/>
                <w:highlight w:val="none"/>
              </w:rPr>
              <w:t>投标总报价</w:t>
            </w:r>
          </w:p>
          <w:p w14:paraId="2C03D497">
            <w:pPr>
              <w:spacing w:before="120" w:after="120" w:line="240" w:lineRule="atLeast"/>
              <w:jc w:val="center"/>
              <w:rPr>
                <w:rStyle w:val="34"/>
                <w:rFonts w:ascii="仿宋" w:hAnsi="仿宋" w:eastAsia="仿宋" w:cs="仿宋"/>
                <w:b/>
                <w:bCs/>
                <w:color w:val="auto"/>
                <w:szCs w:val="21"/>
                <w:highlight w:val="none"/>
              </w:rPr>
            </w:pPr>
            <w:r>
              <w:rPr>
                <w:rStyle w:val="34"/>
                <w:rFonts w:hint="eastAsia" w:ascii="仿宋" w:hAnsi="仿宋" w:eastAsia="仿宋" w:cs="仿宋"/>
                <w:b/>
                <w:bCs/>
                <w:color w:val="auto"/>
                <w:szCs w:val="21"/>
                <w:highlight w:val="none"/>
              </w:rPr>
              <w:t>（人民币：元</w:t>
            </w:r>
            <w:r>
              <w:rPr>
                <w:rStyle w:val="34"/>
                <w:rFonts w:hint="eastAsia" w:ascii="仿宋" w:hAnsi="仿宋" w:eastAsia="仿宋" w:cs="仿宋"/>
                <w:b/>
                <w:bCs/>
                <w:color w:val="auto"/>
                <w:szCs w:val="21"/>
                <w:highlight w:val="none"/>
                <w:lang w:val="en-US" w:eastAsia="zh-CN"/>
              </w:rPr>
              <w:t>/年</w:t>
            </w:r>
            <w:r>
              <w:rPr>
                <w:rStyle w:val="34"/>
                <w:rFonts w:hint="eastAsia" w:ascii="仿宋" w:hAnsi="仿宋" w:eastAsia="仿宋" w:cs="仿宋"/>
                <w:b/>
                <w:bCs/>
                <w:color w:val="auto"/>
                <w:szCs w:val="21"/>
                <w:highlight w:val="none"/>
              </w:rPr>
              <w:t>）</w:t>
            </w:r>
          </w:p>
        </w:tc>
        <w:tc>
          <w:tcPr>
            <w:tcW w:w="6035" w:type="dxa"/>
            <w:tcBorders>
              <w:top w:val="single" w:color="000000" w:sz="4" w:space="0"/>
              <w:left w:val="single" w:color="000000" w:sz="4" w:space="0"/>
              <w:bottom w:val="single" w:color="000000" w:sz="4" w:space="0"/>
              <w:right w:val="single" w:color="000000" w:sz="4" w:space="0"/>
            </w:tcBorders>
            <w:vAlign w:val="center"/>
          </w:tcPr>
          <w:p w14:paraId="3371E87D">
            <w:pPr>
              <w:spacing w:before="120" w:after="120" w:line="240" w:lineRule="atLeast"/>
              <w:jc w:val="left"/>
              <w:rPr>
                <w:rStyle w:val="34"/>
                <w:rFonts w:ascii="仿宋" w:hAnsi="仿宋" w:eastAsia="仿宋" w:cs="仿宋"/>
                <w:b/>
                <w:bCs/>
                <w:color w:val="auto"/>
                <w:szCs w:val="21"/>
                <w:highlight w:val="none"/>
              </w:rPr>
            </w:pPr>
          </w:p>
        </w:tc>
      </w:tr>
      <w:tr w14:paraId="071AA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2" w:hRule="atLeast"/>
        </w:trPr>
        <w:tc>
          <w:tcPr>
            <w:tcW w:w="2742" w:type="dxa"/>
            <w:tcBorders>
              <w:top w:val="single" w:color="000000" w:sz="4" w:space="0"/>
              <w:left w:val="single" w:color="000000" w:sz="4" w:space="0"/>
              <w:bottom w:val="single" w:color="000000" w:sz="4" w:space="0"/>
              <w:right w:val="single" w:color="000000" w:sz="4" w:space="0"/>
            </w:tcBorders>
            <w:vAlign w:val="center"/>
          </w:tcPr>
          <w:p w14:paraId="4941D46D">
            <w:pPr>
              <w:spacing w:before="120" w:after="120" w:line="240" w:lineRule="atLeast"/>
              <w:jc w:val="center"/>
              <w:rPr>
                <w:rStyle w:val="34"/>
                <w:rFonts w:ascii="仿宋" w:hAnsi="仿宋" w:eastAsia="仿宋" w:cs="仿宋"/>
                <w:b/>
                <w:bCs/>
                <w:color w:val="auto"/>
                <w:szCs w:val="21"/>
                <w:highlight w:val="none"/>
              </w:rPr>
            </w:pPr>
            <w:r>
              <w:rPr>
                <w:rStyle w:val="34"/>
                <w:rFonts w:hint="eastAsia" w:ascii="仿宋" w:hAnsi="仿宋" w:eastAsia="仿宋" w:cs="仿宋"/>
                <w:b/>
                <w:bCs/>
                <w:color w:val="auto"/>
                <w:szCs w:val="21"/>
                <w:highlight w:val="none"/>
              </w:rPr>
              <w:t>服务期限</w:t>
            </w:r>
          </w:p>
        </w:tc>
        <w:tc>
          <w:tcPr>
            <w:tcW w:w="6035" w:type="dxa"/>
            <w:tcBorders>
              <w:top w:val="single" w:color="000000" w:sz="4" w:space="0"/>
              <w:left w:val="single" w:color="000000" w:sz="4" w:space="0"/>
              <w:bottom w:val="single" w:color="000000" w:sz="4" w:space="0"/>
              <w:right w:val="single" w:color="000000" w:sz="4" w:space="0"/>
            </w:tcBorders>
            <w:vAlign w:val="center"/>
          </w:tcPr>
          <w:p w14:paraId="44634FDA">
            <w:pPr>
              <w:spacing w:before="120" w:after="120" w:line="240" w:lineRule="atLeast"/>
              <w:rPr>
                <w:rStyle w:val="34"/>
                <w:rFonts w:ascii="仿宋" w:hAnsi="仿宋" w:eastAsia="仿宋" w:cs="仿宋"/>
                <w:color w:val="auto"/>
                <w:szCs w:val="21"/>
                <w:highlight w:val="none"/>
              </w:rPr>
            </w:pPr>
          </w:p>
        </w:tc>
      </w:tr>
      <w:tr w14:paraId="220F8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2742" w:type="dxa"/>
            <w:tcBorders>
              <w:top w:val="single" w:color="000000" w:sz="4" w:space="0"/>
              <w:left w:val="single" w:color="000000" w:sz="4" w:space="0"/>
              <w:bottom w:val="single" w:color="000000" w:sz="4" w:space="0"/>
              <w:right w:val="single" w:color="000000" w:sz="4" w:space="0"/>
            </w:tcBorders>
            <w:vAlign w:val="center"/>
          </w:tcPr>
          <w:p w14:paraId="257913DD">
            <w:pPr>
              <w:spacing w:before="120" w:after="120" w:line="240" w:lineRule="atLeast"/>
              <w:jc w:val="center"/>
              <w:rPr>
                <w:rStyle w:val="34"/>
                <w:rFonts w:ascii="仿宋" w:hAnsi="仿宋" w:eastAsia="仿宋" w:cs="仿宋"/>
                <w:b/>
                <w:bCs/>
                <w:color w:val="auto"/>
                <w:szCs w:val="21"/>
                <w:highlight w:val="none"/>
              </w:rPr>
            </w:pPr>
            <w:r>
              <w:rPr>
                <w:rStyle w:val="34"/>
                <w:rFonts w:hint="eastAsia" w:ascii="仿宋" w:hAnsi="仿宋" w:eastAsia="仿宋" w:cs="仿宋"/>
                <w:b/>
                <w:bCs/>
                <w:color w:val="auto"/>
                <w:szCs w:val="21"/>
                <w:highlight w:val="none"/>
              </w:rPr>
              <w:t>服务标准</w:t>
            </w:r>
          </w:p>
        </w:tc>
        <w:tc>
          <w:tcPr>
            <w:tcW w:w="6035" w:type="dxa"/>
            <w:tcBorders>
              <w:top w:val="single" w:color="000000" w:sz="4" w:space="0"/>
              <w:left w:val="single" w:color="000000" w:sz="4" w:space="0"/>
              <w:bottom w:val="single" w:color="000000" w:sz="4" w:space="0"/>
              <w:right w:val="single" w:color="000000" w:sz="4" w:space="0"/>
            </w:tcBorders>
            <w:vAlign w:val="center"/>
          </w:tcPr>
          <w:p w14:paraId="6C0C0EE8">
            <w:pPr>
              <w:spacing w:before="120" w:after="120" w:line="240" w:lineRule="atLeast"/>
              <w:rPr>
                <w:rStyle w:val="34"/>
                <w:rFonts w:ascii="仿宋" w:hAnsi="仿宋" w:eastAsia="仿宋" w:cs="仿宋"/>
                <w:color w:val="auto"/>
                <w:szCs w:val="21"/>
                <w:highlight w:val="none"/>
              </w:rPr>
            </w:pPr>
          </w:p>
        </w:tc>
      </w:tr>
      <w:tr w14:paraId="452C2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2742" w:type="dxa"/>
            <w:tcBorders>
              <w:top w:val="single" w:color="000000" w:sz="4" w:space="0"/>
              <w:left w:val="single" w:color="000000" w:sz="4" w:space="0"/>
              <w:bottom w:val="single" w:color="000000" w:sz="4" w:space="0"/>
              <w:right w:val="single" w:color="000000" w:sz="4" w:space="0"/>
            </w:tcBorders>
            <w:vAlign w:val="center"/>
          </w:tcPr>
          <w:p w14:paraId="2EDB3AFB">
            <w:pPr>
              <w:spacing w:before="120" w:after="120" w:line="240" w:lineRule="atLeast"/>
              <w:jc w:val="center"/>
              <w:rPr>
                <w:rStyle w:val="34"/>
                <w:rFonts w:hint="eastAsia" w:ascii="仿宋" w:hAnsi="仿宋" w:eastAsia="仿宋" w:cs="仿宋"/>
                <w:b/>
                <w:bCs/>
                <w:color w:val="auto"/>
                <w:szCs w:val="21"/>
                <w:highlight w:val="none"/>
                <w:lang w:eastAsia="zh-CN"/>
              </w:rPr>
            </w:pPr>
            <w:r>
              <w:rPr>
                <w:rStyle w:val="34"/>
                <w:rFonts w:hint="eastAsia" w:ascii="仿宋" w:hAnsi="仿宋" w:eastAsia="仿宋" w:cs="仿宋"/>
                <w:b/>
                <w:bCs/>
                <w:color w:val="auto"/>
                <w:szCs w:val="21"/>
                <w:highlight w:val="none"/>
              </w:rPr>
              <w:t>服务</w:t>
            </w:r>
            <w:r>
              <w:rPr>
                <w:rStyle w:val="34"/>
                <w:rFonts w:hint="eastAsia" w:ascii="仿宋" w:hAnsi="仿宋" w:eastAsia="仿宋" w:cs="仿宋"/>
                <w:b/>
                <w:bCs/>
                <w:color w:val="auto"/>
                <w:szCs w:val="21"/>
                <w:highlight w:val="none"/>
                <w:lang w:val="en-US" w:eastAsia="zh-CN"/>
              </w:rPr>
              <w:t>地点</w:t>
            </w:r>
          </w:p>
        </w:tc>
        <w:tc>
          <w:tcPr>
            <w:tcW w:w="6035" w:type="dxa"/>
            <w:tcBorders>
              <w:top w:val="single" w:color="000000" w:sz="4" w:space="0"/>
              <w:left w:val="single" w:color="000000" w:sz="4" w:space="0"/>
              <w:bottom w:val="single" w:color="000000" w:sz="4" w:space="0"/>
              <w:right w:val="single" w:color="000000" w:sz="4" w:space="0"/>
            </w:tcBorders>
            <w:vAlign w:val="center"/>
          </w:tcPr>
          <w:p w14:paraId="1BF0AAAE">
            <w:pPr>
              <w:spacing w:before="120" w:after="120" w:line="240" w:lineRule="atLeast"/>
              <w:rPr>
                <w:rStyle w:val="34"/>
                <w:rFonts w:ascii="仿宋" w:hAnsi="仿宋" w:eastAsia="仿宋" w:cs="仿宋"/>
                <w:color w:val="auto"/>
                <w:szCs w:val="21"/>
                <w:highlight w:val="none"/>
              </w:rPr>
            </w:pPr>
          </w:p>
        </w:tc>
      </w:tr>
      <w:tr w14:paraId="6AF74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4" w:hRule="atLeast"/>
        </w:trPr>
        <w:tc>
          <w:tcPr>
            <w:tcW w:w="2742" w:type="dxa"/>
            <w:tcBorders>
              <w:top w:val="single" w:color="000000" w:sz="4" w:space="0"/>
              <w:left w:val="single" w:color="000000" w:sz="4" w:space="0"/>
              <w:bottom w:val="single" w:color="000000" w:sz="4" w:space="0"/>
              <w:right w:val="single" w:color="000000" w:sz="4" w:space="0"/>
            </w:tcBorders>
            <w:vAlign w:val="center"/>
          </w:tcPr>
          <w:p w14:paraId="6B935EED">
            <w:pPr>
              <w:spacing w:before="120" w:after="120" w:line="240" w:lineRule="atLeast"/>
              <w:jc w:val="center"/>
              <w:rPr>
                <w:rStyle w:val="34"/>
                <w:rFonts w:ascii="仿宋" w:hAnsi="仿宋" w:eastAsia="仿宋" w:cs="仿宋"/>
                <w:b/>
                <w:bCs/>
                <w:color w:val="auto"/>
                <w:szCs w:val="21"/>
                <w:highlight w:val="none"/>
              </w:rPr>
            </w:pPr>
            <w:r>
              <w:rPr>
                <w:rStyle w:val="34"/>
                <w:rFonts w:hint="eastAsia" w:ascii="仿宋" w:hAnsi="仿宋" w:eastAsia="仿宋" w:cs="仿宋"/>
                <w:b/>
                <w:bCs/>
                <w:color w:val="auto"/>
                <w:szCs w:val="21"/>
                <w:highlight w:val="none"/>
              </w:rPr>
              <w:t>磋商保证金</w:t>
            </w:r>
          </w:p>
          <w:p w14:paraId="4B6DF590">
            <w:pPr>
              <w:spacing w:before="120" w:after="120" w:line="240" w:lineRule="atLeast"/>
              <w:jc w:val="center"/>
              <w:rPr>
                <w:rStyle w:val="34"/>
                <w:rFonts w:ascii="仿宋" w:hAnsi="仿宋" w:eastAsia="仿宋" w:cs="仿宋"/>
                <w:b/>
                <w:bCs/>
                <w:color w:val="auto"/>
                <w:szCs w:val="21"/>
                <w:highlight w:val="yellow"/>
              </w:rPr>
            </w:pPr>
            <w:r>
              <w:rPr>
                <w:rStyle w:val="34"/>
                <w:rFonts w:hint="eastAsia" w:ascii="仿宋" w:hAnsi="仿宋" w:eastAsia="仿宋" w:cs="仿宋"/>
                <w:b/>
                <w:bCs/>
                <w:color w:val="auto"/>
                <w:szCs w:val="21"/>
                <w:highlight w:val="none"/>
              </w:rPr>
              <w:t>金额（元）</w:t>
            </w:r>
          </w:p>
        </w:tc>
        <w:tc>
          <w:tcPr>
            <w:tcW w:w="6035" w:type="dxa"/>
            <w:tcBorders>
              <w:top w:val="single" w:color="000000" w:sz="4" w:space="0"/>
              <w:left w:val="single" w:color="000000" w:sz="4" w:space="0"/>
              <w:bottom w:val="single" w:color="000000" w:sz="4" w:space="0"/>
              <w:right w:val="single" w:color="000000" w:sz="4" w:space="0"/>
            </w:tcBorders>
            <w:vAlign w:val="center"/>
          </w:tcPr>
          <w:p w14:paraId="0806E49F">
            <w:pPr>
              <w:spacing w:before="120" w:after="120" w:line="240" w:lineRule="atLeast"/>
              <w:ind w:left="1995"/>
              <w:rPr>
                <w:rStyle w:val="34"/>
                <w:rFonts w:ascii="仿宋" w:hAnsi="仿宋" w:eastAsia="仿宋" w:cs="仿宋"/>
                <w:color w:val="auto"/>
                <w:szCs w:val="21"/>
                <w:highlight w:val="yellow"/>
              </w:rPr>
            </w:pPr>
          </w:p>
        </w:tc>
      </w:tr>
      <w:tr w14:paraId="4A81D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27" w:hRule="atLeast"/>
        </w:trPr>
        <w:tc>
          <w:tcPr>
            <w:tcW w:w="8777" w:type="dxa"/>
            <w:gridSpan w:val="2"/>
            <w:tcBorders>
              <w:top w:val="single" w:color="000000" w:sz="4" w:space="0"/>
              <w:left w:val="single" w:color="000000" w:sz="4" w:space="0"/>
              <w:bottom w:val="single" w:color="000000" w:sz="4" w:space="0"/>
              <w:right w:val="single" w:color="000000" w:sz="4" w:space="0"/>
            </w:tcBorders>
            <w:vAlign w:val="center"/>
          </w:tcPr>
          <w:p w14:paraId="1996B089">
            <w:pPr>
              <w:spacing w:before="120" w:after="120" w:line="240" w:lineRule="atLeast"/>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供应商：（电子签章或盖章）</w:t>
            </w:r>
          </w:p>
        </w:tc>
      </w:tr>
      <w:tr w14:paraId="15912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0" w:hRule="atLeast"/>
        </w:trPr>
        <w:tc>
          <w:tcPr>
            <w:tcW w:w="8777" w:type="dxa"/>
            <w:gridSpan w:val="2"/>
            <w:tcBorders>
              <w:top w:val="single" w:color="000000" w:sz="4" w:space="0"/>
              <w:left w:val="single" w:color="000000" w:sz="4" w:space="0"/>
              <w:bottom w:val="single" w:color="000000" w:sz="4" w:space="0"/>
              <w:right w:val="single" w:color="000000" w:sz="4" w:space="0"/>
            </w:tcBorders>
            <w:vAlign w:val="bottom"/>
          </w:tcPr>
          <w:p w14:paraId="07E98E8A">
            <w:pPr>
              <w:tabs>
                <w:tab w:val="center" w:pos="4383"/>
              </w:tabs>
              <w:spacing w:before="120" w:after="120" w:line="240" w:lineRule="atLeast"/>
              <w:ind w:right="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法定代表人或被授权人（电子签章或签字）：</w:t>
            </w:r>
            <w:r>
              <w:rPr>
                <w:rStyle w:val="34"/>
                <w:rFonts w:hint="eastAsia" w:ascii="仿宋" w:hAnsi="仿宋" w:eastAsia="仿宋" w:cs="仿宋"/>
                <w:color w:val="auto"/>
                <w:szCs w:val="21"/>
                <w:highlight w:val="none"/>
              </w:rPr>
              <w:tab/>
            </w:r>
          </w:p>
          <w:p w14:paraId="4C0F861F">
            <w:pPr>
              <w:spacing w:before="120" w:after="120" w:line="240" w:lineRule="atLeast"/>
              <w:jc w:val="right"/>
              <w:rPr>
                <w:rStyle w:val="34"/>
                <w:rFonts w:ascii="仿宋" w:hAnsi="仿宋" w:eastAsia="仿宋" w:cs="仿宋"/>
                <w:color w:val="auto"/>
                <w:szCs w:val="21"/>
                <w:highlight w:val="none"/>
              </w:rPr>
            </w:pPr>
          </w:p>
          <w:p w14:paraId="551E8D0B">
            <w:pPr>
              <w:spacing w:before="120" w:after="120" w:line="240" w:lineRule="atLeast"/>
              <w:jc w:val="right"/>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日期：    年    月    日</w:t>
            </w:r>
          </w:p>
        </w:tc>
      </w:tr>
    </w:tbl>
    <w:p w14:paraId="62F5A123">
      <w:pPr>
        <w:spacing w:line="360" w:lineRule="auto"/>
        <w:rPr>
          <w:rStyle w:val="34"/>
          <w:rFonts w:ascii="仿宋" w:hAnsi="仿宋" w:eastAsia="仿宋" w:cs="仿宋"/>
          <w:b/>
          <w:color w:val="auto"/>
          <w:sz w:val="44"/>
          <w:szCs w:val="44"/>
          <w:highlight w:val="none"/>
        </w:rPr>
      </w:pPr>
    </w:p>
    <w:p w14:paraId="225D7691">
      <w:pPr>
        <w:rPr>
          <w:rStyle w:val="34"/>
          <w:rFonts w:ascii="仿宋" w:hAnsi="仿宋" w:eastAsia="仿宋" w:cs="仿宋"/>
          <w:b/>
          <w:color w:val="auto"/>
          <w:sz w:val="44"/>
          <w:szCs w:val="44"/>
          <w:highlight w:val="none"/>
        </w:rPr>
      </w:pPr>
      <w:r>
        <w:rPr>
          <w:rStyle w:val="34"/>
          <w:rFonts w:hint="eastAsia" w:ascii="仿宋" w:hAnsi="仿宋" w:eastAsia="仿宋" w:cs="仿宋"/>
          <w:b/>
          <w:color w:val="auto"/>
          <w:sz w:val="44"/>
          <w:szCs w:val="44"/>
          <w:highlight w:val="none"/>
        </w:rPr>
        <w:br w:type="page"/>
      </w:r>
    </w:p>
    <w:p w14:paraId="02D59AEF">
      <w:pPr>
        <w:pStyle w:val="2"/>
        <w:bidi w:val="0"/>
        <w:rPr>
          <w:rStyle w:val="34"/>
          <w:rFonts w:ascii="仿宋" w:hAnsi="仿宋" w:eastAsia="仿宋" w:cs="仿宋"/>
          <w:b/>
          <w:color w:val="auto"/>
          <w:szCs w:val="44"/>
          <w:highlight w:val="none"/>
        </w:rPr>
      </w:pPr>
      <w:bookmarkStart w:id="7" w:name="_Toc14381"/>
      <w:r>
        <w:rPr>
          <w:rFonts w:hint="eastAsia" w:ascii="仿宋" w:hAnsi="仿宋" w:eastAsia="仿宋" w:cs="仿宋"/>
          <w:color w:val="auto"/>
          <w:highlight w:val="none"/>
        </w:rPr>
        <w:t>第一章  竞争性磋商公告</w:t>
      </w:r>
      <w:bookmarkEnd w:id="7"/>
    </w:p>
    <w:p w14:paraId="25289C9A">
      <w:pPr>
        <w:spacing w:line="324" w:lineRule="auto"/>
        <w:jc w:val="center"/>
        <w:rPr>
          <w:rStyle w:val="34"/>
          <w:rFonts w:hint="eastAsia" w:ascii="仿宋" w:hAnsi="仿宋" w:eastAsia="仿宋" w:cs="仿宋"/>
          <w:b/>
          <w:color w:val="auto"/>
          <w:sz w:val="30"/>
          <w:szCs w:val="30"/>
          <w:highlight w:val="none"/>
          <w:lang w:eastAsia="zh-CN"/>
        </w:rPr>
      </w:pPr>
      <w:r>
        <w:rPr>
          <w:rStyle w:val="34"/>
          <w:rFonts w:hint="eastAsia" w:ascii="仿宋" w:hAnsi="仿宋" w:eastAsia="仿宋" w:cs="仿宋"/>
          <w:b/>
          <w:color w:val="auto"/>
          <w:sz w:val="30"/>
          <w:szCs w:val="30"/>
          <w:highlight w:val="none"/>
          <w:lang w:eastAsia="zh-CN"/>
        </w:rPr>
        <w:t>石林彝族自治县行政中心室外绿化管养外包服务（2025-2028年）</w:t>
      </w:r>
    </w:p>
    <w:p w14:paraId="185FF504">
      <w:pPr>
        <w:spacing w:line="324" w:lineRule="auto"/>
        <w:jc w:val="center"/>
        <w:rPr>
          <w:rStyle w:val="34"/>
          <w:rFonts w:ascii="仿宋" w:hAnsi="仿宋" w:eastAsia="仿宋" w:cs="仿宋"/>
          <w:b/>
          <w:color w:val="auto"/>
          <w:sz w:val="24"/>
          <w:szCs w:val="24"/>
          <w:highlight w:val="none"/>
        </w:rPr>
      </w:pPr>
      <w:r>
        <w:rPr>
          <w:rStyle w:val="34"/>
          <w:rFonts w:hint="eastAsia" w:ascii="仿宋" w:hAnsi="仿宋" w:eastAsia="仿宋" w:cs="仿宋"/>
          <w:b/>
          <w:color w:val="auto"/>
          <w:sz w:val="30"/>
          <w:szCs w:val="30"/>
          <w:highlight w:val="none"/>
        </w:rPr>
        <w:t>竞争性磋商公告</w:t>
      </w:r>
    </w:p>
    <w:p w14:paraId="1BF79059">
      <w:pPr>
        <w:pBdr>
          <w:top w:val="single" w:color="000000" w:sz="4" w:space="1"/>
          <w:left w:val="single" w:color="000000" w:sz="4" w:space="4"/>
          <w:bottom w:val="single" w:color="000000" w:sz="4" w:space="1"/>
          <w:right w:val="single" w:color="000000" w:sz="4" w:space="4"/>
        </w:pBdr>
        <w:spacing w:line="324" w:lineRule="auto"/>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项目概况</w:t>
      </w:r>
    </w:p>
    <w:p w14:paraId="0F0B9C6E">
      <w:pPr>
        <w:pBdr>
          <w:top w:val="single" w:color="000000" w:sz="4" w:space="1"/>
          <w:left w:val="single" w:color="000000" w:sz="4" w:space="4"/>
          <w:bottom w:val="single" w:color="000000" w:sz="4" w:space="1"/>
          <w:right w:val="single" w:color="000000" w:sz="4" w:space="4"/>
        </w:pBdr>
        <w:spacing w:line="324" w:lineRule="auto"/>
        <w:ind w:firstLine="420" w:firstLineChars="200"/>
        <w:rPr>
          <w:rStyle w:val="34"/>
          <w:rFonts w:ascii="仿宋" w:hAnsi="仿宋" w:eastAsia="仿宋" w:cs="仿宋"/>
          <w:b/>
          <w:bCs/>
          <w:color w:val="auto"/>
          <w:kern w:val="0"/>
          <w:szCs w:val="21"/>
          <w:highlight w:val="none"/>
        </w:rPr>
      </w:pPr>
      <w:r>
        <w:rPr>
          <w:rStyle w:val="34"/>
          <w:rFonts w:hint="eastAsia" w:ascii="仿宋" w:hAnsi="仿宋" w:eastAsia="仿宋" w:cs="仿宋"/>
          <w:bCs/>
          <w:color w:val="auto"/>
          <w:kern w:val="0"/>
          <w:szCs w:val="21"/>
          <w:highlight w:val="none"/>
          <w:u w:val="single"/>
          <w:lang w:eastAsia="zh-CN"/>
        </w:rPr>
        <w:t>石林彝族自治县行政中心室外绿化管养外包服务（2025-2028年）</w:t>
      </w:r>
      <w:r>
        <w:rPr>
          <w:rStyle w:val="34"/>
          <w:rFonts w:hint="eastAsia" w:ascii="仿宋" w:hAnsi="仿宋" w:eastAsia="仿宋" w:cs="仿宋"/>
          <w:color w:val="auto"/>
          <w:szCs w:val="21"/>
          <w:highlight w:val="none"/>
        </w:rPr>
        <w:t>的潜在供应商应在</w:t>
      </w:r>
      <w:r>
        <w:rPr>
          <w:rStyle w:val="34"/>
          <w:rFonts w:hint="eastAsia" w:ascii="仿宋" w:hAnsi="仿宋" w:eastAsia="仿宋" w:cs="仿宋"/>
          <w:color w:val="auto"/>
          <w:szCs w:val="21"/>
          <w:highlight w:val="none"/>
          <w:u w:val="single"/>
        </w:rPr>
        <w:t>政府采购云平台（https://www.zcygov.cn/）</w:t>
      </w:r>
      <w:r>
        <w:rPr>
          <w:rStyle w:val="34"/>
          <w:rFonts w:hint="eastAsia" w:ascii="仿宋" w:hAnsi="仿宋" w:eastAsia="仿宋" w:cs="仿宋"/>
          <w:color w:val="auto"/>
          <w:szCs w:val="21"/>
          <w:highlight w:val="none"/>
        </w:rPr>
        <w:t>获取采购文件，并于</w:t>
      </w:r>
      <w:r>
        <w:rPr>
          <w:rStyle w:val="34"/>
          <w:rFonts w:hint="eastAsia" w:ascii="仿宋" w:hAnsi="仿宋" w:eastAsia="仿宋" w:cs="仿宋"/>
          <w:color w:val="auto"/>
          <w:szCs w:val="21"/>
          <w:highlight w:val="none"/>
          <w:u w:val="single"/>
        </w:rPr>
        <w:t>202</w:t>
      </w:r>
      <w:r>
        <w:rPr>
          <w:rStyle w:val="34"/>
          <w:rFonts w:hint="eastAsia" w:ascii="仿宋" w:hAnsi="仿宋" w:eastAsia="仿宋" w:cs="仿宋"/>
          <w:color w:val="auto"/>
          <w:szCs w:val="21"/>
          <w:highlight w:val="none"/>
          <w:u w:val="single"/>
          <w:lang w:val="en-US" w:eastAsia="zh-CN"/>
        </w:rPr>
        <w:t>5</w:t>
      </w:r>
      <w:r>
        <w:rPr>
          <w:rStyle w:val="34"/>
          <w:rFonts w:hint="eastAsia" w:ascii="仿宋" w:hAnsi="仿宋" w:eastAsia="仿宋" w:cs="仿宋"/>
          <w:color w:val="auto"/>
          <w:szCs w:val="21"/>
          <w:highlight w:val="none"/>
          <w:u w:val="single"/>
        </w:rPr>
        <w:t>年</w:t>
      </w:r>
      <w:r>
        <w:rPr>
          <w:rStyle w:val="34"/>
          <w:rFonts w:hint="eastAsia" w:ascii="仿宋" w:hAnsi="仿宋" w:eastAsia="仿宋" w:cs="仿宋"/>
          <w:color w:val="auto"/>
          <w:szCs w:val="21"/>
          <w:highlight w:val="none"/>
          <w:u w:val="single"/>
          <w:lang w:val="en-US" w:eastAsia="zh-CN"/>
        </w:rPr>
        <w:t>04</w:t>
      </w:r>
      <w:r>
        <w:rPr>
          <w:rStyle w:val="34"/>
          <w:rFonts w:hint="eastAsia" w:ascii="仿宋" w:hAnsi="仿宋" w:eastAsia="仿宋" w:cs="仿宋"/>
          <w:color w:val="auto"/>
          <w:szCs w:val="21"/>
          <w:highlight w:val="none"/>
          <w:u w:val="single"/>
        </w:rPr>
        <w:t>月</w:t>
      </w:r>
      <w:r>
        <w:rPr>
          <w:rStyle w:val="34"/>
          <w:rFonts w:hint="eastAsia" w:ascii="仿宋" w:hAnsi="仿宋" w:eastAsia="仿宋" w:cs="仿宋"/>
          <w:color w:val="auto"/>
          <w:szCs w:val="21"/>
          <w:highlight w:val="none"/>
          <w:u w:val="single"/>
          <w:lang w:val="en-US" w:eastAsia="zh-CN"/>
        </w:rPr>
        <w:t>28</w:t>
      </w:r>
      <w:r>
        <w:rPr>
          <w:rStyle w:val="34"/>
          <w:rFonts w:hint="eastAsia" w:ascii="仿宋" w:hAnsi="仿宋" w:eastAsia="仿宋" w:cs="仿宋"/>
          <w:color w:val="auto"/>
          <w:szCs w:val="21"/>
          <w:highlight w:val="none"/>
          <w:u w:val="single"/>
        </w:rPr>
        <w:t>日</w:t>
      </w:r>
      <w:r>
        <w:rPr>
          <w:rStyle w:val="34"/>
          <w:rFonts w:hint="eastAsia" w:ascii="仿宋" w:hAnsi="仿宋" w:eastAsia="仿宋" w:cs="仿宋"/>
          <w:color w:val="auto"/>
          <w:szCs w:val="21"/>
          <w:highlight w:val="none"/>
          <w:u w:val="single"/>
          <w:lang w:val="en-US" w:eastAsia="zh-CN"/>
        </w:rPr>
        <w:t>09</w:t>
      </w:r>
      <w:r>
        <w:rPr>
          <w:rStyle w:val="34"/>
          <w:rFonts w:hint="eastAsia" w:ascii="仿宋" w:hAnsi="仿宋" w:eastAsia="仿宋" w:cs="仿宋"/>
          <w:color w:val="auto"/>
          <w:szCs w:val="21"/>
          <w:highlight w:val="none"/>
          <w:u w:val="single"/>
        </w:rPr>
        <w:t>点</w:t>
      </w:r>
      <w:r>
        <w:rPr>
          <w:rStyle w:val="34"/>
          <w:rFonts w:hint="eastAsia" w:ascii="仿宋" w:hAnsi="仿宋" w:eastAsia="仿宋" w:cs="仿宋"/>
          <w:color w:val="auto"/>
          <w:szCs w:val="21"/>
          <w:highlight w:val="none"/>
          <w:u w:val="single"/>
          <w:lang w:val="en-US" w:eastAsia="zh-CN"/>
        </w:rPr>
        <w:t>30</w:t>
      </w:r>
      <w:r>
        <w:rPr>
          <w:rStyle w:val="34"/>
          <w:rFonts w:hint="eastAsia" w:ascii="仿宋" w:hAnsi="仿宋" w:eastAsia="仿宋" w:cs="仿宋"/>
          <w:color w:val="auto"/>
          <w:szCs w:val="21"/>
          <w:highlight w:val="none"/>
          <w:u w:val="single"/>
        </w:rPr>
        <w:t>分</w:t>
      </w:r>
      <w:r>
        <w:rPr>
          <w:rStyle w:val="34"/>
          <w:rFonts w:hint="eastAsia" w:ascii="仿宋" w:hAnsi="仿宋" w:eastAsia="仿宋" w:cs="仿宋"/>
          <w:bCs/>
          <w:color w:val="auto"/>
          <w:szCs w:val="21"/>
          <w:highlight w:val="none"/>
          <w:u w:val="single"/>
        </w:rPr>
        <w:t>（</w:t>
      </w:r>
      <w:r>
        <w:rPr>
          <w:rStyle w:val="34"/>
          <w:rFonts w:hint="eastAsia" w:ascii="仿宋" w:hAnsi="仿宋" w:eastAsia="仿宋" w:cs="仿宋"/>
          <w:bCs/>
          <w:color w:val="auto"/>
          <w:szCs w:val="21"/>
          <w:highlight w:val="none"/>
        </w:rPr>
        <w:t>北京时间）前递交响应文件</w:t>
      </w:r>
      <w:r>
        <w:rPr>
          <w:rStyle w:val="34"/>
          <w:rFonts w:hint="eastAsia" w:ascii="仿宋" w:hAnsi="仿宋" w:eastAsia="仿宋" w:cs="仿宋"/>
          <w:color w:val="auto"/>
          <w:szCs w:val="21"/>
          <w:highlight w:val="none"/>
        </w:rPr>
        <w:t>。</w:t>
      </w:r>
    </w:p>
    <w:p w14:paraId="249FE75F">
      <w:pPr>
        <w:spacing w:line="324" w:lineRule="auto"/>
        <w:jc w:val="left"/>
        <w:rPr>
          <w:rStyle w:val="34"/>
          <w:rFonts w:ascii="仿宋" w:hAnsi="仿宋" w:eastAsia="仿宋" w:cs="仿宋"/>
          <w:color w:val="auto"/>
          <w:kern w:val="0"/>
          <w:szCs w:val="21"/>
          <w:highlight w:val="none"/>
        </w:rPr>
      </w:pPr>
      <w:r>
        <w:rPr>
          <w:rStyle w:val="34"/>
          <w:rFonts w:hint="eastAsia" w:ascii="仿宋" w:hAnsi="仿宋" w:eastAsia="仿宋" w:cs="仿宋"/>
          <w:b/>
          <w:bCs/>
          <w:color w:val="auto"/>
          <w:kern w:val="0"/>
          <w:szCs w:val="21"/>
          <w:highlight w:val="none"/>
        </w:rPr>
        <w:t>一、项目基本情况</w:t>
      </w:r>
    </w:p>
    <w:p w14:paraId="317ADDDE">
      <w:pPr>
        <w:spacing w:line="324" w:lineRule="auto"/>
        <w:jc w:val="left"/>
        <w:rPr>
          <w:rStyle w:val="34"/>
          <w:rFonts w:ascii="仿宋" w:hAnsi="仿宋" w:eastAsia="仿宋" w:cs="仿宋"/>
          <w:color w:val="auto"/>
          <w:kern w:val="0"/>
          <w:szCs w:val="21"/>
          <w:highlight w:val="none"/>
          <w:u w:val="single"/>
        </w:rPr>
      </w:pPr>
      <w:r>
        <w:rPr>
          <w:rStyle w:val="34"/>
          <w:rFonts w:hint="eastAsia" w:ascii="仿宋" w:hAnsi="仿宋" w:eastAsia="仿宋" w:cs="仿宋"/>
          <w:color w:val="auto"/>
          <w:kern w:val="0"/>
          <w:szCs w:val="21"/>
          <w:highlight w:val="none"/>
        </w:rPr>
        <w:t xml:space="preserve">    参照《中华人民共和国政府采购法》、《中华人民共和国政府采购法实施条例》《政府采购竞争性磋商采购方式管理暂行办法》等有关法律法规的规定，经批准，本项目资金已落实。</w:t>
      </w:r>
      <w:r>
        <w:rPr>
          <w:rStyle w:val="34"/>
          <w:rFonts w:hint="eastAsia" w:ascii="仿宋" w:hAnsi="仿宋" w:eastAsia="仿宋" w:cs="仿宋"/>
          <w:color w:val="auto"/>
          <w:kern w:val="0"/>
          <w:szCs w:val="21"/>
          <w:highlight w:val="none"/>
          <w:lang w:eastAsia="zh-CN"/>
        </w:rPr>
        <w:t>石林彝族自治县政府采购和出让中心</w:t>
      </w:r>
      <w:r>
        <w:rPr>
          <w:rStyle w:val="34"/>
          <w:rFonts w:hint="eastAsia" w:ascii="仿宋" w:hAnsi="仿宋" w:eastAsia="仿宋" w:cs="仿宋"/>
          <w:color w:val="auto"/>
          <w:kern w:val="0"/>
          <w:szCs w:val="21"/>
          <w:highlight w:val="none"/>
        </w:rPr>
        <w:t>受</w:t>
      </w:r>
      <w:r>
        <w:rPr>
          <w:rStyle w:val="34"/>
          <w:rFonts w:hint="eastAsia" w:ascii="仿宋" w:hAnsi="仿宋" w:eastAsia="仿宋" w:cs="仿宋"/>
          <w:color w:val="auto"/>
          <w:kern w:val="0"/>
          <w:szCs w:val="21"/>
          <w:highlight w:val="none"/>
          <w:lang w:eastAsia="zh-CN"/>
        </w:rPr>
        <w:t>石林彝族自治县机关事务管理中心</w:t>
      </w:r>
      <w:r>
        <w:rPr>
          <w:rStyle w:val="34"/>
          <w:rFonts w:hint="eastAsia" w:ascii="仿宋" w:hAnsi="仿宋" w:eastAsia="仿宋" w:cs="仿宋"/>
          <w:color w:val="auto"/>
          <w:kern w:val="0"/>
          <w:szCs w:val="21"/>
          <w:highlight w:val="none"/>
        </w:rPr>
        <w:t>的委托，对“</w:t>
      </w:r>
      <w:r>
        <w:rPr>
          <w:rStyle w:val="34"/>
          <w:rFonts w:hint="eastAsia" w:ascii="仿宋" w:hAnsi="仿宋" w:eastAsia="仿宋" w:cs="仿宋"/>
          <w:color w:val="auto"/>
          <w:kern w:val="0"/>
          <w:szCs w:val="21"/>
          <w:highlight w:val="none"/>
          <w:lang w:eastAsia="zh-CN"/>
        </w:rPr>
        <w:t>石林彝族自治县行政中心室外绿化管养外包服务（2025-2028年）</w:t>
      </w:r>
      <w:r>
        <w:rPr>
          <w:rStyle w:val="34"/>
          <w:rFonts w:hint="eastAsia" w:ascii="仿宋" w:hAnsi="仿宋" w:eastAsia="仿宋" w:cs="仿宋"/>
          <w:bCs/>
          <w:color w:val="auto"/>
          <w:kern w:val="0"/>
          <w:szCs w:val="21"/>
          <w:highlight w:val="none"/>
        </w:rPr>
        <w:t>”</w:t>
      </w:r>
      <w:r>
        <w:rPr>
          <w:rStyle w:val="34"/>
          <w:rFonts w:hint="eastAsia" w:ascii="仿宋" w:hAnsi="仿宋" w:eastAsia="仿宋" w:cs="仿宋"/>
          <w:color w:val="auto"/>
          <w:kern w:val="0"/>
          <w:szCs w:val="21"/>
          <w:highlight w:val="none"/>
        </w:rPr>
        <w:t>组织竞争性磋商，欢迎具有完成项目能力的合格供应商参加。</w:t>
      </w:r>
    </w:p>
    <w:p w14:paraId="129E62A0">
      <w:pPr>
        <w:spacing w:line="324" w:lineRule="auto"/>
        <w:ind w:firstLine="420" w:firstLineChars="200"/>
        <w:rPr>
          <w:rStyle w:val="34"/>
          <w:rFonts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1.1 项目编号：</w:t>
      </w:r>
    </w:p>
    <w:p w14:paraId="79A27D2D">
      <w:pPr>
        <w:spacing w:line="324" w:lineRule="auto"/>
        <w:ind w:firstLine="420" w:firstLineChars="200"/>
        <w:rPr>
          <w:rStyle w:val="34"/>
          <w:rFonts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招标编号：SLJC2025-006。</w:t>
      </w:r>
    </w:p>
    <w:p w14:paraId="2F8B2D16">
      <w:pPr>
        <w:spacing w:line="324" w:lineRule="auto"/>
        <w:ind w:firstLine="420" w:firstLineChars="200"/>
        <w:rPr>
          <w:rStyle w:val="34"/>
          <w:rFonts w:hint="eastAsia" w:ascii="仿宋" w:hAnsi="仿宋" w:eastAsia="仿宋" w:cs="仿宋"/>
          <w:color w:val="auto"/>
          <w:kern w:val="0"/>
          <w:szCs w:val="21"/>
          <w:highlight w:val="none"/>
          <w:lang w:eastAsia="zh-CN"/>
        </w:rPr>
      </w:pPr>
      <w:r>
        <w:rPr>
          <w:rStyle w:val="34"/>
          <w:rFonts w:hint="eastAsia" w:ascii="仿宋" w:hAnsi="仿宋" w:eastAsia="仿宋" w:cs="仿宋"/>
          <w:color w:val="auto"/>
          <w:kern w:val="0"/>
          <w:szCs w:val="21"/>
          <w:highlight w:val="none"/>
          <w:lang w:eastAsia="zh-CN"/>
        </w:rPr>
        <w:t>政府采购计划编号：4530126JH202500047。</w:t>
      </w:r>
    </w:p>
    <w:p w14:paraId="77967B30">
      <w:pPr>
        <w:spacing w:line="324" w:lineRule="auto"/>
        <w:ind w:firstLine="420" w:firstLineChars="200"/>
        <w:rPr>
          <w:rStyle w:val="34"/>
          <w:rFonts w:hint="eastAsia" w:ascii="仿宋" w:hAnsi="仿宋" w:eastAsia="仿宋" w:cs="仿宋"/>
          <w:color w:val="auto"/>
          <w:kern w:val="0"/>
          <w:szCs w:val="21"/>
          <w:highlight w:val="none"/>
          <w:lang w:eastAsia="zh-CN"/>
        </w:rPr>
      </w:pPr>
      <w:r>
        <w:rPr>
          <w:rStyle w:val="34"/>
          <w:rFonts w:hint="eastAsia" w:ascii="仿宋" w:hAnsi="仿宋" w:eastAsia="仿宋" w:cs="仿宋"/>
          <w:color w:val="auto"/>
          <w:kern w:val="0"/>
          <w:szCs w:val="21"/>
          <w:highlight w:val="none"/>
          <w:lang w:eastAsia="zh-CN"/>
        </w:rPr>
        <w:t>政采云项目编号：KMZC2025-C3-00624-SLYZ-0003。</w:t>
      </w:r>
    </w:p>
    <w:p w14:paraId="13BEF1E5">
      <w:pPr>
        <w:spacing w:line="324" w:lineRule="auto"/>
        <w:ind w:firstLine="420" w:firstLineChars="200"/>
        <w:rPr>
          <w:rStyle w:val="34"/>
          <w:rFonts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1.2 项目名称：</w:t>
      </w:r>
      <w:r>
        <w:rPr>
          <w:rStyle w:val="34"/>
          <w:rFonts w:hint="eastAsia" w:ascii="仿宋" w:hAnsi="仿宋" w:eastAsia="仿宋" w:cs="仿宋"/>
          <w:color w:val="auto"/>
          <w:kern w:val="0"/>
          <w:szCs w:val="21"/>
          <w:highlight w:val="none"/>
          <w:lang w:eastAsia="zh-CN"/>
        </w:rPr>
        <w:t>石林彝族自治县行政中心室外绿化管养外包服务（2025-2028年）</w:t>
      </w:r>
      <w:r>
        <w:rPr>
          <w:rStyle w:val="34"/>
          <w:rFonts w:hint="eastAsia" w:ascii="仿宋" w:hAnsi="仿宋" w:eastAsia="仿宋" w:cs="仿宋"/>
          <w:color w:val="auto"/>
          <w:kern w:val="0"/>
          <w:szCs w:val="21"/>
          <w:highlight w:val="none"/>
        </w:rPr>
        <w:t>。</w:t>
      </w:r>
    </w:p>
    <w:p w14:paraId="772C86C9">
      <w:pPr>
        <w:spacing w:line="324" w:lineRule="auto"/>
        <w:ind w:firstLine="420" w:firstLineChars="200"/>
        <w:rPr>
          <w:rStyle w:val="34"/>
          <w:rFonts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1.3 采购方式：竞争性磋商。</w:t>
      </w:r>
    </w:p>
    <w:p w14:paraId="682879C1">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1.4 预算金额：</w:t>
      </w:r>
      <w:r>
        <w:rPr>
          <w:rStyle w:val="34"/>
          <w:rFonts w:hint="eastAsia" w:ascii="仿宋" w:hAnsi="仿宋" w:eastAsia="仿宋" w:cs="仿宋"/>
          <w:color w:val="auto"/>
          <w:szCs w:val="21"/>
          <w:highlight w:val="none"/>
          <w:lang w:eastAsia="zh-CN"/>
        </w:rPr>
        <w:t>人民币351350.00元/年</w:t>
      </w:r>
      <w:r>
        <w:rPr>
          <w:rStyle w:val="34"/>
          <w:rFonts w:hint="eastAsia" w:ascii="仿宋" w:hAnsi="仿宋" w:eastAsia="仿宋" w:cs="仿宋"/>
          <w:color w:val="auto"/>
          <w:szCs w:val="21"/>
          <w:highlight w:val="none"/>
        </w:rPr>
        <w:t>。</w:t>
      </w:r>
    </w:p>
    <w:p w14:paraId="3837B45C">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1.5 最高限价：</w:t>
      </w:r>
      <w:r>
        <w:rPr>
          <w:rStyle w:val="34"/>
          <w:rFonts w:hint="eastAsia" w:ascii="仿宋" w:hAnsi="仿宋" w:eastAsia="仿宋" w:cs="仿宋"/>
          <w:color w:val="auto"/>
          <w:szCs w:val="21"/>
          <w:highlight w:val="none"/>
          <w:lang w:eastAsia="zh-CN"/>
        </w:rPr>
        <w:t>人民币351350.00元/年</w:t>
      </w:r>
      <w:r>
        <w:rPr>
          <w:rStyle w:val="34"/>
          <w:rFonts w:hint="eastAsia" w:ascii="仿宋" w:hAnsi="仿宋" w:eastAsia="仿宋" w:cs="仿宋"/>
          <w:color w:val="auto"/>
          <w:szCs w:val="21"/>
          <w:highlight w:val="none"/>
        </w:rPr>
        <w:t>。</w:t>
      </w:r>
    </w:p>
    <w:p w14:paraId="2C516D0C">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1.6采购需求：</w:t>
      </w:r>
      <w:r>
        <w:rPr>
          <w:rStyle w:val="34"/>
          <w:rFonts w:hint="eastAsia" w:ascii="仿宋" w:hAnsi="仿宋" w:eastAsia="仿宋" w:cs="仿宋"/>
          <w:color w:val="auto"/>
          <w:szCs w:val="21"/>
          <w:highlight w:val="none"/>
          <w:lang w:eastAsia="zh-CN"/>
        </w:rPr>
        <w:t>石林彝族自治县机关事务管理中心</w:t>
      </w:r>
      <w:r>
        <w:rPr>
          <w:rStyle w:val="34"/>
          <w:rFonts w:hint="eastAsia" w:ascii="仿宋" w:hAnsi="仿宋" w:eastAsia="仿宋" w:cs="仿宋"/>
          <w:color w:val="auto"/>
          <w:szCs w:val="21"/>
          <w:highlight w:val="none"/>
          <w:lang w:val="en-US" w:eastAsia="zh-CN"/>
        </w:rPr>
        <w:t>办公楼（区）室外各类植株进行整形修剪、土壤、水肥管理和病虫害综合治理等日常的养护管理等服务工作</w:t>
      </w:r>
      <w:r>
        <w:rPr>
          <w:rStyle w:val="34"/>
          <w:rFonts w:hint="eastAsia" w:ascii="仿宋" w:hAnsi="仿宋" w:eastAsia="仿宋" w:cs="仿宋"/>
          <w:color w:val="auto"/>
          <w:kern w:val="0"/>
          <w:szCs w:val="21"/>
          <w:highlight w:val="none"/>
        </w:rPr>
        <w:t>。具体服务事项详见竞争性磋商第三章。</w:t>
      </w:r>
    </w:p>
    <w:p w14:paraId="0846C08D">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1.7合同履行期限（服务期）：</w:t>
      </w:r>
      <w:r>
        <w:rPr>
          <w:rStyle w:val="34"/>
          <w:rFonts w:hint="eastAsia" w:ascii="仿宋" w:hAnsi="仿宋" w:eastAsia="仿宋" w:cs="仿宋"/>
          <w:color w:val="auto"/>
          <w:szCs w:val="21"/>
          <w:highlight w:val="none"/>
          <w:lang w:eastAsia="zh-CN"/>
        </w:rPr>
        <w:t>三年（合同一年一签，服务期每满一年须由采购人进行年度考核，若考核合格则续签合同，若考核不合格则不再续签合同，累计服务期限不超过三年）</w:t>
      </w:r>
      <w:r>
        <w:rPr>
          <w:rStyle w:val="34"/>
          <w:rFonts w:hint="eastAsia" w:ascii="仿宋" w:hAnsi="仿宋" w:eastAsia="仿宋" w:cs="仿宋"/>
          <w:color w:val="auto"/>
          <w:szCs w:val="21"/>
          <w:highlight w:val="none"/>
        </w:rPr>
        <w:t>。</w:t>
      </w:r>
    </w:p>
    <w:p w14:paraId="17AA3983">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1.8本项目（否）接受联合体投标。</w:t>
      </w:r>
    </w:p>
    <w:p w14:paraId="290E2429">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1.9服务地点：</w:t>
      </w:r>
      <w:r>
        <w:rPr>
          <w:rStyle w:val="34"/>
          <w:rFonts w:hint="eastAsia" w:ascii="仿宋" w:hAnsi="仿宋" w:eastAsia="仿宋" w:cs="仿宋"/>
          <w:color w:val="auto"/>
          <w:szCs w:val="21"/>
          <w:highlight w:val="none"/>
          <w:lang w:eastAsia="zh-CN"/>
        </w:rPr>
        <w:t>石林彝族自治县行政中心（石林彝族自治县兴林路）</w:t>
      </w:r>
      <w:r>
        <w:rPr>
          <w:rStyle w:val="34"/>
          <w:rFonts w:hint="eastAsia" w:ascii="仿宋" w:hAnsi="仿宋" w:eastAsia="仿宋" w:cs="仿宋"/>
          <w:color w:val="auto"/>
          <w:szCs w:val="21"/>
          <w:highlight w:val="none"/>
        </w:rPr>
        <w:t>。</w:t>
      </w:r>
    </w:p>
    <w:p w14:paraId="5512C40B">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1.10服务标准：</w:t>
      </w:r>
      <w:r>
        <w:rPr>
          <w:rStyle w:val="34"/>
          <w:rFonts w:hint="eastAsia" w:ascii="仿宋" w:hAnsi="仿宋" w:eastAsia="仿宋" w:cs="仿宋"/>
          <w:color w:val="auto"/>
          <w:szCs w:val="21"/>
          <w:highlight w:val="none"/>
          <w:lang w:eastAsia="zh-CN"/>
        </w:rPr>
        <w:t>满足采购人就本项目提出的要求及需求，按时完成工作任务</w:t>
      </w:r>
      <w:r>
        <w:rPr>
          <w:rStyle w:val="34"/>
          <w:rFonts w:hint="eastAsia" w:ascii="仿宋" w:hAnsi="仿宋" w:eastAsia="仿宋" w:cs="仿宋"/>
          <w:color w:val="auto"/>
          <w:szCs w:val="21"/>
          <w:highlight w:val="none"/>
        </w:rPr>
        <w:t>。</w:t>
      </w:r>
    </w:p>
    <w:p w14:paraId="430EF0D8">
      <w:pPr>
        <w:numPr>
          <w:ilvl w:val="0"/>
          <w:numId w:val="1"/>
        </w:numPr>
        <w:spacing w:line="324" w:lineRule="auto"/>
        <w:rPr>
          <w:rStyle w:val="34"/>
          <w:rFonts w:ascii="仿宋" w:hAnsi="仿宋" w:eastAsia="仿宋" w:cs="仿宋"/>
          <w:color w:val="auto"/>
          <w:szCs w:val="21"/>
          <w:highlight w:val="none"/>
        </w:rPr>
      </w:pPr>
      <w:r>
        <w:rPr>
          <w:rStyle w:val="34"/>
          <w:rFonts w:hint="eastAsia" w:ascii="仿宋" w:hAnsi="仿宋" w:eastAsia="仿宋" w:cs="仿宋"/>
          <w:b/>
          <w:bCs/>
          <w:color w:val="auto"/>
          <w:kern w:val="0"/>
          <w:szCs w:val="21"/>
          <w:highlight w:val="none"/>
        </w:rPr>
        <w:t>供应商的资格要求</w:t>
      </w:r>
    </w:p>
    <w:p w14:paraId="168FD576">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2.1</w:t>
      </w:r>
      <w:r>
        <w:rPr>
          <w:rStyle w:val="34"/>
          <w:rFonts w:hint="eastAsia" w:ascii="仿宋" w:hAnsi="仿宋" w:eastAsia="仿宋" w:cs="仿宋"/>
          <w:bCs/>
          <w:color w:val="auto"/>
          <w:kern w:val="0"/>
          <w:szCs w:val="21"/>
          <w:highlight w:val="none"/>
        </w:rPr>
        <w:t>供应商应为中华人民共和国境内合法注册；</w:t>
      </w:r>
      <w:r>
        <w:rPr>
          <w:rStyle w:val="34"/>
          <w:rFonts w:hint="eastAsia" w:ascii="仿宋" w:hAnsi="仿宋" w:eastAsia="仿宋" w:cs="仿宋"/>
          <w:color w:val="auto"/>
          <w:szCs w:val="21"/>
          <w:highlight w:val="none"/>
        </w:rPr>
        <w:t>满足《中华人民共和国政府采购法》第二十二条规定：</w:t>
      </w:r>
    </w:p>
    <w:p w14:paraId="463EBA3D">
      <w:pPr>
        <w:spacing w:line="324" w:lineRule="auto"/>
        <w:ind w:firstLine="420" w:firstLineChars="200"/>
        <w:rPr>
          <w:rStyle w:val="34"/>
          <w:rFonts w:ascii="仿宋" w:hAnsi="仿宋" w:eastAsia="仿宋" w:cs="仿宋"/>
          <w:bCs/>
          <w:color w:val="auto"/>
          <w:kern w:val="0"/>
          <w:szCs w:val="21"/>
          <w:highlight w:val="none"/>
        </w:rPr>
      </w:pPr>
      <w:r>
        <w:rPr>
          <w:rStyle w:val="34"/>
          <w:rFonts w:hint="eastAsia" w:ascii="仿宋" w:hAnsi="仿宋" w:eastAsia="仿宋" w:cs="仿宋"/>
          <w:bCs/>
          <w:color w:val="auto"/>
          <w:kern w:val="0"/>
          <w:szCs w:val="21"/>
          <w:highlight w:val="none"/>
        </w:rPr>
        <w:t>（1）具有独立承担民事责任的能力：提供有效的营业执照。</w:t>
      </w:r>
    </w:p>
    <w:p w14:paraId="4737D353">
      <w:pPr>
        <w:spacing w:line="324" w:lineRule="auto"/>
        <w:ind w:firstLine="420" w:firstLineChars="200"/>
        <w:rPr>
          <w:rStyle w:val="34"/>
          <w:rFonts w:ascii="仿宋" w:hAnsi="仿宋" w:eastAsia="仿宋" w:cs="仿宋"/>
          <w:bCs/>
          <w:color w:val="auto"/>
          <w:kern w:val="0"/>
          <w:szCs w:val="21"/>
          <w:highlight w:val="none"/>
        </w:rPr>
      </w:pPr>
      <w:r>
        <w:rPr>
          <w:rStyle w:val="34"/>
          <w:rFonts w:hint="eastAsia" w:ascii="仿宋" w:hAnsi="仿宋" w:eastAsia="仿宋" w:cs="仿宋"/>
          <w:bCs/>
          <w:color w:val="auto"/>
          <w:kern w:val="0"/>
          <w:szCs w:val="21"/>
          <w:highlight w:val="none"/>
        </w:rPr>
        <w:t>（2）具有良好的商业信誉和健全的财务会计制度：提供良好的商业信誉承诺书或声明函，提供近三年（2021年-2023年）经非本单位专业审计机构审计的财务报表及审计报告；公司成立不满三年的，提供成立后的非本单位专业审计机构审计的财务报表及审计报告；成立不满1年的，无需提供上述证明材料；事业单位提供会计报表。</w:t>
      </w:r>
    </w:p>
    <w:p w14:paraId="24CEABCC">
      <w:pPr>
        <w:spacing w:line="324" w:lineRule="auto"/>
        <w:ind w:firstLine="420" w:firstLineChars="200"/>
        <w:rPr>
          <w:rStyle w:val="34"/>
          <w:rFonts w:ascii="仿宋" w:hAnsi="仿宋" w:eastAsia="仿宋" w:cs="仿宋"/>
          <w:bCs/>
          <w:color w:val="auto"/>
          <w:kern w:val="0"/>
          <w:szCs w:val="21"/>
          <w:highlight w:val="none"/>
        </w:rPr>
      </w:pPr>
      <w:r>
        <w:rPr>
          <w:rStyle w:val="34"/>
          <w:rFonts w:hint="eastAsia" w:ascii="仿宋" w:hAnsi="仿宋" w:eastAsia="仿宋" w:cs="仿宋"/>
          <w:bCs/>
          <w:color w:val="auto"/>
          <w:kern w:val="0"/>
          <w:szCs w:val="21"/>
          <w:highlight w:val="none"/>
        </w:rPr>
        <w:t>（3）具有履行合同所必需的设备和专业技术能力：提供证明材料（声明函或承诺书或相关证明材料）。</w:t>
      </w:r>
    </w:p>
    <w:p w14:paraId="2E9B4745">
      <w:pPr>
        <w:spacing w:line="324" w:lineRule="auto"/>
        <w:ind w:firstLine="420" w:firstLineChars="200"/>
        <w:rPr>
          <w:rStyle w:val="34"/>
          <w:rFonts w:ascii="仿宋" w:hAnsi="仿宋" w:eastAsia="仿宋" w:cs="仿宋"/>
          <w:bCs/>
          <w:color w:val="auto"/>
          <w:kern w:val="0"/>
          <w:szCs w:val="21"/>
          <w:highlight w:val="none"/>
        </w:rPr>
      </w:pPr>
      <w:r>
        <w:rPr>
          <w:rStyle w:val="34"/>
          <w:rFonts w:hint="eastAsia" w:ascii="仿宋" w:hAnsi="仿宋" w:eastAsia="仿宋" w:cs="仿宋"/>
          <w:bCs/>
          <w:color w:val="auto"/>
          <w:kern w:val="0"/>
          <w:szCs w:val="21"/>
          <w:highlight w:val="none"/>
        </w:rPr>
        <w:t>（4）有依法缴纳税收和社会保障资金的良好记录：2024年度任意一个月已缴纳税收和缴纳社会保障资金的证明材料（公司成立不足一个月的投标人无需提供上述材料。依法免税或不需要缴纳社会保障资金的投标人应提供依法免税或免缴的相关证明文件）。</w:t>
      </w:r>
    </w:p>
    <w:p w14:paraId="7D6C602B">
      <w:pPr>
        <w:spacing w:line="324" w:lineRule="auto"/>
        <w:ind w:firstLine="420" w:firstLineChars="200"/>
        <w:rPr>
          <w:rStyle w:val="34"/>
          <w:rFonts w:ascii="仿宋" w:hAnsi="仿宋" w:eastAsia="仿宋" w:cs="仿宋"/>
          <w:bCs/>
          <w:color w:val="auto"/>
          <w:kern w:val="0"/>
          <w:szCs w:val="21"/>
          <w:highlight w:val="none"/>
        </w:rPr>
      </w:pPr>
      <w:r>
        <w:rPr>
          <w:rStyle w:val="34"/>
          <w:rFonts w:hint="eastAsia" w:ascii="仿宋" w:hAnsi="仿宋" w:eastAsia="仿宋" w:cs="仿宋"/>
          <w:bCs/>
          <w:color w:val="auto"/>
          <w:kern w:val="0"/>
          <w:szCs w:val="21"/>
          <w:highlight w:val="none"/>
        </w:rPr>
        <w:t>（5）参加政府采购活动前三年内，在经营活动中没有重大违法记录：提供证明材料（声明函或承诺书或相关证明材料）。</w:t>
      </w:r>
    </w:p>
    <w:p w14:paraId="7F35B74C">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bCs/>
          <w:color w:val="auto"/>
          <w:kern w:val="0"/>
          <w:szCs w:val="21"/>
          <w:highlight w:val="none"/>
        </w:rPr>
        <w:t>（6）法律、行政法规规定的其他条件：</w:t>
      </w:r>
      <w:r>
        <w:rPr>
          <w:rFonts w:hint="eastAsia" w:ascii="仿宋" w:hAnsi="仿宋" w:eastAsia="仿宋" w:cs="仿宋"/>
          <w:bCs/>
          <w:color w:val="auto"/>
          <w:szCs w:val="21"/>
          <w:highlight w:val="none"/>
        </w:rPr>
        <w:t>按《政府采购货物和服务招标投标管理办法》(财政部令第87号)、《财政部关于在政府采购活动中查询及使用信用记录有关问题的通知》(财库[2016]125号)相关要求，未被列入“信用中国”网站（www.creditchina.gov.cn）失信被执行人、重大税收违法案件当事人名单、政府采购严重违法失信行为记录名单及中国政府采购网（www.ccgp.gov.cn）“政府采购严重违法失信行为信息记录”(被禁止在一定期限内参加政府采购活动但期限届满的除外)（查询方式及时间：由采购人、采购代理机构在开标结束后在上述官网统一查询）</w:t>
      </w:r>
      <w:r>
        <w:rPr>
          <w:rStyle w:val="34"/>
          <w:rFonts w:hint="eastAsia" w:ascii="仿宋" w:hAnsi="仿宋" w:eastAsia="仿宋" w:cs="仿宋"/>
          <w:bCs/>
          <w:color w:val="auto"/>
          <w:kern w:val="0"/>
          <w:szCs w:val="21"/>
          <w:highlight w:val="none"/>
        </w:rPr>
        <w:t>。</w:t>
      </w:r>
    </w:p>
    <w:p w14:paraId="231CE982">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2.2落实政府采购政策需满足的资格要求：</w:t>
      </w:r>
      <w:r>
        <w:rPr>
          <w:rStyle w:val="34"/>
          <w:rFonts w:hint="eastAsia" w:ascii="仿宋" w:hAnsi="仿宋" w:eastAsia="仿宋" w:cs="仿宋"/>
          <w:color w:val="auto"/>
          <w:szCs w:val="21"/>
          <w:highlight w:val="none"/>
          <w:lang w:eastAsia="zh-CN"/>
        </w:rPr>
        <w:t>本项目专门面向中小企业采购</w:t>
      </w:r>
      <w:r>
        <w:rPr>
          <w:rStyle w:val="34"/>
          <w:rFonts w:hint="eastAsia" w:ascii="仿宋" w:hAnsi="仿宋" w:eastAsia="仿宋" w:cs="仿宋"/>
          <w:color w:val="auto"/>
          <w:szCs w:val="21"/>
          <w:highlight w:val="none"/>
        </w:rPr>
        <w:t>。</w:t>
      </w:r>
    </w:p>
    <w:p w14:paraId="22B768AE">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2.3本项目的特定资格要求：</w:t>
      </w:r>
      <w:r>
        <w:rPr>
          <w:rStyle w:val="34"/>
          <w:rFonts w:hint="eastAsia" w:ascii="仿宋" w:hAnsi="仿宋" w:eastAsia="仿宋" w:cs="仿宋"/>
          <w:bCs/>
          <w:color w:val="auto"/>
          <w:szCs w:val="21"/>
          <w:highlight w:val="none"/>
        </w:rPr>
        <w:t>法定代表人、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声明函或承诺书或相关证明材料）</w:t>
      </w:r>
      <w:r>
        <w:rPr>
          <w:rStyle w:val="34"/>
          <w:rFonts w:hint="eastAsia" w:ascii="仿宋" w:hAnsi="仿宋" w:eastAsia="仿宋" w:cs="仿宋"/>
          <w:color w:val="auto"/>
          <w:szCs w:val="21"/>
          <w:highlight w:val="none"/>
        </w:rPr>
        <w:t>。</w:t>
      </w:r>
    </w:p>
    <w:p w14:paraId="3F6CC11A">
      <w:pPr>
        <w:spacing w:line="324" w:lineRule="auto"/>
        <w:rPr>
          <w:rStyle w:val="34"/>
          <w:rFonts w:ascii="仿宋" w:hAnsi="仿宋" w:eastAsia="仿宋" w:cs="仿宋"/>
          <w:b/>
          <w:bCs/>
          <w:color w:val="auto"/>
          <w:szCs w:val="21"/>
          <w:highlight w:val="none"/>
        </w:rPr>
      </w:pPr>
      <w:r>
        <w:rPr>
          <w:rStyle w:val="34"/>
          <w:rFonts w:hint="eastAsia" w:ascii="仿宋" w:hAnsi="仿宋" w:eastAsia="仿宋" w:cs="仿宋"/>
          <w:b/>
          <w:bCs/>
          <w:color w:val="auto"/>
          <w:szCs w:val="21"/>
          <w:highlight w:val="none"/>
        </w:rPr>
        <w:t>三、获取竞争性磋商文件</w:t>
      </w:r>
    </w:p>
    <w:p w14:paraId="303500F2">
      <w:pPr>
        <w:spacing w:line="324" w:lineRule="auto"/>
        <w:ind w:firstLine="420" w:firstLineChars="200"/>
        <w:rPr>
          <w:rStyle w:val="34"/>
          <w:rFonts w:ascii="仿宋" w:hAnsi="仿宋" w:eastAsia="仿宋" w:cs="仿宋"/>
          <w:bCs/>
          <w:color w:val="auto"/>
          <w:kern w:val="0"/>
          <w:szCs w:val="21"/>
          <w:highlight w:val="none"/>
        </w:rPr>
      </w:pPr>
      <w:r>
        <w:rPr>
          <w:rStyle w:val="34"/>
          <w:rFonts w:hint="eastAsia" w:ascii="仿宋" w:hAnsi="仿宋" w:eastAsia="仿宋" w:cs="仿宋"/>
          <w:bCs/>
          <w:color w:val="auto"/>
          <w:kern w:val="0"/>
          <w:szCs w:val="21"/>
          <w:highlight w:val="none"/>
        </w:rPr>
        <w:t>3.1 时间：202</w:t>
      </w:r>
      <w:r>
        <w:rPr>
          <w:rStyle w:val="34"/>
          <w:rFonts w:hint="eastAsia" w:ascii="仿宋" w:hAnsi="仿宋" w:eastAsia="仿宋" w:cs="仿宋"/>
          <w:bCs/>
          <w:color w:val="auto"/>
          <w:kern w:val="0"/>
          <w:szCs w:val="21"/>
          <w:highlight w:val="none"/>
          <w:lang w:val="en-US" w:eastAsia="zh-CN"/>
        </w:rPr>
        <w:t>5</w:t>
      </w:r>
      <w:r>
        <w:rPr>
          <w:rStyle w:val="34"/>
          <w:rFonts w:hint="eastAsia" w:ascii="仿宋" w:hAnsi="仿宋" w:eastAsia="仿宋" w:cs="仿宋"/>
          <w:bCs/>
          <w:color w:val="auto"/>
          <w:kern w:val="0"/>
          <w:szCs w:val="21"/>
          <w:highlight w:val="none"/>
        </w:rPr>
        <w:t>年</w:t>
      </w:r>
      <w:r>
        <w:rPr>
          <w:rStyle w:val="34"/>
          <w:rFonts w:hint="eastAsia" w:ascii="仿宋" w:hAnsi="仿宋" w:eastAsia="仿宋" w:cs="仿宋"/>
          <w:bCs/>
          <w:color w:val="auto"/>
          <w:kern w:val="0"/>
          <w:szCs w:val="21"/>
          <w:highlight w:val="none"/>
          <w:lang w:val="en-US" w:eastAsia="zh-CN"/>
        </w:rPr>
        <w:t>04</w:t>
      </w:r>
      <w:r>
        <w:rPr>
          <w:rStyle w:val="34"/>
          <w:rFonts w:hint="eastAsia" w:ascii="仿宋" w:hAnsi="仿宋" w:eastAsia="仿宋" w:cs="仿宋"/>
          <w:bCs/>
          <w:color w:val="auto"/>
          <w:kern w:val="0"/>
          <w:szCs w:val="21"/>
          <w:highlight w:val="none"/>
        </w:rPr>
        <w:t>月</w:t>
      </w:r>
      <w:r>
        <w:rPr>
          <w:rStyle w:val="34"/>
          <w:rFonts w:hint="eastAsia" w:ascii="仿宋" w:hAnsi="仿宋" w:eastAsia="仿宋" w:cs="仿宋"/>
          <w:bCs/>
          <w:color w:val="auto"/>
          <w:kern w:val="0"/>
          <w:szCs w:val="21"/>
          <w:highlight w:val="none"/>
          <w:lang w:val="en-US" w:eastAsia="zh-CN"/>
        </w:rPr>
        <w:t>17</w:t>
      </w:r>
      <w:r>
        <w:rPr>
          <w:rStyle w:val="34"/>
          <w:rFonts w:hint="eastAsia" w:ascii="仿宋" w:hAnsi="仿宋" w:eastAsia="仿宋" w:cs="仿宋"/>
          <w:bCs/>
          <w:color w:val="auto"/>
          <w:kern w:val="0"/>
          <w:szCs w:val="21"/>
          <w:highlight w:val="none"/>
        </w:rPr>
        <w:t>日至202</w:t>
      </w:r>
      <w:r>
        <w:rPr>
          <w:rStyle w:val="34"/>
          <w:rFonts w:hint="eastAsia" w:ascii="仿宋" w:hAnsi="仿宋" w:eastAsia="仿宋" w:cs="仿宋"/>
          <w:bCs/>
          <w:color w:val="auto"/>
          <w:kern w:val="0"/>
          <w:szCs w:val="21"/>
          <w:highlight w:val="none"/>
          <w:lang w:val="en-US" w:eastAsia="zh-CN"/>
        </w:rPr>
        <w:t>5</w:t>
      </w:r>
      <w:r>
        <w:rPr>
          <w:rStyle w:val="34"/>
          <w:rFonts w:hint="eastAsia" w:ascii="仿宋" w:hAnsi="仿宋" w:eastAsia="仿宋" w:cs="仿宋"/>
          <w:bCs/>
          <w:color w:val="auto"/>
          <w:kern w:val="0"/>
          <w:szCs w:val="21"/>
          <w:highlight w:val="none"/>
        </w:rPr>
        <w:t>年</w:t>
      </w:r>
      <w:r>
        <w:rPr>
          <w:rStyle w:val="34"/>
          <w:rFonts w:hint="eastAsia" w:ascii="仿宋" w:hAnsi="仿宋" w:eastAsia="仿宋" w:cs="仿宋"/>
          <w:bCs/>
          <w:color w:val="auto"/>
          <w:kern w:val="0"/>
          <w:szCs w:val="21"/>
          <w:highlight w:val="none"/>
          <w:lang w:val="en-US" w:eastAsia="zh-CN"/>
        </w:rPr>
        <w:t>04</w:t>
      </w:r>
      <w:r>
        <w:rPr>
          <w:rStyle w:val="34"/>
          <w:rFonts w:hint="eastAsia" w:ascii="仿宋" w:hAnsi="仿宋" w:eastAsia="仿宋" w:cs="仿宋"/>
          <w:bCs/>
          <w:color w:val="auto"/>
          <w:kern w:val="0"/>
          <w:szCs w:val="21"/>
          <w:highlight w:val="none"/>
        </w:rPr>
        <w:t>月</w:t>
      </w:r>
      <w:r>
        <w:rPr>
          <w:rStyle w:val="34"/>
          <w:rFonts w:hint="eastAsia" w:ascii="仿宋" w:hAnsi="仿宋" w:eastAsia="仿宋" w:cs="仿宋"/>
          <w:bCs/>
          <w:color w:val="auto"/>
          <w:kern w:val="0"/>
          <w:szCs w:val="21"/>
          <w:highlight w:val="none"/>
          <w:lang w:val="en-US" w:eastAsia="zh-CN"/>
        </w:rPr>
        <w:t>24</w:t>
      </w:r>
      <w:r>
        <w:rPr>
          <w:rStyle w:val="34"/>
          <w:rFonts w:hint="eastAsia" w:ascii="仿宋" w:hAnsi="仿宋" w:eastAsia="仿宋" w:cs="仿宋"/>
          <w:bCs/>
          <w:color w:val="auto"/>
          <w:kern w:val="0"/>
          <w:szCs w:val="21"/>
          <w:highlight w:val="none"/>
        </w:rPr>
        <w:t>日（法定节假日、公休日休息），每日</w:t>
      </w:r>
      <w:r>
        <w:rPr>
          <w:rStyle w:val="34"/>
          <w:rFonts w:hint="eastAsia" w:ascii="仿宋" w:hAnsi="仿宋" w:eastAsia="仿宋" w:cs="仿宋"/>
          <w:bCs/>
          <w:color w:val="auto"/>
          <w:kern w:val="0"/>
          <w:szCs w:val="21"/>
          <w:highlight w:val="none"/>
          <w:lang w:val="en-US" w:eastAsia="zh-CN"/>
        </w:rPr>
        <w:t>06</w:t>
      </w:r>
      <w:r>
        <w:rPr>
          <w:rStyle w:val="34"/>
          <w:rFonts w:hint="eastAsia" w:ascii="仿宋" w:hAnsi="仿宋" w:eastAsia="仿宋" w:cs="仿宋"/>
          <w:bCs/>
          <w:color w:val="auto"/>
          <w:kern w:val="0"/>
          <w:szCs w:val="21"/>
          <w:highlight w:val="none"/>
        </w:rPr>
        <w:t>:00-</w:t>
      </w:r>
      <w:r>
        <w:rPr>
          <w:rStyle w:val="34"/>
          <w:rFonts w:hint="eastAsia" w:ascii="仿宋" w:hAnsi="仿宋" w:eastAsia="仿宋" w:cs="仿宋"/>
          <w:bCs/>
          <w:color w:val="auto"/>
          <w:kern w:val="0"/>
          <w:szCs w:val="21"/>
          <w:highlight w:val="none"/>
          <w:lang w:val="en-US" w:eastAsia="zh-CN"/>
        </w:rPr>
        <w:t>12</w:t>
      </w:r>
      <w:r>
        <w:rPr>
          <w:rStyle w:val="34"/>
          <w:rFonts w:hint="eastAsia" w:ascii="仿宋" w:hAnsi="仿宋" w:eastAsia="仿宋" w:cs="仿宋"/>
          <w:bCs/>
          <w:color w:val="auto"/>
          <w:kern w:val="0"/>
          <w:szCs w:val="21"/>
          <w:highlight w:val="none"/>
        </w:rPr>
        <w:t>:</w:t>
      </w:r>
      <w:r>
        <w:rPr>
          <w:rStyle w:val="34"/>
          <w:rFonts w:hint="eastAsia" w:ascii="仿宋" w:hAnsi="仿宋" w:eastAsia="仿宋" w:cs="仿宋"/>
          <w:bCs/>
          <w:color w:val="auto"/>
          <w:kern w:val="0"/>
          <w:szCs w:val="21"/>
          <w:highlight w:val="none"/>
          <w:lang w:val="en-US" w:eastAsia="zh-CN"/>
        </w:rPr>
        <w:t>00</w:t>
      </w:r>
      <w:r>
        <w:rPr>
          <w:rStyle w:val="34"/>
          <w:rFonts w:hint="eastAsia" w:ascii="仿宋" w:hAnsi="仿宋" w:eastAsia="仿宋" w:cs="仿宋"/>
          <w:bCs/>
          <w:color w:val="auto"/>
          <w:kern w:val="0"/>
          <w:szCs w:val="21"/>
          <w:highlight w:val="none"/>
        </w:rPr>
        <w:t>时，下午12:00-23:59时（北京时间）。</w:t>
      </w:r>
    </w:p>
    <w:p w14:paraId="4E991ABB">
      <w:pPr>
        <w:spacing w:line="324" w:lineRule="auto"/>
        <w:ind w:firstLine="420" w:firstLineChars="200"/>
        <w:rPr>
          <w:rStyle w:val="34"/>
          <w:rFonts w:ascii="仿宋" w:hAnsi="仿宋" w:eastAsia="仿宋" w:cs="仿宋"/>
          <w:bCs/>
          <w:color w:val="auto"/>
          <w:kern w:val="0"/>
          <w:szCs w:val="21"/>
          <w:highlight w:val="none"/>
        </w:rPr>
      </w:pPr>
      <w:r>
        <w:rPr>
          <w:rStyle w:val="34"/>
          <w:rFonts w:hint="eastAsia" w:ascii="仿宋" w:hAnsi="仿宋" w:eastAsia="仿宋" w:cs="仿宋"/>
          <w:bCs/>
          <w:color w:val="auto"/>
          <w:kern w:val="0"/>
          <w:szCs w:val="21"/>
          <w:highlight w:val="none"/>
        </w:rPr>
        <w:t>3.2地址（网址）：政府采购云平台（https://www.zcygov.cn/）。</w:t>
      </w:r>
    </w:p>
    <w:p w14:paraId="714A6DAD">
      <w:pPr>
        <w:spacing w:line="324" w:lineRule="auto"/>
        <w:ind w:firstLine="420" w:firstLineChars="200"/>
        <w:rPr>
          <w:rStyle w:val="34"/>
          <w:rFonts w:ascii="仿宋" w:hAnsi="仿宋" w:eastAsia="仿宋" w:cs="仿宋"/>
          <w:bCs/>
          <w:color w:val="auto"/>
          <w:kern w:val="0"/>
          <w:szCs w:val="21"/>
          <w:highlight w:val="none"/>
        </w:rPr>
      </w:pPr>
      <w:r>
        <w:rPr>
          <w:rStyle w:val="34"/>
          <w:rFonts w:hint="eastAsia" w:ascii="仿宋" w:hAnsi="仿宋" w:eastAsia="仿宋" w:cs="仿宋"/>
          <w:bCs/>
          <w:color w:val="auto"/>
          <w:kern w:val="0"/>
          <w:szCs w:val="21"/>
          <w:highlight w:val="none"/>
        </w:rPr>
        <w:t>3.3方式：</w:t>
      </w:r>
      <w:r>
        <w:rPr>
          <w:color w:val="auto"/>
          <w:highlight w:val="none"/>
        </w:rPr>
        <w:fldChar w:fldCharType="begin"/>
      </w:r>
      <w:r>
        <w:rPr>
          <w:color w:val="auto"/>
          <w:highlight w:val="none"/>
        </w:rPr>
        <w:instrText xml:space="preserve"> HYPERLINK "mailto:供应商需持加盖公章的企业营业执照（正本或副本）复印件、加盖公章的企业资质等级证书（正本或副本）复印件、加盖公章的企业安全生产许可证（正本或副本）复印件、加盖公章的法定代表人身份证明书、加盖公章的法定代表人授权委托书、加盖公章的授权人（或法定代表人）本人身份证复印件，现场登记获取竞争性磋商文件；或将以上资料原件扫描件发送至邮箱2497031596@qq.com，并与代理机构联系办理登记获取竞争性磋商文件事项。" </w:instrText>
      </w:r>
      <w:r>
        <w:rPr>
          <w:color w:val="auto"/>
          <w:highlight w:val="none"/>
        </w:rPr>
        <w:fldChar w:fldCharType="separate"/>
      </w:r>
      <w:r>
        <w:rPr>
          <w:rStyle w:val="34"/>
          <w:rFonts w:hint="eastAsia" w:ascii="仿宋" w:hAnsi="仿宋" w:eastAsia="仿宋" w:cs="仿宋"/>
          <w:bCs/>
          <w:color w:val="auto"/>
          <w:kern w:val="0"/>
          <w:szCs w:val="21"/>
          <w:highlight w:val="none"/>
        </w:rPr>
        <w:t>凡有意参加投标的供应商，须在政采云平台办理数字证书（CA），并通过政采云绑定数字证书（CA）后在网上获取竞争性磋商文件及其它采购资料，数字证书（CA）详见其办理流程。供应商如之前已在云南CA在线数字证书办理网进行过注册并办理过企业数字证书（CA）的，直接绑定即可，无需重复办理</w:t>
      </w:r>
      <w:r>
        <w:rPr>
          <w:rStyle w:val="34"/>
          <w:rFonts w:hint="eastAsia" w:ascii="仿宋" w:hAnsi="仿宋" w:eastAsia="仿宋" w:cs="仿宋"/>
          <w:bCs/>
          <w:color w:val="auto"/>
          <w:kern w:val="0"/>
          <w:szCs w:val="21"/>
          <w:highlight w:val="none"/>
        </w:rPr>
        <w:fldChar w:fldCharType="end"/>
      </w:r>
      <w:r>
        <w:rPr>
          <w:rStyle w:val="34"/>
          <w:rFonts w:hint="eastAsia" w:ascii="仿宋" w:hAnsi="仿宋" w:eastAsia="仿宋" w:cs="仿宋"/>
          <w:bCs/>
          <w:color w:val="auto"/>
          <w:kern w:val="0"/>
          <w:szCs w:val="21"/>
          <w:highlight w:val="none"/>
        </w:rPr>
        <w:t>。供应商通过CA证书获取竞争性磋商文件的视为合法获取了项目采购文件，具备本项目的投标资格。系统操作问题：请致电政采云：95763（客服热线）；云南CA操作问题：请致电云南CA：4006727666。</w:t>
      </w:r>
    </w:p>
    <w:p w14:paraId="29DF95BD">
      <w:pPr>
        <w:spacing w:line="324" w:lineRule="auto"/>
        <w:ind w:firstLine="420" w:firstLineChars="200"/>
        <w:rPr>
          <w:rStyle w:val="34"/>
          <w:rFonts w:ascii="仿宋" w:hAnsi="仿宋" w:eastAsia="仿宋" w:cs="仿宋"/>
          <w:bCs/>
          <w:color w:val="auto"/>
          <w:kern w:val="0"/>
          <w:szCs w:val="21"/>
          <w:highlight w:val="none"/>
        </w:rPr>
      </w:pPr>
      <w:r>
        <w:rPr>
          <w:rStyle w:val="34"/>
          <w:rFonts w:hint="eastAsia" w:ascii="仿宋" w:hAnsi="仿宋" w:eastAsia="仿宋" w:cs="仿宋"/>
          <w:bCs/>
          <w:color w:val="auto"/>
          <w:kern w:val="0"/>
          <w:szCs w:val="21"/>
          <w:highlight w:val="none"/>
        </w:rPr>
        <w:t>3.4售价：0元。</w:t>
      </w:r>
    </w:p>
    <w:p w14:paraId="10D15B1F">
      <w:pPr>
        <w:spacing w:line="324" w:lineRule="auto"/>
        <w:rPr>
          <w:rStyle w:val="34"/>
          <w:rFonts w:ascii="仿宋" w:hAnsi="仿宋" w:eastAsia="仿宋" w:cs="仿宋"/>
          <w:color w:val="auto"/>
          <w:szCs w:val="21"/>
          <w:highlight w:val="none"/>
        </w:rPr>
      </w:pPr>
      <w:r>
        <w:rPr>
          <w:rStyle w:val="34"/>
          <w:rFonts w:hint="eastAsia" w:ascii="仿宋" w:hAnsi="仿宋" w:eastAsia="仿宋" w:cs="仿宋"/>
          <w:b/>
          <w:bCs/>
          <w:color w:val="auto"/>
          <w:szCs w:val="21"/>
          <w:highlight w:val="none"/>
        </w:rPr>
        <w:t>四、响应文件提交</w:t>
      </w:r>
    </w:p>
    <w:p w14:paraId="21793C0F">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4.1 截止时间:</w:t>
      </w:r>
      <w:r>
        <w:rPr>
          <w:rStyle w:val="34"/>
          <w:rFonts w:hint="eastAsia" w:ascii="仿宋" w:hAnsi="仿宋" w:eastAsia="仿宋" w:cs="仿宋"/>
          <w:bCs/>
          <w:color w:val="auto"/>
          <w:kern w:val="0"/>
          <w:szCs w:val="21"/>
          <w:highlight w:val="none"/>
        </w:rPr>
        <w:t>202</w:t>
      </w:r>
      <w:r>
        <w:rPr>
          <w:rStyle w:val="34"/>
          <w:rFonts w:hint="eastAsia" w:ascii="仿宋" w:hAnsi="仿宋" w:eastAsia="仿宋" w:cs="仿宋"/>
          <w:bCs/>
          <w:color w:val="auto"/>
          <w:kern w:val="0"/>
          <w:szCs w:val="21"/>
          <w:highlight w:val="none"/>
          <w:lang w:val="en-US" w:eastAsia="zh-CN"/>
        </w:rPr>
        <w:t>5</w:t>
      </w:r>
      <w:r>
        <w:rPr>
          <w:rStyle w:val="34"/>
          <w:rFonts w:hint="eastAsia" w:ascii="仿宋" w:hAnsi="仿宋" w:eastAsia="仿宋" w:cs="仿宋"/>
          <w:bCs/>
          <w:color w:val="auto"/>
          <w:kern w:val="0"/>
          <w:szCs w:val="21"/>
          <w:highlight w:val="none"/>
        </w:rPr>
        <w:t>年</w:t>
      </w:r>
      <w:r>
        <w:rPr>
          <w:rStyle w:val="34"/>
          <w:rFonts w:hint="eastAsia" w:ascii="仿宋" w:hAnsi="仿宋" w:eastAsia="仿宋" w:cs="仿宋"/>
          <w:bCs/>
          <w:color w:val="auto"/>
          <w:kern w:val="0"/>
          <w:szCs w:val="21"/>
          <w:highlight w:val="none"/>
          <w:lang w:val="en-US" w:eastAsia="zh-CN"/>
        </w:rPr>
        <w:t>04</w:t>
      </w:r>
      <w:r>
        <w:rPr>
          <w:rStyle w:val="34"/>
          <w:rFonts w:hint="eastAsia" w:ascii="仿宋" w:hAnsi="仿宋" w:eastAsia="仿宋" w:cs="仿宋"/>
          <w:bCs/>
          <w:color w:val="auto"/>
          <w:kern w:val="0"/>
          <w:szCs w:val="21"/>
          <w:highlight w:val="none"/>
        </w:rPr>
        <w:t>月</w:t>
      </w:r>
      <w:r>
        <w:rPr>
          <w:rStyle w:val="34"/>
          <w:rFonts w:hint="eastAsia" w:ascii="仿宋" w:hAnsi="仿宋" w:eastAsia="仿宋" w:cs="仿宋"/>
          <w:bCs/>
          <w:color w:val="auto"/>
          <w:kern w:val="0"/>
          <w:szCs w:val="21"/>
          <w:highlight w:val="none"/>
          <w:lang w:val="en-US" w:eastAsia="zh-CN"/>
        </w:rPr>
        <w:t>28</w:t>
      </w:r>
      <w:r>
        <w:rPr>
          <w:rStyle w:val="34"/>
          <w:rFonts w:hint="eastAsia" w:ascii="仿宋" w:hAnsi="仿宋" w:eastAsia="仿宋" w:cs="仿宋"/>
          <w:bCs/>
          <w:color w:val="auto"/>
          <w:kern w:val="0"/>
          <w:szCs w:val="21"/>
          <w:highlight w:val="none"/>
        </w:rPr>
        <w:t>日</w:t>
      </w:r>
      <w:r>
        <w:rPr>
          <w:rStyle w:val="34"/>
          <w:rFonts w:hint="eastAsia" w:ascii="仿宋" w:hAnsi="仿宋" w:eastAsia="仿宋" w:cs="仿宋"/>
          <w:bCs/>
          <w:color w:val="auto"/>
          <w:kern w:val="0"/>
          <w:szCs w:val="21"/>
          <w:highlight w:val="none"/>
          <w:lang w:val="en-US" w:eastAsia="zh-CN"/>
        </w:rPr>
        <w:t>09</w:t>
      </w:r>
      <w:r>
        <w:rPr>
          <w:rStyle w:val="34"/>
          <w:rFonts w:hint="eastAsia" w:ascii="仿宋" w:hAnsi="仿宋" w:eastAsia="仿宋" w:cs="仿宋"/>
          <w:color w:val="auto"/>
          <w:szCs w:val="21"/>
          <w:highlight w:val="none"/>
        </w:rPr>
        <w:t>时</w:t>
      </w:r>
      <w:r>
        <w:rPr>
          <w:rStyle w:val="34"/>
          <w:rFonts w:hint="eastAsia" w:ascii="仿宋" w:hAnsi="仿宋" w:eastAsia="仿宋" w:cs="仿宋"/>
          <w:color w:val="auto"/>
          <w:szCs w:val="21"/>
          <w:highlight w:val="none"/>
          <w:lang w:val="en-US" w:eastAsia="zh-CN"/>
        </w:rPr>
        <w:t>30</w:t>
      </w:r>
      <w:r>
        <w:rPr>
          <w:rStyle w:val="34"/>
          <w:rFonts w:hint="eastAsia" w:ascii="仿宋" w:hAnsi="仿宋" w:eastAsia="仿宋" w:cs="仿宋"/>
          <w:color w:val="auto"/>
          <w:szCs w:val="21"/>
          <w:highlight w:val="none"/>
        </w:rPr>
        <w:t>分（北京时间）。</w:t>
      </w:r>
    </w:p>
    <w:p w14:paraId="105D0411">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4.2 地点：通过政府采购云平台（https://www.zcygov.cn/）在线递交，供应商须在投标截止时间前完成所有响应文件的签章、加密及上传，投标截止时间前未完成响应文件上传的，视为撤回响应文件</w:t>
      </w:r>
      <w:r>
        <w:rPr>
          <w:rStyle w:val="34"/>
          <w:rFonts w:hint="eastAsia" w:ascii="仿宋" w:hAnsi="仿宋" w:eastAsia="仿宋" w:cs="仿宋"/>
          <w:bCs/>
          <w:color w:val="auto"/>
          <w:kern w:val="0"/>
          <w:szCs w:val="21"/>
          <w:highlight w:val="none"/>
        </w:rPr>
        <w:t>。</w:t>
      </w:r>
    </w:p>
    <w:p w14:paraId="1ADCD263">
      <w:pPr>
        <w:spacing w:line="324" w:lineRule="auto"/>
        <w:rPr>
          <w:rStyle w:val="34"/>
          <w:rFonts w:ascii="仿宋" w:hAnsi="仿宋" w:eastAsia="仿宋" w:cs="仿宋"/>
          <w:color w:val="auto"/>
          <w:szCs w:val="21"/>
          <w:highlight w:val="none"/>
        </w:rPr>
      </w:pPr>
      <w:r>
        <w:rPr>
          <w:rStyle w:val="34"/>
          <w:rFonts w:hint="eastAsia" w:ascii="仿宋" w:hAnsi="仿宋" w:eastAsia="仿宋" w:cs="仿宋"/>
          <w:b/>
          <w:bCs/>
          <w:color w:val="auto"/>
          <w:szCs w:val="21"/>
          <w:highlight w:val="none"/>
        </w:rPr>
        <w:t>五、开启</w:t>
      </w:r>
    </w:p>
    <w:p w14:paraId="35131BDE">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5.1 时间:2025年04月28日09点30分（北京时间）。</w:t>
      </w:r>
    </w:p>
    <w:p w14:paraId="0B17F34B">
      <w:pPr>
        <w:spacing w:line="324" w:lineRule="auto"/>
        <w:ind w:firstLine="420" w:firstLineChars="200"/>
        <w:rPr>
          <w:rStyle w:val="34"/>
          <w:rFonts w:ascii="仿宋" w:hAnsi="仿宋" w:eastAsia="仿宋" w:cs="仿宋"/>
          <w:bCs/>
          <w:color w:val="auto"/>
          <w:kern w:val="0"/>
          <w:szCs w:val="21"/>
          <w:highlight w:val="none"/>
        </w:rPr>
      </w:pPr>
      <w:r>
        <w:rPr>
          <w:rStyle w:val="34"/>
          <w:rFonts w:hint="eastAsia" w:ascii="仿宋" w:hAnsi="仿宋" w:eastAsia="仿宋" w:cs="仿宋"/>
          <w:color w:val="auto"/>
          <w:szCs w:val="21"/>
          <w:highlight w:val="none"/>
        </w:rPr>
        <w:t>5.2 地点：</w:t>
      </w:r>
      <w:r>
        <w:rPr>
          <w:rStyle w:val="34"/>
          <w:rFonts w:hint="eastAsia" w:ascii="仿宋" w:hAnsi="仿宋" w:eastAsia="仿宋" w:cs="仿宋"/>
          <w:bCs/>
          <w:color w:val="auto"/>
          <w:kern w:val="0"/>
          <w:szCs w:val="21"/>
          <w:highlight w:val="none"/>
        </w:rPr>
        <w:t>政府采购云平台（https://www.zcygov.cn/）。</w:t>
      </w:r>
    </w:p>
    <w:p w14:paraId="1846EE16">
      <w:pPr>
        <w:spacing w:line="324" w:lineRule="auto"/>
        <w:ind w:firstLine="420" w:firstLineChars="200"/>
        <w:rPr>
          <w:rStyle w:val="34"/>
          <w:rFonts w:ascii="仿宋" w:hAnsi="仿宋" w:eastAsia="仿宋" w:cs="仿宋"/>
          <w:bCs/>
          <w:color w:val="auto"/>
          <w:kern w:val="0"/>
          <w:szCs w:val="21"/>
          <w:highlight w:val="none"/>
        </w:rPr>
      </w:pPr>
      <w:r>
        <w:rPr>
          <w:rStyle w:val="34"/>
          <w:rFonts w:hint="eastAsia" w:ascii="仿宋" w:hAnsi="仿宋" w:eastAsia="仿宋" w:cs="仿宋"/>
          <w:bCs/>
          <w:color w:val="auto"/>
          <w:kern w:val="0"/>
          <w:szCs w:val="21"/>
          <w:highlight w:val="none"/>
        </w:rPr>
        <w:t>5.3 响应文件解密方式：远程解密或现场解密。</w:t>
      </w:r>
    </w:p>
    <w:p w14:paraId="44713C47">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说明：</w:t>
      </w:r>
    </w:p>
    <w:p w14:paraId="1F8A356D">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一）若供应商熟悉“政府采购云平台”相关投标程序，不到现场参加投标的，应提前（至少在投标截止时间前30分钟）在自有场地配置有音视频通话（带摄像头及话筒的电脑）功能的相应设备及稳定网络环境，并按“政府采购云平台”开标大厅中的提示完成采购活动。</w:t>
      </w:r>
    </w:p>
    <w:p w14:paraId="768164DF">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二）到现场参与投标的供应商，建议于响应文件提交截止时间前携带编制响应文件时的加密数字证书（CA）、具有摄像头及话筒的笔记本电脑至采购代理机构开标地点参与投标。现场开标地址：石林县公共资源交易中心（石林县石林大道与桃园路交叉口，石林城乡交通服务调度客运站二期）。</w:t>
      </w:r>
    </w:p>
    <w:p w14:paraId="312299AB">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（三）采购人宣布开启电子响应文件后，供应商登陆“政府采购云平台”开标大厅，使用供应商编制响应文件时的加密数字证书对响应文件进行解密。</w:t>
      </w:r>
    </w:p>
    <w:p w14:paraId="456B0318">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四）网上递交的响应文件应使用数字证书进行加密。因供应商自身原因致使响应文件未成功解密的或供应商提交的电子标书不符合本项目电子响应文件编制要求或开标时无法读取导入或解密，其响应文件将不予受理。</w:t>
      </w:r>
    </w:p>
    <w:p w14:paraId="1673BA8E">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（五）未办理数字证书（CA）的供应商其编制的响应文件将无法按竞争性磋商文件的要求进行电子签章及加密，由此造成的后果由供应商自行承担。</w:t>
      </w:r>
    </w:p>
    <w:p w14:paraId="2733DA77">
      <w:pPr>
        <w:spacing w:line="324" w:lineRule="auto"/>
        <w:rPr>
          <w:rStyle w:val="34"/>
          <w:rFonts w:ascii="仿宋" w:hAnsi="仿宋" w:eastAsia="仿宋" w:cs="仿宋"/>
          <w:color w:val="auto"/>
          <w:szCs w:val="21"/>
          <w:highlight w:val="none"/>
        </w:rPr>
      </w:pPr>
      <w:r>
        <w:rPr>
          <w:rStyle w:val="34"/>
          <w:rFonts w:hint="eastAsia" w:ascii="仿宋" w:hAnsi="仿宋" w:eastAsia="仿宋" w:cs="仿宋"/>
          <w:b/>
          <w:bCs/>
          <w:color w:val="auto"/>
          <w:szCs w:val="21"/>
          <w:highlight w:val="none"/>
        </w:rPr>
        <w:t>六、公告期限</w:t>
      </w:r>
    </w:p>
    <w:p w14:paraId="21F38703">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自本公告发布之日起5个工作日。</w:t>
      </w:r>
    </w:p>
    <w:p w14:paraId="297518CF">
      <w:pPr>
        <w:spacing w:line="324" w:lineRule="auto"/>
        <w:rPr>
          <w:rStyle w:val="34"/>
          <w:rFonts w:ascii="仿宋" w:hAnsi="仿宋" w:eastAsia="仿宋" w:cs="仿宋"/>
          <w:b/>
          <w:bCs/>
          <w:color w:val="auto"/>
          <w:szCs w:val="21"/>
          <w:highlight w:val="none"/>
        </w:rPr>
      </w:pPr>
      <w:r>
        <w:rPr>
          <w:rStyle w:val="34"/>
          <w:rFonts w:hint="eastAsia" w:ascii="仿宋" w:hAnsi="仿宋" w:eastAsia="仿宋" w:cs="仿宋"/>
          <w:b/>
          <w:bCs/>
          <w:color w:val="auto"/>
          <w:szCs w:val="21"/>
          <w:highlight w:val="none"/>
        </w:rPr>
        <w:t>七、其他补充事宜</w:t>
      </w:r>
    </w:p>
    <w:p w14:paraId="43A2BC82">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7.1 本项目公告在云南省政府采购网（http://www.yngp.com/）、政府采购云平台（https://www.zcygov.cn/）上发布，我</w:t>
      </w:r>
      <w:r>
        <w:rPr>
          <w:rStyle w:val="34"/>
          <w:rFonts w:hint="eastAsia" w:ascii="仿宋" w:hAnsi="仿宋" w:eastAsia="仿宋" w:cs="仿宋"/>
          <w:color w:val="auto"/>
          <w:szCs w:val="21"/>
          <w:highlight w:val="none"/>
          <w:lang w:val="en-US" w:eastAsia="zh-CN"/>
        </w:rPr>
        <w:t>单位</w:t>
      </w:r>
      <w:r>
        <w:rPr>
          <w:rStyle w:val="34"/>
          <w:rFonts w:hint="eastAsia" w:ascii="仿宋" w:hAnsi="仿宋" w:eastAsia="仿宋" w:cs="仿宋"/>
          <w:color w:val="auto"/>
          <w:szCs w:val="21"/>
          <w:highlight w:val="none"/>
        </w:rPr>
        <w:t>对其他网站或媒体转载的公告及公告内容不承担任何责任。</w:t>
      </w:r>
    </w:p>
    <w:p w14:paraId="3B99085E">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7.2 各供应商应在开标前应确保成为政采云平台供应商，并完成CA数字证书申领。因未注册入库、未办理CA数字证书等原因造成无法投标或投标失败等后果由供应商自行承担。</w:t>
      </w:r>
    </w:p>
    <w:p w14:paraId="3021DA10">
      <w:pPr>
        <w:spacing w:line="324" w:lineRule="auto"/>
        <w:rPr>
          <w:rStyle w:val="34"/>
          <w:rFonts w:ascii="仿宋" w:hAnsi="仿宋" w:eastAsia="仿宋" w:cs="仿宋"/>
          <w:color w:val="auto"/>
          <w:szCs w:val="21"/>
          <w:highlight w:val="none"/>
        </w:rPr>
      </w:pPr>
      <w:r>
        <w:rPr>
          <w:rStyle w:val="34"/>
          <w:rFonts w:hint="eastAsia" w:ascii="仿宋" w:hAnsi="仿宋" w:eastAsia="仿宋" w:cs="仿宋"/>
          <w:b/>
          <w:bCs/>
          <w:color w:val="auto"/>
          <w:szCs w:val="21"/>
          <w:highlight w:val="none"/>
        </w:rPr>
        <w:t>八、凡对本次采购提出询问，请按以下方式联系</w:t>
      </w:r>
    </w:p>
    <w:p w14:paraId="45507357">
      <w:pPr>
        <w:pStyle w:val="85"/>
        <w:spacing w:before="156" w:after="156" w:line="324" w:lineRule="auto"/>
        <w:ind w:firstLine="420" w:firstLineChars="200"/>
        <w:jc w:val="both"/>
        <w:rPr>
          <w:rStyle w:val="34"/>
          <w:rFonts w:ascii="仿宋" w:hAnsi="仿宋" w:eastAsia="仿宋" w:cs="仿宋"/>
          <w:color w:val="auto"/>
          <w:kern w:val="2"/>
          <w:sz w:val="21"/>
          <w:szCs w:val="21"/>
          <w:highlight w:val="none"/>
        </w:rPr>
      </w:pPr>
      <w:r>
        <w:rPr>
          <w:rStyle w:val="34"/>
          <w:rFonts w:ascii="仿宋" w:hAnsi="仿宋" w:eastAsia="仿宋" w:cs="仿宋"/>
          <w:color w:val="auto"/>
          <w:kern w:val="2"/>
          <w:sz w:val="21"/>
          <w:szCs w:val="21"/>
          <w:highlight w:val="none"/>
        </w:rPr>
        <w:t>1.采购人信息</w:t>
      </w:r>
    </w:p>
    <w:p w14:paraId="07176C2B">
      <w:pPr>
        <w:pStyle w:val="85"/>
        <w:spacing w:before="156" w:after="156" w:line="324" w:lineRule="auto"/>
        <w:ind w:firstLine="420" w:firstLineChars="200"/>
        <w:jc w:val="both"/>
        <w:rPr>
          <w:rStyle w:val="34"/>
          <w:rFonts w:hint="eastAsia" w:ascii="仿宋" w:hAnsi="仿宋" w:eastAsia="仿宋" w:cs="仿宋"/>
          <w:color w:val="auto"/>
          <w:kern w:val="2"/>
          <w:sz w:val="21"/>
          <w:szCs w:val="21"/>
          <w:highlight w:val="none"/>
          <w:lang w:eastAsia="zh-CN"/>
        </w:rPr>
      </w:pPr>
      <w:r>
        <w:rPr>
          <w:rStyle w:val="34"/>
          <w:rFonts w:ascii="仿宋" w:hAnsi="仿宋" w:eastAsia="仿宋" w:cs="仿宋"/>
          <w:color w:val="auto"/>
          <w:kern w:val="2"/>
          <w:sz w:val="21"/>
          <w:szCs w:val="21"/>
          <w:highlight w:val="none"/>
        </w:rPr>
        <w:t>采购人：</w:t>
      </w:r>
      <w:r>
        <w:rPr>
          <w:rStyle w:val="34"/>
          <w:rFonts w:hint="eastAsia" w:ascii="仿宋" w:hAnsi="仿宋" w:eastAsia="仿宋" w:cs="仿宋"/>
          <w:color w:val="auto"/>
          <w:kern w:val="2"/>
          <w:sz w:val="21"/>
          <w:szCs w:val="21"/>
          <w:highlight w:val="none"/>
          <w:lang w:eastAsia="zh-CN"/>
        </w:rPr>
        <w:t>石林彝族自治县机关事务管理中心</w:t>
      </w:r>
    </w:p>
    <w:p w14:paraId="2FF6BD27">
      <w:pPr>
        <w:pStyle w:val="85"/>
        <w:spacing w:before="156" w:after="156" w:line="324" w:lineRule="auto"/>
        <w:ind w:firstLine="420" w:firstLineChars="200"/>
        <w:jc w:val="both"/>
        <w:rPr>
          <w:rStyle w:val="34"/>
          <w:rFonts w:ascii="仿宋" w:hAnsi="仿宋" w:eastAsia="仿宋" w:cs="仿宋"/>
          <w:color w:val="auto"/>
          <w:kern w:val="2"/>
          <w:sz w:val="21"/>
          <w:szCs w:val="21"/>
          <w:highlight w:val="none"/>
        </w:rPr>
      </w:pPr>
      <w:r>
        <w:rPr>
          <w:rStyle w:val="34"/>
          <w:rFonts w:ascii="仿宋" w:hAnsi="仿宋" w:eastAsia="仿宋" w:cs="仿宋"/>
          <w:color w:val="auto"/>
          <w:kern w:val="2"/>
          <w:sz w:val="21"/>
          <w:szCs w:val="21"/>
          <w:highlight w:val="none"/>
        </w:rPr>
        <w:t>地  址：</w:t>
      </w:r>
      <w:r>
        <w:rPr>
          <w:rStyle w:val="34"/>
          <w:rFonts w:hint="eastAsia" w:ascii="仿宋" w:hAnsi="仿宋" w:eastAsia="仿宋" w:cs="仿宋"/>
          <w:color w:val="auto"/>
          <w:kern w:val="2"/>
          <w:sz w:val="21"/>
          <w:szCs w:val="21"/>
          <w:highlight w:val="none"/>
        </w:rPr>
        <w:t>石林彝族自治县</w:t>
      </w:r>
    </w:p>
    <w:p w14:paraId="15EEB5F6">
      <w:pPr>
        <w:pStyle w:val="85"/>
        <w:spacing w:before="156" w:after="156" w:line="324" w:lineRule="auto"/>
        <w:ind w:firstLine="420" w:firstLineChars="200"/>
        <w:jc w:val="both"/>
        <w:rPr>
          <w:rStyle w:val="34"/>
          <w:rFonts w:hint="eastAsia" w:ascii="仿宋" w:hAnsi="仿宋" w:eastAsia="仿宋" w:cs="仿宋"/>
          <w:color w:val="auto"/>
          <w:kern w:val="2"/>
          <w:sz w:val="21"/>
          <w:szCs w:val="21"/>
          <w:highlight w:val="none"/>
          <w:lang w:val="en-US" w:eastAsia="zh-CN"/>
        </w:rPr>
      </w:pPr>
      <w:r>
        <w:rPr>
          <w:rStyle w:val="34"/>
          <w:rFonts w:ascii="仿宋" w:hAnsi="仿宋" w:eastAsia="仿宋" w:cs="仿宋"/>
          <w:color w:val="auto"/>
          <w:kern w:val="2"/>
          <w:sz w:val="21"/>
          <w:szCs w:val="21"/>
          <w:highlight w:val="none"/>
        </w:rPr>
        <w:t>联系人：</w:t>
      </w:r>
      <w:r>
        <w:rPr>
          <w:rStyle w:val="34"/>
          <w:rFonts w:hint="eastAsia" w:ascii="仿宋" w:hAnsi="仿宋" w:eastAsia="仿宋" w:cs="仿宋"/>
          <w:color w:val="auto"/>
          <w:kern w:val="2"/>
          <w:sz w:val="21"/>
          <w:szCs w:val="21"/>
          <w:highlight w:val="none"/>
        </w:rPr>
        <w:t>杨</w:t>
      </w:r>
      <w:r>
        <w:rPr>
          <w:rStyle w:val="34"/>
          <w:rFonts w:hint="eastAsia" w:ascii="仿宋" w:hAnsi="仿宋" w:eastAsia="仿宋" w:cs="仿宋"/>
          <w:color w:val="auto"/>
          <w:kern w:val="2"/>
          <w:sz w:val="21"/>
          <w:szCs w:val="21"/>
          <w:highlight w:val="none"/>
          <w:lang w:val="en-US" w:eastAsia="zh-CN"/>
        </w:rPr>
        <w:t>老师</w:t>
      </w:r>
    </w:p>
    <w:p w14:paraId="02346441">
      <w:pPr>
        <w:pStyle w:val="85"/>
        <w:spacing w:before="156" w:after="156" w:line="324" w:lineRule="auto"/>
        <w:ind w:firstLine="420" w:firstLineChars="200"/>
        <w:jc w:val="both"/>
        <w:rPr>
          <w:rStyle w:val="34"/>
          <w:rFonts w:hint="default" w:ascii="仿宋" w:hAnsi="仿宋" w:eastAsia="仿宋" w:cs="仿宋"/>
          <w:color w:val="auto"/>
          <w:kern w:val="2"/>
          <w:sz w:val="21"/>
          <w:szCs w:val="21"/>
          <w:highlight w:val="none"/>
          <w:lang w:val="en-US" w:eastAsia="zh-CN"/>
        </w:rPr>
      </w:pPr>
      <w:r>
        <w:rPr>
          <w:rStyle w:val="34"/>
          <w:rFonts w:ascii="仿宋" w:hAnsi="仿宋" w:eastAsia="仿宋" w:cs="仿宋"/>
          <w:color w:val="auto"/>
          <w:kern w:val="2"/>
          <w:sz w:val="21"/>
          <w:szCs w:val="21"/>
          <w:highlight w:val="none"/>
        </w:rPr>
        <w:t>电  话：</w:t>
      </w:r>
      <w:r>
        <w:rPr>
          <w:rStyle w:val="34"/>
          <w:rFonts w:hint="eastAsia" w:ascii="仿宋" w:hAnsi="仿宋" w:eastAsia="仿宋" w:cs="仿宋"/>
          <w:color w:val="auto"/>
          <w:kern w:val="2"/>
          <w:sz w:val="21"/>
          <w:szCs w:val="21"/>
          <w:highlight w:val="none"/>
          <w:lang w:val="en-US" w:eastAsia="zh-CN"/>
        </w:rPr>
        <w:t>0871-67785809</w:t>
      </w:r>
    </w:p>
    <w:p w14:paraId="7330C513">
      <w:pPr>
        <w:pStyle w:val="85"/>
        <w:spacing w:before="156" w:after="156" w:line="324" w:lineRule="auto"/>
        <w:ind w:firstLine="420" w:firstLineChars="200"/>
        <w:jc w:val="both"/>
        <w:rPr>
          <w:rStyle w:val="34"/>
          <w:rFonts w:ascii="仿宋" w:hAnsi="仿宋" w:eastAsia="仿宋" w:cs="仿宋"/>
          <w:color w:val="auto"/>
          <w:kern w:val="2"/>
          <w:sz w:val="21"/>
          <w:szCs w:val="21"/>
          <w:highlight w:val="none"/>
        </w:rPr>
      </w:pPr>
    </w:p>
    <w:p w14:paraId="63073230">
      <w:pPr>
        <w:pStyle w:val="85"/>
        <w:spacing w:before="156" w:after="156" w:line="324" w:lineRule="auto"/>
        <w:ind w:firstLine="420" w:firstLineChars="200"/>
        <w:jc w:val="both"/>
        <w:rPr>
          <w:rStyle w:val="34"/>
          <w:rFonts w:ascii="仿宋" w:hAnsi="仿宋" w:eastAsia="仿宋" w:cs="仿宋"/>
          <w:color w:val="auto"/>
          <w:kern w:val="2"/>
          <w:sz w:val="21"/>
          <w:szCs w:val="21"/>
          <w:highlight w:val="none"/>
        </w:rPr>
      </w:pPr>
      <w:r>
        <w:rPr>
          <w:rStyle w:val="34"/>
          <w:rFonts w:hint="eastAsia" w:ascii="仿宋" w:hAnsi="仿宋" w:eastAsia="仿宋" w:cs="仿宋"/>
          <w:color w:val="auto"/>
          <w:kern w:val="2"/>
          <w:sz w:val="21"/>
          <w:szCs w:val="21"/>
          <w:highlight w:val="none"/>
        </w:rPr>
        <w:t>2.采购代理机构信息</w:t>
      </w:r>
      <w:r>
        <w:rPr>
          <w:rStyle w:val="34"/>
          <w:rFonts w:hint="eastAsia" w:ascii="仿宋" w:hAnsi="仿宋" w:eastAsia="仿宋" w:cs="仿宋"/>
          <w:color w:val="auto"/>
          <w:kern w:val="2"/>
          <w:sz w:val="21"/>
          <w:szCs w:val="21"/>
          <w:highlight w:val="none"/>
        </w:rPr>
        <w:tab/>
      </w:r>
    </w:p>
    <w:p w14:paraId="507F47AF">
      <w:pPr>
        <w:pStyle w:val="85"/>
        <w:spacing w:before="156" w:after="156" w:line="324" w:lineRule="auto"/>
        <w:ind w:firstLine="420" w:firstLineChars="200"/>
        <w:jc w:val="both"/>
        <w:rPr>
          <w:rStyle w:val="34"/>
          <w:rFonts w:hint="eastAsia" w:ascii="仿宋" w:hAnsi="仿宋" w:eastAsia="仿宋" w:cs="仿宋"/>
          <w:color w:val="auto"/>
          <w:kern w:val="2"/>
          <w:sz w:val="21"/>
          <w:szCs w:val="21"/>
          <w:highlight w:val="none"/>
          <w:lang w:eastAsia="zh-CN"/>
        </w:rPr>
      </w:pPr>
      <w:r>
        <w:rPr>
          <w:rStyle w:val="34"/>
          <w:rFonts w:hint="eastAsia" w:ascii="仿宋" w:hAnsi="仿宋" w:eastAsia="仿宋" w:cs="仿宋"/>
          <w:color w:val="auto"/>
          <w:kern w:val="2"/>
          <w:sz w:val="21"/>
          <w:szCs w:val="21"/>
          <w:highlight w:val="none"/>
        </w:rPr>
        <w:t>采购代理机构：</w:t>
      </w:r>
      <w:r>
        <w:rPr>
          <w:rStyle w:val="34"/>
          <w:rFonts w:hint="eastAsia" w:ascii="仿宋" w:hAnsi="仿宋" w:eastAsia="仿宋" w:cs="仿宋"/>
          <w:color w:val="auto"/>
          <w:kern w:val="2"/>
          <w:sz w:val="21"/>
          <w:szCs w:val="21"/>
          <w:highlight w:val="none"/>
          <w:lang w:eastAsia="zh-CN"/>
        </w:rPr>
        <w:t>石林彝族自治县政府采购和出让中心</w:t>
      </w:r>
    </w:p>
    <w:p w14:paraId="684BD9A5">
      <w:pPr>
        <w:pStyle w:val="85"/>
        <w:spacing w:before="156" w:after="156" w:line="324" w:lineRule="auto"/>
        <w:ind w:firstLine="420" w:firstLineChars="200"/>
        <w:jc w:val="both"/>
        <w:rPr>
          <w:rStyle w:val="34"/>
          <w:rFonts w:hint="eastAsia" w:ascii="仿宋" w:hAnsi="仿宋" w:eastAsia="仿宋" w:cs="仿宋"/>
          <w:color w:val="auto"/>
          <w:kern w:val="2"/>
          <w:sz w:val="21"/>
          <w:szCs w:val="21"/>
          <w:highlight w:val="none"/>
        </w:rPr>
      </w:pPr>
      <w:r>
        <w:rPr>
          <w:rStyle w:val="34"/>
          <w:rFonts w:hint="eastAsia" w:ascii="仿宋" w:hAnsi="仿宋" w:eastAsia="仿宋" w:cs="仿宋"/>
          <w:color w:val="auto"/>
          <w:kern w:val="2"/>
          <w:sz w:val="21"/>
          <w:szCs w:val="21"/>
          <w:highlight w:val="none"/>
        </w:rPr>
        <w:t>地  址：石林县行政中心</w:t>
      </w:r>
    </w:p>
    <w:p w14:paraId="0B50AB01">
      <w:pPr>
        <w:pStyle w:val="85"/>
        <w:spacing w:before="156" w:after="156" w:line="324" w:lineRule="auto"/>
        <w:ind w:firstLine="420" w:firstLineChars="200"/>
        <w:jc w:val="both"/>
        <w:rPr>
          <w:rStyle w:val="34"/>
          <w:rFonts w:hint="default" w:ascii="仿宋" w:hAnsi="仿宋" w:eastAsia="仿宋" w:cs="仿宋"/>
          <w:color w:val="auto"/>
          <w:kern w:val="2"/>
          <w:sz w:val="21"/>
          <w:szCs w:val="21"/>
          <w:highlight w:val="none"/>
          <w:lang w:val="en-US" w:eastAsia="zh-CN"/>
        </w:rPr>
      </w:pPr>
      <w:r>
        <w:rPr>
          <w:rStyle w:val="34"/>
          <w:rFonts w:hint="eastAsia" w:ascii="仿宋" w:hAnsi="仿宋" w:eastAsia="仿宋" w:cs="仿宋"/>
          <w:color w:val="auto"/>
          <w:kern w:val="2"/>
          <w:sz w:val="21"/>
          <w:szCs w:val="21"/>
          <w:highlight w:val="none"/>
          <w:lang w:val="en-US" w:eastAsia="zh-CN"/>
        </w:rPr>
        <w:t>联系人</w:t>
      </w:r>
      <w:r>
        <w:rPr>
          <w:rStyle w:val="34"/>
          <w:rFonts w:hint="eastAsia" w:ascii="仿宋" w:hAnsi="仿宋" w:eastAsia="仿宋" w:cs="仿宋"/>
          <w:color w:val="auto"/>
          <w:kern w:val="2"/>
          <w:sz w:val="21"/>
          <w:szCs w:val="21"/>
          <w:highlight w:val="none"/>
        </w:rPr>
        <w:t>：</w:t>
      </w:r>
      <w:r>
        <w:rPr>
          <w:rStyle w:val="34"/>
          <w:rFonts w:hint="eastAsia" w:ascii="仿宋" w:hAnsi="仿宋" w:eastAsia="仿宋" w:cs="仿宋"/>
          <w:color w:val="auto"/>
          <w:kern w:val="2"/>
          <w:sz w:val="21"/>
          <w:szCs w:val="21"/>
          <w:highlight w:val="none"/>
          <w:lang w:val="en-US" w:eastAsia="zh-CN"/>
        </w:rPr>
        <w:t>张工</w:t>
      </w:r>
      <w:bookmarkStart w:id="31" w:name="_GoBack"/>
      <w:bookmarkEnd w:id="31"/>
    </w:p>
    <w:p w14:paraId="2DF01204">
      <w:pPr>
        <w:pStyle w:val="85"/>
        <w:spacing w:before="156" w:after="156" w:line="324" w:lineRule="auto"/>
        <w:ind w:firstLine="420" w:firstLineChars="200"/>
        <w:jc w:val="both"/>
        <w:rPr>
          <w:rStyle w:val="34"/>
          <w:rFonts w:ascii="仿宋" w:hAnsi="仿宋" w:eastAsia="仿宋" w:cs="仿宋"/>
          <w:color w:val="auto"/>
          <w:kern w:val="2"/>
          <w:sz w:val="21"/>
          <w:szCs w:val="21"/>
          <w:highlight w:val="none"/>
        </w:rPr>
      </w:pPr>
      <w:r>
        <w:rPr>
          <w:rStyle w:val="34"/>
          <w:rFonts w:hint="eastAsia" w:ascii="仿宋" w:hAnsi="仿宋" w:eastAsia="仿宋" w:cs="仿宋"/>
          <w:color w:val="auto"/>
          <w:kern w:val="2"/>
          <w:sz w:val="21"/>
          <w:szCs w:val="21"/>
          <w:highlight w:val="none"/>
        </w:rPr>
        <w:t>联系方式：</w:t>
      </w:r>
      <w:r>
        <w:rPr>
          <w:rStyle w:val="34"/>
          <w:rFonts w:hint="eastAsia" w:ascii="仿宋" w:hAnsi="仿宋" w:eastAsia="仿宋" w:cs="仿宋"/>
          <w:color w:val="auto"/>
          <w:kern w:val="2"/>
          <w:sz w:val="21"/>
          <w:szCs w:val="21"/>
          <w:highlight w:val="none"/>
          <w:lang w:val="en-US" w:eastAsia="zh-CN"/>
        </w:rPr>
        <w:t>18788578752、15288404393</w:t>
      </w:r>
    </w:p>
    <w:p w14:paraId="6D3A3E68">
      <w:pPr>
        <w:pStyle w:val="85"/>
        <w:spacing w:before="156" w:after="156" w:line="324" w:lineRule="auto"/>
        <w:jc w:val="both"/>
        <w:rPr>
          <w:rStyle w:val="34"/>
          <w:rFonts w:ascii="仿宋" w:hAnsi="仿宋" w:eastAsia="仿宋" w:cs="仿宋"/>
          <w:color w:val="auto"/>
          <w:kern w:val="2"/>
          <w:sz w:val="21"/>
          <w:szCs w:val="21"/>
          <w:highlight w:val="none"/>
        </w:rPr>
      </w:pPr>
    </w:p>
    <w:p w14:paraId="22F3A828">
      <w:pPr>
        <w:pStyle w:val="85"/>
        <w:spacing w:before="156" w:after="156" w:line="324" w:lineRule="auto"/>
        <w:ind w:firstLine="420" w:firstLineChars="200"/>
        <w:jc w:val="both"/>
        <w:rPr>
          <w:rStyle w:val="34"/>
          <w:rFonts w:ascii="仿宋" w:hAnsi="仿宋" w:eastAsia="仿宋" w:cs="仿宋"/>
          <w:color w:val="auto"/>
          <w:kern w:val="2"/>
          <w:sz w:val="21"/>
          <w:szCs w:val="21"/>
          <w:highlight w:val="none"/>
        </w:rPr>
      </w:pPr>
      <w:r>
        <w:rPr>
          <w:rStyle w:val="34"/>
          <w:rFonts w:hint="eastAsia" w:ascii="仿宋" w:hAnsi="仿宋" w:eastAsia="仿宋" w:cs="仿宋"/>
          <w:color w:val="auto"/>
          <w:kern w:val="2"/>
          <w:sz w:val="21"/>
          <w:szCs w:val="21"/>
          <w:highlight w:val="none"/>
        </w:rPr>
        <w:t>3.项目联系方式</w:t>
      </w:r>
    </w:p>
    <w:p w14:paraId="0CFA43A2">
      <w:pPr>
        <w:pStyle w:val="85"/>
        <w:spacing w:before="156" w:after="156" w:line="324" w:lineRule="auto"/>
        <w:ind w:firstLine="420" w:firstLineChars="200"/>
        <w:jc w:val="both"/>
        <w:rPr>
          <w:rStyle w:val="34"/>
          <w:rFonts w:ascii="仿宋" w:hAnsi="仿宋" w:eastAsia="仿宋" w:cs="仿宋"/>
          <w:color w:val="auto"/>
          <w:kern w:val="2"/>
          <w:sz w:val="21"/>
          <w:szCs w:val="21"/>
          <w:highlight w:val="none"/>
        </w:rPr>
      </w:pPr>
      <w:r>
        <w:rPr>
          <w:rStyle w:val="34"/>
          <w:rFonts w:hint="eastAsia" w:ascii="仿宋" w:hAnsi="仿宋" w:eastAsia="仿宋" w:cs="仿宋"/>
          <w:color w:val="auto"/>
          <w:kern w:val="2"/>
          <w:sz w:val="21"/>
          <w:szCs w:val="21"/>
          <w:highlight w:val="none"/>
        </w:rPr>
        <w:t>项目联系人：杨</w:t>
      </w:r>
      <w:r>
        <w:rPr>
          <w:rStyle w:val="34"/>
          <w:rFonts w:hint="eastAsia" w:ascii="仿宋" w:hAnsi="仿宋" w:eastAsia="仿宋" w:cs="仿宋"/>
          <w:color w:val="auto"/>
          <w:kern w:val="2"/>
          <w:sz w:val="21"/>
          <w:szCs w:val="21"/>
          <w:highlight w:val="none"/>
          <w:lang w:val="en-US" w:eastAsia="zh-CN"/>
        </w:rPr>
        <w:t>老师</w:t>
      </w:r>
      <w:r>
        <w:rPr>
          <w:rStyle w:val="34"/>
          <w:rFonts w:hint="eastAsia" w:ascii="仿宋" w:hAnsi="仿宋" w:eastAsia="仿宋" w:cs="仿宋"/>
          <w:color w:val="auto"/>
          <w:kern w:val="2"/>
          <w:sz w:val="21"/>
          <w:szCs w:val="21"/>
          <w:highlight w:val="none"/>
        </w:rPr>
        <w:t>（采购人）、</w:t>
      </w:r>
      <w:r>
        <w:rPr>
          <w:rStyle w:val="34"/>
          <w:rFonts w:hint="eastAsia" w:ascii="仿宋" w:hAnsi="仿宋" w:eastAsia="仿宋" w:cs="仿宋"/>
          <w:color w:val="auto"/>
          <w:kern w:val="2"/>
          <w:sz w:val="21"/>
          <w:szCs w:val="21"/>
          <w:highlight w:val="none"/>
          <w:lang w:val="en-US" w:eastAsia="zh-CN"/>
        </w:rPr>
        <w:t>张工</w:t>
      </w:r>
      <w:r>
        <w:rPr>
          <w:rStyle w:val="34"/>
          <w:rFonts w:hint="eastAsia" w:ascii="仿宋" w:hAnsi="仿宋" w:eastAsia="仿宋" w:cs="仿宋"/>
          <w:color w:val="auto"/>
          <w:kern w:val="2"/>
          <w:sz w:val="21"/>
          <w:szCs w:val="21"/>
          <w:highlight w:val="none"/>
        </w:rPr>
        <w:t>（采购代理机构）</w:t>
      </w:r>
    </w:p>
    <w:p w14:paraId="4B98697A">
      <w:pPr>
        <w:pStyle w:val="85"/>
        <w:spacing w:before="156" w:after="156" w:line="324" w:lineRule="auto"/>
        <w:ind w:firstLine="420" w:firstLineChars="200"/>
        <w:jc w:val="both"/>
        <w:rPr>
          <w:rStyle w:val="34"/>
          <w:rFonts w:ascii="仿宋" w:hAnsi="仿宋" w:eastAsia="仿宋" w:cs="仿宋"/>
          <w:b/>
          <w:color w:val="auto"/>
          <w:sz w:val="44"/>
          <w:szCs w:val="44"/>
          <w:highlight w:val="none"/>
        </w:rPr>
      </w:pPr>
      <w:r>
        <w:rPr>
          <w:rStyle w:val="34"/>
          <w:rFonts w:hint="eastAsia" w:ascii="仿宋" w:hAnsi="仿宋" w:eastAsia="仿宋" w:cs="仿宋"/>
          <w:color w:val="auto"/>
          <w:kern w:val="2"/>
          <w:sz w:val="21"/>
          <w:szCs w:val="21"/>
          <w:highlight w:val="none"/>
        </w:rPr>
        <w:t>电话：0871-67785809（采购人）、</w:t>
      </w:r>
      <w:r>
        <w:rPr>
          <w:rStyle w:val="34"/>
          <w:rFonts w:hint="eastAsia" w:ascii="仿宋" w:hAnsi="仿宋" w:eastAsia="仿宋" w:cs="仿宋"/>
          <w:color w:val="auto"/>
          <w:kern w:val="2"/>
          <w:sz w:val="21"/>
          <w:szCs w:val="21"/>
          <w:highlight w:val="none"/>
          <w:lang w:val="en-US" w:eastAsia="zh-CN"/>
        </w:rPr>
        <w:t>18788578752、15288404393</w:t>
      </w:r>
      <w:r>
        <w:rPr>
          <w:rStyle w:val="34"/>
          <w:rFonts w:hint="eastAsia" w:ascii="仿宋" w:hAnsi="仿宋" w:eastAsia="仿宋" w:cs="仿宋"/>
          <w:color w:val="auto"/>
          <w:kern w:val="2"/>
          <w:sz w:val="21"/>
          <w:szCs w:val="21"/>
          <w:highlight w:val="none"/>
        </w:rPr>
        <w:t>（采购代理机构）</w:t>
      </w:r>
    </w:p>
    <w:p w14:paraId="56D751DE">
      <w:pPr>
        <w:rPr>
          <w:rStyle w:val="34"/>
          <w:rFonts w:ascii="仿宋" w:hAnsi="仿宋" w:eastAsia="仿宋" w:cs="仿宋"/>
          <w:b/>
          <w:color w:val="auto"/>
          <w:sz w:val="44"/>
          <w:szCs w:val="44"/>
          <w:highlight w:val="none"/>
        </w:rPr>
      </w:pPr>
      <w:r>
        <w:rPr>
          <w:rStyle w:val="34"/>
          <w:rFonts w:hint="eastAsia" w:ascii="仿宋" w:hAnsi="仿宋" w:eastAsia="仿宋" w:cs="仿宋"/>
          <w:b/>
          <w:color w:val="auto"/>
          <w:sz w:val="44"/>
          <w:szCs w:val="44"/>
          <w:highlight w:val="none"/>
        </w:rPr>
        <w:br w:type="page"/>
      </w:r>
    </w:p>
    <w:p w14:paraId="747E30B6">
      <w:pPr>
        <w:pStyle w:val="2"/>
        <w:bidi w:val="0"/>
        <w:rPr>
          <w:rStyle w:val="34"/>
          <w:rFonts w:ascii="仿宋" w:hAnsi="仿宋" w:eastAsia="仿宋" w:cs="仿宋"/>
          <w:b/>
          <w:bCs/>
          <w:color w:val="auto"/>
          <w:szCs w:val="44"/>
          <w:highlight w:val="none"/>
        </w:rPr>
      </w:pPr>
      <w:bookmarkStart w:id="8" w:name="_Toc1736"/>
      <w:r>
        <w:rPr>
          <w:rFonts w:hint="eastAsia" w:ascii="仿宋" w:hAnsi="仿宋" w:eastAsia="仿宋" w:cs="仿宋"/>
          <w:color w:val="auto"/>
          <w:highlight w:val="none"/>
        </w:rPr>
        <w:t>第二章  供应商须知</w:t>
      </w:r>
      <w:bookmarkEnd w:id="8"/>
    </w:p>
    <w:p w14:paraId="6A5EFC82">
      <w:pPr>
        <w:pStyle w:val="27"/>
        <w:spacing w:line="360" w:lineRule="auto"/>
        <w:rPr>
          <w:rStyle w:val="34"/>
          <w:rFonts w:ascii="仿宋" w:hAnsi="仿宋" w:eastAsia="仿宋" w:cs="仿宋"/>
          <w:bCs/>
          <w:color w:val="auto"/>
          <w:sz w:val="28"/>
          <w:szCs w:val="28"/>
          <w:highlight w:val="none"/>
        </w:rPr>
      </w:pPr>
      <w:r>
        <w:rPr>
          <w:rStyle w:val="34"/>
          <w:rFonts w:hint="eastAsia" w:ascii="仿宋" w:hAnsi="仿宋" w:eastAsia="仿宋" w:cs="仿宋"/>
          <w:bCs/>
          <w:color w:val="auto"/>
          <w:sz w:val="28"/>
          <w:szCs w:val="28"/>
          <w:highlight w:val="none"/>
        </w:rPr>
        <w:t>供应商须知前附表</w:t>
      </w:r>
    </w:p>
    <w:tbl>
      <w:tblPr>
        <w:tblStyle w:val="21"/>
        <w:tblW w:w="9616" w:type="dxa"/>
        <w:jc w:val="center"/>
        <w:tblLayout w:type="fixed"/>
        <w:tblCellMar>
          <w:top w:w="0" w:type="dxa"/>
          <w:left w:w="0" w:type="dxa"/>
          <w:bottom w:w="0" w:type="dxa"/>
          <w:right w:w="0" w:type="dxa"/>
        </w:tblCellMar>
      </w:tblPr>
      <w:tblGrid>
        <w:gridCol w:w="877"/>
        <w:gridCol w:w="2289"/>
        <w:gridCol w:w="6450"/>
      </w:tblGrid>
      <w:tr w14:paraId="1144BA29">
        <w:tblPrEx>
          <w:tblCellMar>
            <w:top w:w="0" w:type="dxa"/>
            <w:left w:w="0" w:type="dxa"/>
            <w:bottom w:w="0" w:type="dxa"/>
            <w:right w:w="0" w:type="dxa"/>
          </w:tblCellMar>
        </w:tblPrEx>
        <w:trPr>
          <w:trHeight w:val="567" w:hRule="atLeast"/>
          <w:jc w:val="center"/>
        </w:trPr>
        <w:tc>
          <w:tcPr>
            <w:tcW w:w="877" w:type="dxa"/>
            <w:tcBorders>
              <w:top w:val="single" w:color="000000" w:sz="4" w:space="0"/>
              <w:left w:val="single" w:color="000000" w:sz="4" w:space="0"/>
              <w:bottom w:val="single" w:color="000000" w:sz="4" w:space="0"/>
              <w:right w:val="single" w:color="000000" w:sz="4" w:space="0"/>
            </w:tcBorders>
            <w:vAlign w:val="center"/>
          </w:tcPr>
          <w:p w14:paraId="7D653D19">
            <w:pPr>
              <w:widowControl w:val="0"/>
              <w:spacing w:before="60" w:after="60" w:line="360" w:lineRule="auto"/>
              <w:jc w:val="center"/>
              <w:rPr>
                <w:rStyle w:val="34"/>
                <w:rFonts w:ascii="仿宋" w:hAnsi="仿宋" w:eastAsia="仿宋" w:cs="仿宋"/>
                <w:b/>
                <w:color w:val="auto"/>
                <w:szCs w:val="21"/>
                <w:highlight w:val="none"/>
              </w:rPr>
            </w:pPr>
            <w:r>
              <w:rPr>
                <w:rStyle w:val="34"/>
                <w:rFonts w:hint="eastAsia" w:ascii="仿宋" w:hAnsi="仿宋" w:eastAsia="仿宋" w:cs="仿宋"/>
                <w:b/>
                <w:color w:val="auto"/>
                <w:szCs w:val="21"/>
                <w:highlight w:val="none"/>
              </w:rPr>
              <w:t>条款号</w:t>
            </w:r>
          </w:p>
        </w:tc>
        <w:tc>
          <w:tcPr>
            <w:tcW w:w="2289" w:type="dxa"/>
            <w:tcBorders>
              <w:top w:val="single" w:color="000000" w:sz="4" w:space="0"/>
              <w:left w:val="single" w:color="000000" w:sz="4" w:space="0"/>
              <w:bottom w:val="single" w:color="000000" w:sz="4" w:space="0"/>
              <w:right w:val="single" w:color="000000" w:sz="4" w:space="0"/>
            </w:tcBorders>
            <w:vAlign w:val="center"/>
          </w:tcPr>
          <w:p w14:paraId="0AF9C411">
            <w:pPr>
              <w:widowControl w:val="0"/>
              <w:spacing w:before="60" w:after="60" w:line="360" w:lineRule="auto"/>
              <w:jc w:val="center"/>
              <w:rPr>
                <w:rStyle w:val="34"/>
                <w:rFonts w:ascii="仿宋" w:hAnsi="仿宋" w:eastAsia="仿宋" w:cs="仿宋"/>
                <w:b/>
                <w:color w:val="auto"/>
                <w:szCs w:val="21"/>
                <w:highlight w:val="none"/>
              </w:rPr>
            </w:pPr>
            <w:r>
              <w:rPr>
                <w:rStyle w:val="34"/>
                <w:rFonts w:hint="eastAsia" w:ascii="仿宋" w:hAnsi="仿宋" w:eastAsia="仿宋" w:cs="仿宋"/>
                <w:b/>
                <w:color w:val="auto"/>
                <w:szCs w:val="21"/>
                <w:highlight w:val="none"/>
              </w:rPr>
              <w:t>条款名称</w:t>
            </w:r>
          </w:p>
        </w:tc>
        <w:tc>
          <w:tcPr>
            <w:tcW w:w="6450" w:type="dxa"/>
            <w:tcBorders>
              <w:top w:val="single" w:color="000000" w:sz="4" w:space="0"/>
              <w:left w:val="single" w:color="000000" w:sz="4" w:space="0"/>
              <w:bottom w:val="single" w:color="000000" w:sz="4" w:space="0"/>
              <w:right w:val="single" w:color="000000" w:sz="4" w:space="0"/>
            </w:tcBorders>
            <w:vAlign w:val="center"/>
          </w:tcPr>
          <w:p w14:paraId="6F7ADA0E">
            <w:pPr>
              <w:widowControl w:val="0"/>
              <w:spacing w:before="60" w:after="60" w:line="360" w:lineRule="auto"/>
              <w:ind w:left="4" w:hanging="19"/>
              <w:jc w:val="center"/>
              <w:rPr>
                <w:rStyle w:val="34"/>
                <w:rFonts w:ascii="仿宋" w:hAnsi="仿宋" w:eastAsia="仿宋" w:cs="仿宋"/>
                <w:b/>
                <w:color w:val="auto"/>
                <w:szCs w:val="21"/>
                <w:highlight w:val="none"/>
              </w:rPr>
            </w:pPr>
            <w:r>
              <w:rPr>
                <w:rStyle w:val="34"/>
                <w:rFonts w:hint="eastAsia" w:ascii="仿宋" w:hAnsi="仿宋" w:eastAsia="仿宋" w:cs="仿宋"/>
                <w:b/>
                <w:color w:val="auto"/>
                <w:szCs w:val="21"/>
                <w:highlight w:val="none"/>
              </w:rPr>
              <w:t>编    列    内    容</w:t>
            </w:r>
          </w:p>
        </w:tc>
      </w:tr>
      <w:tr w14:paraId="6066F65F">
        <w:tblPrEx>
          <w:tblCellMar>
            <w:top w:w="0" w:type="dxa"/>
            <w:left w:w="0" w:type="dxa"/>
            <w:bottom w:w="0" w:type="dxa"/>
            <w:right w:w="0" w:type="dxa"/>
          </w:tblCellMar>
        </w:tblPrEx>
        <w:trPr>
          <w:trHeight w:val="822" w:hRule="atLeast"/>
          <w:jc w:val="center"/>
        </w:trPr>
        <w:tc>
          <w:tcPr>
            <w:tcW w:w="877" w:type="dxa"/>
            <w:tcBorders>
              <w:top w:val="single" w:color="000000" w:sz="4" w:space="0"/>
              <w:left w:val="single" w:color="000000" w:sz="4" w:space="0"/>
              <w:bottom w:val="single" w:color="000000" w:sz="4" w:space="0"/>
              <w:right w:val="single" w:color="000000" w:sz="4" w:space="0"/>
            </w:tcBorders>
            <w:vAlign w:val="center"/>
          </w:tcPr>
          <w:p w14:paraId="64891115">
            <w:pPr>
              <w:widowControl w:val="0"/>
              <w:spacing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1.1</w:t>
            </w:r>
          </w:p>
        </w:tc>
        <w:tc>
          <w:tcPr>
            <w:tcW w:w="2289" w:type="dxa"/>
            <w:tcBorders>
              <w:top w:val="single" w:color="000000" w:sz="4" w:space="0"/>
              <w:left w:val="single" w:color="000000" w:sz="4" w:space="0"/>
              <w:bottom w:val="single" w:color="000000" w:sz="4" w:space="0"/>
              <w:right w:val="single" w:color="000000" w:sz="4" w:space="0"/>
            </w:tcBorders>
            <w:vAlign w:val="center"/>
          </w:tcPr>
          <w:p w14:paraId="2FBBC777">
            <w:pPr>
              <w:widowControl w:val="0"/>
              <w:spacing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项目名称及编号</w:t>
            </w:r>
          </w:p>
        </w:tc>
        <w:tc>
          <w:tcPr>
            <w:tcW w:w="6450" w:type="dxa"/>
            <w:tcBorders>
              <w:top w:val="single" w:color="000000" w:sz="4" w:space="0"/>
              <w:left w:val="single" w:color="000000" w:sz="4" w:space="0"/>
              <w:bottom w:val="single" w:color="000000" w:sz="4" w:space="0"/>
              <w:right w:val="single" w:color="000000" w:sz="4" w:space="0"/>
            </w:tcBorders>
            <w:vAlign w:val="center"/>
          </w:tcPr>
          <w:p w14:paraId="42D432B7">
            <w:pPr>
              <w:pStyle w:val="94"/>
              <w:widowControl w:val="0"/>
              <w:spacing w:before="0" w:line="360" w:lineRule="auto"/>
              <w:jc w:val="left"/>
              <w:rPr>
                <w:rStyle w:val="34"/>
                <w:rFonts w:hint="eastAsia" w:ascii="仿宋" w:hAnsi="仿宋" w:eastAsia="仿宋" w:cs="仿宋"/>
                <w:color w:val="auto"/>
                <w:sz w:val="21"/>
                <w:szCs w:val="21"/>
                <w:highlight w:val="none"/>
                <w:lang w:eastAsia="zh-CN"/>
              </w:rPr>
            </w:pPr>
            <w:r>
              <w:rPr>
                <w:rStyle w:val="34"/>
                <w:rFonts w:hint="eastAsia" w:ascii="仿宋" w:hAnsi="仿宋" w:eastAsia="仿宋" w:cs="仿宋"/>
                <w:color w:val="auto"/>
                <w:sz w:val="21"/>
                <w:szCs w:val="21"/>
                <w:highlight w:val="none"/>
              </w:rPr>
              <w:t>1.1项目名称：</w:t>
            </w:r>
            <w:r>
              <w:rPr>
                <w:rStyle w:val="34"/>
                <w:rFonts w:hint="eastAsia" w:ascii="仿宋" w:hAnsi="仿宋" w:eastAsia="仿宋" w:cs="仿宋"/>
                <w:color w:val="auto"/>
                <w:sz w:val="21"/>
                <w:szCs w:val="21"/>
                <w:highlight w:val="none"/>
                <w:lang w:eastAsia="zh-CN"/>
              </w:rPr>
              <w:t>石林彝族自治县行政中心室外绿化管养外包服务（2025-2028年）</w:t>
            </w:r>
          </w:p>
          <w:p w14:paraId="56894580">
            <w:pPr>
              <w:widowControl w:val="0"/>
              <w:spacing w:line="324" w:lineRule="auto"/>
              <w:rPr>
                <w:rStyle w:val="34"/>
                <w:rFonts w:hint="eastAsia"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招标编号：SLJC2025-006</w:t>
            </w:r>
          </w:p>
          <w:p w14:paraId="5E90770B">
            <w:pPr>
              <w:widowControl w:val="0"/>
              <w:spacing w:line="324" w:lineRule="auto"/>
              <w:rPr>
                <w:rStyle w:val="34"/>
                <w:rFonts w:hint="eastAsia" w:ascii="仿宋" w:hAnsi="仿宋" w:eastAsia="仿宋" w:cs="仿宋"/>
                <w:color w:val="auto"/>
                <w:kern w:val="0"/>
                <w:szCs w:val="21"/>
                <w:highlight w:val="none"/>
                <w:lang w:eastAsia="zh-CN"/>
              </w:rPr>
            </w:pPr>
            <w:r>
              <w:rPr>
                <w:rStyle w:val="34"/>
                <w:rFonts w:hint="eastAsia" w:ascii="仿宋" w:hAnsi="仿宋" w:eastAsia="仿宋" w:cs="仿宋"/>
                <w:color w:val="auto"/>
                <w:kern w:val="0"/>
                <w:szCs w:val="21"/>
                <w:highlight w:val="none"/>
                <w:lang w:eastAsia="zh-CN"/>
              </w:rPr>
              <w:t>政府采购计划编号：4530126JH202500047</w:t>
            </w:r>
          </w:p>
          <w:p w14:paraId="12B4AB7A">
            <w:pPr>
              <w:widowControl w:val="0"/>
              <w:spacing w:line="324" w:lineRule="auto"/>
              <w:rPr>
                <w:rStyle w:val="34"/>
                <w:rFonts w:hint="eastAsia" w:ascii="仿宋" w:hAnsi="仿宋" w:eastAsia="仿宋" w:cs="仿宋"/>
                <w:b/>
                <w:bCs/>
                <w:color w:val="auto"/>
                <w:szCs w:val="21"/>
                <w:highlight w:val="none"/>
                <w:lang w:eastAsia="zh-CN"/>
              </w:rPr>
            </w:pPr>
            <w:r>
              <w:rPr>
                <w:rStyle w:val="34"/>
                <w:rFonts w:hint="eastAsia" w:ascii="仿宋" w:hAnsi="仿宋" w:eastAsia="仿宋" w:cs="仿宋"/>
                <w:color w:val="auto"/>
                <w:kern w:val="0"/>
                <w:szCs w:val="21"/>
                <w:highlight w:val="none"/>
                <w:lang w:eastAsia="zh-CN"/>
              </w:rPr>
              <w:t>政采云项目编号：KMZC2025-C3-00624-SLYZ-0003</w:t>
            </w:r>
          </w:p>
        </w:tc>
      </w:tr>
      <w:tr w14:paraId="759FDF7E">
        <w:tblPrEx>
          <w:tblCellMar>
            <w:top w:w="0" w:type="dxa"/>
            <w:left w:w="0" w:type="dxa"/>
            <w:bottom w:w="0" w:type="dxa"/>
            <w:right w:w="0" w:type="dxa"/>
          </w:tblCellMar>
        </w:tblPrEx>
        <w:trPr>
          <w:trHeight w:val="556" w:hRule="atLeast"/>
          <w:jc w:val="center"/>
        </w:trPr>
        <w:tc>
          <w:tcPr>
            <w:tcW w:w="877" w:type="dxa"/>
            <w:tcBorders>
              <w:top w:val="single" w:color="000000" w:sz="4" w:space="0"/>
              <w:left w:val="single" w:color="000000" w:sz="4" w:space="0"/>
              <w:bottom w:val="single" w:color="000000" w:sz="4" w:space="0"/>
              <w:right w:val="single" w:color="000000" w:sz="4" w:space="0"/>
            </w:tcBorders>
            <w:vAlign w:val="center"/>
          </w:tcPr>
          <w:p w14:paraId="702FF43F">
            <w:pPr>
              <w:widowControl w:val="0"/>
              <w:spacing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1.2</w:t>
            </w:r>
          </w:p>
        </w:tc>
        <w:tc>
          <w:tcPr>
            <w:tcW w:w="2289" w:type="dxa"/>
            <w:tcBorders>
              <w:top w:val="single" w:color="000000" w:sz="4" w:space="0"/>
              <w:left w:val="single" w:color="000000" w:sz="4" w:space="0"/>
              <w:bottom w:val="single" w:color="000000" w:sz="4" w:space="0"/>
              <w:right w:val="single" w:color="000000" w:sz="4" w:space="0"/>
            </w:tcBorders>
            <w:vAlign w:val="center"/>
          </w:tcPr>
          <w:p w14:paraId="6E1E0B75">
            <w:pPr>
              <w:widowControl w:val="0"/>
              <w:spacing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预算金额</w:t>
            </w:r>
          </w:p>
        </w:tc>
        <w:tc>
          <w:tcPr>
            <w:tcW w:w="6450" w:type="dxa"/>
            <w:tcBorders>
              <w:top w:val="single" w:color="000000" w:sz="4" w:space="0"/>
              <w:left w:val="single" w:color="000000" w:sz="4" w:space="0"/>
              <w:bottom w:val="single" w:color="000000" w:sz="4" w:space="0"/>
              <w:right w:val="single" w:color="000000" w:sz="4" w:space="0"/>
            </w:tcBorders>
            <w:vAlign w:val="center"/>
          </w:tcPr>
          <w:p w14:paraId="75BDA2F7">
            <w:pPr>
              <w:widowControl w:val="0"/>
              <w:spacing w:line="360" w:lineRule="auto"/>
              <w:jc w:val="left"/>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lang w:eastAsia="zh-CN"/>
              </w:rPr>
              <w:t>人民币351350.00元/年</w:t>
            </w:r>
            <w:r>
              <w:rPr>
                <w:rStyle w:val="34"/>
                <w:rFonts w:hint="eastAsia" w:ascii="仿宋" w:hAnsi="仿宋" w:eastAsia="仿宋" w:cs="仿宋"/>
                <w:color w:val="auto"/>
                <w:szCs w:val="21"/>
                <w:highlight w:val="none"/>
              </w:rPr>
              <w:t>。</w:t>
            </w:r>
          </w:p>
        </w:tc>
      </w:tr>
      <w:tr w14:paraId="63E33F20">
        <w:tblPrEx>
          <w:tblCellMar>
            <w:top w:w="0" w:type="dxa"/>
            <w:left w:w="0" w:type="dxa"/>
            <w:bottom w:w="0" w:type="dxa"/>
            <w:right w:w="0" w:type="dxa"/>
          </w:tblCellMar>
        </w:tblPrEx>
        <w:trPr>
          <w:trHeight w:val="556" w:hRule="atLeast"/>
          <w:jc w:val="center"/>
        </w:trPr>
        <w:tc>
          <w:tcPr>
            <w:tcW w:w="877" w:type="dxa"/>
            <w:tcBorders>
              <w:top w:val="single" w:color="000000" w:sz="4" w:space="0"/>
              <w:left w:val="single" w:color="000000" w:sz="4" w:space="0"/>
              <w:bottom w:val="single" w:color="000000" w:sz="4" w:space="0"/>
              <w:right w:val="single" w:color="000000" w:sz="4" w:space="0"/>
            </w:tcBorders>
            <w:vAlign w:val="center"/>
          </w:tcPr>
          <w:p w14:paraId="5A2FD497">
            <w:pPr>
              <w:widowControl w:val="0"/>
              <w:spacing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1.3</w:t>
            </w:r>
          </w:p>
        </w:tc>
        <w:tc>
          <w:tcPr>
            <w:tcW w:w="2289" w:type="dxa"/>
            <w:tcBorders>
              <w:top w:val="single" w:color="000000" w:sz="4" w:space="0"/>
              <w:left w:val="single" w:color="000000" w:sz="4" w:space="0"/>
              <w:bottom w:val="single" w:color="000000" w:sz="4" w:space="0"/>
              <w:right w:val="single" w:color="000000" w:sz="4" w:space="0"/>
            </w:tcBorders>
            <w:vAlign w:val="center"/>
          </w:tcPr>
          <w:p w14:paraId="5A012B7F">
            <w:pPr>
              <w:widowControl w:val="0"/>
              <w:spacing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最高限价</w:t>
            </w:r>
          </w:p>
        </w:tc>
        <w:tc>
          <w:tcPr>
            <w:tcW w:w="6450" w:type="dxa"/>
            <w:tcBorders>
              <w:top w:val="single" w:color="000000" w:sz="4" w:space="0"/>
              <w:left w:val="single" w:color="000000" w:sz="4" w:space="0"/>
              <w:bottom w:val="single" w:color="000000" w:sz="4" w:space="0"/>
              <w:right w:val="single" w:color="000000" w:sz="4" w:space="0"/>
            </w:tcBorders>
            <w:vAlign w:val="center"/>
          </w:tcPr>
          <w:p w14:paraId="281DDA15">
            <w:pPr>
              <w:widowControl w:val="0"/>
              <w:spacing w:line="360" w:lineRule="auto"/>
              <w:jc w:val="left"/>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lang w:eastAsia="zh-CN"/>
              </w:rPr>
              <w:t>人民币351350.00元/年</w:t>
            </w:r>
            <w:r>
              <w:rPr>
                <w:rStyle w:val="34"/>
                <w:rFonts w:hint="eastAsia" w:ascii="仿宋" w:hAnsi="仿宋" w:eastAsia="仿宋" w:cs="仿宋"/>
                <w:color w:val="auto"/>
                <w:szCs w:val="21"/>
                <w:highlight w:val="none"/>
              </w:rPr>
              <w:t>。</w:t>
            </w:r>
          </w:p>
        </w:tc>
      </w:tr>
      <w:tr w14:paraId="66A98B62">
        <w:tblPrEx>
          <w:tblCellMar>
            <w:top w:w="0" w:type="dxa"/>
            <w:left w:w="0" w:type="dxa"/>
            <w:bottom w:w="0" w:type="dxa"/>
            <w:right w:w="0" w:type="dxa"/>
          </w:tblCellMar>
        </w:tblPrEx>
        <w:trPr>
          <w:trHeight w:val="556" w:hRule="atLeast"/>
          <w:jc w:val="center"/>
        </w:trPr>
        <w:tc>
          <w:tcPr>
            <w:tcW w:w="877" w:type="dxa"/>
            <w:tcBorders>
              <w:top w:val="single" w:color="000000" w:sz="4" w:space="0"/>
              <w:left w:val="single" w:color="000000" w:sz="4" w:space="0"/>
              <w:bottom w:val="single" w:color="000000" w:sz="4" w:space="0"/>
              <w:right w:val="single" w:color="000000" w:sz="4" w:space="0"/>
            </w:tcBorders>
            <w:vAlign w:val="center"/>
          </w:tcPr>
          <w:p w14:paraId="5A94B489">
            <w:pPr>
              <w:widowControl w:val="0"/>
              <w:spacing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1.4</w:t>
            </w:r>
          </w:p>
        </w:tc>
        <w:tc>
          <w:tcPr>
            <w:tcW w:w="2289" w:type="dxa"/>
            <w:tcBorders>
              <w:top w:val="single" w:color="000000" w:sz="4" w:space="0"/>
              <w:left w:val="single" w:color="000000" w:sz="4" w:space="0"/>
              <w:bottom w:val="single" w:color="000000" w:sz="4" w:space="0"/>
              <w:right w:val="single" w:color="000000" w:sz="4" w:space="0"/>
            </w:tcBorders>
            <w:vAlign w:val="center"/>
          </w:tcPr>
          <w:p w14:paraId="328EA6C8">
            <w:pPr>
              <w:widowControl w:val="0"/>
              <w:spacing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采购需求</w:t>
            </w:r>
          </w:p>
        </w:tc>
        <w:tc>
          <w:tcPr>
            <w:tcW w:w="6450" w:type="dxa"/>
            <w:tcBorders>
              <w:top w:val="single" w:color="000000" w:sz="4" w:space="0"/>
              <w:left w:val="single" w:color="000000" w:sz="4" w:space="0"/>
              <w:bottom w:val="single" w:color="000000" w:sz="4" w:space="0"/>
              <w:right w:val="single" w:color="000000" w:sz="4" w:space="0"/>
            </w:tcBorders>
            <w:vAlign w:val="center"/>
          </w:tcPr>
          <w:p w14:paraId="070292FE">
            <w:pPr>
              <w:widowControl w:val="0"/>
              <w:spacing w:line="360" w:lineRule="auto"/>
              <w:jc w:val="left"/>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lang w:eastAsia="zh-CN"/>
              </w:rPr>
              <w:t>石林彝族自治县机关事务管理中心</w:t>
            </w:r>
            <w:r>
              <w:rPr>
                <w:rStyle w:val="34"/>
                <w:rFonts w:hint="eastAsia" w:ascii="仿宋" w:hAnsi="仿宋" w:eastAsia="仿宋" w:cs="仿宋"/>
                <w:color w:val="auto"/>
                <w:szCs w:val="21"/>
                <w:highlight w:val="none"/>
                <w:lang w:val="en-US" w:eastAsia="zh-CN"/>
              </w:rPr>
              <w:t>办公楼（区）室外各类植株进行整形修剪、土壤、水肥管理和病虫害综合治理等日常的养护管理等服务工作</w:t>
            </w:r>
            <w:r>
              <w:rPr>
                <w:rStyle w:val="34"/>
                <w:rFonts w:hint="eastAsia" w:ascii="仿宋" w:hAnsi="仿宋" w:eastAsia="仿宋" w:cs="仿宋"/>
                <w:color w:val="auto"/>
                <w:kern w:val="0"/>
                <w:szCs w:val="21"/>
                <w:highlight w:val="none"/>
              </w:rPr>
              <w:t>。具体服务事项详见竞争性磋商第三章。</w:t>
            </w:r>
          </w:p>
        </w:tc>
      </w:tr>
      <w:tr w14:paraId="228247B9">
        <w:tblPrEx>
          <w:tblCellMar>
            <w:top w:w="0" w:type="dxa"/>
            <w:left w:w="0" w:type="dxa"/>
            <w:bottom w:w="0" w:type="dxa"/>
            <w:right w:w="0" w:type="dxa"/>
          </w:tblCellMar>
        </w:tblPrEx>
        <w:trPr>
          <w:trHeight w:val="90" w:hRule="atLeast"/>
          <w:jc w:val="center"/>
        </w:trPr>
        <w:tc>
          <w:tcPr>
            <w:tcW w:w="877" w:type="dxa"/>
            <w:tcBorders>
              <w:top w:val="single" w:color="000000" w:sz="4" w:space="0"/>
              <w:left w:val="single" w:color="000000" w:sz="4" w:space="0"/>
              <w:bottom w:val="single" w:color="000000" w:sz="4" w:space="0"/>
              <w:right w:val="single" w:color="000000" w:sz="4" w:space="0"/>
            </w:tcBorders>
            <w:vAlign w:val="center"/>
          </w:tcPr>
          <w:p w14:paraId="0EB989B7">
            <w:pPr>
              <w:widowControl w:val="0"/>
              <w:spacing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1.5</w:t>
            </w:r>
          </w:p>
        </w:tc>
        <w:tc>
          <w:tcPr>
            <w:tcW w:w="2289" w:type="dxa"/>
            <w:tcBorders>
              <w:top w:val="single" w:color="000000" w:sz="4" w:space="0"/>
              <w:left w:val="single" w:color="000000" w:sz="4" w:space="0"/>
              <w:bottom w:val="single" w:color="000000" w:sz="4" w:space="0"/>
              <w:right w:val="single" w:color="000000" w:sz="4" w:space="0"/>
            </w:tcBorders>
            <w:vAlign w:val="center"/>
          </w:tcPr>
          <w:p w14:paraId="1F2739E4">
            <w:pPr>
              <w:widowControl w:val="0"/>
              <w:spacing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合同履行期限（服务期）</w:t>
            </w:r>
          </w:p>
        </w:tc>
        <w:tc>
          <w:tcPr>
            <w:tcW w:w="6450" w:type="dxa"/>
            <w:tcBorders>
              <w:top w:val="single" w:color="000000" w:sz="4" w:space="0"/>
              <w:left w:val="single" w:color="000000" w:sz="4" w:space="0"/>
              <w:bottom w:val="single" w:color="000000" w:sz="4" w:space="0"/>
              <w:right w:val="single" w:color="000000" w:sz="4" w:space="0"/>
            </w:tcBorders>
            <w:vAlign w:val="center"/>
          </w:tcPr>
          <w:p w14:paraId="3D60751F">
            <w:pPr>
              <w:widowControl w:val="0"/>
              <w:spacing w:line="324" w:lineRule="auto"/>
              <w:rPr>
                <w:rStyle w:val="34"/>
                <w:rFonts w:ascii="仿宋" w:hAnsi="仿宋" w:eastAsia="仿宋" w:cs="仿宋"/>
                <w:color w:val="auto"/>
                <w:kern w:val="0"/>
                <w:szCs w:val="21"/>
                <w:highlight w:val="none"/>
              </w:rPr>
            </w:pPr>
            <w:r>
              <w:rPr>
                <w:rStyle w:val="34"/>
                <w:rFonts w:hint="eastAsia" w:ascii="仿宋" w:hAnsi="仿宋" w:eastAsia="仿宋" w:cs="仿宋"/>
                <w:color w:val="auto"/>
                <w:szCs w:val="21"/>
                <w:highlight w:val="none"/>
                <w:lang w:eastAsia="zh-CN"/>
              </w:rPr>
              <w:t>三年（合同一年一签，服务期每满一年须由采购人进行年度考核，若考核合格则续签合同，若考核不合格则不再续签合同，累计服务期限不超过三年）</w:t>
            </w:r>
            <w:r>
              <w:rPr>
                <w:rStyle w:val="34"/>
                <w:rFonts w:hint="eastAsia" w:ascii="仿宋" w:hAnsi="仿宋" w:eastAsia="仿宋" w:cs="仿宋"/>
                <w:color w:val="auto"/>
                <w:szCs w:val="21"/>
                <w:highlight w:val="none"/>
              </w:rPr>
              <w:t>。</w:t>
            </w:r>
          </w:p>
        </w:tc>
      </w:tr>
      <w:tr w14:paraId="6BAD629A">
        <w:tblPrEx>
          <w:tblCellMar>
            <w:top w:w="0" w:type="dxa"/>
            <w:left w:w="0" w:type="dxa"/>
            <w:bottom w:w="0" w:type="dxa"/>
            <w:right w:w="0" w:type="dxa"/>
          </w:tblCellMar>
        </w:tblPrEx>
        <w:trPr>
          <w:trHeight w:val="90" w:hRule="atLeast"/>
          <w:jc w:val="center"/>
        </w:trPr>
        <w:tc>
          <w:tcPr>
            <w:tcW w:w="877" w:type="dxa"/>
            <w:tcBorders>
              <w:top w:val="single" w:color="000000" w:sz="4" w:space="0"/>
              <w:left w:val="single" w:color="000000" w:sz="4" w:space="0"/>
              <w:bottom w:val="single" w:color="000000" w:sz="4" w:space="0"/>
              <w:right w:val="single" w:color="000000" w:sz="4" w:space="0"/>
            </w:tcBorders>
            <w:vAlign w:val="center"/>
          </w:tcPr>
          <w:p w14:paraId="3E44E01F">
            <w:pPr>
              <w:widowControl w:val="0"/>
              <w:spacing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1.6</w:t>
            </w:r>
          </w:p>
        </w:tc>
        <w:tc>
          <w:tcPr>
            <w:tcW w:w="2289" w:type="dxa"/>
            <w:tcBorders>
              <w:top w:val="single" w:color="000000" w:sz="4" w:space="0"/>
              <w:left w:val="single" w:color="000000" w:sz="4" w:space="0"/>
              <w:bottom w:val="single" w:color="000000" w:sz="4" w:space="0"/>
              <w:right w:val="single" w:color="000000" w:sz="4" w:space="0"/>
            </w:tcBorders>
            <w:vAlign w:val="center"/>
          </w:tcPr>
          <w:p w14:paraId="6805F44F">
            <w:pPr>
              <w:widowControl w:val="0"/>
              <w:spacing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联合体</w:t>
            </w:r>
          </w:p>
        </w:tc>
        <w:tc>
          <w:tcPr>
            <w:tcW w:w="6450" w:type="dxa"/>
            <w:tcBorders>
              <w:top w:val="single" w:color="000000" w:sz="4" w:space="0"/>
              <w:left w:val="single" w:color="000000" w:sz="4" w:space="0"/>
              <w:bottom w:val="single" w:color="000000" w:sz="4" w:space="0"/>
              <w:right w:val="single" w:color="000000" w:sz="4" w:space="0"/>
            </w:tcBorders>
            <w:vAlign w:val="center"/>
          </w:tcPr>
          <w:p w14:paraId="1CCA2EB0">
            <w:pPr>
              <w:widowControl w:val="0"/>
              <w:spacing w:line="360" w:lineRule="auto"/>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本项目（否）接受联合体投标。</w:t>
            </w:r>
          </w:p>
        </w:tc>
      </w:tr>
      <w:tr w14:paraId="0F9996D3">
        <w:tblPrEx>
          <w:tblCellMar>
            <w:top w:w="0" w:type="dxa"/>
            <w:left w:w="0" w:type="dxa"/>
            <w:bottom w:w="0" w:type="dxa"/>
            <w:right w:w="0" w:type="dxa"/>
          </w:tblCellMar>
        </w:tblPrEx>
        <w:trPr>
          <w:trHeight w:val="557" w:hRule="atLeast"/>
          <w:jc w:val="center"/>
        </w:trPr>
        <w:tc>
          <w:tcPr>
            <w:tcW w:w="877" w:type="dxa"/>
            <w:tcBorders>
              <w:top w:val="single" w:color="000000" w:sz="4" w:space="0"/>
              <w:left w:val="single" w:color="000000" w:sz="4" w:space="0"/>
              <w:bottom w:val="single" w:color="000000" w:sz="4" w:space="0"/>
              <w:right w:val="single" w:color="000000" w:sz="4" w:space="0"/>
            </w:tcBorders>
            <w:vAlign w:val="center"/>
          </w:tcPr>
          <w:p w14:paraId="5A1E6A40">
            <w:pPr>
              <w:widowControl w:val="0"/>
              <w:spacing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1.7</w:t>
            </w:r>
          </w:p>
        </w:tc>
        <w:tc>
          <w:tcPr>
            <w:tcW w:w="2289" w:type="dxa"/>
            <w:tcBorders>
              <w:top w:val="single" w:color="000000" w:sz="4" w:space="0"/>
              <w:left w:val="single" w:color="000000" w:sz="4" w:space="0"/>
              <w:bottom w:val="single" w:color="000000" w:sz="4" w:space="0"/>
              <w:right w:val="single" w:color="000000" w:sz="4" w:space="0"/>
            </w:tcBorders>
            <w:vAlign w:val="center"/>
          </w:tcPr>
          <w:p w14:paraId="517CF639">
            <w:pPr>
              <w:widowControl w:val="0"/>
              <w:spacing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服务</w:t>
            </w:r>
            <w:r>
              <w:rPr>
                <w:rStyle w:val="34"/>
                <w:rFonts w:hint="eastAsia" w:ascii="仿宋" w:hAnsi="仿宋" w:eastAsia="仿宋" w:cs="仿宋"/>
                <w:color w:val="auto"/>
                <w:kern w:val="0"/>
                <w:szCs w:val="21"/>
                <w:highlight w:val="none"/>
              </w:rPr>
              <w:t>地点</w:t>
            </w:r>
          </w:p>
        </w:tc>
        <w:tc>
          <w:tcPr>
            <w:tcW w:w="6450" w:type="dxa"/>
            <w:tcBorders>
              <w:top w:val="single" w:color="000000" w:sz="4" w:space="0"/>
              <w:left w:val="single" w:color="000000" w:sz="4" w:space="0"/>
              <w:bottom w:val="single" w:color="000000" w:sz="4" w:space="0"/>
              <w:right w:val="single" w:color="000000" w:sz="4" w:space="0"/>
            </w:tcBorders>
            <w:vAlign w:val="center"/>
          </w:tcPr>
          <w:p w14:paraId="3ED6DEAA">
            <w:pPr>
              <w:widowControl w:val="0"/>
              <w:spacing w:line="360" w:lineRule="auto"/>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服务地点：</w:t>
            </w:r>
            <w:r>
              <w:rPr>
                <w:rStyle w:val="34"/>
                <w:rFonts w:hint="eastAsia" w:ascii="仿宋" w:hAnsi="仿宋" w:eastAsia="仿宋" w:cs="仿宋"/>
                <w:color w:val="auto"/>
                <w:szCs w:val="21"/>
                <w:highlight w:val="none"/>
                <w:lang w:eastAsia="zh-CN"/>
              </w:rPr>
              <w:t>石林彝族自治县行政中心（石林彝族自治县兴林路）</w:t>
            </w:r>
            <w:r>
              <w:rPr>
                <w:rStyle w:val="34"/>
                <w:rFonts w:hint="eastAsia" w:ascii="仿宋" w:hAnsi="仿宋" w:eastAsia="仿宋" w:cs="仿宋"/>
                <w:color w:val="auto"/>
                <w:szCs w:val="21"/>
                <w:highlight w:val="none"/>
              </w:rPr>
              <w:t>。</w:t>
            </w:r>
          </w:p>
        </w:tc>
      </w:tr>
      <w:tr w14:paraId="4BD83C01">
        <w:tblPrEx>
          <w:tblCellMar>
            <w:top w:w="0" w:type="dxa"/>
            <w:left w:w="0" w:type="dxa"/>
            <w:bottom w:w="0" w:type="dxa"/>
            <w:right w:w="0" w:type="dxa"/>
          </w:tblCellMar>
        </w:tblPrEx>
        <w:trPr>
          <w:trHeight w:val="377" w:hRule="atLeast"/>
          <w:jc w:val="center"/>
        </w:trPr>
        <w:tc>
          <w:tcPr>
            <w:tcW w:w="877" w:type="dxa"/>
            <w:tcBorders>
              <w:top w:val="single" w:color="000000" w:sz="4" w:space="0"/>
              <w:left w:val="single" w:color="000000" w:sz="4" w:space="0"/>
              <w:bottom w:val="single" w:color="000000" w:sz="4" w:space="0"/>
              <w:right w:val="single" w:color="000000" w:sz="4" w:space="0"/>
            </w:tcBorders>
            <w:vAlign w:val="center"/>
          </w:tcPr>
          <w:p w14:paraId="24840EB1">
            <w:pPr>
              <w:widowControl w:val="0"/>
              <w:spacing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1.8</w:t>
            </w:r>
          </w:p>
        </w:tc>
        <w:tc>
          <w:tcPr>
            <w:tcW w:w="2289" w:type="dxa"/>
            <w:tcBorders>
              <w:top w:val="single" w:color="000000" w:sz="4" w:space="0"/>
              <w:left w:val="single" w:color="000000" w:sz="4" w:space="0"/>
              <w:bottom w:val="single" w:color="000000" w:sz="4" w:space="0"/>
              <w:right w:val="single" w:color="000000" w:sz="4" w:space="0"/>
            </w:tcBorders>
            <w:vAlign w:val="center"/>
          </w:tcPr>
          <w:p w14:paraId="0D79F975">
            <w:pPr>
              <w:widowControl w:val="0"/>
              <w:spacing w:line="360" w:lineRule="auto"/>
              <w:jc w:val="center"/>
              <w:rPr>
                <w:rFonts w:ascii="仿宋" w:hAnsi="仿宋" w:eastAsia="仿宋" w:cs="仿宋"/>
                <w:color w:val="auto"/>
                <w:kern w:val="0"/>
                <w:szCs w:val="21"/>
                <w:highlight w:val="none"/>
              </w:rPr>
            </w:pPr>
            <w:r>
              <w:rPr>
                <w:rFonts w:ascii="仿宋" w:hAnsi="仿宋" w:eastAsia="仿宋" w:cs="仿宋"/>
                <w:color w:val="auto"/>
                <w:kern w:val="0"/>
                <w:szCs w:val="21"/>
                <w:highlight w:val="none"/>
              </w:rPr>
              <w:t>服务标准</w:t>
            </w:r>
          </w:p>
        </w:tc>
        <w:tc>
          <w:tcPr>
            <w:tcW w:w="6450" w:type="dxa"/>
            <w:tcBorders>
              <w:top w:val="single" w:color="000000" w:sz="4" w:space="0"/>
              <w:left w:val="single" w:color="000000" w:sz="4" w:space="0"/>
              <w:bottom w:val="single" w:color="000000" w:sz="4" w:space="0"/>
              <w:right w:val="single" w:color="000000" w:sz="4" w:space="0"/>
            </w:tcBorders>
            <w:vAlign w:val="center"/>
          </w:tcPr>
          <w:p w14:paraId="63B9974D">
            <w:pPr>
              <w:widowControl w:val="0"/>
              <w:spacing w:line="360" w:lineRule="auto"/>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lang w:eastAsia="zh-CN"/>
              </w:rPr>
              <w:t>满足采购人就本项目提出的要求及需求，按时完成工作任务</w:t>
            </w:r>
            <w:r>
              <w:rPr>
                <w:rStyle w:val="34"/>
                <w:rFonts w:ascii="仿宋" w:hAnsi="仿宋" w:eastAsia="仿宋" w:cs="仿宋"/>
                <w:color w:val="auto"/>
                <w:szCs w:val="21"/>
                <w:highlight w:val="none"/>
              </w:rPr>
              <w:t>。</w:t>
            </w:r>
          </w:p>
        </w:tc>
      </w:tr>
      <w:tr w14:paraId="35551575">
        <w:tblPrEx>
          <w:tblCellMar>
            <w:top w:w="0" w:type="dxa"/>
            <w:left w:w="0" w:type="dxa"/>
            <w:bottom w:w="0" w:type="dxa"/>
            <w:right w:w="0" w:type="dxa"/>
          </w:tblCellMar>
        </w:tblPrEx>
        <w:trPr>
          <w:trHeight w:val="612" w:hRule="atLeast"/>
          <w:jc w:val="center"/>
        </w:trPr>
        <w:tc>
          <w:tcPr>
            <w:tcW w:w="877" w:type="dxa"/>
            <w:tcBorders>
              <w:top w:val="single" w:color="000000" w:sz="4" w:space="0"/>
              <w:left w:val="single" w:color="000000" w:sz="4" w:space="0"/>
              <w:bottom w:val="single" w:color="000000" w:sz="4" w:space="0"/>
              <w:right w:val="single" w:color="000000" w:sz="4" w:space="0"/>
            </w:tcBorders>
            <w:vAlign w:val="center"/>
          </w:tcPr>
          <w:p w14:paraId="3CB93FCE">
            <w:pPr>
              <w:widowControl w:val="0"/>
              <w:spacing w:before="60" w:after="60"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2.1</w:t>
            </w:r>
          </w:p>
        </w:tc>
        <w:tc>
          <w:tcPr>
            <w:tcW w:w="2289" w:type="dxa"/>
            <w:tcBorders>
              <w:top w:val="single" w:color="000000" w:sz="4" w:space="0"/>
              <w:left w:val="single" w:color="000000" w:sz="4" w:space="0"/>
              <w:bottom w:val="single" w:color="000000" w:sz="4" w:space="0"/>
              <w:right w:val="single" w:color="000000" w:sz="4" w:space="0"/>
            </w:tcBorders>
            <w:vAlign w:val="center"/>
          </w:tcPr>
          <w:p w14:paraId="2FB10ABE">
            <w:pPr>
              <w:widowControl w:val="0"/>
              <w:spacing w:before="60" w:after="60"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供应商资格要求</w:t>
            </w:r>
          </w:p>
        </w:tc>
        <w:tc>
          <w:tcPr>
            <w:tcW w:w="6450" w:type="dxa"/>
            <w:tcBorders>
              <w:top w:val="single" w:color="000000" w:sz="4" w:space="0"/>
              <w:left w:val="single" w:color="000000" w:sz="4" w:space="0"/>
              <w:bottom w:val="single" w:color="000000" w:sz="4" w:space="0"/>
              <w:right w:val="single" w:color="000000" w:sz="4" w:space="0"/>
            </w:tcBorders>
            <w:vAlign w:val="center"/>
          </w:tcPr>
          <w:p w14:paraId="07D9A468">
            <w:pPr>
              <w:widowControl w:val="0"/>
              <w:spacing w:line="336" w:lineRule="auto"/>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w:t>
            </w:r>
            <w:r>
              <w:rPr>
                <w:rStyle w:val="34"/>
                <w:rFonts w:hint="eastAsia" w:ascii="仿宋" w:hAnsi="仿宋" w:eastAsia="仿宋" w:cs="仿宋"/>
                <w:bCs/>
                <w:color w:val="auto"/>
                <w:kern w:val="0"/>
                <w:szCs w:val="21"/>
                <w:highlight w:val="none"/>
              </w:rPr>
              <w:t>供应商应为中华人民共和国境内合法注册；</w:t>
            </w:r>
            <w:r>
              <w:rPr>
                <w:rStyle w:val="34"/>
                <w:rFonts w:hint="eastAsia" w:ascii="仿宋" w:hAnsi="仿宋" w:eastAsia="仿宋" w:cs="仿宋"/>
                <w:color w:val="auto"/>
                <w:szCs w:val="21"/>
                <w:highlight w:val="none"/>
              </w:rPr>
              <w:t>满足《中华人民共和国政府采购法》第二十二条规定：</w:t>
            </w:r>
          </w:p>
          <w:p w14:paraId="0209179D">
            <w:pPr>
              <w:widowControl w:val="0"/>
              <w:spacing w:line="324" w:lineRule="auto"/>
              <w:rPr>
                <w:rStyle w:val="34"/>
                <w:rFonts w:ascii="仿宋" w:hAnsi="仿宋" w:eastAsia="仿宋" w:cs="仿宋"/>
                <w:bCs/>
                <w:color w:val="auto"/>
                <w:kern w:val="0"/>
                <w:szCs w:val="21"/>
                <w:highlight w:val="none"/>
              </w:rPr>
            </w:pPr>
            <w:r>
              <w:rPr>
                <w:rStyle w:val="34"/>
                <w:rFonts w:hint="eastAsia" w:ascii="仿宋" w:hAnsi="仿宋" w:eastAsia="仿宋" w:cs="仿宋"/>
                <w:bCs/>
                <w:color w:val="auto"/>
                <w:kern w:val="0"/>
                <w:szCs w:val="21"/>
                <w:highlight w:val="none"/>
              </w:rPr>
              <w:t>（1）具有独立承担民事责任的能力：提供有效的营业执照。</w:t>
            </w:r>
          </w:p>
          <w:p w14:paraId="60E8CBC0">
            <w:pPr>
              <w:widowControl w:val="0"/>
              <w:spacing w:line="324" w:lineRule="auto"/>
              <w:rPr>
                <w:rStyle w:val="34"/>
                <w:rFonts w:ascii="仿宋" w:hAnsi="仿宋" w:eastAsia="仿宋" w:cs="仿宋"/>
                <w:bCs/>
                <w:color w:val="auto"/>
                <w:kern w:val="0"/>
                <w:szCs w:val="21"/>
                <w:highlight w:val="none"/>
              </w:rPr>
            </w:pPr>
            <w:r>
              <w:rPr>
                <w:rStyle w:val="34"/>
                <w:rFonts w:hint="eastAsia" w:ascii="仿宋" w:hAnsi="仿宋" w:eastAsia="仿宋" w:cs="仿宋"/>
                <w:bCs/>
                <w:color w:val="auto"/>
                <w:kern w:val="0"/>
                <w:szCs w:val="21"/>
                <w:highlight w:val="none"/>
              </w:rPr>
              <w:t>（2）具有良好的商业信誉和健全的财务会计制度：提供良好的商业信誉承诺书或声明函，提供近三年（2021年-2023年）经非本单位专业审计机构审计的财务报表及审计报告；公司成立不满三年的，提供成立后的非本单位专业审计机构审计的财务报表及审计报告；成立不满1年的，无需提供上述证明材料；事业单位提供会计报表。</w:t>
            </w:r>
          </w:p>
          <w:p w14:paraId="6718BA10">
            <w:pPr>
              <w:widowControl w:val="0"/>
              <w:spacing w:line="324" w:lineRule="auto"/>
              <w:rPr>
                <w:rStyle w:val="34"/>
                <w:rFonts w:ascii="仿宋" w:hAnsi="仿宋" w:eastAsia="仿宋" w:cs="仿宋"/>
                <w:bCs/>
                <w:color w:val="auto"/>
                <w:kern w:val="0"/>
                <w:szCs w:val="21"/>
                <w:highlight w:val="none"/>
              </w:rPr>
            </w:pPr>
            <w:r>
              <w:rPr>
                <w:rStyle w:val="34"/>
                <w:rFonts w:hint="eastAsia" w:ascii="仿宋" w:hAnsi="仿宋" w:eastAsia="仿宋" w:cs="仿宋"/>
                <w:bCs/>
                <w:color w:val="auto"/>
                <w:kern w:val="0"/>
                <w:szCs w:val="21"/>
                <w:highlight w:val="none"/>
              </w:rPr>
              <w:t>（3）具有履行合同所必需的设备和专业技术能力：提供证明材料（声明函或承诺书或相关证明材料）。</w:t>
            </w:r>
          </w:p>
          <w:p w14:paraId="4CC4BFAA">
            <w:pPr>
              <w:widowControl w:val="0"/>
              <w:spacing w:line="324" w:lineRule="auto"/>
              <w:rPr>
                <w:rStyle w:val="34"/>
                <w:rFonts w:ascii="仿宋" w:hAnsi="仿宋" w:eastAsia="仿宋" w:cs="仿宋"/>
                <w:bCs/>
                <w:color w:val="auto"/>
                <w:kern w:val="0"/>
                <w:szCs w:val="21"/>
                <w:highlight w:val="none"/>
              </w:rPr>
            </w:pPr>
            <w:r>
              <w:rPr>
                <w:rStyle w:val="34"/>
                <w:rFonts w:hint="eastAsia" w:ascii="仿宋" w:hAnsi="仿宋" w:eastAsia="仿宋" w:cs="仿宋"/>
                <w:bCs/>
                <w:color w:val="auto"/>
                <w:kern w:val="0"/>
                <w:szCs w:val="21"/>
                <w:highlight w:val="none"/>
              </w:rPr>
              <w:t>（4）有依法缴纳税收和社会保障资金的良好记录：2024年度任意一个月已缴纳税收和缴纳社会保障资金的证明材料（公司成立不足一个月的投标人无需提供上述材料。依法免税或不需要缴纳社会保障资金的投标人应提供依法免税或免缴的相关证明文件）。</w:t>
            </w:r>
          </w:p>
          <w:p w14:paraId="1D8EC211">
            <w:pPr>
              <w:widowControl w:val="0"/>
              <w:spacing w:line="324" w:lineRule="auto"/>
              <w:rPr>
                <w:rStyle w:val="34"/>
                <w:rFonts w:ascii="仿宋" w:hAnsi="仿宋" w:eastAsia="仿宋" w:cs="仿宋"/>
                <w:bCs/>
                <w:color w:val="auto"/>
                <w:kern w:val="0"/>
                <w:szCs w:val="21"/>
                <w:highlight w:val="none"/>
              </w:rPr>
            </w:pPr>
            <w:r>
              <w:rPr>
                <w:rStyle w:val="34"/>
                <w:rFonts w:hint="eastAsia" w:ascii="仿宋" w:hAnsi="仿宋" w:eastAsia="仿宋" w:cs="仿宋"/>
                <w:bCs/>
                <w:color w:val="auto"/>
                <w:kern w:val="0"/>
                <w:szCs w:val="21"/>
                <w:highlight w:val="none"/>
              </w:rPr>
              <w:t>（5）参加政府采购活动前三年内，在经营活动中没有重大违法记录：提供证明材料（声明函或承诺书或相关证明材料）。</w:t>
            </w:r>
          </w:p>
          <w:p w14:paraId="40367361">
            <w:pPr>
              <w:widowControl w:val="0"/>
              <w:spacing w:line="324" w:lineRule="auto"/>
              <w:rPr>
                <w:rStyle w:val="34"/>
                <w:rFonts w:ascii="仿宋" w:hAnsi="仿宋" w:eastAsia="仿宋" w:cs="仿宋"/>
                <w:color w:val="auto"/>
                <w:szCs w:val="21"/>
                <w:highlight w:val="none"/>
              </w:rPr>
            </w:pPr>
            <w:r>
              <w:rPr>
                <w:rStyle w:val="34"/>
                <w:rFonts w:hint="eastAsia" w:ascii="仿宋" w:hAnsi="仿宋" w:eastAsia="仿宋" w:cs="仿宋"/>
                <w:bCs/>
                <w:color w:val="auto"/>
                <w:kern w:val="0"/>
                <w:szCs w:val="21"/>
                <w:highlight w:val="none"/>
              </w:rPr>
              <w:t>（6）法律、行政法规规定的其他条件：</w:t>
            </w:r>
            <w:r>
              <w:rPr>
                <w:rFonts w:hint="eastAsia" w:ascii="仿宋" w:hAnsi="仿宋" w:eastAsia="仿宋" w:cs="仿宋"/>
                <w:bCs/>
                <w:color w:val="auto"/>
                <w:szCs w:val="21"/>
                <w:highlight w:val="none"/>
              </w:rPr>
              <w:t>按《政府采购货物和服务招标投标管理办法》(财政部令第87号)、《财政部关于在政府采购活动中查询及使用信用记录有关问题的通知》(财库[2016]125号)相关要求，未被列入“信用中国”网站（www.creditchina.gov.cn）失信被执行人、重大税收违法案件当事人名单、政府采购严重违法失信行为记录名单及中国政府采购网（www.ccgp.gov.cn）“政府采购严重违法失信行为信息记录”(被禁止在一定期限内参加政府采购活动但期限届满的除外)（查询方式及时间：由采购人、采购代理机构在开标结束后在上述官网统一查询）</w:t>
            </w:r>
            <w:r>
              <w:rPr>
                <w:rStyle w:val="34"/>
                <w:rFonts w:hint="eastAsia" w:ascii="仿宋" w:hAnsi="仿宋" w:eastAsia="仿宋" w:cs="仿宋"/>
                <w:bCs/>
                <w:color w:val="auto"/>
                <w:kern w:val="0"/>
                <w:szCs w:val="21"/>
                <w:highlight w:val="none"/>
              </w:rPr>
              <w:t>。</w:t>
            </w:r>
          </w:p>
          <w:p w14:paraId="38D50623">
            <w:pPr>
              <w:widowControl w:val="0"/>
              <w:spacing w:line="336" w:lineRule="auto"/>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2、落实政府采购政策需满足的资格要求：</w:t>
            </w:r>
            <w:r>
              <w:rPr>
                <w:rStyle w:val="34"/>
                <w:rFonts w:hint="eastAsia" w:ascii="仿宋" w:hAnsi="仿宋" w:eastAsia="仿宋" w:cs="仿宋"/>
                <w:color w:val="auto"/>
                <w:szCs w:val="21"/>
                <w:highlight w:val="none"/>
                <w:lang w:eastAsia="zh-CN"/>
              </w:rPr>
              <w:t>本项目专门面向中小企业采购</w:t>
            </w:r>
            <w:r>
              <w:rPr>
                <w:rStyle w:val="34"/>
                <w:rFonts w:hint="eastAsia" w:ascii="仿宋" w:hAnsi="仿宋" w:eastAsia="仿宋" w:cs="仿宋"/>
                <w:color w:val="auto"/>
                <w:szCs w:val="21"/>
                <w:highlight w:val="none"/>
              </w:rPr>
              <w:t>。</w:t>
            </w:r>
          </w:p>
          <w:p w14:paraId="762F8045">
            <w:pPr>
              <w:widowControl w:val="0"/>
              <w:spacing w:line="336" w:lineRule="auto"/>
              <w:rPr>
                <w:rStyle w:val="34"/>
                <w:rFonts w:ascii="仿宋" w:hAnsi="仿宋" w:eastAsia="仿宋" w:cs="仿宋"/>
                <w:bCs/>
                <w:color w:val="auto"/>
                <w:szCs w:val="21"/>
                <w:highlight w:val="none"/>
              </w:rPr>
            </w:pPr>
            <w:r>
              <w:rPr>
                <w:rStyle w:val="34"/>
                <w:rFonts w:hint="eastAsia" w:ascii="仿宋" w:hAnsi="仿宋" w:eastAsia="仿宋" w:cs="仿宋"/>
                <w:color w:val="auto"/>
                <w:szCs w:val="21"/>
                <w:highlight w:val="none"/>
              </w:rPr>
              <w:t>3、本项目的特定资格要求：</w:t>
            </w:r>
            <w:r>
              <w:rPr>
                <w:rStyle w:val="34"/>
                <w:rFonts w:hint="eastAsia" w:ascii="仿宋" w:hAnsi="仿宋" w:eastAsia="仿宋" w:cs="仿宋"/>
                <w:bCs/>
                <w:color w:val="auto"/>
                <w:szCs w:val="21"/>
                <w:highlight w:val="none"/>
              </w:rPr>
              <w:t>法定代表人、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声明函或承诺书或相关证明材料）</w:t>
            </w:r>
            <w:r>
              <w:rPr>
                <w:rStyle w:val="34"/>
                <w:rFonts w:hint="eastAsia" w:ascii="仿宋" w:hAnsi="仿宋" w:eastAsia="仿宋" w:cs="仿宋"/>
                <w:bCs/>
                <w:color w:val="auto"/>
                <w:kern w:val="0"/>
                <w:szCs w:val="21"/>
                <w:highlight w:val="none"/>
              </w:rPr>
              <w:t>。</w:t>
            </w:r>
          </w:p>
        </w:tc>
      </w:tr>
      <w:tr w14:paraId="58F1518C">
        <w:tblPrEx>
          <w:tblCellMar>
            <w:top w:w="0" w:type="dxa"/>
            <w:left w:w="0" w:type="dxa"/>
            <w:bottom w:w="0" w:type="dxa"/>
            <w:right w:w="0" w:type="dxa"/>
          </w:tblCellMar>
        </w:tblPrEx>
        <w:trPr>
          <w:trHeight w:val="789" w:hRule="atLeast"/>
          <w:jc w:val="center"/>
        </w:trPr>
        <w:tc>
          <w:tcPr>
            <w:tcW w:w="877" w:type="dxa"/>
            <w:tcBorders>
              <w:top w:val="single" w:color="000000" w:sz="4" w:space="0"/>
              <w:left w:val="single" w:color="000000" w:sz="4" w:space="0"/>
              <w:bottom w:val="single" w:color="000000" w:sz="4" w:space="0"/>
              <w:right w:val="single" w:color="000000" w:sz="4" w:space="0"/>
            </w:tcBorders>
            <w:vAlign w:val="center"/>
          </w:tcPr>
          <w:p w14:paraId="5361C5E0">
            <w:pPr>
              <w:widowControl w:val="0"/>
              <w:spacing w:before="60" w:after="60"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3.2</w:t>
            </w:r>
          </w:p>
        </w:tc>
        <w:tc>
          <w:tcPr>
            <w:tcW w:w="2289" w:type="dxa"/>
            <w:tcBorders>
              <w:top w:val="single" w:color="000000" w:sz="4" w:space="0"/>
              <w:left w:val="single" w:color="000000" w:sz="4" w:space="0"/>
              <w:bottom w:val="single" w:color="000000" w:sz="4" w:space="0"/>
              <w:right w:val="single" w:color="000000" w:sz="4" w:space="0"/>
            </w:tcBorders>
            <w:vAlign w:val="center"/>
          </w:tcPr>
          <w:p w14:paraId="132534B0">
            <w:pPr>
              <w:widowControl w:val="0"/>
              <w:spacing w:before="60" w:after="60"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招标代理服务费</w:t>
            </w:r>
          </w:p>
        </w:tc>
        <w:tc>
          <w:tcPr>
            <w:tcW w:w="6450" w:type="dxa"/>
            <w:tcBorders>
              <w:top w:val="single" w:color="000000" w:sz="4" w:space="0"/>
              <w:left w:val="single" w:color="000000" w:sz="4" w:space="0"/>
              <w:bottom w:val="single" w:color="000000" w:sz="4" w:space="0"/>
              <w:right w:val="single" w:color="000000" w:sz="4" w:space="0"/>
            </w:tcBorders>
            <w:vAlign w:val="center"/>
          </w:tcPr>
          <w:p w14:paraId="77DED203">
            <w:pPr>
              <w:pStyle w:val="94"/>
              <w:widowControl w:val="0"/>
              <w:spacing w:before="60" w:after="60" w:line="360" w:lineRule="auto"/>
              <w:rPr>
                <w:rStyle w:val="34"/>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本项目不收取招标代理服务费</w:t>
            </w:r>
            <w:r>
              <w:rPr>
                <w:rFonts w:hint="eastAsia" w:ascii="仿宋" w:hAnsi="仿宋" w:eastAsia="仿宋" w:cs="仿宋"/>
                <w:color w:val="auto"/>
                <w:sz w:val="21"/>
                <w:szCs w:val="21"/>
                <w:highlight w:val="none"/>
              </w:rPr>
              <w:t>。</w:t>
            </w:r>
          </w:p>
        </w:tc>
      </w:tr>
      <w:tr w14:paraId="2149DA6F">
        <w:tblPrEx>
          <w:tblCellMar>
            <w:top w:w="0" w:type="dxa"/>
            <w:left w:w="0" w:type="dxa"/>
            <w:bottom w:w="0" w:type="dxa"/>
            <w:right w:w="0" w:type="dxa"/>
          </w:tblCellMar>
        </w:tblPrEx>
        <w:trPr>
          <w:trHeight w:val="409" w:hRule="atLeast"/>
          <w:jc w:val="center"/>
        </w:trPr>
        <w:tc>
          <w:tcPr>
            <w:tcW w:w="877" w:type="dxa"/>
            <w:tcBorders>
              <w:top w:val="single" w:color="000000" w:sz="4" w:space="0"/>
              <w:left w:val="single" w:color="000000" w:sz="4" w:space="0"/>
              <w:bottom w:val="single" w:color="000000" w:sz="4" w:space="0"/>
              <w:right w:val="single" w:color="000000" w:sz="4" w:space="0"/>
            </w:tcBorders>
            <w:vAlign w:val="center"/>
          </w:tcPr>
          <w:p w14:paraId="1A07ECED">
            <w:pPr>
              <w:widowControl w:val="0"/>
              <w:spacing w:before="60" w:after="60"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5.1</w:t>
            </w:r>
          </w:p>
        </w:tc>
        <w:tc>
          <w:tcPr>
            <w:tcW w:w="2289" w:type="dxa"/>
            <w:tcBorders>
              <w:top w:val="single" w:color="000000" w:sz="4" w:space="0"/>
              <w:left w:val="single" w:color="000000" w:sz="4" w:space="0"/>
              <w:bottom w:val="single" w:color="000000" w:sz="4" w:space="0"/>
              <w:right w:val="single" w:color="000000" w:sz="4" w:space="0"/>
            </w:tcBorders>
            <w:vAlign w:val="center"/>
          </w:tcPr>
          <w:p w14:paraId="5B490CA6">
            <w:pPr>
              <w:widowControl w:val="0"/>
              <w:spacing w:before="60" w:after="60"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供应商提出问题的截止时间</w:t>
            </w:r>
          </w:p>
        </w:tc>
        <w:tc>
          <w:tcPr>
            <w:tcW w:w="6450" w:type="dxa"/>
            <w:tcBorders>
              <w:top w:val="single" w:color="000000" w:sz="4" w:space="0"/>
              <w:left w:val="single" w:color="000000" w:sz="4" w:space="0"/>
              <w:bottom w:val="single" w:color="000000" w:sz="4" w:space="0"/>
              <w:right w:val="single" w:color="000000" w:sz="4" w:space="0"/>
            </w:tcBorders>
            <w:vAlign w:val="center"/>
          </w:tcPr>
          <w:p w14:paraId="6506F73D">
            <w:pPr>
              <w:widowControl w:val="0"/>
              <w:tabs>
                <w:tab w:val="center" w:pos="3220"/>
              </w:tabs>
              <w:spacing w:line="360" w:lineRule="auto"/>
              <w:rPr>
                <w:rStyle w:val="34"/>
                <w:rFonts w:hint="eastAsia" w:ascii="仿宋" w:hAnsi="仿宋" w:eastAsia="仿宋" w:cs="仿宋"/>
                <w:color w:val="auto"/>
                <w:szCs w:val="21"/>
                <w:highlight w:val="none"/>
                <w:lang w:eastAsia="zh-CN"/>
              </w:rPr>
            </w:pPr>
            <w:r>
              <w:rPr>
                <w:rStyle w:val="34"/>
                <w:rFonts w:hint="eastAsia" w:ascii="仿宋" w:hAnsi="仿宋" w:eastAsia="仿宋" w:cs="仿宋"/>
                <w:bCs/>
                <w:color w:val="auto"/>
                <w:kern w:val="0"/>
                <w:szCs w:val="21"/>
                <w:highlight w:val="none"/>
              </w:rPr>
              <w:t>响应文件递交截止时间5日前。</w:t>
            </w:r>
            <w:r>
              <w:rPr>
                <w:rStyle w:val="34"/>
                <w:rFonts w:hint="eastAsia" w:ascii="仿宋" w:hAnsi="仿宋" w:eastAsia="仿宋" w:cs="仿宋"/>
                <w:bCs/>
                <w:color w:val="auto"/>
                <w:kern w:val="0"/>
                <w:szCs w:val="21"/>
                <w:highlight w:val="none"/>
                <w:lang w:eastAsia="zh-CN"/>
              </w:rPr>
              <w:tab/>
            </w:r>
          </w:p>
        </w:tc>
      </w:tr>
      <w:tr w14:paraId="31086F5F">
        <w:tblPrEx>
          <w:tblCellMar>
            <w:top w:w="0" w:type="dxa"/>
            <w:left w:w="0" w:type="dxa"/>
            <w:bottom w:w="0" w:type="dxa"/>
            <w:right w:w="0" w:type="dxa"/>
          </w:tblCellMar>
        </w:tblPrEx>
        <w:trPr>
          <w:trHeight w:val="588" w:hRule="atLeast"/>
          <w:jc w:val="center"/>
        </w:trPr>
        <w:tc>
          <w:tcPr>
            <w:tcW w:w="877" w:type="dxa"/>
            <w:tcBorders>
              <w:top w:val="single" w:color="000000" w:sz="4" w:space="0"/>
              <w:left w:val="single" w:color="000000" w:sz="4" w:space="0"/>
              <w:bottom w:val="single" w:color="000000" w:sz="4" w:space="0"/>
              <w:right w:val="single" w:color="000000" w:sz="4" w:space="0"/>
            </w:tcBorders>
            <w:vAlign w:val="center"/>
          </w:tcPr>
          <w:p w14:paraId="65984D31">
            <w:pPr>
              <w:widowControl w:val="0"/>
              <w:spacing w:before="60" w:after="60"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6.1</w:t>
            </w:r>
          </w:p>
        </w:tc>
        <w:tc>
          <w:tcPr>
            <w:tcW w:w="2289" w:type="dxa"/>
            <w:tcBorders>
              <w:top w:val="single" w:color="000000" w:sz="4" w:space="0"/>
              <w:left w:val="single" w:color="000000" w:sz="4" w:space="0"/>
              <w:bottom w:val="single" w:color="000000" w:sz="4" w:space="0"/>
              <w:right w:val="single" w:color="000000" w:sz="4" w:space="0"/>
            </w:tcBorders>
            <w:vAlign w:val="center"/>
          </w:tcPr>
          <w:p w14:paraId="5987F48C">
            <w:pPr>
              <w:widowControl w:val="0"/>
              <w:spacing w:before="60" w:after="60"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采购人澄清的时间</w:t>
            </w:r>
          </w:p>
        </w:tc>
        <w:tc>
          <w:tcPr>
            <w:tcW w:w="6450" w:type="dxa"/>
            <w:tcBorders>
              <w:top w:val="single" w:color="000000" w:sz="4" w:space="0"/>
              <w:left w:val="single" w:color="000000" w:sz="4" w:space="0"/>
              <w:bottom w:val="single" w:color="000000" w:sz="4" w:space="0"/>
              <w:right w:val="single" w:color="000000" w:sz="4" w:space="0"/>
            </w:tcBorders>
            <w:vAlign w:val="center"/>
          </w:tcPr>
          <w:p w14:paraId="09E5EAEA">
            <w:pPr>
              <w:widowControl w:val="0"/>
              <w:spacing w:line="360" w:lineRule="auto"/>
              <w:rPr>
                <w:rStyle w:val="34"/>
                <w:rFonts w:ascii="仿宋" w:hAnsi="仿宋" w:eastAsia="仿宋" w:cs="仿宋"/>
                <w:color w:val="auto"/>
                <w:szCs w:val="21"/>
                <w:highlight w:val="none"/>
              </w:rPr>
            </w:pPr>
            <w:r>
              <w:rPr>
                <w:rStyle w:val="34"/>
                <w:rFonts w:hint="eastAsia" w:ascii="仿宋" w:hAnsi="仿宋" w:eastAsia="仿宋" w:cs="仿宋"/>
                <w:bCs/>
                <w:color w:val="auto"/>
                <w:kern w:val="0"/>
                <w:szCs w:val="21"/>
                <w:highlight w:val="none"/>
              </w:rPr>
              <w:t>响应文件递交截止时间5日前。</w:t>
            </w:r>
          </w:p>
        </w:tc>
      </w:tr>
      <w:tr w14:paraId="3328B55D">
        <w:tblPrEx>
          <w:tblCellMar>
            <w:top w:w="0" w:type="dxa"/>
            <w:left w:w="0" w:type="dxa"/>
            <w:bottom w:w="0" w:type="dxa"/>
            <w:right w:w="0" w:type="dxa"/>
          </w:tblCellMar>
        </w:tblPrEx>
        <w:trPr>
          <w:trHeight w:val="558" w:hRule="atLeast"/>
          <w:jc w:val="center"/>
        </w:trPr>
        <w:tc>
          <w:tcPr>
            <w:tcW w:w="877" w:type="dxa"/>
            <w:tcBorders>
              <w:top w:val="single" w:color="000000" w:sz="4" w:space="0"/>
              <w:left w:val="single" w:color="000000" w:sz="4" w:space="0"/>
              <w:bottom w:val="single" w:color="000000" w:sz="4" w:space="0"/>
              <w:right w:val="single" w:color="000000" w:sz="4" w:space="0"/>
            </w:tcBorders>
            <w:vAlign w:val="center"/>
          </w:tcPr>
          <w:p w14:paraId="3B58D122">
            <w:pPr>
              <w:widowControl w:val="0"/>
              <w:spacing w:before="60" w:after="60"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10.1</w:t>
            </w:r>
          </w:p>
        </w:tc>
        <w:tc>
          <w:tcPr>
            <w:tcW w:w="2289" w:type="dxa"/>
            <w:tcBorders>
              <w:top w:val="single" w:color="000000" w:sz="4" w:space="0"/>
              <w:left w:val="single" w:color="000000" w:sz="4" w:space="0"/>
              <w:bottom w:val="single" w:color="000000" w:sz="4" w:space="0"/>
              <w:right w:val="single" w:color="000000" w:sz="4" w:space="0"/>
            </w:tcBorders>
            <w:vAlign w:val="center"/>
          </w:tcPr>
          <w:p w14:paraId="0C11CA4B">
            <w:pPr>
              <w:widowControl w:val="0"/>
              <w:spacing w:before="60" w:after="60"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磋商保证金</w:t>
            </w:r>
          </w:p>
        </w:tc>
        <w:tc>
          <w:tcPr>
            <w:tcW w:w="6450" w:type="dxa"/>
            <w:tcBorders>
              <w:top w:val="single" w:color="000000" w:sz="4" w:space="0"/>
              <w:left w:val="single" w:color="000000" w:sz="4" w:space="0"/>
              <w:bottom w:val="single" w:color="000000" w:sz="4" w:space="0"/>
              <w:right w:val="single" w:color="000000" w:sz="4" w:space="0"/>
            </w:tcBorders>
            <w:vAlign w:val="center"/>
          </w:tcPr>
          <w:p w14:paraId="227DE04D">
            <w:pPr>
              <w:widowControl w:val="0"/>
              <w:spacing w:line="360" w:lineRule="auto"/>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lang w:val="en-US" w:eastAsia="zh-CN"/>
              </w:rPr>
              <w:t>本项目不收取磋商保证金</w:t>
            </w:r>
            <w:r>
              <w:rPr>
                <w:rStyle w:val="34"/>
                <w:rFonts w:hint="eastAsia" w:ascii="仿宋" w:hAnsi="仿宋" w:eastAsia="仿宋" w:cs="仿宋"/>
                <w:color w:val="auto"/>
                <w:szCs w:val="21"/>
                <w:highlight w:val="none"/>
              </w:rPr>
              <w:t>。</w:t>
            </w:r>
          </w:p>
        </w:tc>
      </w:tr>
      <w:tr w14:paraId="77CF8132">
        <w:tblPrEx>
          <w:tblCellMar>
            <w:top w:w="0" w:type="dxa"/>
            <w:left w:w="0" w:type="dxa"/>
            <w:bottom w:w="0" w:type="dxa"/>
            <w:right w:w="0" w:type="dxa"/>
          </w:tblCellMar>
        </w:tblPrEx>
        <w:trPr>
          <w:trHeight w:val="718" w:hRule="atLeast"/>
          <w:jc w:val="center"/>
        </w:trPr>
        <w:tc>
          <w:tcPr>
            <w:tcW w:w="877" w:type="dxa"/>
            <w:tcBorders>
              <w:top w:val="single" w:color="000000" w:sz="4" w:space="0"/>
              <w:left w:val="single" w:color="000000" w:sz="4" w:space="0"/>
              <w:bottom w:val="single" w:color="000000" w:sz="4" w:space="0"/>
              <w:right w:val="single" w:color="000000" w:sz="4" w:space="0"/>
            </w:tcBorders>
            <w:vAlign w:val="center"/>
          </w:tcPr>
          <w:p w14:paraId="7DCB387F">
            <w:pPr>
              <w:widowControl w:val="0"/>
              <w:spacing w:before="60" w:after="60"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11.1</w:t>
            </w:r>
          </w:p>
        </w:tc>
        <w:tc>
          <w:tcPr>
            <w:tcW w:w="2289" w:type="dxa"/>
            <w:tcBorders>
              <w:top w:val="single" w:color="000000" w:sz="4" w:space="0"/>
              <w:left w:val="single" w:color="000000" w:sz="4" w:space="0"/>
              <w:bottom w:val="single" w:color="000000" w:sz="4" w:space="0"/>
              <w:right w:val="single" w:color="000000" w:sz="4" w:space="0"/>
            </w:tcBorders>
            <w:vAlign w:val="center"/>
          </w:tcPr>
          <w:p w14:paraId="7A50FC1E">
            <w:pPr>
              <w:widowControl w:val="0"/>
              <w:spacing w:before="60" w:after="60"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磋商有效期</w:t>
            </w:r>
          </w:p>
        </w:tc>
        <w:tc>
          <w:tcPr>
            <w:tcW w:w="6450" w:type="dxa"/>
            <w:tcBorders>
              <w:top w:val="single" w:color="000000" w:sz="4" w:space="0"/>
              <w:left w:val="single" w:color="000000" w:sz="4" w:space="0"/>
              <w:bottom w:val="single" w:color="000000" w:sz="4" w:space="0"/>
              <w:right w:val="single" w:color="000000" w:sz="4" w:space="0"/>
            </w:tcBorders>
            <w:vAlign w:val="center"/>
          </w:tcPr>
          <w:p w14:paraId="43C300D2">
            <w:pPr>
              <w:widowControl w:val="0"/>
              <w:spacing w:before="60" w:after="60" w:line="360" w:lineRule="auto"/>
              <w:ind w:left="4" w:hanging="19"/>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60日历天（提交响应文件截止之日起计算）。</w:t>
            </w:r>
          </w:p>
        </w:tc>
      </w:tr>
      <w:tr w14:paraId="6114150F">
        <w:tblPrEx>
          <w:tblCellMar>
            <w:top w:w="0" w:type="dxa"/>
            <w:left w:w="0" w:type="dxa"/>
            <w:bottom w:w="0" w:type="dxa"/>
            <w:right w:w="0" w:type="dxa"/>
          </w:tblCellMar>
        </w:tblPrEx>
        <w:trPr>
          <w:trHeight w:val="619" w:hRule="atLeast"/>
          <w:jc w:val="center"/>
        </w:trPr>
        <w:tc>
          <w:tcPr>
            <w:tcW w:w="877" w:type="dxa"/>
            <w:tcBorders>
              <w:top w:val="single" w:color="000000" w:sz="4" w:space="0"/>
              <w:left w:val="single" w:color="000000" w:sz="4" w:space="0"/>
              <w:bottom w:val="single" w:color="000000" w:sz="4" w:space="0"/>
              <w:right w:val="single" w:color="000000" w:sz="4" w:space="0"/>
            </w:tcBorders>
            <w:vAlign w:val="center"/>
          </w:tcPr>
          <w:p w14:paraId="21398D60">
            <w:pPr>
              <w:widowControl w:val="0"/>
              <w:spacing w:line="360" w:lineRule="auto"/>
              <w:jc w:val="center"/>
              <w:rPr>
                <w:color w:val="auto"/>
                <w:highlight w:val="none"/>
              </w:rPr>
            </w:pPr>
            <w:r>
              <w:rPr>
                <w:rStyle w:val="34"/>
                <w:rFonts w:hint="eastAsia" w:ascii="仿宋" w:hAnsi="仿宋" w:eastAsia="仿宋" w:cs="仿宋"/>
                <w:color w:val="auto"/>
                <w:szCs w:val="21"/>
                <w:highlight w:val="none"/>
              </w:rPr>
              <w:t>14.1</w:t>
            </w:r>
          </w:p>
        </w:tc>
        <w:tc>
          <w:tcPr>
            <w:tcW w:w="2289" w:type="dxa"/>
            <w:tcBorders>
              <w:top w:val="single" w:color="000000" w:sz="4" w:space="0"/>
              <w:left w:val="single" w:color="000000" w:sz="4" w:space="0"/>
              <w:bottom w:val="single" w:color="000000" w:sz="4" w:space="0"/>
              <w:right w:val="single" w:color="000000" w:sz="4" w:space="0"/>
            </w:tcBorders>
            <w:vAlign w:val="center"/>
          </w:tcPr>
          <w:p w14:paraId="73337E00">
            <w:pPr>
              <w:widowControl w:val="0"/>
              <w:spacing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响应文件递交截止时间</w:t>
            </w:r>
          </w:p>
        </w:tc>
        <w:tc>
          <w:tcPr>
            <w:tcW w:w="6450" w:type="dxa"/>
            <w:tcBorders>
              <w:top w:val="single" w:color="000000" w:sz="4" w:space="0"/>
              <w:left w:val="single" w:color="000000" w:sz="4" w:space="0"/>
              <w:bottom w:val="single" w:color="000000" w:sz="4" w:space="0"/>
              <w:right w:val="single" w:color="000000" w:sz="4" w:space="0"/>
            </w:tcBorders>
            <w:vAlign w:val="center"/>
          </w:tcPr>
          <w:p w14:paraId="614A2E54">
            <w:pPr>
              <w:widowControl w:val="0"/>
              <w:tabs>
                <w:tab w:val="left" w:pos="3360"/>
              </w:tabs>
              <w:spacing w:line="360" w:lineRule="auto"/>
              <w:ind w:left="4" w:hanging="19"/>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时间: 2025年04月28日09点30分（北京时间）</w:t>
            </w:r>
          </w:p>
        </w:tc>
      </w:tr>
      <w:tr w14:paraId="5AAFA7C2">
        <w:tblPrEx>
          <w:tblCellMar>
            <w:top w:w="0" w:type="dxa"/>
            <w:left w:w="0" w:type="dxa"/>
            <w:bottom w:w="0" w:type="dxa"/>
            <w:right w:w="0" w:type="dxa"/>
          </w:tblCellMar>
        </w:tblPrEx>
        <w:trPr>
          <w:trHeight w:val="619" w:hRule="atLeast"/>
          <w:jc w:val="center"/>
        </w:trPr>
        <w:tc>
          <w:tcPr>
            <w:tcW w:w="877" w:type="dxa"/>
            <w:tcBorders>
              <w:top w:val="single" w:color="000000" w:sz="4" w:space="0"/>
              <w:left w:val="single" w:color="000000" w:sz="4" w:space="0"/>
              <w:bottom w:val="single" w:color="000000" w:sz="4" w:space="0"/>
              <w:right w:val="single" w:color="000000" w:sz="4" w:space="0"/>
            </w:tcBorders>
            <w:vAlign w:val="center"/>
          </w:tcPr>
          <w:p w14:paraId="4DA05DD7">
            <w:pPr>
              <w:pStyle w:val="8"/>
              <w:widowControl w:val="0"/>
              <w:jc w:val="center"/>
              <w:rPr>
                <w:rStyle w:val="34"/>
                <w:rFonts w:ascii="仿宋" w:hAnsi="仿宋" w:eastAsia="仿宋" w:cs="仿宋"/>
                <w:color w:val="auto"/>
                <w:szCs w:val="21"/>
                <w:highlight w:val="none"/>
              </w:rPr>
            </w:pPr>
            <w:r>
              <w:rPr>
                <w:rStyle w:val="34"/>
                <w:rFonts w:hint="eastAsia" w:ascii="仿宋" w:hAnsi="仿宋" w:eastAsia="仿宋" w:cs="仿宋"/>
                <w:color w:val="auto"/>
                <w:sz w:val="21"/>
                <w:szCs w:val="21"/>
                <w:highlight w:val="none"/>
              </w:rPr>
              <w:t>17.1</w:t>
            </w:r>
          </w:p>
        </w:tc>
        <w:tc>
          <w:tcPr>
            <w:tcW w:w="2289" w:type="dxa"/>
            <w:tcBorders>
              <w:top w:val="single" w:color="000000" w:sz="4" w:space="0"/>
              <w:left w:val="single" w:color="000000" w:sz="4" w:space="0"/>
              <w:bottom w:val="single" w:color="000000" w:sz="4" w:space="0"/>
              <w:right w:val="single" w:color="000000" w:sz="4" w:space="0"/>
            </w:tcBorders>
            <w:vAlign w:val="center"/>
          </w:tcPr>
          <w:p w14:paraId="55833672">
            <w:pPr>
              <w:widowControl w:val="0"/>
              <w:spacing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响应文件递交地点</w:t>
            </w:r>
          </w:p>
        </w:tc>
        <w:tc>
          <w:tcPr>
            <w:tcW w:w="6450" w:type="dxa"/>
            <w:tcBorders>
              <w:top w:val="single" w:color="000000" w:sz="4" w:space="0"/>
              <w:left w:val="single" w:color="000000" w:sz="4" w:space="0"/>
              <w:bottom w:val="single" w:color="000000" w:sz="4" w:space="0"/>
              <w:right w:val="single" w:color="000000" w:sz="4" w:space="0"/>
            </w:tcBorders>
            <w:vAlign w:val="center"/>
          </w:tcPr>
          <w:p w14:paraId="2AAF0D0A">
            <w:pPr>
              <w:widowControl w:val="0"/>
              <w:spacing w:line="360" w:lineRule="auto"/>
              <w:ind w:left="-15"/>
              <w:rPr>
                <w:rStyle w:val="34"/>
                <w:rFonts w:ascii="仿宋" w:hAnsi="仿宋" w:eastAsia="仿宋" w:cs="仿宋"/>
                <w:bCs/>
                <w:color w:val="auto"/>
                <w:kern w:val="0"/>
                <w:szCs w:val="21"/>
                <w:highlight w:val="none"/>
              </w:rPr>
            </w:pPr>
            <w:r>
              <w:rPr>
                <w:rStyle w:val="34"/>
                <w:rFonts w:hint="eastAsia" w:ascii="仿宋" w:hAnsi="仿宋" w:eastAsia="仿宋" w:cs="仿宋"/>
                <w:color w:val="auto"/>
                <w:szCs w:val="21"/>
                <w:highlight w:val="none"/>
              </w:rPr>
              <w:t>1.地点：</w:t>
            </w:r>
            <w:r>
              <w:rPr>
                <w:rStyle w:val="34"/>
                <w:rFonts w:hint="eastAsia" w:ascii="仿宋" w:hAnsi="仿宋" w:eastAsia="仿宋" w:cs="仿宋"/>
                <w:bCs/>
                <w:color w:val="auto"/>
                <w:kern w:val="0"/>
                <w:szCs w:val="21"/>
                <w:highlight w:val="none"/>
              </w:rPr>
              <w:t>政府采购云平台（https://www.zcygov.cn/）</w:t>
            </w:r>
          </w:p>
          <w:p w14:paraId="0F0242B6">
            <w:pPr>
              <w:widowControl w:val="0"/>
              <w:spacing w:line="324" w:lineRule="auto"/>
              <w:rPr>
                <w:rStyle w:val="34"/>
                <w:rFonts w:ascii="仿宋" w:hAnsi="仿宋" w:eastAsia="仿宋" w:cs="仿宋"/>
                <w:bCs/>
                <w:color w:val="auto"/>
                <w:kern w:val="0"/>
                <w:szCs w:val="21"/>
                <w:highlight w:val="none"/>
              </w:rPr>
            </w:pPr>
            <w:r>
              <w:rPr>
                <w:rStyle w:val="34"/>
                <w:rFonts w:hint="eastAsia" w:ascii="仿宋" w:hAnsi="仿宋" w:eastAsia="仿宋" w:cs="仿宋"/>
                <w:color w:val="auto"/>
                <w:szCs w:val="21"/>
                <w:highlight w:val="none"/>
              </w:rPr>
              <w:t>2.</w:t>
            </w:r>
            <w:r>
              <w:rPr>
                <w:rStyle w:val="34"/>
                <w:rFonts w:hint="eastAsia" w:ascii="仿宋" w:hAnsi="仿宋" w:eastAsia="仿宋" w:cs="仿宋"/>
                <w:bCs/>
                <w:color w:val="auto"/>
                <w:kern w:val="0"/>
                <w:szCs w:val="21"/>
                <w:highlight w:val="none"/>
              </w:rPr>
              <w:t>响应文件解密方式：远程解密或现场解密。</w:t>
            </w:r>
          </w:p>
          <w:p w14:paraId="35A311C5">
            <w:pPr>
              <w:widowControl w:val="0"/>
              <w:spacing w:line="324" w:lineRule="auto"/>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说明：</w:t>
            </w:r>
          </w:p>
          <w:p w14:paraId="358097A7">
            <w:pPr>
              <w:widowControl w:val="0"/>
              <w:spacing w:line="360" w:lineRule="auto"/>
              <w:ind w:left="-15"/>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一）若供应商熟悉“政府采购云平台”相关投标程序，不到现场参加投标的，应提前（至少在投标截止时间前30分钟）在自有场地配置有音视频通话（带摄像头及话筒的电脑）功能的相应设备及稳定网络环境，并按“政府采购云平台”开标大厅中的提示完成采购活动。</w:t>
            </w:r>
          </w:p>
          <w:p w14:paraId="5416DE9A">
            <w:pPr>
              <w:widowControl w:val="0"/>
              <w:spacing w:line="360" w:lineRule="auto"/>
              <w:ind w:left="-15"/>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二）到现场参与投标的供应商，建议于响应文件提交截止时间前携带编制响应文件时的加密数字证书（CA）、具有摄像头及话筒的笔记本电脑至采购代理机构开标地点参与投标。现场开标地址：石林县公共资源交易中心（石林县石林大道与桃园路交叉口，石林城乡交通服务调度客运站二期）。</w:t>
            </w:r>
          </w:p>
          <w:p w14:paraId="04C2DBF5">
            <w:pPr>
              <w:widowControl w:val="0"/>
              <w:spacing w:line="360" w:lineRule="auto"/>
              <w:ind w:left="-15"/>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（三）采购人宣布开启电子响应文件后，供应商登陆“政府采购云平台”开标大厅，使用供应商编制响应文件时的加密数字证书对响应文件进行解密。</w:t>
            </w:r>
          </w:p>
          <w:p w14:paraId="7E4B36E2">
            <w:pPr>
              <w:widowControl w:val="0"/>
              <w:spacing w:line="360" w:lineRule="auto"/>
              <w:ind w:left="-15"/>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四）网上递交的响应文件应使用数字证书进行加密。因供应商自身原因致使响应文件未成功解密的或供应商提交的电子标书不符合本项目电子响应文件编制要求或开标时无法读取导入或解密，其响应文件将不予受理。</w:t>
            </w:r>
          </w:p>
          <w:p w14:paraId="53271498">
            <w:pPr>
              <w:widowControl w:val="0"/>
              <w:spacing w:line="360" w:lineRule="auto"/>
              <w:ind w:left="-15"/>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（五）未办理数字证书（CA）的供应商其编制的响应文件将无法按竞争性磋商文件的要求进行电子签章及加密，由此造成的后果由供应商自行承担。</w:t>
            </w:r>
          </w:p>
        </w:tc>
      </w:tr>
      <w:tr w14:paraId="2518D408">
        <w:tblPrEx>
          <w:tblCellMar>
            <w:top w:w="0" w:type="dxa"/>
            <w:left w:w="0" w:type="dxa"/>
            <w:bottom w:w="0" w:type="dxa"/>
            <w:right w:w="0" w:type="dxa"/>
          </w:tblCellMar>
        </w:tblPrEx>
        <w:trPr>
          <w:trHeight w:val="2322" w:hRule="exact"/>
          <w:jc w:val="center"/>
        </w:trPr>
        <w:tc>
          <w:tcPr>
            <w:tcW w:w="877" w:type="dxa"/>
            <w:tcBorders>
              <w:top w:val="single" w:color="000000" w:sz="4" w:space="0"/>
              <w:left w:val="single" w:color="000000" w:sz="4" w:space="0"/>
              <w:bottom w:val="single" w:color="000000" w:sz="4" w:space="0"/>
              <w:right w:val="single" w:color="000000" w:sz="4" w:space="0"/>
            </w:tcBorders>
            <w:vAlign w:val="center"/>
          </w:tcPr>
          <w:p w14:paraId="3713558A">
            <w:pPr>
              <w:widowControl w:val="0"/>
              <w:spacing w:before="60" w:after="60"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17.3</w:t>
            </w:r>
          </w:p>
        </w:tc>
        <w:tc>
          <w:tcPr>
            <w:tcW w:w="2289" w:type="dxa"/>
            <w:tcBorders>
              <w:top w:val="single" w:color="000000" w:sz="4" w:space="0"/>
              <w:left w:val="single" w:color="000000" w:sz="4" w:space="0"/>
              <w:bottom w:val="single" w:color="000000" w:sz="4" w:space="0"/>
              <w:right w:val="single" w:color="000000" w:sz="4" w:space="0"/>
            </w:tcBorders>
            <w:vAlign w:val="center"/>
          </w:tcPr>
          <w:p w14:paraId="11239B44">
            <w:pPr>
              <w:widowControl w:val="0"/>
              <w:autoSpaceDE w:val="0"/>
              <w:autoSpaceDN w:val="0"/>
              <w:spacing w:line="360" w:lineRule="auto"/>
              <w:ind w:left="1" w:leftChars="-7" w:hanging="16" w:hangingChars="8"/>
              <w:jc w:val="center"/>
              <w:rPr>
                <w:rStyle w:val="34"/>
                <w:rFonts w:ascii="仿宋" w:hAnsi="仿宋" w:eastAsia="仿宋" w:cs="仿宋"/>
                <w:color w:val="auto"/>
                <w:szCs w:val="21"/>
                <w:highlight w:val="none"/>
              </w:rPr>
            </w:pPr>
            <w:r>
              <w:rPr>
                <w:rFonts w:hint="eastAsia" w:ascii="仿宋" w:hAnsi="仿宋" w:eastAsia="仿宋" w:cs="仿宋"/>
                <w:color w:val="auto"/>
                <w:szCs w:val="21"/>
                <w:highlight w:val="none"/>
              </w:rPr>
              <w:t>磋商小组的组建</w:t>
            </w:r>
          </w:p>
        </w:tc>
        <w:tc>
          <w:tcPr>
            <w:tcW w:w="6450" w:type="dxa"/>
            <w:tcBorders>
              <w:top w:val="single" w:color="000000" w:sz="4" w:space="0"/>
              <w:left w:val="single" w:color="000000" w:sz="4" w:space="0"/>
              <w:bottom w:val="single" w:color="000000" w:sz="4" w:space="0"/>
              <w:right w:val="single" w:color="000000" w:sz="4" w:space="0"/>
            </w:tcBorders>
            <w:vAlign w:val="center"/>
          </w:tcPr>
          <w:p w14:paraId="040F0B67">
            <w:pPr>
              <w:widowControl w:val="0"/>
              <w:autoSpaceDE w:val="0"/>
              <w:autoSpaceDN w:val="0"/>
              <w:spacing w:line="360" w:lineRule="auto"/>
              <w:ind w:left="1" w:leftChars="-7" w:hanging="16" w:hangingChars="8"/>
              <w:rPr>
                <w:rFonts w:ascii="仿宋" w:hAnsi="仿宋" w:eastAsia="仿宋" w:cs="仿宋"/>
                <w:color w:val="auto"/>
                <w:szCs w:val="21"/>
                <w:highlight w:val="none"/>
              </w:rPr>
            </w:pPr>
            <w:r>
              <w:rPr>
                <w:rFonts w:hint="eastAsia" w:ascii="仿宋" w:hAnsi="仿宋" w:eastAsia="仿宋" w:cs="仿宋"/>
                <w:color w:val="auto"/>
                <w:szCs w:val="21"/>
                <w:highlight w:val="none"/>
              </w:rPr>
              <w:t>磋商小组人数：3人或以上单数。</w:t>
            </w:r>
          </w:p>
          <w:p w14:paraId="37FD4EB1">
            <w:pPr>
              <w:widowControl w:val="0"/>
              <w:autoSpaceDE w:val="0"/>
              <w:autoSpaceDN w:val="0"/>
              <w:spacing w:line="360" w:lineRule="auto"/>
              <w:ind w:left="1" w:leftChars="-7" w:hanging="16" w:hangingChars="8"/>
              <w:rPr>
                <w:rFonts w:ascii="仿宋" w:hAnsi="仿宋" w:eastAsia="仿宋" w:cs="仿宋"/>
                <w:color w:val="auto"/>
                <w:szCs w:val="21"/>
                <w:highlight w:val="none"/>
              </w:rPr>
            </w:pPr>
            <w:r>
              <w:rPr>
                <w:rFonts w:hint="eastAsia" w:ascii="仿宋" w:hAnsi="仿宋" w:eastAsia="仿宋" w:cs="仿宋"/>
                <w:color w:val="auto"/>
                <w:szCs w:val="21"/>
                <w:highlight w:val="none"/>
              </w:rPr>
              <w:t>磋商小组确定方式：由采购人代表和云南省政府采购评审专家库中随机抽取的专家组成，其中技术经济等方面的专家不得少于专家总人数的三分之二。</w:t>
            </w:r>
          </w:p>
          <w:p w14:paraId="4216EA39">
            <w:pPr>
              <w:widowControl w:val="0"/>
              <w:autoSpaceDE w:val="0"/>
              <w:autoSpaceDN w:val="0"/>
              <w:spacing w:line="360" w:lineRule="auto"/>
              <w:ind w:left="1" w:leftChars="-7" w:hanging="16" w:hangingChars="8"/>
              <w:rPr>
                <w:rStyle w:val="34"/>
                <w:rFonts w:ascii="仿宋" w:hAnsi="仿宋" w:eastAsia="仿宋" w:cs="仿宋"/>
                <w:color w:val="auto"/>
                <w:szCs w:val="21"/>
                <w:highlight w:val="none"/>
              </w:rPr>
            </w:pPr>
            <w:r>
              <w:rPr>
                <w:rFonts w:hint="eastAsia" w:ascii="仿宋" w:hAnsi="仿宋" w:eastAsia="仿宋" w:cs="仿宋"/>
                <w:color w:val="auto"/>
                <w:szCs w:val="21"/>
                <w:highlight w:val="none"/>
              </w:rPr>
              <w:t>注：特殊情况经审批后确定。</w:t>
            </w:r>
          </w:p>
        </w:tc>
      </w:tr>
      <w:tr w14:paraId="3A8744A9">
        <w:tblPrEx>
          <w:tblCellMar>
            <w:top w:w="0" w:type="dxa"/>
            <w:left w:w="0" w:type="dxa"/>
            <w:bottom w:w="0" w:type="dxa"/>
            <w:right w:w="0" w:type="dxa"/>
          </w:tblCellMar>
        </w:tblPrEx>
        <w:trPr>
          <w:trHeight w:val="527" w:hRule="exact"/>
          <w:jc w:val="center"/>
        </w:trPr>
        <w:tc>
          <w:tcPr>
            <w:tcW w:w="877" w:type="dxa"/>
            <w:tcBorders>
              <w:top w:val="single" w:color="000000" w:sz="4" w:space="0"/>
              <w:left w:val="single" w:color="000000" w:sz="4" w:space="0"/>
              <w:bottom w:val="single" w:color="000000" w:sz="4" w:space="0"/>
              <w:right w:val="single" w:color="000000" w:sz="4" w:space="0"/>
            </w:tcBorders>
            <w:vAlign w:val="center"/>
          </w:tcPr>
          <w:p w14:paraId="64F1E4E8">
            <w:pPr>
              <w:widowControl w:val="0"/>
              <w:spacing w:before="60" w:after="60"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17.5</w:t>
            </w:r>
          </w:p>
        </w:tc>
        <w:tc>
          <w:tcPr>
            <w:tcW w:w="2289" w:type="dxa"/>
            <w:tcBorders>
              <w:top w:val="single" w:color="000000" w:sz="4" w:space="0"/>
              <w:left w:val="single" w:color="000000" w:sz="4" w:space="0"/>
              <w:bottom w:val="single" w:color="000000" w:sz="4" w:space="0"/>
              <w:right w:val="single" w:color="000000" w:sz="4" w:space="0"/>
            </w:tcBorders>
            <w:vAlign w:val="center"/>
          </w:tcPr>
          <w:p w14:paraId="15B7836D">
            <w:pPr>
              <w:widowControl w:val="0"/>
              <w:spacing w:before="60" w:after="60"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评审标准</w:t>
            </w:r>
          </w:p>
        </w:tc>
        <w:tc>
          <w:tcPr>
            <w:tcW w:w="6450" w:type="dxa"/>
            <w:tcBorders>
              <w:top w:val="single" w:color="000000" w:sz="4" w:space="0"/>
              <w:left w:val="single" w:color="000000" w:sz="4" w:space="0"/>
              <w:bottom w:val="single" w:color="000000" w:sz="4" w:space="0"/>
              <w:right w:val="single" w:color="000000" w:sz="4" w:space="0"/>
            </w:tcBorders>
            <w:vAlign w:val="center"/>
          </w:tcPr>
          <w:p w14:paraId="679179B3">
            <w:pPr>
              <w:widowControl w:val="0"/>
              <w:spacing w:before="60" w:after="60" w:line="360" w:lineRule="auto"/>
              <w:ind w:left="4" w:hanging="19"/>
              <w:rPr>
                <w:rStyle w:val="34"/>
                <w:rFonts w:ascii="仿宋" w:hAnsi="仿宋" w:eastAsia="仿宋" w:cs="仿宋"/>
                <w:bCs/>
                <w:color w:val="auto"/>
                <w:szCs w:val="21"/>
                <w:highlight w:val="none"/>
              </w:rPr>
            </w:pPr>
            <w:r>
              <w:rPr>
                <w:rStyle w:val="34"/>
                <w:rFonts w:hint="eastAsia" w:ascii="仿宋" w:hAnsi="仿宋" w:eastAsia="仿宋" w:cs="仿宋"/>
                <w:bCs/>
                <w:color w:val="auto"/>
                <w:szCs w:val="21"/>
                <w:highlight w:val="none"/>
              </w:rPr>
              <w:t>综合评分法。</w:t>
            </w:r>
          </w:p>
        </w:tc>
      </w:tr>
      <w:tr w14:paraId="5817749C">
        <w:tblPrEx>
          <w:tblCellMar>
            <w:top w:w="0" w:type="dxa"/>
            <w:left w:w="0" w:type="dxa"/>
            <w:bottom w:w="0" w:type="dxa"/>
            <w:right w:w="0" w:type="dxa"/>
          </w:tblCellMar>
        </w:tblPrEx>
        <w:trPr>
          <w:trHeight w:val="6229" w:hRule="exact"/>
          <w:jc w:val="center"/>
        </w:trPr>
        <w:tc>
          <w:tcPr>
            <w:tcW w:w="877" w:type="dxa"/>
            <w:tcBorders>
              <w:top w:val="single" w:color="000000" w:sz="4" w:space="0"/>
              <w:left w:val="single" w:color="000000" w:sz="4" w:space="0"/>
              <w:bottom w:val="single" w:color="000000" w:sz="4" w:space="0"/>
              <w:right w:val="single" w:color="000000" w:sz="4" w:space="0"/>
            </w:tcBorders>
            <w:vAlign w:val="center"/>
          </w:tcPr>
          <w:p w14:paraId="5E48EFFA">
            <w:pPr>
              <w:widowControl w:val="0"/>
              <w:spacing w:before="60" w:after="60"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19</w:t>
            </w:r>
          </w:p>
        </w:tc>
        <w:tc>
          <w:tcPr>
            <w:tcW w:w="2289" w:type="dxa"/>
            <w:tcBorders>
              <w:top w:val="single" w:color="000000" w:sz="4" w:space="0"/>
              <w:left w:val="single" w:color="000000" w:sz="4" w:space="0"/>
              <w:bottom w:val="single" w:color="000000" w:sz="4" w:space="0"/>
              <w:right w:val="single" w:color="000000" w:sz="4" w:space="0"/>
            </w:tcBorders>
            <w:vAlign w:val="center"/>
          </w:tcPr>
          <w:p w14:paraId="72BD89DA">
            <w:pPr>
              <w:widowControl w:val="0"/>
              <w:spacing w:before="60" w:after="60" w:line="360" w:lineRule="auto"/>
              <w:ind w:left="4" w:hanging="19"/>
              <w:jc w:val="center"/>
              <w:rPr>
                <w:rStyle w:val="34"/>
                <w:rFonts w:ascii="仿宋" w:hAnsi="仿宋" w:eastAsia="仿宋" w:cs="仿宋"/>
                <w:bCs/>
                <w:color w:val="auto"/>
                <w:szCs w:val="21"/>
                <w:highlight w:val="none"/>
              </w:rPr>
            </w:pPr>
            <w:r>
              <w:rPr>
                <w:rStyle w:val="34"/>
                <w:rFonts w:hint="eastAsia" w:ascii="仿宋" w:hAnsi="仿宋" w:eastAsia="仿宋" w:cs="仿宋"/>
                <w:bCs/>
                <w:color w:val="auto"/>
                <w:szCs w:val="21"/>
                <w:highlight w:val="none"/>
              </w:rPr>
              <w:t>履约保证金</w:t>
            </w:r>
          </w:p>
        </w:tc>
        <w:tc>
          <w:tcPr>
            <w:tcW w:w="6450" w:type="dxa"/>
            <w:tcBorders>
              <w:top w:val="single" w:color="000000" w:sz="4" w:space="0"/>
              <w:left w:val="single" w:color="000000" w:sz="4" w:space="0"/>
              <w:bottom w:val="single" w:color="000000" w:sz="4" w:space="0"/>
              <w:right w:val="single" w:color="000000" w:sz="4" w:space="0"/>
            </w:tcBorders>
            <w:vAlign w:val="center"/>
          </w:tcPr>
          <w:p w14:paraId="58349CF6">
            <w:pPr>
              <w:widowControl w:val="0"/>
              <w:autoSpaceDE w:val="0"/>
              <w:autoSpaceDN w:val="0"/>
              <w:spacing w:line="360" w:lineRule="auto"/>
              <w:ind w:left="1" w:leftChars="-7" w:hanging="16" w:hangingChars="8"/>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履约担保的金额：合同总价款金额的</w:t>
            </w:r>
            <w:r>
              <w:rPr>
                <w:rFonts w:hint="eastAsia" w:ascii="仿宋" w:hAnsi="仿宋" w:eastAsia="仿宋" w:cs="仿宋"/>
                <w:color w:val="auto"/>
                <w:szCs w:val="21"/>
                <w:highlight w:val="none"/>
                <w:lang w:val="en-US" w:eastAsia="zh-CN"/>
              </w:rPr>
              <w:t>10</w:t>
            </w:r>
            <w:r>
              <w:rPr>
                <w:rFonts w:hint="eastAsia" w:ascii="仿宋" w:hAnsi="仿宋" w:eastAsia="仿宋" w:cs="仿宋"/>
                <w:color w:val="auto"/>
                <w:szCs w:val="21"/>
                <w:highlight w:val="none"/>
              </w:rPr>
              <w:t>％。</w:t>
            </w:r>
          </w:p>
          <w:p w14:paraId="16585AC5">
            <w:pPr>
              <w:widowControl w:val="0"/>
              <w:autoSpaceDE w:val="0"/>
              <w:autoSpaceDN w:val="0"/>
              <w:spacing w:line="360" w:lineRule="auto"/>
              <w:ind w:left="1" w:leftChars="-7" w:hanging="16" w:hangingChars="8"/>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履约担保形式：</w:t>
            </w:r>
            <w:r>
              <w:rPr>
                <w:rFonts w:hint="eastAsia" w:ascii="仿宋" w:hAnsi="仿宋" w:eastAsia="仿宋" w:cs="仿宋"/>
                <w:color w:val="auto"/>
                <w:szCs w:val="21"/>
                <w:highlight w:val="none"/>
              </w:rPr>
              <w:fldChar w:fldCharType="begin"/>
            </w:r>
            <w:r>
              <w:rPr>
                <w:rFonts w:hint="eastAsia" w:ascii="仿宋" w:hAnsi="仿宋" w:eastAsia="仿宋" w:cs="仿宋"/>
                <w:color w:val="auto"/>
                <w:szCs w:val="21"/>
                <w:highlight w:val="none"/>
              </w:rPr>
              <w:instrText xml:space="preserve"> AUTOTEXT  input167 \* MERGEFORMAT </w:instrText>
            </w:r>
            <w:r>
              <w:rPr>
                <w:rFonts w:hint="eastAsia" w:ascii="仿宋" w:hAnsi="仿宋" w:eastAsia="仿宋" w:cs="仿宋"/>
                <w:color w:val="auto"/>
                <w:szCs w:val="21"/>
                <w:highlight w:val="none"/>
              </w:rPr>
              <w:fldChar w:fldCharType="separate"/>
            </w:r>
            <w:r>
              <w:rPr>
                <w:rFonts w:hint="eastAsia" w:ascii="仿宋" w:hAnsi="仿宋" w:eastAsia="仿宋" w:cs="仿宋"/>
                <w:color w:val="auto"/>
                <w:szCs w:val="21"/>
                <w:highlight w:val="none"/>
              </w:rPr>
              <w:t>银行保函、现金或支票</w:t>
            </w:r>
            <w:r>
              <w:rPr>
                <w:rFonts w:hint="eastAsia" w:ascii="仿宋" w:hAnsi="仿宋" w:eastAsia="仿宋" w:cs="仿宋"/>
                <w:color w:val="auto"/>
                <w:szCs w:val="21"/>
                <w:highlight w:val="none"/>
              </w:rPr>
              <w:fldChar w:fldCharType="end"/>
            </w:r>
            <w:r>
              <w:rPr>
                <w:rFonts w:hint="eastAsia" w:ascii="仿宋" w:hAnsi="仿宋" w:eastAsia="仿宋" w:cs="仿宋"/>
                <w:color w:val="auto"/>
                <w:szCs w:val="21"/>
                <w:highlight w:val="none"/>
              </w:rPr>
              <w:t>（按采购人要求提供）。</w:t>
            </w:r>
          </w:p>
          <w:p w14:paraId="0FF65836">
            <w:pPr>
              <w:widowControl w:val="0"/>
              <w:autoSpaceDE w:val="0"/>
              <w:autoSpaceDN w:val="0"/>
              <w:spacing w:line="360" w:lineRule="auto"/>
              <w:ind w:left="1" w:leftChars="-7" w:hanging="16" w:hangingChars="8"/>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履约担保提交时间：合同签订前。</w:t>
            </w:r>
          </w:p>
          <w:p w14:paraId="55CC7461">
            <w:pPr>
              <w:widowControl w:val="0"/>
              <w:autoSpaceDE w:val="0"/>
              <w:autoSpaceDN w:val="0"/>
              <w:spacing w:line="360" w:lineRule="auto"/>
              <w:ind w:left="1" w:leftChars="-7" w:hanging="16" w:hangingChars="8"/>
              <w:rPr>
                <w:rFonts w:hint="eastAsia" w:ascii="仿宋" w:hAnsi="仿宋" w:eastAsia="仿宋" w:cs="仿宋"/>
                <w:color w:val="auto"/>
                <w:szCs w:val="21"/>
                <w:highlight w:val="none"/>
              </w:rPr>
            </w:pPr>
            <w:r>
              <w:rPr>
                <w:rFonts w:hint="eastAsia" w:ascii="仿宋" w:hAnsi="仿宋" w:eastAsia="仿宋" w:cs="仿宋"/>
                <w:color w:val="auto"/>
                <w:szCs w:val="21"/>
                <w:highlight w:val="none"/>
              </w:rPr>
              <w:t>中标人不按规定提交履约保证金的视为放弃中标。采购人根据《中华人民共和国政府采购法实施条例》第四十九条规定“可以按照评审报告推荐的中标或者成交候选人名单排序，确定下一候选人为中标或者成交人，也可以重新开展政府采购活动”。</w:t>
            </w:r>
          </w:p>
          <w:p w14:paraId="21AD022A">
            <w:pPr>
              <w:widowControl w:val="0"/>
              <w:autoSpaceDE w:val="0"/>
              <w:autoSpaceDN w:val="0"/>
              <w:spacing w:line="360" w:lineRule="auto"/>
              <w:ind w:left="1" w:leftChars="-7" w:hanging="16" w:hangingChars="8"/>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合同期满若无违反国家有关法规及行政中心相关管理规定、无整改不到位或不及时等情况</w:t>
            </w:r>
            <w:r>
              <w:rPr>
                <w:rFonts w:hint="eastAsia" w:ascii="仿宋" w:hAnsi="仿宋" w:eastAsia="仿宋" w:cs="仿宋"/>
                <w:color w:val="auto"/>
                <w:szCs w:val="21"/>
                <w:highlight w:val="none"/>
              </w:rPr>
              <w:t>，在</w:t>
            </w:r>
            <w:r>
              <w:rPr>
                <w:rFonts w:hint="eastAsia" w:ascii="仿宋" w:hAnsi="仿宋" w:eastAsia="仿宋" w:cs="仿宋"/>
                <w:color w:val="auto"/>
                <w:szCs w:val="21"/>
                <w:highlight w:val="none"/>
                <w:lang w:val="en-US" w:eastAsia="zh-CN"/>
              </w:rPr>
              <w:t>一周</w:t>
            </w:r>
            <w:r>
              <w:rPr>
                <w:rFonts w:hint="eastAsia" w:ascii="仿宋" w:hAnsi="仿宋" w:eastAsia="仿宋" w:cs="仿宋"/>
                <w:color w:val="auto"/>
                <w:szCs w:val="21"/>
                <w:highlight w:val="none"/>
              </w:rPr>
              <w:t>内全额退还（不计利息）。</w:t>
            </w:r>
            <w:r>
              <w:rPr>
                <w:rFonts w:hint="eastAsia" w:ascii="仿宋" w:hAnsi="仿宋" w:eastAsia="仿宋" w:cs="仿宋"/>
                <w:color w:val="auto"/>
                <w:szCs w:val="21"/>
                <w:highlight w:val="none"/>
                <w:lang w:val="en-US" w:eastAsia="zh-CN"/>
              </w:rPr>
              <w:t>若因中标人违反合同或相关规定被扣除履约保证金的，被扣除的履约保证金在第一次扣除发生之日起一周内足额补足。</w:t>
            </w:r>
          </w:p>
          <w:p w14:paraId="110BCFB0">
            <w:pPr>
              <w:widowControl w:val="0"/>
              <w:autoSpaceDE w:val="0"/>
              <w:autoSpaceDN w:val="0"/>
              <w:spacing w:line="360" w:lineRule="auto"/>
              <w:ind w:left="1" w:leftChars="-7" w:hanging="16" w:hangingChars="8"/>
              <w:rPr>
                <w:rStyle w:val="34"/>
                <w:rFonts w:ascii="仿宋" w:hAnsi="仿宋" w:eastAsia="仿宋" w:cs="仿宋"/>
                <w:bCs/>
                <w:color w:val="auto"/>
                <w:szCs w:val="21"/>
                <w:highlight w:val="none"/>
              </w:rPr>
            </w:pPr>
            <w:r>
              <w:rPr>
                <w:rFonts w:hint="eastAsia" w:ascii="仿宋" w:hAnsi="仿宋" w:eastAsia="仿宋" w:cs="仿宋"/>
                <w:color w:val="auto"/>
                <w:szCs w:val="21"/>
                <w:highlight w:val="none"/>
                <w:lang w:val="en-US" w:eastAsia="zh-CN"/>
              </w:rPr>
              <w:t>如中标人员工在县行政中心内发生犯罪或罢工、上访等群体性事件，扣除全部保证金作为违约金并解除合同。</w:t>
            </w:r>
          </w:p>
        </w:tc>
      </w:tr>
      <w:tr w14:paraId="1CE73996">
        <w:tblPrEx>
          <w:tblCellMar>
            <w:top w:w="0" w:type="dxa"/>
            <w:left w:w="0" w:type="dxa"/>
            <w:bottom w:w="0" w:type="dxa"/>
            <w:right w:w="0" w:type="dxa"/>
          </w:tblCellMar>
        </w:tblPrEx>
        <w:trPr>
          <w:trHeight w:val="675" w:hRule="atLeast"/>
          <w:jc w:val="center"/>
        </w:trPr>
        <w:tc>
          <w:tcPr>
            <w:tcW w:w="877" w:type="dxa"/>
            <w:tcBorders>
              <w:top w:val="single" w:color="000000" w:sz="4" w:space="0"/>
              <w:left w:val="single" w:color="000000" w:sz="4" w:space="0"/>
              <w:bottom w:val="single" w:color="000000" w:sz="4" w:space="0"/>
              <w:right w:val="single" w:color="000000" w:sz="4" w:space="0"/>
            </w:tcBorders>
            <w:vAlign w:val="center"/>
          </w:tcPr>
          <w:p w14:paraId="7961C05C">
            <w:pPr>
              <w:widowControl w:val="0"/>
              <w:spacing w:line="360" w:lineRule="auto"/>
              <w:jc w:val="cente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22.1</w:t>
            </w:r>
          </w:p>
        </w:tc>
        <w:tc>
          <w:tcPr>
            <w:tcW w:w="2289" w:type="dxa"/>
            <w:tcBorders>
              <w:top w:val="single" w:color="000000" w:sz="4" w:space="0"/>
              <w:left w:val="single" w:color="000000" w:sz="4" w:space="0"/>
              <w:bottom w:val="single" w:color="000000" w:sz="4" w:space="0"/>
              <w:right w:val="single" w:color="000000" w:sz="4" w:space="0"/>
            </w:tcBorders>
            <w:vAlign w:val="center"/>
          </w:tcPr>
          <w:p w14:paraId="09D2D493">
            <w:pPr>
              <w:widowControl w:val="0"/>
              <w:spacing w:line="360" w:lineRule="auto"/>
              <w:ind w:left="4" w:hanging="19"/>
              <w:jc w:val="center"/>
              <w:rPr>
                <w:rStyle w:val="34"/>
                <w:rFonts w:ascii="仿宋" w:hAnsi="仿宋" w:eastAsia="仿宋" w:cs="仿宋"/>
                <w:bCs/>
                <w:color w:val="auto"/>
                <w:szCs w:val="21"/>
                <w:highlight w:val="none"/>
              </w:rPr>
            </w:pPr>
            <w:r>
              <w:rPr>
                <w:rStyle w:val="34"/>
                <w:rFonts w:hint="eastAsia" w:ascii="仿宋" w:hAnsi="仿宋" w:eastAsia="仿宋" w:cs="仿宋"/>
                <w:color w:val="auto"/>
                <w:szCs w:val="21"/>
                <w:highlight w:val="none"/>
              </w:rPr>
              <w:t>需要补充的其他内容</w:t>
            </w:r>
          </w:p>
        </w:tc>
        <w:tc>
          <w:tcPr>
            <w:tcW w:w="6450" w:type="dxa"/>
            <w:tcBorders>
              <w:top w:val="single" w:color="000000" w:sz="4" w:space="0"/>
              <w:left w:val="single" w:color="000000" w:sz="4" w:space="0"/>
              <w:bottom w:val="single" w:color="000000" w:sz="4" w:space="0"/>
              <w:right w:val="single" w:color="000000" w:sz="4" w:space="0"/>
            </w:tcBorders>
            <w:vAlign w:val="center"/>
          </w:tcPr>
          <w:p w14:paraId="36EFB331">
            <w:pPr>
              <w:widowControl w:val="0"/>
              <w:autoSpaceDE w:val="0"/>
              <w:autoSpaceDN w:val="0"/>
              <w:spacing w:line="360" w:lineRule="auto"/>
              <w:ind w:left="1" w:leftChars="-7" w:hanging="16" w:hangingChars="8"/>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1.付款方式：具体付款方式以合同约定为准</w:t>
            </w:r>
            <w:r>
              <w:rPr>
                <w:rFonts w:hint="eastAsia" w:ascii="仿宋" w:hAnsi="仿宋" w:eastAsia="仿宋" w:cs="仿宋"/>
                <w:color w:val="auto"/>
                <w:szCs w:val="21"/>
                <w:highlight w:val="none"/>
                <w:lang w:eastAsia="zh-CN"/>
              </w:rPr>
              <w:t>。</w:t>
            </w:r>
          </w:p>
          <w:p w14:paraId="53D85A6B">
            <w:pPr>
              <w:widowControl w:val="0"/>
              <w:autoSpaceDE w:val="0"/>
              <w:autoSpaceDN w:val="0"/>
              <w:spacing w:line="360" w:lineRule="auto"/>
              <w:ind w:left="1" w:leftChars="-7" w:hanging="16" w:hangingChars="8"/>
              <w:rPr>
                <w:rFonts w:ascii="仿宋" w:hAnsi="仿宋" w:eastAsia="仿宋" w:cs="仿宋"/>
                <w:color w:val="auto"/>
                <w:szCs w:val="21"/>
                <w:highlight w:val="none"/>
              </w:rPr>
            </w:pPr>
            <w:r>
              <w:rPr>
                <w:rFonts w:hint="eastAsia" w:ascii="仿宋" w:hAnsi="仿宋" w:eastAsia="仿宋" w:cs="仿宋"/>
                <w:color w:val="auto"/>
                <w:szCs w:val="21"/>
                <w:highlight w:val="none"/>
              </w:rPr>
              <w:t>2.本项目实行全流程电子化采购，供应商需通过政府采购云平台（https://www.zcygov.cn/）实行在线电子响应。</w:t>
            </w:r>
          </w:p>
          <w:p w14:paraId="61577F7D">
            <w:pPr>
              <w:widowControl w:val="0"/>
              <w:autoSpaceDE w:val="0"/>
              <w:autoSpaceDN w:val="0"/>
              <w:spacing w:line="360" w:lineRule="auto"/>
              <w:ind w:left="1" w:leftChars="-7" w:hanging="16" w:hangingChars="8"/>
              <w:rPr>
                <w:rFonts w:ascii="仿宋" w:hAnsi="仿宋" w:eastAsia="仿宋" w:cs="仿宋"/>
                <w:color w:val="auto"/>
                <w:szCs w:val="21"/>
                <w:highlight w:val="none"/>
              </w:rPr>
            </w:pPr>
            <w:r>
              <w:rPr>
                <w:rFonts w:hint="eastAsia" w:ascii="仿宋" w:hAnsi="仿宋" w:eastAsia="仿宋" w:cs="仿宋"/>
                <w:color w:val="auto"/>
                <w:szCs w:val="21"/>
                <w:highlight w:val="none"/>
              </w:rPr>
              <w:t>3.供应商将政府采购云平台电子交易客户端下载、安装完成后，可通过账号密码或CA登录客户端进行响应文件的制作。在使用政府采购云平台投标客户端时，建议使用WIN7（64位）及以上操作系统。客户端请至政府采购云平台公司网站（https://edu.zcygov.cn/luban/yunnan-dzjy-gys）进行查看下载，如有问题请致电政采云：95763（客服热线）；云南CA操作问题：请致电云南CA：4006727666。如因供应商自身原因导致在规定时间内无法正常解密的（如：浏览器故障、未安装相关驱动、网络故障、加密CA与解密CA不一致等），采购代理机构不予异常处理，视为供应商自动弃标。</w:t>
            </w:r>
          </w:p>
          <w:p w14:paraId="47CA02B4">
            <w:pPr>
              <w:widowControl w:val="0"/>
              <w:autoSpaceDE w:val="0"/>
              <w:autoSpaceDN w:val="0"/>
              <w:spacing w:line="360" w:lineRule="auto"/>
              <w:ind w:left="1" w:leftChars="-7" w:hanging="16" w:hangingChars="8"/>
              <w:rPr>
                <w:rFonts w:ascii="仿宋" w:hAnsi="仿宋" w:eastAsia="仿宋" w:cs="仿宋"/>
                <w:color w:val="auto"/>
                <w:szCs w:val="21"/>
                <w:highlight w:val="none"/>
              </w:rPr>
            </w:pPr>
            <w:r>
              <w:rPr>
                <w:rFonts w:hint="eastAsia" w:ascii="仿宋" w:hAnsi="仿宋" w:eastAsia="仿宋" w:cs="仿宋"/>
                <w:color w:val="auto"/>
                <w:szCs w:val="21"/>
                <w:highlight w:val="none"/>
              </w:rPr>
              <w:t>4.供应商在截标时间前须提前进入到“政府采购云平台”开标大厅，采购代理机构将依托电子交易平台发起开始解密指令，供应商的法定代表人或其委托代理人须携带加密时所用的CA锁按平台提示和竞争性磋商文件的规定登录到政府采购云平台电子开标大厅签到并在发起解密指令后在规定的时间内完成对电子响应文件在线解密。响应文件未按时解密的，视为撤销其响应文件，不再进入评标阶段。</w:t>
            </w:r>
          </w:p>
          <w:p w14:paraId="5C9D6BA8">
            <w:pPr>
              <w:widowControl w:val="0"/>
              <w:autoSpaceDE w:val="0"/>
              <w:autoSpaceDN w:val="0"/>
              <w:spacing w:line="360" w:lineRule="auto"/>
              <w:ind w:left="1" w:leftChars="-7" w:hanging="16" w:hangingChars="8"/>
              <w:rPr>
                <w:rFonts w:ascii="仿宋" w:hAnsi="仿宋" w:eastAsia="仿宋" w:cs="仿宋"/>
                <w:color w:val="auto"/>
                <w:szCs w:val="21"/>
                <w:highlight w:val="none"/>
              </w:rPr>
            </w:pPr>
            <w:r>
              <w:rPr>
                <w:rFonts w:hint="eastAsia" w:ascii="仿宋" w:hAnsi="仿宋" w:eastAsia="仿宋" w:cs="仿宋"/>
                <w:color w:val="auto"/>
                <w:szCs w:val="21"/>
                <w:highlight w:val="none"/>
              </w:rPr>
              <w:t>5.成交人应当在领取成交通知书时向采购人提供由“中国裁判文书网”上查询的行贿犯罪档案查询结果，未提供的，视为放弃中标资格。采购人经查询发现其存在行贿犯罪行为的，将取消其中标资格。</w:t>
            </w:r>
          </w:p>
          <w:p w14:paraId="5177C7E6">
            <w:pPr>
              <w:widowControl w:val="0"/>
              <w:autoSpaceDE w:val="0"/>
              <w:autoSpaceDN w:val="0"/>
              <w:spacing w:line="360" w:lineRule="auto"/>
              <w:ind w:left="1" w:leftChars="-7" w:hanging="16" w:hangingChars="8"/>
              <w:rPr>
                <w:color w:val="auto"/>
                <w:highlight w:val="none"/>
              </w:rPr>
            </w:pPr>
            <w:r>
              <w:rPr>
                <w:rFonts w:hint="eastAsia" w:ascii="仿宋" w:hAnsi="仿宋" w:eastAsia="仿宋" w:cs="仿宋"/>
                <w:color w:val="auto"/>
                <w:szCs w:val="21"/>
                <w:highlight w:val="none"/>
              </w:rPr>
              <w:t>6.开标完成后，投标供应商还须在政采云平台（网址：https://www.zcygov.cn/)等待二次报价，报价时间于开标当日由代理机构人员电话通知，请各投标供应商保存通讯畅通，政采云平台规定二次报价时间为30分钟，若在此时间段内未进行二次报价的投标供应商，商务部分以响应文件首次报价价格为准。</w:t>
            </w:r>
          </w:p>
        </w:tc>
      </w:tr>
    </w:tbl>
    <w:p w14:paraId="49232835">
      <w:pPr>
        <w:rPr>
          <w:rStyle w:val="34"/>
          <w:rFonts w:ascii="仿宋" w:hAnsi="仿宋" w:eastAsia="仿宋" w:cs="仿宋"/>
          <w:b/>
          <w:color w:val="auto"/>
          <w:sz w:val="32"/>
          <w:szCs w:val="32"/>
          <w:highlight w:val="none"/>
        </w:rPr>
      </w:pPr>
      <w:r>
        <w:rPr>
          <w:rStyle w:val="34"/>
          <w:rFonts w:hint="eastAsia" w:ascii="仿宋" w:hAnsi="仿宋" w:eastAsia="仿宋" w:cs="仿宋"/>
          <w:b/>
          <w:color w:val="auto"/>
          <w:sz w:val="32"/>
          <w:szCs w:val="32"/>
          <w:highlight w:val="none"/>
        </w:rPr>
        <w:br w:type="page"/>
      </w:r>
    </w:p>
    <w:p w14:paraId="204D6534">
      <w:pPr>
        <w:pStyle w:val="30"/>
        <w:spacing w:line="360" w:lineRule="auto"/>
        <w:ind w:firstLine="0"/>
        <w:jc w:val="center"/>
        <w:rPr>
          <w:rStyle w:val="34"/>
          <w:rFonts w:ascii="仿宋" w:hAnsi="仿宋" w:eastAsia="仿宋" w:cs="仿宋"/>
          <w:b/>
          <w:color w:val="auto"/>
          <w:sz w:val="32"/>
          <w:szCs w:val="32"/>
          <w:highlight w:val="none"/>
        </w:rPr>
      </w:pPr>
      <w:r>
        <w:rPr>
          <w:rStyle w:val="34"/>
          <w:rFonts w:hint="eastAsia" w:ascii="仿宋" w:hAnsi="仿宋" w:eastAsia="仿宋" w:cs="仿宋"/>
          <w:b/>
          <w:color w:val="auto"/>
          <w:sz w:val="32"/>
          <w:szCs w:val="32"/>
          <w:highlight w:val="none"/>
        </w:rPr>
        <w:t>总     则</w:t>
      </w:r>
    </w:p>
    <w:p w14:paraId="6325E79F">
      <w:pPr>
        <w:pStyle w:val="29"/>
        <w:spacing w:line="360" w:lineRule="auto"/>
        <w:ind w:firstLine="0"/>
        <w:rPr>
          <w:rStyle w:val="34"/>
          <w:rFonts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1、项目概况</w:t>
      </w:r>
    </w:p>
    <w:p w14:paraId="4FCCC912">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1.1 项目名称：</w:t>
      </w:r>
      <w:r>
        <w:rPr>
          <w:rStyle w:val="34"/>
          <w:rFonts w:hint="eastAsia" w:ascii="仿宋" w:hAnsi="仿宋" w:eastAsia="仿宋" w:cs="仿宋"/>
          <w:color w:val="auto"/>
          <w:szCs w:val="21"/>
          <w:highlight w:val="none"/>
          <w:lang w:eastAsia="zh-CN"/>
        </w:rPr>
        <w:t>石林彝族自治县行政中心室外绿化管养外包服务（2025-2028年）</w:t>
      </w:r>
      <w:r>
        <w:rPr>
          <w:rStyle w:val="34"/>
          <w:rFonts w:hint="eastAsia" w:ascii="仿宋" w:hAnsi="仿宋" w:eastAsia="仿宋" w:cs="仿宋"/>
          <w:color w:val="auto"/>
          <w:szCs w:val="21"/>
          <w:highlight w:val="none"/>
        </w:rPr>
        <w:t>。</w:t>
      </w:r>
    </w:p>
    <w:p w14:paraId="3561F619">
      <w:pPr>
        <w:spacing w:line="324" w:lineRule="auto"/>
        <w:ind w:firstLine="840" w:firstLineChars="400"/>
        <w:rPr>
          <w:rStyle w:val="34"/>
          <w:rFonts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招标编号：SLJC2025-006</w:t>
      </w:r>
    </w:p>
    <w:p w14:paraId="4A8E2981">
      <w:pPr>
        <w:spacing w:line="324" w:lineRule="auto"/>
        <w:ind w:firstLine="840" w:firstLineChars="400"/>
        <w:rPr>
          <w:rStyle w:val="34"/>
          <w:rFonts w:hint="eastAsia" w:ascii="仿宋" w:hAnsi="仿宋" w:eastAsia="仿宋" w:cs="仿宋"/>
          <w:color w:val="auto"/>
          <w:kern w:val="0"/>
          <w:szCs w:val="21"/>
          <w:highlight w:val="none"/>
          <w:lang w:eastAsia="zh-CN"/>
        </w:rPr>
      </w:pPr>
      <w:r>
        <w:rPr>
          <w:rStyle w:val="34"/>
          <w:rFonts w:hint="eastAsia" w:ascii="仿宋" w:hAnsi="仿宋" w:eastAsia="仿宋" w:cs="仿宋"/>
          <w:color w:val="auto"/>
          <w:kern w:val="0"/>
          <w:szCs w:val="21"/>
          <w:highlight w:val="none"/>
          <w:lang w:eastAsia="zh-CN"/>
        </w:rPr>
        <w:t>政府采购计划编号：4530126JH202500047</w:t>
      </w:r>
    </w:p>
    <w:p w14:paraId="2B618099">
      <w:pPr>
        <w:spacing w:line="360" w:lineRule="auto"/>
        <w:ind w:firstLine="840" w:firstLineChars="400"/>
        <w:rPr>
          <w:rStyle w:val="34"/>
          <w:rFonts w:hint="eastAsia" w:ascii="仿宋" w:hAnsi="仿宋" w:eastAsia="仿宋" w:cs="仿宋"/>
          <w:b/>
          <w:bCs/>
          <w:color w:val="auto"/>
          <w:szCs w:val="21"/>
          <w:highlight w:val="none"/>
          <w:lang w:eastAsia="zh-CN"/>
        </w:rPr>
      </w:pPr>
      <w:r>
        <w:rPr>
          <w:rStyle w:val="34"/>
          <w:rFonts w:hint="eastAsia" w:ascii="仿宋" w:hAnsi="仿宋" w:eastAsia="仿宋" w:cs="仿宋"/>
          <w:color w:val="auto"/>
          <w:kern w:val="0"/>
          <w:szCs w:val="21"/>
          <w:highlight w:val="none"/>
          <w:lang w:eastAsia="zh-CN"/>
        </w:rPr>
        <w:t>政采云项目编号：KMZC2025-C3-00624-SLYZ-0003</w:t>
      </w:r>
    </w:p>
    <w:p w14:paraId="4F6D5108">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kern w:val="0"/>
          <w:szCs w:val="21"/>
          <w:highlight w:val="none"/>
        </w:rPr>
        <w:t xml:space="preserve">1.2 </w:t>
      </w:r>
      <w:r>
        <w:rPr>
          <w:rStyle w:val="34"/>
          <w:rFonts w:hint="eastAsia" w:ascii="仿宋" w:hAnsi="仿宋" w:eastAsia="仿宋" w:cs="仿宋"/>
          <w:color w:val="auto"/>
          <w:szCs w:val="21"/>
          <w:highlight w:val="none"/>
        </w:rPr>
        <w:t>预算金额：</w:t>
      </w:r>
      <w:r>
        <w:rPr>
          <w:rStyle w:val="34"/>
          <w:rFonts w:hint="eastAsia" w:ascii="仿宋" w:hAnsi="仿宋" w:eastAsia="仿宋" w:cs="仿宋"/>
          <w:color w:val="auto"/>
          <w:szCs w:val="21"/>
          <w:highlight w:val="none"/>
          <w:lang w:eastAsia="zh-CN"/>
        </w:rPr>
        <w:t>人民币351350.00元/年</w:t>
      </w:r>
      <w:r>
        <w:rPr>
          <w:rStyle w:val="34"/>
          <w:rFonts w:hint="eastAsia" w:ascii="仿宋" w:hAnsi="仿宋" w:eastAsia="仿宋" w:cs="仿宋"/>
          <w:color w:val="auto"/>
          <w:szCs w:val="21"/>
          <w:highlight w:val="none"/>
        </w:rPr>
        <w:t>。</w:t>
      </w:r>
    </w:p>
    <w:p w14:paraId="0A98E0AB">
      <w:pPr>
        <w:spacing w:line="360" w:lineRule="auto"/>
        <w:ind w:left="420" w:leftChars="200" w:firstLine="56" w:firstLineChars="27"/>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1.3 最高限价：</w:t>
      </w:r>
      <w:r>
        <w:rPr>
          <w:rStyle w:val="34"/>
          <w:rFonts w:hint="eastAsia" w:ascii="仿宋" w:hAnsi="仿宋" w:eastAsia="仿宋" w:cs="仿宋"/>
          <w:color w:val="auto"/>
          <w:szCs w:val="21"/>
          <w:highlight w:val="none"/>
          <w:lang w:eastAsia="zh-CN"/>
        </w:rPr>
        <w:t>人民币351350.00元/年</w:t>
      </w:r>
      <w:r>
        <w:rPr>
          <w:rStyle w:val="34"/>
          <w:rFonts w:hint="eastAsia" w:ascii="仿宋" w:hAnsi="仿宋" w:eastAsia="仿宋" w:cs="仿宋"/>
          <w:color w:val="auto"/>
          <w:szCs w:val="21"/>
          <w:highlight w:val="none"/>
        </w:rPr>
        <w:t>。</w:t>
      </w:r>
    </w:p>
    <w:p w14:paraId="0DB73D4B">
      <w:pPr>
        <w:spacing w:line="324"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1.4 采购需求：</w:t>
      </w:r>
      <w:r>
        <w:rPr>
          <w:rStyle w:val="34"/>
          <w:rFonts w:hint="eastAsia" w:ascii="仿宋" w:hAnsi="仿宋" w:eastAsia="仿宋" w:cs="仿宋"/>
          <w:color w:val="auto"/>
          <w:szCs w:val="21"/>
          <w:highlight w:val="none"/>
          <w:lang w:eastAsia="zh-CN"/>
        </w:rPr>
        <w:t>石林彝族自治县机关事务管理中心</w:t>
      </w:r>
      <w:r>
        <w:rPr>
          <w:rStyle w:val="34"/>
          <w:rFonts w:hint="eastAsia" w:ascii="仿宋" w:hAnsi="仿宋" w:eastAsia="仿宋" w:cs="仿宋"/>
          <w:color w:val="auto"/>
          <w:szCs w:val="21"/>
          <w:highlight w:val="none"/>
          <w:lang w:val="en-US" w:eastAsia="zh-CN"/>
        </w:rPr>
        <w:t>办公楼（区）室外各类植株进行整形修剪、土壤、水肥管理和病虫害综合治理等日常的养护管理等服务工作</w:t>
      </w:r>
      <w:r>
        <w:rPr>
          <w:rStyle w:val="34"/>
          <w:rFonts w:hint="eastAsia" w:ascii="仿宋" w:hAnsi="仿宋" w:eastAsia="仿宋" w:cs="仿宋"/>
          <w:color w:val="auto"/>
          <w:kern w:val="0"/>
          <w:szCs w:val="21"/>
          <w:highlight w:val="none"/>
        </w:rPr>
        <w:t>。具体服务事项详见竞争性磋商第三章</w:t>
      </w:r>
      <w:r>
        <w:rPr>
          <w:rStyle w:val="34"/>
          <w:rFonts w:hint="eastAsia" w:ascii="仿宋" w:hAnsi="仿宋" w:eastAsia="仿宋" w:cs="仿宋"/>
          <w:color w:val="auto"/>
          <w:szCs w:val="21"/>
          <w:highlight w:val="none"/>
        </w:rPr>
        <w:t>。</w:t>
      </w:r>
    </w:p>
    <w:p w14:paraId="5110664D">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1.5 合同履行期限（服务期）：</w:t>
      </w:r>
      <w:r>
        <w:rPr>
          <w:rStyle w:val="34"/>
          <w:rFonts w:hint="eastAsia" w:ascii="仿宋" w:hAnsi="仿宋" w:eastAsia="仿宋" w:cs="仿宋"/>
          <w:color w:val="auto"/>
          <w:szCs w:val="21"/>
          <w:highlight w:val="none"/>
          <w:lang w:eastAsia="zh-CN"/>
        </w:rPr>
        <w:t>三年（合同一年一签，服务期每满一年须由采购人进行年度考核，若考核合格则续签合同，若考核不合格则不再续签合同，累计服务期限不超过三年）</w:t>
      </w:r>
      <w:r>
        <w:rPr>
          <w:rStyle w:val="34"/>
          <w:rFonts w:hint="eastAsia" w:ascii="仿宋" w:hAnsi="仿宋" w:eastAsia="仿宋" w:cs="仿宋"/>
          <w:color w:val="auto"/>
          <w:szCs w:val="21"/>
          <w:highlight w:val="none"/>
        </w:rPr>
        <w:t>。</w:t>
      </w:r>
    </w:p>
    <w:p w14:paraId="45F05153">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kern w:val="0"/>
          <w:szCs w:val="21"/>
          <w:highlight w:val="none"/>
        </w:rPr>
        <w:t xml:space="preserve">1.6 </w:t>
      </w:r>
      <w:r>
        <w:rPr>
          <w:rStyle w:val="34"/>
          <w:rFonts w:hint="eastAsia" w:ascii="仿宋" w:hAnsi="仿宋" w:eastAsia="仿宋" w:cs="仿宋"/>
          <w:color w:val="auto"/>
          <w:szCs w:val="21"/>
          <w:highlight w:val="none"/>
        </w:rPr>
        <w:t>本项目（否）接受联合体投标。</w:t>
      </w:r>
    </w:p>
    <w:p w14:paraId="3C0853B8">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1.7 服务</w:t>
      </w:r>
      <w:r>
        <w:rPr>
          <w:rStyle w:val="34"/>
          <w:rFonts w:hint="eastAsia" w:ascii="仿宋" w:hAnsi="仿宋" w:eastAsia="仿宋" w:cs="仿宋"/>
          <w:color w:val="auto"/>
          <w:kern w:val="0"/>
          <w:szCs w:val="21"/>
          <w:highlight w:val="none"/>
        </w:rPr>
        <w:t>地点：</w:t>
      </w:r>
      <w:r>
        <w:rPr>
          <w:rStyle w:val="34"/>
          <w:rFonts w:hint="eastAsia" w:ascii="仿宋" w:hAnsi="仿宋" w:eastAsia="仿宋" w:cs="仿宋"/>
          <w:color w:val="auto"/>
          <w:szCs w:val="21"/>
          <w:highlight w:val="none"/>
          <w:lang w:eastAsia="zh-CN"/>
        </w:rPr>
        <w:t>石林彝族自治县行政中心（石林彝族自治县兴林路）</w:t>
      </w:r>
      <w:r>
        <w:rPr>
          <w:rStyle w:val="34"/>
          <w:rFonts w:hint="eastAsia" w:ascii="仿宋" w:hAnsi="仿宋" w:eastAsia="仿宋" w:cs="仿宋"/>
          <w:color w:val="auto"/>
          <w:szCs w:val="21"/>
          <w:highlight w:val="none"/>
        </w:rPr>
        <w:t>。</w:t>
      </w:r>
    </w:p>
    <w:p w14:paraId="1AA4EC52">
      <w:pPr>
        <w:spacing w:line="360" w:lineRule="auto"/>
        <w:ind w:firstLine="480"/>
        <w:rPr>
          <w:rFonts w:eastAsia="仿宋"/>
          <w:color w:val="auto"/>
          <w:highlight w:val="none"/>
        </w:rPr>
      </w:pPr>
      <w:r>
        <w:rPr>
          <w:rStyle w:val="34"/>
          <w:rFonts w:hint="eastAsia" w:ascii="仿宋" w:hAnsi="仿宋" w:eastAsia="仿宋" w:cs="仿宋"/>
          <w:color w:val="auto"/>
          <w:szCs w:val="21"/>
          <w:highlight w:val="none"/>
        </w:rPr>
        <w:t>1.8服务标准：</w:t>
      </w:r>
      <w:r>
        <w:rPr>
          <w:rStyle w:val="34"/>
          <w:rFonts w:hint="eastAsia" w:ascii="仿宋" w:hAnsi="仿宋" w:eastAsia="仿宋" w:cs="仿宋"/>
          <w:color w:val="auto"/>
          <w:szCs w:val="21"/>
          <w:highlight w:val="none"/>
          <w:lang w:eastAsia="zh-CN"/>
        </w:rPr>
        <w:t>满足采购人就本项目提出的要求及需求，按时完成工作任务</w:t>
      </w:r>
      <w:r>
        <w:rPr>
          <w:rStyle w:val="34"/>
          <w:rFonts w:hint="eastAsia" w:ascii="仿宋" w:hAnsi="仿宋" w:eastAsia="仿宋" w:cs="仿宋"/>
          <w:color w:val="auto"/>
          <w:szCs w:val="21"/>
          <w:highlight w:val="none"/>
        </w:rPr>
        <w:t>。</w:t>
      </w:r>
    </w:p>
    <w:p w14:paraId="648EF63D">
      <w:pPr>
        <w:spacing w:line="360" w:lineRule="auto"/>
        <w:rPr>
          <w:rStyle w:val="34"/>
          <w:rFonts w:ascii="仿宋" w:hAnsi="仿宋" w:eastAsia="仿宋" w:cs="仿宋"/>
          <w:b/>
          <w:color w:val="auto"/>
          <w:szCs w:val="21"/>
          <w:highlight w:val="none"/>
        </w:rPr>
      </w:pPr>
      <w:r>
        <w:rPr>
          <w:rStyle w:val="34"/>
          <w:rFonts w:hint="eastAsia" w:ascii="仿宋" w:hAnsi="仿宋" w:eastAsia="仿宋" w:cs="仿宋"/>
          <w:b/>
          <w:color w:val="auto"/>
          <w:szCs w:val="21"/>
          <w:highlight w:val="none"/>
        </w:rPr>
        <w:t>2、合格的供应商</w:t>
      </w:r>
    </w:p>
    <w:p w14:paraId="242EFDF8">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2.1 供应商应符合竞争性磋商文件“</w:t>
      </w:r>
      <w:r>
        <w:rPr>
          <w:rStyle w:val="34"/>
          <w:rFonts w:hint="eastAsia" w:ascii="仿宋" w:hAnsi="仿宋" w:eastAsia="仿宋" w:cs="仿宋"/>
          <w:b/>
          <w:color w:val="auto"/>
          <w:szCs w:val="21"/>
          <w:highlight w:val="none"/>
        </w:rPr>
        <w:t>供应商须知前附表</w:t>
      </w:r>
      <w:r>
        <w:rPr>
          <w:rStyle w:val="34"/>
          <w:rFonts w:hint="eastAsia" w:ascii="仿宋" w:hAnsi="仿宋" w:eastAsia="仿宋" w:cs="仿宋"/>
          <w:color w:val="auto"/>
          <w:szCs w:val="21"/>
          <w:highlight w:val="none"/>
        </w:rPr>
        <w:t>”第2.1条款中规定的条件。</w:t>
      </w:r>
    </w:p>
    <w:p w14:paraId="774D8AD9">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2.2 供应商应具备《中华人民共和国政府采购法》第二十二条规定的条件，并根据本章第8条款的内容出具证明材料。</w:t>
      </w:r>
    </w:p>
    <w:p w14:paraId="6EE0BA47">
      <w:pPr>
        <w:tabs>
          <w:tab w:val="left" w:pos="900"/>
        </w:tabs>
        <w:spacing w:line="360" w:lineRule="auto"/>
        <w:ind w:firstLine="480"/>
        <w:rPr>
          <w:rStyle w:val="34"/>
          <w:rFonts w:ascii="仿宋" w:hAnsi="仿宋" w:eastAsia="仿宋" w:cs="仿宋"/>
          <w:b/>
          <w:bCs/>
          <w:color w:val="auto"/>
          <w:szCs w:val="21"/>
          <w:highlight w:val="none"/>
        </w:rPr>
      </w:pPr>
      <w:r>
        <w:rPr>
          <w:rStyle w:val="34"/>
          <w:rFonts w:hint="eastAsia" w:ascii="仿宋" w:hAnsi="仿宋" w:eastAsia="仿宋" w:cs="仿宋"/>
          <w:color w:val="auto"/>
          <w:szCs w:val="21"/>
          <w:highlight w:val="none"/>
        </w:rPr>
        <w:t>2.3 供应商应遵守有关的国家法律、法令、条例和政府采购有关制度。一旦参加投标，则应承担相关法律责任。</w:t>
      </w:r>
    </w:p>
    <w:p w14:paraId="1776A7E3">
      <w:pPr>
        <w:tabs>
          <w:tab w:val="left" w:pos="900"/>
        </w:tabs>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b/>
          <w:bCs/>
          <w:color w:val="auto"/>
          <w:szCs w:val="21"/>
          <w:highlight w:val="none"/>
        </w:rPr>
        <w:t>注：不符合以上要求的供应商，视为不通过资格审查，按废标处理。</w:t>
      </w:r>
    </w:p>
    <w:p w14:paraId="753A157A">
      <w:pPr>
        <w:tabs>
          <w:tab w:val="left" w:pos="900"/>
        </w:tabs>
        <w:spacing w:line="360" w:lineRule="auto"/>
        <w:rPr>
          <w:rStyle w:val="34"/>
          <w:rFonts w:ascii="仿宋" w:hAnsi="仿宋" w:eastAsia="仿宋" w:cs="仿宋"/>
          <w:b/>
          <w:bCs/>
          <w:color w:val="auto"/>
          <w:szCs w:val="21"/>
          <w:highlight w:val="none"/>
        </w:rPr>
      </w:pPr>
      <w:r>
        <w:rPr>
          <w:rStyle w:val="34"/>
          <w:rFonts w:hint="eastAsia" w:ascii="仿宋" w:hAnsi="仿宋" w:eastAsia="仿宋" w:cs="仿宋"/>
          <w:b/>
          <w:bCs/>
          <w:color w:val="auto"/>
          <w:szCs w:val="21"/>
          <w:highlight w:val="none"/>
        </w:rPr>
        <w:t>3、磋商费用</w:t>
      </w:r>
    </w:p>
    <w:p w14:paraId="0B4BBE08">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3.1 供应商应承担所有与编写和提交响应文件有关的费用，不论结果如何，供应商均应自行承担所有参与本招标活动有关的全部费用。</w:t>
      </w:r>
    </w:p>
    <w:p w14:paraId="1A3F639F">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3.2 供应商在报价时应考虑到以上费用的承担。</w:t>
      </w:r>
    </w:p>
    <w:p w14:paraId="39D1E2DF">
      <w:pPr>
        <w:pStyle w:val="29"/>
        <w:spacing w:line="360" w:lineRule="auto"/>
        <w:ind w:firstLine="0"/>
        <w:rPr>
          <w:rStyle w:val="34"/>
          <w:rFonts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4、竞争性磋商文件的构成</w:t>
      </w:r>
    </w:p>
    <w:p w14:paraId="09A080EF">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4.1 竞争性磋商文件包括:</w:t>
      </w:r>
    </w:p>
    <w:p w14:paraId="5E7FA34B">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第一章 竞争性磋商公告</w:t>
      </w:r>
    </w:p>
    <w:p w14:paraId="6F349673">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第二章 供应商须知及前附表</w:t>
      </w:r>
    </w:p>
    <w:p w14:paraId="2E6EF20D">
      <w:pPr>
        <w:spacing w:line="360" w:lineRule="auto"/>
        <w:ind w:firstLine="480"/>
        <w:rPr>
          <w:rStyle w:val="34"/>
          <w:rFonts w:hint="eastAsia" w:ascii="仿宋" w:hAnsi="仿宋" w:eastAsia="仿宋" w:cs="仿宋"/>
          <w:color w:val="auto"/>
          <w:szCs w:val="21"/>
          <w:highlight w:val="none"/>
          <w:lang w:eastAsia="zh-CN"/>
        </w:rPr>
      </w:pPr>
      <w:r>
        <w:rPr>
          <w:rStyle w:val="34"/>
          <w:rFonts w:hint="eastAsia" w:ascii="仿宋" w:hAnsi="仿宋" w:eastAsia="仿宋" w:cs="仿宋"/>
          <w:color w:val="auto"/>
          <w:szCs w:val="21"/>
          <w:highlight w:val="none"/>
        </w:rPr>
        <w:t xml:space="preserve">第三章 </w:t>
      </w:r>
      <w:r>
        <w:rPr>
          <w:rStyle w:val="34"/>
          <w:rFonts w:hint="eastAsia" w:ascii="仿宋" w:hAnsi="仿宋" w:eastAsia="仿宋" w:cs="仿宋"/>
          <w:color w:val="auto"/>
          <w:szCs w:val="21"/>
          <w:highlight w:val="none"/>
          <w:lang w:eastAsia="zh-CN"/>
        </w:rPr>
        <w:t>服务技术要求</w:t>
      </w:r>
    </w:p>
    <w:p w14:paraId="57814EA0">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第四章 合同格式</w:t>
      </w:r>
    </w:p>
    <w:p w14:paraId="30C6813B">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第五章 响应文件格式</w:t>
      </w:r>
    </w:p>
    <w:p w14:paraId="3B2EB600">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第六章 评审标准</w:t>
      </w:r>
    </w:p>
    <w:p w14:paraId="4D6D985E">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4.2 供应商应认真阅读竞争性磋商文件中所有的事项、格式、条款和规范等要求。如果供应商没有按照竞争性磋商文件要求提交全部资料或者响应文件没有对竞争性磋商文件在各方面都做出实质性响应，则其投标将被拒绝。</w:t>
      </w:r>
    </w:p>
    <w:p w14:paraId="0B37C904">
      <w:pPr>
        <w:pStyle w:val="29"/>
        <w:spacing w:line="360" w:lineRule="auto"/>
        <w:ind w:firstLine="0"/>
        <w:rPr>
          <w:rStyle w:val="34"/>
          <w:rFonts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5、竞争性磋商文件的澄清</w:t>
      </w:r>
    </w:p>
    <w:p w14:paraId="79693F1B">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5.1 任何已领取了竞争性磋商文件的潜在供应商，均可要求对竞争性磋商文件进行澄清，按“供应商须知前附表”第5.1条款中规定以书面形式提交。</w:t>
      </w:r>
    </w:p>
    <w:p w14:paraId="425E1CB1">
      <w:pPr>
        <w:pStyle w:val="29"/>
        <w:spacing w:line="360" w:lineRule="auto"/>
        <w:ind w:firstLine="0"/>
        <w:rPr>
          <w:rStyle w:val="34"/>
          <w:rFonts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6、竞争性磋商文件的修改</w:t>
      </w:r>
    </w:p>
    <w:p w14:paraId="44159C94">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6.1采购人对其认为需要给予澄清、修改及/或进行其它答复的，将以补充文件的方式进行，并且按“供应商须知前附表”第6.1条款中规定以书面形式发布。补充文件中包括原提出的问题及问题的说明意见，但不包括问题的来源。</w:t>
      </w:r>
    </w:p>
    <w:p w14:paraId="3573624B">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6.2 无论是否根据供应商的澄清、修改或进行其它答复的要求，采购人一旦对竞争性磋商文件做出澄清、修改或进行其它答复，即刻发生效力，采购人有关的补充文件，应当作为竞争性磋商文件的组成部分，对所有供应商均具有约束力。</w:t>
      </w:r>
    </w:p>
    <w:p w14:paraId="4889D334">
      <w:pPr>
        <w:pStyle w:val="29"/>
        <w:spacing w:line="360" w:lineRule="auto"/>
        <w:ind w:firstLine="0"/>
        <w:rPr>
          <w:rStyle w:val="34"/>
          <w:rFonts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7、磋商申请的语言及度量衡单位</w:t>
      </w:r>
    </w:p>
    <w:p w14:paraId="6AA3F354">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7.1 供应商提交的响应文件以及供应商与</w:t>
      </w:r>
      <w:r>
        <w:rPr>
          <w:rStyle w:val="34"/>
          <w:rFonts w:hint="eastAsia" w:ascii="仿宋" w:hAnsi="仿宋" w:eastAsia="仿宋" w:cs="仿宋"/>
          <w:color w:val="auto"/>
          <w:szCs w:val="21"/>
          <w:highlight w:val="none"/>
          <w:lang w:eastAsia="zh-CN"/>
        </w:rPr>
        <w:t>石林彝族自治县政府采购和出让中心</w:t>
      </w:r>
      <w:r>
        <w:rPr>
          <w:rStyle w:val="34"/>
          <w:rFonts w:hint="eastAsia" w:ascii="仿宋" w:hAnsi="仿宋" w:eastAsia="仿宋" w:cs="仿宋"/>
          <w:color w:val="auto"/>
          <w:szCs w:val="21"/>
          <w:highlight w:val="none"/>
        </w:rPr>
        <w:t>就有关的所有来往函电均应使用中文。供应商可以提交用其他语言打印的资料，但有关的段落必须翻译成中文，在有差异和矛盾时以中文为准。字体要便于辨识，以正楷、宋体为好。</w:t>
      </w:r>
    </w:p>
    <w:p w14:paraId="7AF77C41">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7.2 用非中文版印刷的技术资料、资格资质证书等，供应商应提供符合中国有关法律、法规的中文译本，并以中文译本为准。</w:t>
      </w:r>
    </w:p>
    <w:p w14:paraId="543E537B">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7.3 响应文件中所使用的度量衡单位，除竞争性磋商文件中有特殊要求外，一律用法定计量单位。</w:t>
      </w:r>
    </w:p>
    <w:p w14:paraId="024FD366">
      <w:pPr>
        <w:pStyle w:val="29"/>
        <w:spacing w:line="360" w:lineRule="auto"/>
        <w:ind w:firstLine="0"/>
        <w:rPr>
          <w:rStyle w:val="34"/>
          <w:rFonts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8、响应文件的构成</w:t>
      </w:r>
    </w:p>
    <w:p w14:paraId="31041059">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（1）竞争性磋商报价一览表；</w:t>
      </w:r>
    </w:p>
    <w:p w14:paraId="6DDC9273">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（2）法定代表人身份证明书（附法定代表人身份证）；</w:t>
      </w:r>
    </w:p>
    <w:p w14:paraId="2B03466D">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（3）授权委托书（附授权委托人身份证）；</w:t>
      </w:r>
    </w:p>
    <w:p w14:paraId="727251CD">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（4）磋商申请函；</w:t>
      </w:r>
    </w:p>
    <w:p w14:paraId="5913173B">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（5）供应商一般情况表；</w:t>
      </w:r>
    </w:p>
    <w:p w14:paraId="0BF03D9D">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（6）资格证明文件：</w:t>
      </w:r>
    </w:p>
    <w:p w14:paraId="50D96708">
      <w:pPr>
        <w:spacing w:line="360" w:lineRule="auto"/>
        <w:ind w:firstLine="480"/>
        <w:rPr>
          <w:rStyle w:val="34"/>
          <w:rFonts w:hint="eastAsia"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① 营业执照副本；</w:t>
      </w:r>
    </w:p>
    <w:p w14:paraId="03C6B7BF">
      <w:pPr>
        <w:spacing w:line="360" w:lineRule="auto"/>
        <w:ind w:firstLine="480"/>
        <w:rPr>
          <w:rStyle w:val="34"/>
          <w:rFonts w:hint="eastAsia"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② 具有履行合同所必需的设备和专业技术能力声明书；</w:t>
      </w:r>
    </w:p>
    <w:p w14:paraId="3696C03D">
      <w:pPr>
        <w:spacing w:line="360" w:lineRule="auto"/>
        <w:ind w:firstLine="480"/>
        <w:rPr>
          <w:rStyle w:val="34"/>
          <w:rFonts w:hint="eastAsia"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③ 2024年度任意一个月已缴纳税收的证明材料；</w:t>
      </w:r>
    </w:p>
    <w:p w14:paraId="70D02360">
      <w:pPr>
        <w:spacing w:line="360" w:lineRule="auto"/>
        <w:ind w:firstLine="480"/>
        <w:rPr>
          <w:rStyle w:val="34"/>
          <w:rFonts w:hint="eastAsia"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④ 2024年度任意一个月已缴纳社会保障资金的证明材料；</w:t>
      </w:r>
    </w:p>
    <w:p w14:paraId="38876C94">
      <w:pPr>
        <w:spacing w:line="360" w:lineRule="auto"/>
        <w:ind w:firstLine="480"/>
        <w:rPr>
          <w:rStyle w:val="34"/>
          <w:rFonts w:hint="eastAsia"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⑤ 廉政承诺；</w:t>
      </w:r>
    </w:p>
    <w:p w14:paraId="6E416952">
      <w:pPr>
        <w:spacing w:line="360" w:lineRule="auto"/>
        <w:ind w:firstLine="480"/>
        <w:rPr>
          <w:rStyle w:val="34"/>
          <w:rFonts w:hint="eastAsia"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⑥ 信誉承诺；</w:t>
      </w:r>
    </w:p>
    <w:p w14:paraId="241578A9">
      <w:pPr>
        <w:spacing w:line="360" w:lineRule="auto"/>
        <w:ind w:firstLine="480"/>
        <w:rPr>
          <w:rStyle w:val="34"/>
          <w:rFonts w:hint="eastAsia"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⑦ 近三年（2021年-2023年）经非本单位专业审计机构审计的财务报表及审计报告；公司成立不满三年的，提供成立后的非本单位专业审计机构审计的财务报表及审计报告；成立不满1年的，无需提供上述证明材料；事业单位提供会计报表；</w:t>
      </w:r>
    </w:p>
    <w:p w14:paraId="218A7A44">
      <w:pPr>
        <w:spacing w:line="360" w:lineRule="auto"/>
        <w:ind w:firstLine="480"/>
        <w:rPr>
          <w:rStyle w:val="34"/>
          <w:rFonts w:hint="eastAsia"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⑧ 公共资源招标投标事前信用承诺书；</w:t>
      </w:r>
    </w:p>
    <w:p w14:paraId="337FDDE4">
      <w:pPr>
        <w:spacing w:line="360" w:lineRule="auto"/>
        <w:ind w:firstLine="480"/>
        <w:rPr>
          <w:rStyle w:val="34"/>
          <w:rFonts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lang w:val="en-US" w:eastAsia="zh-CN"/>
        </w:rPr>
        <w:t>⑨</w:t>
      </w:r>
      <w:r>
        <w:rPr>
          <w:rStyle w:val="34"/>
          <w:rFonts w:hint="eastAsia" w:ascii="仿宋" w:hAnsi="仿宋" w:eastAsia="仿宋" w:cs="仿宋"/>
          <w:color w:val="auto"/>
          <w:kern w:val="0"/>
          <w:szCs w:val="21"/>
          <w:highlight w:val="none"/>
        </w:rPr>
        <w:t xml:space="preserve"> </w:t>
      </w:r>
      <w:r>
        <w:rPr>
          <w:rStyle w:val="34"/>
          <w:rFonts w:hint="eastAsia" w:ascii="仿宋" w:hAnsi="仿宋" w:eastAsia="仿宋" w:cs="仿宋"/>
          <w:color w:val="auto"/>
          <w:kern w:val="0"/>
          <w:szCs w:val="21"/>
          <w:highlight w:val="none"/>
          <w:lang w:val="en-US" w:eastAsia="zh-CN"/>
        </w:rPr>
        <w:t>供应商</w:t>
      </w:r>
      <w:r>
        <w:rPr>
          <w:rStyle w:val="34"/>
          <w:rFonts w:hint="eastAsia" w:ascii="仿宋" w:hAnsi="仿宋" w:eastAsia="仿宋" w:cs="仿宋"/>
          <w:color w:val="auto"/>
          <w:kern w:val="0"/>
          <w:szCs w:val="21"/>
          <w:highlight w:val="none"/>
        </w:rPr>
        <w:t>承诺书；</w:t>
      </w:r>
    </w:p>
    <w:p w14:paraId="4D0F5EB4">
      <w:pPr>
        <w:spacing w:line="360" w:lineRule="auto"/>
        <w:ind w:firstLine="480"/>
        <w:rPr>
          <w:rStyle w:val="34"/>
          <w:rFonts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⑩ 竞争性磋商文件中需要供应商提交的其他资格证明文件。</w:t>
      </w:r>
    </w:p>
    <w:p w14:paraId="17ED8027">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（7）报价说明；</w:t>
      </w:r>
    </w:p>
    <w:p w14:paraId="0A70DE34">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（8）总体服务方案；</w:t>
      </w:r>
    </w:p>
    <w:p w14:paraId="64108CD3">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（9）风险防范</w:t>
      </w:r>
      <w:r>
        <w:rPr>
          <w:rStyle w:val="34"/>
          <w:rFonts w:hint="eastAsia" w:ascii="仿宋" w:hAnsi="仿宋" w:eastAsia="仿宋" w:cs="仿宋"/>
          <w:color w:val="auto"/>
          <w:szCs w:val="21"/>
          <w:highlight w:val="none"/>
          <w:lang w:val="en-US" w:eastAsia="zh-CN"/>
        </w:rPr>
        <w:t>措施</w:t>
      </w:r>
      <w:r>
        <w:rPr>
          <w:rStyle w:val="34"/>
          <w:rFonts w:hint="eastAsia" w:ascii="仿宋" w:hAnsi="仿宋" w:eastAsia="仿宋" w:cs="仿宋"/>
          <w:color w:val="auto"/>
          <w:szCs w:val="21"/>
          <w:highlight w:val="none"/>
        </w:rPr>
        <w:t>；</w:t>
      </w:r>
    </w:p>
    <w:p w14:paraId="4ECDCA37">
      <w:pPr>
        <w:spacing w:line="360" w:lineRule="auto"/>
        <w:ind w:firstLine="480"/>
        <w:rPr>
          <w:rStyle w:val="34"/>
          <w:rFonts w:hint="eastAsia" w:ascii="仿宋" w:hAnsi="仿宋" w:eastAsia="仿宋" w:cs="仿宋"/>
          <w:color w:val="auto"/>
          <w:szCs w:val="21"/>
          <w:highlight w:val="none"/>
          <w:lang w:eastAsia="zh-CN"/>
        </w:rPr>
      </w:pPr>
      <w:r>
        <w:rPr>
          <w:rStyle w:val="34"/>
          <w:rFonts w:hint="eastAsia" w:ascii="仿宋" w:hAnsi="仿宋" w:eastAsia="仿宋" w:cs="仿宋"/>
          <w:color w:val="auto"/>
          <w:szCs w:val="21"/>
          <w:highlight w:val="none"/>
        </w:rPr>
        <w:t>（10）突发事件应急预案</w:t>
      </w:r>
      <w:r>
        <w:rPr>
          <w:rStyle w:val="34"/>
          <w:rFonts w:hint="eastAsia" w:ascii="仿宋" w:hAnsi="仿宋" w:eastAsia="仿宋" w:cs="仿宋"/>
          <w:color w:val="auto"/>
          <w:szCs w:val="21"/>
          <w:highlight w:val="none"/>
          <w:lang w:eastAsia="zh-CN"/>
        </w:rPr>
        <w:t>；</w:t>
      </w:r>
    </w:p>
    <w:p w14:paraId="4587C814">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lang w:val="en-US" w:eastAsia="zh-CN"/>
        </w:rPr>
        <w:t>（11）绿植更换保障条件</w:t>
      </w:r>
      <w:r>
        <w:rPr>
          <w:rStyle w:val="34"/>
          <w:rFonts w:hint="eastAsia" w:ascii="仿宋" w:hAnsi="仿宋" w:eastAsia="仿宋" w:cs="仿宋"/>
          <w:color w:val="auto"/>
          <w:szCs w:val="21"/>
          <w:highlight w:val="none"/>
        </w:rPr>
        <w:t>；</w:t>
      </w:r>
    </w:p>
    <w:p w14:paraId="2381C623">
      <w:pPr>
        <w:spacing w:line="360" w:lineRule="auto"/>
        <w:ind w:firstLine="480"/>
        <w:rPr>
          <w:rStyle w:val="34"/>
          <w:rFonts w:hint="eastAsia" w:ascii="仿宋" w:hAnsi="仿宋" w:eastAsia="仿宋" w:cs="仿宋"/>
          <w:color w:val="auto"/>
          <w:kern w:val="0"/>
          <w:szCs w:val="21"/>
          <w:highlight w:val="none"/>
          <w:lang w:eastAsia="zh-CN"/>
        </w:rPr>
      </w:pPr>
      <w:r>
        <w:rPr>
          <w:rStyle w:val="34"/>
          <w:rFonts w:hint="eastAsia" w:ascii="仿宋" w:hAnsi="仿宋" w:eastAsia="仿宋" w:cs="仿宋"/>
          <w:color w:val="auto"/>
          <w:szCs w:val="21"/>
          <w:highlight w:val="none"/>
        </w:rPr>
        <w:t>（1</w:t>
      </w:r>
      <w:r>
        <w:rPr>
          <w:rStyle w:val="34"/>
          <w:rFonts w:hint="eastAsia" w:ascii="仿宋" w:hAnsi="仿宋" w:eastAsia="仿宋" w:cs="仿宋"/>
          <w:color w:val="auto"/>
          <w:szCs w:val="21"/>
          <w:highlight w:val="none"/>
          <w:lang w:val="en-US" w:eastAsia="zh-CN"/>
        </w:rPr>
        <w:t>2</w:t>
      </w:r>
      <w:r>
        <w:rPr>
          <w:rStyle w:val="34"/>
          <w:rFonts w:hint="eastAsia" w:ascii="仿宋" w:hAnsi="仿宋" w:eastAsia="仿宋" w:cs="仿宋"/>
          <w:color w:val="auto"/>
          <w:szCs w:val="21"/>
          <w:highlight w:val="none"/>
        </w:rPr>
        <w:t>）</w:t>
      </w:r>
      <w:r>
        <w:rPr>
          <w:rStyle w:val="34"/>
          <w:rFonts w:hint="eastAsia" w:ascii="仿宋" w:hAnsi="仿宋" w:eastAsia="仿宋" w:cs="仿宋"/>
          <w:color w:val="auto"/>
          <w:szCs w:val="21"/>
          <w:highlight w:val="none"/>
          <w:lang w:val="en-US" w:eastAsia="zh-CN"/>
        </w:rPr>
        <w:t>服务质量承诺及保证措施</w:t>
      </w:r>
      <w:r>
        <w:rPr>
          <w:rStyle w:val="34"/>
          <w:rFonts w:hint="eastAsia" w:ascii="仿宋" w:hAnsi="仿宋" w:eastAsia="仿宋" w:cs="仿宋"/>
          <w:color w:val="auto"/>
          <w:szCs w:val="21"/>
          <w:highlight w:val="none"/>
          <w:lang w:eastAsia="zh-CN"/>
        </w:rPr>
        <w:t>；</w:t>
      </w:r>
    </w:p>
    <w:p w14:paraId="4CCA7DD9">
      <w:pPr>
        <w:tabs>
          <w:tab w:val="left" w:pos="4241"/>
        </w:tabs>
        <w:spacing w:line="360" w:lineRule="auto"/>
        <w:ind w:firstLine="480"/>
        <w:rPr>
          <w:rStyle w:val="34"/>
          <w:rFonts w:hint="eastAsia" w:ascii="仿宋" w:hAnsi="仿宋" w:eastAsia="仿宋" w:cs="仿宋"/>
          <w:color w:val="auto"/>
          <w:szCs w:val="21"/>
          <w:highlight w:val="none"/>
          <w:lang w:eastAsia="zh-CN"/>
        </w:rPr>
      </w:pPr>
      <w:r>
        <w:rPr>
          <w:rStyle w:val="34"/>
          <w:rFonts w:hint="eastAsia" w:ascii="仿宋" w:hAnsi="仿宋" w:eastAsia="仿宋" w:cs="仿宋"/>
          <w:color w:val="auto"/>
          <w:kern w:val="0"/>
          <w:szCs w:val="21"/>
          <w:highlight w:val="none"/>
        </w:rPr>
        <w:t>（1</w:t>
      </w:r>
      <w:r>
        <w:rPr>
          <w:rStyle w:val="34"/>
          <w:rFonts w:hint="eastAsia" w:ascii="仿宋" w:hAnsi="仿宋" w:eastAsia="仿宋" w:cs="仿宋"/>
          <w:color w:val="auto"/>
          <w:kern w:val="0"/>
          <w:szCs w:val="21"/>
          <w:highlight w:val="none"/>
          <w:lang w:val="en-US" w:eastAsia="zh-CN"/>
        </w:rPr>
        <w:t>3</w:t>
      </w:r>
      <w:r>
        <w:rPr>
          <w:rStyle w:val="34"/>
          <w:rFonts w:hint="eastAsia" w:ascii="仿宋" w:hAnsi="仿宋" w:eastAsia="仿宋" w:cs="仿宋"/>
          <w:color w:val="auto"/>
          <w:kern w:val="0"/>
          <w:szCs w:val="21"/>
          <w:highlight w:val="none"/>
        </w:rPr>
        <w:t>）</w:t>
      </w:r>
      <w:r>
        <w:rPr>
          <w:rStyle w:val="34"/>
          <w:rFonts w:hint="eastAsia" w:ascii="仿宋" w:hAnsi="仿宋" w:eastAsia="仿宋" w:cs="仿宋"/>
          <w:color w:val="auto"/>
          <w:szCs w:val="21"/>
          <w:highlight w:val="none"/>
        </w:rPr>
        <w:t>组织机构及人员配备计划；</w:t>
      </w:r>
      <w:r>
        <w:rPr>
          <w:rStyle w:val="34"/>
          <w:rFonts w:hint="eastAsia" w:ascii="仿宋" w:hAnsi="仿宋" w:eastAsia="仿宋" w:cs="仿宋"/>
          <w:color w:val="auto"/>
          <w:szCs w:val="21"/>
          <w:highlight w:val="none"/>
          <w:lang w:eastAsia="zh-CN"/>
        </w:rPr>
        <w:tab/>
      </w:r>
    </w:p>
    <w:p w14:paraId="2B0AC525">
      <w:pPr>
        <w:spacing w:line="360" w:lineRule="auto"/>
        <w:ind w:firstLine="480"/>
        <w:rPr>
          <w:rStyle w:val="34"/>
          <w:rFonts w:hint="eastAsia" w:ascii="仿宋" w:hAnsi="仿宋" w:eastAsia="仿宋" w:cs="仿宋"/>
          <w:color w:val="auto"/>
          <w:szCs w:val="21"/>
          <w:highlight w:val="none"/>
        </w:rPr>
      </w:pPr>
      <w:r>
        <w:rPr>
          <w:rStyle w:val="34"/>
          <w:rFonts w:hint="eastAsia" w:ascii="仿宋" w:hAnsi="仿宋" w:eastAsia="仿宋" w:cs="仿宋"/>
          <w:color w:val="auto"/>
          <w:szCs w:val="21"/>
          <w:highlight w:val="none"/>
        </w:rPr>
        <w:t>（</w:t>
      </w:r>
      <w:r>
        <w:rPr>
          <w:rStyle w:val="34"/>
          <w:rFonts w:hint="eastAsia" w:ascii="仿宋" w:hAnsi="仿宋" w:eastAsia="仿宋" w:cs="仿宋"/>
          <w:color w:val="auto"/>
          <w:szCs w:val="21"/>
          <w:highlight w:val="none"/>
          <w:lang w:val="en-US" w:eastAsia="zh-CN"/>
        </w:rPr>
        <w:t>14</w:t>
      </w:r>
      <w:r>
        <w:rPr>
          <w:rStyle w:val="34"/>
          <w:rFonts w:hint="eastAsia" w:ascii="仿宋" w:hAnsi="仿宋" w:eastAsia="仿宋" w:cs="仿宋"/>
          <w:color w:val="auto"/>
          <w:szCs w:val="21"/>
          <w:highlight w:val="none"/>
        </w:rPr>
        <w:t>）竞争性磋商文件要求供应商提交的其他资料。</w:t>
      </w:r>
    </w:p>
    <w:p w14:paraId="563F3DCF">
      <w:pPr>
        <w:spacing w:line="360" w:lineRule="auto"/>
        <w:ind w:firstLine="422" w:firstLineChars="200"/>
        <w:rPr>
          <w:rStyle w:val="34"/>
          <w:rFonts w:ascii="仿宋" w:hAnsi="仿宋" w:eastAsia="仿宋" w:cs="仿宋"/>
          <w:color w:val="auto"/>
          <w:kern w:val="0"/>
          <w:szCs w:val="21"/>
          <w:highlight w:val="none"/>
        </w:rPr>
      </w:pPr>
      <w:r>
        <w:rPr>
          <w:rStyle w:val="34"/>
          <w:rFonts w:hint="eastAsia" w:ascii="仿宋" w:hAnsi="仿宋" w:eastAsia="仿宋" w:cs="仿宋"/>
          <w:b/>
          <w:color w:val="auto"/>
          <w:kern w:val="0"/>
          <w:szCs w:val="21"/>
          <w:highlight w:val="none"/>
        </w:rPr>
        <w:t>注：响应文件中提供的所有证明材料均为复印件，且清晰可辨。</w:t>
      </w:r>
    </w:p>
    <w:p w14:paraId="30981567">
      <w:pPr>
        <w:pStyle w:val="29"/>
        <w:spacing w:line="360" w:lineRule="auto"/>
        <w:ind w:firstLine="0"/>
        <w:rPr>
          <w:rStyle w:val="34"/>
          <w:rFonts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9 、竞争性磋商报价</w:t>
      </w:r>
    </w:p>
    <w:p w14:paraId="26989645">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9.1 供应商的报价及合同所有款项的支付均以人民币计算。</w:t>
      </w:r>
    </w:p>
    <w:p w14:paraId="2B792A2B">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9.2 供应商在“报价说明”中</w:t>
      </w:r>
      <w:r>
        <w:rPr>
          <w:rFonts w:hint="eastAsia" w:ascii="仿宋" w:hAnsi="仿宋" w:eastAsia="仿宋" w:cs="仿宋"/>
          <w:color w:val="auto"/>
          <w:szCs w:val="21"/>
          <w:highlight w:val="none"/>
        </w:rPr>
        <w:t>应考虑服务过程中所涉及的全部费用,包括但不限于：人员工资、耗材费用、肥料、农药、设备工具的使用及折旧</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 xml:space="preserve">人工、福利、社保、保险、税费、利润等完成本项目招标范围内所有工作量、提供与项目有关的后续服务工作及合同文本中约定的全部工作内容可能发生的全部含税费用。供应商的投标报价，应是本磋商文件采购需求内所述全部项目及供应商在响应文件中提出的各项支付金额的总和。 </w:t>
      </w:r>
    </w:p>
    <w:p w14:paraId="6B7E88D6">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9.3无报价或报价无法折算成人民币的属于无效报价。</w:t>
      </w:r>
    </w:p>
    <w:p w14:paraId="3B19E56A">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9.4本项目磋商时允许进行二次报价，二次报价即最终报价，并且此最终报价为使用地交货价。</w:t>
      </w:r>
    </w:p>
    <w:p w14:paraId="310D39B0">
      <w:pPr>
        <w:spacing w:line="360" w:lineRule="auto"/>
        <w:ind w:firstLine="422" w:firstLineChars="200"/>
        <w:rPr>
          <w:rStyle w:val="34"/>
          <w:rFonts w:ascii="仿宋" w:hAnsi="仿宋" w:eastAsia="仿宋" w:cs="仿宋"/>
          <w:b/>
          <w:bCs/>
          <w:color w:val="auto"/>
          <w:szCs w:val="21"/>
          <w:highlight w:val="none"/>
        </w:rPr>
      </w:pPr>
      <w:r>
        <w:rPr>
          <w:rStyle w:val="34"/>
          <w:rFonts w:hint="eastAsia" w:ascii="仿宋" w:hAnsi="仿宋" w:eastAsia="仿宋" w:cs="仿宋"/>
          <w:b/>
          <w:bCs/>
          <w:color w:val="auto"/>
          <w:szCs w:val="21"/>
          <w:highlight w:val="none"/>
        </w:rPr>
        <w:t>9.5 开标完成后，投标供应商还须在政采云平台（网址：https://www.zcygov.cn/)等待二次报价，报价时间于开标当日由代理机构人员电话通知，请各投标供应商保存通讯畅通，政采云平台规定二次报价时间为30分钟，若在此时间段内未进行二次报价的投标供应商，商务部分以响应文件首次报价价格为准。</w:t>
      </w:r>
    </w:p>
    <w:p w14:paraId="653BCB8F">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9.6最终报价中标明的价格在合同执行过程中是固定不变的，应是完成本项目采购内容、采购需求和技术要求、合同条款上所列工作范围及服务周期的全部，不得以任何理由予以变更。以可调整的价格提交的投标将作为非响应性投标而予以拒绝。</w:t>
      </w:r>
    </w:p>
    <w:p w14:paraId="5F1090BB">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9.7</w:t>
      </w:r>
      <w:r>
        <w:rPr>
          <w:rStyle w:val="34"/>
          <w:rFonts w:hint="eastAsia" w:ascii="仿宋" w:hAnsi="仿宋" w:eastAsia="仿宋" w:cs="仿宋"/>
          <w:b/>
          <w:color w:val="auto"/>
          <w:szCs w:val="21"/>
          <w:highlight w:val="none"/>
        </w:rPr>
        <w:t>依据《政府采购货物和服务招标投标管理办法》（财政部令第87号）第六十条款的规定：</w:t>
      </w:r>
      <w:r>
        <w:rPr>
          <w:rStyle w:val="34"/>
          <w:rFonts w:hint="eastAsia" w:ascii="仿宋" w:hAnsi="仿宋" w:eastAsia="仿宋" w:cs="仿宋"/>
          <w:b/>
          <w:bCs/>
          <w:color w:val="auto"/>
          <w:szCs w:val="21"/>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D402A3B">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9.8</w:t>
      </w:r>
      <w:r>
        <w:rPr>
          <w:rStyle w:val="34"/>
          <w:rFonts w:hint="eastAsia" w:ascii="仿宋" w:hAnsi="仿宋" w:eastAsia="仿宋" w:cs="仿宋"/>
          <w:b/>
          <w:bCs/>
          <w:color w:val="auto"/>
          <w:szCs w:val="21"/>
          <w:highlight w:val="none"/>
        </w:rPr>
        <w:t>本次招标项目</w:t>
      </w:r>
      <w:r>
        <w:rPr>
          <w:rStyle w:val="34"/>
          <w:rFonts w:hint="eastAsia" w:ascii="仿宋" w:hAnsi="仿宋" w:eastAsia="仿宋" w:cs="仿宋"/>
          <w:b/>
          <w:color w:val="auto"/>
          <w:szCs w:val="21"/>
          <w:highlight w:val="none"/>
        </w:rPr>
        <w:t>要求按文件第三章服务技术要求投标。</w:t>
      </w:r>
    </w:p>
    <w:p w14:paraId="39DB23AA">
      <w:pPr>
        <w:pStyle w:val="29"/>
        <w:spacing w:line="360" w:lineRule="auto"/>
        <w:ind w:firstLine="0"/>
        <w:rPr>
          <w:rStyle w:val="34"/>
          <w:rFonts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10、磋商保证金</w:t>
      </w:r>
    </w:p>
    <w:p w14:paraId="5305D0F1">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lang w:val="en-US" w:eastAsia="zh-CN"/>
        </w:rPr>
        <w:t>本项目不收取磋商保证金</w:t>
      </w:r>
      <w:r>
        <w:rPr>
          <w:rStyle w:val="34"/>
          <w:rFonts w:hint="eastAsia" w:ascii="仿宋" w:hAnsi="仿宋" w:eastAsia="仿宋" w:cs="仿宋"/>
          <w:color w:val="auto"/>
          <w:szCs w:val="21"/>
          <w:highlight w:val="none"/>
        </w:rPr>
        <w:t>。</w:t>
      </w:r>
    </w:p>
    <w:p w14:paraId="4AC4030F">
      <w:pPr>
        <w:spacing w:line="360" w:lineRule="auto"/>
        <w:jc w:val="left"/>
        <w:rPr>
          <w:rStyle w:val="34"/>
          <w:rFonts w:ascii="仿宋" w:hAnsi="仿宋" w:eastAsia="仿宋" w:cs="仿宋"/>
          <w:b/>
          <w:color w:val="auto"/>
          <w:szCs w:val="21"/>
          <w:highlight w:val="none"/>
        </w:rPr>
      </w:pPr>
      <w:r>
        <w:rPr>
          <w:rStyle w:val="34"/>
          <w:rFonts w:hint="eastAsia" w:ascii="仿宋" w:hAnsi="仿宋" w:eastAsia="仿宋" w:cs="仿宋"/>
          <w:b/>
          <w:color w:val="auto"/>
          <w:szCs w:val="21"/>
          <w:highlight w:val="none"/>
        </w:rPr>
        <w:t>11、投标有效期</w:t>
      </w:r>
    </w:p>
    <w:p w14:paraId="61FB963C">
      <w:pPr>
        <w:spacing w:line="360" w:lineRule="auto"/>
        <w:ind w:firstLine="480"/>
        <w:rPr>
          <w:rStyle w:val="34"/>
          <w:rFonts w:ascii="仿宋" w:hAnsi="仿宋" w:eastAsia="仿宋" w:cs="仿宋"/>
          <w:bCs/>
          <w:color w:val="auto"/>
          <w:szCs w:val="21"/>
          <w:highlight w:val="none"/>
        </w:rPr>
      </w:pPr>
      <w:r>
        <w:rPr>
          <w:rStyle w:val="34"/>
          <w:rFonts w:hint="eastAsia" w:ascii="仿宋" w:hAnsi="仿宋" w:eastAsia="仿宋" w:cs="仿宋"/>
          <w:bCs/>
          <w:color w:val="auto"/>
          <w:szCs w:val="21"/>
          <w:highlight w:val="none"/>
        </w:rPr>
        <w:t>11.1 所投的标书应从“供应商须知前附表”第14.1条款规定的开标之日起，在“供应商须知前附表”第11.1条款所规定的投标有效期内有效。投标有效期比规定的时间短的可以视为非响应标予以拒绝。</w:t>
      </w:r>
    </w:p>
    <w:p w14:paraId="6E600CB3">
      <w:pPr>
        <w:spacing w:line="360" w:lineRule="auto"/>
        <w:ind w:firstLine="480"/>
        <w:rPr>
          <w:rStyle w:val="34"/>
          <w:rFonts w:ascii="仿宋" w:hAnsi="仿宋" w:eastAsia="仿宋" w:cs="仿宋"/>
          <w:bCs/>
          <w:color w:val="auto"/>
          <w:szCs w:val="21"/>
          <w:highlight w:val="none"/>
        </w:rPr>
      </w:pPr>
      <w:r>
        <w:rPr>
          <w:rStyle w:val="34"/>
          <w:rFonts w:hint="eastAsia" w:ascii="仿宋" w:hAnsi="仿宋" w:eastAsia="仿宋" w:cs="仿宋"/>
          <w:bCs/>
          <w:color w:val="auto"/>
          <w:szCs w:val="21"/>
          <w:highlight w:val="none"/>
        </w:rPr>
        <w:t>11.2特殊情况下，在原投标有效期期满之前，采购人可征得供应商同意延长投标有效期，这种要求与答复均应以书面形式如电传、传真等。供应商可以拒绝采购人的这种要求但不被没收磋商保证金，同意延长的供应商既不能被要求也不允许修改其响应文件，但要相应延长其磋商保证金的有效期。</w:t>
      </w:r>
    </w:p>
    <w:p w14:paraId="19490494">
      <w:pPr>
        <w:spacing w:line="360" w:lineRule="auto"/>
        <w:rPr>
          <w:rStyle w:val="34"/>
          <w:rFonts w:ascii="仿宋" w:hAnsi="仿宋" w:eastAsia="仿宋" w:cs="仿宋"/>
          <w:b/>
          <w:color w:val="auto"/>
          <w:szCs w:val="21"/>
          <w:highlight w:val="none"/>
        </w:rPr>
      </w:pPr>
      <w:r>
        <w:rPr>
          <w:rStyle w:val="34"/>
          <w:rFonts w:hint="eastAsia" w:ascii="仿宋" w:hAnsi="仿宋" w:eastAsia="仿宋" w:cs="仿宋"/>
          <w:b/>
          <w:color w:val="auto"/>
          <w:szCs w:val="21"/>
          <w:highlight w:val="none"/>
        </w:rPr>
        <w:t>12、响应文件的式样和签署</w:t>
      </w:r>
    </w:p>
    <w:p w14:paraId="6B4711BF">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12.1 供应商应按照“供应商须知总则”第8项的要求，及“供应商须知前附表”第14.1条款和17.1条款的要求编制响应文件，响应文件应在规定时间内上传至政府采购云平台（https://www.zcygov.cn/）。</w:t>
      </w:r>
    </w:p>
    <w:p w14:paraId="2240D75E">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12.2 响应文件应由供应商法定代表人或其授权人代表电子签章或签字，并加盖单位公章或电子公章</w:t>
      </w:r>
      <w:r>
        <w:rPr>
          <w:rStyle w:val="34"/>
          <w:rFonts w:hint="eastAsia" w:ascii="仿宋" w:hAnsi="仿宋" w:eastAsia="仿宋" w:cs="仿宋"/>
          <w:b/>
          <w:bCs/>
          <w:color w:val="auto"/>
          <w:szCs w:val="21"/>
          <w:highlight w:val="none"/>
        </w:rPr>
        <w:t>（除已要求签章的内容和封面外，还应对要求供应商法定代表人或其授权人代表电子签章或签字的地方予以确认）</w:t>
      </w:r>
      <w:r>
        <w:rPr>
          <w:rStyle w:val="34"/>
          <w:rFonts w:hint="eastAsia" w:ascii="仿宋" w:hAnsi="仿宋" w:eastAsia="仿宋" w:cs="仿宋"/>
          <w:color w:val="auto"/>
          <w:szCs w:val="21"/>
          <w:highlight w:val="none"/>
        </w:rPr>
        <w:t>。授权代表须将以书面形式出具的“法定代表人委托授权书”附在响应文件中。</w:t>
      </w:r>
    </w:p>
    <w:p w14:paraId="4A84EAC0">
      <w:pPr>
        <w:spacing w:line="360" w:lineRule="auto"/>
        <w:ind w:firstLine="422" w:firstLineChars="200"/>
        <w:rPr>
          <w:rStyle w:val="34"/>
          <w:rFonts w:ascii="仿宋" w:hAnsi="仿宋" w:eastAsia="仿宋" w:cs="仿宋"/>
          <w:color w:val="auto"/>
          <w:szCs w:val="21"/>
          <w:highlight w:val="none"/>
        </w:rPr>
      </w:pPr>
      <w:r>
        <w:rPr>
          <w:rStyle w:val="34"/>
          <w:rFonts w:hint="eastAsia" w:ascii="仿宋" w:hAnsi="仿宋" w:eastAsia="仿宋" w:cs="仿宋"/>
          <w:b/>
          <w:bCs/>
          <w:color w:val="auto"/>
          <w:szCs w:val="21"/>
          <w:highlight w:val="none"/>
        </w:rPr>
        <w:t>注：响应文件中涉及“供应商公章”均为“单位公章或电子公章”；“签字”均为法定代表人电子签章或签字，或其授权人代表签字。</w:t>
      </w:r>
    </w:p>
    <w:p w14:paraId="6A1DE8BA">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12.3响应文件不得行间插字、涂改和增删。</w:t>
      </w:r>
    </w:p>
    <w:p w14:paraId="6A7192F9">
      <w:pPr>
        <w:spacing w:line="360" w:lineRule="auto"/>
        <w:rPr>
          <w:rStyle w:val="34"/>
          <w:rFonts w:ascii="仿宋" w:hAnsi="仿宋" w:eastAsia="仿宋" w:cs="仿宋"/>
          <w:b/>
          <w:bCs/>
          <w:color w:val="auto"/>
          <w:szCs w:val="21"/>
          <w:highlight w:val="none"/>
        </w:rPr>
      </w:pPr>
      <w:r>
        <w:rPr>
          <w:rStyle w:val="34"/>
          <w:rFonts w:hint="eastAsia" w:ascii="仿宋" w:hAnsi="仿宋" w:eastAsia="仿宋" w:cs="仿宋"/>
          <w:b/>
          <w:bCs/>
          <w:color w:val="auto"/>
          <w:szCs w:val="21"/>
          <w:highlight w:val="none"/>
        </w:rPr>
        <w:t>13、响应文件的密封和标记</w:t>
      </w:r>
    </w:p>
    <w:p w14:paraId="5DCD1967">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13.1网上递交的响应文件需要对响应文件进行加密。</w:t>
      </w:r>
    </w:p>
    <w:p w14:paraId="57F75B28">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13.2如果供应商用某个数字证书（CA）对响应文件进行了数字证书（CA）加密，需要在开标会上使用该数字证书（CA）进行解密，才能读取或导入响应文件。因供应商原因造成响应文件未解密的，视为撤回其响应文件。</w:t>
      </w:r>
    </w:p>
    <w:p w14:paraId="7643B557">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13.3如果响应文件没有按本须知第13.1款的规定进行加密，采购人不予受理。</w:t>
      </w:r>
    </w:p>
    <w:p w14:paraId="0D983082">
      <w:pPr>
        <w:spacing w:line="360" w:lineRule="auto"/>
        <w:rPr>
          <w:rStyle w:val="34"/>
          <w:rFonts w:ascii="仿宋" w:hAnsi="仿宋" w:eastAsia="仿宋" w:cs="仿宋"/>
          <w:b/>
          <w:bCs/>
          <w:color w:val="auto"/>
          <w:szCs w:val="21"/>
          <w:highlight w:val="none"/>
        </w:rPr>
      </w:pPr>
      <w:r>
        <w:rPr>
          <w:rStyle w:val="34"/>
          <w:rFonts w:hint="eastAsia" w:ascii="仿宋" w:hAnsi="仿宋" w:eastAsia="仿宋" w:cs="仿宋"/>
          <w:b/>
          <w:bCs/>
          <w:color w:val="auto"/>
          <w:szCs w:val="21"/>
          <w:highlight w:val="none"/>
        </w:rPr>
        <w:t>14、响应文件截止时间</w:t>
      </w:r>
    </w:p>
    <w:p w14:paraId="40C1B9A0">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14.1 需求方收到响应文件的时间不得迟于竞争性磋商公告中规定的截止时间。</w:t>
      </w:r>
    </w:p>
    <w:p w14:paraId="4AAAFF24">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14.2 推迟投标截止日应按本章第6条的规定通知所有供应商。</w:t>
      </w:r>
    </w:p>
    <w:p w14:paraId="04BD10B5">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14.3 投标截止时间后送交的投标报价或其他实质性内容修正的函件和增加的任何承诺不作为评标的依据。</w:t>
      </w:r>
    </w:p>
    <w:p w14:paraId="1EC4ADFD">
      <w:pPr>
        <w:spacing w:line="360" w:lineRule="auto"/>
        <w:rPr>
          <w:rStyle w:val="34"/>
          <w:rFonts w:ascii="仿宋" w:hAnsi="仿宋" w:eastAsia="仿宋" w:cs="仿宋"/>
          <w:b/>
          <w:bCs/>
          <w:color w:val="auto"/>
          <w:szCs w:val="21"/>
          <w:highlight w:val="none"/>
        </w:rPr>
      </w:pPr>
      <w:r>
        <w:rPr>
          <w:rStyle w:val="34"/>
          <w:rFonts w:hint="eastAsia" w:ascii="仿宋" w:hAnsi="仿宋" w:eastAsia="仿宋" w:cs="仿宋"/>
          <w:b/>
          <w:bCs/>
          <w:color w:val="auto"/>
          <w:szCs w:val="21"/>
          <w:highlight w:val="none"/>
        </w:rPr>
        <w:t>15、迟到的响应文件</w:t>
      </w:r>
    </w:p>
    <w:p w14:paraId="3E2EE2C2">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15.1 按照第14条规定，采购人将拒绝并原封退回在其规定的截止期后收到的任何响应文件。</w:t>
      </w:r>
    </w:p>
    <w:p w14:paraId="34353E81">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15.2 投标递交的地点为“供应商须知前附表”第17.1条款中所规定的地点。</w:t>
      </w:r>
    </w:p>
    <w:p w14:paraId="589C3B36">
      <w:pPr>
        <w:pStyle w:val="29"/>
        <w:spacing w:line="360" w:lineRule="auto"/>
        <w:ind w:firstLine="0"/>
        <w:rPr>
          <w:rStyle w:val="34"/>
          <w:rFonts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16、响应文件修改和撤回</w:t>
      </w:r>
    </w:p>
    <w:p w14:paraId="2E7C6F97">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16.1在投标截止时间前供应商可以修改其投标，无须书面形式通知采购人。</w:t>
      </w:r>
    </w:p>
    <w:p w14:paraId="60B196B7">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16.2 在投标截止期之后，供应商不得对其响应文件做任何修改。</w:t>
      </w:r>
    </w:p>
    <w:p w14:paraId="73A29576">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16.3在投标截止期至投标有效期期满之间的这段时间内，供应商不得撤回其响应文件，否则其磋商保证金将被没收。</w:t>
      </w:r>
    </w:p>
    <w:p w14:paraId="2F6DD340">
      <w:pPr>
        <w:pStyle w:val="29"/>
        <w:spacing w:line="360" w:lineRule="auto"/>
        <w:ind w:firstLine="0"/>
        <w:rPr>
          <w:rStyle w:val="34"/>
          <w:rFonts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17、竞争性磋商</w:t>
      </w:r>
    </w:p>
    <w:p w14:paraId="684D67BB">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17.1开标时间和地点</w:t>
      </w:r>
    </w:p>
    <w:p w14:paraId="27965421">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w:t>
      </w:r>
      <w:r>
        <w:rPr>
          <w:rStyle w:val="34"/>
          <w:rFonts w:hint="eastAsia" w:ascii="仿宋" w:hAnsi="仿宋" w:eastAsia="仿宋" w:cs="仿宋"/>
          <w:color w:val="auto"/>
          <w:szCs w:val="21"/>
          <w:highlight w:val="none"/>
          <w:lang w:eastAsia="zh-CN"/>
        </w:rPr>
        <w:t>石林彝族自治县政府采购和出让中心</w:t>
      </w:r>
      <w:r>
        <w:rPr>
          <w:rStyle w:val="34"/>
          <w:rFonts w:hint="eastAsia" w:ascii="仿宋" w:hAnsi="仿宋" w:eastAsia="仿宋" w:cs="仿宋"/>
          <w:color w:val="auto"/>
          <w:szCs w:val="21"/>
          <w:highlight w:val="none"/>
        </w:rPr>
        <w:t>将在“供应商须知前附表”第14.1条款和17.1条款规定的时间和地点组织公开开标。采购人代表、供应商代表(法定代表人或委托代理人)及有关工作人员参加；参加开标的代表应签名报到以证明其出席，并在“唱标一览表”中签字确认开标结果。</w:t>
      </w:r>
    </w:p>
    <w:p w14:paraId="1B5C0145">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供应商在截标时间前须提前进入到“政府采购云平台”开标大厅，采购代理机构将依托电子交易平台发起开始解密指令，供应商的法定代表人或其委托代理人须携带加密时所用的CA锁按平台提示和竞争性磋商文件的规定登录到政府采购云平台电子开标大厅签到并在发起解密指令后在规定的时间内完成对电子响应文件在线解密。响应文件未按时解密的，视为撤销其响应文件，不再进入评标阶段。</w:t>
      </w:r>
    </w:p>
    <w:p w14:paraId="71EE5959">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（3）供应商代表、采购人代表、监标人、记录人等有关人员在开标记录上签字确认。</w:t>
      </w:r>
    </w:p>
    <w:p w14:paraId="6F570B05">
      <w:pPr>
        <w:spacing w:line="360" w:lineRule="auto"/>
        <w:ind w:firstLine="480"/>
        <w:rPr>
          <w:rStyle w:val="34"/>
          <w:rFonts w:ascii="仿宋" w:hAnsi="仿宋" w:eastAsia="仿宋" w:cs="仿宋"/>
          <w:bCs/>
          <w:color w:val="auto"/>
          <w:szCs w:val="21"/>
          <w:highlight w:val="none"/>
        </w:rPr>
      </w:pPr>
      <w:r>
        <w:rPr>
          <w:rStyle w:val="34"/>
          <w:rFonts w:hint="eastAsia" w:ascii="仿宋" w:hAnsi="仿宋" w:eastAsia="仿宋" w:cs="仿宋"/>
          <w:color w:val="auto"/>
          <w:szCs w:val="21"/>
          <w:highlight w:val="none"/>
        </w:rPr>
        <w:t>17.2供应商发生以下条款</w:t>
      </w:r>
      <w:r>
        <w:rPr>
          <w:rStyle w:val="34"/>
          <w:rFonts w:hint="eastAsia" w:ascii="仿宋" w:hAnsi="仿宋" w:eastAsia="仿宋" w:cs="仿宋"/>
          <w:bCs/>
          <w:color w:val="auto"/>
          <w:szCs w:val="21"/>
          <w:highlight w:val="none"/>
        </w:rPr>
        <w:t>情况之一者，视为无效磋商，其竞争性磋商文件将被拒绝：</w:t>
      </w:r>
    </w:p>
    <w:p w14:paraId="6C4E6CC1">
      <w:pPr>
        <w:spacing w:line="360" w:lineRule="auto"/>
        <w:ind w:firstLine="480"/>
        <w:rPr>
          <w:rStyle w:val="34"/>
          <w:rFonts w:ascii="仿宋" w:hAnsi="仿宋" w:eastAsia="仿宋" w:cs="仿宋"/>
          <w:bCs/>
          <w:color w:val="auto"/>
          <w:szCs w:val="21"/>
          <w:highlight w:val="none"/>
        </w:rPr>
      </w:pPr>
      <w:r>
        <w:rPr>
          <w:rStyle w:val="34"/>
          <w:rFonts w:hint="eastAsia" w:ascii="仿宋" w:hAnsi="仿宋" w:eastAsia="仿宋" w:cs="仿宋"/>
          <w:bCs/>
          <w:color w:val="auto"/>
          <w:szCs w:val="21"/>
          <w:highlight w:val="none"/>
        </w:rPr>
        <w:t>（1）逾期送达的；</w:t>
      </w:r>
    </w:p>
    <w:p w14:paraId="5920AF2D">
      <w:pPr>
        <w:spacing w:line="360" w:lineRule="auto"/>
        <w:ind w:firstLine="480"/>
        <w:rPr>
          <w:rStyle w:val="34"/>
          <w:rFonts w:ascii="仿宋" w:hAnsi="仿宋" w:eastAsia="仿宋" w:cs="仿宋"/>
          <w:bCs/>
          <w:color w:val="auto"/>
          <w:szCs w:val="21"/>
          <w:highlight w:val="none"/>
        </w:rPr>
      </w:pPr>
      <w:r>
        <w:rPr>
          <w:rStyle w:val="34"/>
          <w:rFonts w:hint="eastAsia" w:ascii="仿宋" w:hAnsi="仿宋" w:eastAsia="仿宋" w:cs="仿宋"/>
          <w:bCs/>
          <w:color w:val="auto"/>
          <w:szCs w:val="21"/>
          <w:highlight w:val="none"/>
        </w:rPr>
        <w:t>（2）法定代表人委托代理人投标，但无法定代表人授权书的。</w:t>
      </w:r>
    </w:p>
    <w:p w14:paraId="49C61234">
      <w:pPr>
        <w:spacing w:line="360" w:lineRule="auto"/>
        <w:ind w:firstLine="480"/>
        <w:rPr>
          <w:rStyle w:val="34"/>
          <w:rFonts w:ascii="仿宋" w:hAnsi="仿宋" w:eastAsia="仿宋" w:cs="仿宋"/>
          <w:bCs/>
          <w:color w:val="auto"/>
          <w:szCs w:val="21"/>
          <w:highlight w:val="none"/>
        </w:rPr>
      </w:pPr>
      <w:r>
        <w:rPr>
          <w:rStyle w:val="34"/>
          <w:rFonts w:hint="eastAsia" w:ascii="仿宋" w:hAnsi="仿宋" w:eastAsia="仿宋" w:cs="仿宋"/>
          <w:bCs/>
          <w:color w:val="auto"/>
          <w:szCs w:val="21"/>
          <w:highlight w:val="none"/>
        </w:rPr>
        <w:t>17.3 磋商小组的组成</w:t>
      </w:r>
    </w:p>
    <w:p w14:paraId="4A662F29">
      <w:pPr>
        <w:spacing w:line="360" w:lineRule="auto"/>
        <w:ind w:firstLine="480"/>
        <w:rPr>
          <w:rStyle w:val="34"/>
          <w:rFonts w:ascii="仿宋" w:hAnsi="仿宋" w:eastAsia="仿宋" w:cs="仿宋"/>
          <w:bCs/>
          <w:color w:val="auto"/>
          <w:szCs w:val="21"/>
          <w:highlight w:val="none"/>
        </w:rPr>
      </w:pPr>
      <w:r>
        <w:rPr>
          <w:rStyle w:val="34"/>
          <w:rFonts w:hint="eastAsia" w:ascii="仿宋" w:hAnsi="仿宋" w:eastAsia="仿宋" w:cs="仿宋"/>
          <w:bCs/>
          <w:color w:val="auto"/>
          <w:szCs w:val="21"/>
          <w:highlight w:val="none"/>
        </w:rPr>
        <w:t>评审</w:t>
      </w:r>
      <w:r>
        <w:rPr>
          <w:rStyle w:val="34"/>
          <w:rFonts w:hint="eastAsia" w:ascii="仿宋" w:hAnsi="仿宋" w:eastAsia="仿宋" w:cs="仿宋"/>
          <w:color w:val="auto"/>
          <w:szCs w:val="21"/>
          <w:highlight w:val="none"/>
        </w:rPr>
        <w:t>由采购人依法组建的磋商小组负责。磋商小组由由采购人代表和云南省政府采购评审专家库中随机抽取的专家组成，其中技术经济等方面的专家不得少于专家总人数的三分之二</w:t>
      </w:r>
      <w:r>
        <w:rPr>
          <w:rStyle w:val="34"/>
          <w:rFonts w:hint="eastAsia" w:ascii="仿宋" w:hAnsi="仿宋" w:eastAsia="仿宋" w:cs="仿宋"/>
          <w:bCs/>
          <w:color w:val="auto"/>
          <w:szCs w:val="21"/>
          <w:highlight w:val="none"/>
        </w:rPr>
        <w:t>。</w:t>
      </w:r>
    </w:p>
    <w:p w14:paraId="526DABDE">
      <w:pPr>
        <w:spacing w:line="360" w:lineRule="auto"/>
        <w:ind w:firstLine="480"/>
        <w:rPr>
          <w:rStyle w:val="34"/>
          <w:rFonts w:ascii="仿宋" w:hAnsi="仿宋" w:eastAsia="仿宋" w:cs="仿宋"/>
          <w:bCs/>
          <w:color w:val="auto"/>
          <w:szCs w:val="21"/>
          <w:highlight w:val="none"/>
        </w:rPr>
      </w:pPr>
      <w:r>
        <w:rPr>
          <w:rStyle w:val="34"/>
          <w:rFonts w:hint="eastAsia" w:ascii="仿宋" w:hAnsi="仿宋" w:eastAsia="仿宋" w:cs="仿宋"/>
          <w:bCs/>
          <w:color w:val="auto"/>
          <w:szCs w:val="21"/>
          <w:highlight w:val="none"/>
        </w:rPr>
        <w:t>17.4 评标原则：评标活动遵循“公开、公平、公正、诚实信用”的原则。</w:t>
      </w:r>
    </w:p>
    <w:p w14:paraId="595A0115">
      <w:pPr>
        <w:spacing w:line="360" w:lineRule="auto"/>
        <w:ind w:firstLine="480"/>
        <w:rPr>
          <w:rStyle w:val="34"/>
          <w:rFonts w:ascii="仿宋" w:hAnsi="仿宋" w:eastAsia="仿宋" w:cs="仿宋"/>
          <w:bCs/>
          <w:color w:val="auto"/>
          <w:szCs w:val="21"/>
          <w:highlight w:val="none"/>
        </w:rPr>
      </w:pPr>
      <w:r>
        <w:rPr>
          <w:rStyle w:val="34"/>
          <w:rFonts w:hint="eastAsia" w:ascii="仿宋" w:hAnsi="仿宋" w:eastAsia="仿宋" w:cs="仿宋"/>
          <w:bCs/>
          <w:color w:val="auto"/>
          <w:szCs w:val="21"/>
          <w:highlight w:val="none"/>
        </w:rPr>
        <w:t>17.5 评审标准：</w:t>
      </w:r>
      <w:r>
        <w:rPr>
          <w:rStyle w:val="34"/>
          <w:rFonts w:hint="eastAsia" w:ascii="仿宋" w:hAnsi="仿宋" w:eastAsia="仿宋" w:cs="仿宋"/>
          <w:b/>
          <w:color w:val="auto"/>
          <w:szCs w:val="21"/>
          <w:highlight w:val="none"/>
        </w:rPr>
        <w:t>本次评标将采取综合评分法，是指在最大限度地满足竞争性磋商文件实质性要求的前提下，按照竞争性磋商文件中规定的各项因素进行综合评审后，以评标总得分最高的供应商作为成交候选供应商或者成交人的评审标准，但不确保最低价成交。</w:t>
      </w:r>
    </w:p>
    <w:p w14:paraId="07991151">
      <w:pPr>
        <w:spacing w:line="360" w:lineRule="auto"/>
        <w:ind w:firstLine="480"/>
        <w:rPr>
          <w:rStyle w:val="34"/>
          <w:rFonts w:ascii="仿宋" w:hAnsi="仿宋" w:eastAsia="仿宋" w:cs="仿宋"/>
          <w:bCs/>
          <w:color w:val="auto"/>
          <w:szCs w:val="21"/>
          <w:highlight w:val="none"/>
        </w:rPr>
      </w:pPr>
      <w:r>
        <w:rPr>
          <w:rStyle w:val="34"/>
          <w:rFonts w:hint="eastAsia" w:ascii="仿宋" w:hAnsi="仿宋" w:eastAsia="仿宋" w:cs="仿宋"/>
          <w:bCs/>
          <w:color w:val="auto"/>
          <w:szCs w:val="21"/>
          <w:highlight w:val="none"/>
        </w:rPr>
        <w:t>17.6 磋商</w:t>
      </w:r>
    </w:p>
    <w:p w14:paraId="06F6FE4F">
      <w:pPr>
        <w:spacing w:line="360" w:lineRule="auto"/>
        <w:ind w:firstLine="480"/>
        <w:rPr>
          <w:rStyle w:val="34"/>
          <w:rFonts w:ascii="仿宋" w:hAnsi="仿宋" w:eastAsia="仿宋" w:cs="仿宋"/>
          <w:bCs/>
          <w:color w:val="auto"/>
          <w:szCs w:val="21"/>
          <w:highlight w:val="none"/>
        </w:rPr>
      </w:pPr>
      <w:r>
        <w:rPr>
          <w:rStyle w:val="34"/>
          <w:rFonts w:hint="eastAsia" w:ascii="仿宋" w:hAnsi="仿宋" w:eastAsia="仿宋" w:cs="仿宋"/>
          <w:bCs/>
          <w:color w:val="auto"/>
          <w:szCs w:val="21"/>
          <w:highlight w:val="none"/>
        </w:rPr>
        <w:t>详见第六章评审标准。在磋商过程中，磋商的任何一方不得透露与磋商有关的所有技术资料、报价和其他信息。</w:t>
      </w:r>
    </w:p>
    <w:p w14:paraId="5AB98B00">
      <w:pPr>
        <w:spacing w:line="360" w:lineRule="auto"/>
        <w:ind w:firstLine="480"/>
        <w:rPr>
          <w:rStyle w:val="34"/>
          <w:rFonts w:ascii="仿宋" w:hAnsi="仿宋" w:eastAsia="仿宋" w:cs="仿宋"/>
          <w:b/>
          <w:color w:val="auto"/>
          <w:szCs w:val="21"/>
          <w:highlight w:val="none"/>
        </w:rPr>
      </w:pPr>
      <w:r>
        <w:rPr>
          <w:rStyle w:val="34"/>
          <w:rFonts w:hint="eastAsia" w:ascii="仿宋" w:hAnsi="仿宋" w:eastAsia="仿宋" w:cs="仿宋"/>
          <w:b/>
          <w:color w:val="auto"/>
          <w:szCs w:val="21"/>
          <w:highlight w:val="none"/>
        </w:rPr>
        <w:t>18、成交通知书</w:t>
      </w:r>
    </w:p>
    <w:p w14:paraId="1D8B7B5E">
      <w:pPr>
        <w:spacing w:line="360" w:lineRule="auto"/>
        <w:ind w:firstLine="480"/>
        <w:rPr>
          <w:rStyle w:val="34"/>
          <w:rFonts w:ascii="仿宋" w:hAnsi="仿宋" w:eastAsia="仿宋" w:cs="仿宋"/>
          <w:bCs/>
          <w:color w:val="auto"/>
          <w:szCs w:val="21"/>
          <w:highlight w:val="none"/>
        </w:rPr>
      </w:pPr>
      <w:r>
        <w:rPr>
          <w:rStyle w:val="34"/>
          <w:rFonts w:hint="eastAsia" w:ascii="仿宋" w:hAnsi="仿宋" w:eastAsia="仿宋" w:cs="仿宋"/>
          <w:color w:val="auto"/>
          <w:szCs w:val="21"/>
          <w:highlight w:val="none"/>
        </w:rPr>
        <w:t>18.1</w:t>
      </w:r>
      <w:r>
        <w:rPr>
          <w:rStyle w:val="34"/>
          <w:rFonts w:hint="eastAsia" w:ascii="仿宋" w:hAnsi="仿宋" w:eastAsia="仿宋" w:cs="仿宋"/>
          <w:color w:val="auto"/>
          <w:szCs w:val="21"/>
          <w:highlight w:val="none"/>
          <w:lang w:eastAsia="zh-CN"/>
        </w:rPr>
        <w:t>石林彝族自治县政府采购和出让中心</w:t>
      </w:r>
      <w:r>
        <w:rPr>
          <w:rStyle w:val="34"/>
          <w:rFonts w:hint="eastAsia" w:ascii="仿宋" w:hAnsi="仿宋" w:eastAsia="仿宋" w:cs="仿宋"/>
          <w:color w:val="auto"/>
          <w:szCs w:val="21"/>
          <w:highlight w:val="none"/>
        </w:rPr>
        <w:t>根据磋商结果和采购人定标确认后，在云南省政府采购网、政府采购云平台发布成交公告，以书面形式向其发出《成交通知书》，《成交通知书》一经发出即发生法律效力；</w:t>
      </w:r>
    </w:p>
    <w:p w14:paraId="2678B1CB">
      <w:pPr>
        <w:spacing w:line="360" w:lineRule="auto"/>
        <w:ind w:firstLine="480"/>
        <w:rPr>
          <w:rStyle w:val="34"/>
          <w:rFonts w:ascii="仿宋" w:hAnsi="仿宋" w:eastAsia="仿宋" w:cs="仿宋"/>
          <w:bCs/>
          <w:color w:val="auto"/>
          <w:szCs w:val="21"/>
          <w:highlight w:val="none"/>
        </w:rPr>
      </w:pPr>
      <w:r>
        <w:rPr>
          <w:rStyle w:val="34"/>
          <w:rFonts w:hint="eastAsia" w:ascii="仿宋" w:hAnsi="仿宋" w:eastAsia="仿宋" w:cs="仿宋"/>
          <w:bCs/>
          <w:color w:val="auto"/>
          <w:szCs w:val="21"/>
          <w:highlight w:val="none"/>
        </w:rPr>
        <w:t>18.2 《成交通知书》将作为签订合同的重要依据之一；</w:t>
      </w:r>
    </w:p>
    <w:p w14:paraId="5C0EFC82">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bCs/>
          <w:color w:val="auto"/>
          <w:szCs w:val="21"/>
          <w:highlight w:val="none"/>
        </w:rPr>
        <w:t>18.3 对未成交</w:t>
      </w:r>
      <w:r>
        <w:rPr>
          <w:rStyle w:val="34"/>
          <w:rFonts w:hint="eastAsia" w:ascii="仿宋" w:hAnsi="仿宋" w:eastAsia="仿宋" w:cs="仿宋"/>
          <w:color w:val="auto"/>
          <w:szCs w:val="21"/>
          <w:highlight w:val="none"/>
        </w:rPr>
        <w:t>者，采购人不对未成交原因做出解释。</w:t>
      </w:r>
    </w:p>
    <w:p w14:paraId="10AFF84F">
      <w:pPr>
        <w:spacing w:line="360" w:lineRule="auto"/>
        <w:rPr>
          <w:rStyle w:val="34"/>
          <w:rFonts w:ascii="仿宋" w:hAnsi="仿宋" w:eastAsia="仿宋" w:cs="仿宋"/>
          <w:b/>
          <w:color w:val="auto"/>
          <w:szCs w:val="21"/>
          <w:highlight w:val="none"/>
        </w:rPr>
      </w:pPr>
      <w:r>
        <w:rPr>
          <w:rStyle w:val="34"/>
          <w:rFonts w:hint="eastAsia" w:ascii="仿宋" w:hAnsi="仿宋" w:eastAsia="仿宋" w:cs="仿宋"/>
          <w:b/>
          <w:color w:val="auto"/>
          <w:szCs w:val="21"/>
          <w:highlight w:val="none"/>
        </w:rPr>
        <w:t>19、履约保证金</w:t>
      </w:r>
    </w:p>
    <w:p w14:paraId="31E4ED13">
      <w:pPr>
        <w:spacing w:line="360" w:lineRule="auto"/>
        <w:ind w:firstLine="420" w:firstLineChars="200"/>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24.1中标人在合同签订前，须按照本磋商文件“供应商须知前附表”第19条款中要求的提交履约担保；</w:t>
      </w:r>
    </w:p>
    <w:p w14:paraId="3DBE9088">
      <w:pPr>
        <w:spacing w:line="360" w:lineRule="auto"/>
        <w:ind w:firstLine="420" w:firstLineChars="200"/>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24.2若成交人不按规定提交履约保证金的视为放弃中标。采购人根据《中华人民共和国政府采购法实施条例》第四十九条规定“可以按照评审报告推荐的中标或者成交候选人名单排序，确定下一候选人为中标或者成交人，也可以重新开展政府采购活动”。</w:t>
      </w:r>
    </w:p>
    <w:p w14:paraId="0B8EFC47">
      <w:pPr>
        <w:spacing w:line="360" w:lineRule="auto"/>
        <w:ind w:firstLine="420" w:firstLineChars="200"/>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24.3合同期满若无违反国家有关法规及行政中心相关管理规定、无整改不到位或不及时等情况，在一周内全额退还（不计利息）。若因中标人违反合同或相关规定被扣除履约保证金的，被扣除的履约保证金在第一次扣除发生之日起一周内足额补足。</w:t>
      </w:r>
    </w:p>
    <w:p w14:paraId="3DCD789C">
      <w:pPr>
        <w:spacing w:line="360" w:lineRule="auto"/>
        <w:ind w:firstLine="420" w:firstLineChars="200"/>
        <w:rPr>
          <w:rStyle w:val="34"/>
          <w:rFonts w:ascii="仿宋" w:hAnsi="仿宋" w:eastAsia="仿宋" w:cs="仿宋"/>
          <w:b/>
          <w:color w:val="auto"/>
          <w:szCs w:val="21"/>
          <w:highlight w:val="none"/>
        </w:rPr>
      </w:pPr>
      <w:r>
        <w:rPr>
          <w:rFonts w:hint="eastAsia" w:ascii="仿宋" w:hAnsi="仿宋" w:eastAsia="仿宋" w:cs="仿宋"/>
          <w:bCs/>
          <w:color w:val="auto"/>
          <w:szCs w:val="21"/>
          <w:highlight w:val="none"/>
          <w:lang w:val="en-US" w:eastAsia="zh-CN"/>
        </w:rPr>
        <w:t>24.4如中标人员工在县行政中心内发生犯罪或罢工、上访等群体性事件，扣除全部保证金作为违约金并解除合同。</w:t>
      </w:r>
    </w:p>
    <w:p w14:paraId="460451EA">
      <w:pPr>
        <w:spacing w:line="360" w:lineRule="auto"/>
        <w:rPr>
          <w:rStyle w:val="34"/>
          <w:rFonts w:ascii="仿宋" w:hAnsi="仿宋" w:eastAsia="仿宋" w:cs="仿宋"/>
          <w:b/>
          <w:color w:val="auto"/>
          <w:szCs w:val="21"/>
          <w:highlight w:val="none"/>
        </w:rPr>
      </w:pPr>
      <w:r>
        <w:rPr>
          <w:rStyle w:val="34"/>
          <w:rFonts w:hint="eastAsia" w:ascii="仿宋" w:hAnsi="仿宋" w:eastAsia="仿宋" w:cs="仿宋"/>
          <w:b/>
          <w:color w:val="auto"/>
          <w:szCs w:val="21"/>
          <w:highlight w:val="none"/>
        </w:rPr>
        <w:t>20、签订合同</w:t>
      </w:r>
    </w:p>
    <w:p w14:paraId="57AACA7E">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20.1 成交人收到《成交通知书》后30日内与采购人签订合同。</w:t>
      </w:r>
    </w:p>
    <w:p w14:paraId="43AB5BD8">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20.2 竞争性磋商文件，成交人的响应文件及双方确认的澄清文件及承诺等均具有法律效力，均是合同的组成部分。</w:t>
      </w:r>
    </w:p>
    <w:p w14:paraId="4C222777">
      <w:pPr>
        <w:spacing w:line="360" w:lineRule="auto"/>
        <w:rPr>
          <w:rStyle w:val="34"/>
          <w:rFonts w:ascii="仿宋" w:hAnsi="仿宋" w:eastAsia="仿宋" w:cs="仿宋"/>
          <w:b/>
          <w:color w:val="auto"/>
          <w:szCs w:val="21"/>
          <w:highlight w:val="none"/>
        </w:rPr>
      </w:pPr>
      <w:r>
        <w:rPr>
          <w:rStyle w:val="34"/>
          <w:rFonts w:hint="eastAsia" w:ascii="仿宋" w:hAnsi="仿宋" w:eastAsia="仿宋" w:cs="仿宋"/>
          <w:b/>
          <w:color w:val="auto"/>
          <w:szCs w:val="21"/>
          <w:highlight w:val="none"/>
        </w:rPr>
        <w:t>21、在招标采购中，出现下列情形之一的，应予废标：</w:t>
      </w:r>
    </w:p>
    <w:p w14:paraId="5D1FE665">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21.1 符合专业条件的供应商或者对竞争性磋商文件作实质响应的供应商不足三家的。根据财库【2015】124号的相关规定：采用竞争性磋商采购方式采购的政府购买服务项目，在采购过程中符合要求的供应商只有2家的，竞争性磋商采购活动可以继续进行。采购过程中符合要求的供应商只有1家的，采购人或者采购代理机构应当终止竞争性磋商采购活动，发布项目终止公告并说明原因，重新开展采购活动。</w:t>
      </w:r>
    </w:p>
    <w:p w14:paraId="30CEE3AA">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21.2 出现影响采购公正的违法、违规行为的；</w:t>
      </w:r>
    </w:p>
    <w:p w14:paraId="1F661DAA">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21.3 供应商的报价均超过了采购预算，采购人不能支付的；</w:t>
      </w:r>
    </w:p>
    <w:p w14:paraId="04D78BC9">
      <w:pPr>
        <w:spacing w:line="360" w:lineRule="auto"/>
        <w:ind w:firstLine="510"/>
        <w:rPr>
          <w:rStyle w:val="34"/>
          <w:rFonts w:ascii="仿宋" w:hAnsi="仿宋" w:eastAsia="仿宋" w:cs="仿宋"/>
          <w:b/>
          <w:color w:val="auto"/>
          <w:szCs w:val="21"/>
          <w:highlight w:val="none"/>
        </w:rPr>
      </w:pPr>
      <w:r>
        <w:rPr>
          <w:rStyle w:val="34"/>
          <w:rFonts w:hint="eastAsia" w:ascii="仿宋" w:hAnsi="仿宋" w:eastAsia="仿宋" w:cs="仿宋"/>
          <w:color w:val="auto"/>
          <w:szCs w:val="21"/>
          <w:highlight w:val="none"/>
        </w:rPr>
        <w:t>21.4 因重大变故，采购任务取消的。</w:t>
      </w:r>
    </w:p>
    <w:p w14:paraId="2F3D056B">
      <w:pPr>
        <w:spacing w:line="360" w:lineRule="auto"/>
        <w:rPr>
          <w:rStyle w:val="34"/>
          <w:rFonts w:ascii="仿宋" w:hAnsi="仿宋" w:eastAsia="仿宋" w:cs="仿宋"/>
          <w:b/>
          <w:color w:val="auto"/>
          <w:szCs w:val="21"/>
          <w:highlight w:val="none"/>
        </w:rPr>
      </w:pPr>
      <w:r>
        <w:rPr>
          <w:rStyle w:val="34"/>
          <w:rFonts w:hint="eastAsia" w:ascii="仿宋" w:hAnsi="仿宋" w:eastAsia="仿宋" w:cs="仿宋"/>
          <w:b/>
          <w:color w:val="auto"/>
          <w:szCs w:val="21"/>
          <w:highlight w:val="none"/>
        </w:rPr>
        <w:t>22、补充：</w:t>
      </w:r>
    </w:p>
    <w:p w14:paraId="33D351E8">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22.1 详见供应商须知前附表：需要补充的其他内容。</w:t>
      </w:r>
    </w:p>
    <w:p w14:paraId="76401CFE">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22.2</w:t>
      </w:r>
      <w:r>
        <w:rPr>
          <w:rStyle w:val="34"/>
          <w:rFonts w:hint="eastAsia" w:ascii="仿宋" w:hAnsi="仿宋" w:eastAsia="仿宋" w:cs="仿宋"/>
          <w:b/>
          <w:bCs/>
          <w:color w:val="auto"/>
          <w:szCs w:val="21"/>
          <w:highlight w:val="none"/>
        </w:rPr>
        <w:t>关于中小企业</w:t>
      </w:r>
    </w:p>
    <w:p w14:paraId="06138AC0">
      <w:pPr>
        <w:spacing w:line="360" w:lineRule="auto"/>
        <w:ind w:firstLine="510"/>
        <w:contextualSpacing/>
        <w:rPr>
          <w:rFonts w:ascii="仿宋" w:hAnsi="仿宋" w:eastAsia="仿宋" w:cs="仿宋"/>
          <w:color w:val="auto"/>
          <w:szCs w:val="21"/>
          <w:highlight w:val="none"/>
        </w:rPr>
      </w:pPr>
      <w:r>
        <w:rPr>
          <w:rFonts w:hint="eastAsia" w:ascii="仿宋" w:hAnsi="仿宋" w:eastAsia="仿宋" w:cs="仿宋"/>
          <w:color w:val="auto"/>
          <w:szCs w:val="21"/>
          <w:highlight w:val="none"/>
        </w:rPr>
        <w:t>22.2.1 根据《关于印发&lt;政府采购促进中小企业发展管理办法&gt;的通知》（财库〔2020〕46号）及《关于进一步加大政府采购支持中小企业力度的通知》（财库【2022】19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CADCA47">
      <w:pPr>
        <w:spacing w:line="360" w:lineRule="auto"/>
        <w:ind w:firstLine="510"/>
        <w:contextualSpacing/>
        <w:rPr>
          <w:rFonts w:ascii="仿宋" w:hAnsi="仿宋" w:eastAsia="仿宋" w:cs="仿宋"/>
          <w:color w:val="auto"/>
          <w:szCs w:val="21"/>
          <w:highlight w:val="none"/>
        </w:rPr>
      </w:pPr>
      <w:r>
        <w:rPr>
          <w:rFonts w:hint="eastAsia" w:ascii="仿宋" w:hAnsi="仿宋" w:eastAsia="仿宋" w:cs="仿宋"/>
          <w:color w:val="auto"/>
          <w:szCs w:val="21"/>
          <w:highlight w:val="none"/>
        </w:rPr>
        <w:t>22.2.2 在政府采购活动中，供应商提供的货物、工程或者服务符合下列情形的，享受本办法规定的中小企业扶持政策：</w:t>
      </w:r>
    </w:p>
    <w:p w14:paraId="6DE9E5D9">
      <w:pPr>
        <w:spacing w:line="360" w:lineRule="auto"/>
        <w:ind w:firstLine="510"/>
        <w:contextualSpacing/>
        <w:rPr>
          <w:rFonts w:ascii="仿宋" w:hAnsi="仿宋" w:eastAsia="仿宋" w:cs="仿宋"/>
          <w:color w:val="auto"/>
          <w:szCs w:val="21"/>
          <w:highlight w:val="none"/>
        </w:rPr>
      </w:pPr>
      <w:r>
        <w:rPr>
          <w:rFonts w:hint="eastAsia" w:ascii="仿宋" w:hAnsi="仿宋" w:eastAsia="仿宋" w:cs="仿宋"/>
          <w:color w:val="auto"/>
          <w:szCs w:val="21"/>
          <w:highlight w:val="none"/>
        </w:rPr>
        <w:t>（一）在货物采购项目中，货物由中小企业制造，即货物由中小企业生产且使用该中小企业商号或者注册商标；</w:t>
      </w:r>
    </w:p>
    <w:p w14:paraId="18506B96">
      <w:pPr>
        <w:spacing w:line="360" w:lineRule="auto"/>
        <w:ind w:firstLine="510"/>
        <w:contextualSpacing/>
        <w:rPr>
          <w:rFonts w:ascii="仿宋" w:hAnsi="仿宋" w:eastAsia="仿宋" w:cs="仿宋"/>
          <w:color w:val="auto"/>
          <w:szCs w:val="21"/>
          <w:highlight w:val="none"/>
        </w:rPr>
      </w:pPr>
      <w:r>
        <w:rPr>
          <w:rFonts w:hint="eastAsia" w:ascii="仿宋" w:hAnsi="仿宋" w:eastAsia="仿宋" w:cs="仿宋"/>
          <w:color w:val="auto"/>
          <w:szCs w:val="21"/>
          <w:highlight w:val="none"/>
        </w:rPr>
        <w:t>（二）在工程采购项目中，工程由中小企业承建，即工程施工单位为中小企业；</w:t>
      </w:r>
    </w:p>
    <w:p w14:paraId="25BCC1A6">
      <w:pPr>
        <w:spacing w:line="360" w:lineRule="auto"/>
        <w:ind w:firstLine="510"/>
        <w:contextualSpacing/>
        <w:rPr>
          <w:rFonts w:ascii="仿宋" w:hAnsi="仿宋" w:eastAsia="仿宋" w:cs="仿宋"/>
          <w:color w:val="auto"/>
          <w:szCs w:val="21"/>
          <w:highlight w:val="none"/>
        </w:rPr>
      </w:pPr>
      <w:r>
        <w:rPr>
          <w:rFonts w:hint="eastAsia" w:ascii="仿宋" w:hAnsi="仿宋" w:eastAsia="仿宋" w:cs="仿宋"/>
          <w:color w:val="auto"/>
          <w:szCs w:val="21"/>
          <w:highlight w:val="none"/>
        </w:rPr>
        <w:t>（三）在服务采购项目中，服务由中小企业承接，即提供服务的人员为中小企业依照《中华人民共和国劳动合同法》订立劳动合同的从业人员。</w:t>
      </w:r>
    </w:p>
    <w:p w14:paraId="2AB76A82">
      <w:pPr>
        <w:spacing w:line="360" w:lineRule="auto"/>
        <w:ind w:firstLine="510"/>
        <w:contextualSpacing/>
        <w:rPr>
          <w:rFonts w:ascii="仿宋" w:hAnsi="仿宋" w:eastAsia="仿宋" w:cs="仿宋"/>
          <w:color w:val="auto"/>
          <w:szCs w:val="21"/>
          <w:highlight w:val="none"/>
        </w:rPr>
      </w:pPr>
      <w:r>
        <w:rPr>
          <w:rFonts w:hint="eastAsia" w:ascii="仿宋" w:hAnsi="仿宋" w:eastAsia="仿宋" w:cs="仿宋"/>
          <w:color w:val="auto"/>
          <w:szCs w:val="21"/>
          <w:highlight w:val="none"/>
        </w:rPr>
        <w:t>在货物采购项目中，供应商提供的货物既有中小企业制造货物，也有大型企业制造货物的，不享受本办法规定的中小企业扶持政策。</w:t>
      </w:r>
    </w:p>
    <w:p w14:paraId="7E984762">
      <w:pPr>
        <w:spacing w:line="360" w:lineRule="auto"/>
        <w:ind w:firstLine="510"/>
        <w:contextualSpacing/>
        <w:rPr>
          <w:rFonts w:ascii="仿宋" w:hAnsi="仿宋" w:eastAsia="仿宋" w:cs="仿宋"/>
          <w:color w:val="auto"/>
          <w:szCs w:val="21"/>
          <w:highlight w:val="none"/>
        </w:rPr>
      </w:pPr>
      <w:r>
        <w:rPr>
          <w:rFonts w:hint="eastAsia" w:ascii="仿宋" w:hAnsi="仿宋" w:eastAsia="仿宋" w:cs="仿宋"/>
          <w:color w:val="auto"/>
          <w:szCs w:val="21"/>
          <w:highlight w:val="none"/>
        </w:rPr>
        <w:t>以联合体形式参加政府采购活动，联合体各方均为中小企业的，联合体视同中小企业。其中，联合体各方均为小微企业的，联合体视同小微企业。</w:t>
      </w:r>
    </w:p>
    <w:p w14:paraId="33DBE7C2">
      <w:pPr>
        <w:spacing w:line="360" w:lineRule="auto"/>
        <w:ind w:firstLine="510"/>
        <w:contextualSpacing/>
        <w:rPr>
          <w:rFonts w:ascii="仿宋" w:hAnsi="仿宋" w:eastAsia="仿宋" w:cs="仿宋"/>
          <w:color w:val="auto"/>
          <w:szCs w:val="21"/>
          <w:highlight w:val="none"/>
        </w:rPr>
      </w:pPr>
      <w:r>
        <w:rPr>
          <w:rFonts w:hint="eastAsia" w:ascii="仿宋" w:hAnsi="仿宋" w:eastAsia="仿宋" w:cs="仿宋"/>
          <w:color w:val="auto"/>
          <w:szCs w:val="21"/>
          <w:highlight w:val="none"/>
        </w:rPr>
        <w:t>22.2.3中小企业参加政府采购活动，应当出具本办法规定的《中小企业声明函》（详见附件1），否则不得享受相关中小企业扶持政策。任何单位和个人不得要求供应商提供《中小企业声明函》之外的中小企业身份证明文件。</w:t>
      </w:r>
    </w:p>
    <w:p w14:paraId="21155341">
      <w:pPr>
        <w:spacing w:line="360" w:lineRule="auto"/>
        <w:ind w:firstLine="510"/>
        <w:rPr>
          <w:rStyle w:val="34"/>
          <w:rFonts w:ascii="仿宋" w:hAnsi="仿宋" w:eastAsia="仿宋" w:cs="仿宋"/>
          <w:color w:val="auto"/>
          <w:szCs w:val="21"/>
          <w:highlight w:val="none"/>
        </w:rPr>
      </w:pPr>
      <w:r>
        <w:rPr>
          <w:rFonts w:hint="eastAsia" w:ascii="仿宋" w:hAnsi="仿宋" w:eastAsia="仿宋" w:cs="仿宋"/>
          <w:color w:val="auto"/>
          <w:szCs w:val="21"/>
          <w:highlight w:val="none"/>
        </w:rPr>
        <w:t>22.2.4依据《关于印发&lt;政府采购促进中小企业发展管理办法&gt;的通知》（财库〔2020〕46号）的规定，享受扶持政策获得政府采购合同的，小微企业不得将合同分包给大中型企业，中型企业不得将合同分包给大型企业。</w:t>
      </w:r>
    </w:p>
    <w:p w14:paraId="61B010FD">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22.3</w:t>
      </w:r>
      <w:r>
        <w:rPr>
          <w:rStyle w:val="34"/>
          <w:rFonts w:hint="eastAsia" w:ascii="仿宋" w:hAnsi="仿宋" w:eastAsia="仿宋" w:cs="仿宋"/>
          <w:b/>
          <w:bCs/>
          <w:color w:val="auto"/>
          <w:szCs w:val="21"/>
          <w:highlight w:val="none"/>
        </w:rPr>
        <w:t>残疾人福利性单位声明</w:t>
      </w:r>
    </w:p>
    <w:p w14:paraId="34283421">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根据《关于促进残疾人就业政府采购政策的通知》(财库[2017]141号)的规定，残疾人福利性单位优惠政策，残疾人福利性单位参与本项目投标时，提供《残疾人福利性单位声明函》(参照财库[2017]141号中相关格式)（详见附件2）并对声明的真实性负责，视同小型、微型企业享受价格扣除等优惠政策。</w:t>
      </w:r>
    </w:p>
    <w:p w14:paraId="7B5A6287">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22.4</w:t>
      </w:r>
      <w:r>
        <w:rPr>
          <w:rStyle w:val="34"/>
          <w:rFonts w:hint="eastAsia" w:ascii="仿宋" w:hAnsi="仿宋" w:eastAsia="仿宋" w:cs="仿宋"/>
          <w:b/>
          <w:bCs/>
          <w:color w:val="auto"/>
          <w:szCs w:val="21"/>
          <w:highlight w:val="none"/>
        </w:rPr>
        <w:t>关于监狱企业</w:t>
      </w:r>
    </w:p>
    <w:p w14:paraId="663B4610">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根据《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格式详见附件3）。</w:t>
      </w:r>
    </w:p>
    <w:p w14:paraId="21C1E5B7">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监狱企业视同小型、微型企业，享受评审中价格扣除等政策。监狱企业参加政府采购活动时，应当提供由省级以上监狱管理局、戒毒管理局（含新疆生产建设兵团）出具的属于监狱企业的证明文件。</w:t>
      </w:r>
    </w:p>
    <w:p w14:paraId="28728291">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 xml:space="preserve">22.5 </w:t>
      </w:r>
      <w:r>
        <w:rPr>
          <w:rStyle w:val="34"/>
          <w:rFonts w:hint="eastAsia" w:ascii="仿宋" w:hAnsi="仿宋" w:eastAsia="仿宋" w:cs="仿宋"/>
          <w:b/>
          <w:bCs/>
          <w:color w:val="auto"/>
          <w:szCs w:val="21"/>
          <w:highlight w:val="none"/>
        </w:rPr>
        <w:t>关于节能产品及环境标志产品</w:t>
      </w:r>
    </w:p>
    <w:p w14:paraId="4369D478">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（1）根据“财政部 发展改革委 生态环境部 市场监管总局”《关于调整优化节能产品、环境标志产品政府采购执行机制的通知》（财库〔2019〕9号）的规定，依据财政部 发展改革委印发《节能产品政府采购品目清单》及财政部 生态环境部印发的《环境标志产品政府采购品目清单》和认证证书实施政府优先采购和强制采购。</w:t>
      </w:r>
    </w:p>
    <w:p w14:paraId="36D182F6">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供应商应在响应文件中提供产品在《节能产品政府采购品目清单》或《环境标志产品政府采购品目清单》中的单页复印件一份（复印件需标注出所投产品及型号），和认证结果查询截图，认证机构和获证产品信息可通过中国政府采购网（http：//www.ccgp.gov.cn/）查询。</w:t>
      </w:r>
    </w:p>
    <w:p w14:paraId="5E49AA1F">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 xml:space="preserve">22.6 </w:t>
      </w:r>
      <w:r>
        <w:rPr>
          <w:rStyle w:val="34"/>
          <w:rFonts w:hint="eastAsia" w:ascii="仿宋" w:hAnsi="仿宋" w:eastAsia="仿宋" w:cs="仿宋"/>
          <w:b/>
          <w:bCs/>
          <w:color w:val="auto"/>
          <w:szCs w:val="21"/>
          <w:highlight w:val="none"/>
        </w:rPr>
        <w:t>质疑</w:t>
      </w:r>
    </w:p>
    <w:p w14:paraId="144D6A69">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22.6.1依据中华人民共和国财政部第94号令《政府采购质疑和投诉办法》的规定：供应商认为采购文件、采购过程、中标或者成交结果使自己的权益受到损害的，可以在知道或者应知其权益受到损害之日起7个工作日内，以书面形式向采购人、采购代理机构提出质疑。</w:t>
      </w:r>
    </w:p>
    <w:p w14:paraId="42C79AE2">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质疑内容不得含有虚假、恶意成分。当事人对自己提出的主张，有责任提供证据，提出质疑时应同时提交相关证据材料和注明事实的确切来源。</w:t>
      </w:r>
    </w:p>
    <w:p w14:paraId="20CE8C1B">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22.6.2供应商应知其权益受到损害之日，是指：</w:t>
      </w:r>
    </w:p>
    <w:p w14:paraId="054BDFE6">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（1）对可以质疑的采购文件提出质疑的，为供应商获取采购文件之日 ；</w:t>
      </w:r>
    </w:p>
    <w:p w14:paraId="5CBA7793">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（2）对采购过程提出质疑的，为各采购程序环节结束之日；</w:t>
      </w:r>
    </w:p>
    <w:p w14:paraId="601D3754">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（3）对中标结果提出质疑的，为中标结果公告期限届满之日。</w:t>
      </w:r>
    </w:p>
    <w:p w14:paraId="0BA7C4C7">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22.6.3供应商提供的质疑书应符合中华人民共和国财政部第94号令《政府采购质疑和投诉办法》的规定。供应商提供的质疑书（如材料中有外文资料应同时附上中文译本）应当包括以下主要内容：</w:t>
      </w:r>
    </w:p>
    <w:p w14:paraId="31F6364E">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（一）供应商的姓名或者名称、地址、邮编、联系人及联系电话；</w:t>
      </w:r>
    </w:p>
    <w:p w14:paraId="52B580C8">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（二）质疑项目的名称、编号；</w:t>
      </w:r>
    </w:p>
    <w:p w14:paraId="5C69A703">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（三）具体、明确的质疑事项和与质疑事项相关的请求；</w:t>
      </w:r>
    </w:p>
    <w:p w14:paraId="4F8ABBA6">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（四）事实依据；</w:t>
      </w:r>
    </w:p>
    <w:p w14:paraId="3D24C626">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（五）必要的法律依据；</w:t>
      </w:r>
    </w:p>
    <w:p w14:paraId="72E8608E">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（六）提出质疑的日期。</w:t>
      </w:r>
    </w:p>
    <w:p w14:paraId="48F66E88">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供应商为自然人的，应当由本人签字；供应商为法人或者其他组织的，应当由法定代表人、主要负责人，或者其授权代表签字或者盖章，并加盖公章。</w:t>
      </w:r>
    </w:p>
    <w:p w14:paraId="7CC5C138">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22.6.4采购人、采购代理机构将在收到供应商的书面质疑后7个工作日内作出答复，但答复的内容不涉及商业秘密。</w:t>
      </w:r>
    </w:p>
    <w:p w14:paraId="2F7C0723">
      <w:pPr>
        <w:spacing w:line="360" w:lineRule="auto"/>
        <w:ind w:firstLine="5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 xml:space="preserve">22.7 </w:t>
      </w:r>
      <w:r>
        <w:rPr>
          <w:rStyle w:val="34"/>
          <w:rFonts w:hint="eastAsia" w:ascii="仿宋" w:hAnsi="仿宋" w:eastAsia="仿宋" w:cs="仿宋"/>
          <w:b/>
          <w:bCs/>
          <w:color w:val="auto"/>
          <w:szCs w:val="21"/>
          <w:highlight w:val="none"/>
        </w:rPr>
        <w:t>投诉</w:t>
      </w:r>
    </w:p>
    <w:p w14:paraId="24DFBF8E">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投诉必须首先经过质疑程序。质疑人对采购人、采购代理机构的答复不满意，或者采购人、采购代理机构未在规定的时间内做出答复的，可以在答复期满后十五个工作日内书面向同级财政部门提出投诉。</w:t>
      </w:r>
    </w:p>
    <w:p w14:paraId="7161DE15">
      <w:pPr>
        <w:tabs>
          <w:tab w:val="left" w:pos="3360"/>
        </w:tabs>
        <w:rPr>
          <w:rStyle w:val="34"/>
          <w:rFonts w:ascii="仿宋" w:hAnsi="仿宋" w:eastAsia="仿宋" w:cs="仿宋"/>
          <w:b/>
          <w:color w:val="auto"/>
          <w:sz w:val="24"/>
          <w:szCs w:val="24"/>
          <w:highlight w:val="none"/>
        </w:rPr>
      </w:pPr>
      <w:r>
        <w:rPr>
          <w:rStyle w:val="34"/>
          <w:rFonts w:hint="eastAsia" w:ascii="仿宋" w:hAnsi="仿宋" w:eastAsia="仿宋" w:cs="仿宋"/>
          <w:b/>
          <w:color w:val="auto"/>
          <w:sz w:val="24"/>
          <w:szCs w:val="24"/>
          <w:highlight w:val="none"/>
        </w:rPr>
        <w:br w:type="page"/>
      </w:r>
    </w:p>
    <w:p w14:paraId="649EC6BB">
      <w:pPr>
        <w:spacing w:line="360" w:lineRule="auto"/>
        <w:jc w:val="left"/>
        <w:rPr>
          <w:rStyle w:val="34"/>
          <w:rFonts w:ascii="仿宋" w:hAnsi="仿宋" w:eastAsia="仿宋" w:cs="仿宋"/>
          <w:b/>
          <w:color w:val="auto"/>
          <w:sz w:val="24"/>
          <w:szCs w:val="24"/>
          <w:highlight w:val="none"/>
        </w:rPr>
      </w:pPr>
      <w:r>
        <w:rPr>
          <w:rStyle w:val="34"/>
          <w:rFonts w:hint="eastAsia" w:ascii="仿宋" w:hAnsi="仿宋" w:eastAsia="仿宋" w:cs="仿宋"/>
          <w:b/>
          <w:color w:val="auto"/>
          <w:sz w:val="24"/>
          <w:szCs w:val="24"/>
          <w:highlight w:val="none"/>
        </w:rPr>
        <w:t>附件1：</w:t>
      </w:r>
    </w:p>
    <w:p w14:paraId="0D2EB400">
      <w:pPr>
        <w:spacing w:line="360" w:lineRule="auto"/>
        <w:jc w:val="center"/>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中小企业声明函（工程、服务）</w:t>
      </w:r>
    </w:p>
    <w:p w14:paraId="192A56F2">
      <w:pPr>
        <w:spacing w:line="588" w:lineRule="exact"/>
        <w:rPr>
          <w:rFonts w:ascii="仿宋" w:hAnsi="仿宋" w:eastAsia="仿宋" w:cs="仿宋"/>
          <w:b/>
          <w:color w:val="auto"/>
          <w:spacing w:val="6"/>
          <w:sz w:val="24"/>
          <w:szCs w:val="24"/>
          <w:highlight w:val="none"/>
        </w:rPr>
      </w:pPr>
    </w:p>
    <w:p w14:paraId="19113511">
      <w:pPr>
        <w:spacing w:line="360" w:lineRule="auto"/>
        <w:ind w:firstLine="444" w:firstLineChars="200"/>
        <w:rPr>
          <w:rFonts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本公司（联合体）郑重声明，根据《政府采购促进中小企业发展管理办法》（财库﹝2020﹞46 号）的规定，本公司（联合体）参加</w:t>
      </w:r>
      <w:r>
        <w:rPr>
          <w:rFonts w:hint="eastAsia" w:ascii="仿宋" w:hAnsi="仿宋" w:eastAsia="仿宋" w:cs="仿宋"/>
          <w:color w:val="auto"/>
          <w:spacing w:val="6"/>
          <w:szCs w:val="21"/>
          <w:highlight w:val="none"/>
          <w:u w:val="single"/>
        </w:rPr>
        <w:t xml:space="preserve">  （单位名称）   </w:t>
      </w:r>
      <w:r>
        <w:rPr>
          <w:rFonts w:hint="eastAsia" w:ascii="仿宋" w:hAnsi="仿宋" w:eastAsia="仿宋" w:cs="仿宋"/>
          <w:color w:val="auto"/>
          <w:spacing w:val="6"/>
          <w:szCs w:val="21"/>
          <w:highlight w:val="none"/>
        </w:rPr>
        <w:t>的</w:t>
      </w:r>
      <w:r>
        <w:rPr>
          <w:rFonts w:hint="eastAsia" w:ascii="仿宋" w:hAnsi="仿宋" w:eastAsia="仿宋" w:cs="仿宋"/>
          <w:color w:val="auto"/>
          <w:spacing w:val="6"/>
          <w:szCs w:val="21"/>
          <w:highlight w:val="none"/>
          <w:u w:val="single"/>
        </w:rPr>
        <w:t xml:space="preserve">  （项目名称）  </w:t>
      </w:r>
      <w:r>
        <w:rPr>
          <w:rFonts w:hint="eastAsia" w:ascii="仿宋" w:hAnsi="仿宋" w:eastAsia="仿宋" w:cs="仿宋"/>
          <w:color w:val="auto"/>
          <w:spacing w:val="6"/>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3AD459A4">
      <w:pPr>
        <w:spacing w:line="360" w:lineRule="auto"/>
        <w:ind w:firstLine="444" w:firstLineChars="200"/>
        <w:rPr>
          <w:rFonts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1.</w:t>
      </w:r>
      <w:r>
        <w:rPr>
          <w:rFonts w:hint="eastAsia" w:ascii="仿宋" w:hAnsi="仿宋" w:eastAsia="仿宋" w:cs="仿宋"/>
          <w:color w:val="auto"/>
          <w:spacing w:val="6"/>
          <w:szCs w:val="21"/>
          <w:highlight w:val="none"/>
          <w:u w:val="single"/>
        </w:rPr>
        <w:t xml:space="preserve"> （标的名称） </w:t>
      </w:r>
      <w:r>
        <w:rPr>
          <w:rFonts w:hint="eastAsia" w:ascii="仿宋" w:hAnsi="仿宋" w:eastAsia="仿宋" w:cs="仿宋"/>
          <w:color w:val="auto"/>
          <w:spacing w:val="6"/>
          <w:szCs w:val="21"/>
          <w:highlight w:val="none"/>
        </w:rPr>
        <w:t>，属于</w:t>
      </w:r>
      <w:r>
        <w:rPr>
          <w:rFonts w:hint="eastAsia" w:ascii="仿宋" w:hAnsi="仿宋" w:eastAsia="仿宋" w:cs="仿宋"/>
          <w:color w:val="auto"/>
          <w:spacing w:val="6"/>
          <w:szCs w:val="21"/>
          <w:highlight w:val="none"/>
          <w:u w:val="single"/>
        </w:rPr>
        <w:t>（采购文件中明确的所属行业）行业</w:t>
      </w:r>
      <w:r>
        <w:rPr>
          <w:rFonts w:hint="eastAsia" w:ascii="仿宋" w:hAnsi="仿宋" w:eastAsia="仿宋" w:cs="仿宋"/>
          <w:color w:val="auto"/>
          <w:spacing w:val="6"/>
          <w:szCs w:val="21"/>
          <w:highlight w:val="none"/>
        </w:rPr>
        <w:t>；承建（承接）企业为</w:t>
      </w:r>
      <w:r>
        <w:rPr>
          <w:rFonts w:hint="eastAsia" w:ascii="仿宋" w:hAnsi="仿宋" w:eastAsia="仿宋" w:cs="仿宋"/>
          <w:color w:val="auto"/>
          <w:spacing w:val="6"/>
          <w:szCs w:val="21"/>
          <w:highlight w:val="none"/>
          <w:u w:val="single"/>
        </w:rPr>
        <w:t>（企业名称）</w:t>
      </w:r>
      <w:r>
        <w:rPr>
          <w:rFonts w:hint="eastAsia" w:ascii="仿宋" w:hAnsi="仿宋" w:eastAsia="仿宋" w:cs="仿宋"/>
          <w:color w:val="auto"/>
          <w:spacing w:val="6"/>
          <w:szCs w:val="21"/>
          <w:highlight w:val="none"/>
        </w:rPr>
        <w:t>，从业人员人，营业收入为万元，资产总额为万元，属于</w:t>
      </w:r>
      <w:r>
        <w:rPr>
          <w:rFonts w:hint="eastAsia" w:ascii="仿宋" w:hAnsi="仿宋" w:eastAsia="仿宋" w:cs="仿宋"/>
          <w:color w:val="auto"/>
          <w:spacing w:val="6"/>
          <w:szCs w:val="21"/>
          <w:highlight w:val="none"/>
          <w:u w:val="single"/>
        </w:rPr>
        <w:t>（中型企业、小型企业、微型企业）</w:t>
      </w:r>
      <w:r>
        <w:rPr>
          <w:rFonts w:hint="eastAsia" w:ascii="仿宋" w:hAnsi="仿宋" w:eastAsia="仿宋" w:cs="仿宋"/>
          <w:color w:val="auto"/>
          <w:spacing w:val="6"/>
          <w:szCs w:val="21"/>
          <w:highlight w:val="none"/>
        </w:rPr>
        <w:t xml:space="preserve">； </w:t>
      </w:r>
    </w:p>
    <w:p w14:paraId="54CC5D68">
      <w:pPr>
        <w:spacing w:line="360" w:lineRule="auto"/>
        <w:ind w:firstLine="444" w:firstLineChars="200"/>
        <w:rPr>
          <w:rFonts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2.</w:t>
      </w:r>
      <w:r>
        <w:rPr>
          <w:rFonts w:hint="eastAsia" w:ascii="仿宋" w:hAnsi="仿宋" w:eastAsia="仿宋" w:cs="仿宋"/>
          <w:color w:val="auto"/>
          <w:spacing w:val="6"/>
          <w:szCs w:val="21"/>
          <w:highlight w:val="none"/>
          <w:u w:val="single"/>
        </w:rPr>
        <w:t xml:space="preserve"> （标的名称） </w:t>
      </w:r>
      <w:r>
        <w:rPr>
          <w:rFonts w:hint="eastAsia" w:ascii="仿宋" w:hAnsi="仿宋" w:eastAsia="仿宋" w:cs="仿宋"/>
          <w:color w:val="auto"/>
          <w:spacing w:val="6"/>
          <w:szCs w:val="21"/>
          <w:highlight w:val="none"/>
        </w:rPr>
        <w:t>，属于</w:t>
      </w:r>
      <w:r>
        <w:rPr>
          <w:rFonts w:hint="eastAsia" w:ascii="仿宋" w:hAnsi="仿宋" w:eastAsia="仿宋" w:cs="仿宋"/>
          <w:color w:val="auto"/>
          <w:spacing w:val="6"/>
          <w:szCs w:val="21"/>
          <w:highlight w:val="none"/>
          <w:u w:val="single"/>
        </w:rPr>
        <w:t>（采购文件中明确的所属行业）行业</w:t>
      </w:r>
      <w:r>
        <w:rPr>
          <w:rFonts w:hint="eastAsia" w:ascii="仿宋" w:hAnsi="仿宋" w:eastAsia="仿宋" w:cs="仿宋"/>
          <w:color w:val="auto"/>
          <w:spacing w:val="6"/>
          <w:szCs w:val="21"/>
          <w:highlight w:val="none"/>
        </w:rPr>
        <w:t>；承建（承接）企业为</w:t>
      </w:r>
      <w:r>
        <w:rPr>
          <w:rFonts w:hint="eastAsia" w:ascii="仿宋" w:hAnsi="仿宋" w:eastAsia="仿宋" w:cs="仿宋"/>
          <w:color w:val="auto"/>
          <w:spacing w:val="6"/>
          <w:szCs w:val="21"/>
          <w:highlight w:val="none"/>
          <w:u w:val="single"/>
        </w:rPr>
        <w:t>（企业名称）</w:t>
      </w:r>
      <w:r>
        <w:rPr>
          <w:rFonts w:hint="eastAsia" w:ascii="仿宋" w:hAnsi="仿宋" w:eastAsia="仿宋" w:cs="仿宋"/>
          <w:color w:val="auto"/>
          <w:spacing w:val="6"/>
          <w:szCs w:val="21"/>
          <w:highlight w:val="none"/>
        </w:rPr>
        <w:t>，从业人员人，营业收入为万元，资产总额为万元，属于</w:t>
      </w:r>
      <w:r>
        <w:rPr>
          <w:rFonts w:hint="eastAsia" w:ascii="仿宋" w:hAnsi="仿宋" w:eastAsia="仿宋" w:cs="仿宋"/>
          <w:color w:val="auto"/>
          <w:spacing w:val="6"/>
          <w:szCs w:val="21"/>
          <w:highlight w:val="none"/>
          <w:u w:val="single"/>
        </w:rPr>
        <w:t>（中型企业、小型企业、微型企业）</w:t>
      </w:r>
      <w:r>
        <w:rPr>
          <w:rFonts w:hint="eastAsia" w:ascii="仿宋" w:hAnsi="仿宋" w:eastAsia="仿宋" w:cs="仿宋"/>
          <w:color w:val="auto"/>
          <w:spacing w:val="6"/>
          <w:szCs w:val="21"/>
          <w:highlight w:val="none"/>
        </w:rPr>
        <w:t xml:space="preserve">； </w:t>
      </w:r>
    </w:p>
    <w:p w14:paraId="6090B78E">
      <w:pPr>
        <w:spacing w:line="360" w:lineRule="auto"/>
        <w:ind w:firstLine="444" w:firstLineChars="200"/>
        <w:rPr>
          <w:rFonts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w:t>
      </w:r>
    </w:p>
    <w:p w14:paraId="32DC4F63">
      <w:pPr>
        <w:spacing w:line="360" w:lineRule="auto"/>
        <w:ind w:firstLine="444" w:firstLineChars="200"/>
        <w:rPr>
          <w:rFonts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以上企业，不属于大企业的分支机构，不存在控股股东为大企业的情形，也不存在与大企业的负责人为同一人的情形。</w:t>
      </w:r>
    </w:p>
    <w:p w14:paraId="5418B98E">
      <w:pPr>
        <w:spacing w:line="360" w:lineRule="auto"/>
        <w:ind w:firstLine="444" w:firstLineChars="200"/>
        <w:rPr>
          <w:rStyle w:val="34"/>
          <w:rFonts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本企业对上述声明内容的真实性负责。如有虚假，将依法承担相应责任。</w:t>
      </w:r>
    </w:p>
    <w:p w14:paraId="3AB3B2DA">
      <w:pPr>
        <w:spacing w:line="360" w:lineRule="auto"/>
        <w:rPr>
          <w:rStyle w:val="34"/>
          <w:rFonts w:ascii="仿宋" w:hAnsi="仿宋" w:eastAsia="仿宋" w:cs="仿宋"/>
          <w:color w:val="auto"/>
          <w:spacing w:val="6"/>
          <w:szCs w:val="21"/>
          <w:highlight w:val="none"/>
        </w:rPr>
      </w:pPr>
    </w:p>
    <w:p w14:paraId="4938897A">
      <w:pPr>
        <w:spacing w:before="120" w:after="120" w:line="480" w:lineRule="auto"/>
        <w:ind w:right="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供应商：（电子签章或盖章）</w:t>
      </w:r>
    </w:p>
    <w:p w14:paraId="242FE176">
      <w:pPr>
        <w:spacing w:before="120" w:after="120" w:line="480" w:lineRule="auto"/>
        <w:ind w:right="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法定代表人或被授权人（电子签章或签字）：</w:t>
      </w:r>
    </w:p>
    <w:p w14:paraId="0AD58511">
      <w:pPr>
        <w:spacing w:line="480" w:lineRule="auto"/>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日     期：</w:t>
      </w:r>
    </w:p>
    <w:p w14:paraId="7E1AF0DE">
      <w:pPr>
        <w:spacing w:line="360" w:lineRule="auto"/>
        <w:ind w:firstLine="446" w:firstLineChars="200"/>
        <w:rPr>
          <w:rFonts w:hint="eastAsia" w:ascii="仿宋" w:hAnsi="仿宋" w:eastAsia="仿宋" w:cs="仿宋"/>
          <w:b/>
          <w:bCs/>
          <w:color w:val="auto"/>
          <w:spacing w:val="6"/>
          <w:szCs w:val="21"/>
          <w:highlight w:val="none"/>
        </w:rPr>
      </w:pPr>
      <w:r>
        <w:rPr>
          <w:rFonts w:hint="eastAsia" w:ascii="仿宋" w:hAnsi="仿宋" w:eastAsia="仿宋" w:cs="仿宋"/>
          <w:b/>
          <w:bCs/>
          <w:color w:val="auto"/>
          <w:spacing w:val="6"/>
          <w:szCs w:val="21"/>
          <w:highlight w:val="none"/>
        </w:rPr>
        <w:t>注：1.</w:t>
      </w:r>
      <w:r>
        <w:rPr>
          <w:rFonts w:hint="eastAsia" w:ascii="仿宋" w:hAnsi="仿宋" w:eastAsia="仿宋" w:cs="仿宋"/>
          <w:b/>
          <w:bCs/>
          <w:color w:val="auto"/>
          <w:spacing w:val="6"/>
          <w:szCs w:val="21"/>
          <w:highlight w:val="none"/>
          <w:lang w:eastAsia="zh-CN"/>
        </w:rPr>
        <w:t>从业人员、营业收入、资产总额填报上一年度数据，无上一年度数据的新成立企业可不填报</w:t>
      </w:r>
      <w:r>
        <w:rPr>
          <w:rFonts w:hint="eastAsia" w:ascii="仿宋" w:hAnsi="仿宋" w:eastAsia="仿宋" w:cs="仿宋"/>
          <w:b/>
          <w:bCs/>
          <w:color w:val="auto"/>
          <w:spacing w:val="6"/>
          <w:szCs w:val="21"/>
          <w:highlight w:val="none"/>
        </w:rPr>
        <w:t>。</w:t>
      </w:r>
    </w:p>
    <w:p w14:paraId="628F1E2E">
      <w:pPr>
        <w:spacing w:line="360" w:lineRule="auto"/>
        <w:ind w:firstLine="446" w:firstLineChars="200"/>
        <w:rPr>
          <w:rFonts w:hint="eastAsia" w:ascii="仿宋" w:hAnsi="仿宋" w:eastAsia="仿宋" w:cs="仿宋"/>
          <w:b/>
          <w:bCs/>
          <w:color w:val="auto"/>
          <w:spacing w:val="6"/>
          <w:szCs w:val="21"/>
          <w:highlight w:val="none"/>
        </w:rPr>
      </w:pPr>
      <w:r>
        <w:rPr>
          <w:rFonts w:hint="eastAsia" w:ascii="仿宋" w:hAnsi="仿宋" w:eastAsia="仿宋" w:cs="仿宋"/>
          <w:b/>
          <w:bCs/>
          <w:color w:val="auto"/>
          <w:spacing w:val="6"/>
          <w:szCs w:val="21"/>
          <w:highlight w:val="none"/>
        </w:rPr>
        <w:t>2.所声明的从业人员人数、营业收入金额或资产总额不实的，依照《中华人民共和国政府采购法》等国家有关规定追究相应责任。</w:t>
      </w:r>
    </w:p>
    <w:p w14:paraId="3C5A4257">
      <w:pPr>
        <w:pStyle w:val="10"/>
        <w:keepNext w:val="0"/>
        <w:keepLines w:val="0"/>
        <w:pageBreakBefore w:val="0"/>
        <w:widowControl/>
        <w:kinsoku/>
        <w:wordWrap/>
        <w:overflowPunct/>
        <w:topLinePunct w:val="0"/>
        <w:autoSpaceDE/>
        <w:autoSpaceDN/>
        <w:bidi w:val="0"/>
        <w:snapToGrid/>
        <w:spacing w:line="360" w:lineRule="auto"/>
        <w:textAlignment w:val="baseline"/>
        <w:rPr>
          <w:rStyle w:val="34"/>
          <w:rFonts w:hint="eastAsia" w:ascii="仿宋" w:hAnsi="仿宋" w:eastAsia="仿宋" w:cs="仿宋"/>
          <w:b/>
          <w:bCs w:val="0"/>
          <w:color w:val="auto"/>
          <w:kern w:val="2"/>
          <w:sz w:val="24"/>
          <w:szCs w:val="24"/>
          <w:highlight w:val="none"/>
          <w:lang w:val="en-US" w:eastAsia="zh-CN" w:bidi="ar-SA"/>
        </w:rPr>
      </w:pPr>
      <w:r>
        <w:rPr>
          <w:rFonts w:hint="eastAsia" w:ascii="仿宋" w:hAnsi="仿宋" w:eastAsia="仿宋" w:cs="仿宋"/>
          <w:b/>
          <w:bCs/>
          <w:color w:val="auto"/>
          <w:spacing w:val="6"/>
          <w:kern w:val="2"/>
          <w:sz w:val="21"/>
          <w:szCs w:val="21"/>
          <w:highlight w:val="none"/>
          <w:lang w:val="en-US" w:eastAsia="zh-CN" w:bidi="ar-SA"/>
        </w:rPr>
        <w:t>3.采购文件中明确的所属行业：物业管理。</w:t>
      </w:r>
      <w:r>
        <w:rPr>
          <w:rFonts w:hint="eastAsia" w:ascii="仿宋" w:hAnsi="仿宋" w:eastAsia="仿宋" w:cs="仿宋"/>
          <w:color w:val="auto"/>
          <w:sz w:val="20"/>
          <w:highlight w:val="none"/>
        </w:rPr>
        <w:br w:type="page"/>
      </w:r>
      <w:r>
        <w:rPr>
          <w:rStyle w:val="34"/>
          <w:rFonts w:hint="eastAsia" w:ascii="仿宋" w:hAnsi="仿宋" w:eastAsia="仿宋" w:cs="仿宋"/>
          <w:b/>
          <w:bCs w:val="0"/>
          <w:color w:val="auto"/>
          <w:kern w:val="2"/>
          <w:sz w:val="24"/>
          <w:szCs w:val="24"/>
          <w:highlight w:val="none"/>
          <w:lang w:val="en-US" w:eastAsia="zh-CN" w:bidi="ar-SA"/>
        </w:rPr>
        <w:t>附件：</w:t>
      </w:r>
    </w:p>
    <w:p w14:paraId="1027582D">
      <w:pPr>
        <w:pStyle w:val="10"/>
        <w:keepNext w:val="0"/>
        <w:keepLines w:val="0"/>
        <w:pageBreakBefore w:val="0"/>
        <w:widowControl/>
        <w:kinsoku/>
        <w:wordWrap/>
        <w:overflowPunct/>
        <w:topLinePunct w:val="0"/>
        <w:autoSpaceDE/>
        <w:autoSpaceDN/>
        <w:bidi w:val="0"/>
        <w:snapToGrid/>
        <w:spacing w:line="360" w:lineRule="auto"/>
        <w:ind w:firstLine="630" w:firstLineChars="300"/>
        <w:textAlignment w:val="baseline"/>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《关于印发中小企业划型标准规定的通知》（</w:t>
      </w:r>
      <w:r>
        <w:rPr>
          <w:rFonts w:hint="eastAsia" w:ascii="仿宋" w:hAnsi="仿宋" w:eastAsia="仿宋" w:cs="仿宋"/>
          <w:color w:val="auto"/>
          <w:sz w:val="21"/>
          <w:szCs w:val="21"/>
          <w:highlight w:val="none"/>
        </w:rPr>
        <w:t>工信部联企业〔2011〕300号</w:t>
      </w:r>
      <w:r>
        <w:rPr>
          <w:rFonts w:hint="eastAsia" w:ascii="仿宋" w:hAnsi="仿宋" w:eastAsia="仿宋" w:cs="仿宋"/>
          <w:bCs/>
          <w:color w:val="auto"/>
          <w:sz w:val="21"/>
          <w:szCs w:val="21"/>
          <w:highlight w:val="none"/>
        </w:rPr>
        <w:t>）中小企业划型标准规定节选：</w:t>
      </w:r>
    </w:p>
    <w:p w14:paraId="7E3D224A">
      <w:pPr>
        <w:pStyle w:val="13"/>
        <w:keepNext w:val="0"/>
        <w:keepLines w:val="0"/>
        <w:pageBreakBefore w:val="0"/>
        <w:widowControl/>
        <w:kinsoku/>
        <w:wordWrap/>
        <w:overflowPunct/>
        <w:topLinePunct w:val="0"/>
        <w:autoSpaceDE/>
        <w:autoSpaceDN/>
        <w:bidi w:val="0"/>
        <w:snapToGrid/>
        <w:spacing w:line="360" w:lineRule="auto"/>
        <w:ind w:firstLine="630" w:firstLineChars="300"/>
        <w:jc w:val="left"/>
        <w:textAlignment w:val="baseline"/>
        <w:outlineLvl w:val="0"/>
        <w:rPr>
          <w:rFonts w:hint="eastAsia" w:ascii="仿宋" w:hAnsi="仿宋" w:eastAsia="仿宋" w:cs="仿宋"/>
          <w:color w:val="auto"/>
          <w:sz w:val="21"/>
          <w:szCs w:val="21"/>
          <w:highlight w:val="none"/>
        </w:rPr>
      </w:pPr>
      <w:bookmarkStart w:id="9" w:name="_Toc12743"/>
      <w:r>
        <w:rPr>
          <w:rFonts w:hint="eastAsia" w:ascii="仿宋" w:hAnsi="仿宋" w:eastAsia="仿宋" w:cs="仿宋"/>
          <w:color w:val="auto"/>
          <w:sz w:val="21"/>
          <w:szCs w:val="21"/>
          <w:highlight w:val="none"/>
        </w:rPr>
        <w:t>各行业划型标准为：</w:t>
      </w:r>
      <w:bookmarkEnd w:id="9"/>
    </w:p>
    <w:p w14:paraId="5C0810DD">
      <w:pPr>
        <w:keepNext w:val="0"/>
        <w:keepLines w:val="0"/>
        <w:pageBreakBefore w:val="0"/>
        <w:widowControl/>
        <w:kinsoku/>
        <w:wordWrap/>
        <w:overflowPunct/>
        <w:topLinePunct w:val="0"/>
        <w:autoSpaceDE/>
        <w:autoSpaceDN/>
        <w:bidi w:val="0"/>
        <w:snapToGrid/>
        <w:spacing w:line="360" w:lineRule="auto"/>
        <w:textAlignment w:val="baseline"/>
        <w:rPr>
          <w:rFonts w:hint="eastAsia" w:ascii="仿宋" w:hAnsi="仿宋" w:eastAsia="仿宋" w:cs="仿宋"/>
          <w:color w:val="auto"/>
          <w:sz w:val="20"/>
          <w:highlight w:val="none"/>
        </w:rPr>
      </w:pPr>
      <w:r>
        <w:rPr>
          <w:rFonts w:hint="eastAsia" w:ascii="仿宋" w:hAnsi="仿宋" w:eastAsia="仿宋" w:cs="仿宋"/>
          <w:color w:val="auto"/>
          <w:sz w:val="21"/>
          <w:szCs w:val="21"/>
          <w:highlight w:val="none"/>
        </w:rPr>
        <w:t>（一）农、林、牧、渔业。营业收入20000万元以下的为中小微型企业。其中，营业收入500万元及以上的为中型企业，营业收入50万元及以上的为小型企业，营业收入50万元以下的为微型企业。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（十六）其他未列明行业。从业人员300人以下的为中小微型企业。其中，从业人员100人及以上的为中型企业；从业人员10人及以上的为小型企业；从业人员10人以下的为微型企业。</w:t>
      </w:r>
    </w:p>
    <w:p w14:paraId="13C11535">
      <w:pPr>
        <w:spacing w:line="360" w:lineRule="auto"/>
        <w:ind w:firstLine="482" w:firstLineChars="200"/>
        <w:rPr>
          <w:rStyle w:val="34"/>
          <w:rFonts w:ascii="仿宋" w:hAnsi="仿宋" w:eastAsia="仿宋" w:cs="仿宋"/>
          <w:color w:val="auto"/>
          <w:sz w:val="24"/>
          <w:szCs w:val="24"/>
          <w:highlight w:val="none"/>
        </w:rPr>
      </w:pPr>
      <w:r>
        <w:rPr>
          <w:rStyle w:val="34"/>
          <w:rFonts w:hint="eastAsia" w:ascii="仿宋" w:hAnsi="仿宋" w:eastAsia="仿宋" w:cs="仿宋"/>
          <w:b/>
          <w:color w:val="auto"/>
          <w:sz w:val="24"/>
          <w:szCs w:val="24"/>
          <w:highlight w:val="none"/>
        </w:rPr>
        <w:t>附件2：</w:t>
      </w:r>
    </w:p>
    <w:p w14:paraId="6933C3F4">
      <w:pPr>
        <w:jc w:val="left"/>
        <w:rPr>
          <w:rStyle w:val="34"/>
          <w:rFonts w:ascii="仿宋" w:hAnsi="仿宋" w:eastAsia="仿宋" w:cs="仿宋"/>
          <w:b/>
          <w:color w:val="auto"/>
          <w:sz w:val="24"/>
          <w:szCs w:val="24"/>
          <w:highlight w:val="none"/>
        </w:rPr>
      </w:pPr>
    </w:p>
    <w:p w14:paraId="1CB59DBF">
      <w:pPr>
        <w:spacing w:line="588" w:lineRule="exact"/>
        <w:jc w:val="center"/>
        <w:rPr>
          <w:rStyle w:val="34"/>
          <w:rFonts w:ascii="仿宋" w:hAnsi="仿宋" w:eastAsia="仿宋" w:cs="仿宋"/>
          <w:b/>
          <w:color w:val="auto"/>
          <w:spacing w:val="6"/>
          <w:sz w:val="32"/>
          <w:szCs w:val="32"/>
          <w:highlight w:val="none"/>
        </w:rPr>
      </w:pPr>
      <w:r>
        <w:rPr>
          <w:rStyle w:val="34"/>
          <w:rFonts w:hint="eastAsia" w:ascii="仿宋" w:hAnsi="仿宋" w:eastAsia="仿宋" w:cs="仿宋"/>
          <w:b/>
          <w:color w:val="auto"/>
          <w:sz w:val="32"/>
          <w:szCs w:val="32"/>
          <w:highlight w:val="none"/>
        </w:rPr>
        <w:t>残疾人福利性单位声明函</w:t>
      </w:r>
    </w:p>
    <w:p w14:paraId="2C245285">
      <w:pPr>
        <w:spacing w:line="588" w:lineRule="exact"/>
        <w:rPr>
          <w:rStyle w:val="34"/>
          <w:rFonts w:ascii="仿宋" w:hAnsi="仿宋" w:eastAsia="仿宋" w:cs="仿宋"/>
          <w:b/>
          <w:color w:val="auto"/>
          <w:spacing w:val="6"/>
          <w:sz w:val="24"/>
          <w:szCs w:val="24"/>
          <w:highlight w:val="none"/>
        </w:rPr>
      </w:pPr>
    </w:p>
    <w:p w14:paraId="60C3FFC0">
      <w:pPr>
        <w:spacing w:line="360" w:lineRule="auto"/>
        <w:ind w:firstLine="444" w:firstLineChars="200"/>
        <w:rPr>
          <w:rStyle w:val="34"/>
          <w:rFonts w:ascii="仿宋" w:hAnsi="仿宋" w:eastAsia="仿宋" w:cs="仿宋"/>
          <w:color w:val="auto"/>
          <w:spacing w:val="6"/>
          <w:szCs w:val="21"/>
          <w:highlight w:val="none"/>
        </w:rPr>
      </w:pPr>
      <w:r>
        <w:rPr>
          <w:rStyle w:val="34"/>
          <w:rFonts w:hint="eastAsia" w:ascii="仿宋" w:hAnsi="仿宋" w:eastAsia="仿宋" w:cs="仿宋"/>
          <w:color w:val="auto"/>
          <w:spacing w:val="6"/>
          <w:szCs w:val="21"/>
          <w:highlight w:val="none"/>
        </w:rPr>
        <w:t>本单位郑重声明，根据《财政部 民政部 中国残疾人联合会关于促进残疾人就业政府采购政策的通知》（财库</w:t>
      </w:r>
      <w:r>
        <w:rPr>
          <w:rStyle w:val="34"/>
          <w:rFonts w:hint="eastAsia" w:ascii="仿宋" w:hAnsi="仿宋" w:eastAsia="仿宋" w:cs="仿宋"/>
          <w:color w:val="auto"/>
          <w:szCs w:val="21"/>
          <w:highlight w:val="none"/>
        </w:rPr>
        <w:t>〔2017〕 141</w:t>
      </w:r>
      <w:r>
        <w:rPr>
          <w:rStyle w:val="34"/>
          <w:rFonts w:hint="eastAsia" w:ascii="仿宋" w:hAnsi="仿宋" w:eastAsia="仿宋" w:cs="仿宋"/>
          <w:color w:val="auto"/>
          <w:spacing w:val="6"/>
          <w:szCs w:val="21"/>
          <w:highlight w:val="none"/>
        </w:rPr>
        <w:t>号）的规定，本单位为符合条件的残疾人福利性单位，且本单位参加</w:t>
      </w:r>
      <w:r>
        <w:rPr>
          <w:rStyle w:val="34"/>
          <w:rFonts w:hint="eastAsia" w:ascii="仿宋" w:hAnsi="仿宋" w:eastAsia="仿宋" w:cs="仿宋"/>
          <w:color w:val="auto"/>
          <w:spacing w:val="6"/>
          <w:szCs w:val="21"/>
          <w:highlight w:val="none"/>
          <w:u w:val="single"/>
        </w:rPr>
        <w:t xml:space="preserve">   （采购人名称）   </w:t>
      </w:r>
      <w:r>
        <w:rPr>
          <w:rStyle w:val="34"/>
          <w:rFonts w:hint="eastAsia" w:ascii="仿宋" w:hAnsi="仿宋" w:eastAsia="仿宋" w:cs="仿宋"/>
          <w:color w:val="auto"/>
          <w:spacing w:val="6"/>
          <w:szCs w:val="21"/>
          <w:highlight w:val="none"/>
        </w:rPr>
        <w:t>单位的</w:t>
      </w:r>
      <w:r>
        <w:rPr>
          <w:rStyle w:val="34"/>
          <w:rFonts w:hint="eastAsia" w:ascii="仿宋" w:hAnsi="仿宋" w:eastAsia="仿宋" w:cs="仿宋"/>
          <w:color w:val="auto"/>
          <w:spacing w:val="6"/>
          <w:szCs w:val="21"/>
          <w:highlight w:val="none"/>
          <w:u w:val="single"/>
        </w:rPr>
        <w:t xml:space="preserve">   （项目名称）   </w:t>
      </w:r>
      <w:r>
        <w:rPr>
          <w:rStyle w:val="34"/>
          <w:rFonts w:hint="eastAsia" w:ascii="仿宋" w:hAnsi="仿宋" w:eastAsia="仿宋" w:cs="仿宋"/>
          <w:color w:val="auto"/>
          <w:spacing w:val="6"/>
          <w:szCs w:val="21"/>
          <w:highlight w:val="none"/>
        </w:rPr>
        <w:t>项目采购活动提供本单位制造的货物（由本单位承担工程/提供服务），或者提供其他残疾人福利性单位制造的货物（不包括使用非残疾人福利性单位注册商标的货物）。</w:t>
      </w:r>
    </w:p>
    <w:p w14:paraId="1ACB1439">
      <w:pPr>
        <w:spacing w:line="360" w:lineRule="auto"/>
        <w:ind w:firstLine="444" w:firstLineChars="200"/>
        <w:rPr>
          <w:rStyle w:val="34"/>
          <w:rFonts w:ascii="仿宋" w:hAnsi="仿宋" w:eastAsia="仿宋" w:cs="仿宋"/>
          <w:color w:val="auto"/>
          <w:spacing w:val="6"/>
          <w:szCs w:val="21"/>
          <w:highlight w:val="none"/>
        </w:rPr>
      </w:pPr>
      <w:r>
        <w:rPr>
          <w:rStyle w:val="34"/>
          <w:rFonts w:hint="eastAsia" w:ascii="仿宋" w:hAnsi="仿宋" w:eastAsia="仿宋" w:cs="仿宋"/>
          <w:color w:val="auto"/>
          <w:spacing w:val="6"/>
          <w:szCs w:val="21"/>
          <w:highlight w:val="none"/>
        </w:rPr>
        <w:t>本单位对上述声明的真实性负责。如有虚假，将依法承担相应责任。</w:t>
      </w:r>
    </w:p>
    <w:p w14:paraId="7CE6D5A8">
      <w:pPr>
        <w:spacing w:line="360" w:lineRule="auto"/>
        <w:ind w:firstLine="444" w:firstLineChars="200"/>
        <w:rPr>
          <w:rStyle w:val="34"/>
          <w:rFonts w:ascii="仿宋" w:hAnsi="仿宋" w:eastAsia="仿宋" w:cs="仿宋"/>
          <w:color w:val="auto"/>
          <w:spacing w:val="6"/>
          <w:szCs w:val="21"/>
          <w:highlight w:val="none"/>
        </w:rPr>
      </w:pPr>
    </w:p>
    <w:p w14:paraId="4F32914D">
      <w:pPr>
        <w:spacing w:before="120" w:after="120" w:line="480" w:lineRule="auto"/>
        <w:ind w:right="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供应商：（电子签章或盖章）</w:t>
      </w:r>
    </w:p>
    <w:p w14:paraId="2FDCBD65">
      <w:pPr>
        <w:spacing w:before="120" w:after="120" w:line="480" w:lineRule="auto"/>
        <w:ind w:right="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法定代表人或被授权人（电子签章或签字）：</w:t>
      </w:r>
    </w:p>
    <w:p w14:paraId="2E6E3994">
      <w:pPr>
        <w:spacing w:line="480" w:lineRule="auto"/>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日     期：</w:t>
      </w:r>
    </w:p>
    <w:p w14:paraId="691B95AA">
      <w:pPr>
        <w:spacing w:line="360" w:lineRule="auto"/>
        <w:ind w:firstLine="444" w:firstLineChars="200"/>
        <w:rPr>
          <w:rStyle w:val="34"/>
          <w:rFonts w:ascii="仿宋" w:hAnsi="仿宋" w:eastAsia="仿宋" w:cs="仿宋"/>
          <w:color w:val="auto"/>
          <w:spacing w:val="6"/>
          <w:szCs w:val="21"/>
          <w:highlight w:val="none"/>
        </w:rPr>
      </w:pPr>
    </w:p>
    <w:p w14:paraId="2F08DED8">
      <w:pPr>
        <w:spacing w:line="360" w:lineRule="auto"/>
        <w:ind w:firstLine="444" w:firstLineChars="200"/>
        <w:rPr>
          <w:rStyle w:val="34"/>
          <w:rFonts w:ascii="仿宋" w:hAnsi="仿宋" w:eastAsia="仿宋" w:cs="仿宋"/>
          <w:color w:val="auto"/>
          <w:spacing w:val="6"/>
          <w:szCs w:val="21"/>
          <w:highlight w:val="none"/>
        </w:rPr>
      </w:pPr>
    </w:p>
    <w:p w14:paraId="701417E3">
      <w:pPr>
        <w:spacing w:line="360" w:lineRule="auto"/>
        <w:ind w:firstLine="444" w:firstLineChars="200"/>
        <w:rPr>
          <w:rStyle w:val="34"/>
          <w:rFonts w:ascii="仿宋" w:hAnsi="仿宋" w:eastAsia="仿宋" w:cs="仿宋"/>
          <w:color w:val="auto"/>
          <w:spacing w:val="6"/>
          <w:szCs w:val="21"/>
          <w:highlight w:val="none"/>
        </w:rPr>
      </w:pPr>
    </w:p>
    <w:p w14:paraId="607C3442">
      <w:pPr>
        <w:spacing w:line="360" w:lineRule="auto"/>
        <w:ind w:firstLine="444" w:firstLineChars="200"/>
        <w:rPr>
          <w:rStyle w:val="34"/>
          <w:rFonts w:ascii="仿宋" w:hAnsi="仿宋" w:eastAsia="仿宋" w:cs="仿宋"/>
          <w:color w:val="auto"/>
          <w:spacing w:val="6"/>
          <w:szCs w:val="21"/>
          <w:highlight w:val="none"/>
        </w:rPr>
      </w:pPr>
    </w:p>
    <w:p w14:paraId="3090A599">
      <w:pPr>
        <w:spacing w:line="360" w:lineRule="auto"/>
        <w:ind w:firstLine="444" w:firstLineChars="200"/>
        <w:rPr>
          <w:rStyle w:val="34"/>
          <w:rFonts w:ascii="仿宋" w:hAnsi="仿宋" w:eastAsia="仿宋" w:cs="仿宋"/>
          <w:color w:val="auto"/>
          <w:spacing w:val="6"/>
          <w:szCs w:val="21"/>
          <w:highlight w:val="none"/>
        </w:rPr>
      </w:pPr>
    </w:p>
    <w:p w14:paraId="70916475">
      <w:pPr>
        <w:spacing w:line="360" w:lineRule="auto"/>
        <w:ind w:firstLine="444" w:firstLineChars="200"/>
        <w:rPr>
          <w:rStyle w:val="34"/>
          <w:rFonts w:ascii="仿宋" w:hAnsi="仿宋" w:eastAsia="仿宋" w:cs="仿宋"/>
          <w:color w:val="auto"/>
          <w:spacing w:val="6"/>
          <w:szCs w:val="21"/>
          <w:highlight w:val="none"/>
        </w:rPr>
      </w:pPr>
    </w:p>
    <w:p w14:paraId="45FEACA1">
      <w:pPr>
        <w:spacing w:line="360" w:lineRule="auto"/>
        <w:ind w:firstLine="444" w:firstLineChars="200"/>
        <w:rPr>
          <w:rStyle w:val="34"/>
          <w:rFonts w:ascii="仿宋" w:hAnsi="仿宋" w:eastAsia="仿宋" w:cs="仿宋"/>
          <w:color w:val="auto"/>
          <w:spacing w:val="6"/>
          <w:szCs w:val="21"/>
          <w:highlight w:val="none"/>
        </w:rPr>
      </w:pPr>
    </w:p>
    <w:p w14:paraId="3F8CF7F0">
      <w:pPr>
        <w:spacing w:line="360" w:lineRule="auto"/>
        <w:ind w:firstLine="444" w:firstLineChars="200"/>
        <w:rPr>
          <w:rStyle w:val="34"/>
          <w:rFonts w:ascii="仿宋" w:hAnsi="仿宋" w:eastAsia="仿宋" w:cs="仿宋"/>
          <w:color w:val="auto"/>
          <w:spacing w:val="6"/>
          <w:szCs w:val="21"/>
          <w:highlight w:val="none"/>
        </w:rPr>
      </w:pPr>
    </w:p>
    <w:p w14:paraId="3B198CFD">
      <w:pPr>
        <w:spacing w:line="360" w:lineRule="auto"/>
        <w:jc w:val="left"/>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注：属于残疾人福利性单位的，按要求提交此函，非残疾人福利性单位的，无需提交。</w:t>
      </w:r>
    </w:p>
    <w:p w14:paraId="3BC1E41D">
      <w:pPr>
        <w:spacing w:line="360" w:lineRule="auto"/>
        <w:ind w:left="283" w:leftChars="135" w:firstLine="378" w:firstLineChars="150"/>
        <w:jc w:val="left"/>
        <w:rPr>
          <w:rStyle w:val="34"/>
          <w:rFonts w:ascii="仿宋" w:hAnsi="仿宋" w:eastAsia="仿宋" w:cs="仿宋"/>
          <w:color w:val="auto"/>
          <w:spacing w:val="6"/>
          <w:sz w:val="24"/>
          <w:szCs w:val="24"/>
          <w:highlight w:val="none"/>
        </w:rPr>
      </w:pPr>
    </w:p>
    <w:p w14:paraId="04739023">
      <w:pPr>
        <w:spacing w:line="360" w:lineRule="auto"/>
        <w:ind w:left="283" w:leftChars="135" w:firstLine="378" w:firstLineChars="150"/>
        <w:jc w:val="left"/>
        <w:rPr>
          <w:rStyle w:val="34"/>
          <w:rFonts w:ascii="仿宋" w:hAnsi="仿宋" w:eastAsia="仿宋" w:cs="仿宋"/>
          <w:color w:val="auto"/>
          <w:spacing w:val="6"/>
          <w:sz w:val="24"/>
          <w:szCs w:val="24"/>
          <w:highlight w:val="none"/>
        </w:rPr>
      </w:pPr>
    </w:p>
    <w:p w14:paraId="06C8AAE7">
      <w:pPr>
        <w:spacing w:line="360" w:lineRule="auto"/>
        <w:jc w:val="left"/>
        <w:rPr>
          <w:rStyle w:val="34"/>
          <w:rFonts w:ascii="仿宋" w:hAnsi="仿宋" w:eastAsia="仿宋" w:cs="仿宋"/>
          <w:color w:val="auto"/>
          <w:spacing w:val="6"/>
          <w:sz w:val="24"/>
          <w:szCs w:val="24"/>
          <w:highlight w:val="none"/>
        </w:rPr>
      </w:pPr>
    </w:p>
    <w:p w14:paraId="1CDAA6FF">
      <w:pPr>
        <w:tabs>
          <w:tab w:val="left" w:pos="1411"/>
        </w:tabs>
        <w:rPr>
          <w:rStyle w:val="34"/>
          <w:rFonts w:ascii="仿宋" w:hAnsi="仿宋" w:eastAsia="仿宋" w:cs="仿宋"/>
          <w:b/>
          <w:color w:val="auto"/>
          <w:sz w:val="24"/>
          <w:szCs w:val="24"/>
          <w:highlight w:val="none"/>
        </w:rPr>
      </w:pPr>
    </w:p>
    <w:p w14:paraId="07FD4000">
      <w:pPr>
        <w:tabs>
          <w:tab w:val="left" w:pos="1411"/>
        </w:tabs>
        <w:rPr>
          <w:rStyle w:val="34"/>
          <w:rFonts w:ascii="仿宋" w:hAnsi="仿宋" w:eastAsia="仿宋" w:cs="仿宋"/>
          <w:b/>
          <w:color w:val="auto"/>
          <w:sz w:val="24"/>
          <w:szCs w:val="24"/>
          <w:highlight w:val="none"/>
        </w:rPr>
      </w:pPr>
    </w:p>
    <w:p w14:paraId="6E1BF565">
      <w:pPr>
        <w:tabs>
          <w:tab w:val="left" w:pos="1411"/>
        </w:tabs>
        <w:rPr>
          <w:rStyle w:val="34"/>
          <w:rFonts w:ascii="仿宋" w:hAnsi="仿宋" w:eastAsia="仿宋" w:cs="仿宋"/>
          <w:b/>
          <w:color w:val="auto"/>
          <w:sz w:val="24"/>
          <w:szCs w:val="24"/>
          <w:highlight w:val="none"/>
        </w:rPr>
      </w:pPr>
    </w:p>
    <w:p w14:paraId="04A5E08C">
      <w:pPr>
        <w:tabs>
          <w:tab w:val="left" w:pos="1411"/>
        </w:tabs>
        <w:rPr>
          <w:rStyle w:val="34"/>
          <w:rFonts w:ascii="仿宋" w:hAnsi="仿宋" w:eastAsia="仿宋" w:cs="仿宋"/>
          <w:b/>
          <w:color w:val="auto"/>
          <w:sz w:val="24"/>
          <w:szCs w:val="24"/>
          <w:highlight w:val="none"/>
        </w:rPr>
      </w:pPr>
      <w:r>
        <w:rPr>
          <w:rStyle w:val="34"/>
          <w:rFonts w:hint="eastAsia" w:ascii="仿宋" w:hAnsi="仿宋" w:eastAsia="仿宋" w:cs="仿宋"/>
          <w:b/>
          <w:color w:val="auto"/>
          <w:sz w:val="24"/>
          <w:szCs w:val="24"/>
          <w:highlight w:val="none"/>
        </w:rPr>
        <w:t>附件3：</w:t>
      </w:r>
    </w:p>
    <w:p w14:paraId="7B85CA6F">
      <w:pPr>
        <w:jc w:val="center"/>
        <w:rPr>
          <w:rStyle w:val="34"/>
          <w:rFonts w:ascii="仿宋" w:hAnsi="仿宋" w:eastAsia="仿宋" w:cs="仿宋"/>
          <w:color w:val="auto"/>
          <w:spacing w:val="6"/>
          <w:sz w:val="32"/>
          <w:szCs w:val="32"/>
          <w:highlight w:val="none"/>
        </w:rPr>
      </w:pPr>
      <w:r>
        <w:rPr>
          <w:rStyle w:val="34"/>
          <w:rFonts w:hint="eastAsia" w:ascii="仿宋" w:hAnsi="仿宋" w:eastAsia="仿宋" w:cs="仿宋"/>
          <w:b/>
          <w:color w:val="auto"/>
          <w:sz w:val="32"/>
          <w:szCs w:val="32"/>
          <w:highlight w:val="none"/>
        </w:rPr>
        <w:t>监狱企业证明文件</w:t>
      </w:r>
    </w:p>
    <w:p w14:paraId="40B40F06">
      <w:pPr>
        <w:spacing w:line="360" w:lineRule="auto"/>
        <w:ind w:firstLine="480" w:firstLineChars="200"/>
        <w:jc w:val="left"/>
        <w:rPr>
          <w:rStyle w:val="34"/>
          <w:rFonts w:ascii="仿宋" w:hAnsi="仿宋" w:eastAsia="仿宋" w:cs="仿宋"/>
          <w:color w:val="auto"/>
          <w:sz w:val="24"/>
          <w:szCs w:val="24"/>
          <w:highlight w:val="none"/>
        </w:rPr>
      </w:pPr>
    </w:p>
    <w:p w14:paraId="2AAA92F2">
      <w:pPr>
        <w:spacing w:line="360" w:lineRule="auto"/>
        <w:ind w:firstLine="420" w:firstLineChars="200"/>
        <w:jc w:val="left"/>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根据《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6EB4C76">
      <w:pPr>
        <w:spacing w:line="360" w:lineRule="auto"/>
        <w:ind w:firstLine="315" w:firstLineChars="150"/>
        <w:jc w:val="left"/>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监狱企业参加政府采购活动时，应当提供由省级以上监狱管理局、戒毒管理局（含新疆生产建设兵团）出具的属于监狱企业的证明文件。</w:t>
      </w:r>
    </w:p>
    <w:p w14:paraId="1DAD90B8">
      <w:pPr>
        <w:spacing w:line="360" w:lineRule="auto"/>
        <w:ind w:firstLine="315" w:firstLineChars="150"/>
        <w:jc w:val="left"/>
        <w:rPr>
          <w:rStyle w:val="34"/>
          <w:rFonts w:ascii="仿宋" w:hAnsi="仿宋" w:eastAsia="仿宋" w:cs="仿宋"/>
          <w:color w:val="auto"/>
          <w:szCs w:val="21"/>
          <w:highlight w:val="none"/>
        </w:rPr>
      </w:pPr>
    </w:p>
    <w:p w14:paraId="12039F95">
      <w:pPr>
        <w:spacing w:before="120" w:after="120" w:line="480" w:lineRule="auto"/>
        <w:ind w:right="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供应商：（电子签章或盖章）</w:t>
      </w:r>
    </w:p>
    <w:p w14:paraId="37203F10">
      <w:pPr>
        <w:spacing w:before="120" w:after="120" w:line="480" w:lineRule="auto"/>
        <w:ind w:right="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法定代表人或被授权人（电子签章或签字）：</w:t>
      </w:r>
    </w:p>
    <w:p w14:paraId="42B0278E">
      <w:pPr>
        <w:spacing w:line="480" w:lineRule="auto"/>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日     期：</w:t>
      </w:r>
    </w:p>
    <w:p w14:paraId="4DA811F7">
      <w:pPr>
        <w:spacing w:line="360" w:lineRule="auto"/>
        <w:ind w:firstLine="510"/>
        <w:rPr>
          <w:rStyle w:val="34"/>
          <w:rFonts w:ascii="仿宋" w:hAnsi="仿宋" w:eastAsia="仿宋" w:cs="仿宋"/>
          <w:color w:val="auto"/>
          <w:sz w:val="24"/>
          <w:szCs w:val="24"/>
          <w:highlight w:val="none"/>
        </w:rPr>
      </w:pPr>
    </w:p>
    <w:p w14:paraId="2FACBDD4">
      <w:pPr>
        <w:spacing w:line="360" w:lineRule="auto"/>
        <w:ind w:firstLine="510"/>
        <w:rPr>
          <w:rStyle w:val="34"/>
          <w:rFonts w:ascii="仿宋" w:hAnsi="仿宋" w:eastAsia="仿宋" w:cs="仿宋"/>
          <w:color w:val="auto"/>
          <w:sz w:val="24"/>
          <w:szCs w:val="24"/>
          <w:highlight w:val="none"/>
        </w:rPr>
      </w:pPr>
    </w:p>
    <w:p w14:paraId="01A06544">
      <w:pPr>
        <w:spacing w:line="348" w:lineRule="auto"/>
        <w:ind w:firstLine="510"/>
        <w:rPr>
          <w:rStyle w:val="34"/>
          <w:rFonts w:ascii="仿宋" w:hAnsi="仿宋" w:eastAsia="仿宋" w:cs="仿宋"/>
          <w:color w:val="auto"/>
          <w:sz w:val="24"/>
          <w:szCs w:val="24"/>
          <w:highlight w:val="none"/>
        </w:rPr>
      </w:pPr>
    </w:p>
    <w:p w14:paraId="2D804273">
      <w:pPr>
        <w:spacing w:line="348" w:lineRule="auto"/>
        <w:ind w:firstLine="510"/>
        <w:rPr>
          <w:rStyle w:val="34"/>
          <w:rFonts w:ascii="仿宋" w:hAnsi="仿宋" w:eastAsia="仿宋" w:cs="仿宋"/>
          <w:color w:val="auto"/>
          <w:sz w:val="24"/>
          <w:szCs w:val="24"/>
          <w:highlight w:val="none"/>
        </w:rPr>
      </w:pPr>
    </w:p>
    <w:p w14:paraId="50E095D9">
      <w:pPr>
        <w:spacing w:line="348" w:lineRule="auto"/>
        <w:ind w:firstLine="510"/>
        <w:rPr>
          <w:rStyle w:val="34"/>
          <w:rFonts w:ascii="仿宋" w:hAnsi="仿宋" w:eastAsia="仿宋" w:cs="仿宋"/>
          <w:color w:val="auto"/>
          <w:sz w:val="24"/>
          <w:szCs w:val="24"/>
          <w:highlight w:val="none"/>
        </w:rPr>
      </w:pPr>
    </w:p>
    <w:p w14:paraId="36D95A9F">
      <w:pPr>
        <w:spacing w:line="348" w:lineRule="auto"/>
        <w:ind w:firstLine="510"/>
        <w:rPr>
          <w:rStyle w:val="34"/>
          <w:rFonts w:ascii="仿宋" w:hAnsi="仿宋" w:eastAsia="仿宋" w:cs="仿宋"/>
          <w:color w:val="auto"/>
          <w:sz w:val="24"/>
          <w:szCs w:val="24"/>
          <w:highlight w:val="none"/>
        </w:rPr>
      </w:pPr>
    </w:p>
    <w:p w14:paraId="0B21D29B">
      <w:pPr>
        <w:rPr>
          <w:rStyle w:val="34"/>
          <w:rFonts w:ascii="仿宋" w:hAnsi="仿宋" w:eastAsia="仿宋" w:cs="仿宋"/>
          <w:color w:val="auto"/>
          <w:sz w:val="44"/>
          <w:szCs w:val="44"/>
          <w:highlight w:val="none"/>
        </w:rPr>
      </w:pPr>
      <w:r>
        <w:rPr>
          <w:rStyle w:val="34"/>
          <w:rFonts w:hint="eastAsia" w:ascii="仿宋" w:hAnsi="仿宋" w:eastAsia="仿宋" w:cs="仿宋"/>
          <w:color w:val="auto"/>
          <w:sz w:val="44"/>
          <w:szCs w:val="44"/>
          <w:highlight w:val="none"/>
        </w:rPr>
        <w:br w:type="page"/>
      </w:r>
    </w:p>
    <w:p w14:paraId="674AEC76">
      <w:pPr>
        <w:pStyle w:val="2"/>
        <w:numPr>
          <w:ilvl w:val="0"/>
          <w:numId w:val="2"/>
        </w:num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 </w:t>
      </w:r>
      <w:bookmarkStart w:id="10" w:name="_Toc651"/>
      <w:bookmarkStart w:id="11" w:name="OLE_LINK1"/>
      <w:r>
        <w:rPr>
          <w:rFonts w:hint="eastAsia" w:ascii="仿宋" w:hAnsi="仿宋" w:eastAsia="仿宋" w:cs="仿宋"/>
          <w:color w:val="auto"/>
          <w:highlight w:val="none"/>
          <w:lang w:eastAsia="zh-CN"/>
        </w:rPr>
        <w:t>服务技术要求</w:t>
      </w:r>
      <w:bookmarkEnd w:id="10"/>
    </w:p>
    <w:p w14:paraId="7C0DF2E7">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kern w:val="2"/>
          <w:sz w:val="21"/>
          <w:szCs w:val="21"/>
          <w:highlight w:val="none"/>
          <w:lang w:val="en-US" w:eastAsia="zh-CN" w:bidi="ar-SA"/>
        </w:rPr>
        <w:t>一、</w:t>
      </w:r>
      <w:r>
        <w:rPr>
          <w:rFonts w:hint="eastAsia" w:ascii="仿宋" w:hAnsi="仿宋" w:eastAsia="仿宋" w:cs="仿宋"/>
          <w:b/>
          <w:bCs/>
          <w:color w:val="auto"/>
          <w:sz w:val="21"/>
          <w:szCs w:val="21"/>
          <w:highlight w:val="none"/>
          <w:lang w:val="en-US" w:eastAsia="zh-CN" w:bidi="ar"/>
        </w:rPr>
        <w:t>项目名称：</w:t>
      </w:r>
      <w:r>
        <w:rPr>
          <w:rFonts w:hint="eastAsia" w:ascii="仿宋" w:hAnsi="仿宋" w:eastAsia="仿宋" w:cs="仿宋"/>
          <w:color w:val="auto"/>
          <w:sz w:val="21"/>
          <w:szCs w:val="21"/>
          <w:highlight w:val="none"/>
          <w:lang w:val="en-US" w:eastAsia="zh-CN"/>
        </w:rPr>
        <w:t xml:space="preserve">石林彝族自治县行政中心室外绿化管养外包服务（2025-2028年） </w:t>
      </w:r>
    </w:p>
    <w:p w14:paraId="0C35C0A2">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b/>
          <w:bCs/>
          <w:color w:val="auto"/>
          <w:kern w:val="2"/>
          <w:sz w:val="21"/>
          <w:szCs w:val="21"/>
          <w:highlight w:val="none"/>
          <w:lang w:val="en-US" w:eastAsia="zh-CN" w:bidi="ar"/>
        </w:rPr>
        <w:t>二、服务地点：</w:t>
      </w:r>
      <w:r>
        <w:rPr>
          <w:rFonts w:hint="eastAsia" w:ascii="仿宋" w:hAnsi="仿宋" w:eastAsia="仿宋" w:cs="仿宋"/>
          <w:color w:val="auto"/>
          <w:sz w:val="21"/>
          <w:szCs w:val="21"/>
          <w:highlight w:val="none"/>
          <w:lang w:eastAsia="zh-CN"/>
        </w:rPr>
        <w:t>石林彝族自治县行政中心（石林彝族自治县兴林路）</w:t>
      </w:r>
    </w:p>
    <w:p w14:paraId="180DF79E">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baseline"/>
        <w:rPr>
          <w:rFonts w:hint="eastAsia"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bidi="ar"/>
        </w:rPr>
        <w:t>三、服务期限：</w:t>
      </w:r>
      <w:r>
        <w:rPr>
          <w:rFonts w:hint="eastAsia" w:ascii="仿宋" w:hAnsi="仿宋" w:eastAsia="仿宋" w:cs="仿宋"/>
          <w:color w:val="auto"/>
          <w:sz w:val="21"/>
          <w:szCs w:val="21"/>
          <w:highlight w:val="none"/>
          <w:lang w:eastAsia="zh-CN"/>
        </w:rPr>
        <w:t>三年（合同一年一签，服务期每满一年须由采购人进行年度考核，若考核合格则续签合同，若考核不合格则不再续签合同，累计服务期限不超过三年）</w:t>
      </w:r>
    </w:p>
    <w:p w14:paraId="32BFD684">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bCs/>
          <w:color w:val="auto"/>
          <w:sz w:val="21"/>
          <w:szCs w:val="21"/>
          <w:highlight w:val="none"/>
          <w:lang w:val="en-US" w:eastAsia="zh-CN" w:bidi="ar"/>
        </w:rPr>
        <w:t>四、承保方式：</w:t>
      </w:r>
      <w:r>
        <w:rPr>
          <w:rFonts w:hint="eastAsia" w:ascii="仿宋" w:hAnsi="仿宋" w:eastAsia="仿宋" w:cs="仿宋"/>
          <w:b w:val="0"/>
          <w:bCs w:val="0"/>
          <w:color w:val="auto"/>
          <w:sz w:val="21"/>
          <w:szCs w:val="21"/>
          <w:highlight w:val="none"/>
          <w:lang w:val="en-US" w:eastAsia="zh-CN" w:bidi="ar"/>
        </w:rPr>
        <w:t>自主管理、收取定额管理费</w:t>
      </w:r>
    </w:p>
    <w:p w14:paraId="59523FD3">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baseline"/>
        <w:rPr>
          <w:rFonts w:hint="eastAsia" w:ascii="仿宋" w:hAnsi="仿宋" w:eastAsia="仿宋" w:cs="仿宋"/>
          <w:b/>
          <w:bCs/>
          <w:color w:val="auto"/>
          <w:sz w:val="21"/>
          <w:szCs w:val="21"/>
          <w:highlight w:val="none"/>
          <w:lang w:val="en-US" w:eastAsia="zh-CN" w:bidi="ar"/>
        </w:rPr>
      </w:pPr>
      <w:r>
        <w:rPr>
          <w:rFonts w:hint="eastAsia" w:ascii="仿宋" w:hAnsi="仿宋" w:eastAsia="仿宋" w:cs="仿宋"/>
          <w:b/>
          <w:bCs/>
          <w:color w:val="auto"/>
          <w:sz w:val="21"/>
          <w:szCs w:val="21"/>
          <w:highlight w:val="none"/>
          <w:lang w:val="en-US" w:eastAsia="zh-CN" w:bidi="ar"/>
        </w:rPr>
        <w:t>五、服务内容：</w:t>
      </w:r>
    </w:p>
    <w:p w14:paraId="3C4DB364">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1.县行政中心四个内庭、室外绿化植物（含县行政中心A区门口两棵清香树的日常管养），共计27702.73平米绿化的日常管养工作及补种。室外绿化带内、盆栽内必须保持干净、整洁、无烟头、纸屑、杂物等。</w:t>
      </w:r>
    </w:p>
    <w:p w14:paraId="45627590">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2.县行政中心A区一楼大厅（电子屏前）绿植购置、摆放和养护管理。购置管养需确保植物茂盛健壮，株型自然匀称，叶面干净光亮，盆垫、花盆内无杂物、垃圾。</w:t>
      </w:r>
    </w:p>
    <w:p w14:paraId="130D1D79">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3.县行政中心室外绿化垃圾的收集、清运。</w:t>
      </w:r>
    </w:p>
    <w:p w14:paraId="000F1BA4">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4.县行政中心室外绿化区域警示标牌、植物铭牌的制作、安装、管理。</w:t>
      </w:r>
    </w:p>
    <w:p w14:paraId="4462BF7F">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5.做好绿化档案电子版和纸质版的建档及管理。</w:t>
      </w:r>
    </w:p>
    <w:p w14:paraId="3029801D">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6.项目服务时间为每天不少于8小时。</w:t>
      </w:r>
    </w:p>
    <w:p w14:paraId="282E5E85">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7.按要求呈现园林景观效果。安全操作，防止各种伤害事故及人员伤亡。</w:t>
      </w:r>
    </w:p>
    <w:p w14:paraId="5AC8E0E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8.按要求做好相关工作，并做好相关单位部门的迎检工作，配合做好全县创建相关工作等。</w:t>
      </w:r>
    </w:p>
    <w:p w14:paraId="2F27D364">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9.完成县机关事务管理中心临时交办的工作。</w:t>
      </w:r>
    </w:p>
    <w:p w14:paraId="21E1AED5">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baseline"/>
        <w:rPr>
          <w:rFonts w:hint="eastAsia" w:ascii="仿宋" w:hAnsi="仿宋" w:eastAsia="仿宋" w:cs="仿宋"/>
          <w:b/>
          <w:bCs/>
          <w:color w:val="auto"/>
          <w:sz w:val="21"/>
          <w:szCs w:val="21"/>
          <w:highlight w:val="none"/>
          <w:lang w:val="en-US" w:eastAsia="zh-CN" w:bidi="ar"/>
        </w:rPr>
      </w:pPr>
      <w:r>
        <w:rPr>
          <w:rFonts w:hint="eastAsia" w:ascii="仿宋" w:hAnsi="仿宋" w:eastAsia="仿宋" w:cs="仿宋"/>
          <w:b/>
          <w:bCs/>
          <w:color w:val="auto"/>
          <w:sz w:val="21"/>
          <w:szCs w:val="21"/>
          <w:highlight w:val="none"/>
          <w:lang w:val="en-US" w:eastAsia="zh-CN" w:bidi="ar"/>
        </w:rPr>
        <w:t>六、服务组织：</w:t>
      </w:r>
    </w:p>
    <w:p w14:paraId="715F919D">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1.建立基本制度和质量要求规范。</w:t>
      </w:r>
    </w:p>
    <w:p w14:paraId="5CBE885D">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2.设有质量、培训、服务等专职管理人员。</w:t>
      </w:r>
    </w:p>
    <w:p w14:paraId="002069F7">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3.具有绿化管养应急处理能力，建立突发事件应急管理预案。</w:t>
      </w:r>
    </w:p>
    <w:p w14:paraId="3B3E5D2E">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4.有详细的员工培训计划、方案。</w:t>
      </w:r>
    </w:p>
    <w:p w14:paraId="4E59FEAC">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5.按月、季度、半年、年制定详细的植物养护计划，经县机关事务管理中心同意后实施。</w:t>
      </w:r>
    </w:p>
    <w:p w14:paraId="53BA68D8">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6.绿化管养人员必须定岗到人、划片到人，有详细的工作流程，并按工作流程作业。</w:t>
      </w:r>
    </w:p>
    <w:p w14:paraId="2D9A7C6D">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bCs/>
          <w:color w:val="auto"/>
          <w:sz w:val="21"/>
          <w:szCs w:val="21"/>
          <w:highlight w:val="none"/>
          <w:lang w:val="en-US" w:eastAsia="zh-CN" w:bidi="ar"/>
        </w:rPr>
        <w:t>七、人员要求：</w:t>
      </w:r>
    </w:p>
    <w:p w14:paraId="7F26655C">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bidi="ar"/>
        </w:rPr>
      </w:pPr>
      <w:r>
        <w:rPr>
          <w:rFonts w:hint="eastAsia" w:ascii="仿宋" w:hAnsi="仿宋" w:eastAsia="仿宋" w:cs="仿宋"/>
          <w:b w:val="0"/>
          <w:bCs w:val="0"/>
          <w:color w:val="auto"/>
          <w:sz w:val="21"/>
          <w:szCs w:val="21"/>
          <w:highlight w:val="none"/>
          <w:lang w:val="en-US" w:eastAsia="zh-CN" w:bidi="ar"/>
        </w:rPr>
        <w:t>1.</w:t>
      </w:r>
      <w:r>
        <w:rPr>
          <w:rFonts w:hint="eastAsia" w:ascii="仿宋" w:hAnsi="仿宋" w:eastAsia="仿宋" w:cs="仿宋"/>
          <w:b w:val="0"/>
          <w:bCs w:val="0"/>
          <w:color w:val="auto"/>
          <w:sz w:val="21"/>
          <w:szCs w:val="21"/>
          <w:highlight w:val="none"/>
          <w:lang w:bidi="ar"/>
        </w:rPr>
        <w:t>服务人员每天在岗总人数不得少于 9人，其中管理技术人员（经理、主管、领班、专业技术人员）不得少于 6人。</w:t>
      </w:r>
    </w:p>
    <w:p w14:paraId="3EDC47BC">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eastAsia="zh-CN" w:bidi="ar"/>
        </w:rPr>
      </w:pPr>
      <w:r>
        <w:rPr>
          <w:rFonts w:hint="eastAsia" w:ascii="仿宋" w:hAnsi="仿宋" w:eastAsia="仿宋" w:cs="仿宋"/>
          <w:b w:val="0"/>
          <w:bCs w:val="0"/>
          <w:color w:val="auto"/>
          <w:sz w:val="21"/>
          <w:szCs w:val="21"/>
          <w:highlight w:val="none"/>
          <w:lang w:val="en-US" w:eastAsia="zh-CN" w:bidi="ar"/>
        </w:rPr>
        <w:t>2.</w:t>
      </w:r>
      <w:r>
        <w:rPr>
          <w:rFonts w:hint="eastAsia" w:ascii="仿宋" w:hAnsi="仿宋" w:eastAsia="仿宋" w:cs="仿宋"/>
          <w:b w:val="0"/>
          <w:bCs w:val="0"/>
          <w:color w:val="auto"/>
          <w:sz w:val="21"/>
          <w:szCs w:val="21"/>
          <w:highlight w:val="none"/>
          <w:lang w:bidi="ar"/>
        </w:rPr>
        <w:t>配备持有园林绿化工程师证或单位签约的园林绿化助理工程师的技术人员 1人。持有植保工、绿化工、花卉园艺师证的人员不少于 6人</w:t>
      </w:r>
      <w:r>
        <w:rPr>
          <w:rFonts w:hint="eastAsia" w:ascii="仿宋" w:hAnsi="仿宋" w:eastAsia="仿宋" w:cs="仿宋"/>
          <w:b w:val="0"/>
          <w:bCs w:val="0"/>
          <w:color w:val="auto"/>
          <w:sz w:val="21"/>
          <w:szCs w:val="21"/>
          <w:highlight w:val="none"/>
          <w:lang w:eastAsia="zh-CN" w:bidi="ar"/>
        </w:rPr>
        <w:t>。</w:t>
      </w:r>
    </w:p>
    <w:p w14:paraId="03E41CD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bidi="ar"/>
        </w:rPr>
      </w:pPr>
      <w:r>
        <w:rPr>
          <w:rFonts w:hint="eastAsia" w:ascii="仿宋" w:hAnsi="仿宋" w:eastAsia="仿宋" w:cs="仿宋"/>
          <w:b w:val="0"/>
          <w:bCs w:val="0"/>
          <w:color w:val="auto"/>
          <w:sz w:val="21"/>
          <w:szCs w:val="21"/>
          <w:highlight w:val="none"/>
          <w:lang w:val="en-US" w:eastAsia="zh-CN" w:bidi="ar"/>
        </w:rPr>
        <w:t>3.</w:t>
      </w:r>
      <w:r>
        <w:rPr>
          <w:rFonts w:hint="eastAsia" w:ascii="仿宋" w:hAnsi="仿宋" w:eastAsia="仿宋" w:cs="仿宋"/>
          <w:b w:val="0"/>
          <w:bCs w:val="0"/>
          <w:color w:val="auto"/>
          <w:sz w:val="21"/>
          <w:szCs w:val="21"/>
          <w:highlight w:val="none"/>
          <w:lang w:bidi="ar"/>
        </w:rPr>
        <w:t>承诺派驻的项目经理及管理技术人员，非经</w:t>
      </w:r>
      <w:r>
        <w:rPr>
          <w:rFonts w:hint="eastAsia" w:ascii="仿宋" w:hAnsi="仿宋" w:eastAsia="仿宋" w:cs="仿宋"/>
          <w:b w:val="0"/>
          <w:bCs w:val="0"/>
          <w:color w:val="auto"/>
          <w:sz w:val="21"/>
          <w:szCs w:val="21"/>
          <w:highlight w:val="none"/>
          <w:lang w:eastAsia="zh-CN" w:bidi="ar"/>
        </w:rPr>
        <w:t>县机关事务管理中心</w:t>
      </w:r>
      <w:r>
        <w:rPr>
          <w:rFonts w:hint="eastAsia" w:ascii="仿宋" w:hAnsi="仿宋" w:eastAsia="仿宋" w:cs="仿宋"/>
          <w:b w:val="0"/>
          <w:bCs w:val="0"/>
          <w:color w:val="auto"/>
          <w:sz w:val="21"/>
          <w:szCs w:val="21"/>
          <w:highlight w:val="none"/>
          <w:lang w:bidi="ar"/>
        </w:rPr>
        <w:t>书面同意，合同期内不得更换。</w:t>
      </w:r>
    </w:p>
    <w:p w14:paraId="603D3720">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bidi="ar"/>
        </w:rPr>
      </w:pPr>
      <w:r>
        <w:rPr>
          <w:rFonts w:hint="eastAsia" w:ascii="仿宋" w:hAnsi="仿宋" w:eastAsia="仿宋" w:cs="仿宋"/>
          <w:b w:val="0"/>
          <w:bCs w:val="0"/>
          <w:color w:val="auto"/>
          <w:sz w:val="21"/>
          <w:szCs w:val="21"/>
          <w:highlight w:val="none"/>
          <w:lang w:val="en-US" w:eastAsia="zh-CN" w:bidi="ar"/>
        </w:rPr>
        <w:t>4.服务</w:t>
      </w:r>
      <w:r>
        <w:rPr>
          <w:rFonts w:hint="eastAsia" w:ascii="仿宋" w:hAnsi="仿宋" w:eastAsia="仿宋" w:cs="仿宋"/>
          <w:b w:val="0"/>
          <w:bCs w:val="0"/>
          <w:color w:val="auto"/>
          <w:sz w:val="21"/>
          <w:szCs w:val="21"/>
          <w:highlight w:val="none"/>
          <w:lang w:bidi="ar"/>
        </w:rPr>
        <w:t>项目经理及管理技术人员必须24小时保持通讯畅通。</w:t>
      </w:r>
    </w:p>
    <w:p w14:paraId="36D63BC5">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bidi="ar"/>
        </w:rPr>
      </w:pPr>
      <w:r>
        <w:rPr>
          <w:rFonts w:hint="eastAsia" w:ascii="仿宋" w:hAnsi="仿宋" w:eastAsia="仿宋" w:cs="仿宋"/>
          <w:b w:val="0"/>
          <w:bCs w:val="0"/>
          <w:color w:val="auto"/>
          <w:sz w:val="21"/>
          <w:szCs w:val="21"/>
          <w:highlight w:val="none"/>
          <w:lang w:val="en-US" w:eastAsia="zh-CN" w:bidi="ar"/>
        </w:rPr>
        <w:t>5.服务</w:t>
      </w:r>
      <w:r>
        <w:rPr>
          <w:rFonts w:hint="eastAsia" w:ascii="仿宋" w:hAnsi="仿宋" w:eastAsia="仿宋" w:cs="仿宋"/>
          <w:b w:val="0"/>
          <w:bCs w:val="0"/>
          <w:color w:val="auto"/>
          <w:sz w:val="21"/>
          <w:szCs w:val="21"/>
          <w:highlight w:val="none"/>
          <w:lang w:bidi="ar"/>
        </w:rPr>
        <w:t>项目经理应当比照项目白班服务时间提前半小时上班，推后半小时下班。有事须提前向</w:t>
      </w:r>
      <w:r>
        <w:rPr>
          <w:rFonts w:hint="eastAsia" w:ascii="仿宋" w:hAnsi="仿宋" w:eastAsia="仿宋" w:cs="仿宋"/>
          <w:b w:val="0"/>
          <w:bCs w:val="0"/>
          <w:color w:val="auto"/>
          <w:sz w:val="21"/>
          <w:szCs w:val="21"/>
          <w:highlight w:val="none"/>
          <w:lang w:val="en-US" w:eastAsia="zh-CN" w:bidi="ar"/>
        </w:rPr>
        <w:t>县机关事务管理中心</w:t>
      </w:r>
      <w:r>
        <w:rPr>
          <w:rFonts w:hint="eastAsia" w:ascii="仿宋" w:hAnsi="仿宋" w:eastAsia="仿宋" w:cs="仿宋"/>
          <w:b w:val="0"/>
          <w:bCs w:val="0"/>
          <w:color w:val="auto"/>
          <w:sz w:val="21"/>
          <w:szCs w:val="21"/>
          <w:highlight w:val="none"/>
          <w:lang w:bidi="ar"/>
        </w:rPr>
        <w:t>书面请假。</w:t>
      </w:r>
    </w:p>
    <w:p w14:paraId="3CCBCD2B">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bidi="ar"/>
        </w:rPr>
      </w:pPr>
      <w:r>
        <w:rPr>
          <w:rFonts w:hint="eastAsia" w:ascii="仿宋" w:hAnsi="仿宋" w:eastAsia="仿宋" w:cs="仿宋"/>
          <w:b w:val="0"/>
          <w:bCs w:val="0"/>
          <w:color w:val="auto"/>
          <w:sz w:val="21"/>
          <w:szCs w:val="21"/>
          <w:highlight w:val="none"/>
          <w:lang w:val="en-US" w:eastAsia="zh-CN" w:bidi="ar"/>
        </w:rPr>
        <w:t>6.</w:t>
      </w:r>
      <w:r>
        <w:rPr>
          <w:rFonts w:hint="eastAsia" w:ascii="仿宋" w:hAnsi="仿宋" w:eastAsia="仿宋" w:cs="仿宋"/>
          <w:b w:val="0"/>
          <w:bCs w:val="0"/>
          <w:color w:val="auto"/>
          <w:sz w:val="21"/>
          <w:szCs w:val="21"/>
          <w:highlight w:val="none"/>
          <w:lang w:bidi="ar"/>
        </w:rPr>
        <w:t>服务人员必须经过岗前培训后，统一持证着装上岗，服务人员不得大声喧哗，不得与机关工作人员和办事人员发生争吵，非必要时，不得两人以上同时作业。</w:t>
      </w:r>
    </w:p>
    <w:p w14:paraId="1A07E68C">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bidi="ar"/>
        </w:rPr>
      </w:pPr>
      <w:r>
        <w:rPr>
          <w:rFonts w:hint="eastAsia" w:ascii="仿宋" w:hAnsi="仿宋" w:eastAsia="仿宋" w:cs="仿宋"/>
          <w:b w:val="0"/>
          <w:bCs w:val="0"/>
          <w:color w:val="auto"/>
          <w:sz w:val="21"/>
          <w:szCs w:val="21"/>
          <w:highlight w:val="none"/>
          <w:lang w:val="en-US" w:eastAsia="zh-CN" w:bidi="ar"/>
        </w:rPr>
        <w:t>7.县机关事务管理中心</w:t>
      </w:r>
      <w:r>
        <w:rPr>
          <w:rFonts w:hint="eastAsia" w:ascii="仿宋" w:hAnsi="仿宋" w:eastAsia="仿宋" w:cs="仿宋"/>
          <w:b w:val="0"/>
          <w:bCs w:val="0"/>
          <w:color w:val="auto"/>
          <w:sz w:val="21"/>
          <w:szCs w:val="21"/>
          <w:highlight w:val="none"/>
          <w:lang w:bidi="ar"/>
        </w:rPr>
        <w:t>可以要求</w:t>
      </w:r>
      <w:r>
        <w:rPr>
          <w:rFonts w:hint="eastAsia" w:ascii="仿宋" w:hAnsi="仿宋" w:eastAsia="仿宋" w:cs="仿宋"/>
          <w:b w:val="0"/>
          <w:bCs w:val="0"/>
          <w:color w:val="auto"/>
          <w:sz w:val="21"/>
          <w:szCs w:val="21"/>
          <w:highlight w:val="none"/>
          <w:lang w:val="en-US" w:eastAsia="zh-CN" w:bidi="ar"/>
        </w:rPr>
        <w:t>服务方</w:t>
      </w:r>
      <w:r>
        <w:rPr>
          <w:rFonts w:hint="eastAsia" w:ascii="仿宋" w:hAnsi="仿宋" w:eastAsia="仿宋" w:cs="仿宋"/>
          <w:b w:val="0"/>
          <w:bCs w:val="0"/>
          <w:color w:val="auto"/>
          <w:sz w:val="21"/>
          <w:szCs w:val="21"/>
          <w:highlight w:val="none"/>
          <w:lang w:bidi="ar"/>
        </w:rPr>
        <w:t>更换服务项目的任何人员，</w:t>
      </w:r>
      <w:r>
        <w:rPr>
          <w:rFonts w:hint="eastAsia" w:ascii="仿宋" w:hAnsi="仿宋" w:eastAsia="仿宋" w:cs="仿宋"/>
          <w:b w:val="0"/>
          <w:bCs w:val="0"/>
          <w:color w:val="auto"/>
          <w:sz w:val="21"/>
          <w:szCs w:val="21"/>
          <w:highlight w:val="none"/>
          <w:lang w:val="en-US" w:eastAsia="zh-CN" w:bidi="ar"/>
        </w:rPr>
        <w:t>服务方</w:t>
      </w:r>
      <w:r>
        <w:rPr>
          <w:rFonts w:hint="eastAsia" w:ascii="仿宋" w:hAnsi="仿宋" w:eastAsia="仿宋" w:cs="仿宋"/>
          <w:b w:val="0"/>
          <w:bCs w:val="0"/>
          <w:color w:val="auto"/>
          <w:sz w:val="21"/>
          <w:szCs w:val="21"/>
          <w:highlight w:val="none"/>
          <w:lang w:bidi="ar"/>
        </w:rPr>
        <w:t>必须无条件更换。</w:t>
      </w:r>
    </w:p>
    <w:p w14:paraId="016062E5">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bidi="ar"/>
        </w:rPr>
      </w:pPr>
      <w:r>
        <w:rPr>
          <w:rFonts w:hint="eastAsia" w:ascii="仿宋" w:hAnsi="仿宋" w:eastAsia="仿宋" w:cs="仿宋"/>
          <w:b w:val="0"/>
          <w:bCs w:val="0"/>
          <w:color w:val="auto"/>
          <w:sz w:val="21"/>
          <w:szCs w:val="21"/>
          <w:highlight w:val="none"/>
          <w:lang w:val="en-US" w:eastAsia="zh-CN" w:bidi="ar"/>
        </w:rPr>
        <w:t>8.</w:t>
      </w:r>
      <w:r>
        <w:rPr>
          <w:rFonts w:hint="eastAsia" w:ascii="仿宋" w:hAnsi="仿宋" w:eastAsia="仿宋" w:cs="仿宋"/>
          <w:b w:val="0"/>
          <w:bCs w:val="0"/>
          <w:color w:val="auto"/>
          <w:sz w:val="21"/>
          <w:szCs w:val="21"/>
          <w:highlight w:val="none"/>
          <w:lang w:bidi="ar"/>
        </w:rPr>
        <w:t>项目所有人员必须无犯罪记录。</w:t>
      </w:r>
    </w:p>
    <w:p w14:paraId="6ED310CA">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baseline"/>
        <w:rPr>
          <w:rFonts w:hint="eastAsia" w:ascii="仿宋" w:hAnsi="仿宋" w:eastAsia="仿宋" w:cs="仿宋"/>
          <w:b/>
          <w:bCs/>
          <w:color w:val="auto"/>
          <w:sz w:val="21"/>
          <w:szCs w:val="21"/>
          <w:highlight w:val="none"/>
          <w:lang w:val="en-US" w:eastAsia="zh-CN" w:bidi="ar"/>
        </w:rPr>
      </w:pPr>
      <w:r>
        <w:rPr>
          <w:rFonts w:hint="eastAsia" w:ascii="仿宋" w:hAnsi="仿宋" w:eastAsia="仿宋" w:cs="仿宋"/>
          <w:b/>
          <w:bCs/>
          <w:color w:val="auto"/>
          <w:sz w:val="21"/>
          <w:szCs w:val="21"/>
          <w:highlight w:val="none"/>
          <w:lang w:val="en-US" w:eastAsia="zh-CN" w:bidi="ar"/>
        </w:rPr>
        <w:t>八、服务方应承担的费用：</w:t>
      </w:r>
    </w:p>
    <w:p w14:paraId="6B3C1609">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1.服务方人员工资、社会保险、加班费、服装费等费用。</w:t>
      </w:r>
    </w:p>
    <w:p w14:paraId="0ADCD792">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2.绿地绿化管养范围内植物修剪打药等机械工具购置使用费;绿化垃圾收集清运处理费;植物防寒防冻材料购置费;农药、化肥肥料、植物助长剂、植物营养液购置等费用。</w:t>
      </w:r>
    </w:p>
    <w:p w14:paraId="70DA1BD3">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3.服务方办公费、管理费、培训费、税费等费用。</w:t>
      </w:r>
    </w:p>
    <w:p w14:paraId="3E0C1544">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4.绿化垃圾收集清运处理费。</w:t>
      </w:r>
    </w:p>
    <w:p w14:paraId="58E733DC">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5.县行政中心A区一楼大厅(电子屏前)绿植购置、摆放和养护管理费。</w:t>
      </w:r>
    </w:p>
    <w:p w14:paraId="4A12B978">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6.县行政中心A区门口两棵清香树的日常管养费用。</w:t>
      </w:r>
    </w:p>
    <w:p w14:paraId="584C3AA1">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bCs/>
          <w:color w:val="auto"/>
          <w:sz w:val="21"/>
          <w:szCs w:val="21"/>
          <w:highlight w:val="none"/>
          <w:lang w:val="en-US" w:eastAsia="zh-CN" w:bidi="ar"/>
        </w:rPr>
        <w:t>九、采购人应承担的费用：</w:t>
      </w:r>
    </w:p>
    <w:p w14:paraId="69E24EF3">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1.负责项目范围内所有水电费支出。</w:t>
      </w:r>
    </w:p>
    <w:p w14:paraId="0CCCE7C2">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2.绿化带内水、电等设施设备的维修支出(若因服务方管理或人为等因素造成，须由服务方负责)。</w:t>
      </w:r>
    </w:p>
    <w:p w14:paraId="4AEAF406">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baseline"/>
        <w:rPr>
          <w:rFonts w:hint="eastAsia" w:ascii="仿宋" w:hAnsi="仿宋" w:eastAsia="仿宋" w:cs="仿宋"/>
          <w:b/>
          <w:bCs/>
          <w:color w:val="auto"/>
          <w:sz w:val="21"/>
          <w:szCs w:val="21"/>
          <w:highlight w:val="none"/>
          <w:lang w:val="en-US" w:eastAsia="zh-CN" w:bidi="ar"/>
        </w:rPr>
      </w:pPr>
      <w:r>
        <w:rPr>
          <w:rFonts w:hint="eastAsia" w:ascii="仿宋" w:hAnsi="仿宋" w:eastAsia="仿宋" w:cs="仿宋"/>
          <w:b/>
          <w:bCs/>
          <w:color w:val="auto"/>
          <w:sz w:val="21"/>
          <w:szCs w:val="21"/>
          <w:highlight w:val="none"/>
          <w:lang w:val="en-US" w:eastAsia="zh-CN" w:bidi="ar"/>
        </w:rPr>
        <w:t>十、其他：</w:t>
      </w:r>
    </w:p>
    <w:p w14:paraId="40D42CEA">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（一）管理服务质量总体要求</w:t>
      </w:r>
    </w:p>
    <w:p w14:paraId="74460E7F">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严格按照现行的绿化管养服务标准及相关规定，满足采购方管养服务标准和要求，向县机关事务管理中心提供高质量的绿化管养服务，服务质量满足招标文件要求。</w:t>
      </w:r>
    </w:p>
    <w:p w14:paraId="6F9D3E16">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（二）停办条件</w:t>
      </w:r>
    </w:p>
    <w:p w14:paraId="79A057A9">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1.发生安全事故，并产生恶劣影响；</w:t>
      </w:r>
    </w:p>
    <w:p w14:paraId="4CAABCDA">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2.不能完成服务或造成县机关事务管理中心重大经济损失的；</w:t>
      </w:r>
    </w:p>
    <w:p w14:paraId="62EEF835">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3.其他政策性因素。</w:t>
      </w:r>
    </w:p>
    <w:p w14:paraId="15627487">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（三）安全责任</w:t>
      </w:r>
    </w:p>
    <w:p w14:paraId="63CF2830">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1.服务方使用的农药必须符合国家相关标准，农药的管理必须专人专管，如因服务方管理不当发生的公共事故由服务方自行承担。</w:t>
      </w:r>
    </w:p>
    <w:p w14:paraId="2671D7E7">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2.服务方须对工作中的人员安全负责，若在工作过程中造成安全事故或造成他人人身安全事故的，由服务方负责。</w:t>
      </w:r>
    </w:p>
    <w:p w14:paraId="6C8CA802">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default"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3.因服务方未及时处理造成项目管养区域内他人人身安全事故或财产损失等由服务方负责。</w:t>
      </w:r>
    </w:p>
    <w:p w14:paraId="0D69D016">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both"/>
        <w:textAlignment w:val="baseline"/>
        <w:rPr>
          <w:rFonts w:hint="default"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（四）合同价款调整</w:t>
      </w:r>
    </w:p>
    <w:p w14:paraId="7DC41D09">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采购方每季度对服务方服务情况进行全面考核评定，测评方案由采购方制定，可根据不同时期的要求进行调整;季度测评分值低于80分，采购方将按照比例扣减当季度合同价款；</w:t>
      </w:r>
    </w:p>
    <w:p w14:paraId="6E323BE3">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扣减公式如下：</w:t>
      </w:r>
    </w:p>
    <w:p w14:paraId="29204959">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u w:val="single"/>
          <w:lang w:val="en-US" w:eastAsia="zh-CN" w:bidi="ar"/>
        </w:rPr>
        <w:t>（80-当次测评分值)/100%*每季度合同价款=扣减价款</w:t>
      </w:r>
    </w:p>
    <w:p w14:paraId="4AD2C3D3">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bidi="ar"/>
        </w:rPr>
        <w:t>（五）其他</w:t>
      </w:r>
    </w:p>
    <w:p w14:paraId="463EBDAC">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baseline"/>
        <w:rPr>
          <w:rStyle w:val="34"/>
          <w:rFonts w:hint="eastAsia" w:ascii="仿宋" w:hAnsi="仿宋" w:eastAsia="仿宋" w:cs="仿宋"/>
          <w:color w:val="auto"/>
          <w:sz w:val="44"/>
          <w:szCs w:val="44"/>
          <w:highlight w:val="none"/>
        </w:rPr>
      </w:pPr>
      <w:r>
        <w:rPr>
          <w:rFonts w:hint="eastAsia" w:ascii="仿宋" w:hAnsi="仿宋" w:eastAsia="仿宋" w:cs="仿宋"/>
          <w:b w:val="0"/>
          <w:bCs w:val="0"/>
          <w:color w:val="auto"/>
          <w:sz w:val="21"/>
          <w:szCs w:val="21"/>
          <w:highlight w:val="none"/>
          <w:lang w:val="en-US" w:eastAsia="zh-CN" w:bidi="ar"/>
        </w:rPr>
        <w:t>若发生安全事故或突发事件等，服务</w:t>
      </w:r>
      <w:r>
        <w:rPr>
          <w:rFonts w:hint="eastAsia" w:ascii="仿宋" w:hAnsi="仿宋" w:eastAsia="仿宋" w:cs="仿宋"/>
          <w:b w:val="0"/>
          <w:bCs w:val="0"/>
          <w:color w:val="auto"/>
          <w:sz w:val="21"/>
          <w:szCs w:val="21"/>
          <w:highlight w:val="none"/>
          <w:lang w:bidi="ar"/>
        </w:rPr>
        <w:t>项目经理</w:t>
      </w:r>
      <w:r>
        <w:rPr>
          <w:rFonts w:hint="eastAsia" w:ascii="仿宋" w:hAnsi="仿宋" w:eastAsia="仿宋" w:cs="仿宋"/>
          <w:b w:val="0"/>
          <w:bCs w:val="0"/>
          <w:color w:val="auto"/>
          <w:sz w:val="21"/>
          <w:szCs w:val="21"/>
          <w:highlight w:val="none"/>
          <w:lang w:val="en-US" w:eastAsia="zh-CN" w:bidi="ar"/>
        </w:rPr>
        <w:t>须在30分钟内响应并到达现场，投标人需对此项内容进行承诺。</w:t>
      </w:r>
      <w:bookmarkEnd w:id="11"/>
    </w:p>
    <w:p w14:paraId="5E184B87">
      <w:pPr>
        <w:rPr>
          <w:rStyle w:val="34"/>
          <w:rFonts w:hint="eastAsia" w:ascii="仿宋" w:hAnsi="仿宋" w:eastAsia="仿宋" w:cs="仿宋"/>
          <w:color w:val="auto"/>
          <w:sz w:val="44"/>
          <w:szCs w:val="44"/>
          <w:highlight w:val="none"/>
        </w:rPr>
      </w:pPr>
      <w:r>
        <w:rPr>
          <w:rStyle w:val="34"/>
          <w:rFonts w:hint="eastAsia" w:ascii="仿宋" w:hAnsi="仿宋" w:eastAsia="仿宋" w:cs="仿宋"/>
          <w:color w:val="auto"/>
          <w:sz w:val="44"/>
          <w:szCs w:val="44"/>
          <w:highlight w:val="none"/>
        </w:rPr>
        <w:br w:type="page"/>
      </w:r>
    </w:p>
    <w:p w14:paraId="0C75824A">
      <w:pPr>
        <w:pStyle w:val="2"/>
        <w:bidi w:val="0"/>
        <w:rPr>
          <w:rStyle w:val="34"/>
          <w:rFonts w:ascii="仿宋" w:hAnsi="仿宋" w:eastAsia="仿宋" w:cs="仿宋"/>
          <w:color w:val="auto"/>
          <w:szCs w:val="44"/>
          <w:highlight w:val="none"/>
        </w:rPr>
      </w:pPr>
      <w:bookmarkStart w:id="12" w:name="_Toc6253"/>
      <w:r>
        <w:rPr>
          <w:rFonts w:hint="eastAsia" w:ascii="仿宋" w:hAnsi="仿宋" w:eastAsia="仿宋" w:cs="仿宋"/>
          <w:color w:val="auto"/>
          <w:highlight w:val="none"/>
        </w:rPr>
        <w:t>第四章  合同格式</w:t>
      </w:r>
      <w:bookmarkEnd w:id="12"/>
    </w:p>
    <w:p w14:paraId="5F9F1F44">
      <w:pPr>
        <w:pStyle w:val="27"/>
        <w:spacing w:line="360" w:lineRule="auto"/>
        <w:rPr>
          <w:rStyle w:val="34"/>
          <w:rFonts w:ascii="仿宋" w:hAnsi="仿宋" w:eastAsia="仿宋" w:cs="仿宋"/>
          <w:color w:val="auto"/>
          <w:sz w:val="30"/>
          <w:szCs w:val="30"/>
          <w:highlight w:val="none"/>
        </w:rPr>
      </w:pPr>
      <w:r>
        <w:rPr>
          <w:rStyle w:val="34"/>
          <w:rFonts w:hint="eastAsia" w:ascii="仿宋" w:hAnsi="仿宋" w:eastAsia="仿宋" w:cs="仿宋"/>
          <w:color w:val="auto"/>
          <w:sz w:val="30"/>
          <w:szCs w:val="30"/>
          <w:highlight w:val="none"/>
        </w:rPr>
        <w:t>（参考文本）</w:t>
      </w:r>
    </w:p>
    <w:p w14:paraId="71A00E4C">
      <w:pPr>
        <w:pStyle w:val="108"/>
        <w:spacing w:before="312" w:after="312" w:line="462" w:lineRule="atLeast"/>
        <w:jc w:val="center"/>
        <w:rPr>
          <w:rStyle w:val="34"/>
          <w:rFonts w:ascii="仿宋" w:hAnsi="仿宋" w:eastAsia="仿宋" w:cs="仿宋"/>
          <w:b/>
          <w:color w:val="auto"/>
          <w:sz w:val="28"/>
          <w:szCs w:val="28"/>
          <w:highlight w:val="none"/>
        </w:rPr>
      </w:pPr>
      <w:bookmarkStart w:id="13" w:name="_Toc16794"/>
      <w:bookmarkStart w:id="14" w:name="_Toc31810"/>
      <w:bookmarkStart w:id="15" w:name="_Toc8445"/>
      <w:r>
        <w:rPr>
          <w:rStyle w:val="34"/>
          <w:rFonts w:hint="eastAsia" w:ascii="仿宋" w:hAnsi="仿宋" w:eastAsia="仿宋" w:cs="仿宋"/>
          <w:b/>
          <w:color w:val="auto"/>
          <w:sz w:val="28"/>
          <w:szCs w:val="28"/>
          <w:highlight w:val="none"/>
          <w:lang w:eastAsia="zh-CN"/>
        </w:rPr>
        <w:t>石林彝族自治县行政中心室外绿化管养外包服务（2025-2028年）</w:t>
      </w:r>
      <w:r>
        <w:rPr>
          <w:rStyle w:val="34"/>
          <w:rFonts w:hint="eastAsia" w:ascii="仿宋" w:hAnsi="仿宋" w:eastAsia="仿宋" w:cs="仿宋"/>
          <w:b/>
          <w:color w:val="auto"/>
          <w:sz w:val="28"/>
          <w:szCs w:val="28"/>
          <w:highlight w:val="none"/>
        </w:rPr>
        <w:t>采购合同范本</w:t>
      </w:r>
    </w:p>
    <w:p w14:paraId="3BED951B">
      <w:pPr>
        <w:tabs>
          <w:tab w:val="left" w:pos="1210"/>
          <w:tab w:val="left" w:pos="3295"/>
          <w:tab w:val="left" w:pos="4756"/>
          <w:tab w:val="left" w:pos="5639"/>
          <w:tab w:val="left" w:pos="6648"/>
          <w:tab w:val="left" w:pos="7857"/>
        </w:tabs>
        <w:snapToGrid w:val="0"/>
        <w:spacing w:line="360" w:lineRule="auto"/>
        <w:jc w:val="left"/>
        <w:rPr>
          <w:rStyle w:val="34"/>
          <w:rFonts w:ascii="仿宋" w:hAnsi="仿宋" w:eastAsia="仿宋" w:cs="仿宋"/>
          <w:color w:val="auto"/>
          <w:kern w:val="0"/>
          <w:szCs w:val="21"/>
          <w:highlight w:val="none"/>
        </w:rPr>
      </w:pPr>
    </w:p>
    <w:p w14:paraId="57219C82">
      <w:pPr>
        <w:tabs>
          <w:tab w:val="left" w:pos="1210"/>
          <w:tab w:val="left" w:pos="3295"/>
          <w:tab w:val="left" w:pos="4756"/>
          <w:tab w:val="left" w:pos="5639"/>
          <w:tab w:val="left" w:pos="6648"/>
          <w:tab w:val="left" w:pos="7857"/>
        </w:tabs>
        <w:snapToGrid w:val="0"/>
        <w:spacing w:line="360" w:lineRule="auto"/>
        <w:jc w:val="left"/>
        <w:rPr>
          <w:rStyle w:val="34"/>
          <w:rFonts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合同编号：</w:t>
      </w:r>
      <w:r>
        <w:rPr>
          <w:rStyle w:val="34"/>
          <w:rFonts w:hint="eastAsia" w:ascii="仿宋" w:hAnsi="仿宋" w:eastAsia="仿宋" w:cs="仿宋"/>
          <w:color w:val="auto"/>
          <w:kern w:val="0"/>
          <w:szCs w:val="21"/>
          <w:highlight w:val="none"/>
          <w:u w:val="single"/>
        </w:rPr>
        <w:t xml:space="preserve">           </w:t>
      </w:r>
      <w:r>
        <w:rPr>
          <w:rStyle w:val="34"/>
          <w:rFonts w:hint="eastAsia" w:ascii="仿宋" w:hAnsi="仿宋" w:eastAsia="仿宋" w:cs="仿宋"/>
          <w:color w:val="auto"/>
          <w:kern w:val="0"/>
          <w:szCs w:val="21"/>
          <w:highlight w:val="none"/>
        </w:rPr>
        <w:t xml:space="preserve">          合同自编号：</w:t>
      </w:r>
      <w:r>
        <w:rPr>
          <w:rStyle w:val="34"/>
          <w:rFonts w:hint="eastAsia" w:ascii="仿宋" w:hAnsi="仿宋" w:eastAsia="仿宋" w:cs="仿宋"/>
          <w:color w:val="auto"/>
          <w:kern w:val="0"/>
          <w:szCs w:val="21"/>
          <w:highlight w:val="none"/>
          <w:u w:val="single"/>
        </w:rPr>
        <w:t xml:space="preserve">          </w:t>
      </w:r>
      <w:r>
        <w:rPr>
          <w:rStyle w:val="34"/>
          <w:rFonts w:hint="eastAsia" w:ascii="仿宋" w:hAnsi="仿宋" w:eastAsia="仿宋" w:cs="仿宋"/>
          <w:color w:val="auto"/>
          <w:kern w:val="0"/>
          <w:szCs w:val="21"/>
          <w:highlight w:val="none"/>
        </w:rPr>
        <w:t xml:space="preserve">         招标编号：</w:t>
      </w:r>
      <w:r>
        <w:rPr>
          <w:rStyle w:val="34"/>
          <w:rFonts w:hint="eastAsia" w:ascii="仿宋" w:hAnsi="仿宋" w:eastAsia="仿宋" w:cs="仿宋"/>
          <w:color w:val="auto"/>
          <w:kern w:val="0"/>
          <w:szCs w:val="21"/>
          <w:highlight w:val="none"/>
          <w:u w:val="single"/>
        </w:rPr>
        <w:t xml:space="preserve">             </w:t>
      </w:r>
    </w:p>
    <w:p w14:paraId="04BFEB87">
      <w:pPr>
        <w:snapToGrid w:val="0"/>
        <w:spacing w:after="240" w:line="360" w:lineRule="auto"/>
        <w:jc w:val="left"/>
        <w:rPr>
          <w:rStyle w:val="34"/>
          <w:rFonts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●本合同须加盖甲乙双方骑缝章有效</w:t>
      </w:r>
    </w:p>
    <w:p w14:paraId="1E57D8B1">
      <w:pPr>
        <w:snapToGrid w:val="0"/>
        <w:spacing w:after="240" w:line="360" w:lineRule="auto"/>
        <w:jc w:val="center"/>
        <w:rPr>
          <w:rStyle w:val="34"/>
          <w:rFonts w:ascii="仿宋" w:hAnsi="仿宋" w:eastAsia="仿宋" w:cs="仿宋"/>
          <w:color w:val="auto"/>
          <w:kern w:val="0"/>
          <w:sz w:val="18"/>
          <w:szCs w:val="18"/>
          <w:highlight w:val="none"/>
        </w:rPr>
      </w:pPr>
    </w:p>
    <w:p w14:paraId="7DBBB07C">
      <w:pPr>
        <w:pStyle w:val="10"/>
        <w:rPr>
          <w:color w:val="auto"/>
          <w:highlight w:val="none"/>
        </w:rPr>
      </w:pPr>
    </w:p>
    <w:p w14:paraId="0ED0694D">
      <w:pPr>
        <w:snapToGrid w:val="0"/>
        <w:spacing w:after="240" w:line="360" w:lineRule="auto"/>
        <w:jc w:val="center"/>
        <w:rPr>
          <w:rStyle w:val="34"/>
          <w:rFonts w:ascii="仿宋" w:hAnsi="仿宋" w:eastAsia="仿宋" w:cs="仿宋"/>
          <w:color w:val="auto"/>
          <w:kern w:val="0"/>
          <w:sz w:val="18"/>
          <w:szCs w:val="18"/>
          <w:highlight w:val="none"/>
        </w:rPr>
      </w:pPr>
      <w:r>
        <w:rPr>
          <w:rStyle w:val="34"/>
          <w:rFonts w:hint="eastAsia" w:ascii="仿宋" w:hAnsi="仿宋" w:eastAsia="仿宋" w:cs="仿宋"/>
          <w:color w:val="auto"/>
          <w:kern w:val="0"/>
          <w:sz w:val="63"/>
          <w:szCs w:val="63"/>
          <w:highlight w:val="none"/>
        </w:rPr>
        <w:t>合</w:t>
      </w:r>
      <w:r>
        <w:rPr>
          <w:rStyle w:val="34"/>
          <w:rFonts w:hint="eastAsia" w:ascii="仿宋" w:hAnsi="仿宋" w:eastAsia="仿宋" w:cs="仿宋"/>
          <w:color w:val="auto"/>
          <w:kern w:val="0"/>
          <w:sz w:val="18"/>
          <w:szCs w:val="18"/>
          <w:highlight w:val="none"/>
        </w:rPr>
        <w:t xml:space="preserve"> </w:t>
      </w:r>
    </w:p>
    <w:p w14:paraId="150BD43A">
      <w:pPr>
        <w:snapToGrid w:val="0"/>
        <w:spacing w:after="240" w:line="360" w:lineRule="auto"/>
        <w:jc w:val="center"/>
        <w:rPr>
          <w:rStyle w:val="34"/>
          <w:rFonts w:ascii="仿宋" w:hAnsi="仿宋" w:eastAsia="仿宋" w:cs="仿宋"/>
          <w:color w:val="auto"/>
          <w:kern w:val="0"/>
          <w:sz w:val="18"/>
          <w:szCs w:val="18"/>
          <w:highlight w:val="none"/>
        </w:rPr>
      </w:pPr>
      <w:r>
        <w:rPr>
          <w:rStyle w:val="34"/>
          <w:rFonts w:hint="eastAsia" w:ascii="仿宋" w:hAnsi="仿宋" w:eastAsia="仿宋" w:cs="仿宋"/>
          <w:color w:val="auto"/>
          <w:kern w:val="0"/>
          <w:sz w:val="63"/>
          <w:szCs w:val="63"/>
          <w:highlight w:val="none"/>
        </w:rPr>
        <w:t>同</w:t>
      </w:r>
    </w:p>
    <w:p w14:paraId="42CAE462">
      <w:pPr>
        <w:snapToGrid w:val="0"/>
        <w:spacing w:after="240" w:line="360" w:lineRule="auto"/>
        <w:jc w:val="center"/>
        <w:rPr>
          <w:rStyle w:val="34"/>
          <w:rFonts w:ascii="仿宋" w:hAnsi="仿宋" w:eastAsia="仿宋" w:cs="仿宋"/>
          <w:color w:val="auto"/>
          <w:kern w:val="0"/>
          <w:sz w:val="18"/>
          <w:szCs w:val="18"/>
          <w:highlight w:val="none"/>
        </w:rPr>
      </w:pPr>
      <w:r>
        <w:rPr>
          <w:rStyle w:val="34"/>
          <w:rFonts w:hint="eastAsia" w:ascii="仿宋" w:hAnsi="仿宋" w:eastAsia="仿宋" w:cs="仿宋"/>
          <w:color w:val="auto"/>
          <w:kern w:val="0"/>
          <w:sz w:val="63"/>
          <w:szCs w:val="63"/>
          <w:highlight w:val="none"/>
        </w:rPr>
        <w:t>书</w:t>
      </w:r>
      <w:r>
        <w:rPr>
          <w:rStyle w:val="34"/>
          <w:rFonts w:hint="eastAsia" w:ascii="仿宋" w:hAnsi="仿宋" w:eastAsia="仿宋" w:cs="仿宋"/>
          <w:color w:val="auto"/>
          <w:kern w:val="0"/>
          <w:sz w:val="18"/>
          <w:szCs w:val="18"/>
          <w:highlight w:val="none"/>
        </w:rPr>
        <w:t xml:space="preserve"> </w:t>
      </w:r>
      <w:r>
        <w:rPr>
          <w:rStyle w:val="34"/>
          <w:rFonts w:hint="eastAsia" w:ascii="仿宋" w:hAnsi="仿宋" w:eastAsia="仿宋" w:cs="仿宋"/>
          <w:color w:val="auto"/>
          <w:kern w:val="0"/>
          <w:sz w:val="18"/>
          <w:szCs w:val="18"/>
          <w:highlight w:val="none"/>
        </w:rPr>
        <w:br w:type="textWrapping"/>
      </w:r>
    </w:p>
    <w:p w14:paraId="39CCB9BC">
      <w:pPr>
        <w:snapToGrid w:val="0"/>
        <w:spacing w:after="240" w:line="360" w:lineRule="auto"/>
        <w:rPr>
          <w:rStyle w:val="34"/>
          <w:rFonts w:ascii="仿宋" w:hAnsi="仿宋" w:eastAsia="仿宋" w:cs="仿宋"/>
          <w:color w:val="auto"/>
          <w:kern w:val="0"/>
          <w:sz w:val="18"/>
          <w:szCs w:val="18"/>
          <w:highlight w:val="none"/>
        </w:rPr>
      </w:pPr>
    </w:p>
    <w:p w14:paraId="33DA1E7C">
      <w:pPr>
        <w:snapToGrid w:val="0"/>
        <w:spacing w:after="240" w:line="360" w:lineRule="auto"/>
        <w:ind w:firstLine="3117" w:firstLineChars="1150"/>
        <w:rPr>
          <w:rStyle w:val="34"/>
          <w:rFonts w:ascii="仿宋" w:hAnsi="仿宋" w:eastAsia="仿宋" w:cs="仿宋"/>
          <w:b/>
          <w:bCs/>
          <w:color w:val="auto"/>
          <w:kern w:val="0"/>
          <w:sz w:val="27"/>
          <w:szCs w:val="27"/>
          <w:highlight w:val="none"/>
        </w:rPr>
      </w:pPr>
    </w:p>
    <w:p w14:paraId="2D159C29">
      <w:pPr>
        <w:snapToGrid w:val="0"/>
        <w:spacing w:after="240" w:line="360" w:lineRule="auto"/>
        <w:ind w:firstLine="3117" w:firstLineChars="1150"/>
        <w:rPr>
          <w:rStyle w:val="34"/>
          <w:rFonts w:ascii="仿宋" w:hAnsi="仿宋" w:eastAsia="仿宋" w:cs="仿宋"/>
          <w:color w:val="auto"/>
          <w:kern w:val="0"/>
          <w:sz w:val="18"/>
          <w:szCs w:val="18"/>
          <w:highlight w:val="none"/>
        </w:rPr>
      </w:pPr>
      <w:r>
        <w:rPr>
          <w:rStyle w:val="34"/>
          <w:rFonts w:hint="eastAsia" w:ascii="仿宋" w:hAnsi="仿宋" w:eastAsia="仿宋" w:cs="仿宋"/>
          <w:b/>
          <w:bCs/>
          <w:color w:val="auto"/>
          <w:kern w:val="0"/>
          <w:sz w:val="27"/>
          <w:szCs w:val="27"/>
          <w:highlight w:val="none"/>
        </w:rPr>
        <w:t>签订地点:</w:t>
      </w:r>
      <w:r>
        <w:rPr>
          <w:rStyle w:val="34"/>
          <w:rFonts w:hint="eastAsia" w:ascii="仿宋" w:hAnsi="仿宋" w:eastAsia="仿宋" w:cs="仿宋"/>
          <w:color w:val="auto"/>
          <w:kern w:val="0"/>
          <w:sz w:val="18"/>
          <w:szCs w:val="18"/>
          <w:highlight w:val="none"/>
        </w:rPr>
        <w:t xml:space="preserve"> </w:t>
      </w:r>
    </w:p>
    <w:p w14:paraId="049E5C84">
      <w:pPr>
        <w:snapToGrid w:val="0"/>
        <w:spacing w:after="240" w:line="360" w:lineRule="auto"/>
        <w:jc w:val="center"/>
        <w:rPr>
          <w:rStyle w:val="34"/>
          <w:rFonts w:ascii="仿宋" w:hAnsi="仿宋" w:eastAsia="仿宋" w:cs="仿宋"/>
          <w:b/>
          <w:bCs/>
          <w:color w:val="auto"/>
          <w:kern w:val="0"/>
          <w:szCs w:val="21"/>
          <w:highlight w:val="none"/>
        </w:rPr>
      </w:pPr>
      <w:r>
        <w:rPr>
          <w:rStyle w:val="34"/>
          <w:rFonts w:hint="eastAsia" w:ascii="仿宋" w:hAnsi="仿宋" w:eastAsia="仿宋" w:cs="仿宋"/>
          <w:b/>
          <w:bCs/>
          <w:color w:val="auto"/>
          <w:kern w:val="0"/>
          <w:sz w:val="27"/>
          <w:szCs w:val="27"/>
          <w:highlight w:val="none"/>
        </w:rPr>
        <w:t xml:space="preserve">签订日期:   年  月　日 </w:t>
      </w:r>
    </w:p>
    <w:p w14:paraId="4892C327">
      <w:pPr>
        <w:tabs>
          <w:tab w:val="left" w:pos="420"/>
        </w:tabs>
        <w:spacing w:after="240" w:line="360" w:lineRule="auto"/>
        <w:ind w:firstLine="316" w:firstLineChars="150"/>
        <w:jc w:val="left"/>
        <w:rPr>
          <w:rStyle w:val="34"/>
          <w:rFonts w:ascii="仿宋" w:hAnsi="仿宋" w:eastAsia="仿宋" w:cs="仿宋"/>
          <w:b/>
          <w:bCs/>
          <w:color w:val="auto"/>
          <w:kern w:val="0"/>
          <w:szCs w:val="21"/>
          <w:highlight w:val="none"/>
        </w:rPr>
      </w:pPr>
    </w:p>
    <w:p w14:paraId="5AA26845">
      <w:pPr>
        <w:rPr>
          <w:rStyle w:val="34"/>
          <w:rFonts w:ascii="仿宋" w:hAnsi="仿宋" w:eastAsia="仿宋" w:cs="仿宋"/>
          <w:b/>
          <w:bCs/>
          <w:color w:val="auto"/>
          <w:kern w:val="0"/>
          <w:szCs w:val="21"/>
          <w:highlight w:val="none"/>
        </w:rPr>
      </w:pPr>
      <w:r>
        <w:rPr>
          <w:rStyle w:val="34"/>
          <w:rFonts w:hint="eastAsia" w:ascii="仿宋" w:hAnsi="仿宋" w:eastAsia="仿宋" w:cs="仿宋"/>
          <w:b/>
          <w:bCs/>
          <w:color w:val="auto"/>
          <w:kern w:val="0"/>
          <w:szCs w:val="21"/>
          <w:highlight w:val="none"/>
        </w:rPr>
        <w:br w:type="page"/>
      </w:r>
    </w:p>
    <w:p w14:paraId="67F258FA">
      <w:pPr>
        <w:tabs>
          <w:tab w:val="left" w:pos="420"/>
        </w:tabs>
        <w:spacing w:after="240" w:line="360" w:lineRule="auto"/>
        <w:ind w:firstLine="316" w:firstLineChars="150"/>
        <w:contextualSpacing/>
        <w:jc w:val="left"/>
        <w:rPr>
          <w:rFonts w:hint="eastAsia" w:ascii="仿宋" w:hAnsi="仿宋" w:eastAsia="仿宋" w:cs="仿宋"/>
          <w:b/>
          <w:bCs/>
          <w:color w:val="auto"/>
          <w:kern w:val="0"/>
          <w:szCs w:val="21"/>
          <w:highlight w:val="none"/>
        </w:rPr>
      </w:pPr>
    </w:p>
    <w:p w14:paraId="3DEB7AF9">
      <w:pPr>
        <w:tabs>
          <w:tab w:val="left" w:pos="420"/>
        </w:tabs>
        <w:spacing w:after="240" w:line="360" w:lineRule="auto"/>
        <w:ind w:firstLine="316" w:firstLineChars="150"/>
        <w:contextualSpacing/>
        <w:jc w:val="left"/>
        <w:rPr>
          <w:rFonts w:hint="eastAsia" w:ascii="仿宋" w:hAnsi="仿宋" w:eastAsia="仿宋" w:cs="仿宋"/>
          <w:b/>
          <w:bCs/>
          <w:color w:val="auto"/>
          <w:kern w:val="0"/>
          <w:szCs w:val="21"/>
          <w:highlight w:val="none"/>
        </w:rPr>
      </w:pPr>
    </w:p>
    <w:p w14:paraId="32802C02">
      <w:pPr>
        <w:tabs>
          <w:tab w:val="left" w:pos="420"/>
        </w:tabs>
        <w:spacing w:after="240" w:line="360" w:lineRule="auto"/>
        <w:ind w:firstLine="316" w:firstLineChars="150"/>
        <w:contextualSpacing/>
        <w:jc w:val="left"/>
        <w:rPr>
          <w:rFonts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甲方</w:t>
      </w:r>
      <w:r>
        <w:rPr>
          <w:rFonts w:hint="eastAsia" w:ascii="仿宋" w:hAnsi="仿宋" w:eastAsia="仿宋" w:cs="仿宋"/>
          <w:color w:val="auto"/>
          <w:kern w:val="0"/>
          <w:szCs w:val="21"/>
          <w:highlight w:val="none"/>
        </w:rPr>
        <w:t>（采购人公章）名称：</w:t>
      </w:r>
    </w:p>
    <w:p w14:paraId="2EF99C1A">
      <w:pPr>
        <w:spacing w:line="360" w:lineRule="auto"/>
        <w:ind w:firstLine="371" w:firstLineChars="177"/>
        <w:contextualSpacing/>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地   址：</w:t>
      </w:r>
    </w:p>
    <w:p w14:paraId="2B679E09">
      <w:pPr>
        <w:spacing w:line="360" w:lineRule="auto"/>
        <w:ind w:firstLine="371" w:firstLineChars="177"/>
        <w:contextualSpacing/>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邮   编：</w:t>
      </w:r>
    </w:p>
    <w:p w14:paraId="16450763">
      <w:pPr>
        <w:spacing w:line="360" w:lineRule="auto"/>
        <w:ind w:firstLine="371" w:firstLineChars="177"/>
        <w:contextualSpacing/>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法定代表人：</w:t>
      </w:r>
    </w:p>
    <w:p w14:paraId="5841341B">
      <w:pPr>
        <w:spacing w:line="360" w:lineRule="auto"/>
        <w:ind w:firstLine="371" w:firstLineChars="177"/>
        <w:contextualSpacing/>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或委托代理人：</w:t>
      </w:r>
    </w:p>
    <w:p w14:paraId="54A8B183">
      <w:pPr>
        <w:spacing w:line="360" w:lineRule="auto"/>
        <w:ind w:firstLine="371" w:firstLineChars="177"/>
        <w:contextualSpacing/>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经 办 人：</w:t>
      </w:r>
    </w:p>
    <w:p w14:paraId="6F82CDD4">
      <w:pPr>
        <w:spacing w:line="360" w:lineRule="auto"/>
        <w:ind w:firstLine="371" w:firstLineChars="177"/>
        <w:contextualSpacing/>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电    话：</w:t>
      </w:r>
    </w:p>
    <w:p w14:paraId="31FB4440">
      <w:pPr>
        <w:spacing w:line="360" w:lineRule="auto"/>
        <w:ind w:firstLine="371" w:firstLineChars="177"/>
        <w:contextualSpacing/>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开户银行：</w:t>
      </w:r>
    </w:p>
    <w:p w14:paraId="11896981">
      <w:pPr>
        <w:tabs>
          <w:tab w:val="left" w:pos="6930"/>
        </w:tabs>
        <w:overflowPunct w:val="0"/>
        <w:autoSpaceDE w:val="0"/>
        <w:autoSpaceDN w:val="0"/>
        <w:adjustRightInd w:val="0"/>
        <w:spacing w:before="60" w:after="60" w:line="360" w:lineRule="auto"/>
        <w:ind w:right="525" w:firstLine="371" w:firstLineChars="177"/>
        <w:contextualSpacing/>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账    号：</w:t>
      </w:r>
    </w:p>
    <w:p w14:paraId="2EBF56FA">
      <w:pPr>
        <w:tabs>
          <w:tab w:val="left" w:pos="6930"/>
        </w:tabs>
        <w:overflowPunct w:val="0"/>
        <w:autoSpaceDE w:val="0"/>
        <w:autoSpaceDN w:val="0"/>
        <w:adjustRightInd w:val="0"/>
        <w:spacing w:before="60" w:after="60" w:line="360" w:lineRule="auto"/>
        <w:ind w:right="525" w:firstLine="373" w:firstLineChars="177"/>
        <w:contextualSpacing/>
        <w:jc w:val="left"/>
        <w:rPr>
          <w:rFonts w:ascii="仿宋" w:hAnsi="仿宋" w:eastAsia="仿宋" w:cs="仿宋"/>
          <w:b/>
          <w:color w:val="auto"/>
          <w:kern w:val="0"/>
          <w:szCs w:val="21"/>
          <w:highlight w:val="none"/>
        </w:rPr>
      </w:pPr>
    </w:p>
    <w:p w14:paraId="206852CA">
      <w:pPr>
        <w:spacing w:after="240" w:line="360" w:lineRule="auto"/>
        <w:contextualSpacing/>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 </w:t>
      </w:r>
    </w:p>
    <w:p w14:paraId="7F476F15">
      <w:pPr>
        <w:spacing w:after="240" w:line="360" w:lineRule="auto"/>
        <w:contextualSpacing/>
        <w:jc w:val="left"/>
        <w:rPr>
          <w:rFonts w:hint="eastAsia" w:ascii="仿宋" w:hAnsi="仿宋" w:eastAsia="仿宋" w:cs="仿宋"/>
          <w:color w:val="auto"/>
          <w:kern w:val="0"/>
          <w:szCs w:val="21"/>
          <w:highlight w:val="none"/>
        </w:rPr>
      </w:pPr>
    </w:p>
    <w:p w14:paraId="3C0F21AB">
      <w:pPr>
        <w:spacing w:after="240" w:line="360" w:lineRule="auto"/>
        <w:contextualSpacing/>
        <w:jc w:val="left"/>
        <w:rPr>
          <w:rFonts w:hint="eastAsia" w:ascii="仿宋" w:hAnsi="仿宋" w:eastAsia="仿宋" w:cs="仿宋"/>
          <w:color w:val="auto"/>
          <w:kern w:val="0"/>
          <w:szCs w:val="21"/>
          <w:highlight w:val="none"/>
        </w:rPr>
      </w:pPr>
    </w:p>
    <w:p w14:paraId="3BD6DE02">
      <w:pPr>
        <w:spacing w:after="240" w:line="360" w:lineRule="auto"/>
        <w:contextualSpacing/>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  </w:t>
      </w:r>
      <w:r>
        <w:rPr>
          <w:rFonts w:hint="eastAsia" w:ascii="仿宋" w:hAnsi="仿宋" w:eastAsia="仿宋" w:cs="仿宋"/>
          <w:b/>
          <w:bCs/>
          <w:color w:val="auto"/>
          <w:kern w:val="0"/>
          <w:szCs w:val="21"/>
          <w:highlight w:val="none"/>
        </w:rPr>
        <w:t>乙方</w:t>
      </w:r>
      <w:r>
        <w:rPr>
          <w:rFonts w:hint="eastAsia" w:ascii="仿宋" w:hAnsi="仿宋" w:eastAsia="仿宋" w:cs="仿宋"/>
          <w:color w:val="auto"/>
          <w:kern w:val="0"/>
          <w:szCs w:val="21"/>
          <w:highlight w:val="none"/>
        </w:rPr>
        <w:t xml:space="preserve">（供应商公章）名称： </w:t>
      </w:r>
    </w:p>
    <w:p w14:paraId="5AEE8B48">
      <w:pPr>
        <w:spacing w:line="360" w:lineRule="auto"/>
        <w:ind w:firstLine="371" w:firstLineChars="177"/>
        <w:contextualSpacing/>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地   址：</w:t>
      </w:r>
    </w:p>
    <w:p w14:paraId="7F1282D3">
      <w:pPr>
        <w:spacing w:line="360" w:lineRule="auto"/>
        <w:ind w:firstLine="371" w:firstLineChars="177"/>
        <w:contextualSpacing/>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邮   编：</w:t>
      </w:r>
    </w:p>
    <w:p w14:paraId="30A4C9D1">
      <w:pPr>
        <w:spacing w:line="360" w:lineRule="auto"/>
        <w:ind w:firstLine="371" w:firstLineChars="177"/>
        <w:contextualSpacing/>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法定代表人：</w:t>
      </w:r>
    </w:p>
    <w:p w14:paraId="56A979C0">
      <w:pPr>
        <w:spacing w:line="360" w:lineRule="auto"/>
        <w:ind w:firstLine="371" w:firstLineChars="177"/>
        <w:contextualSpacing/>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或委托代理人：</w:t>
      </w:r>
    </w:p>
    <w:p w14:paraId="6681E047">
      <w:pPr>
        <w:spacing w:line="360" w:lineRule="auto"/>
        <w:ind w:firstLine="371" w:firstLineChars="177"/>
        <w:contextualSpacing/>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经 办 人：</w:t>
      </w:r>
    </w:p>
    <w:p w14:paraId="27C61DD7">
      <w:pPr>
        <w:spacing w:line="360" w:lineRule="auto"/>
        <w:ind w:firstLine="371" w:firstLineChars="177"/>
        <w:contextualSpacing/>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电    话：</w:t>
      </w:r>
    </w:p>
    <w:p w14:paraId="07573CEE">
      <w:pPr>
        <w:spacing w:line="360" w:lineRule="auto"/>
        <w:ind w:firstLine="371" w:firstLineChars="177"/>
        <w:contextualSpacing/>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开户银行：</w:t>
      </w:r>
    </w:p>
    <w:p w14:paraId="316D4294">
      <w:pPr>
        <w:tabs>
          <w:tab w:val="left" w:pos="6930"/>
        </w:tabs>
        <w:overflowPunct w:val="0"/>
        <w:autoSpaceDE w:val="0"/>
        <w:autoSpaceDN w:val="0"/>
        <w:adjustRightInd w:val="0"/>
        <w:spacing w:before="60" w:after="60" w:line="360" w:lineRule="auto"/>
        <w:ind w:right="525" w:firstLine="371" w:firstLineChars="177"/>
        <w:contextualSpacing/>
        <w:jc w:val="left"/>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账    号：</w:t>
      </w:r>
    </w:p>
    <w:p w14:paraId="418DDFE8">
      <w:pPr>
        <w:tabs>
          <w:tab w:val="left" w:pos="6930"/>
        </w:tabs>
        <w:overflowPunct w:val="0"/>
        <w:autoSpaceDE w:val="0"/>
        <w:autoSpaceDN w:val="0"/>
        <w:adjustRightInd w:val="0"/>
        <w:spacing w:before="60" w:after="60" w:line="360" w:lineRule="auto"/>
        <w:ind w:right="525" w:firstLine="373" w:firstLineChars="177"/>
        <w:contextualSpacing/>
        <w:jc w:val="left"/>
        <w:rPr>
          <w:rFonts w:ascii="仿宋" w:hAnsi="仿宋" w:eastAsia="仿宋" w:cs="仿宋"/>
          <w:b/>
          <w:color w:val="auto"/>
          <w:kern w:val="0"/>
          <w:szCs w:val="21"/>
          <w:highlight w:val="none"/>
        </w:rPr>
      </w:pPr>
    </w:p>
    <w:p w14:paraId="392D7F81">
      <w:pPr>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br w:type="page"/>
      </w:r>
    </w:p>
    <w:bookmarkEnd w:id="13"/>
    <w:bookmarkEnd w:id="14"/>
    <w:bookmarkEnd w:id="15"/>
    <w:p w14:paraId="269B2C56">
      <w:pPr>
        <w:pageBreakBefore w:val="0"/>
        <w:widowControl w:val="0"/>
        <w:kinsoku/>
        <w:wordWrap/>
        <w:overflowPunct/>
        <w:topLinePunct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根据《中华人民共和国民法典》、《中华人民共和国物业管理条例》</w:t>
      </w:r>
      <w:r>
        <w:rPr>
          <w:rFonts w:hint="eastAsia" w:ascii="仿宋" w:hAnsi="仿宋" w:eastAsia="仿宋" w:cs="仿宋"/>
          <w:color w:val="auto"/>
          <w:sz w:val="21"/>
          <w:szCs w:val="21"/>
          <w:highlight w:val="none"/>
          <w:lang w:val="en-US" w:eastAsia="zh-CN"/>
        </w:rPr>
        <w:t>及具体工作需要，经双方协商一致，签订</w:t>
      </w:r>
      <w:r>
        <w:rPr>
          <w:rFonts w:hint="eastAsia" w:ascii="仿宋" w:hAnsi="仿宋" w:eastAsia="仿宋" w:cs="仿宋"/>
          <w:color w:val="auto"/>
          <w:sz w:val="21"/>
          <w:szCs w:val="21"/>
          <w:highlight w:val="none"/>
        </w:rPr>
        <w:t>本合同。</w:t>
      </w:r>
    </w:p>
    <w:p w14:paraId="01517353">
      <w:pPr>
        <w:pageBreakBefore w:val="0"/>
        <w:widowControl w:val="0"/>
        <w:kinsoku/>
        <w:wordWrap/>
        <w:overflowPunct/>
        <w:topLinePunct w:val="0"/>
        <w:autoSpaceDE w:val="0"/>
        <w:autoSpaceDN w:val="0"/>
        <w:bidi w:val="0"/>
        <w:adjustRightInd/>
        <w:snapToGrid/>
        <w:spacing w:line="360" w:lineRule="auto"/>
        <w:ind w:right="0" w:rightChars="0" w:firstLine="422" w:firstLineChars="200"/>
        <w:jc w:val="lef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第一条 基本情况</w:t>
      </w:r>
    </w:p>
    <w:p w14:paraId="2B11DF39">
      <w:pPr>
        <w:pageBreakBefore w:val="0"/>
        <w:widowControl w:val="0"/>
        <w:kinsoku/>
        <w:wordWrap/>
        <w:overflowPunct/>
        <w:topLinePunct w:val="0"/>
        <w:bidi w:val="0"/>
        <w:adjustRightInd/>
        <w:snapToGrid/>
        <w:spacing w:line="360" w:lineRule="auto"/>
        <w:ind w:right="0" w:rightChars="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服务名称: </w:t>
      </w:r>
      <w:r>
        <w:rPr>
          <w:rStyle w:val="34"/>
          <w:rFonts w:hint="eastAsia" w:ascii="仿宋" w:hAnsi="仿宋" w:eastAsia="仿宋" w:cs="仿宋"/>
          <w:color w:val="auto"/>
          <w:szCs w:val="21"/>
          <w:highlight w:val="none"/>
          <w:lang w:eastAsia="zh-CN"/>
        </w:rPr>
        <w:t>石林彝族自治县行政中心室外绿化管养外包服务（2025-2028年）</w:t>
      </w:r>
    </w:p>
    <w:p w14:paraId="0D6E3B69">
      <w:pPr>
        <w:pageBreakBefore w:val="0"/>
        <w:widowControl w:val="0"/>
        <w:kinsoku/>
        <w:wordWrap/>
        <w:overflowPunct/>
        <w:topLinePunct w:val="0"/>
        <w:bidi w:val="0"/>
        <w:adjustRightInd/>
        <w:snapToGrid/>
        <w:spacing w:line="360" w:lineRule="auto"/>
        <w:ind w:right="0" w:rightChars="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    服务地点：</w:t>
      </w:r>
      <w:r>
        <w:rPr>
          <w:rFonts w:hint="eastAsia" w:ascii="仿宋" w:hAnsi="仿宋" w:eastAsia="仿宋" w:cs="仿宋"/>
          <w:color w:val="auto"/>
          <w:sz w:val="21"/>
          <w:szCs w:val="21"/>
          <w:highlight w:val="none"/>
          <w:lang w:val="en-US" w:eastAsia="zh-CN"/>
        </w:rPr>
        <w:t>石林县行政中心</w:t>
      </w:r>
    </w:p>
    <w:p w14:paraId="336C57AD">
      <w:pPr>
        <w:pageBreakBefore w:val="0"/>
        <w:widowControl w:val="0"/>
        <w:kinsoku/>
        <w:wordWrap/>
        <w:overflowPunct/>
        <w:topLinePunct w:val="0"/>
        <w:bidi w:val="0"/>
        <w:adjustRightInd/>
        <w:snapToGrid/>
        <w:spacing w:line="360" w:lineRule="auto"/>
        <w:ind w:right="0" w:rightChars="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服务范围：石林彝族自治县行政中心的室外绿化管养，园林设施设备保洁、看护，</w:t>
      </w:r>
      <w:r>
        <w:rPr>
          <w:rFonts w:hint="eastAsia" w:ascii="仿宋" w:hAnsi="仿宋" w:eastAsia="仿宋" w:cs="仿宋"/>
          <w:color w:val="auto"/>
          <w:sz w:val="21"/>
          <w:szCs w:val="21"/>
          <w:highlight w:val="none"/>
          <w:lang w:val="en-US" w:eastAsia="zh-CN"/>
        </w:rPr>
        <w:t>绿化带</w:t>
      </w:r>
      <w:r>
        <w:rPr>
          <w:rFonts w:hint="eastAsia" w:ascii="仿宋" w:hAnsi="仿宋" w:eastAsia="仿宋" w:cs="仿宋"/>
          <w:color w:val="auto"/>
          <w:sz w:val="21"/>
          <w:szCs w:val="21"/>
          <w:highlight w:val="none"/>
        </w:rPr>
        <w:t>垃圾清运</w:t>
      </w:r>
      <w:r>
        <w:rPr>
          <w:rFonts w:hint="eastAsia" w:ascii="仿宋" w:hAnsi="仿宋" w:eastAsia="仿宋" w:cs="仿宋"/>
          <w:color w:val="auto"/>
          <w:sz w:val="21"/>
          <w:szCs w:val="21"/>
          <w:highlight w:val="none"/>
          <w:lang w:val="en-US" w:eastAsia="zh-CN"/>
        </w:rPr>
        <w:t>及指定</w:t>
      </w:r>
      <w:r>
        <w:rPr>
          <w:rFonts w:hint="eastAsia" w:ascii="仿宋" w:hAnsi="仿宋" w:eastAsia="仿宋" w:cs="仿宋"/>
          <w:color w:val="auto"/>
          <w:sz w:val="21"/>
          <w:szCs w:val="21"/>
          <w:highlight w:val="none"/>
        </w:rPr>
        <w:t>室内</w:t>
      </w:r>
      <w:r>
        <w:rPr>
          <w:rFonts w:hint="eastAsia" w:ascii="仿宋" w:hAnsi="仿宋" w:eastAsia="仿宋" w:cs="仿宋"/>
          <w:color w:val="auto"/>
          <w:sz w:val="21"/>
          <w:szCs w:val="21"/>
          <w:highlight w:val="none"/>
          <w:lang w:val="en-US" w:eastAsia="zh-CN"/>
        </w:rPr>
        <w:t>植物的</w:t>
      </w:r>
      <w:r>
        <w:rPr>
          <w:rFonts w:hint="eastAsia" w:ascii="仿宋" w:hAnsi="仿宋" w:eastAsia="仿宋" w:cs="仿宋"/>
          <w:color w:val="auto"/>
          <w:sz w:val="21"/>
          <w:szCs w:val="21"/>
          <w:highlight w:val="none"/>
        </w:rPr>
        <w:t>购置摆放及管理养护。</w:t>
      </w:r>
    </w:p>
    <w:p w14:paraId="0FAE8D66">
      <w:pPr>
        <w:pageBreakBefore w:val="0"/>
        <w:widowControl w:val="0"/>
        <w:kinsoku/>
        <w:wordWrap/>
        <w:overflowPunct/>
        <w:topLinePunct w:val="0"/>
        <w:autoSpaceDE w:val="0"/>
        <w:autoSpaceDN w:val="0"/>
        <w:bidi w:val="0"/>
        <w:adjustRightInd/>
        <w:snapToGrid/>
        <w:spacing w:line="360" w:lineRule="auto"/>
        <w:ind w:right="0" w:rightChars="0" w:firstLine="422" w:firstLineChars="200"/>
        <w:jc w:val="lef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第二条 服务内容</w:t>
      </w:r>
    </w:p>
    <w:p w14:paraId="73EF403B">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县行政中心四个内庭、室外绿化植物约27702.73平米绿化的日常管养、补种工作及县行政中心A区门口两棵清香树的日常管养。</w:t>
      </w:r>
    </w:p>
    <w:p w14:paraId="6A80D64F">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2.行政中心A区一楼大厅（电子屏前）绿植购置、摆放和养护管理。</w:t>
      </w:r>
    </w:p>
    <w:p w14:paraId="78E01671">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3.县行政中心</w:t>
      </w:r>
      <w:r>
        <w:rPr>
          <w:rFonts w:hint="eastAsia" w:ascii="仿宋" w:hAnsi="仿宋" w:eastAsia="仿宋" w:cs="仿宋"/>
          <w:color w:val="auto"/>
          <w:sz w:val="21"/>
          <w:szCs w:val="21"/>
          <w:highlight w:val="none"/>
          <w:lang w:val="en-US" w:eastAsia="zh-CN"/>
        </w:rPr>
        <w:t>绿地绿化管养范围内</w:t>
      </w:r>
      <w:r>
        <w:rPr>
          <w:rFonts w:hint="eastAsia" w:ascii="仿宋" w:hAnsi="仿宋" w:eastAsia="仿宋" w:cs="仿宋"/>
          <w:color w:val="auto"/>
          <w:sz w:val="21"/>
          <w:szCs w:val="21"/>
          <w:highlight w:val="none"/>
        </w:rPr>
        <w:t>垃圾的收集、清运。</w:t>
      </w:r>
    </w:p>
    <w:p w14:paraId="13AF28C7">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4.县行政中心室外绿化区域警示标牌、植物铭牌的制作、安装、管理。</w:t>
      </w:r>
    </w:p>
    <w:p w14:paraId="6155B993">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5.做好绿化档案电子版和纸质版的建档及管理。</w:t>
      </w:r>
    </w:p>
    <w:p w14:paraId="2CABE3B5">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6.项目服务时间为每天不少于8小时。</w:t>
      </w:r>
    </w:p>
    <w:p w14:paraId="67DE2125">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.按甲方要求呈现园林景观效果。安全操作，防止各种伤害事故及人员伤亡。</w:t>
      </w:r>
    </w:p>
    <w:p w14:paraId="58FF55E7">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.按甲方要求做好各级各类别的迎检考核工作。</w:t>
      </w:r>
    </w:p>
    <w:p w14:paraId="73FFF847">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9</w:t>
      </w:r>
      <w:r>
        <w:rPr>
          <w:rFonts w:hint="eastAsia" w:ascii="仿宋" w:hAnsi="仿宋" w:eastAsia="仿宋" w:cs="仿宋"/>
          <w:color w:val="auto"/>
          <w:sz w:val="21"/>
          <w:szCs w:val="21"/>
          <w:highlight w:val="none"/>
        </w:rPr>
        <w:t>.完成甲方临时交办的工作。</w:t>
      </w:r>
    </w:p>
    <w:p w14:paraId="410E7C2F">
      <w:pPr>
        <w:pageBreakBefore w:val="0"/>
        <w:widowControl w:val="0"/>
        <w:numPr>
          <w:ilvl w:val="0"/>
          <w:numId w:val="3"/>
        </w:numPr>
        <w:kinsoku/>
        <w:wordWrap/>
        <w:overflowPunct/>
        <w:topLinePunct w:val="0"/>
        <w:autoSpaceDE w:val="0"/>
        <w:autoSpaceDN w:val="0"/>
        <w:bidi w:val="0"/>
        <w:adjustRightInd/>
        <w:snapToGrid/>
        <w:spacing w:line="360" w:lineRule="auto"/>
        <w:ind w:right="0" w:rightChars="0" w:firstLine="422" w:firstLineChars="200"/>
        <w:jc w:val="left"/>
        <w:textAlignment w:val="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组织、人员标准</w:t>
      </w:r>
    </w:p>
    <w:p w14:paraId="4C6601A2">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（一）服务组织</w:t>
      </w:r>
    </w:p>
    <w:p w14:paraId="236FB94C">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项目必须建立基本制度和质量要求规范。</w:t>
      </w:r>
    </w:p>
    <w:p w14:paraId="7AA007FF">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项目必须设有质量、培训、服务等专职管理人员。</w:t>
      </w:r>
    </w:p>
    <w:p w14:paraId="215AB21F">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项目必须有详细的员工培训计划、方案。</w:t>
      </w:r>
    </w:p>
    <w:p w14:paraId="2B41FAAF">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项目应具有绿化管养应急处理能力，建立突发事件应急管理预案。</w:t>
      </w:r>
    </w:p>
    <w:p w14:paraId="1EC0D3CD">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项目按月、季度、半年、年制定详细的植物养护计划，经采购人同意后实施。</w:t>
      </w:r>
    </w:p>
    <w:p w14:paraId="133F7A09">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绿化管养人员必须定岗到人、划片到人，有详细的工作流程，并按工作流程作业。</w:t>
      </w:r>
    </w:p>
    <w:p w14:paraId="188C683B">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（二）人员要求</w:t>
      </w:r>
    </w:p>
    <w:p w14:paraId="077829C8">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项目服务人员每天在岗总人数不得少于 9人，其中管理技术人员（经理、主管、领班、专业技术人员）不得少于 6人。</w:t>
      </w:r>
    </w:p>
    <w:p w14:paraId="28331520">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2.项目须配备持有园林绿化工程师证或单位签约的园林绿化助理工程师的技术人员 1人。</w:t>
      </w:r>
    </w:p>
    <w:p w14:paraId="25B8C569">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3.投标时承诺派驻的项目经理及管理技术人员，非经采购人书面同意，合同期内不得更换。</w:t>
      </w:r>
    </w:p>
    <w:p w14:paraId="5B6106D9">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4.项目经理及管理技术人员必须24小时保持通讯畅通。</w:t>
      </w:r>
    </w:p>
    <w:p w14:paraId="74F40341">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服务人员必须经过岗前培训后，统一持证着装上岗，服务人员不得大声喧哗，不得与机关工作人员和办事人员发生争吵，非必要时，不得两人以上同时作业。</w:t>
      </w:r>
    </w:p>
    <w:p w14:paraId="649B219C">
      <w:pPr>
        <w:pageBreakBefore w:val="0"/>
        <w:widowControl w:val="0"/>
        <w:kinsoku/>
        <w:wordWrap/>
        <w:overflowPunct/>
        <w:topLinePunct w:val="0"/>
        <w:bidi w:val="0"/>
        <w:adjustRightInd/>
        <w:snapToGrid/>
        <w:spacing w:line="360" w:lineRule="auto"/>
        <w:ind w:right="0" w:rightChars="0" w:firstLine="48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项目所有人员必须无犯罪记录。</w:t>
      </w:r>
    </w:p>
    <w:p w14:paraId="7F40A9DC">
      <w:pPr>
        <w:pageBreakBefore w:val="0"/>
        <w:widowControl w:val="0"/>
        <w:kinsoku/>
        <w:wordWrap/>
        <w:overflowPunct/>
        <w:topLinePunct w:val="0"/>
        <w:autoSpaceDE w:val="0"/>
        <w:autoSpaceDN w:val="0"/>
        <w:bidi w:val="0"/>
        <w:adjustRightInd/>
        <w:snapToGrid/>
        <w:spacing w:line="360" w:lineRule="auto"/>
        <w:ind w:right="0" w:rightChars="0" w:firstLine="422" w:firstLineChars="200"/>
        <w:jc w:val="lef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第</w:t>
      </w:r>
      <w:r>
        <w:rPr>
          <w:rFonts w:hint="eastAsia" w:ascii="仿宋" w:hAnsi="仿宋" w:eastAsia="仿宋" w:cs="仿宋"/>
          <w:b/>
          <w:color w:val="auto"/>
          <w:sz w:val="21"/>
          <w:szCs w:val="21"/>
          <w:highlight w:val="none"/>
          <w:lang w:val="en-US" w:eastAsia="zh-CN"/>
        </w:rPr>
        <w:t>四</w:t>
      </w:r>
      <w:r>
        <w:rPr>
          <w:rFonts w:hint="eastAsia" w:ascii="仿宋" w:hAnsi="仿宋" w:eastAsia="仿宋" w:cs="仿宋"/>
          <w:b/>
          <w:color w:val="auto"/>
          <w:sz w:val="21"/>
          <w:szCs w:val="21"/>
          <w:highlight w:val="none"/>
        </w:rPr>
        <w:t>条 合同期限</w:t>
      </w:r>
    </w:p>
    <w:p w14:paraId="56021E5B">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本合同期限为</w:t>
      </w:r>
      <w:r>
        <w:rPr>
          <w:rFonts w:hint="eastAsia" w:ascii="仿宋" w:hAnsi="仿宋" w:eastAsia="仿宋" w:cs="仿宋"/>
          <w:color w:val="auto"/>
          <w:sz w:val="21"/>
          <w:szCs w:val="21"/>
          <w:highlight w:val="none"/>
          <w:lang w:val="en-US" w:eastAsia="zh-CN"/>
        </w:rPr>
        <w:t>一</w:t>
      </w:r>
      <w:r>
        <w:rPr>
          <w:rFonts w:hint="eastAsia" w:ascii="仿宋" w:hAnsi="仿宋" w:eastAsia="仿宋" w:cs="仿宋"/>
          <w:color w:val="auto"/>
          <w:sz w:val="21"/>
          <w:szCs w:val="21"/>
          <w:highlight w:val="none"/>
        </w:rPr>
        <w:t>年，自</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日起至</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日止。</w:t>
      </w:r>
    </w:p>
    <w:p w14:paraId="459F4AD0">
      <w:pPr>
        <w:pageBreakBefore w:val="0"/>
        <w:widowControl w:val="0"/>
        <w:numPr>
          <w:ilvl w:val="0"/>
          <w:numId w:val="0"/>
        </w:numPr>
        <w:kinsoku/>
        <w:wordWrap/>
        <w:overflowPunct/>
        <w:topLinePunct w:val="0"/>
        <w:autoSpaceDE w:val="0"/>
        <w:autoSpaceDN w:val="0"/>
        <w:bidi w:val="0"/>
        <w:adjustRightInd/>
        <w:snapToGrid/>
        <w:spacing w:line="360" w:lineRule="auto"/>
        <w:ind w:right="0" w:rightChars="0" w:firstLine="422" w:firstLineChars="200"/>
        <w:jc w:val="left"/>
        <w:textAlignment w:val="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第五条 管养服务费</w:t>
      </w:r>
    </w:p>
    <w:p w14:paraId="7256501B">
      <w:pPr>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1.县行政中心室外绿化管理管养服务费(中标价)人民币</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元/年。服务费按季支付，平均每季度支付人民币</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元(大写：</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)，经甲方考核合格后统一支付。</w:t>
      </w:r>
    </w:p>
    <w:p w14:paraId="24F2F467">
      <w:pPr>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2.合同价款调整：</w:t>
      </w:r>
    </w:p>
    <w:p w14:paraId="38836C53">
      <w:pPr>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lang w:val="en-US" w:eastAsia="zh-CN"/>
        </w:rPr>
        <w:t>甲方每季度对乙方服务情况进行全面考核评定，测评方案由采购方制定，可根据不同时期的要求进行调整;</w:t>
      </w:r>
      <w:r>
        <w:rPr>
          <w:rFonts w:hint="eastAsia" w:ascii="仿宋" w:hAnsi="仿宋" w:eastAsia="仿宋" w:cs="仿宋"/>
          <w:color w:val="auto"/>
          <w:sz w:val="21"/>
          <w:szCs w:val="21"/>
          <w:highlight w:val="none"/>
          <w:u w:val="single"/>
          <w:lang w:val="en-US" w:eastAsia="zh-CN"/>
        </w:rPr>
        <w:t>季度测评分值低于80分，采购方将按照比例扣减当季度合同价款；</w:t>
      </w:r>
    </w:p>
    <w:p w14:paraId="6C5FB4D5">
      <w:pPr>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u w:val="single"/>
          <w:lang w:val="en-US" w:eastAsia="zh-CN"/>
        </w:rPr>
        <w:t>扣减公式如下：</w:t>
      </w:r>
    </w:p>
    <w:p w14:paraId="1D02D0BF">
      <w:pPr>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u w:val="single"/>
          <w:lang w:val="en-US" w:eastAsia="zh-CN"/>
        </w:rPr>
        <w:t>（80-当次测评分值)/100%x每季度合同价款=扣减价款</w:t>
      </w:r>
    </w:p>
    <w:p w14:paraId="7458BDFF">
      <w:pPr>
        <w:pageBreakBefore w:val="0"/>
        <w:widowControl w:val="0"/>
        <w:numPr>
          <w:ilvl w:val="0"/>
          <w:numId w:val="0"/>
        </w:numPr>
        <w:kinsoku/>
        <w:wordWrap/>
        <w:overflowPunct/>
        <w:topLinePunct w:val="0"/>
        <w:autoSpaceDE w:val="0"/>
        <w:autoSpaceDN w:val="0"/>
        <w:bidi w:val="0"/>
        <w:adjustRightInd/>
        <w:snapToGrid/>
        <w:spacing w:line="360" w:lineRule="auto"/>
        <w:ind w:right="0" w:rightChars="0" w:firstLine="422" w:firstLineChars="200"/>
        <w:jc w:val="left"/>
        <w:textAlignment w:val="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第六条</w:t>
      </w:r>
      <w:bookmarkStart w:id="16" w:name="_Toc80953747"/>
      <w:bookmarkStart w:id="17" w:name="_Toc467576295"/>
      <w:r>
        <w:rPr>
          <w:rFonts w:hint="eastAsia" w:ascii="仿宋" w:hAnsi="仿宋" w:eastAsia="仿宋" w:cs="仿宋"/>
          <w:b/>
          <w:color w:val="auto"/>
          <w:sz w:val="21"/>
          <w:szCs w:val="21"/>
          <w:highlight w:val="none"/>
          <w:lang w:val="en-US" w:eastAsia="zh-CN"/>
        </w:rPr>
        <w:t xml:space="preserve"> 费用界定</w:t>
      </w:r>
      <w:bookmarkEnd w:id="16"/>
      <w:bookmarkEnd w:id="17"/>
    </w:p>
    <w:p w14:paraId="09470B63">
      <w:pPr>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仿宋" w:hAnsi="仿宋" w:eastAsia="仿宋" w:cs="仿宋"/>
          <w:color w:val="auto"/>
          <w:sz w:val="21"/>
          <w:szCs w:val="21"/>
          <w:highlight w:val="none"/>
          <w:lang w:val="en-US" w:eastAsia="zh-CN"/>
        </w:rPr>
      </w:pPr>
      <w:bookmarkStart w:id="18" w:name="_Toc359315302"/>
      <w:r>
        <w:rPr>
          <w:rFonts w:hint="eastAsia" w:ascii="仿宋" w:hAnsi="仿宋" w:eastAsia="仿宋" w:cs="仿宋"/>
          <w:color w:val="auto"/>
          <w:sz w:val="21"/>
          <w:szCs w:val="21"/>
          <w:highlight w:val="none"/>
          <w:lang w:val="en-US" w:eastAsia="zh-CN"/>
        </w:rPr>
        <w:t xml:space="preserve"> （一）甲方负责费用</w:t>
      </w:r>
    </w:p>
    <w:p w14:paraId="73521EB4">
      <w:pPr>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1.负责项目范围内所有水电费支出。</w:t>
      </w:r>
    </w:p>
    <w:p w14:paraId="4BEFB216">
      <w:pPr>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2.绿化带内水、电等设施设备的维修支出(若因服务方管理或人为等因素造成，须由服务方负责)。  </w:t>
      </w:r>
    </w:p>
    <w:p w14:paraId="645FF33C">
      <w:pPr>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 （二）乙方负责费用</w:t>
      </w:r>
    </w:p>
    <w:bookmarkEnd w:id="18"/>
    <w:p w14:paraId="0655E93C">
      <w:pPr>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（1）乙方人员工资、社会保险、加班费、服装费等费用。</w:t>
      </w:r>
    </w:p>
    <w:p w14:paraId="71BAA8AF">
      <w:pPr>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（2）绿地绿化管养范围内植物修剪打药等机械工具购置使用费;绿化垃圾收集清运处理费;植物防寒防冻材料购置费;农药、化肥肥料、植物助长剂、植物营养液购置等费用。</w:t>
      </w:r>
    </w:p>
    <w:p w14:paraId="533080A8">
      <w:pPr>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（3）乙方办公费、管理费、培训费、税费等费用。</w:t>
      </w:r>
    </w:p>
    <w:p w14:paraId="4ADEDE2D">
      <w:pPr>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（4）行政中心A区一楼大厅（电子屏前）绿植购置费、摆放和养护管理费。</w:t>
      </w:r>
    </w:p>
    <w:p w14:paraId="7A4FA3FE">
      <w:pPr>
        <w:pageBreakBefore w:val="0"/>
        <w:widowControl w:val="0"/>
        <w:numPr>
          <w:ilvl w:val="0"/>
          <w:numId w:val="0"/>
        </w:numPr>
        <w:kinsoku/>
        <w:wordWrap/>
        <w:overflowPunct/>
        <w:topLinePunct w:val="0"/>
        <w:autoSpaceDE w:val="0"/>
        <w:autoSpaceDN w:val="0"/>
        <w:bidi w:val="0"/>
        <w:adjustRightInd/>
        <w:snapToGrid/>
        <w:spacing w:line="360" w:lineRule="auto"/>
        <w:ind w:right="0" w:rightChars="0" w:firstLine="422" w:firstLineChars="200"/>
        <w:jc w:val="left"/>
        <w:textAlignment w:val="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第七条 甲方权利和义务</w:t>
      </w:r>
    </w:p>
    <w:p w14:paraId="44C176CF">
      <w:pPr>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1.负责对乙方制定的绿化管理养护、植物花卉摆放计划和方案进行审核，并监督乙方实施绿化管理养护、植物花卉摆放养护等工作。</w:t>
      </w:r>
    </w:p>
    <w:p w14:paraId="5C75FD36">
      <w:pPr>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2.负责审核乙方年度管养计划，并按本合同及时支付乙方绿化管理养护服务费用。</w:t>
      </w:r>
    </w:p>
    <w:p w14:paraId="27676840">
      <w:pPr>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3.对乙方提供的服务实施监督检查，按季度进行考核评定，如因乙方原因造成重大经济损失或管理失误，经主管部门认定，甲方有权单方解除本合同。</w:t>
      </w:r>
    </w:p>
    <w:p w14:paraId="3D8354A6">
      <w:pPr>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4.甲方在本合同生效之日起，无偿向乙方提供管理服务用房一间。</w:t>
      </w:r>
    </w:p>
    <w:p w14:paraId="57E913B0">
      <w:pPr>
        <w:pageBreakBefore w:val="0"/>
        <w:widowControl w:val="0"/>
        <w:kinsoku/>
        <w:wordWrap/>
        <w:overflowPunct/>
        <w:topLinePunct w:val="0"/>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5.县行政中心A区门口两棵清香树入属于不可抗力原因和正常死亡的，甲方应立即购买更换。 </w:t>
      </w:r>
    </w:p>
    <w:p w14:paraId="11BF2545">
      <w:pPr>
        <w:pageBreakBefore w:val="0"/>
        <w:widowControl w:val="0"/>
        <w:kinsoku/>
        <w:wordWrap/>
        <w:overflowPunct/>
        <w:topLinePunct w:val="0"/>
        <w:autoSpaceDE w:val="0"/>
        <w:autoSpaceDN w:val="0"/>
        <w:bidi w:val="0"/>
        <w:adjustRightInd/>
        <w:snapToGrid/>
        <w:spacing w:line="360" w:lineRule="auto"/>
        <w:ind w:right="0" w:rightChars="0" w:firstLine="422" w:firstLineChars="200"/>
        <w:jc w:val="lef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val="en-US" w:eastAsia="zh-CN"/>
        </w:rPr>
        <w:t>第八</w:t>
      </w:r>
      <w:r>
        <w:rPr>
          <w:rFonts w:hint="eastAsia" w:ascii="仿宋" w:hAnsi="仿宋" w:eastAsia="仿宋" w:cs="仿宋"/>
          <w:b/>
          <w:color w:val="auto"/>
          <w:sz w:val="21"/>
          <w:szCs w:val="21"/>
          <w:highlight w:val="none"/>
        </w:rPr>
        <w:t>条 乙方权利和义务</w:t>
      </w:r>
    </w:p>
    <w:p w14:paraId="06466068">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1.制订管理服务过程中的各项管理办法、规章制度、实施细则，自主开展各项管理活动，但不得获取不当利益。</w:t>
      </w:r>
    </w:p>
    <w:p w14:paraId="289B4FA8">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2.负责编制绿化管理养护、花卉摆放养护计划。</w:t>
      </w:r>
    </w:p>
    <w:p w14:paraId="3F92D3E5">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3.每月</w:t>
      </w:r>
      <w:r>
        <w:rPr>
          <w:rFonts w:hint="eastAsia" w:ascii="仿宋" w:hAnsi="仿宋" w:eastAsia="仿宋" w:cs="仿宋"/>
          <w:color w:val="auto"/>
          <w:sz w:val="21"/>
          <w:szCs w:val="21"/>
          <w:highlight w:val="none"/>
          <w:lang w:val="en-US" w:eastAsia="zh-CN"/>
        </w:rPr>
        <w:t>25</w:t>
      </w:r>
      <w:r>
        <w:rPr>
          <w:rFonts w:hint="eastAsia" w:ascii="仿宋" w:hAnsi="仿宋" w:eastAsia="仿宋" w:cs="仿宋"/>
          <w:color w:val="auto"/>
          <w:sz w:val="21"/>
          <w:szCs w:val="21"/>
          <w:highlight w:val="none"/>
        </w:rPr>
        <w:t>日前必须向甲方提交下月绿化管理养护作业计划，经甲方审定后，方可落实实施。落实甲方关于管理养护工作要求。</w:t>
      </w:r>
    </w:p>
    <w:p w14:paraId="131D0745">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4.使用及维护绿化</w:t>
      </w:r>
      <w:r>
        <w:rPr>
          <w:rFonts w:hint="eastAsia" w:ascii="仿宋" w:hAnsi="仿宋" w:eastAsia="仿宋" w:cs="仿宋"/>
          <w:color w:val="auto"/>
          <w:sz w:val="21"/>
          <w:szCs w:val="21"/>
          <w:highlight w:val="none"/>
          <w:lang w:val="en-US" w:eastAsia="zh-CN"/>
        </w:rPr>
        <w:t>管养范围内水龙头、</w:t>
      </w:r>
      <w:r>
        <w:rPr>
          <w:rFonts w:hint="eastAsia" w:ascii="仿宋" w:hAnsi="仿宋" w:eastAsia="仿宋" w:cs="仿宋"/>
          <w:color w:val="auto"/>
          <w:sz w:val="21"/>
          <w:szCs w:val="21"/>
          <w:highlight w:val="none"/>
        </w:rPr>
        <w:t>喷头</w:t>
      </w:r>
      <w:r>
        <w:rPr>
          <w:rFonts w:hint="eastAsia" w:ascii="仿宋" w:hAnsi="仿宋" w:eastAsia="仿宋" w:cs="仿宋"/>
          <w:color w:val="auto"/>
          <w:sz w:val="21"/>
          <w:szCs w:val="21"/>
          <w:highlight w:val="none"/>
          <w:lang w:val="en-US" w:eastAsia="zh-CN"/>
        </w:rPr>
        <w:t>等供水设施</w:t>
      </w:r>
      <w:r>
        <w:rPr>
          <w:rFonts w:hint="eastAsia" w:ascii="仿宋" w:hAnsi="仿宋" w:eastAsia="仿宋" w:cs="仿宋"/>
          <w:color w:val="auto"/>
          <w:sz w:val="21"/>
          <w:szCs w:val="21"/>
          <w:highlight w:val="none"/>
        </w:rPr>
        <w:t>。因乙方原因造成甲方设施、设备损坏的，由乙方负责赔偿或修复。</w:t>
      </w:r>
    </w:p>
    <w:p w14:paraId="54A62EE6">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乙方保证服务范围内的植物、地被长势良好。因乙方养护不到位，防霜冻、防虫害措不到位等责任造成甲方植物、地被长势不良或死亡的由乙方负责赔偿、更换、修复，并按原品种、原规格在甲方规定时间内补齐。</w:t>
      </w:r>
    </w:p>
    <w:p w14:paraId="0524E4C5">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.制定应急抢险预案，如遇大风、水浸、火警等意外情况，乙方有义务在甲方的统一指挥下参加抢险工作，提供紧急服务。</w:t>
      </w:r>
    </w:p>
    <w:p w14:paraId="46DB6AA0">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.对服务范围内的地被植物、灌木养护进行优化。经甲方同意，局部可以在行政中心内进行调整、培育，补齐所缺苗木。</w:t>
      </w:r>
    </w:p>
    <w:p w14:paraId="3998BD46">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.乙方在合同履行期间及合同终止后，应保守在为甲方服务过程中所知悉的技术秘密、商业秘密等，不得外泄。</w:t>
      </w:r>
    </w:p>
    <w:p w14:paraId="0AC5FD37">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9.</w:t>
      </w:r>
      <w:r>
        <w:rPr>
          <w:rFonts w:hint="eastAsia" w:ascii="仿宋" w:hAnsi="仿宋" w:eastAsia="仿宋" w:cs="仿宋"/>
          <w:color w:val="auto"/>
          <w:sz w:val="21"/>
          <w:szCs w:val="21"/>
          <w:highlight w:val="none"/>
        </w:rPr>
        <w:t>乙方负责提供绿化管理养护、花卉摆放服务所需的植物、化肥、农药等，并保证符合《中华人民共和国产品质量法》及相关行业标准等有关法律法规的要求</w:t>
      </w:r>
      <w:r>
        <w:rPr>
          <w:rFonts w:hint="eastAsia" w:ascii="仿宋" w:hAnsi="仿宋" w:eastAsia="仿宋" w:cs="仿宋"/>
          <w:color w:val="auto"/>
          <w:sz w:val="21"/>
          <w:szCs w:val="21"/>
          <w:highlight w:val="none"/>
          <w:lang w:eastAsia="zh-CN"/>
        </w:rPr>
        <w:t>。</w:t>
      </w:r>
    </w:p>
    <w:p w14:paraId="3371609F">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10.需配合甲方做好县行政中心的节能工作，并有相应的措施。</w:t>
      </w:r>
    </w:p>
    <w:p w14:paraId="52363CBD">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11</w:t>
      </w:r>
      <w:r>
        <w:rPr>
          <w:rFonts w:hint="eastAsia" w:ascii="仿宋" w:hAnsi="仿宋" w:eastAsia="仿宋" w:cs="仿宋"/>
          <w:color w:val="auto"/>
          <w:sz w:val="21"/>
          <w:szCs w:val="21"/>
          <w:highlight w:val="none"/>
        </w:rPr>
        <w:t>.对公用设施不得擅自占用和改变使用功能。如需改扩建完善配套项目，须报甲方和有关部门批准后方可实施。</w:t>
      </w:r>
    </w:p>
    <w:p w14:paraId="032C67B7">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.建立服务管理档案并负责及时记载有关变更情况。</w:t>
      </w:r>
    </w:p>
    <w:p w14:paraId="4A50255E">
      <w:pPr>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合同签订前，乙方向甲方缴纳</w:t>
      </w:r>
      <w:r>
        <w:rPr>
          <w:rFonts w:hint="eastAsia" w:ascii="仿宋" w:hAnsi="仿宋" w:eastAsia="仿宋" w:cs="仿宋"/>
          <w:color w:val="auto"/>
          <w:sz w:val="21"/>
          <w:szCs w:val="21"/>
          <w:highlight w:val="none"/>
        </w:rPr>
        <w:t>合同总金额的</w:t>
      </w: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rPr>
        <w:t>%作为</w:t>
      </w:r>
      <w:r>
        <w:rPr>
          <w:rFonts w:hint="eastAsia" w:ascii="仿宋" w:hAnsi="仿宋" w:eastAsia="仿宋" w:cs="仿宋"/>
          <w:color w:val="auto"/>
          <w:sz w:val="21"/>
          <w:szCs w:val="21"/>
          <w:highlight w:val="none"/>
          <w:lang w:val="en-US" w:eastAsia="zh-CN"/>
        </w:rPr>
        <w:t>履约保证金，共计人民币元整（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元）。合同期满若无违反国家有关法规及行政中心相关管理规定、无整改不到位或不及时等情况，甲方需在合同期满一周内无息退还乙方。若因乙方违反合同或相关规定被扣除履约保证金的，乙方必须在一周内补齐保证金。</w:t>
      </w:r>
    </w:p>
    <w:p w14:paraId="49BDBB40">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.如乙方员工在县行政中心内发生犯罪或罢工、上访等群体性事件，扣除全部保证金作为违约金</w:t>
      </w:r>
      <w:r>
        <w:rPr>
          <w:rFonts w:hint="eastAsia" w:ascii="仿宋" w:hAnsi="仿宋" w:eastAsia="仿宋" w:cs="仿宋"/>
          <w:color w:val="auto"/>
          <w:sz w:val="21"/>
          <w:szCs w:val="21"/>
          <w:highlight w:val="none"/>
          <w:lang w:val="en-US" w:eastAsia="zh-CN"/>
        </w:rPr>
        <w:t>并解除合同</w:t>
      </w:r>
      <w:r>
        <w:rPr>
          <w:rFonts w:hint="eastAsia" w:ascii="仿宋" w:hAnsi="仿宋" w:eastAsia="仿宋" w:cs="仿宋"/>
          <w:color w:val="auto"/>
          <w:sz w:val="21"/>
          <w:szCs w:val="21"/>
          <w:highlight w:val="none"/>
        </w:rPr>
        <w:t>。</w:t>
      </w:r>
    </w:p>
    <w:p w14:paraId="1E017FC0">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乙方须按投标文件承诺派驻持有园林绿化工程师证或单位签约的园林绿化助理工程师的技术人员 1人。非经甲方书面同意，乙方不得随意更换项目经理。</w:t>
      </w:r>
    </w:p>
    <w:p w14:paraId="2A3EB50B">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.乙方在县行政中心工作的所有员工，必须经辖区派出所政审，出具无犯罪记录证明。</w:t>
      </w:r>
    </w:p>
    <w:p w14:paraId="4845DC3A">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.乙方工作人员的劳动责任关系是乙方负责人，乙方工作人员的食宿、交通、人身安全、人员工资、社会保险、加班费、服装费等费用由乙方自行负责。</w:t>
      </w:r>
      <w:r>
        <w:rPr>
          <w:rFonts w:hint="eastAsia" w:ascii="仿宋" w:hAnsi="仿宋" w:eastAsia="仿宋" w:cs="仿宋"/>
          <w:color w:val="auto"/>
          <w:sz w:val="21"/>
          <w:szCs w:val="21"/>
          <w:highlight w:val="none"/>
          <w:lang w:val="en-US" w:eastAsia="zh-CN"/>
        </w:rPr>
        <w:t>若在工作过程中造成安全事故或造成他人人身安全事故的，由乙方负责。</w:t>
      </w:r>
    </w:p>
    <w:p w14:paraId="08A4DD42">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18</w:t>
      </w:r>
      <w:r>
        <w:rPr>
          <w:rFonts w:hint="eastAsia" w:ascii="仿宋" w:hAnsi="仿宋" w:eastAsia="仿宋" w:cs="仿宋"/>
          <w:color w:val="auto"/>
          <w:sz w:val="21"/>
          <w:szCs w:val="21"/>
          <w:highlight w:val="none"/>
        </w:rPr>
        <w:t>.本合同终止时，乙方必须向甲方移交委托管理的全部物品及其各类管理档案、财务等资料。如乙方不履行移交手续，影响正常物管工作，甲方有权扣除乙方的全部保证金作为违约金</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并依法追究乙方相关责任</w:t>
      </w:r>
      <w:r>
        <w:rPr>
          <w:rFonts w:hint="eastAsia" w:ascii="仿宋" w:hAnsi="仿宋" w:eastAsia="仿宋" w:cs="仿宋"/>
          <w:color w:val="auto"/>
          <w:sz w:val="21"/>
          <w:szCs w:val="21"/>
          <w:highlight w:val="none"/>
        </w:rPr>
        <w:t>。</w:t>
      </w:r>
    </w:p>
    <w:p w14:paraId="084AC401">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b w:val="0"/>
          <w:color w:val="auto"/>
          <w:spacing w:val="0"/>
          <w:kern w:val="2"/>
          <w:sz w:val="21"/>
          <w:szCs w:val="21"/>
          <w:highlight w:val="none"/>
          <w:lang w:val="en-US" w:eastAsia="zh-CN" w:bidi="ar-SA"/>
        </w:rPr>
        <w:t xml:space="preserve">19.按合同约定收取甲方支付的绿化管理养护服务费。 </w:t>
      </w:r>
      <w:r>
        <w:rPr>
          <w:rFonts w:hint="eastAsia" w:ascii="仿宋" w:hAnsi="仿宋" w:eastAsia="仿宋" w:cs="仿宋"/>
          <w:color w:val="auto"/>
          <w:sz w:val="21"/>
          <w:szCs w:val="21"/>
          <w:highlight w:val="none"/>
        </w:rPr>
        <w:t xml:space="preserve"> </w:t>
      </w:r>
    </w:p>
    <w:p w14:paraId="1E553049">
      <w:pPr>
        <w:keepNext w:val="0"/>
        <w:keepLines w:val="0"/>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b w:val="0"/>
          <w:color w:val="auto"/>
          <w:spacing w:val="0"/>
          <w:kern w:val="2"/>
          <w:sz w:val="21"/>
          <w:szCs w:val="21"/>
          <w:highlight w:val="none"/>
          <w:lang w:val="en-US" w:eastAsia="zh-CN" w:bidi="ar-SA"/>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0</w:t>
      </w:r>
      <w:r>
        <w:rPr>
          <w:rFonts w:hint="eastAsia" w:ascii="仿宋" w:hAnsi="仿宋" w:eastAsia="仿宋" w:cs="仿宋"/>
          <w:color w:val="auto"/>
          <w:sz w:val="21"/>
          <w:szCs w:val="21"/>
          <w:highlight w:val="none"/>
        </w:rPr>
        <w:t>.乙方工作人员按岗位要求统一着装、言行规范，要注意仪容仪表、公众形象。</w:t>
      </w:r>
    </w:p>
    <w:p w14:paraId="48C4DBEC">
      <w:pPr>
        <w:keepNext w:val="0"/>
        <w:keepLines w:val="0"/>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21.乙方本项目经理为：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，身份证号码：</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w:t>
      </w:r>
    </w:p>
    <w:p w14:paraId="42645FAE">
      <w:pPr>
        <w:pageBreakBefore w:val="0"/>
        <w:widowControl w:val="0"/>
        <w:numPr>
          <w:ilvl w:val="0"/>
          <w:numId w:val="0"/>
        </w:numPr>
        <w:kinsoku/>
        <w:wordWrap/>
        <w:overflowPunct/>
        <w:topLinePunct w:val="0"/>
        <w:autoSpaceDE w:val="0"/>
        <w:autoSpaceDN w:val="0"/>
        <w:bidi w:val="0"/>
        <w:adjustRightInd/>
        <w:snapToGrid/>
        <w:spacing w:line="360" w:lineRule="auto"/>
        <w:ind w:right="0" w:rightChars="0" w:firstLine="422" w:firstLineChars="200"/>
        <w:jc w:val="left"/>
        <w:textAlignment w:val="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 xml:space="preserve"> 第九条 违约责任</w:t>
      </w:r>
    </w:p>
    <w:p w14:paraId="18EB40FC">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1.如因甲方原因，造成乙方未完成服务或造成乙方经济损失的，甲方应给予乙方相应补偿。乙方有权要求甲方限期整改，并有权解除合同。</w:t>
      </w:r>
    </w:p>
    <w:p w14:paraId="69F72307">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.因乙方管理不善或操作不当等原因造成重大事故的，由乙方承担责任并负责善后处理（产生事故的原因，以政府有关部门的鉴定结论为准）。</w:t>
      </w:r>
    </w:p>
    <w:p w14:paraId="700C993A">
      <w:pPr>
        <w:pageBreakBefore w:val="0"/>
        <w:widowControl w:val="0"/>
        <w:kinsoku/>
        <w:wordWrap/>
        <w:overflowPunct/>
        <w:topLinePunct w:val="0"/>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 甲方根据工作需要安排乙方服务范围内的工作任务，乙方须在甲方通知规定的时间内完成：零星工作1小时内完成；简单工作24小时内完成；一般工作48小时内完成；复杂工作一周内完成；大的绿化改造根据具体情况确定完成时限。如在时限内未能完成任务的，其支付违约金标准为：零星工作一次人民币50元、简单工作一次人民币100元、一般工作一次人民币150元、复杂工作一次人民币200元、大的绿化改造一次人民币1000元。</w:t>
      </w:r>
    </w:p>
    <w:p w14:paraId="0DB0DED6">
      <w:pPr>
        <w:pageBreakBefore w:val="0"/>
        <w:widowControl w:val="0"/>
        <w:kinsoku/>
        <w:wordWrap/>
        <w:overflowPunct/>
        <w:topLinePunct w:val="0"/>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4.非经甲方书面同意，乙方更换项目经理扣除项目履约保证金。 </w:t>
      </w:r>
    </w:p>
    <w:p w14:paraId="619C2FD2">
      <w:pPr>
        <w:pageBreakBefore w:val="0"/>
        <w:widowControl w:val="0"/>
        <w:kinsoku/>
        <w:wordWrap/>
        <w:overflowPunct/>
        <w:topLinePunct w:val="0"/>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5.乙方必须节约用水，浇灌时必须有人值守，如果无人值守，发现一次，扣除乙方服务费50元。 </w:t>
      </w:r>
    </w:p>
    <w:p w14:paraId="366CA82E">
      <w:pPr>
        <w:pageBreakBefore w:val="0"/>
        <w:widowControl w:val="0"/>
        <w:kinsoku/>
        <w:wordWrap/>
        <w:overflowPunct/>
        <w:topLinePunct w:val="0"/>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乙方保证服务范围内的植物、地被长势良好。因乙方养护不到位，防霜冻、防虫害措施不到位等责任造成甲方27702.73万平米绿化植物、地被长势不良或死亡的由乙方负责赔偿、更换、修复，并按原品种、原规格在甲方规定时间内补齐。若未在规定时限内完成，甲方可自行采购，所需费用从乙方履约保障金及乙方服务费中扣除。</w:t>
      </w:r>
    </w:p>
    <w:p w14:paraId="6EA59DD2">
      <w:pPr>
        <w:pageBreakBefore w:val="0"/>
        <w:widowControl w:val="0"/>
        <w:kinsoku/>
        <w:wordWrap/>
        <w:overflowPunct/>
        <w:topLinePunct w:val="0"/>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7.乙方要安排专人做好县行政中心A区门口两棵清香树的日常管养。除不可抗力原因外，因乙方养护不到位，防霜冻、防虫害措施不到位等责任造成两棵清香树长势不良或死亡的由乙方负责赔偿，乙方应承担与此赔偿有关的一切费用（包括但不限于鉴定费、诉讼费等）。 </w:t>
      </w:r>
    </w:p>
    <w:p w14:paraId="226F586A">
      <w:pPr>
        <w:pageBreakBefore w:val="0"/>
        <w:widowControl w:val="0"/>
        <w:kinsoku/>
        <w:wordWrap/>
        <w:overflowPunct/>
        <w:topLinePunct w:val="0"/>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8.乙方未按甲方要求进行整改，甲方可以不支付当季度管养费，乙方拒不整改的，甲方可以解除合同，并扣除项目履约保证金。</w:t>
      </w:r>
    </w:p>
    <w:p w14:paraId="2ABA048E">
      <w:pPr>
        <w:pageBreakBefore w:val="0"/>
        <w:widowControl w:val="0"/>
        <w:kinsoku/>
        <w:wordWrap/>
        <w:overflowPunct/>
        <w:topLinePunct w:val="0"/>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9.本项目不允许转包或分包给其他主体，如出现类似情况，甲方有权无条件解除合同。</w:t>
      </w:r>
    </w:p>
    <w:p w14:paraId="0214CF0B">
      <w:pPr>
        <w:pageBreakBefore w:val="0"/>
        <w:widowControl w:val="0"/>
        <w:kinsoku/>
        <w:wordWrap/>
        <w:overflowPunct/>
        <w:topLinePunct w:val="0"/>
        <w:autoSpaceDE w:val="0"/>
        <w:autoSpaceDN w:val="0"/>
        <w:bidi w:val="0"/>
        <w:adjustRightInd/>
        <w:snapToGrid/>
        <w:spacing w:line="360" w:lineRule="auto"/>
        <w:ind w:right="0" w:rightChars="0" w:firstLine="422" w:firstLineChars="200"/>
        <w:jc w:val="lef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第十条 其他事项</w:t>
      </w:r>
    </w:p>
    <w:p w14:paraId="18936A71">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1.双方可对本合同的条款进行修订更改或补充。以书面形式签订补充合同，补充合同与本合同具有同等效力。</w:t>
      </w:r>
    </w:p>
    <w:p w14:paraId="2901FAC2">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2.本合同执行期间，如遇不可抗力，致使合同无法履行时，双方均不承担违约责任并及时协商解决。</w:t>
      </w:r>
    </w:p>
    <w:p w14:paraId="7458C5B6">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3.本合同在履行中如发生争议，双方应协商解决，</w:t>
      </w:r>
      <w:r>
        <w:rPr>
          <w:rFonts w:hint="eastAsia" w:ascii="仿宋" w:hAnsi="仿宋" w:eastAsia="仿宋" w:cs="仿宋"/>
          <w:color w:val="auto"/>
          <w:sz w:val="21"/>
          <w:szCs w:val="21"/>
          <w:highlight w:val="none"/>
          <w:lang w:val="en-US" w:eastAsia="zh-CN"/>
        </w:rPr>
        <w:t>未能达成一致意见时，任何一方均可向甲方所在地人民法院起诉。</w:t>
      </w:r>
    </w:p>
    <w:p w14:paraId="04993B2E">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4.本合同及其附件和补充合同中未规定的事项，均遵照中华人民共和国有关法律、法规和政策执行。</w:t>
      </w:r>
    </w:p>
    <w:p w14:paraId="60651568">
      <w:pPr>
        <w:pageBreakBefore w:val="0"/>
        <w:widowControl w:val="0"/>
        <w:kinsoku/>
        <w:wordWrap/>
        <w:overflowPunct/>
        <w:topLinePunct w:val="0"/>
        <w:bidi w:val="0"/>
        <w:adjustRightInd/>
        <w:snapToGrid/>
        <w:spacing w:line="360" w:lineRule="auto"/>
        <w:ind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.本合同自甲乙双方法定代表人、负责人或其授权委托人签字并加盖双方公章之日起生效。</w:t>
      </w:r>
    </w:p>
    <w:p w14:paraId="3520C0F4">
      <w:pPr>
        <w:pageBreakBefore w:val="0"/>
        <w:widowControl w:val="0"/>
        <w:kinsoku/>
        <w:wordWrap/>
        <w:overflowPunct/>
        <w:topLinePunct w:val="0"/>
        <w:autoSpaceDE w:val="0"/>
        <w:autoSpaceDN w:val="0"/>
        <w:bidi w:val="0"/>
        <w:adjustRightInd/>
        <w:snapToGrid/>
        <w:spacing w:line="360" w:lineRule="auto"/>
        <w:ind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.本合同一式四份，甲、乙双方各执二份。</w:t>
      </w:r>
    </w:p>
    <w:p w14:paraId="50210BA1">
      <w:pPr>
        <w:pStyle w:val="118"/>
        <w:pageBreakBefore w:val="0"/>
        <w:widowControl w:val="0"/>
        <w:kinsoku/>
        <w:wordWrap/>
        <w:overflowPunct/>
        <w:topLinePunct w:val="0"/>
        <w:bidi w:val="0"/>
        <w:adjustRightInd/>
        <w:snapToGrid/>
        <w:spacing w:line="360" w:lineRule="auto"/>
        <w:ind w:right="0" w:rightChars="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     7.《石林彝族自治县行政中心绿化管养</w:t>
      </w:r>
      <w:r>
        <w:rPr>
          <w:rFonts w:hint="eastAsia" w:ascii="仿宋" w:hAnsi="仿宋" w:eastAsia="仿宋" w:cs="仿宋"/>
          <w:color w:val="auto"/>
          <w:sz w:val="21"/>
          <w:szCs w:val="21"/>
          <w:highlight w:val="none"/>
          <w:lang w:val="en-US" w:eastAsia="zh-CN"/>
        </w:rPr>
        <w:t>服务</w:t>
      </w:r>
      <w:r>
        <w:rPr>
          <w:rFonts w:hint="eastAsia" w:ascii="仿宋" w:hAnsi="仿宋" w:eastAsia="仿宋" w:cs="仿宋"/>
          <w:color w:val="auto"/>
          <w:sz w:val="21"/>
          <w:szCs w:val="21"/>
          <w:highlight w:val="none"/>
        </w:rPr>
        <w:t>标准</w:t>
      </w:r>
      <w:r>
        <w:rPr>
          <w:rFonts w:hint="eastAsia" w:ascii="仿宋" w:hAnsi="仿宋" w:eastAsia="仿宋" w:cs="仿宋"/>
          <w:color w:val="auto"/>
          <w:sz w:val="21"/>
          <w:szCs w:val="21"/>
          <w:highlight w:val="none"/>
          <w:lang w:val="en-US" w:eastAsia="zh-CN"/>
        </w:rPr>
        <w:t>和</w:t>
      </w:r>
      <w:r>
        <w:rPr>
          <w:rFonts w:hint="eastAsia" w:ascii="仿宋" w:hAnsi="仿宋" w:eastAsia="仿宋" w:cs="仿宋"/>
          <w:color w:val="auto"/>
          <w:sz w:val="21"/>
          <w:szCs w:val="21"/>
          <w:highlight w:val="none"/>
        </w:rPr>
        <w:t>要求》是本合同不可分割的一部分，与本合同具有相同的法律</w:t>
      </w:r>
      <w:r>
        <w:rPr>
          <w:rFonts w:hint="eastAsia" w:ascii="仿宋" w:hAnsi="仿宋" w:eastAsia="仿宋" w:cs="仿宋"/>
          <w:color w:val="auto"/>
          <w:sz w:val="21"/>
          <w:szCs w:val="21"/>
          <w:highlight w:val="none"/>
          <w:lang w:val="en-US" w:eastAsia="zh-CN"/>
        </w:rPr>
        <w:t>效力</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若此标准和要求与合同有冲突时，以合同为准。</w:t>
      </w:r>
    </w:p>
    <w:p w14:paraId="4401A63C">
      <w:pPr>
        <w:pStyle w:val="118"/>
        <w:pageBreakBefore w:val="0"/>
        <w:widowControl w:val="0"/>
        <w:kinsoku/>
        <w:wordWrap/>
        <w:overflowPunct/>
        <w:topLinePunct w:val="0"/>
        <w:bidi w:val="0"/>
        <w:adjustRightInd/>
        <w:snapToGrid/>
        <w:spacing w:line="360" w:lineRule="auto"/>
        <w:ind w:right="0" w:rightChars="0"/>
        <w:jc w:val="left"/>
        <w:textAlignment w:val="auto"/>
        <w:rPr>
          <w:rFonts w:hint="eastAsia" w:ascii="仿宋" w:hAnsi="仿宋" w:eastAsia="仿宋" w:cs="仿宋"/>
          <w:color w:val="auto"/>
          <w:sz w:val="21"/>
          <w:szCs w:val="21"/>
          <w:highlight w:val="none"/>
          <w:lang w:val="en-US" w:eastAsia="zh-CN"/>
        </w:rPr>
      </w:pPr>
    </w:p>
    <w:p w14:paraId="73C75149">
      <w:pPr>
        <w:pageBreakBefore w:val="0"/>
        <w:kinsoku/>
        <w:wordWrap/>
        <w:overflowPunct/>
        <w:topLinePunct w:val="0"/>
        <w:bidi w:val="0"/>
        <w:adjustRightInd/>
        <w:snapToGrid/>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附件：</w:t>
      </w:r>
      <w:r>
        <w:rPr>
          <w:rFonts w:hint="eastAsia" w:ascii="仿宋" w:hAnsi="仿宋" w:eastAsia="仿宋" w:cs="仿宋"/>
          <w:color w:val="auto"/>
          <w:sz w:val="21"/>
          <w:szCs w:val="21"/>
          <w:highlight w:val="none"/>
        </w:rPr>
        <w:t>石林彝族自治县行政中心绿化管养</w:t>
      </w:r>
      <w:r>
        <w:rPr>
          <w:rFonts w:hint="eastAsia" w:ascii="仿宋" w:hAnsi="仿宋" w:eastAsia="仿宋" w:cs="仿宋"/>
          <w:color w:val="auto"/>
          <w:sz w:val="21"/>
          <w:szCs w:val="21"/>
          <w:highlight w:val="none"/>
          <w:lang w:val="en-US" w:eastAsia="zh-CN"/>
        </w:rPr>
        <w:t>服务</w:t>
      </w:r>
      <w:r>
        <w:rPr>
          <w:rFonts w:hint="eastAsia" w:ascii="仿宋" w:hAnsi="仿宋" w:eastAsia="仿宋" w:cs="仿宋"/>
          <w:color w:val="auto"/>
          <w:sz w:val="21"/>
          <w:szCs w:val="21"/>
          <w:highlight w:val="none"/>
        </w:rPr>
        <w:t>标准</w:t>
      </w:r>
      <w:r>
        <w:rPr>
          <w:rFonts w:hint="eastAsia" w:ascii="仿宋" w:hAnsi="仿宋" w:eastAsia="仿宋" w:cs="仿宋"/>
          <w:color w:val="auto"/>
          <w:sz w:val="21"/>
          <w:szCs w:val="21"/>
          <w:highlight w:val="none"/>
          <w:lang w:val="en-US" w:eastAsia="zh-CN"/>
        </w:rPr>
        <w:t>和</w:t>
      </w:r>
      <w:r>
        <w:rPr>
          <w:rFonts w:hint="eastAsia" w:ascii="仿宋" w:hAnsi="仿宋" w:eastAsia="仿宋" w:cs="仿宋"/>
          <w:color w:val="auto"/>
          <w:sz w:val="21"/>
          <w:szCs w:val="21"/>
          <w:highlight w:val="none"/>
        </w:rPr>
        <w:t>要求</w:t>
      </w:r>
    </w:p>
    <w:p w14:paraId="2383ED1F">
      <w:pPr>
        <w:pageBreakBefore w:val="0"/>
        <w:kinsoku/>
        <w:wordWrap/>
        <w:overflowPunct/>
        <w:topLinePunct w:val="0"/>
        <w:bidi w:val="0"/>
        <w:adjustRightInd/>
        <w:snapToGrid/>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p w14:paraId="26FC0DEA">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附件:</w:t>
      </w:r>
    </w:p>
    <w:p w14:paraId="377A5B90">
      <w:pPr>
        <w:pageBreakBefore w:val="0"/>
        <w:widowControl w:val="0"/>
        <w:kinsoku/>
        <w:wordWrap/>
        <w:overflowPunct/>
        <w:topLinePunct w:val="0"/>
        <w:autoSpaceDE/>
        <w:autoSpaceDN/>
        <w:bidi w:val="0"/>
        <w:adjustRightInd/>
        <w:snapToGrid/>
        <w:spacing w:line="360" w:lineRule="auto"/>
        <w:ind w:firstLine="48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石林彝族自治县行政中心绿化管养</w:t>
      </w:r>
    </w:p>
    <w:p w14:paraId="6BF05E4D">
      <w:pPr>
        <w:pageBreakBefore w:val="0"/>
        <w:widowControl w:val="0"/>
        <w:kinsoku/>
        <w:wordWrap/>
        <w:overflowPunct/>
        <w:topLinePunct w:val="0"/>
        <w:autoSpaceDE/>
        <w:autoSpaceDN/>
        <w:bidi w:val="0"/>
        <w:adjustRightInd/>
        <w:snapToGrid/>
        <w:spacing w:line="360" w:lineRule="auto"/>
        <w:ind w:firstLine="48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服务标准和要求</w:t>
      </w:r>
    </w:p>
    <w:p w14:paraId="085DE3B3">
      <w:pPr>
        <w:pStyle w:val="2"/>
        <w:pageBreakBefore w:val="0"/>
        <w:widowControl w:val="0"/>
        <w:kinsoku/>
        <w:wordWrap/>
        <w:overflowPunct/>
        <w:topLinePunct w:val="0"/>
        <w:autoSpaceDE/>
        <w:autoSpaceDN/>
        <w:bidi w:val="0"/>
        <w:adjustRightInd/>
        <w:snapToGrid/>
        <w:spacing w:before="0" w:after="0" w:line="360" w:lineRule="auto"/>
        <w:jc w:val="both"/>
        <w:textAlignment w:val="auto"/>
        <w:outlineLvl w:val="9"/>
        <w:rPr>
          <w:rFonts w:hint="eastAsia" w:ascii="仿宋" w:hAnsi="仿宋" w:eastAsia="仿宋" w:cs="仿宋"/>
          <w:b w:val="0"/>
          <w:bCs/>
          <w:color w:val="auto"/>
          <w:sz w:val="21"/>
          <w:szCs w:val="21"/>
          <w:highlight w:val="none"/>
          <w:lang w:val="en-US" w:eastAsia="zh-CN"/>
        </w:rPr>
      </w:pPr>
    </w:p>
    <w:p w14:paraId="3925994D">
      <w:pPr>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一、室外绿化管养服务标准和要求</w:t>
      </w:r>
    </w:p>
    <w:p w14:paraId="5533BE45">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一）</w:t>
      </w:r>
      <w:r>
        <w:rPr>
          <w:rFonts w:hint="eastAsia" w:ascii="仿宋" w:hAnsi="仿宋" w:eastAsia="仿宋" w:cs="仿宋"/>
          <w:color w:val="auto"/>
          <w:sz w:val="21"/>
          <w:szCs w:val="21"/>
          <w:highlight w:val="none"/>
        </w:rPr>
        <w:t>园林绿化养护管理质量标准</w:t>
      </w:r>
    </w:p>
    <w:p w14:paraId="34828A83">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1.绿化养护技术措施比较完善，管理基本得当，植物配置合理，基本达到黄土不露天。</w:t>
      </w:r>
    </w:p>
    <w:p w14:paraId="3C48DB63">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 xml:space="preserve"> 园林植物</w:t>
      </w:r>
    </w:p>
    <w:p w14:paraId="4B122A5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生长正常。补种各种植物3年内达到正常形态。</w:t>
      </w:r>
    </w:p>
    <w:p w14:paraId="4B670BA0">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eastAsia="zh-CN"/>
        </w:rPr>
        <w:t>园林树木树冠基本完整，主侧枝分布均称、数量适宜、修剪合理，内膛不乱，通风透光。花灌木开花及时、正常，花后修剪及时。绿篱、色块枝叶正常，整齐一致。行道树无缺株，绿地内无死树。</w:t>
      </w:r>
    </w:p>
    <w:p w14:paraId="6F495D1B">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落叶树新梢生长正常，叶片大小、颜色正常，在一般条件下，黄叶、焦叶、卷叶和带虫尿、虫网的叶片不得超过5%，正常叶片保存率在90%以上。针叶树针叶宿存2年以上，结果枝条不超过20%。</w:t>
      </w:r>
    </w:p>
    <w:p w14:paraId="29AE5932">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花坛、花带轮廓清晰，整齐美观，适时开花，无残缺。</w:t>
      </w:r>
    </w:p>
    <w:p w14:paraId="40933106">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草坪及地被植物整齐一致，覆盖率95 %以上，除缀花草坪外草坪内杂草率不得超过2%。草坪绿色期：冷季型草不得少于270天，暖季型草不得少于180天。</w:t>
      </w:r>
    </w:p>
    <w:p w14:paraId="44024073">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病虫害控制及时，园林树木有蛀干害虫危害的株数不得超过1%；园林树木的主干、主枝上平均每100㎡介壳虫的活虫数不得超过2头，较细枝条上平均每30 cm不得超过5头，且平均被害株数不得超过3％。叶上无虫粪，被虫咬的叶片每株不得超过5%。</w:t>
      </w:r>
    </w:p>
    <w:p w14:paraId="250FACE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垂直绿化应根据不同植物的攀缘特点，采取相应的牵引、设置网架等技术措施，视攀缘植物生长习性，覆盖率不得低于80%，开花的攀缘植物能适时开花。</w:t>
      </w:r>
    </w:p>
    <w:p w14:paraId="066CF613">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绿地整洁，无杂物、无白色污染（树挂），绿化生产垃圾（如树枝、树叶、草屑等）、绿地内水面杂物应日产日清，做到保洁及时。</w:t>
      </w:r>
    </w:p>
    <w:p w14:paraId="35060D34">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绿地完整，无堆物、堆料、搭棚，树干上无钉拴刻画等现象。行道树下距树干2m范围内无堆物、堆料、搭棚设摊、圈栏等影响树木生长和养护管理的现象。</w:t>
      </w:r>
    </w:p>
    <w:p w14:paraId="4F94F986">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二）</w:t>
      </w:r>
      <w:r>
        <w:rPr>
          <w:rFonts w:hint="eastAsia" w:ascii="仿宋" w:hAnsi="仿宋" w:eastAsia="仿宋" w:cs="仿宋"/>
          <w:color w:val="auto"/>
          <w:sz w:val="21"/>
          <w:szCs w:val="21"/>
          <w:highlight w:val="none"/>
        </w:rPr>
        <w:t>园林树木养护管理技术措施及要求</w:t>
      </w:r>
    </w:p>
    <w:p w14:paraId="2705E4CF">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修剪</w:t>
      </w:r>
    </w:p>
    <w:p w14:paraId="6C1E525A">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园林树木修剪应依据园林绿化功能的需要和设计的要求，在不违背树木的生长特性和自然分枝规律的前提下（特型树木除外），充分考虑树木与生长环境的关系，并根据树龄及生长势强弱进行修剪。</w:t>
      </w:r>
    </w:p>
    <w:p w14:paraId="7469BFF2">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每年修剪树木前必须制定修剪技术方案，并对工人进行培训，认真贯彻后方可进行操作，做到因地制宜，因树修剪。</w:t>
      </w:r>
    </w:p>
    <w:p w14:paraId="61834AC7">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自然型树木的修剪应以树木自然分枝习性所形成的树冠形状为基础进行修剪。</w:t>
      </w:r>
    </w:p>
    <w:p w14:paraId="2F9FDA12">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造型树木的修剪应根据园林绿化对树木的特定要求，适当控制树木部分枝干，按照绿化美化要求把树木剪成各种理想形态。</w:t>
      </w:r>
    </w:p>
    <w:p w14:paraId="74FF95FD">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园林树木修剪的时期</w:t>
      </w:r>
    </w:p>
    <w:p w14:paraId="19F53FE7">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①园林树木可在休眠期和生长期进行修剪，但更新修剪必须在休眠期进行。</w:t>
      </w:r>
    </w:p>
    <w:p w14:paraId="1005B46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②有严重伤流和易流胶的树种应避开生长季和落叶后伤流严重期。</w:t>
      </w:r>
    </w:p>
    <w:p w14:paraId="2ACB23F0">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③抗寒性差的、易抽条的树种宜于早春进行。</w:t>
      </w:r>
    </w:p>
    <w:p w14:paraId="3FE1A687">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④常绿树的修剪应避开生长旺盛期。</w:t>
      </w:r>
    </w:p>
    <w:p w14:paraId="01E63D07">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⑤绿篱、色块、黄杨球等修剪必须在每年的5月上旬和8月底以前进行。</w:t>
      </w:r>
    </w:p>
    <w:p w14:paraId="152C3B0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乔木修剪</w:t>
      </w:r>
    </w:p>
    <w:p w14:paraId="6EAD42BD">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①凡主轴明显的树种，修剪时应注意保护中央领导枝，使其向上直立生长。原中央领导枝受损、折断，应利用顶端侧枝重新培养新的领导枝。</w:t>
      </w:r>
    </w:p>
    <w:p w14:paraId="64BB453B">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②应逐年调整树干与树冠的合理比例。同一树龄和品种的林地，分枝点高度应基本一致。位于林地边缘的树木分枝点可稍低于林内树木。</w:t>
      </w:r>
    </w:p>
    <w:p w14:paraId="3E7888A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③针叶树应剪除基部垂地枝条，随树木生长可根据需要逐步提高分枝点，并保护主尖直立向上生长。</w:t>
      </w:r>
    </w:p>
    <w:p w14:paraId="0BF99B69">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④银杏修剪只能疏枝，不准短截。对轮生枝可分阶段疏除。</w:t>
      </w:r>
    </w:p>
    <w:p w14:paraId="1C276C19">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⑤行道树中乔木的修剪，除应按以上要求操作外，还应注意以下规定：</w:t>
      </w:r>
    </w:p>
    <w:p w14:paraId="068C79C0">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A、</w:t>
      </w:r>
      <w:r>
        <w:rPr>
          <w:rFonts w:hint="eastAsia" w:ascii="仿宋" w:hAnsi="仿宋" w:eastAsia="仿宋" w:cs="仿宋"/>
          <w:color w:val="auto"/>
          <w:sz w:val="21"/>
          <w:szCs w:val="21"/>
          <w:highlight w:val="none"/>
        </w:rPr>
        <w:t>行道树的树型和分枝点高度应基本一致，分枝点高度最低标准为3m。</w:t>
      </w:r>
    </w:p>
    <w:p w14:paraId="2FC75DEA">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B、</w:t>
      </w:r>
      <w:r>
        <w:rPr>
          <w:rFonts w:hint="eastAsia" w:ascii="仿宋" w:hAnsi="仿宋" w:eastAsia="仿宋" w:cs="仿宋"/>
          <w:color w:val="auto"/>
          <w:sz w:val="21"/>
          <w:szCs w:val="21"/>
          <w:highlight w:val="none"/>
        </w:rPr>
        <w:t>树木与架空线有矛盾时，应修剪树枝，使其与架空线保持安全距离。</w:t>
      </w:r>
    </w:p>
    <w:p w14:paraId="3C3B8523">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C、</w:t>
      </w:r>
      <w:r>
        <w:rPr>
          <w:rFonts w:hint="eastAsia" w:ascii="仿宋" w:hAnsi="仿宋" w:eastAsia="仿宋" w:cs="仿宋"/>
          <w:color w:val="auto"/>
          <w:sz w:val="21"/>
          <w:szCs w:val="21"/>
          <w:highlight w:val="none"/>
        </w:rPr>
        <w:t>路灯和变压设备附近的树枝应与其保留出足够的安全距离。</w:t>
      </w:r>
    </w:p>
    <w:p w14:paraId="41933C2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灌木修剪</w:t>
      </w:r>
    </w:p>
    <w:p w14:paraId="07B58365">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①灌木造型修剪应使树型内高外低，形成自然丰满的圆头形或半圆形树型。</w:t>
      </w:r>
    </w:p>
    <w:p w14:paraId="153044B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②灌木内膛小枝应适量疏剪，强壮枝应进行适当短截，下垂细弱枝及地表萌生的地蘖应彻底疏除。</w:t>
      </w:r>
    </w:p>
    <w:p w14:paraId="5DCF4FA8">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③栽种多年的丛生灌木应逐年更新衰老枝，疏剪内膛密生枝，培育新枝。栽植多年的有主干的灌木，每年应采取交替回缩主枝控制树冠的剪法，防止树势上强下弱。</w:t>
      </w:r>
    </w:p>
    <w:p w14:paraId="110AA369">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④生长于树冠外的徒长枝，应及时疏除或早短截，促生二次枝。</w:t>
      </w:r>
    </w:p>
    <w:p w14:paraId="07010C9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⑤花落后形成的残花、残果，若无观赏价值或其他需要的宜尽早剪除。</w:t>
      </w:r>
    </w:p>
    <w:p w14:paraId="5439622E">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⑥成片栽植的灌木丛，修剪时应形成中间高四周低或前面低后面高的丛形。</w:t>
      </w:r>
    </w:p>
    <w:p w14:paraId="37ED94AE">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⑦多品种栽植的灌木丛，修剪时应突出主栽品种，并留出适当生长空间。</w:t>
      </w:r>
    </w:p>
    <w:p w14:paraId="6294578D">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⑧造型的灌木修剪应保持外型轮廓清楚，外缘枝叶紧密。</w:t>
      </w:r>
    </w:p>
    <w:p w14:paraId="1E3CE399">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⑨花灌木修剪应特别注意：</w:t>
      </w:r>
    </w:p>
    <w:p w14:paraId="56AA902B">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A、</w:t>
      </w:r>
      <w:r>
        <w:rPr>
          <w:rFonts w:hint="eastAsia" w:ascii="仿宋" w:hAnsi="仿宋" w:eastAsia="仿宋" w:cs="仿宋"/>
          <w:color w:val="auto"/>
          <w:sz w:val="21"/>
          <w:szCs w:val="21"/>
          <w:highlight w:val="none"/>
        </w:rPr>
        <w:t>当年生枝条开花灌木，休眠期修剪时，为控制树木高度，对于生长健壮枝条应在保留3个~5个芽处短截，促发新枝。1年可数次开花灌木如月季、珍珠梅、紫薇等，花落后应及时剪去残花，促使再次开花。</w:t>
      </w:r>
    </w:p>
    <w:p w14:paraId="6411B7B6">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B、</w:t>
      </w:r>
      <w:r>
        <w:rPr>
          <w:rFonts w:hint="eastAsia" w:ascii="仿宋" w:hAnsi="仿宋" w:eastAsia="仿宋" w:cs="仿宋"/>
          <w:color w:val="auto"/>
          <w:sz w:val="21"/>
          <w:szCs w:val="21"/>
          <w:highlight w:val="none"/>
        </w:rPr>
        <w:t>隔年生枝条开花的灌木，休眠期适当整形修剪，生长季花落后10天~15天将已开花枝条进行中或重短截，疏剪过密枝，以利来年促生健壮新枝。</w:t>
      </w:r>
    </w:p>
    <w:p w14:paraId="73149720">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C、</w:t>
      </w:r>
      <w:r>
        <w:rPr>
          <w:rFonts w:hint="eastAsia" w:ascii="仿宋" w:hAnsi="仿宋" w:eastAsia="仿宋" w:cs="仿宋"/>
          <w:color w:val="auto"/>
          <w:sz w:val="21"/>
          <w:szCs w:val="21"/>
          <w:highlight w:val="none"/>
        </w:rPr>
        <w:t>多年生枝条开花灌木，应注意培育和保护老枝，剪除干扰树型并影响通风透光的过密枝、弱枝、枯枝或病虫枝。</w:t>
      </w:r>
    </w:p>
    <w:p w14:paraId="1C2B1F2B">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绿篱及色带修剪</w:t>
      </w:r>
    </w:p>
    <w:p w14:paraId="7B4B68E4">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①修剪应使绿篱及色带轮廓清楚，线条整齐，顶面平整，高度一致，侧面上下垂直或上窄下宽。每年整形修剪不少于2次。</w:t>
      </w:r>
    </w:p>
    <w:p w14:paraId="2B0E1B20">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②绿篱及色带每次修剪高度较前一次修剪应提高1cm。</w:t>
      </w:r>
    </w:p>
    <w:p w14:paraId="45B156A9">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③修剪后残留绿篱面的枝叶应及时清除干净。</w:t>
      </w:r>
    </w:p>
    <w:p w14:paraId="2250A8D7">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9）</w:t>
      </w:r>
      <w:r>
        <w:rPr>
          <w:rFonts w:hint="eastAsia" w:ascii="仿宋" w:hAnsi="仿宋" w:eastAsia="仿宋" w:cs="仿宋"/>
          <w:color w:val="auto"/>
          <w:sz w:val="21"/>
          <w:szCs w:val="21"/>
          <w:highlight w:val="none"/>
        </w:rPr>
        <w:t>藤木修剪</w:t>
      </w:r>
    </w:p>
    <w:p w14:paraId="4A63A100">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①吸附类藤木，应在生长季剪去未能吸附墙体而下垂的枝条，未完全覆盖的植物应短截空隙周围枝条，以便发生副梢，填补空缺。</w:t>
      </w:r>
    </w:p>
    <w:p w14:paraId="58B586F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②钩刺类藤木，可按灌木修剪方法疏枝；生长到一定程度，树势衰弱时，应进行回缩修剪，强壮树势。</w:t>
      </w:r>
    </w:p>
    <w:p w14:paraId="0D190ED3">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③生长于棚架的藤木，落叶后应疏剪过密枝条，清除枯死枝，使枝条均匀分布架面。</w:t>
      </w:r>
    </w:p>
    <w:p w14:paraId="48839293">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④成年和老年藤木应常疏枝，并适当进行回缩修剪。</w:t>
      </w:r>
    </w:p>
    <w:p w14:paraId="17F5FB1D">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rPr>
        <w:t>园林树木修剪时，落叶树一般不留橛，针叶树应留1cm至2cm长的橛。修剪的剪口必须平滑，不得劈裂，并注意留芽的方位。直径超过4cm以上的剪锯口，应用刀削平，涂抹防腐剂促进伤口愈合。锯除大树杈时应注意保护皮脊。</w:t>
      </w:r>
    </w:p>
    <w:p w14:paraId="5A88BFA6">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灌水、排涝</w:t>
      </w:r>
    </w:p>
    <w:p w14:paraId="5C19E286">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应根据本地气候特点、土壤保水、植物需水、根系喜气等情况，适时适量进行浇水， 促其正常生长。浇水前应先检查土壤含水量（一般取根系分布最多的土层中的土壤，用手攥可成团，但指缝中不出水，泥团落地能散碎，就可暂不浇水；杨柳树等较喜水的树木则土壤含水量可适当多一些）。</w:t>
      </w:r>
    </w:p>
    <w:p w14:paraId="6AFB73D8">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新植树木应在连续5年内充足灌溉，土质保水力差或根系生长缓慢树种，可适当延长灌水年限。</w:t>
      </w:r>
    </w:p>
    <w:p w14:paraId="282BD70F">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浇水树堰高度不低于10cm，树堰直径，有铺装地块的以预留池为准，无铺装地块的，乔木应以树干胸径10倍左右、树冠垂直投影的1/2为准，并保证不跑水、不漏水。</w:t>
      </w:r>
    </w:p>
    <w:p w14:paraId="05E94A57">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在雨季应采用开沟、埋管、打孔等排水措施及时对绿地和树池排涝，防止植物因涝至死。绿地和树池内积水不得超过24小时；宿根花卉种植地积水不得超过12小时。</w:t>
      </w:r>
    </w:p>
    <w:p w14:paraId="6AFB3D42">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中耕除草</w:t>
      </w:r>
    </w:p>
    <w:p w14:paraId="1B038D9F">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在植物生长季节要不间断地进行中耕除草，应除小、除早、除了。除下杂草要集中处理，并及时清运。</w:t>
      </w:r>
    </w:p>
    <w:p w14:paraId="3F59F2B9">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在绿地内采用化学药剂除草时，必须慎重，应先试验，再应用。</w:t>
      </w:r>
    </w:p>
    <w:p w14:paraId="1532B371">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 xml:space="preserve">施肥及土壤改良 </w:t>
      </w:r>
    </w:p>
    <w:p w14:paraId="0A15CDA3">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 xml:space="preserve">应根据园林树木生长需要和土壤肥力情况，合理施肥，平衡土壤中各种矿质营养元素，保持土壤肥力和合理结构。 </w:t>
      </w:r>
    </w:p>
    <w:p w14:paraId="2321BE28">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 xml:space="preserve">在树木休眠期以有机肥为主，在与土壤拌匀后，采用穴施、环施和放射状沟施等方法。施肥后踏实，并平整场地。 </w:t>
      </w:r>
    </w:p>
    <w:p w14:paraId="47B24156">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 xml:space="preserve">在树木生长季节可根据需要，进行土壤追肥或叶面喷肥。 </w:t>
      </w:r>
    </w:p>
    <w:p w14:paraId="20F08180">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园林树木施肥量应根据树木大小、肥料种类及土壤肥力状况而定。施用时要用量准确，并充分粉碎，与土壤混合后要撒施均匀，随即浇水，严禁肥料裸露。</w:t>
      </w:r>
    </w:p>
    <w:p w14:paraId="2AFB02C0">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 xml:space="preserve">更新、调整和伐树 </w:t>
      </w:r>
    </w:p>
    <w:p w14:paraId="75C66B36">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种植结构调整和伐树应经采购人同意批准后方可进行。</w:t>
      </w:r>
    </w:p>
    <w:p w14:paraId="7CCFCD39">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具备以下条件上报批准后再移植或伐树：</w:t>
      </w:r>
    </w:p>
    <w:p w14:paraId="7E9E59C8">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①密植林的调整与间伐。</w:t>
      </w:r>
    </w:p>
    <w:p w14:paraId="63AED97F">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②更新树种。 </w:t>
      </w:r>
    </w:p>
    <w:p w14:paraId="310EF0BF">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③枯朽、衰老、严重倾斜、对人和物体构成危险的。</w:t>
      </w:r>
    </w:p>
    <w:p w14:paraId="477E7F6A">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④伐除树木时，应设安全员，划定安全范围并围拦，严格执行操作规程；伐除的树干、树枝等要随时清运；树桩高度应尽量降低，并必须在两日内刨除树桩，并及时采取补种或铺装措施，做到场光地净，确保绿化景观的完美和行人、车辆的安全。</w:t>
      </w:r>
    </w:p>
    <w:p w14:paraId="13E47FB9">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病虫害防治</w:t>
      </w:r>
    </w:p>
    <w:p w14:paraId="3B3FD3C4">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防治园林植物病虫害应贯彻“预防为主，综合防治”的方针。</w:t>
      </w:r>
    </w:p>
    <w:p w14:paraId="52B9797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应科学、有针对性地进行养护管理，使植株生长健壮，以增强抗病虫害的能力。</w:t>
      </w:r>
    </w:p>
    <w:p w14:paraId="209B9CBA">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及时清理带病虫的落叶、杂草等，消灭病源、虫源，防止病虫扩散、蔓延。</w:t>
      </w:r>
    </w:p>
    <w:p w14:paraId="251C481A">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应加强病虫检查，发现主要病虫害应根据虫情预报及时采取防治措施。对于危险性病虫害，一旦发现疫情应及时上报主管部门，并迅速采取扑灭措施。</w:t>
      </w:r>
    </w:p>
    <w:p w14:paraId="6EFACA54">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①生物防治</w:t>
      </w:r>
    </w:p>
    <w:p w14:paraId="74B73F8D">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应保护和利用天敌，创造有利于其生存发展的环境条件。具体方法主要包括以微生物治虫、以虫治虫、以鸟治虫、以螨治虫、以激素治虫，以菌治病虫等。</w:t>
      </w:r>
    </w:p>
    <w:p w14:paraId="120180DA">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②物理防治</w:t>
      </w:r>
    </w:p>
    <w:p w14:paraId="43CEC70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主要包括饵料诱杀、灯光诱杀、潜所诱杀、热处理、截止上树、人工捕捉、挖蛹或虫、采摘卵块虫包、刷除虫或卵、刺杀蛀干害虫、摘除病叶病梢、刮除病斑、结合修剪剪除病虫枝等。</w:t>
      </w:r>
    </w:p>
    <w:p w14:paraId="365C7B0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③化学防治</w:t>
      </w:r>
    </w:p>
    <w:p w14:paraId="5C0754A7">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A、</w:t>
      </w:r>
      <w:r>
        <w:rPr>
          <w:rFonts w:hint="eastAsia" w:ascii="仿宋" w:hAnsi="仿宋" w:eastAsia="仿宋" w:cs="仿宋"/>
          <w:color w:val="auto"/>
          <w:sz w:val="21"/>
          <w:szCs w:val="21"/>
          <w:highlight w:val="none"/>
        </w:rPr>
        <w:t>应选用高效、低毒、无污染、对天敌较安全的药剂。用药时，对不同的防治对象，应抓住时机，对症下药、安全用药，不得随意加大浓度。注意不同药剂的交替使用，同时，尽量采取兼治，减少喷药次数。</w:t>
      </w:r>
    </w:p>
    <w:p w14:paraId="0D3AC79D">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B、</w:t>
      </w:r>
      <w:r>
        <w:rPr>
          <w:rFonts w:hint="eastAsia" w:ascii="仿宋" w:hAnsi="仿宋" w:eastAsia="仿宋" w:cs="仿宋"/>
          <w:color w:val="auto"/>
          <w:sz w:val="21"/>
          <w:szCs w:val="21"/>
          <w:highlight w:val="none"/>
        </w:rPr>
        <w:t>选用新的药剂和方法时，应先经试验，证明有效和安全时，才能大面积推广。</w:t>
      </w:r>
    </w:p>
    <w:p w14:paraId="36941776">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④操作人员由植保工负责，必须按照《农药操作规程》及《园林树木病虫害防治技术操作质量标准》进行作业。</w:t>
      </w:r>
    </w:p>
    <w:p w14:paraId="7FA0CAC7">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三）</w:t>
      </w:r>
      <w:r>
        <w:rPr>
          <w:rFonts w:hint="eastAsia" w:ascii="仿宋" w:hAnsi="仿宋" w:eastAsia="仿宋" w:cs="仿宋"/>
          <w:color w:val="auto"/>
          <w:sz w:val="21"/>
          <w:szCs w:val="21"/>
          <w:highlight w:val="none"/>
        </w:rPr>
        <w:t xml:space="preserve">园林花卉的养护管理技术措施及要求 </w:t>
      </w:r>
    </w:p>
    <w:p w14:paraId="39AB229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应根据不同花卉植物的生态习性、生物学特性、应用要求和周围环境状况，进行养护管理，使其适时开花，花繁色艳。</w:t>
      </w:r>
    </w:p>
    <w:p w14:paraId="6BB1C1C2">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宿根花卉萌芽前应剪除上年残留枯枝、枯叶。</w:t>
      </w:r>
    </w:p>
    <w:p w14:paraId="737842D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花坛、花径和各种容器栽植花卉应及时灌水，宿根花卉应特别注意返青水和冻水的浇灌时期和灌水量，矮牵牛等忌水涝花卉应注意排涝，花池应在适当位置加设排水孔。</w:t>
      </w:r>
    </w:p>
    <w:p w14:paraId="299A1A9D">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及时中耕除草，作业时不能伤根及造成根系裸露，宿根花卉萌芽期应特别注意保护新生嫩芽，同时及时剪除多余萌蘖。</w:t>
      </w:r>
    </w:p>
    <w:p w14:paraId="512A8DE3">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结合浇灌和中耕适量施肥，保持土壤肥力和合理结构。</w:t>
      </w:r>
    </w:p>
    <w:p w14:paraId="36E2E9A8">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宿根花卉花谢后应及时去除残花、残枝和枯叶，并加强肥水管理；1年生草花花后失去观赏价值的应及时更换。</w:t>
      </w:r>
    </w:p>
    <w:p w14:paraId="2BF64D4B">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及时清理死苗，并按原品种、原规格补齐。</w:t>
      </w:r>
    </w:p>
    <w:p w14:paraId="2548A43F">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 xml:space="preserve">做好病虫害的防治工作。及时清理株间的枯枝落叶，对病虫害早发现早治理。 </w:t>
      </w:r>
    </w:p>
    <w:p w14:paraId="45304618">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9.</w:t>
      </w:r>
      <w:r>
        <w:rPr>
          <w:rFonts w:hint="eastAsia" w:ascii="仿宋" w:hAnsi="仿宋" w:eastAsia="仿宋" w:cs="仿宋"/>
          <w:color w:val="auto"/>
          <w:sz w:val="21"/>
          <w:szCs w:val="21"/>
          <w:highlight w:val="none"/>
        </w:rPr>
        <w:t>病虫害防治技术操作必须按照《农药操作规程》并参照《园林树木病虫害防治技术操作质量标准》进行作业。</w:t>
      </w:r>
    </w:p>
    <w:p w14:paraId="5E9171A1">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四）</w:t>
      </w:r>
      <w:r>
        <w:rPr>
          <w:rFonts w:hint="eastAsia" w:ascii="仿宋" w:hAnsi="仿宋" w:eastAsia="仿宋" w:cs="仿宋"/>
          <w:color w:val="auto"/>
          <w:sz w:val="21"/>
          <w:szCs w:val="21"/>
          <w:highlight w:val="none"/>
        </w:rPr>
        <w:t xml:space="preserve">草坪养护管理技术措施及要求 </w:t>
      </w:r>
    </w:p>
    <w:p w14:paraId="7B02B648">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草坪的养护管理，应在了解各草种生长习性的基础上，根据立地条件、草坪的功能进行。</w:t>
      </w:r>
    </w:p>
    <w:p w14:paraId="489EDA85">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修剪</w:t>
      </w:r>
    </w:p>
    <w:p w14:paraId="468C5E0E">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草坪的修剪应根据不同草种的习性和观赏效果，进行定期修剪，使草的高度一致，边缘整齐。</w:t>
      </w:r>
    </w:p>
    <w:p w14:paraId="081EC16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剪草的高度以草种、季节、环境等因素而定。一次修剪高度原则上不大于草高的1/3。</w:t>
      </w:r>
    </w:p>
    <w:p w14:paraId="52852F59">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 xml:space="preserve">浇水 </w:t>
      </w:r>
    </w:p>
    <w:p w14:paraId="73AB810B">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人工草坪应适时进行浇灌，每次要浇足浇透，浇水深度不低于20cm。雨季应注意排水，干热天气尤其是冷季型草应适当喷水降温保护草地。11月下旬至12月上旬上冻前要浇足浇透冻水。</w:t>
      </w:r>
    </w:p>
    <w:p w14:paraId="4CC4F070">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施肥</w:t>
      </w:r>
    </w:p>
    <w:p w14:paraId="1D73B749">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草坪建植时应施基肥，之后每年应根据草坪草的生长状况进行适当追肥。</w:t>
      </w:r>
    </w:p>
    <w:p w14:paraId="52810726">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施肥时期和施肥量：冷季型草坪返青前，可施腐熟粉碎的有机肥，施肥量50 g/㎡~150g/㎡，或施10 g/㎡尿素或10 g/㎡磷酸二铵等；生长期应视草情，适当增施磷、钾肥；晚秋，可施氮、磷、钾复合肥或纯氮肥2次~3次，每次约10 g/㎡~15g/㎡。暖季型草，如野牛草等可于5月和8月各施10 g/㎡尿素。</w:t>
      </w:r>
    </w:p>
    <w:p w14:paraId="53B27CB0">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草坪施肥必须均匀，撒施后及时灌水。</w:t>
      </w:r>
    </w:p>
    <w:p w14:paraId="2F9B44BD">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 xml:space="preserve">除杂草、补植 </w:t>
      </w:r>
    </w:p>
    <w:p w14:paraId="48489694">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人工建植的草坪要及时清除杂草，保持草坪纯度。</w:t>
      </w:r>
    </w:p>
    <w:p w14:paraId="48353FF5">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使用除草剂必须慎重，应先试验，再应用。</w:t>
      </w:r>
    </w:p>
    <w:p w14:paraId="662E9908">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对被破坏或其他原因引起死亡的草坪草应及时更换补植，使草坪保持完整，无裸露地面。</w:t>
      </w:r>
    </w:p>
    <w:p w14:paraId="660B5979">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补植时应补种与原草坪相同的草种；适当密植，并加强管理养护，尽快与周围草坪一致。</w:t>
      </w:r>
    </w:p>
    <w:p w14:paraId="2486BC3E">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三年生以上草坪应采取打孔透气、疏草等措施。</w:t>
      </w:r>
    </w:p>
    <w:p w14:paraId="462E767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病虫害防治</w:t>
      </w:r>
    </w:p>
    <w:p w14:paraId="22CCAA80">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草坪的病虫害防治，应在加强养护管理的基础上，以防为主，综合防治。</w:t>
      </w:r>
    </w:p>
    <w:p w14:paraId="5CB246A5">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草坪病害以冷季型草最为严重。化学防治应在5月初开始，此后根据病情适时喷药。</w:t>
      </w:r>
    </w:p>
    <w:p w14:paraId="7FAFC057">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草坪病虫害防治技术操作必须按照《农药操作规程》并参照《园林树木病虫害防治技术操作质量标准》进行作业。</w:t>
      </w:r>
    </w:p>
    <w:p w14:paraId="51AB75E0">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五）</w:t>
      </w:r>
      <w:r>
        <w:rPr>
          <w:rFonts w:hint="eastAsia" w:ascii="仿宋" w:hAnsi="仿宋" w:eastAsia="仿宋" w:cs="仿宋"/>
          <w:color w:val="auto"/>
          <w:sz w:val="21"/>
          <w:szCs w:val="21"/>
          <w:highlight w:val="none"/>
        </w:rPr>
        <w:t>园林地被植物养护管理技术措施及要求</w:t>
      </w:r>
    </w:p>
    <w:p w14:paraId="3B7AED5D">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草本类地被植物养护管理技术措施参照草坪和花卉的养护管理技术措施。</w:t>
      </w:r>
    </w:p>
    <w:p w14:paraId="0D87A327">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木本类地被植物养护管理技术措施参照园林树木的养护管理技术措施。</w:t>
      </w:r>
    </w:p>
    <w:p w14:paraId="6227EB88">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六）</w:t>
      </w:r>
      <w:r>
        <w:rPr>
          <w:rFonts w:hint="eastAsia" w:ascii="仿宋" w:hAnsi="仿宋" w:eastAsia="仿宋" w:cs="仿宋"/>
          <w:color w:val="auto"/>
          <w:sz w:val="21"/>
          <w:szCs w:val="21"/>
          <w:highlight w:val="none"/>
        </w:rPr>
        <w:t xml:space="preserve">园林绿地管理要求 </w:t>
      </w:r>
    </w:p>
    <w:p w14:paraId="1A059DBE">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 xml:space="preserve">保持绿地内无垃圾杂物，无鼠洞和蚊蝇滋生地等，发现鼠洞要随时堵塞。及时清除“树挂”等白色污染物及绿地内水面的杂物。 </w:t>
      </w:r>
    </w:p>
    <w:p w14:paraId="3746B8FF">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 xml:space="preserve">清除垃圾杂物后应注意保洁，集中后的垃圾杂物和器具应摆放在隐蔽的地方，严禁焚烧垃圾和枯枝落叶。 </w:t>
      </w:r>
    </w:p>
    <w:p w14:paraId="11147BDF">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 xml:space="preserve">应保护好绿地内的花草树木，保持绿地的完整。经批准临时占用的绿地，应按时收回，并监督恢复原状。 </w:t>
      </w:r>
    </w:p>
    <w:p w14:paraId="392C47B6">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加强监管，严禁绿地内堆放杂物和停放与绿化作业无关的一切车辆；严禁在绿地植物上贴挂标语、晾晒衣物等。</w:t>
      </w:r>
    </w:p>
    <w:p w14:paraId="62EA412D">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应保证围栏、绿化供水等设施的完整美观，防止绿化用水等被盗用。对损坏的园林设施，要及时修补或更换。</w:t>
      </w:r>
    </w:p>
    <w:p w14:paraId="5AFC93DB">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保洁范围内不能有烟头、纸屑、杂物等。</w:t>
      </w:r>
    </w:p>
    <w:p w14:paraId="6ADBCE7D">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按照采购人规定时间对果树进行打果。</w:t>
      </w:r>
    </w:p>
    <w:p w14:paraId="3B5DBBC2">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对行政中心绿化进行管理，防止有人踩踏草皮、进入绿化内、摘果。</w:t>
      </w:r>
    </w:p>
    <w:p w14:paraId="610F192F">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七）</w:t>
      </w:r>
      <w:r>
        <w:rPr>
          <w:rFonts w:hint="eastAsia" w:ascii="仿宋" w:hAnsi="仿宋" w:eastAsia="仿宋" w:cs="仿宋"/>
          <w:color w:val="auto"/>
          <w:sz w:val="21"/>
          <w:szCs w:val="21"/>
          <w:highlight w:val="none"/>
        </w:rPr>
        <w:t xml:space="preserve">古树名木的养护管理 </w:t>
      </w:r>
    </w:p>
    <w:p w14:paraId="39137C44">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 xml:space="preserve">古树是活文物，是不可再生的宝贵资源，是首都园林景观的重要组成部分。针对古树生态环境的变化和古树生长的特点，加大科学研究力度，实现科学管理和养护。 </w:t>
      </w:r>
    </w:p>
    <w:p w14:paraId="67CD214B">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使古树生长的各项环境指标控制在允许的范围内。</w:t>
      </w:r>
    </w:p>
    <w:p w14:paraId="30252E94">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土壤有效孔隙度不得低于10%。</w:t>
      </w:r>
    </w:p>
    <w:p w14:paraId="39318634">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 xml:space="preserve">土壤容重不得超过1.3g/立方米。 </w:t>
      </w:r>
    </w:p>
    <w:p w14:paraId="51294665">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土壤含水量控制在5%~20%之间，以15%~17%为宜。</w:t>
      </w:r>
    </w:p>
    <w:p w14:paraId="4796430E">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土壤中固相、液相、气相比控制在5:3:1左右。</w:t>
      </w:r>
    </w:p>
    <w:p w14:paraId="3C6B2648">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夏季土壤温度控制在15℃~29℃之间。</w:t>
      </w:r>
    </w:p>
    <w:p w14:paraId="2A05D265">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平衡营养，防止土壤中各种矿质元素短缺或过量，土壤含盐量不超过0.1%</w:t>
      </w:r>
    </w:p>
    <w:p w14:paraId="7336C52E">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土壤中有机质含量不低于1.5%。</w:t>
      </w:r>
    </w:p>
    <w:p w14:paraId="24A3EEF5">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必须处理好古树与周围其他植物之间的关系。</w:t>
      </w:r>
    </w:p>
    <w:p w14:paraId="6207E395">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在松柏类古树周围可适量保留壳斗科树种如栎、槲等，以利菌根菌的活动，促进古树生长。</w:t>
      </w:r>
    </w:p>
    <w:p w14:paraId="2AA6F35A">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古松树冠垂直投影范围内严禁种植核桃树、接骨木、榆树，以避免对其的生长产生抑制作用。</w:t>
      </w:r>
    </w:p>
    <w:p w14:paraId="7B47965E">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 xml:space="preserve">除对古树生长有利的部分植物可进行适量保留外，必须对古树周围生长的阔叶树、速生树和杂灌草进行控制。 </w:t>
      </w:r>
    </w:p>
    <w:p w14:paraId="4D86EA5A">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应保持古树及周围环境的清洁。</w:t>
      </w:r>
    </w:p>
    <w:p w14:paraId="36567B02">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应加强古树的病虫害防治工作。</w:t>
      </w:r>
    </w:p>
    <w:p w14:paraId="3547C070">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应因地制宜地设置围栏保护古树，孤立树或树群围栏与树干的距离不小于3m。</w:t>
      </w:r>
    </w:p>
    <w:p w14:paraId="3C1F438A">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在古树保护范围内（树冠垂直投影外沿3m范围内），禁止动土或铺砌不透气材料。各种施工范围内的古树必须在其保护范围边缘事先采取保护措施。</w:t>
      </w:r>
    </w:p>
    <w:p w14:paraId="40DED698">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在古树根系分布范围内，严禁设置临时厨房或厕所等有污染气体、液体的设施和排放污水的渗沟；严禁在树下堆放污染古树根系、土壤的物品，如石灰、撒过盐的积雪、人粪尿、垃圾、废料或倒污水等。</w:t>
      </w:r>
    </w:p>
    <w:p w14:paraId="2BE45D64">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9.</w:t>
      </w:r>
      <w:r>
        <w:rPr>
          <w:rFonts w:hint="eastAsia" w:ascii="仿宋" w:hAnsi="仿宋" w:eastAsia="仿宋" w:cs="仿宋"/>
          <w:color w:val="auto"/>
          <w:sz w:val="21"/>
          <w:szCs w:val="21"/>
          <w:highlight w:val="none"/>
        </w:rPr>
        <w:t>严禁在树体上钉钉子、绕铁丝、挂杂物或作为施工的支撑点。严禁攀折、刮蹭和刻划树皮等伤害古树的行为。</w:t>
      </w:r>
    </w:p>
    <w:p w14:paraId="671EA96F">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rPr>
        <w:t xml:space="preserve">古树树体及大枝有倾倒、劈裂或折断的可能时，应及时采取加固或支撑等保护措施。 </w:t>
      </w:r>
    </w:p>
    <w:p w14:paraId="6ACF89BB">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11.</w:t>
      </w:r>
      <w:r>
        <w:rPr>
          <w:rFonts w:hint="eastAsia" w:ascii="仿宋" w:hAnsi="仿宋" w:eastAsia="仿宋" w:cs="仿宋"/>
          <w:color w:val="auto"/>
          <w:sz w:val="21"/>
          <w:szCs w:val="21"/>
          <w:highlight w:val="none"/>
        </w:rPr>
        <w:t>对高大树体必须安装避雷装置，以防雷击。</w:t>
      </w:r>
    </w:p>
    <w:p w14:paraId="5431B91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八）</w:t>
      </w:r>
      <w:r>
        <w:rPr>
          <w:rFonts w:hint="eastAsia" w:ascii="仿宋" w:hAnsi="仿宋" w:eastAsia="仿宋" w:cs="仿宋"/>
          <w:color w:val="auto"/>
          <w:sz w:val="21"/>
          <w:szCs w:val="21"/>
          <w:highlight w:val="none"/>
        </w:rPr>
        <w:t>土肥标准</w:t>
      </w:r>
    </w:p>
    <w:p w14:paraId="1C4D77D7">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乔木养护标准</w:t>
      </w:r>
    </w:p>
    <w:p w14:paraId="2BC3A463">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适时施有机肥、无机肥或专用肥，每年施肥不少于4次。（单株每年不低于300克）以苗木种类、大小、生长环境、生长需求而适当增加施肥量。</w:t>
      </w:r>
    </w:p>
    <w:p w14:paraId="1CCF9107">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灌木养护标准</w:t>
      </w:r>
    </w:p>
    <w:p w14:paraId="0D2E84FE">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适时施有机肥、无机肥或专用肥，每年施肥不少于6次，开花灌木在开花前以追施磷、钾肥为主。（无机肥或专用肥每亩不低于80公斤，有机肥每亩不低于500公斤）。</w:t>
      </w:r>
    </w:p>
    <w:p w14:paraId="1491C95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地被养护标准</w:t>
      </w:r>
    </w:p>
    <w:p w14:paraId="439EC2FD">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适时适量施肥 按照“薄肥勤施”的原则进行施肥。在地被生长期，用尿素、复合肥等进行施用。开花地被植物在开花前另外追施磷、钾肥。全年追肥不少于6次。（无机肥或专用肥每亩不低于80公斤，有机肥每亩不低于500公斤）。</w:t>
      </w:r>
    </w:p>
    <w:p w14:paraId="1AF140B4">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草坪养护标准</w:t>
      </w:r>
    </w:p>
    <w:p w14:paraId="368DD4E6">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按照“薄肥勤施”的原则适时施有机肥或专用肥，全年追肥不少于6次。（无机肥或专用肥每亩不低于80公斤有机肥每亩不低于500公斤）。</w:t>
      </w:r>
    </w:p>
    <w:p w14:paraId="36CE6676">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中标方</w:t>
      </w:r>
      <w:r>
        <w:rPr>
          <w:rFonts w:hint="eastAsia" w:ascii="仿宋" w:hAnsi="仿宋" w:eastAsia="仿宋" w:cs="仿宋"/>
          <w:color w:val="auto"/>
          <w:sz w:val="21"/>
          <w:szCs w:val="21"/>
          <w:highlight w:val="none"/>
        </w:rPr>
        <w:t>购买的肥料须报采购人验收，每次施肥</w:t>
      </w:r>
      <w:r>
        <w:rPr>
          <w:rFonts w:hint="eastAsia" w:ascii="仿宋" w:hAnsi="仿宋" w:eastAsia="仿宋" w:cs="仿宋"/>
          <w:color w:val="auto"/>
          <w:sz w:val="21"/>
          <w:szCs w:val="21"/>
          <w:highlight w:val="none"/>
          <w:lang w:eastAsia="zh-CN"/>
        </w:rPr>
        <w:t>中标方</w:t>
      </w:r>
      <w:r>
        <w:rPr>
          <w:rFonts w:hint="eastAsia" w:ascii="仿宋" w:hAnsi="仿宋" w:eastAsia="仿宋" w:cs="仿宋"/>
          <w:color w:val="auto"/>
          <w:sz w:val="21"/>
          <w:szCs w:val="21"/>
          <w:highlight w:val="none"/>
        </w:rPr>
        <w:t>须报告采购人确认。</w:t>
      </w:r>
    </w:p>
    <w:p w14:paraId="1A2B9366">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九）</w:t>
      </w:r>
      <w:r>
        <w:rPr>
          <w:rFonts w:hint="eastAsia" w:ascii="仿宋" w:hAnsi="仿宋" w:eastAsia="仿宋" w:cs="仿宋"/>
          <w:color w:val="auto"/>
          <w:sz w:val="21"/>
          <w:szCs w:val="21"/>
          <w:highlight w:val="none"/>
        </w:rPr>
        <w:t>冬春季防寒标准</w:t>
      </w:r>
    </w:p>
    <w:p w14:paraId="40FFA9A3">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作为绿地维护的特殊环节，冬春季防寒就是要保证植物安全越过冬春季。其中，使用合理厚度塑料膜，密度为90%的双幅遮阳网，并配合脚手架、竹子、草席、草绳、树干涂白工作进行，如遇极端低温天气须对重点植物进行加温处理，每年10月15日起开始防寒工作，11月10日全部完成，每年3月5日开始撤除防寒设施，3月15日前全部完成。</w:t>
      </w:r>
    </w:p>
    <w:p w14:paraId="763D936A">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十）</w:t>
      </w:r>
      <w:r>
        <w:rPr>
          <w:rFonts w:hint="eastAsia" w:ascii="仿宋" w:hAnsi="仿宋" w:eastAsia="仿宋" w:cs="仿宋"/>
          <w:color w:val="auto"/>
          <w:sz w:val="21"/>
          <w:szCs w:val="21"/>
          <w:highlight w:val="none"/>
        </w:rPr>
        <w:t>设施维护</w:t>
      </w:r>
    </w:p>
    <w:p w14:paraId="1AF643FF">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绿地、水池的给排水设施，日常维护要做到完好无损，以保障绿化供水和排涝使用，防止水被人为滥用。</w:t>
      </w:r>
    </w:p>
    <w:p w14:paraId="1A08D2A2">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十一）</w:t>
      </w:r>
      <w:r>
        <w:rPr>
          <w:rFonts w:hint="eastAsia" w:ascii="仿宋" w:hAnsi="仿宋" w:eastAsia="仿宋" w:cs="仿宋"/>
          <w:color w:val="auto"/>
          <w:sz w:val="21"/>
          <w:szCs w:val="21"/>
          <w:highlight w:val="none"/>
        </w:rPr>
        <w:t>绿化垃圾</w:t>
      </w:r>
    </w:p>
    <w:p w14:paraId="6428F352">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每日清洁两次（8:30前及适当时间）其余时间循环保洁，清除果皮、纸屑、烟头、树叶等垃圾，保持干净、整洁、无烟头、无卫生死角。保持绿地无垃圾杂物，定期用水刷洗主干道路及地面，保持地面整洁、美观。垃圾做到即产即清，每天及时将垃圾清运，做到囤放不过夜，不焚烧，无卫生死角，绿化内无涂刻、无张贴。</w:t>
      </w:r>
    </w:p>
    <w:p w14:paraId="4A615D0E">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二、</w:t>
      </w:r>
      <w:r>
        <w:rPr>
          <w:rFonts w:hint="eastAsia" w:ascii="仿宋" w:hAnsi="仿宋" w:eastAsia="仿宋" w:cs="仿宋"/>
          <w:color w:val="auto"/>
          <w:sz w:val="21"/>
          <w:szCs w:val="21"/>
          <w:highlight w:val="none"/>
        </w:rPr>
        <w:t>行政中心A区一楼大厅（电子屏前）绿植购置摆放标准及要求</w:t>
      </w:r>
    </w:p>
    <w:p w14:paraId="73AEE4E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（一）</w:t>
      </w:r>
      <w:r>
        <w:rPr>
          <w:rFonts w:hint="eastAsia" w:ascii="仿宋" w:hAnsi="仿宋" w:eastAsia="仿宋" w:cs="仿宋"/>
          <w:color w:val="auto"/>
          <w:sz w:val="21"/>
          <w:szCs w:val="21"/>
          <w:highlight w:val="none"/>
        </w:rPr>
        <w:t>购置品质较好的植物</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确保植株茂盛健壮，株型自然匀称。叶面干净光亮，无灰尘污渍，无明显病斑，无明显虫害，无残留害虫。</w:t>
      </w:r>
    </w:p>
    <w:p w14:paraId="1D28D7CF">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（二）</w:t>
      </w:r>
      <w:r>
        <w:rPr>
          <w:rFonts w:hint="eastAsia" w:ascii="仿宋" w:hAnsi="仿宋" w:eastAsia="仿宋" w:cs="仿宋"/>
          <w:color w:val="auto"/>
          <w:sz w:val="21"/>
          <w:szCs w:val="21"/>
          <w:highlight w:val="none"/>
        </w:rPr>
        <w:t>严格做好养护服务</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确保植物无枯枝、残枝、黄叶。对叶尖有少许枯黄的叶片，要合理修剪，保持树形美观自然。</w:t>
      </w:r>
    </w:p>
    <w:p w14:paraId="10FF28EC">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（三）</w:t>
      </w:r>
      <w:r>
        <w:rPr>
          <w:rFonts w:hint="eastAsia" w:ascii="仿宋" w:hAnsi="仿宋" w:eastAsia="仿宋" w:cs="仿宋"/>
          <w:color w:val="auto"/>
          <w:sz w:val="21"/>
          <w:szCs w:val="21"/>
          <w:highlight w:val="none"/>
        </w:rPr>
        <w:t>科学的植物水肥</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在养护工作上按照科学的植物水肥需要保证盆花干湿合理</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不过量浇水施肥，又不缺水少肥，保持植物对生长水肥的合理需求。</w:t>
      </w:r>
    </w:p>
    <w:p w14:paraId="11105605">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（四）</w:t>
      </w:r>
      <w:r>
        <w:rPr>
          <w:rFonts w:hint="eastAsia" w:ascii="仿宋" w:hAnsi="仿宋" w:eastAsia="仿宋" w:cs="仿宋"/>
          <w:color w:val="auto"/>
          <w:sz w:val="21"/>
          <w:szCs w:val="21"/>
          <w:highlight w:val="none"/>
        </w:rPr>
        <w:t>保持盆花的花盆、器皿干净整洁</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无污水、泥垢及污渍</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花盆内无杂物、垃圾，对损坏残缺的花盆套缸及时更换。每次养护完毕，清理现场保持清洁。</w:t>
      </w:r>
    </w:p>
    <w:p w14:paraId="17E81F82">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（五）</w:t>
      </w:r>
      <w:r>
        <w:rPr>
          <w:rFonts w:hint="eastAsia" w:ascii="仿宋" w:hAnsi="仿宋" w:eastAsia="仿宋" w:cs="仿宋"/>
          <w:color w:val="auto"/>
          <w:sz w:val="21"/>
          <w:szCs w:val="21"/>
          <w:highlight w:val="none"/>
        </w:rPr>
        <w:t>盆花的底碟、套缸、花盆应合理配备</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确保颜色适配、风格统一、美观大方。</w:t>
      </w:r>
    </w:p>
    <w:p w14:paraId="527A2348">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（六）施用肥料。</w:t>
      </w:r>
      <w:r>
        <w:rPr>
          <w:rFonts w:hint="eastAsia" w:ascii="仿宋" w:hAnsi="仿宋" w:eastAsia="仿宋" w:cs="仿宋"/>
          <w:color w:val="auto"/>
          <w:sz w:val="21"/>
          <w:szCs w:val="21"/>
          <w:highlight w:val="none"/>
        </w:rPr>
        <w:t>盆花养护期间，根据其生长需要施用肥料。施用的肥料应无异味、无毒、无刺激性气味，保证摆放环境清新自然。</w:t>
      </w:r>
    </w:p>
    <w:p w14:paraId="67C55D17">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（七）</w:t>
      </w:r>
      <w:r>
        <w:rPr>
          <w:rFonts w:hint="eastAsia" w:ascii="仿宋" w:hAnsi="仿宋" w:eastAsia="仿宋" w:cs="仿宋"/>
          <w:color w:val="auto"/>
          <w:sz w:val="21"/>
          <w:szCs w:val="21"/>
          <w:highlight w:val="none"/>
        </w:rPr>
        <w:t>对长势不良、观赏价值降低的盆花应及时进行更换。</w:t>
      </w:r>
    </w:p>
    <w:p w14:paraId="23CE9CF3">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（八）</w:t>
      </w:r>
      <w:r>
        <w:rPr>
          <w:rFonts w:hint="eastAsia" w:ascii="仿宋" w:hAnsi="仿宋" w:eastAsia="仿宋" w:cs="仿宋"/>
          <w:color w:val="auto"/>
          <w:sz w:val="21"/>
          <w:szCs w:val="21"/>
          <w:highlight w:val="none"/>
        </w:rPr>
        <w:t>室内植物的摆放</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接到</w:t>
      </w:r>
      <w:r>
        <w:rPr>
          <w:rFonts w:hint="eastAsia" w:ascii="仿宋" w:hAnsi="仿宋" w:eastAsia="仿宋" w:cs="仿宋"/>
          <w:color w:val="auto"/>
          <w:sz w:val="21"/>
          <w:szCs w:val="21"/>
          <w:highlight w:val="none"/>
          <w:lang w:eastAsia="zh-CN"/>
        </w:rPr>
        <w:t>招标方</w:t>
      </w:r>
      <w:r>
        <w:rPr>
          <w:rFonts w:hint="eastAsia" w:ascii="仿宋" w:hAnsi="仿宋" w:eastAsia="仿宋" w:cs="仿宋"/>
          <w:color w:val="auto"/>
          <w:sz w:val="21"/>
          <w:szCs w:val="21"/>
          <w:highlight w:val="none"/>
        </w:rPr>
        <w:t>方通知后选择下班时间或休息日时间进行摆放</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不得影响办公区域的正常办公。特殊情况经</w:t>
      </w:r>
      <w:r>
        <w:rPr>
          <w:rFonts w:hint="eastAsia" w:ascii="仿宋" w:hAnsi="仿宋" w:eastAsia="仿宋" w:cs="仿宋"/>
          <w:color w:val="auto"/>
          <w:sz w:val="21"/>
          <w:szCs w:val="21"/>
          <w:highlight w:val="none"/>
          <w:lang w:eastAsia="zh-CN"/>
        </w:rPr>
        <w:t>招标方</w:t>
      </w:r>
      <w:r>
        <w:rPr>
          <w:rFonts w:hint="eastAsia" w:ascii="仿宋" w:hAnsi="仿宋" w:eastAsia="仿宋" w:cs="仿宋"/>
          <w:color w:val="auto"/>
          <w:sz w:val="21"/>
          <w:szCs w:val="21"/>
          <w:highlight w:val="none"/>
        </w:rPr>
        <w:t>方同意后除外。</w:t>
      </w:r>
    </w:p>
    <w:p w14:paraId="44F2D1DE">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1"/>
          <w:szCs w:val="21"/>
          <w:highlight w:val="none"/>
          <w:lang w:val="en-US" w:eastAsia="zh-CN"/>
        </w:rPr>
        <w:t>（九）摆放方案。购置苗木种类及摆设方案等，须书面经招标方审定后，方可执行。</w:t>
      </w:r>
    </w:p>
    <w:p w14:paraId="5A2F5A4A">
      <w:pPr>
        <w:pStyle w:val="2"/>
        <w:outlineLvl w:val="9"/>
        <w:rPr>
          <w:color w:val="auto"/>
          <w:highlight w:val="none"/>
        </w:rPr>
      </w:pPr>
    </w:p>
    <w:p w14:paraId="563AB2DB">
      <w:pPr>
        <w:rPr>
          <w:rStyle w:val="34"/>
          <w:rFonts w:ascii="仿宋" w:hAnsi="仿宋" w:eastAsia="仿宋" w:cs="仿宋"/>
          <w:color w:val="auto"/>
          <w:sz w:val="44"/>
          <w:szCs w:val="44"/>
          <w:highlight w:val="none"/>
        </w:rPr>
      </w:pPr>
      <w:r>
        <w:rPr>
          <w:rStyle w:val="34"/>
          <w:rFonts w:hint="eastAsia" w:ascii="仿宋" w:hAnsi="仿宋" w:eastAsia="仿宋" w:cs="仿宋"/>
          <w:color w:val="auto"/>
          <w:sz w:val="44"/>
          <w:szCs w:val="44"/>
          <w:highlight w:val="none"/>
        </w:rPr>
        <w:br w:type="page"/>
      </w:r>
    </w:p>
    <w:p w14:paraId="3E277FEA">
      <w:pPr>
        <w:pStyle w:val="2"/>
        <w:bidi w:val="0"/>
        <w:rPr>
          <w:rStyle w:val="34"/>
          <w:rFonts w:ascii="仿宋" w:hAnsi="仿宋" w:eastAsia="仿宋" w:cs="仿宋"/>
          <w:color w:val="auto"/>
          <w:szCs w:val="44"/>
          <w:highlight w:val="none"/>
        </w:rPr>
      </w:pPr>
      <w:bookmarkStart w:id="19" w:name="_Toc1516"/>
      <w:r>
        <w:rPr>
          <w:rFonts w:hint="eastAsia" w:ascii="仿宋" w:hAnsi="仿宋" w:eastAsia="仿宋" w:cs="仿宋"/>
          <w:color w:val="auto"/>
          <w:highlight w:val="none"/>
        </w:rPr>
        <w:t>第五章  响应文件格式</w:t>
      </w:r>
      <w:bookmarkEnd w:id="19"/>
    </w:p>
    <w:p w14:paraId="516ACC5D">
      <w:pPr>
        <w:spacing w:line="360" w:lineRule="auto"/>
        <w:jc w:val="center"/>
        <w:rPr>
          <w:rStyle w:val="34"/>
          <w:rFonts w:ascii="仿宋" w:hAnsi="仿宋" w:eastAsia="仿宋" w:cs="仿宋"/>
          <w:b/>
          <w:color w:val="auto"/>
          <w:sz w:val="24"/>
          <w:szCs w:val="24"/>
          <w:highlight w:val="none"/>
        </w:rPr>
      </w:pPr>
    </w:p>
    <w:p w14:paraId="5C36AECE">
      <w:pPr>
        <w:spacing w:line="360" w:lineRule="auto"/>
        <w:jc w:val="center"/>
        <w:rPr>
          <w:rStyle w:val="34"/>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24"/>
          <w:szCs w:val="24"/>
          <w:highlight w:val="none"/>
          <w:lang w:val="en-US" w:eastAsia="zh-CN"/>
        </w:rPr>
        <w:t>【说明：供应商制作编辑文件时，请将完整响应文件上传至商务技术文件中。】</w:t>
      </w:r>
    </w:p>
    <w:p w14:paraId="4F41EF99">
      <w:pPr>
        <w:spacing w:line="360" w:lineRule="auto"/>
        <w:jc w:val="center"/>
        <w:rPr>
          <w:rStyle w:val="34"/>
          <w:rFonts w:hint="eastAsia" w:ascii="仿宋" w:hAnsi="仿宋" w:eastAsia="仿宋" w:cs="仿宋"/>
          <w:b/>
          <w:color w:val="auto"/>
          <w:sz w:val="36"/>
          <w:szCs w:val="36"/>
          <w:highlight w:val="none"/>
          <w:lang w:eastAsia="zh-CN"/>
        </w:rPr>
      </w:pPr>
      <w:r>
        <w:rPr>
          <w:rStyle w:val="34"/>
          <w:rFonts w:hint="eastAsia" w:ascii="仿宋" w:hAnsi="仿宋" w:eastAsia="仿宋" w:cs="仿宋"/>
          <w:b/>
          <w:bCs/>
          <w:color w:val="auto"/>
          <w:sz w:val="36"/>
          <w:szCs w:val="36"/>
          <w:highlight w:val="none"/>
          <w:lang w:eastAsia="zh-CN"/>
        </w:rPr>
        <w:t>石林彝族自治县行政中心室外绿化管养外包服务（2025-2028年）</w:t>
      </w:r>
    </w:p>
    <w:p w14:paraId="5EA76FD5">
      <w:pPr>
        <w:spacing w:line="360" w:lineRule="auto"/>
        <w:jc w:val="center"/>
        <w:rPr>
          <w:rStyle w:val="34"/>
          <w:rFonts w:ascii="仿宋" w:hAnsi="仿宋" w:eastAsia="仿宋" w:cs="仿宋"/>
          <w:color w:val="auto"/>
          <w:sz w:val="32"/>
          <w:highlight w:val="none"/>
        </w:rPr>
      </w:pPr>
    </w:p>
    <w:p w14:paraId="77FDC66D">
      <w:pPr>
        <w:spacing w:line="360" w:lineRule="auto"/>
        <w:jc w:val="center"/>
        <w:rPr>
          <w:rStyle w:val="34"/>
          <w:rFonts w:ascii="仿宋" w:hAnsi="仿宋" w:eastAsia="仿宋" w:cs="仿宋"/>
          <w:color w:val="auto"/>
          <w:sz w:val="32"/>
          <w:highlight w:val="none"/>
        </w:rPr>
      </w:pPr>
    </w:p>
    <w:p w14:paraId="7A1E368B">
      <w:pPr>
        <w:spacing w:line="360" w:lineRule="auto"/>
        <w:jc w:val="center"/>
        <w:rPr>
          <w:rStyle w:val="34"/>
          <w:rFonts w:ascii="仿宋" w:hAnsi="仿宋" w:eastAsia="仿宋" w:cs="仿宋"/>
          <w:color w:val="auto"/>
          <w:sz w:val="32"/>
          <w:highlight w:val="none"/>
        </w:rPr>
      </w:pPr>
    </w:p>
    <w:p w14:paraId="5B2C2B82">
      <w:pPr>
        <w:spacing w:line="360" w:lineRule="auto"/>
        <w:jc w:val="center"/>
        <w:rPr>
          <w:rStyle w:val="34"/>
          <w:rFonts w:ascii="仿宋" w:hAnsi="仿宋" w:eastAsia="仿宋" w:cs="仿宋"/>
          <w:color w:val="auto"/>
          <w:sz w:val="32"/>
          <w:highlight w:val="none"/>
        </w:rPr>
      </w:pPr>
    </w:p>
    <w:p w14:paraId="3F579D61">
      <w:pPr>
        <w:spacing w:line="360" w:lineRule="auto"/>
        <w:jc w:val="center"/>
        <w:rPr>
          <w:rStyle w:val="34"/>
          <w:rFonts w:ascii="仿宋" w:hAnsi="仿宋" w:eastAsia="仿宋" w:cs="仿宋"/>
          <w:color w:val="auto"/>
          <w:sz w:val="32"/>
          <w:highlight w:val="none"/>
        </w:rPr>
      </w:pPr>
    </w:p>
    <w:p w14:paraId="05DD6DD4">
      <w:pPr>
        <w:spacing w:line="360" w:lineRule="auto"/>
        <w:jc w:val="both"/>
        <w:rPr>
          <w:rStyle w:val="34"/>
          <w:rFonts w:ascii="仿宋" w:hAnsi="仿宋" w:eastAsia="仿宋" w:cs="仿宋"/>
          <w:color w:val="auto"/>
          <w:sz w:val="32"/>
          <w:highlight w:val="none"/>
        </w:rPr>
      </w:pPr>
    </w:p>
    <w:p w14:paraId="75BE40DE">
      <w:pPr>
        <w:spacing w:line="360" w:lineRule="auto"/>
        <w:jc w:val="center"/>
        <w:rPr>
          <w:rStyle w:val="34"/>
          <w:rFonts w:ascii="仿宋" w:hAnsi="仿宋" w:eastAsia="仿宋" w:cs="仿宋"/>
          <w:b/>
          <w:color w:val="auto"/>
          <w:sz w:val="72"/>
          <w:szCs w:val="72"/>
          <w:highlight w:val="none"/>
        </w:rPr>
      </w:pPr>
      <w:r>
        <w:rPr>
          <w:rStyle w:val="34"/>
          <w:rFonts w:hint="eastAsia" w:ascii="仿宋" w:hAnsi="仿宋" w:eastAsia="仿宋" w:cs="仿宋"/>
          <w:b/>
          <w:color w:val="auto"/>
          <w:sz w:val="72"/>
          <w:szCs w:val="72"/>
          <w:highlight w:val="none"/>
        </w:rPr>
        <w:t>响 应 文 件</w:t>
      </w:r>
    </w:p>
    <w:p w14:paraId="1FAE0924">
      <w:pPr>
        <w:spacing w:line="360" w:lineRule="auto"/>
        <w:ind w:firstLine="2831"/>
        <w:rPr>
          <w:rStyle w:val="34"/>
          <w:rFonts w:ascii="仿宋" w:hAnsi="仿宋" w:eastAsia="仿宋" w:cs="仿宋"/>
          <w:b/>
          <w:color w:val="auto"/>
          <w:sz w:val="30"/>
          <w:szCs w:val="30"/>
          <w:highlight w:val="none"/>
        </w:rPr>
      </w:pPr>
    </w:p>
    <w:p w14:paraId="47A9A9B4">
      <w:pPr>
        <w:spacing w:line="360" w:lineRule="auto"/>
        <w:jc w:val="center"/>
        <w:rPr>
          <w:rStyle w:val="34"/>
          <w:rFonts w:ascii="仿宋" w:hAnsi="仿宋" w:eastAsia="仿宋" w:cs="仿宋"/>
          <w:b/>
          <w:color w:val="auto"/>
          <w:sz w:val="30"/>
          <w:szCs w:val="30"/>
          <w:highlight w:val="none"/>
          <w:u w:val="single"/>
        </w:rPr>
      </w:pPr>
      <w:r>
        <w:rPr>
          <w:rStyle w:val="34"/>
          <w:rFonts w:hint="eastAsia" w:ascii="仿宋" w:hAnsi="仿宋" w:eastAsia="仿宋" w:cs="仿宋"/>
          <w:b/>
          <w:color w:val="auto"/>
          <w:sz w:val="30"/>
          <w:szCs w:val="30"/>
          <w:highlight w:val="none"/>
        </w:rPr>
        <w:t xml:space="preserve">招标编号： </w:t>
      </w:r>
      <w:r>
        <w:rPr>
          <w:rStyle w:val="34"/>
          <w:rFonts w:hint="eastAsia" w:ascii="仿宋" w:hAnsi="仿宋" w:eastAsia="仿宋" w:cs="仿宋"/>
          <w:b/>
          <w:color w:val="auto"/>
          <w:sz w:val="32"/>
          <w:szCs w:val="32"/>
          <w:highlight w:val="none"/>
          <w:lang w:eastAsia="zh-CN"/>
        </w:rPr>
        <w:t>SLJC2025-006</w:t>
      </w:r>
    </w:p>
    <w:p w14:paraId="09E50139">
      <w:pPr>
        <w:spacing w:line="360" w:lineRule="auto"/>
        <w:rPr>
          <w:rStyle w:val="34"/>
          <w:rFonts w:ascii="仿宋" w:hAnsi="仿宋" w:eastAsia="仿宋" w:cs="仿宋"/>
          <w:b/>
          <w:color w:val="auto"/>
          <w:sz w:val="48"/>
          <w:highlight w:val="none"/>
        </w:rPr>
      </w:pPr>
    </w:p>
    <w:p w14:paraId="3B6A14B3">
      <w:pPr>
        <w:spacing w:line="360" w:lineRule="auto"/>
        <w:rPr>
          <w:rStyle w:val="34"/>
          <w:rFonts w:ascii="仿宋" w:hAnsi="仿宋" w:eastAsia="仿宋" w:cs="仿宋"/>
          <w:b/>
          <w:color w:val="auto"/>
          <w:sz w:val="48"/>
          <w:highlight w:val="none"/>
        </w:rPr>
      </w:pPr>
    </w:p>
    <w:p w14:paraId="6291E7B1">
      <w:pPr>
        <w:spacing w:line="360" w:lineRule="auto"/>
        <w:rPr>
          <w:rStyle w:val="34"/>
          <w:rFonts w:ascii="仿宋" w:hAnsi="仿宋" w:eastAsia="仿宋" w:cs="仿宋"/>
          <w:b/>
          <w:color w:val="auto"/>
          <w:sz w:val="48"/>
          <w:highlight w:val="none"/>
        </w:rPr>
      </w:pPr>
    </w:p>
    <w:p w14:paraId="7D1865B7">
      <w:pPr>
        <w:spacing w:line="360" w:lineRule="auto"/>
        <w:rPr>
          <w:rStyle w:val="34"/>
          <w:rFonts w:ascii="仿宋" w:hAnsi="仿宋" w:eastAsia="仿宋" w:cs="仿宋"/>
          <w:b/>
          <w:color w:val="auto"/>
          <w:sz w:val="48"/>
          <w:highlight w:val="none"/>
        </w:rPr>
      </w:pPr>
    </w:p>
    <w:p w14:paraId="1014F0AD">
      <w:pPr>
        <w:spacing w:line="360" w:lineRule="auto"/>
        <w:rPr>
          <w:rStyle w:val="34"/>
          <w:rFonts w:ascii="仿宋" w:hAnsi="仿宋" w:eastAsia="仿宋" w:cs="仿宋"/>
          <w:b/>
          <w:color w:val="auto"/>
          <w:sz w:val="48"/>
          <w:highlight w:val="none"/>
        </w:rPr>
      </w:pPr>
    </w:p>
    <w:p w14:paraId="65266E76">
      <w:pPr>
        <w:snapToGrid w:val="0"/>
        <w:spacing w:line="360" w:lineRule="auto"/>
        <w:ind w:firstLine="422"/>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供应商（电子签章或盖章）：</w:t>
      </w:r>
      <w:r>
        <w:rPr>
          <w:rFonts w:hint="eastAsia" w:ascii="仿宋" w:hAnsi="仿宋" w:eastAsia="仿宋" w:cs="仿宋"/>
          <w:b/>
          <w:color w:val="auto"/>
          <w:sz w:val="28"/>
          <w:szCs w:val="28"/>
          <w:highlight w:val="none"/>
          <w:u w:val="single"/>
        </w:rPr>
        <w:t xml:space="preserve">                                </w:t>
      </w:r>
    </w:p>
    <w:p w14:paraId="63323B71">
      <w:pPr>
        <w:snapToGrid w:val="0"/>
        <w:spacing w:line="360" w:lineRule="auto"/>
        <w:ind w:firstLine="422"/>
        <w:rPr>
          <w:rFonts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rPr>
        <w:t>法定代表人或其委托代理人（电子签章或签字）：</w:t>
      </w:r>
      <w:r>
        <w:rPr>
          <w:rFonts w:hint="eastAsia" w:ascii="仿宋" w:hAnsi="仿宋" w:eastAsia="仿宋" w:cs="仿宋"/>
          <w:b/>
          <w:color w:val="auto"/>
          <w:sz w:val="28"/>
          <w:szCs w:val="28"/>
          <w:highlight w:val="none"/>
          <w:u w:val="single"/>
        </w:rPr>
        <w:t xml:space="preserve">              </w:t>
      </w:r>
    </w:p>
    <w:p w14:paraId="7A7EF600">
      <w:pPr>
        <w:spacing w:line="360" w:lineRule="auto"/>
        <w:ind w:firstLine="422"/>
        <w:rPr>
          <w:rStyle w:val="34"/>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日  期：</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 xml:space="preserve"> 年</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 xml:space="preserve"> 月</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日</w:t>
      </w:r>
    </w:p>
    <w:p w14:paraId="4E253842">
      <w:pPr>
        <w:snapToGrid w:val="0"/>
        <w:spacing w:line="360" w:lineRule="auto"/>
        <w:ind w:right="-241"/>
        <w:rPr>
          <w:rStyle w:val="34"/>
          <w:rFonts w:ascii="仿宋" w:hAnsi="仿宋" w:eastAsia="仿宋" w:cs="仿宋"/>
          <w:b/>
          <w:color w:val="auto"/>
          <w:sz w:val="24"/>
          <w:szCs w:val="24"/>
          <w:highlight w:val="none"/>
        </w:rPr>
      </w:pPr>
      <w:r>
        <w:rPr>
          <w:rStyle w:val="34"/>
          <w:rFonts w:hint="eastAsia" w:ascii="仿宋" w:hAnsi="仿宋" w:eastAsia="仿宋" w:cs="仿宋"/>
          <w:b/>
          <w:color w:val="auto"/>
          <w:sz w:val="24"/>
          <w:szCs w:val="24"/>
          <w:highlight w:val="none"/>
        </w:rPr>
        <w:t xml:space="preserve">附件一            </w:t>
      </w:r>
    </w:p>
    <w:p w14:paraId="7A439816">
      <w:pPr>
        <w:ind w:right="-241"/>
        <w:jc w:val="center"/>
        <w:rPr>
          <w:rStyle w:val="34"/>
          <w:rFonts w:ascii="仿宋" w:hAnsi="仿宋" w:eastAsia="仿宋" w:cs="仿宋"/>
          <w:b/>
          <w:color w:val="auto"/>
          <w:sz w:val="32"/>
          <w:szCs w:val="32"/>
          <w:highlight w:val="none"/>
        </w:rPr>
      </w:pPr>
      <w:r>
        <w:rPr>
          <w:rStyle w:val="34"/>
          <w:rFonts w:hint="eastAsia" w:ascii="仿宋" w:hAnsi="仿宋" w:eastAsia="仿宋" w:cs="仿宋"/>
          <w:b/>
          <w:color w:val="auto"/>
          <w:kern w:val="0"/>
          <w:sz w:val="32"/>
          <w:szCs w:val="32"/>
          <w:highlight w:val="none"/>
        </w:rPr>
        <w:t>竞争性磋商报价一览表</w:t>
      </w:r>
    </w:p>
    <w:p w14:paraId="5DC5F5CC">
      <w:pPr>
        <w:jc w:val="center"/>
        <w:rPr>
          <w:rStyle w:val="34"/>
          <w:rFonts w:ascii="仿宋" w:hAnsi="仿宋" w:eastAsia="仿宋" w:cs="仿宋"/>
          <w:color w:val="auto"/>
          <w:sz w:val="24"/>
          <w:szCs w:val="24"/>
          <w:highlight w:val="none"/>
        </w:rPr>
      </w:pPr>
    </w:p>
    <w:p w14:paraId="461B6348">
      <w:pPr>
        <w:pStyle w:val="99"/>
        <w:snapToGrid w:val="0"/>
        <w:spacing w:line="360" w:lineRule="auto"/>
        <w:rPr>
          <w:rStyle w:val="34"/>
          <w:rFonts w:hint="eastAsia" w:ascii="仿宋" w:hAnsi="仿宋" w:eastAsia="仿宋" w:cs="仿宋"/>
          <w:color w:val="auto"/>
          <w:kern w:val="2"/>
          <w:sz w:val="21"/>
          <w:szCs w:val="21"/>
          <w:highlight w:val="none"/>
          <w:lang w:val="en-US" w:eastAsia="zh-CN"/>
        </w:rPr>
      </w:pPr>
      <w:r>
        <w:rPr>
          <w:rStyle w:val="34"/>
          <w:rFonts w:hint="eastAsia" w:ascii="仿宋" w:hAnsi="仿宋" w:eastAsia="仿宋" w:cs="仿宋"/>
          <w:color w:val="auto"/>
          <w:kern w:val="2"/>
          <w:sz w:val="21"/>
          <w:szCs w:val="21"/>
          <w:highlight w:val="none"/>
          <w:lang w:val="en-US"/>
        </w:rPr>
        <w:t>项目名称：</w:t>
      </w:r>
      <w:r>
        <w:rPr>
          <w:rStyle w:val="34"/>
          <w:rFonts w:hint="eastAsia" w:ascii="仿宋" w:hAnsi="仿宋" w:eastAsia="仿宋" w:cs="仿宋"/>
          <w:color w:val="auto"/>
          <w:kern w:val="2"/>
          <w:sz w:val="21"/>
          <w:szCs w:val="21"/>
          <w:highlight w:val="none"/>
          <w:lang w:eastAsia="zh-CN"/>
        </w:rPr>
        <w:t>石林彝族自治县行政中心室外绿化管养外包服务（2025-2028年）</w:t>
      </w:r>
    </w:p>
    <w:p w14:paraId="75478110">
      <w:pPr>
        <w:spacing w:line="360" w:lineRule="auto"/>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招标编号：</w:t>
      </w:r>
      <w:r>
        <w:rPr>
          <w:rStyle w:val="34"/>
          <w:rFonts w:hint="eastAsia" w:ascii="仿宋" w:hAnsi="仿宋" w:eastAsia="仿宋" w:cs="仿宋"/>
          <w:color w:val="auto"/>
          <w:szCs w:val="21"/>
          <w:highlight w:val="none"/>
          <w:lang w:eastAsia="zh-CN"/>
        </w:rPr>
        <w:t>SLJC2025-006</w:t>
      </w:r>
    </w:p>
    <w:tbl>
      <w:tblPr>
        <w:tblStyle w:val="21"/>
        <w:tblW w:w="87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42"/>
        <w:gridCol w:w="6035"/>
      </w:tblGrid>
      <w:tr w14:paraId="15A14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2742" w:type="dxa"/>
            <w:tcBorders>
              <w:top w:val="single" w:color="000000" w:sz="4" w:space="0"/>
              <w:left w:val="single" w:color="000000" w:sz="4" w:space="0"/>
              <w:bottom w:val="single" w:color="000000" w:sz="4" w:space="0"/>
              <w:right w:val="single" w:color="000000" w:sz="4" w:space="0"/>
            </w:tcBorders>
            <w:vAlign w:val="center"/>
          </w:tcPr>
          <w:p w14:paraId="0F28CF51">
            <w:pPr>
              <w:spacing w:before="120" w:after="120" w:line="240" w:lineRule="atLeast"/>
              <w:jc w:val="center"/>
              <w:rPr>
                <w:rStyle w:val="34"/>
                <w:rFonts w:ascii="仿宋" w:hAnsi="仿宋" w:eastAsia="仿宋" w:cs="仿宋"/>
                <w:b/>
                <w:bCs/>
                <w:color w:val="auto"/>
                <w:szCs w:val="21"/>
                <w:highlight w:val="none"/>
              </w:rPr>
            </w:pPr>
            <w:r>
              <w:rPr>
                <w:rStyle w:val="34"/>
                <w:rFonts w:hint="eastAsia" w:ascii="仿宋" w:hAnsi="仿宋" w:eastAsia="仿宋" w:cs="仿宋"/>
                <w:b/>
                <w:bCs/>
                <w:color w:val="auto"/>
                <w:szCs w:val="21"/>
                <w:highlight w:val="none"/>
              </w:rPr>
              <w:t>竞争性磋商</w:t>
            </w:r>
          </w:p>
          <w:p w14:paraId="5C64F368">
            <w:pPr>
              <w:spacing w:before="120" w:after="120" w:line="240" w:lineRule="atLeast"/>
              <w:jc w:val="center"/>
              <w:rPr>
                <w:rStyle w:val="34"/>
                <w:rFonts w:ascii="仿宋" w:hAnsi="仿宋" w:eastAsia="仿宋" w:cs="仿宋"/>
                <w:color w:val="auto"/>
                <w:szCs w:val="21"/>
                <w:highlight w:val="none"/>
              </w:rPr>
            </w:pPr>
            <w:r>
              <w:rPr>
                <w:rStyle w:val="34"/>
                <w:rFonts w:hint="eastAsia" w:ascii="仿宋" w:hAnsi="仿宋" w:eastAsia="仿宋" w:cs="仿宋"/>
                <w:b/>
                <w:bCs/>
                <w:color w:val="auto"/>
                <w:szCs w:val="21"/>
                <w:highlight w:val="none"/>
              </w:rPr>
              <w:t>供应商名称</w:t>
            </w:r>
          </w:p>
        </w:tc>
        <w:tc>
          <w:tcPr>
            <w:tcW w:w="6035" w:type="dxa"/>
            <w:tcBorders>
              <w:top w:val="single" w:color="000000" w:sz="4" w:space="0"/>
              <w:left w:val="single" w:color="000000" w:sz="4" w:space="0"/>
              <w:bottom w:val="single" w:color="000000" w:sz="4" w:space="0"/>
              <w:right w:val="single" w:color="000000" w:sz="4" w:space="0"/>
            </w:tcBorders>
            <w:vAlign w:val="center"/>
          </w:tcPr>
          <w:p w14:paraId="6ECA2B39">
            <w:pPr>
              <w:spacing w:before="120" w:after="120" w:line="240" w:lineRule="atLeast"/>
              <w:jc w:val="center"/>
              <w:rPr>
                <w:rStyle w:val="34"/>
                <w:rFonts w:ascii="仿宋" w:hAnsi="仿宋" w:eastAsia="仿宋" w:cs="仿宋"/>
                <w:color w:val="auto"/>
                <w:szCs w:val="21"/>
                <w:highlight w:val="none"/>
              </w:rPr>
            </w:pPr>
          </w:p>
        </w:tc>
      </w:tr>
      <w:tr w14:paraId="22FCE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8" w:hRule="atLeast"/>
        </w:trPr>
        <w:tc>
          <w:tcPr>
            <w:tcW w:w="2742" w:type="dxa"/>
            <w:tcBorders>
              <w:top w:val="single" w:color="000000" w:sz="4" w:space="0"/>
              <w:left w:val="single" w:color="000000" w:sz="4" w:space="0"/>
              <w:bottom w:val="single" w:color="000000" w:sz="4" w:space="0"/>
              <w:right w:val="single" w:color="000000" w:sz="4" w:space="0"/>
            </w:tcBorders>
            <w:vAlign w:val="center"/>
          </w:tcPr>
          <w:p w14:paraId="4CA45EF2">
            <w:pPr>
              <w:spacing w:before="120" w:after="120" w:line="240" w:lineRule="atLeast"/>
              <w:jc w:val="center"/>
              <w:rPr>
                <w:rStyle w:val="34"/>
                <w:rFonts w:ascii="仿宋" w:hAnsi="仿宋" w:eastAsia="仿宋" w:cs="仿宋"/>
                <w:b/>
                <w:bCs/>
                <w:color w:val="auto"/>
                <w:szCs w:val="21"/>
                <w:highlight w:val="none"/>
              </w:rPr>
            </w:pPr>
            <w:r>
              <w:rPr>
                <w:rStyle w:val="34"/>
                <w:rFonts w:hint="eastAsia" w:ascii="仿宋" w:hAnsi="仿宋" w:eastAsia="仿宋" w:cs="仿宋"/>
                <w:b/>
                <w:bCs/>
                <w:color w:val="auto"/>
                <w:szCs w:val="21"/>
                <w:highlight w:val="none"/>
              </w:rPr>
              <w:t>投标总报价</w:t>
            </w:r>
          </w:p>
          <w:p w14:paraId="44C63AA7">
            <w:pPr>
              <w:spacing w:before="120" w:after="120" w:line="240" w:lineRule="atLeast"/>
              <w:jc w:val="center"/>
              <w:rPr>
                <w:rStyle w:val="34"/>
                <w:rFonts w:ascii="仿宋" w:hAnsi="仿宋" w:eastAsia="仿宋" w:cs="仿宋"/>
                <w:b/>
                <w:bCs/>
                <w:color w:val="auto"/>
                <w:szCs w:val="21"/>
                <w:highlight w:val="none"/>
              </w:rPr>
            </w:pPr>
            <w:r>
              <w:rPr>
                <w:rStyle w:val="34"/>
                <w:rFonts w:hint="eastAsia" w:ascii="仿宋" w:hAnsi="仿宋" w:eastAsia="仿宋" w:cs="仿宋"/>
                <w:b/>
                <w:bCs/>
                <w:color w:val="auto"/>
                <w:szCs w:val="21"/>
                <w:highlight w:val="none"/>
              </w:rPr>
              <w:t>（人民币：元）</w:t>
            </w:r>
          </w:p>
        </w:tc>
        <w:tc>
          <w:tcPr>
            <w:tcW w:w="6035" w:type="dxa"/>
            <w:tcBorders>
              <w:top w:val="single" w:color="000000" w:sz="4" w:space="0"/>
              <w:left w:val="single" w:color="000000" w:sz="4" w:space="0"/>
              <w:bottom w:val="single" w:color="000000" w:sz="4" w:space="0"/>
              <w:right w:val="single" w:color="000000" w:sz="4" w:space="0"/>
            </w:tcBorders>
            <w:vAlign w:val="center"/>
          </w:tcPr>
          <w:p w14:paraId="5723382E">
            <w:pPr>
              <w:spacing w:before="120" w:after="120" w:line="240" w:lineRule="atLeast"/>
              <w:jc w:val="left"/>
              <w:rPr>
                <w:rStyle w:val="34"/>
                <w:rFonts w:ascii="仿宋" w:hAnsi="仿宋" w:eastAsia="仿宋" w:cs="仿宋"/>
                <w:b/>
                <w:bCs/>
                <w:color w:val="auto"/>
                <w:szCs w:val="21"/>
                <w:highlight w:val="none"/>
              </w:rPr>
            </w:pPr>
          </w:p>
        </w:tc>
      </w:tr>
      <w:tr w14:paraId="4520E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2" w:hRule="atLeast"/>
        </w:trPr>
        <w:tc>
          <w:tcPr>
            <w:tcW w:w="2742" w:type="dxa"/>
            <w:tcBorders>
              <w:top w:val="single" w:color="000000" w:sz="4" w:space="0"/>
              <w:left w:val="single" w:color="000000" w:sz="4" w:space="0"/>
              <w:bottom w:val="single" w:color="000000" w:sz="4" w:space="0"/>
              <w:right w:val="single" w:color="000000" w:sz="4" w:space="0"/>
            </w:tcBorders>
            <w:vAlign w:val="center"/>
          </w:tcPr>
          <w:p w14:paraId="28622720">
            <w:pPr>
              <w:spacing w:before="120" w:after="120" w:line="240" w:lineRule="atLeast"/>
              <w:jc w:val="center"/>
              <w:rPr>
                <w:rStyle w:val="34"/>
                <w:rFonts w:ascii="仿宋" w:hAnsi="仿宋" w:eastAsia="仿宋" w:cs="仿宋"/>
                <w:b/>
                <w:bCs/>
                <w:color w:val="auto"/>
                <w:szCs w:val="21"/>
                <w:highlight w:val="none"/>
              </w:rPr>
            </w:pPr>
            <w:r>
              <w:rPr>
                <w:rStyle w:val="34"/>
                <w:rFonts w:hint="eastAsia" w:ascii="仿宋" w:hAnsi="仿宋" w:eastAsia="仿宋" w:cs="仿宋"/>
                <w:b/>
                <w:bCs/>
                <w:color w:val="auto"/>
                <w:szCs w:val="21"/>
                <w:highlight w:val="none"/>
              </w:rPr>
              <w:t>服务期限</w:t>
            </w:r>
          </w:p>
        </w:tc>
        <w:tc>
          <w:tcPr>
            <w:tcW w:w="6035" w:type="dxa"/>
            <w:tcBorders>
              <w:top w:val="single" w:color="000000" w:sz="4" w:space="0"/>
              <w:left w:val="single" w:color="000000" w:sz="4" w:space="0"/>
              <w:bottom w:val="single" w:color="000000" w:sz="4" w:space="0"/>
              <w:right w:val="single" w:color="000000" w:sz="4" w:space="0"/>
            </w:tcBorders>
            <w:vAlign w:val="center"/>
          </w:tcPr>
          <w:p w14:paraId="010E55B2">
            <w:pPr>
              <w:spacing w:before="120" w:after="120" w:line="240" w:lineRule="atLeast"/>
              <w:rPr>
                <w:rStyle w:val="34"/>
                <w:rFonts w:ascii="仿宋" w:hAnsi="仿宋" w:eastAsia="仿宋" w:cs="仿宋"/>
                <w:color w:val="auto"/>
                <w:szCs w:val="21"/>
                <w:highlight w:val="none"/>
              </w:rPr>
            </w:pPr>
          </w:p>
        </w:tc>
      </w:tr>
      <w:tr w14:paraId="250A5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2742" w:type="dxa"/>
            <w:tcBorders>
              <w:top w:val="single" w:color="000000" w:sz="4" w:space="0"/>
              <w:left w:val="single" w:color="000000" w:sz="4" w:space="0"/>
              <w:bottom w:val="single" w:color="000000" w:sz="4" w:space="0"/>
              <w:right w:val="single" w:color="000000" w:sz="4" w:space="0"/>
            </w:tcBorders>
            <w:vAlign w:val="center"/>
          </w:tcPr>
          <w:p w14:paraId="4F6A296A">
            <w:pPr>
              <w:spacing w:before="120" w:after="120" w:line="240" w:lineRule="atLeast"/>
              <w:jc w:val="center"/>
              <w:rPr>
                <w:rStyle w:val="34"/>
                <w:rFonts w:ascii="仿宋" w:hAnsi="仿宋" w:eastAsia="仿宋" w:cs="仿宋"/>
                <w:b/>
                <w:bCs/>
                <w:color w:val="auto"/>
                <w:szCs w:val="21"/>
                <w:highlight w:val="none"/>
              </w:rPr>
            </w:pPr>
            <w:r>
              <w:rPr>
                <w:rStyle w:val="34"/>
                <w:rFonts w:hint="eastAsia" w:ascii="仿宋" w:hAnsi="仿宋" w:eastAsia="仿宋" w:cs="仿宋"/>
                <w:b/>
                <w:bCs/>
                <w:color w:val="auto"/>
                <w:szCs w:val="21"/>
                <w:highlight w:val="none"/>
              </w:rPr>
              <w:t>服务标准</w:t>
            </w:r>
          </w:p>
        </w:tc>
        <w:tc>
          <w:tcPr>
            <w:tcW w:w="6035" w:type="dxa"/>
            <w:tcBorders>
              <w:top w:val="single" w:color="000000" w:sz="4" w:space="0"/>
              <w:left w:val="single" w:color="000000" w:sz="4" w:space="0"/>
              <w:bottom w:val="single" w:color="000000" w:sz="4" w:space="0"/>
              <w:right w:val="single" w:color="000000" w:sz="4" w:space="0"/>
            </w:tcBorders>
            <w:vAlign w:val="center"/>
          </w:tcPr>
          <w:p w14:paraId="19A860DC">
            <w:pPr>
              <w:spacing w:before="120" w:after="120" w:line="240" w:lineRule="atLeast"/>
              <w:rPr>
                <w:rStyle w:val="34"/>
                <w:rFonts w:ascii="仿宋" w:hAnsi="仿宋" w:eastAsia="仿宋" w:cs="仿宋"/>
                <w:color w:val="auto"/>
                <w:szCs w:val="21"/>
                <w:highlight w:val="none"/>
              </w:rPr>
            </w:pPr>
          </w:p>
        </w:tc>
      </w:tr>
      <w:tr w14:paraId="20C74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2742" w:type="dxa"/>
            <w:tcBorders>
              <w:top w:val="single" w:color="000000" w:sz="4" w:space="0"/>
              <w:left w:val="single" w:color="000000" w:sz="4" w:space="0"/>
              <w:bottom w:val="single" w:color="000000" w:sz="4" w:space="0"/>
              <w:right w:val="single" w:color="000000" w:sz="4" w:space="0"/>
            </w:tcBorders>
            <w:vAlign w:val="center"/>
          </w:tcPr>
          <w:p w14:paraId="0E902722">
            <w:pPr>
              <w:spacing w:before="120" w:after="120" w:line="240" w:lineRule="atLeast"/>
              <w:jc w:val="center"/>
              <w:rPr>
                <w:rStyle w:val="34"/>
                <w:rFonts w:hint="eastAsia" w:ascii="仿宋" w:hAnsi="仿宋" w:eastAsia="仿宋" w:cs="仿宋"/>
                <w:b/>
                <w:bCs/>
                <w:color w:val="auto"/>
                <w:szCs w:val="21"/>
                <w:highlight w:val="none"/>
                <w:lang w:eastAsia="zh-CN"/>
              </w:rPr>
            </w:pPr>
            <w:r>
              <w:rPr>
                <w:rStyle w:val="34"/>
                <w:rFonts w:hint="eastAsia" w:ascii="仿宋" w:hAnsi="仿宋" w:eastAsia="仿宋" w:cs="仿宋"/>
                <w:b/>
                <w:bCs/>
                <w:color w:val="auto"/>
                <w:szCs w:val="21"/>
                <w:highlight w:val="none"/>
              </w:rPr>
              <w:t>服务</w:t>
            </w:r>
            <w:r>
              <w:rPr>
                <w:rStyle w:val="34"/>
                <w:rFonts w:hint="eastAsia" w:ascii="仿宋" w:hAnsi="仿宋" w:eastAsia="仿宋" w:cs="仿宋"/>
                <w:b/>
                <w:bCs/>
                <w:color w:val="auto"/>
                <w:szCs w:val="21"/>
                <w:highlight w:val="none"/>
                <w:lang w:val="en-US" w:eastAsia="zh-CN"/>
              </w:rPr>
              <w:t>地点</w:t>
            </w:r>
          </w:p>
        </w:tc>
        <w:tc>
          <w:tcPr>
            <w:tcW w:w="6035" w:type="dxa"/>
            <w:tcBorders>
              <w:top w:val="single" w:color="000000" w:sz="4" w:space="0"/>
              <w:left w:val="single" w:color="000000" w:sz="4" w:space="0"/>
              <w:bottom w:val="single" w:color="000000" w:sz="4" w:space="0"/>
              <w:right w:val="single" w:color="000000" w:sz="4" w:space="0"/>
            </w:tcBorders>
            <w:vAlign w:val="center"/>
          </w:tcPr>
          <w:p w14:paraId="42A96084">
            <w:pPr>
              <w:spacing w:before="120" w:after="120" w:line="240" w:lineRule="atLeast"/>
              <w:rPr>
                <w:rStyle w:val="34"/>
                <w:rFonts w:ascii="仿宋" w:hAnsi="仿宋" w:eastAsia="仿宋" w:cs="仿宋"/>
                <w:color w:val="auto"/>
                <w:szCs w:val="21"/>
                <w:highlight w:val="none"/>
              </w:rPr>
            </w:pPr>
          </w:p>
        </w:tc>
      </w:tr>
      <w:tr w14:paraId="45B4B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4" w:hRule="atLeast"/>
        </w:trPr>
        <w:tc>
          <w:tcPr>
            <w:tcW w:w="2742" w:type="dxa"/>
            <w:tcBorders>
              <w:top w:val="single" w:color="000000" w:sz="4" w:space="0"/>
              <w:left w:val="single" w:color="000000" w:sz="4" w:space="0"/>
              <w:bottom w:val="single" w:color="000000" w:sz="4" w:space="0"/>
              <w:right w:val="single" w:color="000000" w:sz="4" w:space="0"/>
            </w:tcBorders>
            <w:vAlign w:val="center"/>
          </w:tcPr>
          <w:p w14:paraId="01B30107">
            <w:pPr>
              <w:spacing w:before="120" w:after="120" w:line="240" w:lineRule="atLeast"/>
              <w:jc w:val="center"/>
              <w:rPr>
                <w:rStyle w:val="34"/>
                <w:rFonts w:ascii="仿宋" w:hAnsi="仿宋" w:eastAsia="仿宋" w:cs="仿宋"/>
                <w:b/>
                <w:bCs/>
                <w:color w:val="auto"/>
                <w:szCs w:val="21"/>
                <w:highlight w:val="none"/>
              </w:rPr>
            </w:pPr>
            <w:r>
              <w:rPr>
                <w:rStyle w:val="34"/>
                <w:rFonts w:hint="eastAsia" w:ascii="仿宋" w:hAnsi="仿宋" w:eastAsia="仿宋" w:cs="仿宋"/>
                <w:b/>
                <w:bCs/>
                <w:color w:val="auto"/>
                <w:szCs w:val="21"/>
                <w:highlight w:val="none"/>
              </w:rPr>
              <w:t>磋商保证金</w:t>
            </w:r>
          </w:p>
          <w:p w14:paraId="32C263E7">
            <w:pPr>
              <w:spacing w:before="120" w:after="120" w:line="240" w:lineRule="atLeast"/>
              <w:jc w:val="center"/>
              <w:rPr>
                <w:rStyle w:val="34"/>
                <w:rFonts w:ascii="仿宋" w:hAnsi="仿宋" w:eastAsia="仿宋" w:cs="仿宋"/>
                <w:b/>
                <w:bCs/>
                <w:color w:val="auto"/>
                <w:szCs w:val="21"/>
                <w:highlight w:val="none"/>
              </w:rPr>
            </w:pPr>
            <w:r>
              <w:rPr>
                <w:rStyle w:val="34"/>
                <w:rFonts w:hint="eastAsia" w:ascii="仿宋" w:hAnsi="仿宋" w:eastAsia="仿宋" w:cs="仿宋"/>
                <w:b/>
                <w:bCs/>
                <w:color w:val="auto"/>
                <w:szCs w:val="21"/>
                <w:highlight w:val="none"/>
              </w:rPr>
              <w:t>金额（元）</w:t>
            </w:r>
          </w:p>
        </w:tc>
        <w:tc>
          <w:tcPr>
            <w:tcW w:w="6035" w:type="dxa"/>
            <w:tcBorders>
              <w:top w:val="single" w:color="000000" w:sz="4" w:space="0"/>
              <w:left w:val="single" w:color="000000" w:sz="4" w:space="0"/>
              <w:bottom w:val="single" w:color="000000" w:sz="4" w:space="0"/>
              <w:right w:val="single" w:color="000000" w:sz="4" w:space="0"/>
            </w:tcBorders>
            <w:vAlign w:val="center"/>
          </w:tcPr>
          <w:p w14:paraId="61E82BA5">
            <w:pPr>
              <w:spacing w:before="120" w:after="120" w:line="240" w:lineRule="atLeast"/>
              <w:ind w:left="1995"/>
              <w:rPr>
                <w:rStyle w:val="34"/>
                <w:rFonts w:ascii="仿宋" w:hAnsi="仿宋" w:eastAsia="仿宋" w:cs="仿宋"/>
                <w:color w:val="auto"/>
                <w:szCs w:val="21"/>
                <w:highlight w:val="none"/>
              </w:rPr>
            </w:pPr>
          </w:p>
        </w:tc>
      </w:tr>
      <w:tr w14:paraId="6A6C1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2" w:hRule="atLeast"/>
        </w:trPr>
        <w:tc>
          <w:tcPr>
            <w:tcW w:w="8777" w:type="dxa"/>
            <w:gridSpan w:val="2"/>
            <w:tcBorders>
              <w:top w:val="single" w:color="000000" w:sz="4" w:space="0"/>
              <w:left w:val="single" w:color="000000" w:sz="4" w:space="0"/>
              <w:bottom w:val="single" w:color="000000" w:sz="4" w:space="0"/>
              <w:right w:val="single" w:color="000000" w:sz="4" w:space="0"/>
            </w:tcBorders>
            <w:vAlign w:val="center"/>
          </w:tcPr>
          <w:p w14:paraId="6547E780">
            <w:pPr>
              <w:spacing w:before="120" w:after="120" w:line="240" w:lineRule="atLeast"/>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供应商：（电子签章或盖章）</w:t>
            </w:r>
          </w:p>
        </w:tc>
      </w:tr>
      <w:tr w14:paraId="63A7F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0" w:hRule="atLeast"/>
        </w:trPr>
        <w:tc>
          <w:tcPr>
            <w:tcW w:w="8777" w:type="dxa"/>
            <w:gridSpan w:val="2"/>
            <w:tcBorders>
              <w:top w:val="single" w:color="000000" w:sz="4" w:space="0"/>
              <w:left w:val="single" w:color="000000" w:sz="4" w:space="0"/>
              <w:bottom w:val="single" w:color="000000" w:sz="4" w:space="0"/>
              <w:right w:val="single" w:color="000000" w:sz="4" w:space="0"/>
            </w:tcBorders>
            <w:vAlign w:val="bottom"/>
          </w:tcPr>
          <w:p w14:paraId="5A7603C0">
            <w:pPr>
              <w:spacing w:before="120" w:after="120" w:line="240" w:lineRule="atLeast"/>
              <w:ind w:right="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法定代表人或被授权人（电子签章或签字）：</w:t>
            </w:r>
          </w:p>
          <w:p w14:paraId="749C8991">
            <w:pPr>
              <w:spacing w:before="120" w:after="120" w:line="240" w:lineRule="atLeast"/>
              <w:jc w:val="right"/>
              <w:rPr>
                <w:rStyle w:val="34"/>
                <w:rFonts w:ascii="仿宋" w:hAnsi="仿宋" w:eastAsia="仿宋" w:cs="仿宋"/>
                <w:color w:val="auto"/>
                <w:szCs w:val="21"/>
                <w:highlight w:val="none"/>
              </w:rPr>
            </w:pPr>
          </w:p>
          <w:p w14:paraId="1D5DF321">
            <w:pPr>
              <w:spacing w:before="120" w:after="120" w:line="240" w:lineRule="atLeast"/>
              <w:jc w:val="right"/>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日期：    年    月    日</w:t>
            </w:r>
          </w:p>
        </w:tc>
      </w:tr>
    </w:tbl>
    <w:p w14:paraId="5291D512">
      <w:pPr>
        <w:snapToGrid w:val="0"/>
        <w:spacing w:line="360" w:lineRule="auto"/>
        <w:rPr>
          <w:rStyle w:val="34"/>
          <w:rFonts w:ascii="仿宋" w:hAnsi="仿宋" w:eastAsia="仿宋" w:cs="仿宋"/>
          <w:color w:val="auto"/>
          <w:szCs w:val="21"/>
          <w:highlight w:val="none"/>
        </w:rPr>
      </w:pPr>
    </w:p>
    <w:p w14:paraId="6ECEB330">
      <w:pPr>
        <w:snapToGrid w:val="0"/>
        <w:spacing w:line="360" w:lineRule="auto"/>
        <w:rPr>
          <w:rStyle w:val="34"/>
          <w:rFonts w:ascii="仿宋" w:hAnsi="仿宋" w:eastAsia="仿宋" w:cs="仿宋"/>
          <w:b/>
          <w:bCs/>
          <w:color w:val="auto"/>
          <w:szCs w:val="21"/>
          <w:highlight w:val="none"/>
        </w:rPr>
      </w:pPr>
      <w:r>
        <w:rPr>
          <w:rStyle w:val="34"/>
          <w:rFonts w:hint="eastAsia" w:ascii="仿宋" w:hAnsi="仿宋" w:eastAsia="仿宋" w:cs="仿宋"/>
          <w:b/>
          <w:color w:val="auto"/>
          <w:szCs w:val="21"/>
          <w:highlight w:val="none"/>
        </w:rPr>
        <w:t>注：</w:t>
      </w:r>
      <w:r>
        <w:rPr>
          <w:rStyle w:val="34"/>
          <w:rFonts w:hint="eastAsia" w:ascii="仿宋" w:hAnsi="仿宋" w:eastAsia="仿宋" w:cs="仿宋"/>
          <w:b/>
          <w:bCs/>
          <w:color w:val="auto"/>
          <w:szCs w:val="21"/>
          <w:highlight w:val="none"/>
        </w:rPr>
        <w:t>竞争性磋商报价一览表，供应商应放在响应文件的扉页。</w:t>
      </w:r>
    </w:p>
    <w:p w14:paraId="7302A895">
      <w:pPr>
        <w:rPr>
          <w:rStyle w:val="34"/>
          <w:rFonts w:ascii="仿宋" w:hAnsi="仿宋" w:eastAsia="仿宋" w:cs="仿宋"/>
          <w:color w:val="auto"/>
          <w:sz w:val="24"/>
          <w:szCs w:val="24"/>
          <w:highlight w:val="none"/>
        </w:rPr>
      </w:pPr>
    </w:p>
    <w:p w14:paraId="3D75796D">
      <w:pPr>
        <w:pStyle w:val="28"/>
        <w:jc w:val="both"/>
        <w:rPr>
          <w:rStyle w:val="34"/>
          <w:rFonts w:ascii="仿宋" w:hAnsi="仿宋" w:eastAsia="仿宋" w:cs="仿宋"/>
          <w:color w:val="auto"/>
          <w:sz w:val="24"/>
          <w:szCs w:val="24"/>
          <w:highlight w:val="none"/>
        </w:rPr>
      </w:pPr>
    </w:p>
    <w:p w14:paraId="4B37C2AA">
      <w:pPr>
        <w:rPr>
          <w:rStyle w:val="34"/>
          <w:rFonts w:hint="eastAsia" w:ascii="仿宋" w:hAnsi="仿宋" w:eastAsia="仿宋" w:cs="仿宋"/>
          <w:color w:val="auto"/>
          <w:sz w:val="24"/>
          <w:szCs w:val="24"/>
          <w:highlight w:val="none"/>
        </w:rPr>
      </w:pPr>
      <w:r>
        <w:rPr>
          <w:rStyle w:val="34"/>
          <w:rFonts w:hint="eastAsia" w:ascii="仿宋" w:hAnsi="仿宋" w:eastAsia="仿宋" w:cs="仿宋"/>
          <w:color w:val="auto"/>
          <w:sz w:val="24"/>
          <w:szCs w:val="24"/>
          <w:highlight w:val="none"/>
        </w:rPr>
        <w:br w:type="page"/>
      </w:r>
    </w:p>
    <w:p w14:paraId="347E9A1A">
      <w:pPr>
        <w:pStyle w:val="28"/>
        <w:jc w:val="both"/>
        <w:rPr>
          <w:rStyle w:val="34"/>
          <w:rFonts w:ascii="仿宋" w:hAnsi="仿宋" w:eastAsia="仿宋" w:cs="仿宋"/>
          <w:bCs/>
          <w:color w:val="auto"/>
          <w:kern w:val="2"/>
          <w:sz w:val="36"/>
          <w:highlight w:val="none"/>
        </w:rPr>
      </w:pPr>
      <w:r>
        <w:rPr>
          <w:rStyle w:val="34"/>
          <w:rFonts w:hint="eastAsia" w:ascii="仿宋" w:hAnsi="仿宋" w:eastAsia="仿宋" w:cs="仿宋"/>
          <w:color w:val="auto"/>
          <w:sz w:val="24"/>
          <w:szCs w:val="24"/>
          <w:highlight w:val="none"/>
        </w:rPr>
        <w:t xml:space="preserve">附件二                      </w:t>
      </w:r>
    </w:p>
    <w:p w14:paraId="534D0F47">
      <w:pPr>
        <w:spacing w:line="500" w:lineRule="exact"/>
        <w:jc w:val="center"/>
        <w:rPr>
          <w:rStyle w:val="34"/>
          <w:rFonts w:ascii="仿宋" w:hAnsi="仿宋" w:eastAsia="仿宋" w:cs="仿宋"/>
          <w:b/>
          <w:bCs/>
          <w:color w:val="auto"/>
          <w:sz w:val="32"/>
          <w:szCs w:val="32"/>
          <w:highlight w:val="none"/>
        </w:rPr>
      </w:pPr>
      <w:r>
        <w:rPr>
          <w:rStyle w:val="34"/>
          <w:rFonts w:hint="eastAsia" w:ascii="仿宋" w:hAnsi="仿宋" w:eastAsia="仿宋" w:cs="仿宋"/>
          <w:b/>
          <w:bCs/>
          <w:color w:val="auto"/>
          <w:sz w:val="32"/>
          <w:szCs w:val="32"/>
          <w:highlight w:val="none"/>
        </w:rPr>
        <w:t>法定代表人身份证明书</w:t>
      </w:r>
    </w:p>
    <w:p w14:paraId="6051F232">
      <w:pPr>
        <w:spacing w:before="240" w:line="440" w:lineRule="exact"/>
        <w:jc w:val="center"/>
        <w:rPr>
          <w:rStyle w:val="34"/>
          <w:rFonts w:ascii="仿宋" w:hAnsi="仿宋" w:eastAsia="仿宋" w:cs="仿宋"/>
          <w:color w:val="auto"/>
          <w:spacing w:val="6"/>
          <w:kern w:val="0"/>
          <w:sz w:val="26"/>
          <w:highlight w:val="none"/>
        </w:rPr>
      </w:pPr>
    </w:p>
    <w:p w14:paraId="26541D59">
      <w:pPr>
        <w:spacing w:line="700" w:lineRule="exact"/>
        <w:ind w:firstLine="612"/>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单位名称：</w:t>
      </w:r>
      <w:r>
        <w:rPr>
          <w:rStyle w:val="34"/>
          <w:rFonts w:hint="eastAsia" w:ascii="仿宋" w:hAnsi="仿宋" w:eastAsia="仿宋" w:cs="仿宋"/>
          <w:color w:val="auto"/>
          <w:szCs w:val="21"/>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p>
    <w:p w14:paraId="4DDA0166">
      <w:pPr>
        <w:spacing w:line="700" w:lineRule="exact"/>
        <w:ind w:firstLine="610"/>
        <w:rPr>
          <w:rStyle w:val="34"/>
          <w:rFonts w:ascii="仿宋" w:hAnsi="仿宋" w:eastAsia="仿宋" w:cs="仿宋"/>
          <w:color w:val="auto"/>
          <w:szCs w:val="21"/>
          <w:highlight w:val="none"/>
          <w:u w:val="single"/>
        </w:rPr>
      </w:pPr>
      <w:r>
        <w:rPr>
          <w:rStyle w:val="34"/>
          <w:rFonts w:hint="eastAsia" w:ascii="仿宋" w:hAnsi="仿宋" w:eastAsia="仿宋" w:cs="仿宋"/>
          <w:color w:val="auto"/>
          <w:szCs w:val="21"/>
          <w:highlight w:val="none"/>
        </w:rPr>
        <w:t>单位性质：</w:t>
      </w:r>
      <w:r>
        <w:rPr>
          <w:rStyle w:val="34"/>
          <w:rFonts w:hint="eastAsia" w:ascii="仿宋" w:hAnsi="仿宋" w:eastAsia="仿宋" w:cs="仿宋"/>
          <w:color w:val="auto"/>
          <w:szCs w:val="21"/>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p>
    <w:p w14:paraId="701BC4F9">
      <w:pPr>
        <w:spacing w:line="700" w:lineRule="exact"/>
        <w:ind w:firstLine="610"/>
        <w:rPr>
          <w:rStyle w:val="34"/>
          <w:rFonts w:ascii="仿宋" w:hAnsi="仿宋" w:eastAsia="仿宋" w:cs="仿宋"/>
          <w:color w:val="auto"/>
          <w:szCs w:val="21"/>
          <w:highlight w:val="none"/>
          <w:u w:val="single"/>
        </w:rPr>
      </w:pPr>
      <w:r>
        <w:rPr>
          <w:rStyle w:val="34"/>
          <w:rFonts w:hint="eastAsia" w:ascii="仿宋" w:hAnsi="仿宋" w:eastAsia="仿宋" w:cs="仿宋"/>
          <w:color w:val="auto"/>
          <w:szCs w:val="21"/>
          <w:highlight w:val="none"/>
        </w:rPr>
        <w:t>地    址：</w:t>
      </w:r>
      <w:r>
        <w:rPr>
          <w:rStyle w:val="34"/>
          <w:rFonts w:hint="eastAsia" w:ascii="仿宋" w:hAnsi="仿宋" w:eastAsia="仿宋" w:cs="仿宋"/>
          <w:color w:val="auto"/>
          <w:szCs w:val="21"/>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p>
    <w:p w14:paraId="32EDC1C7">
      <w:pPr>
        <w:spacing w:line="700" w:lineRule="exact"/>
        <w:ind w:firstLine="6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成立时间：</w:t>
      </w:r>
      <w:r>
        <w:rPr>
          <w:rStyle w:val="34"/>
          <w:rFonts w:hint="eastAsia" w:ascii="仿宋" w:hAnsi="仿宋" w:eastAsia="仿宋" w:cs="仿宋"/>
          <w:color w:val="auto"/>
          <w:szCs w:val="21"/>
          <w:highlight w:val="none"/>
          <w:u w:val="single"/>
        </w:rPr>
        <w:tab/>
      </w:r>
      <w:r>
        <w:rPr>
          <w:rStyle w:val="34"/>
          <w:rFonts w:hint="eastAsia" w:ascii="仿宋" w:hAnsi="仿宋" w:eastAsia="仿宋" w:cs="仿宋"/>
          <w:color w:val="auto"/>
          <w:szCs w:val="21"/>
          <w:highlight w:val="none"/>
          <w:u w:val="single"/>
        </w:rPr>
        <w:t xml:space="preserve">     </w:t>
      </w:r>
      <w:r>
        <w:rPr>
          <w:rStyle w:val="34"/>
          <w:rFonts w:hint="eastAsia" w:ascii="仿宋" w:hAnsi="仿宋" w:eastAsia="仿宋" w:cs="仿宋"/>
          <w:color w:val="auto"/>
          <w:szCs w:val="21"/>
          <w:highlight w:val="none"/>
        </w:rPr>
        <w:t>年</w:t>
      </w:r>
      <w:r>
        <w:rPr>
          <w:rStyle w:val="34"/>
          <w:rFonts w:hint="eastAsia" w:ascii="仿宋" w:hAnsi="仿宋" w:eastAsia="仿宋" w:cs="仿宋"/>
          <w:color w:val="auto"/>
          <w:szCs w:val="21"/>
          <w:highlight w:val="none"/>
          <w:u w:val="single"/>
        </w:rPr>
        <w:tab/>
      </w:r>
      <w:r>
        <w:rPr>
          <w:rStyle w:val="34"/>
          <w:rFonts w:hint="eastAsia" w:ascii="仿宋" w:hAnsi="仿宋" w:eastAsia="仿宋" w:cs="仿宋"/>
          <w:color w:val="auto"/>
          <w:szCs w:val="21"/>
          <w:highlight w:val="none"/>
          <w:u w:val="single"/>
        </w:rPr>
        <w:t xml:space="preserve">    </w:t>
      </w:r>
      <w:r>
        <w:rPr>
          <w:rStyle w:val="34"/>
          <w:rFonts w:hint="eastAsia" w:ascii="仿宋" w:hAnsi="仿宋" w:eastAsia="仿宋" w:cs="仿宋"/>
          <w:color w:val="auto"/>
          <w:szCs w:val="21"/>
          <w:highlight w:val="none"/>
        </w:rPr>
        <w:t>月</w:t>
      </w:r>
      <w:r>
        <w:rPr>
          <w:rStyle w:val="34"/>
          <w:rFonts w:hint="eastAsia" w:ascii="仿宋" w:hAnsi="仿宋" w:eastAsia="仿宋" w:cs="仿宋"/>
          <w:color w:val="auto"/>
          <w:szCs w:val="21"/>
          <w:highlight w:val="none"/>
          <w:u w:val="single"/>
        </w:rPr>
        <w:tab/>
      </w:r>
      <w:r>
        <w:rPr>
          <w:rStyle w:val="34"/>
          <w:rFonts w:hint="eastAsia" w:ascii="仿宋" w:hAnsi="仿宋" w:eastAsia="仿宋" w:cs="仿宋"/>
          <w:color w:val="auto"/>
          <w:szCs w:val="21"/>
          <w:highlight w:val="none"/>
          <w:u w:val="single"/>
        </w:rPr>
        <w:t xml:space="preserve">    </w:t>
      </w:r>
      <w:r>
        <w:rPr>
          <w:rStyle w:val="34"/>
          <w:rFonts w:hint="eastAsia" w:ascii="仿宋" w:hAnsi="仿宋" w:eastAsia="仿宋" w:cs="仿宋"/>
          <w:color w:val="auto"/>
          <w:szCs w:val="21"/>
          <w:highlight w:val="none"/>
        </w:rPr>
        <w:t>日</w:t>
      </w:r>
    </w:p>
    <w:p w14:paraId="2572A644">
      <w:pPr>
        <w:spacing w:line="700" w:lineRule="exact"/>
        <w:ind w:firstLine="610"/>
        <w:rPr>
          <w:rStyle w:val="34"/>
          <w:rFonts w:ascii="仿宋" w:hAnsi="仿宋" w:eastAsia="仿宋" w:cs="仿宋"/>
          <w:color w:val="auto"/>
          <w:szCs w:val="21"/>
          <w:highlight w:val="none"/>
          <w:u w:val="single"/>
        </w:rPr>
      </w:pPr>
      <w:r>
        <w:rPr>
          <w:rStyle w:val="34"/>
          <w:rFonts w:hint="eastAsia" w:ascii="仿宋" w:hAnsi="仿宋" w:eastAsia="仿宋" w:cs="仿宋"/>
          <w:color w:val="auto"/>
          <w:szCs w:val="21"/>
          <w:highlight w:val="none"/>
        </w:rPr>
        <w:t>经营期限：</w:t>
      </w:r>
      <w:r>
        <w:rPr>
          <w:rStyle w:val="34"/>
          <w:rFonts w:hint="eastAsia" w:ascii="仿宋" w:hAnsi="仿宋" w:eastAsia="仿宋" w:cs="仿宋"/>
          <w:color w:val="auto"/>
          <w:szCs w:val="21"/>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 xml:space="preserve">                             </w:t>
      </w:r>
    </w:p>
    <w:p w14:paraId="4AF2A972">
      <w:pPr>
        <w:spacing w:line="700" w:lineRule="exact"/>
        <w:ind w:firstLine="610"/>
        <w:rPr>
          <w:rStyle w:val="34"/>
          <w:rFonts w:ascii="仿宋" w:hAnsi="仿宋" w:eastAsia="仿宋" w:cs="仿宋"/>
          <w:color w:val="auto"/>
          <w:szCs w:val="21"/>
          <w:highlight w:val="none"/>
          <w:u w:val="single"/>
        </w:rPr>
      </w:pPr>
      <w:r>
        <w:rPr>
          <w:rStyle w:val="34"/>
          <w:rFonts w:hint="eastAsia" w:ascii="仿宋" w:hAnsi="仿宋" w:eastAsia="仿宋" w:cs="仿宋"/>
          <w:color w:val="auto"/>
          <w:szCs w:val="21"/>
          <w:highlight w:val="none"/>
        </w:rPr>
        <w:t>姓    名：</w:t>
      </w:r>
      <w:r>
        <w:rPr>
          <w:rStyle w:val="34"/>
          <w:rFonts w:hint="eastAsia" w:ascii="仿宋" w:hAnsi="仿宋" w:eastAsia="仿宋" w:cs="仿宋"/>
          <w:color w:val="auto"/>
          <w:szCs w:val="21"/>
          <w:highlight w:val="none"/>
          <w:u w:val="single"/>
        </w:rPr>
        <w:tab/>
      </w:r>
      <w:r>
        <w:rPr>
          <w:rStyle w:val="34"/>
          <w:rFonts w:hint="eastAsia" w:ascii="仿宋" w:hAnsi="仿宋" w:eastAsia="仿宋" w:cs="仿宋"/>
          <w:color w:val="auto"/>
          <w:szCs w:val="21"/>
          <w:highlight w:val="none"/>
          <w:u w:val="single"/>
        </w:rPr>
        <w:t xml:space="preserve">    </w:t>
      </w:r>
      <w:r>
        <w:rPr>
          <w:rFonts w:hint="eastAsia" w:ascii="仿宋" w:hAnsi="仿宋" w:eastAsia="仿宋" w:cs="仿宋"/>
          <w:color w:val="auto"/>
          <w:highlight w:val="none"/>
          <w:u w:val="single"/>
        </w:rPr>
        <w:tab/>
      </w:r>
      <w:r>
        <w:rPr>
          <w:rStyle w:val="34"/>
          <w:rFonts w:hint="eastAsia" w:ascii="仿宋" w:hAnsi="仿宋" w:eastAsia="仿宋" w:cs="仿宋"/>
          <w:color w:val="auto"/>
          <w:szCs w:val="21"/>
          <w:highlight w:val="none"/>
        </w:rPr>
        <w:t xml:space="preserve"> 性别：</w:t>
      </w:r>
      <w:r>
        <w:rPr>
          <w:rStyle w:val="34"/>
          <w:rFonts w:hint="eastAsia" w:ascii="仿宋" w:hAnsi="仿宋" w:eastAsia="仿宋" w:cs="仿宋"/>
          <w:color w:val="auto"/>
          <w:szCs w:val="21"/>
          <w:highlight w:val="none"/>
          <w:u w:val="single"/>
        </w:rPr>
        <w:tab/>
      </w:r>
      <w:r>
        <w:rPr>
          <w:rStyle w:val="34"/>
          <w:rFonts w:hint="eastAsia" w:ascii="仿宋" w:hAnsi="仿宋" w:eastAsia="仿宋" w:cs="仿宋"/>
          <w:color w:val="auto"/>
          <w:szCs w:val="21"/>
          <w:highlight w:val="none"/>
          <w:u w:val="single"/>
        </w:rPr>
        <w:t xml:space="preserve">    </w:t>
      </w:r>
      <w:r>
        <w:rPr>
          <w:rFonts w:hint="eastAsia" w:ascii="仿宋" w:hAnsi="仿宋" w:eastAsia="仿宋" w:cs="仿宋"/>
          <w:color w:val="auto"/>
          <w:highlight w:val="none"/>
          <w:u w:val="single"/>
        </w:rPr>
        <w:tab/>
      </w:r>
      <w:r>
        <w:rPr>
          <w:rStyle w:val="34"/>
          <w:rFonts w:hint="eastAsia" w:ascii="仿宋" w:hAnsi="仿宋" w:eastAsia="仿宋" w:cs="仿宋"/>
          <w:color w:val="auto"/>
          <w:szCs w:val="21"/>
          <w:highlight w:val="none"/>
        </w:rPr>
        <w:t>年龄：</w:t>
      </w:r>
      <w:r>
        <w:rPr>
          <w:rStyle w:val="34"/>
          <w:rFonts w:hint="eastAsia" w:ascii="仿宋" w:hAnsi="仿宋" w:eastAsia="仿宋" w:cs="仿宋"/>
          <w:color w:val="auto"/>
          <w:szCs w:val="21"/>
          <w:highlight w:val="none"/>
          <w:u w:val="single"/>
        </w:rPr>
        <w:tab/>
      </w:r>
      <w:r>
        <w:rPr>
          <w:rStyle w:val="34"/>
          <w:rFonts w:hint="eastAsia" w:ascii="仿宋" w:hAnsi="仿宋" w:eastAsia="仿宋" w:cs="仿宋"/>
          <w:color w:val="auto"/>
          <w:szCs w:val="21"/>
          <w:highlight w:val="none"/>
          <w:u w:val="single"/>
        </w:rPr>
        <w:t xml:space="preserve">    </w:t>
      </w:r>
      <w:r>
        <w:rPr>
          <w:rFonts w:hint="eastAsia" w:ascii="仿宋" w:hAnsi="仿宋" w:eastAsia="仿宋" w:cs="仿宋"/>
          <w:color w:val="auto"/>
          <w:highlight w:val="none"/>
          <w:u w:val="single"/>
        </w:rPr>
        <w:tab/>
      </w:r>
      <w:r>
        <w:rPr>
          <w:rStyle w:val="34"/>
          <w:rFonts w:hint="eastAsia" w:ascii="仿宋" w:hAnsi="仿宋" w:eastAsia="仿宋" w:cs="仿宋"/>
          <w:color w:val="auto"/>
          <w:szCs w:val="21"/>
          <w:highlight w:val="none"/>
        </w:rPr>
        <w:t>职务：</w:t>
      </w:r>
      <w:r>
        <w:rPr>
          <w:rStyle w:val="34"/>
          <w:rFonts w:hint="eastAsia" w:ascii="仿宋" w:hAnsi="仿宋" w:eastAsia="仿宋" w:cs="仿宋"/>
          <w:color w:val="auto"/>
          <w:szCs w:val="21"/>
          <w:highlight w:val="none"/>
          <w:u w:val="single"/>
        </w:rPr>
        <w:tab/>
      </w:r>
      <w:r>
        <w:rPr>
          <w:rStyle w:val="34"/>
          <w:rFonts w:hint="eastAsia" w:ascii="仿宋" w:hAnsi="仿宋" w:eastAsia="仿宋" w:cs="仿宋"/>
          <w:color w:val="auto"/>
          <w:szCs w:val="21"/>
          <w:highlight w:val="none"/>
          <w:u w:val="single"/>
        </w:rPr>
        <w:t xml:space="preserve">    </w:t>
      </w:r>
      <w:r>
        <w:rPr>
          <w:rFonts w:hint="eastAsia" w:ascii="仿宋" w:hAnsi="仿宋" w:eastAsia="仿宋" w:cs="仿宋"/>
          <w:color w:val="auto"/>
          <w:highlight w:val="none"/>
          <w:u w:val="single"/>
        </w:rPr>
        <w:tab/>
      </w:r>
    </w:p>
    <w:p w14:paraId="619DBF7A">
      <w:pPr>
        <w:spacing w:line="700" w:lineRule="exact"/>
        <w:ind w:firstLine="6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系</w:t>
      </w:r>
      <w:r>
        <w:rPr>
          <w:rStyle w:val="34"/>
          <w:rFonts w:hint="eastAsia" w:ascii="仿宋" w:hAnsi="仿宋" w:eastAsia="仿宋" w:cs="仿宋"/>
          <w:color w:val="auto"/>
          <w:szCs w:val="21"/>
          <w:highlight w:val="none"/>
          <w:u w:val="single"/>
        </w:rPr>
        <w:t xml:space="preserve">          （供应商单位名称）         </w:t>
      </w:r>
      <w:r>
        <w:rPr>
          <w:rStyle w:val="34"/>
          <w:rFonts w:hint="eastAsia" w:ascii="仿宋" w:hAnsi="仿宋" w:eastAsia="仿宋" w:cs="仿宋"/>
          <w:color w:val="auto"/>
          <w:szCs w:val="21"/>
          <w:highlight w:val="none"/>
        </w:rPr>
        <w:t>的法定代表人。</w:t>
      </w:r>
    </w:p>
    <w:p w14:paraId="172293CE">
      <w:pPr>
        <w:spacing w:line="700" w:lineRule="exact"/>
        <w:ind w:firstLine="61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特此证明。</w:t>
      </w:r>
    </w:p>
    <w:p w14:paraId="3A5089E7">
      <w:pPr>
        <w:spacing w:line="700" w:lineRule="exact"/>
        <w:ind w:firstLine="610"/>
        <w:rPr>
          <w:rStyle w:val="34"/>
          <w:rFonts w:ascii="仿宋" w:hAnsi="仿宋" w:eastAsia="仿宋" w:cs="仿宋"/>
          <w:color w:val="auto"/>
          <w:szCs w:val="21"/>
          <w:highlight w:val="none"/>
        </w:rPr>
      </w:pPr>
      <w:r>
        <w:rPr>
          <w:rStyle w:val="34"/>
          <w:color w:val="auto"/>
          <w:highlight w:val="none"/>
        </w:rPr>
        <mc:AlternateContent>
          <mc:Choice Requires="wps">
            <w:drawing>
              <wp:anchor distT="0" distB="0" distL="0" distR="0" simplePos="0" relativeHeight="251659264" behindDoc="0" locked="0" layoutInCell="1" allowOverlap="1">
                <wp:simplePos x="0" y="0"/>
                <wp:positionH relativeFrom="column">
                  <wp:posOffset>800100</wp:posOffset>
                </wp:positionH>
                <wp:positionV relativeFrom="paragraph">
                  <wp:posOffset>257175</wp:posOffset>
                </wp:positionV>
                <wp:extent cx="3886200" cy="2179320"/>
                <wp:effectExtent l="5080" t="4445" r="13970" b="6985"/>
                <wp:wrapNone/>
                <wp:docPr id="1026" name="矩形 2"/>
                <wp:cNvGraphicFramePr/>
                <a:graphic xmlns:a="http://schemas.openxmlformats.org/drawingml/2006/main">
                  <a:graphicData uri="http://schemas.microsoft.com/office/word/2010/wordprocessingShape">
                    <wps:wsp>
                      <wps:cNvSpPr/>
                      <wps:spPr>
                        <a:xfrm>
                          <a:off x="0" y="0"/>
                          <a:ext cx="3886200" cy="21793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DADF6F7">
                            <w:pPr>
                              <w:rPr>
                                <w:rStyle w:val="34"/>
                                <w:rFonts w:ascii="黑体" w:hAnsi="宋体" w:eastAsia="黑体"/>
                                <w:b/>
                                <w:szCs w:val="32"/>
                              </w:rPr>
                            </w:pPr>
                          </w:p>
                          <w:p w14:paraId="754C0781">
                            <w:pPr>
                              <w:rPr>
                                <w:rStyle w:val="34"/>
                                <w:rFonts w:ascii="宋体" w:hAnsi="宋体"/>
                                <w:b/>
                                <w:szCs w:val="32"/>
                              </w:rPr>
                            </w:pPr>
                          </w:p>
                          <w:p w14:paraId="2624A69D">
                            <w:pPr>
                              <w:rPr>
                                <w:rStyle w:val="34"/>
                                <w:rFonts w:ascii="宋体" w:hAnsi="宋体"/>
                                <w:b/>
                                <w:szCs w:val="32"/>
                              </w:rPr>
                            </w:pPr>
                          </w:p>
                          <w:p w14:paraId="351EA474">
                            <w:pPr>
                              <w:rPr>
                                <w:rStyle w:val="34"/>
                                <w:rFonts w:ascii="宋体" w:hAnsi="宋体"/>
                                <w:b/>
                                <w:szCs w:val="32"/>
                              </w:rPr>
                            </w:pPr>
                          </w:p>
                          <w:p w14:paraId="4D3A5BA9">
                            <w:pPr>
                              <w:rPr>
                                <w:rStyle w:val="34"/>
                                <w:rFonts w:ascii="宋体" w:hAnsi="宋体"/>
                                <w:b/>
                                <w:szCs w:val="32"/>
                              </w:rPr>
                            </w:pPr>
                          </w:p>
                          <w:p w14:paraId="7ED0E15E">
                            <w:pPr>
                              <w:ind w:firstLine="1424"/>
                              <w:rPr>
                                <w:rStyle w:val="34"/>
                                <w:rFonts w:ascii="宋体" w:hAnsi="宋体"/>
                                <w:sz w:val="24"/>
                              </w:rPr>
                            </w:pPr>
                            <w:r>
                              <w:rPr>
                                <w:rStyle w:val="34"/>
                                <w:rFonts w:ascii="宋体" w:hAnsi="宋体"/>
                                <w:b/>
                                <w:sz w:val="24"/>
                              </w:rPr>
                              <w:t>附法定代表人身份证（正、反面）</w:t>
                            </w:r>
                          </w:p>
                          <w:p w14:paraId="1572DC9A">
                            <w:pPr>
                              <w:rPr>
                                <w:rStyle w:val="34"/>
                              </w:rPr>
                            </w:pPr>
                          </w:p>
                        </w:txbxContent>
                      </wps:txbx>
                      <wps:bodyPr upright="1"/>
                    </wps:wsp>
                  </a:graphicData>
                </a:graphic>
              </wp:anchor>
            </w:drawing>
          </mc:Choice>
          <mc:Fallback>
            <w:pict>
              <v:rect id="矩形 2" o:spid="_x0000_s1026" o:spt="1" style="position:absolute;left:0pt;margin-left:63pt;margin-top:20.25pt;height:171.6pt;width:306pt;z-index:251659264;mso-width-relative:page;mso-height-relative:page;" fillcolor="#FFFFFF" filled="t" stroked="t" coordsize="21600,21600" o:gfxdata="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BSJVgNgAAAAKAQAADwAAAAAAAAABACAAAAAiAAAA&#10;ZHJzL2Rvd25yZXYueG1sUEsBAhQAFAAAAAgAh07iQGl3880HAgAALQQAAA4AAAAAAAAAAQAgAAAA&#10;JwEAAGRycy9lMm9Eb2MueG1sUEsFBgAAAAAGAAYAWQEAAKAFAAAAAA==&#10;">
                <v:fill on="t" focussize="0,0"/>
                <v:stroke color="#000000" joinstyle="miter"/>
                <v:imagedata o:title=""/>
                <o:lock v:ext="edit" aspectratio="f"/>
                <v:textbox>
                  <w:txbxContent>
                    <w:p w14:paraId="0DADF6F7">
                      <w:pPr>
                        <w:rPr>
                          <w:rStyle w:val="34"/>
                          <w:rFonts w:ascii="黑体" w:hAnsi="宋体" w:eastAsia="黑体"/>
                          <w:b/>
                          <w:szCs w:val="32"/>
                        </w:rPr>
                      </w:pPr>
                    </w:p>
                    <w:p w14:paraId="754C0781">
                      <w:pPr>
                        <w:rPr>
                          <w:rStyle w:val="34"/>
                          <w:rFonts w:ascii="宋体" w:hAnsi="宋体"/>
                          <w:b/>
                          <w:szCs w:val="32"/>
                        </w:rPr>
                      </w:pPr>
                    </w:p>
                    <w:p w14:paraId="2624A69D">
                      <w:pPr>
                        <w:rPr>
                          <w:rStyle w:val="34"/>
                          <w:rFonts w:ascii="宋体" w:hAnsi="宋体"/>
                          <w:b/>
                          <w:szCs w:val="32"/>
                        </w:rPr>
                      </w:pPr>
                    </w:p>
                    <w:p w14:paraId="351EA474">
                      <w:pPr>
                        <w:rPr>
                          <w:rStyle w:val="34"/>
                          <w:rFonts w:ascii="宋体" w:hAnsi="宋体"/>
                          <w:b/>
                          <w:szCs w:val="32"/>
                        </w:rPr>
                      </w:pPr>
                    </w:p>
                    <w:p w14:paraId="4D3A5BA9">
                      <w:pPr>
                        <w:rPr>
                          <w:rStyle w:val="34"/>
                          <w:rFonts w:ascii="宋体" w:hAnsi="宋体"/>
                          <w:b/>
                          <w:szCs w:val="32"/>
                        </w:rPr>
                      </w:pPr>
                    </w:p>
                    <w:p w14:paraId="7ED0E15E">
                      <w:pPr>
                        <w:ind w:firstLine="1424"/>
                        <w:rPr>
                          <w:rStyle w:val="34"/>
                          <w:rFonts w:ascii="宋体" w:hAnsi="宋体"/>
                          <w:sz w:val="24"/>
                        </w:rPr>
                      </w:pPr>
                      <w:r>
                        <w:rPr>
                          <w:rStyle w:val="34"/>
                          <w:rFonts w:ascii="宋体" w:hAnsi="宋体"/>
                          <w:b/>
                          <w:sz w:val="24"/>
                        </w:rPr>
                        <w:t>附法定代表人身份证（正、反面）</w:t>
                      </w:r>
                    </w:p>
                    <w:p w14:paraId="1572DC9A">
                      <w:pPr>
                        <w:rPr>
                          <w:rStyle w:val="34"/>
                        </w:rPr>
                      </w:pPr>
                    </w:p>
                  </w:txbxContent>
                </v:textbox>
              </v:rect>
            </w:pict>
          </mc:Fallback>
        </mc:AlternateContent>
      </w:r>
    </w:p>
    <w:p w14:paraId="4098CB8B">
      <w:pPr>
        <w:spacing w:line="700" w:lineRule="exact"/>
        <w:ind w:firstLine="610"/>
        <w:rPr>
          <w:rStyle w:val="34"/>
          <w:rFonts w:ascii="仿宋" w:hAnsi="仿宋" w:eastAsia="仿宋" w:cs="仿宋"/>
          <w:color w:val="auto"/>
          <w:szCs w:val="21"/>
          <w:highlight w:val="none"/>
        </w:rPr>
      </w:pPr>
    </w:p>
    <w:p w14:paraId="08CA483E">
      <w:pPr>
        <w:spacing w:line="700" w:lineRule="exact"/>
        <w:ind w:firstLine="610"/>
        <w:rPr>
          <w:rStyle w:val="34"/>
          <w:rFonts w:ascii="仿宋" w:hAnsi="仿宋" w:eastAsia="仿宋" w:cs="仿宋"/>
          <w:color w:val="auto"/>
          <w:szCs w:val="21"/>
          <w:highlight w:val="none"/>
        </w:rPr>
      </w:pPr>
    </w:p>
    <w:p w14:paraId="20F8EECA">
      <w:pPr>
        <w:spacing w:line="700" w:lineRule="exact"/>
        <w:ind w:firstLine="610"/>
        <w:rPr>
          <w:rStyle w:val="34"/>
          <w:rFonts w:ascii="仿宋" w:hAnsi="仿宋" w:eastAsia="仿宋" w:cs="仿宋"/>
          <w:color w:val="auto"/>
          <w:szCs w:val="21"/>
          <w:highlight w:val="none"/>
        </w:rPr>
      </w:pPr>
    </w:p>
    <w:p w14:paraId="18D00A7F">
      <w:pPr>
        <w:tabs>
          <w:tab w:val="left" w:pos="720"/>
          <w:tab w:val="left" w:pos="900"/>
        </w:tabs>
        <w:spacing w:line="360" w:lineRule="auto"/>
        <w:rPr>
          <w:rStyle w:val="34"/>
          <w:rFonts w:ascii="仿宋" w:hAnsi="仿宋" w:eastAsia="仿宋" w:cs="仿宋"/>
          <w:color w:val="auto"/>
          <w:szCs w:val="21"/>
          <w:highlight w:val="none"/>
        </w:rPr>
      </w:pPr>
    </w:p>
    <w:p w14:paraId="625CD0BC">
      <w:pPr>
        <w:spacing w:line="700" w:lineRule="exact"/>
        <w:rPr>
          <w:rStyle w:val="34"/>
          <w:rFonts w:ascii="仿宋" w:hAnsi="仿宋" w:eastAsia="仿宋" w:cs="仿宋"/>
          <w:color w:val="auto"/>
          <w:szCs w:val="21"/>
          <w:highlight w:val="none"/>
        </w:rPr>
      </w:pPr>
    </w:p>
    <w:p w14:paraId="76B6F02D">
      <w:pPr>
        <w:spacing w:line="700" w:lineRule="exact"/>
        <w:ind w:firstLine="4349"/>
        <w:rPr>
          <w:rStyle w:val="34"/>
          <w:rFonts w:ascii="仿宋" w:hAnsi="仿宋" w:eastAsia="仿宋" w:cs="仿宋"/>
          <w:color w:val="auto"/>
          <w:szCs w:val="21"/>
          <w:highlight w:val="none"/>
          <w:u w:val="single"/>
        </w:rPr>
      </w:pPr>
      <w:r>
        <w:rPr>
          <w:rStyle w:val="34"/>
          <w:rFonts w:hint="eastAsia" w:ascii="仿宋" w:hAnsi="仿宋" w:eastAsia="仿宋" w:cs="仿宋"/>
          <w:color w:val="auto"/>
          <w:szCs w:val="21"/>
          <w:highlight w:val="none"/>
        </w:rPr>
        <w:t>供应商：</w:t>
      </w:r>
      <w:r>
        <w:rPr>
          <w:rStyle w:val="34"/>
          <w:rFonts w:hint="eastAsia" w:ascii="仿宋" w:hAnsi="仿宋" w:eastAsia="仿宋" w:cs="仿宋"/>
          <w:color w:val="auto"/>
          <w:szCs w:val="21"/>
          <w:highlight w:val="none"/>
          <w:u w:val="single"/>
        </w:rPr>
        <w:t xml:space="preserve">      </w:t>
      </w:r>
      <w:r>
        <w:rPr>
          <w:rStyle w:val="34"/>
          <w:rFonts w:hint="eastAsia" w:ascii="仿宋" w:hAnsi="仿宋" w:eastAsia="仿宋" w:cs="仿宋"/>
          <w:color w:val="auto"/>
          <w:szCs w:val="21"/>
          <w:highlight w:val="none"/>
          <w:u w:val="single"/>
          <w:lang w:val="en-US" w:eastAsia="zh-CN"/>
        </w:rPr>
        <w:t xml:space="preserve">        </w:t>
      </w:r>
      <w:r>
        <w:rPr>
          <w:rStyle w:val="34"/>
          <w:rFonts w:hint="eastAsia" w:ascii="仿宋" w:hAnsi="仿宋" w:eastAsia="仿宋" w:cs="仿宋"/>
          <w:color w:val="auto"/>
          <w:szCs w:val="21"/>
          <w:highlight w:val="none"/>
          <w:u w:val="single"/>
        </w:rPr>
        <w:t>（电子签章或盖章）</w:t>
      </w:r>
    </w:p>
    <w:p w14:paraId="7845B30F">
      <w:pPr>
        <w:spacing w:line="700" w:lineRule="exact"/>
        <w:ind w:firstLine="4349"/>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日    期：      年     月     日</w:t>
      </w:r>
    </w:p>
    <w:p w14:paraId="60B38812">
      <w:pPr>
        <w:pStyle w:val="28"/>
        <w:jc w:val="both"/>
        <w:rPr>
          <w:rStyle w:val="34"/>
          <w:rFonts w:ascii="仿宋" w:hAnsi="仿宋" w:eastAsia="仿宋" w:cs="仿宋"/>
          <w:color w:val="auto"/>
          <w:sz w:val="24"/>
          <w:szCs w:val="24"/>
          <w:highlight w:val="none"/>
        </w:rPr>
      </w:pPr>
      <w:r>
        <w:rPr>
          <w:rStyle w:val="34"/>
          <w:rFonts w:hint="eastAsia" w:ascii="仿宋" w:hAnsi="仿宋" w:eastAsia="仿宋" w:cs="仿宋"/>
          <w:color w:val="auto"/>
          <w:sz w:val="24"/>
          <w:szCs w:val="24"/>
          <w:highlight w:val="none"/>
        </w:rPr>
        <w:t>附件三</w:t>
      </w:r>
    </w:p>
    <w:p w14:paraId="7255E316">
      <w:pPr>
        <w:pStyle w:val="28"/>
        <w:snapToGrid w:val="0"/>
        <w:spacing w:line="480" w:lineRule="auto"/>
        <w:rPr>
          <w:rStyle w:val="34"/>
          <w:rFonts w:ascii="仿宋" w:hAnsi="仿宋" w:eastAsia="仿宋" w:cs="仿宋"/>
          <w:color w:val="auto"/>
          <w:sz w:val="32"/>
          <w:szCs w:val="32"/>
          <w:highlight w:val="none"/>
        </w:rPr>
      </w:pPr>
      <w:r>
        <w:rPr>
          <w:rStyle w:val="34"/>
          <w:rFonts w:hint="eastAsia" w:ascii="仿宋" w:hAnsi="仿宋" w:eastAsia="仿宋" w:cs="仿宋"/>
          <w:color w:val="auto"/>
          <w:sz w:val="32"/>
          <w:szCs w:val="32"/>
          <w:highlight w:val="none"/>
        </w:rPr>
        <w:t>授权委托书</w:t>
      </w:r>
    </w:p>
    <w:p w14:paraId="7697F42D">
      <w:pPr>
        <w:snapToGrid w:val="0"/>
        <w:spacing w:line="480" w:lineRule="auto"/>
        <w:rPr>
          <w:rStyle w:val="34"/>
          <w:rFonts w:ascii="仿宋" w:hAnsi="仿宋" w:eastAsia="仿宋" w:cs="仿宋"/>
          <w:color w:val="auto"/>
          <w:sz w:val="24"/>
          <w:szCs w:val="24"/>
          <w:highlight w:val="none"/>
        </w:rPr>
      </w:pPr>
    </w:p>
    <w:p w14:paraId="2DD59FA3">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本人</w:t>
      </w:r>
      <w:r>
        <w:rPr>
          <w:rStyle w:val="34"/>
          <w:rFonts w:hint="eastAsia" w:ascii="仿宋" w:hAnsi="仿宋" w:eastAsia="仿宋" w:cs="仿宋"/>
          <w:color w:val="auto"/>
          <w:szCs w:val="21"/>
          <w:highlight w:val="none"/>
          <w:u w:val="single"/>
        </w:rPr>
        <w:t xml:space="preserve">        （姓名）</w:t>
      </w:r>
      <w:r>
        <w:rPr>
          <w:rStyle w:val="34"/>
          <w:rFonts w:hint="eastAsia" w:ascii="仿宋" w:hAnsi="仿宋" w:eastAsia="仿宋" w:cs="仿宋"/>
          <w:color w:val="auto"/>
          <w:szCs w:val="21"/>
          <w:highlight w:val="none"/>
        </w:rPr>
        <w:t>系（供应商名称）的法定代表人，现委托</w:t>
      </w:r>
      <w:r>
        <w:rPr>
          <w:rStyle w:val="34"/>
          <w:rFonts w:hint="eastAsia" w:ascii="仿宋" w:hAnsi="仿宋" w:eastAsia="仿宋" w:cs="仿宋"/>
          <w:color w:val="auto"/>
          <w:szCs w:val="21"/>
          <w:highlight w:val="none"/>
          <w:u w:val="single"/>
        </w:rPr>
        <w:t xml:space="preserve">        （姓名）   </w:t>
      </w:r>
      <w:r>
        <w:rPr>
          <w:rStyle w:val="34"/>
          <w:rFonts w:hint="eastAsia" w:ascii="仿宋" w:hAnsi="仿宋" w:eastAsia="仿宋" w:cs="仿宋"/>
          <w:color w:val="auto"/>
          <w:szCs w:val="21"/>
          <w:highlight w:val="none"/>
        </w:rPr>
        <w:t>为我方代理人。代理人根据授权，以我方名义签署、澄清、说明、补正、递交、撤回、修改</w:t>
      </w:r>
      <w:r>
        <w:rPr>
          <w:rStyle w:val="34"/>
          <w:rFonts w:hint="eastAsia" w:ascii="仿宋" w:hAnsi="仿宋" w:eastAsia="仿宋" w:cs="仿宋"/>
          <w:color w:val="auto"/>
          <w:szCs w:val="21"/>
          <w:highlight w:val="none"/>
          <w:u w:val="single"/>
        </w:rPr>
        <w:t xml:space="preserve">         （项目名称）        </w:t>
      </w:r>
      <w:r>
        <w:rPr>
          <w:rStyle w:val="34"/>
          <w:rFonts w:hint="eastAsia" w:ascii="仿宋" w:hAnsi="仿宋" w:eastAsia="仿宋" w:cs="仿宋"/>
          <w:color w:val="auto"/>
          <w:szCs w:val="21"/>
          <w:highlight w:val="none"/>
        </w:rPr>
        <w:t>响应文件、签订合同和处理有关事宜，其法律后果由我方承担。</w:t>
      </w:r>
    </w:p>
    <w:p w14:paraId="152328B6">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委托期限：</w:t>
      </w:r>
    </w:p>
    <w:p w14:paraId="2BB476C6">
      <w:pPr>
        <w:spacing w:line="360" w:lineRule="auto"/>
        <w:ind w:firstLine="48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代理人无转委托权。</w:t>
      </w:r>
    </w:p>
    <w:p w14:paraId="2C8F0753">
      <w:pPr>
        <w:spacing w:line="360" w:lineRule="auto"/>
        <w:rPr>
          <w:rStyle w:val="34"/>
          <w:rFonts w:ascii="仿宋" w:hAnsi="仿宋" w:eastAsia="仿宋" w:cs="仿宋"/>
          <w:color w:val="auto"/>
          <w:szCs w:val="21"/>
          <w:highlight w:val="none"/>
        </w:rPr>
      </w:pPr>
      <w:r>
        <w:rPr>
          <w:rStyle w:val="34"/>
          <w:color w:val="auto"/>
          <w:highlight w:val="none"/>
        </w:rPr>
        <mc:AlternateContent>
          <mc:Choice Requires="wps">
            <w:drawing>
              <wp:anchor distT="0" distB="0" distL="0" distR="0" simplePos="0" relativeHeight="251660288" behindDoc="0" locked="0" layoutInCell="1" allowOverlap="1">
                <wp:simplePos x="0" y="0"/>
                <wp:positionH relativeFrom="column">
                  <wp:posOffset>800100</wp:posOffset>
                </wp:positionH>
                <wp:positionV relativeFrom="paragraph">
                  <wp:posOffset>199390</wp:posOffset>
                </wp:positionV>
                <wp:extent cx="3886200" cy="2179320"/>
                <wp:effectExtent l="5080" t="4445" r="13970" b="6985"/>
                <wp:wrapNone/>
                <wp:docPr id="1027" name="矩形 3"/>
                <wp:cNvGraphicFramePr/>
                <a:graphic xmlns:a="http://schemas.openxmlformats.org/drawingml/2006/main">
                  <a:graphicData uri="http://schemas.microsoft.com/office/word/2010/wordprocessingShape">
                    <wps:wsp>
                      <wps:cNvSpPr/>
                      <wps:spPr>
                        <a:xfrm>
                          <a:off x="0" y="0"/>
                          <a:ext cx="3886200" cy="21793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35F9066">
                            <w:pPr>
                              <w:rPr>
                                <w:rStyle w:val="34"/>
                                <w:rFonts w:ascii="黑体" w:hAnsi="宋体" w:eastAsia="黑体"/>
                                <w:b/>
                                <w:szCs w:val="32"/>
                              </w:rPr>
                            </w:pPr>
                          </w:p>
                          <w:p w14:paraId="1A5A7359">
                            <w:pPr>
                              <w:rPr>
                                <w:rStyle w:val="34"/>
                                <w:rFonts w:ascii="黑体" w:hAnsi="宋体" w:eastAsia="黑体"/>
                                <w:b/>
                                <w:szCs w:val="32"/>
                              </w:rPr>
                            </w:pPr>
                          </w:p>
                          <w:p w14:paraId="24596B74">
                            <w:pPr>
                              <w:rPr>
                                <w:rStyle w:val="34"/>
                                <w:rFonts w:ascii="黑体" w:hAnsi="宋体" w:eastAsia="黑体"/>
                                <w:b/>
                                <w:szCs w:val="32"/>
                              </w:rPr>
                            </w:pPr>
                          </w:p>
                          <w:p w14:paraId="652FC01C">
                            <w:pPr>
                              <w:rPr>
                                <w:rStyle w:val="34"/>
                                <w:rFonts w:ascii="宋体" w:hAnsi="宋体"/>
                                <w:b/>
                                <w:szCs w:val="32"/>
                              </w:rPr>
                            </w:pPr>
                          </w:p>
                          <w:p w14:paraId="7E6E91D6">
                            <w:pPr>
                              <w:ind w:firstLine="1424"/>
                              <w:rPr>
                                <w:rStyle w:val="34"/>
                                <w:rFonts w:ascii="宋体" w:hAnsi="宋体"/>
                                <w:sz w:val="24"/>
                              </w:rPr>
                            </w:pPr>
                            <w:r>
                              <w:rPr>
                                <w:rStyle w:val="34"/>
                                <w:rFonts w:ascii="宋体" w:hAnsi="宋体"/>
                                <w:b/>
                                <w:sz w:val="24"/>
                              </w:rPr>
                              <w:t>附授权委托人身份证（正、反面）</w:t>
                            </w:r>
                          </w:p>
                          <w:p w14:paraId="3B368259">
                            <w:pPr>
                              <w:rPr>
                                <w:rStyle w:val="34"/>
                              </w:rPr>
                            </w:pPr>
                          </w:p>
                        </w:txbxContent>
                      </wps:txbx>
                      <wps:bodyPr upright="1"/>
                    </wps:wsp>
                  </a:graphicData>
                </a:graphic>
              </wp:anchor>
            </w:drawing>
          </mc:Choice>
          <mc:Fallback>
            <w:pict>
              <v:rect id="矩形 3" o:spid="_x0000_s1026" o:spt="1" style="position:absolute;left:0pt;margin-left:63pt;margin-top:15.7pt;height:171.6pt;width:306pt;z-index:251660288;mso-width-relative:page;mso-height-relative:page;" fillcolor="#FFFFFF" filled="t" stroked="t" coordsize="21600,21600" o:gfxdata="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1VQxdgAAAAKAQAADwAAAAAAAAABACAAAAAiAAAA&#10;ZHJzL2Rvd25yZXYueG1sUEsBAhQAFAAAAAgAh07iQFCJ8jYHAgAALQQAAA4AAAAAAAAAAQAgAAAA&#10;JwEAAGRycy9lMm9Eb2MueG1sUEsFBgAAAAAGAAYAWQEAAKAFAAAAAA==&#10;">
                <v:fill on="t" focussize="0,0"/>
                <v:stroke color="#000000" joinstyle="miter"/>
                <v:imagedata o:title=""/>
                <o:lock v:ext="edit" aspectratio="f"/>
                <v:textbox>
                  <w:txbxContent>
                    <w:p w14:paraId="035F9066">
                      <w:pPr>
                        <w:rPr>
                          <w:rStyle w:val="34"/>
                          <w:rFonts w:ascii="黑体" w:hAnsi="宋体" w:eastAsia="黑体"/>
                          <w:b/>
                          <w:szCs w:val="32"/>
                        </w:rPr>
                      </w:pPr>
                    </w:p>
                    <w:p w14:paraId="1A5A7359">
                      <w:pPr>
                        <w:rPr>
                          <w:rStyle w:val="34"/>
                          <w:rFonts w:ascii="黑体" w:hAnsi="宋体" w:eastAsia="黑体"/>
                          <w:b/>
                          <w:szCs w:val="32"/>
                        </w:rPr>
                      </w:pPr>
                    </w:p>
                    <w:p w14:paraId="24596B74">
                      <w:pPr>
                        <w:rPr>
                          <w:rStyle w:val="34"/>
                          <w:rFonts w:ascii="黑体" w:hAnsi="宋体" w:eastAsia="黑体"/>
                          <w:b/>
                          <w:szCs w:val="32"/>
                        </w:rPr>
                      </w:pPr>
                    </w:p>
                    <w:p w14:paraId="652FC01C">
                      <w:pPr>
                        <w:rPr>
                          <w:rStyle w:val="34"/>
                          <w:rFonts w:ascii="宋体" w:hAnsi="宋体"/>
                          <w:b/>
                          <w:szCs w:val="32"/>
                        </w:rPr>
                      </w:pPr>
                    </w:p>
                    <w:p w14:paraId="7E6E91D6">
                      <w:pPr>
                        <w:ind w:firstLine="1424"/>
                        <w:rPr>
                          <w:rStyle w:val="34"/>
                          <w:rFonts w:ascii="宋体" w:hAnsi="宋体"/>
                          <w:sz w:val="24"/>
                        </w:rPr>
                      </w:pPr>
                      <w:r>
                        <w:rPr>
                          <w:rStyle w:val="34"/>
                          <w:rFonts w:ascii="宋体" w:hAnsi="宋体"/>
                          <w:b/>
                          <w:sz w:val="24"/>
                        </w:rPr>
                        <w:t>附授权委托人身份证（正、反面）</w:t>
                      </w:r>
                    </w:p>
                    <w:p w14:paraId="3B368259">
                      <w:pPr>
                        <w:rPr>
                          <w:rStyle w:val="34"/>
                        </w:rPr>
                      </w:pPr>
                    </w:p>
                  </w:txbxContent>
                </v:textbox>
              </v:rect>
            </w:pict>
          </mc:Fallback>
        </mc:AlternateContent>
      </w:r>
    </w:p>
    <w:p w14:paraId="0E1EC6A1">
      <w:pPr>
        <w:spacing w:line="360" w:lineRule="auto"/>
        <w:ind w:firstLine="480"/>
        <w:rPr>
          <w:rStyle w:val="34"/>
          <w:rFonts w:ascii="仿宋" w:hAnsi="仿宋" w:eastAsia="仿宋" w:cs="仿宋"/>
          <w:color w:val="auto"/>
          <w:szCs w:val="21"/>
          <w:highlight w:val="none"/>
        </w:rPr>
      </w:pPr>
    </w:p>
    <w:p w14:paraId="3214E6F6">
      <w:pPr>
        <w:spacing w:line="360" w:lineRule="auto"/>
        <w:ind w:firstLine="5400"/>
        <w:rPr>
          <w:rStyle w:val="34"/>
          <w:rFonts w:ascii="仿宋" w:hAnsi="仿宋" w:eastAsia="仿宋" w:cs="仿宋"/>
          <w:color w:val="auto"/>
          <w:szCs w:val="21"/>
          <w:highlight w:val="none"/>
        </w:rPr>
      </w:pPr>
    </w:p>
    <w:p w14:paraId="62BD59CB">
      <w:pPr>
        <w:spacing w:line="360" w:lineRule="auto"/>
        <w:ind w:firstLine="5400"/>
        <w:rPr>
          <w:rStyle w:val="34"/>
          <w:rFonts w:ascii="仿宋" w:hAnsi="仿宋" w:eastAsia="仿宋" w:cs="仿宋"/>
          <w:color w:val="auto"/>
          <w:szCs w:val="21"/>
          <w:highlight w:val="none"/>
        </w:rPr>
      </w:pPr>
    </w:p>
    <w:p w14:paraId="60758EB8">
      <w:pPr>
        <w:spacing w:line="360" w:lineRule="auto"/>
        <w:ind w:firstLine="5400"/>
        <w:rPr>
          <w:rStyle w:val="34"/>
          <w:rFonts w:ascii="仿宋" w:hAnsi="仿宋" w:eastAsia="仿宋" w:cs="仿宋"/>
          <w:color w:val="auto"/>
          <w:szCs w:val="21"/>
          <w:highlight w:val="none"/>
        </w:rPr>
      </w:pPr>
    </w:p>
    <w:p w14:paraId="683605FC">
      <w:pPr>
        <w:spacing w:line="360" w:lineRule="auto"/>
        <w:ind w:firstLine="5400"/>
        <w:rPr>
          <w:rStyle w:val="34"/>
          <w:rFonts w:ascii="仿宋" w:hAnsi="仿宋" w:eastAsia="仿宋" w:cs="仿宋"/>
          <w:color w:val="auto"/>
          <w:szCs w:val="21"/>
          <w:highlight w:val="none"/>
        </w:rPr>
      </w:pPr>
    </w:p>
    <w:p w14:paraId="65DEFB18">
      <w:pPr>
        <w:spacing w:line="360" w:lineRule="auto"/>
        <w:ind w:firstLine="5400"/>
        <w:rPr>
          <w:rStyle w:val="34"/>
          <w:rFonts w:ascii="仿宋" w:hAnsi="仿宋" w:eastAsia="仿宋" w:cs="仿宋"/>
          <w:color w:val="auto"/>
          <w:szCs w:val="21"/>
          <w:highlight w:val="none"/>
        </w:rPr>
      </w:pPr>
    </w:p>
    <w:p w14:paraId="7E1A6DB2">
      <w:pPr>
        <w:spacing w:line="360" w:lineRule="auto"/>
        <w:ind w:firstLine="5400"/>
        <w:rPr>
          <w:rStyle w:val="34"/>
          <w:rFonts w:ascii="仿宋" w:hAnsi="仿宋" w:eastAsia="仿宋" w:cs="仿宋"/>
          <w:color w:val="auto"/>
          <w:szCs w:val="21"/>
          <w:highlight w:val="none"/>
        </w:rPr>
      </w:pPr>
    </w:p>
    <w:p w14:paraId="2C37348D">
      <w:pPr>
        <w:spacing w:line="360" w:lineRule="auto"/>
        <w:rPr>
          <w:rStyle w:val="34"/>
          <w:rFonts w:ascii="仿宋" w:hAnsi="仿宋" w:eastAsia="仿宋" w:cs="仿宋"/>
          <w:color w:val="auto"/>
          <w:szCs w:val="21"/>
          <w:highlight w:val="none"/>
        </w:rPr>
      </w:pPr>
    </w:p>
    <w:p w14:paraId="46CE8DFF">
      <w:pPr>
        <w:spacing w:line="360" w:lineRule="auto"/>
        <w:ind w:firstLine="818"/>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供应商：</w:t>
      </w:r>
      <w:r>
        <w:rPr>
          <w:rStyle w:val="34"/>
          <w:rFonts w:hint="eastAsia" w:ascii="仿宋" w:hAnsi="仿宋" w:eastAsia="仿宋" w:cs="仿宋"/>
          <w:color w:val="auto"/>
          <w:szCs w:val="21"/>
          <w:highlight w:val="none"/>
          <w:u w:val="single"/>
          <w:lang w:val="en-US" w:eastAsia="zh-CN"/>
        </w:rPr>
        <w:t xml:space="preserve">                        </w:t>
      </w:r>
      <w:r>
        <w:rPr>
          <w:rStyle w:val="34"/>
          <w:rFonts w:hint="eastAsia" w:ascii="仿宋" w:hAnsi="仿宋" w:eastAsia="仿宋" w:cs="仿宋"/>
          <w:color w:val="auto"/>
          <w:szCs w:val="21"/>
          <w:highlight w:val="none"/>
        </w:rPr>
        <w:t>（电子签章或盖章）</w:t>
      </w:r>
    </w:p>
    <w:p w14:paraId="12B46C4A">
      <w:pPr>
        <w:spacing w:line="360" w:lineRule="auto"/>
        <w:ind w:firstLine="818"/>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法定代表人：</w:t>
      </w:r>
      <w:r>
        <w:rPr>
          <w:rStyle w:val="34"/>
          <w:rFonts w:hint="eastAsia" w:ascii="仿宋" w:hAnsi="仿宋" w:eastAsia="仿宋" w:cs="仿宋"/>
          <w:color w:val="auto"/>
          <w:szCs w:val="21"/>
          <w:highlight w:val="none"/>
          <w:u w:val="single"/>
          <w:lang w:val="en-US" w:eastAsia="zh-CN"/>
        </w:rPr>
        <w:t xml:space="preserve">                    </w:t>
      </w:r>
      <w:r>
        <w:rPr>
          <w:rStyle w:val="34"/>
          <w:rFonts w:hint="eastAsia" w:ascii="仿宋" w:hAnsi="仿宋" w:eastAsia="仿宋" w:cs="仿宋"/>
          <w:color w:val="auto"/>
          <w:szCs w:val="21"/>
          <w:highlight w:val="none"/>
        </w:rPr>
        <w:t>（电子签章或签字）</w:t>
      </w:r>
    </w:p>
    <w:p w14:paraId="6CC76357">
      <w:pPr>
        <w:spacing w:line="360" w:lineRule="auto"/>
        <w:ind w:firstLine="818"/>
        <w:rPr>
          <w:rStyle w:val="34"/>
          <w:rFonts w:hint="default" w:ascii="仿宋" w:hAnsi="仿宋" w:eastAsia="仿宋" w:cs="仿宋"/>
          <w:color w:val="auto"/>
          <w:szCs w:val="21"/>
          <w:highlight w:val="none"/>
          <w:u w:val="single"/>
          <w:lang w:val="en-US" w:eastAsia="zh-CN"/>
        </w:rPr>
      </w:pPr>
      <w:r>
        <w:rPr>
          <w:rStyle w:val="34"/>
          <w:rFonts w:hint="eastAsia" w:ascii="仿宋" w:hAnsi="仿宋" w:eastAsia="仿宋" w:cs="仿宋"/>
          <w:color w:val="auto"/>
          <w:szCs w:val="21"/>
          <w:highlight w:val="none"/>
        </w:rPr>
        <w:t>身份证号码：</w:t>
      </w:r>
      <w:r>
        <w:rPr>
          <w:rStyle w:val="34"/>
          <w:rFonts w:hint="eastAsia" w:ascii="仿宋" w:hAnsi="仿宋" w:eastAsia="仿宋" w:cs="仿宋"/>
          <w:color w:val="auto"/>
          <w:szCs w:val="21"/>
          <w:highlight w:val="none"/>
          <w:u w:val="single"/>
          <w:lang w:val="en-US" w:eastAsia="zh-CN"/>
        </w:rPr>
        <w:t xml:space="preserve">                    </w:t>
      </w:r>
    </w:p>
    <w:p w14:paraId="40C90FA2">
      <w:pPr>
        <w:spacing w:line="360" w:lineRule="auto"/>
        <w:ind w:firstLine="818"/>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委托代理人：</w:t>
      </w:r>
      <w:r>
        <w:rPr>
          <w:rStyle w:val="34"/>
          <w:rFonts w:hint="eastAsia" w:ascii="仿宋" w:hAnsi="仿宋" w:eastAsia="仿宋" w:cs="仿宋"/>
          <w:color w:val="auto"/>
          <w:szCs w:val="21"/>
          <w:highlight w:val="none"/>
          <w:u w:val="single"/>
          <w:lang w:val="en-US" w:eastAsia="zh-CN"/>
        </w:rPr>
        <w:t xml:space="preserve">                    </w:t>
      </w:r>
      <w:r>
        <w:rPr>
          <w:rStyle w:val="34"/>
          <w:rFonts w:hint="eastAsia" w:ascii="仿宋" w:hAnsi="仿宋" w:eastAsia="仿宋" w:cs="仿宋"/>
          <w:color w:val="auto"/>
          <w:szCs w:val="21"/>
          <w:highlight w:val="none"/>
        </w:rPr>
        <w:t>（电子签章或签字）</w:t>
      </w:r>
    </w:p>
    <w:p w14:paraId="26F1D74D">
      <w:pPr>
        <w:spacing w:line="360" w:lineRule="auto"/>
        <w:ind w:firstLine="818"/>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身份证号码：</w:t>
      </w:r>
    </w:p>
    <w:p w14:paraId="3478912F">
      <w:pPr>
        <w:spacing w:line="360" w:lineRule="auto"/>
        <w:ind w:firstLine="5760" w:firstLineChars="2400"/>
        <w:rPr>
          <w:rStyle w:val="34"/>
          <w:rFonts w:ascii="仿宋" w:hAnsi="仿宋" w:eastAsia="仿宋" w:cs="仿宋"/>
          <w:color w:val="auto"/>
          <w:szCs w:val="21"/>
          <w:highlight w:val="none"/>
        </w:rPr>
      </w:pPr>
      <w:bookmarkStart w:id="20" w:name="_Toc381796426"/>
      <w:bookmarkStart w:id="21" w:name="_Toc28055"/>
      <w:bookmarkStart w:id="22" w:name="_Toc493515562"/>
      <w:bookmarkStart w:id="23" w:name="_Toc493515434"/>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bookmarkEnd w:id="20"/>
      <w:bookmarkEnd w:id="21"/>
      <w:bookmarkEnd w:id="22"/>
      <w:bookmarkEnd w:id="23"/>
    </w:p>
    <w:p w14:paraId="0335DF3C">
      <w:pPr>
        <w:pStyle w:val="30"/>
        <w:rPr>
          <w:rStyle w:val="34"/>
          <w:rFonts w:ascii="仿宋" w:hAnsi="仿宋" w:eastAsia="仿宋" w:cs="仿宋"/>
          <w:b/>
          <w:color w:val="auto"/>
          <w:szCs w:val="21"/>
          <w:highlight w:val="none"/>
        </w:rPr>
      </w:pPr>
    </w:p>
    <w:p w14:paraId="17E9A7CA">
      <w:pPr>
        <w:pStyle w:val="30"/>
        <w:spacing w:line="360" w:lineRule="auto"/>
        <w:rPr>
          <w:rStyle w:val="34"/>
          <w:rFonts w:ascii="仿宋" w:hAnsi="仿宋" w:eastAsia="仿宋" w:cs="仿宋"/>
          <w:color w:val="auto"/>
          <w:szCs w:val="21"/>
          <w:highlight w:val="none"/>
        </w:rPr>
      </w:pPr>
      <w:r>
        <w:rPr>
          <w:rStyle w:val="34"/>
          <w:rFonts w:hint="eastAsia" w:ascii="仿宋" w:hAnsi="仿宋" w:eastAsia="仿宋" w:cs="仿宋"/>
          <w:b/>
          <w:color w:val="auto"/>
          <w:szCs w:val="21"/>
          <w:highlight w:val="none"/>
        </w:rPr>
        <w:t>注：如供应商由法定代表人亲自签署响应文件并参与相关活动，则不需要办理授权。如有被授权的代理人签署上述文件，则必须按本格式规定填报并提交授权书，否则被授权的代理人将不被认可。</w:t>
      </w:r>
    </w:p>
    <w:p w14:paraId="72A861DF">
      <w:pPr>
        <w:pStyle w:val="28"/>
        <w:jc w:val="both"/>
        <w:rPr>
          <w:rStyle w:val="34"/>
          <w:rFonts w:ascii="仿宋" w:hAnsi="仿宋" w:eastAsia="仿宋" w:cs="仿宋"/>
          <w:color w:val="auto"/>
          <w:sz w:val="24"/>
          <w:szCs w:val="24"/>
          <w:highlight w:val="none"/>
        </w:rPr>
      </w:pPr>
      <w:r>
        <w:rPr>
          <w:rStyle w:val="34"/>
          <w:rFonts w:hint="eastAsia" w:ascii="仿宋" w:hAnsi="仿宋" w:eastAsia="仿宋" w:cs="仿宋"/>
          <w:color w:val="auto"/>
          <w:sz w:val="24"/>
          <w:szCs w:val="24"/>
          <w:highlight w:val="none"/>
        </w:rPr>
        <w:t>附件四</w:t>
      </w:r>
    </w:p>
    <w:p w14:paraId="7D527185">
      <w:pPr>
        <w:pStyle w:val="28"/>
        <w:snapToGrid w:val="0"/>
        <w:spacing w:line="360" w:lineRule="auto"/>
        <w:rPr>
          <w:rStyle w:val="34"/>
          <w:rFonts w:ascii="仿宋" w:hAnsi="仿宋" w:eastAsia="仿宋" w:cs="仿宋"/>
          <w:color w:val="auto"/>
          <w:sz w:val="32"/>
          <w:szCs w:val="32"/>
          <w:highlight w:val="none"/>
        </w:rPr>
      </w:pPr>
      <w:r>
        <w:rPr>
          <w:rStyle w:val="34"/>
          <w:rFonts w:hint="eastAsia" w:ascii="仿宋" w:hAnsi="仿宋" w:eastAsia="仿宋" w:cs="仿宋"/>
          <w:color w:val="auto"/>
          <w:sz w:val="32"/>
          <w:szCs w:val="32"/>
          <w:highlight w:val="none"/>
        </w:rPr>
        <w:t>磋商申请函</w:t>
      </w:r>
    </w:p>
    <w:p w14:paraId="1C634F3F">
      <w:pPr>
        <w:rPr>
          <w:rStyle w:val="34"/>
          <w:rFonts w:ascii="仿宋" w:hAnsi="仿宋" w:eastAsia="仿宋" w:cs="仿宋"/>
          <w:color w:val="auto"/>
          <w:highlight w:val="none"/>
        </w:rPr>
      </w:pPr>
    </w:p>
    <w:p w14:paraId="397B1FCB">
      <w:pPr>
        <w:spacing w:line="360" w:lineRule="auto"/>
        <w:rPr>
          <w:rStyle w:val="34"/>
          <w:rFonts w:ascii="仿宋" w:hAnsi="仿宋" w:eastAsia="仿宋" w:cs="仿宋"/>
          <w:b/>
          <w:color w:val="auto"/>
          <w:szCs w:val="21"/>
          <w:highlight w:val="none"/>
        </w:rPr>
      </w:pPr>
      <w:r>
        <w:rPr>
          <w:rStyle w:val="34"/>
          <w:rFonts w:hint="eastAsia" w:ascii="仿宋" w:hAnsi="仿宋" w:eastAsia="仿宋" w:cs="仿宋"/>
          <w:b/>
          <w:color w:val="auto"/>
          <w:szCs w:val="21"/>
          <w:highlight w:val="none"/>
        </w:rPr>
        <w:t>致</w:t>
      </w:r>
      <w:r>
        <w:rPr>
          <w:rStyle w:val="34"/>
          <w:rFonts w:hint="eastAsia" w:ascii="仿宋" w:hAnsi="仿宋" w:eastAsia="仿宋" w:cs="仿宋"/>
          <w:b/>
          <w:color w:val="auto"/>
          <w:szCs w:val="21"/>
          <w:highlight w:val="none"/>
          <w:u w:val="single"/>
        </w:rPr>
        <w:t xml:space="preserve">        （采购人）             </w:t>
      </w:r>
      <w:r>
        <w:rPr>
          <w:rStyle w:val="34"/>
          <w:rFonts w:hint="eastAsia" w:ascii="仿宋" w:hAnsi="仿宋" w:eastAsia="仿宋" w:cs="仿宋"/>
          <w:b/>
          <w:color w:val="auto"/>
          <w:szCs w:val="21"/>
          <w:highlight w:val="none"/>
        </w:rPr>
        <w:t>：</w:t>
      </w:r>
    </w:p>
    <w:p w14:paraId="54F02CBB">
      <w:pPr>
        <w:spacing w:line="360" w:lineRule="auto"/>
        <w:ind w:firstLine="49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我方已仔细研究了</w:t>
      </w:r>
      <w:r>
        <w:rPr>
          <w:rStyle w:val="34"/>
          <w:rFonts w:hint="eastAsia" w:ascii="仿宋" w:hAnsi="仿宋" w:eastAsia="仿宋" w:cs="仿宋"/>
          <w:color w:val="auto"/>
          <w:szCs w:val="21"/>
          <w:highlight w:val="none"/>
          <w:u w:val="single"/>
        </w:rPr>
        <w:t xml:space="preserve">       （项目名称）              （招标编号：        ）</w:t>
      </w:r>
      <w:r>
        <w:rPr>
          <w:rStyle w:val="34"/>
          <w:rFonts w:hint="eastAsia" w:ascii="仿宋" w:hAnsi="仿宋" w:eastAsia="仿宋" w:cs="仿宋"/>
          <w:color w:val="auto"/>
          <w:szCs w:val="21"/>
          <w:highlight w:val="none"/>
        </w:rPr>
        <w:t>的竞争性磋商文件。我单位</w:t>
      </w:r>
      <w:r>
        <w:rPr>
          <w:rStyle w:val="34"/>
          <w:rFonts w:hint="eastAsia" w:ascii="仿宋" w:hAnsi="仿宋" w:eastAsia="仿宋" w:cs="仿宋"/>
          <w:color w:val="auto"/>
          <w:szCs w:val="21"/>
          <w:highlight w:val="none"/>
          <w:u w:val="single"/>
        </w:rPr>
        <w:t xml:space="preserve">                （公司）</w:t>
      </w:r>
      <w:r>
        <w:rPr>
          <w:rStyle w:val="34"/>
          <w:rFonts w:hint="eastAsia" w:ascii="仿宋" w:hAnsi="仿宋" w:eastAsia="仿宋" w:cs="仿宋"/>
          <w:color w:val="auto"/>
          <w:szCs w:val="21"/>
          <w:highlight w:val="none"/>
        </w:rPr>
        <w:t>决定参加本次竞争性磋商。我单位（或公司）同意以下事项：</w:t>
      </w:r>
    </w:p>
    <w:p w14:paraId="1B97DAC4">
      <w:pPr>
        <w:spacing w:line="360" w:lineRule="auto"/>
        <w:ind w:firstLine="49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1、本次磋商申请报价为：</w:t>
      </w:r>
      <w:r>
        <w:rPr>
          <w:rStyle w:val="34"/>
          <w:rFonts w:hint="eastAsia" w:ascii="仿宋" w:hAnsi="仿宋" w:eastAsia="仿宋" w:cs="仿宋"/>
          <w:color w:val="auto"/>
          <w:szCs w:val="21"/>
          <w:highlight w:val="none"/>
          <w:u w:val="single"/>
        </w:rPr>
        <w:t xml:space="preserve">                </w:t>
      </w:r>
      <w:r>
        <w:rPr>
          <w:rStyle w:val="34"/>
          <w:rFonts w:hint="eastAsia" w:ascii="仿宋" w:hAnsi="仿宋" w:eastAsia="仿宋" w:cs="仿宋"/>
          <w:color w:val="auto"/>
          <w:szCs w:val="21"/>
          <w:highlight w:val="none"/>
        </w:rPr>
        <w:t>（人民币</w:t>
      </w:r>
      <w:r>
        <w:rPr>
          <w:rStyle w:val="34"/>
          <w:rFonts w:hint="eastAsia" w:ascii="仿宋" w:hAnsi="仿宋" w:eastAsia="仿宋" w:cs="仿宋"/>
          <w:color w:val="auto"/>
          <w:szCs w:val="21"/>
          <w:highlight w:val="none"/>
          <w:lang w:eastAsia="zh-CN"/>
        </w:rPr>
        <w:t>：</w:t>
      </w:r>
      <w:r>
        <w:rPr>
          <w:rStyle w:val="34"/>
          <w:rFonts w:hint="eastAsia" w:ascii="仿宋" w:hAnsi="仿宋" w:eastAsia="仿宋" w:cs="仿宋"/>
          <w:color w:val="auto"/>
          <w:szCs w:val="21"/>
          <w:highlight w:val="none"/>
        </w:rPr>
        <w:t>元</w:t>
      </w:r>
      <w:r>
        <w:rPr>
          <w:rStyle w:val="34"/>
          <w:rFonts w:hint="eastAsia" w:ascii="仿宋" w:hAnsi="仿宋" w:eastAsia="仿宋" w:cs="仿宋"/>
          <w:color w:val="auto"/>
          <w:szCs w:val="21"/>
          <w:highlight w:val="none"/>
          <w:lang w:val="en-US" w:eastAsia="zh-CN"/>
        </w:rPr>
        <w:t>/年</w:t>
      </w:r>
      <w:r>
        <w:rPr>
          <w:rStyle w:val="34"/>
          <w:rFonts w:hint="eastAsia" w:ascii="仿宋" w:hAnsi="仿宋" w:eastAsia="仿宋" w:cs="仿宋"/>
          <w:color w:val="auto"/>
          <w:szCs w:val="21"/>
          <w:highlight w:val="none"/>
        </w:rPr>
        <w:t>）；</w:t>
      </w:r>
    </w:p>
    <w:p w14:paraId="7B00DC8B">
      <w:pPr>
        <w:spacing w:line="360" w:lineRule="auto"/>
        <w:ind w:firstLine="49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2、遵守竞争性磋商文件的各项条款及一切有关规定；</w:t>
      </w:r>
    </w:p>
    <w:p w14:paraId="6BEA1D15">
      <w:pPr>
        <w:spacing w:line="360" w:lineRule="auto"/>
        <w:ind w:firstLine="49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3、向贵方提供所有与采购事项有关的真实有效的数据、情况和技术资料；</w:t>
      </w:r>
    </w:p>
    <w:p w14:paraId="18F55090">
      <w:pPr>
        <w:spacing w:line="360" w:lineRule="auto"/>
        <w:ind w:firstLine="49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4、如我方磋商申请被接受，我方将按竞争性磋商文件的规定履行合同责任和义务。</w:t>
      </w:r>
    </w:p>
    <w:p w14:paraId="1686AF48">
      <w:pPr>
        <w:spacing w:line="360" w:lineRule="auto"/>
        <w:ind w:firstLine="49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5、本磋商申请书自贵方收到之日生效，有效期至开标后60日历天，在此期间本磋商申请书之规定对我方具有约束力；</w:t>
      </w:r>
    </w:p>
    <w:p w14:paraId="476179CE">
      <w:pPr>
        <w:spacing w:line="360" w:lineRule="auto"/>
        <w:ind w:firstLine="49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6、如果我方磋商申请被接受，则至合同履行完成和质量保证期满为止，本磋商申请书保持有效。</w:t>
      </w:r>
    </w:p>
    <w:p w14:paraId="40689E13">
      <w:pPr>
        <w:spacing w:line="360" w:lineRule="auto"/>
        <w:ind w:firstLine="490"/>
        <w:rPr>
          <w:rStyle w:val="34"/>
          <w:rFonts w:ascii="仿宋" w:hAnsi="仿宋" w:eastAsia="仿宋" w:cs="仿宋"/>
          <w:color w:val="auto"/>
          <w:szCs w:val="21"/>
          <w:highlight w:val="none"/>
        </w:rPr>
      </w:pPr>
    </w:p>
    <w:p w14:paraId="729CF7D1">
      <w:pPr>
        <w:spacing w:line="360" w:lineRule="auto"/>
        <w:ind w:firstLine="490"/>
        <w:rPr>
          <w:rStyle w:val="34"/>
          <w:rFonts w:ascii="仿宋" w:hAnsi="仿宋" w:eastAsia="仿宋" w:cs="仿宋"/>
          <w:color w:val="auto"/>
          <w:szCs w:val="21"/>
          <w:highlight w:val="none"/>
        </w:rPr>
      </w:pPr>
    </w:p>
    <w:p w14:paraId="06937F57">
      <w:pPr>
        <w:spacing w:line="360" w:lineRule="auto"/>
        <w:ind w:left="14" w:hanging="113"/>
        <w:rPr>
          <w:rStyle w:val="34"/>
          <w:rFonts w:ascii="仿宋" w:hAnsi="仿宋" w:eastAsia="仿宋" w:cs="仿宋"/>
          <w:color w:val="auto"/>
          <w:szCs w:val="21"/>
          <w:highlight w:val="none"/>
          <w:u w:val="single"/>
        </w:rPr>
      </w:pPr>
      <w:r>
        <w:rPr>
          <w:rStyle w:val="34"/>
          <w:rFonts w:hint="eastAsia" w:ascii="仿宋" w:hAnsi="仿宋" w:eastAsia="仿宋" w:cs="仿宋"/>
          <w:color w:val="auto"/>
          <w:szCs w:val="21"/>
          <w:highlight w:val="none"/>
        </w:rPr>
        <w:t xml:space="preserve">         供应商：</w:t>
      </w:r>
      <w:r>
        <w:rPr>
          <w:rStyle w:val="34"/>
          <w:rFonts w:hint="eastAsia" w:ascii="仿宋" w:hAnsi="仿宋" w:eastAsia="仿宋" w:cs="仿宋"/>
          <w:color w:val="auto"/>
          <w:szCs w:val="21"/>
          <w:highlight w:val="none"/>
          <w:u w:val="single"/>
        </w:rPr>
        <w:t xml:space="preserve">                             （电子签章或盖章）   </w:t>
      </w:r>
    </w:p>
    <w:p w14:paraId="7F197668">
      <w:pPr>
        <w:spacing w:line="360" w:lineRule="auto"/>
        <w:ind w:left="14" w:hanging="113"/>
        <w:rPr>
          <w:rStyle w:val="34"/>
          <w:rFonts w:ascii="仿宋" w:hAnsi="仿宋" w:eastAsia="仿宋" w:cs="仿宋"/>
          <w:color w:val="auto"/>
          <w:szCs w:val="21"/>
          <w:highlight w:val="none"/>
          <w:u w:val="single"/>
        </w:rPr>
      </w:pPr>
      <w:r>
        <w:rPr>
          <w:rStyle w:val="34"/>
          <w:rFonts w:hint="eastAsia" w:ascii="仿宋" w:hAnsi="仿宋" w:eastAsia="仿宋" w:cs="仿宋"/>
          <w:color w:val="auto"/>
          <w:szCs w:val="21"/>
          <w:highlight w:val="none"/>
        </w:rPr>
        <w:t xml:space="preserve">         单位地址：</w:t>
      </w:r>
      <w:r>
        <w:rPr>
          <w:rStyle w:val="34"/>
          <w:rFonts w:hint="eastAsia" w:ascii="仿宋" w:hAnsi="仿宋" w:eastAsia="仿宋" w:cs="仿宋"/>
          <w:color w:val="auto"/>
          <w:szCs w:val="21"/>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p>
    <w:p w14:paraId="7AA4AB6E">
      <w:pPr>
        <w:spacing w:line="360" w:lineRule="auto"/>
        <w:ind w:left="14" w:hanging="113"/>
        <w:rPr>
          <w:rStyle w:val="34"/>
          <w:rFonts w:ascii="仿宋" w:hAnsi="仿宋" w:eastAsia="仿宋" w:cs="仿宋"/>
          <w:color w:val="auto"/>
          <w:szCs w:val="21"/>
          <w:highlight w:val="none"/>
          <w:u w:val="single"/>
        </w:rPr>
      </w:pPr>
      <w:r>
        <w:rPr>
          <w:rStyle w:val="34"/>
          <w:rFonts w:hint="eastAsia" w:ascii="仿宋" w:hAnsi="仿宋" w:eastAsia="仿宋" w:cs="仿宋"/>
          <w:color w:val="auto"/>
          <w:szCs w:val="21"/>
          <w:highlight w:val="none"/>
        </w:rPr>
        <w:t xml:space="preserve">         法定代表人或其委托代理人：</w:t>
      </w:r>
      <w:r>
        <w:rPr>
          <w:rStyle w:val="34"/>
          <w:rFonts w:hint="eastAsia" w:ascii="仿宋" w:hAnsi="仿宋" w:eastAsia="仿宋" w:cs="仿宋"/>
          <w:color w:val="auto"/>
          <w:szCs w:val="21"/>
          <w:highlight w:val="none"/>
          <w:u w:val="single"/>
        </w:rPr>
        <w:t xml:space="preserve">         （电子签章或签字）</w:t>
      </w:r>
    </w:p>
    <w:p w14:paraId="50631E02">
      <w:pPr>
        <w:spacing w:line="360" w:lineRule="auto"/>
        <w:ind w:left="14" w:hanging="113"/>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 xml:space="preserve">         邮政编码：</w:t>
      </w:r>
      <w:r>
        <w:rPr>
          <w:rStyle w:val="34"/>
          <w:rFonts w:hint="eastAsia" w:ascii="仿宋" w:hAnsi="仿宋" w:eastAsia="仿宋" w:cs="仿宋"/>
          <w:color w:val="auto"/>
          <w:szCs w:val="21"/>
          <w:highlight w:val="none"/>
          <w:u w:val="single"/>
        </w:rPr>
        <w:tab/>
      </w:r>
      <w:r>
        <w:rPr>
          <w:rFonts w:hint="eastAsia" w:ascii="仿宋" w:hAnsi="仿宋" w:eastAsia="仿宋" w:cs="仿宋"/>
          <w:color w:val="auto"/>
          <w:highlight w:val="none"/>
          <w:u w:val="single"/>
        </w:rPr>
        <w:tab/>
      </w:r>
      <w:r>
        <w:rPr>
          <w:rStyle w:val="34"/>
          <w:rFonts w:hint="eastAsia" w:ascii="仿宋" w:hAnsi="仿宋" w:eastAsia="仿宋" w:cs="仿宋"/>
          <w:color w:val="auto"/>
          <w:szCs w:val="21"/>
          <w:highlight w:val="none"/>
        </w:rPr>
        <w:t>电话：</w:t>
      </w:r>
      <w:r>
        <w:rPr>
          <w:rStyle w:val="34"/>
          <w:rFonts w:hint="eastAsia" w:ascii="仿宋" w:hAnsi="仿宋" w:eastAsia="仿宋" w:cs="仿宋"/>
          <w:color w:val="auto"/>
          <w:szCs w:val="21"/>
          <w:highlight w:val="none"/>
          <w:u w:val="single"/>
        </w:rPr>
        <w:tab/>
      </w:r>
      <w:r>
        <w:rPr>
          <w:rFonts w:hint="eastAsia" w:ascii="仿宋" w:hAnsi="仿宋" w:eastAsia="仿宋" w:cs="仿宋"/>
          <w:color w:val="auto"/>
          <w:highlight w:val="none"/>
          <w:u w:val="single"/>
        </w:rPr>
        <w:tab/>
      </w:r>
      <w:r>
        <w:rPr>
          <w:rStyle w:val="34"/>
          <w:rFonts w:hint="eastAsia" w:ascii="仿宋" w:hAnsi="仿宋" w:eastAsia="仿宋" w:cs="仿宋"/>
          <w:color w:val="auto"/>
          <w:szCs w:val="21"/>
          <w:highlight w:val="none"/>
        </w:rPr>
        <w:t xml:space="preserve"> 传真：</w:t>
      </w:r>
      <w:r>
        <w:rPr>
          <w:rStyle w:val="34"/>
          <w:rFonts w:hint="eastAsia" w:ascii="仿宋" w:hAnsi="仿宋" w:eastAsia="仿宋" w:cs="仿宋"/>
          <w:color w:val="auto"/>
          <w:szCs w:val="21"/>
          <w:highlight w:val="none"/>
          <w:u w:val="single"/>
        </w:rPr>
        <w:tab/>
      </w:r>
      <w:r>
        <w:rPr>
          <w:rFonts w:hint="eastAsia" w:ascii="仿宋" w:hAnsi="仿宋" w:eastAsia="仿宋" w:cs="仿宋"/>
          <w:color w:val="auto"/>
          <w:highlight w:val="none"/>
          <w:u w:val="single"/>
        </w:rPr>
        <w:tab/>
      </w:r>
    </w:p>
    <w:p w14:paraId="4A4C979B">
      <w:pPr>
        <w:spacing w:line="360" w:lineRule="auto"/>
        <w:ind w:firstLine="840" w:firstLineChars="4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开户银行名称：</w:t>
      </w:r>
      <w:r>
        <w:rPr>
          <w:rStyle w:val="34"/>
          <w:rFonts w:hint="eastAsia" w:ascii="仿宋" w:hAnsi="仿宋" w:eastAsia="仿宋" w:cs="仿宋"/>
          <w:color w:val="auto"/>
          <w:szCs w:val="21"/>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p>
    <w:p w14:paraId="1A73A3B9">
      <w:pPr>
        <w:spacing w:line="360" w:lineRule="auto"/>
        <w:ind w:firstLine="840" w:firstLineChars="400"/>
        <w:rPr>
          <w:rStyle w:val="34"/>
          <w:rFonts w:ascii="仿宋" w:hAnsi="仿宋" w:eastAsia="仿宋" w:cs="仿宋"/>
          <w:color w:val="auto"/>
          <w:szCs w:val="21"/>
          <w:highlight w:val="none"/>
          <w:u w:val="single"/>
        </w:rPr>
      </w:pPr>
      <w:r>
        <w:rPr>
          <w:rStyle w:val="34"/>
          <w:rFonts w:hint="eastAsia" w:ascii="仿宋" w:hAnsi="仿宋" w:eastAsia="仿宋" w:cs="仿宋"/>
          <w:color w:val="auto"/>
          <w:szCs w:val="21"/>
          <w:highlight w:val="none"/>
        </w:rPr>
        <w:t>开户银行账号：</w:t>
      </w:r>
      <w:r>
        <w:rPr>
          <w:rStyle w:val="34"/>
          <w:rFonts w:hint="eastAsia" w:ascii="仿宋" w:hAnsi="仿宋" w:eastAsia="仿宋" w:cs="仿宋"/>
          <w:color w:val="auto"/>
          <w:szCs w:val="21"/>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p>
    <w:p w14:paraId="3BE69F25">
      <w:pPr>
        <w:spacing w:line="360" w:lineRule="auto"/>
        <w:ind w:firstLine="960"/>
        <w:rPr>
          <w:rStyle w:val="34"/>
          <w:rFonts w:ascii="仿宋" w:hAnsi="仿宋" w:eastAsia="仿宋" w:cs="仿宋"/>
          <w:color w:val="auto"/>
          <w:szCs w:val="21"/>
          <w:highlight w:val="none"/>
          <w:u w:val="single"/>
        </w:rPr>
      </w:pPr>
    </w:p>
    <w:p w14:paraId="35227935">
      <w:pPr>
        <w:spacing w:line="360" w:lineRule="auto"/>
        <w:ind w:firstLine="960"/>
        <w:rPr>
          <w:rStyle w:val="34"/>
          <w:rFonts w:ascii="仿宋" w:hAnsi="仿宋" w:eastAsia="仿宋" w:cs="仿宋"/>
          <w:color w:val="auto"/>
          <w:szCs w:val="21"/>
          <w:highlight w:val="none"/>
          <w:u w:val="single"/>
        </w:rPr>
      </w:pPr>
    </w:p>
    <w:p w14:paraId="61B6C91B">
      <w:pPr>
        <w:spacing w:line="360" w:lineRule="auto"/>
        <w:ind w:firstLine="960"/>
        <w:rPr>
          <w:rStyle w:val="34"/>
          <w:rFonts w:ascii="仿宋" w:hAnsi="仿宋" w:eastAsia="仿宋" w:cs="仿宋"/>
          <w:color w:val="auto"/>
          <w:sz w:val="24"/>
          <w:szCs w:val="24"/>
          <w:highlight w:val="none"/>
          <w:u w:val="single"/>
        </w:rPr>
      </w:pPr>
    </w:p>
    <w:p w14:paraId="07F96A0D">
      <w:pPr>
        <w:spacing w:line="360" w:lineRule="auto"/>
        <w:ind w:firstLine="840"/>
        <w:rPr>
          <w:rStyle w:val="34"/>
          <w:rFonts w:ascii="仿宋" w:hAnsi="仿宋" w:eastAsia="仿宋" w:cs="仿宋"/>
          <w:color w:val="auto"/>
          <w:szCs w:val="21"/>
          <w:highlight w:val="none"/>
          <w:u w:val="single"/>
        </w:rPr>
      </w:pPr>
    </w:p>
    <w:p w14:paraId="7BC1FC1B">
      <w:pPr>
        <w:spacing w:line="360" w:lineRule="auto"/>
        <w:ind w:firstLine="840"/>
        <w:rPr>
          <w:rStyle w:val="34"/>
          <w:rFonts w:ascii="仿宋" w:hAnsi="仿宋" w:eastAsia="仿宋" w:cs="仿宋"/>
          <w:color w:val="auto"/>
          <w:szCs w:val="21"/>
          <w:highlight w:val="none"/>
          <w:u w:val="single"/>
        </w:rPr>
      </w:pPr>
    </w:p>
    <w:p w14:paraId="626B12E4">
      <w:pPr>
        <w:pStyle w:val="28"/>
        <w:jc w:val="both"/>
        <w:rPr>
          <w:rStyle w:val="34"/>
          <w:rFonts w:ascii="仿宋" w:hAnsi="仿宋" w:eastAsia="仿宋" w:cs="仿宋"/>
          <w:color w:val="auto"/>
          <w:sz w:val="24"/>
          <w:szCs w:val="24"/>
          <w:highlight w:val="none"/>
        </w:rPr>
      </w:pPr>
      <w:r>
        <w:rPr>
          <w:rStyle w:val="34"/>
          <w:rFonts w:hint="eastAsia" w:ascii="仿宋" w:hAnsi="仿宋" w:eastAsia="仿宋" w:cs="仿宋"/>
          <w:color w:val="auto"/>
          <w:sz w:val="24"/>
          <w:szCs w:val="24"/>
          <w:highlight w:val="none"/>
        </w:rPr>
        <w:t>附件五</w:t>
      </w:r>
    </w:p>
    <w:p w14:paraId="11A4D80B">
      <w:pPr>
        <w:pStyle w:val="28"/>
        <w:rPr>
          <w:rStyle w:val="34"/>
          <w:rFonts w:ascii="仿宋" w:hAnsi="仿宋" w:eastAsia="仿宋" w:cs="仿宋"/>
          <w:color w:val="auto"/>
          <w:szCs w:val="30"/>
          <w:highlight w:val="none"/>
        </w:rPr>
      </w:pPr>
    </w:p>
    <w:p w14:paraId="7979212E">
      <w:pPr>
        <w:pStyle w:val="28"/>
        <w:rPr>
          <w:rStyle w:val="34"/>
          <w:rFonts w:ascii="仿宋" w:hAnsi="仿宋" w:eastAsia="仿宋" w:cs="仿宋"/>
          <w:bCs/>
          <w:color w:val="auto"/>
          <w:sz w:val="32"/>
          <w:szCs w:val="32"/>
          <w:highlight w:val="none"/>
        </w:rPr>
      </w:pPr>
      <w:r>
        <w:rPr>
          <w:rStyle w:val="34"/>
          <w:rFonts w:hint="eastAsia" w:ascii="仿宋" w:hAnsi="仿宋" w:eastAsia="仿宋" w:cs="仿宋"/>
          <w:bCs/>
          <w:color w:val="auto"/>
          <w:sz w:val="32"/>
          <w:szCs w:val="32"/>
          <w:highlight w:val="none"/>
        </w:rPr>
        <w:t>供应商一般情况表</w:t>
      </w:r>
    </w:p>
    <w:p w14:paraId="7C3C256B">
      <w:pPr>
        <w:pStyle w:val="30"/>
        <w:rPr>
          <w:rStyle w:val="34"/>
          <w:rFonts w:ascii="仿宋" w:hAnsi="仿宋" w:eastAsia="仿宋" w:cs="仿宋"/>
          <w:color w:val="auto"/>
          <w:highlight w:val="none"/>
        </w:rPr>
      </w:pPr>
    </w:p>
    <w:p w14:paraId="0BB1AB2A">
      <w:pPr>
        <w:spacing w:line="360" w:lineRule="auto"/>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供应商全称（电子签章或盖章）：</w:t>
      </w:r>
    </w:p>
    <w:tbl>
      <w:tblPr>
        <w:tblStyle w:val="21"/>
        <w:tblW w:w="0" w:type="auto"/>
        <w:tblInd w:w="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3"/>
        <w:gridCol w:w="411"/>
        <w:gridCol w:w="1104"/>
        <w:gridCol w:w="1909"/>
        <w:gridCol w:w="1267"/>
        <w:gridCol w:w="644"/>
        <w:gridCol w:w="1168"/>
        <w:gridCol w:w="1699"/>
      </w:tblGrid>
      <w:tr w14:paraId="7216B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894" w:type="dxa"/>
            <w:gridSpan w:val="2"/>
            <w:vAlign w:val="center"/>
          </w:tcPr>
          <w:p w14:paraId="7CC3224A">
            <w:pPr>
              <w:pStyle w:val="13"/>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企业名称</w:t>
            </w:r>
          </w:p>
        </w:tc>
        <w:tc>
          <w:tcPr>
            <w:tcW w:w="4924" w:type="dxa"/>
            <w:gridSpan w:val="4"/>
            <w:vAlign w:val="center"/>
          </w:tcPr>
          <w:p w14:paraId="30E36E45">
            <w:pPr>
              <w:pStyle w:val="13"/>
              <w:snapToGrid w:val="0"/>
              <w:spacing w:line="360" w:lineRule="auto"/>
              <w:rPr>
                <w:rFonts w:ascii="仿宋" w:hAnsi="仿宋" w:eastAsia="仿宋" w:cs="仿宋"/>
                <w:color w:val="auto"/>
                <w:sz w:val="24"/>
                <w:szCs w:val="24"/>
                <w:highlight w:val="none"/>
              </w:rPr>
            </w:pPr>
          </w:p>
        </w:tc>
        <w:tc>
          <w:tcPr>
            <w:tcW w:w="1168" w:type="dxa"/>
            <w:vAlign w:val="center"/>
          </w:tcPr>
          <w:p w14:paraId="182201C0">
            <w:pPr>
              <w:pStyle w:val="13"/>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邮编</w:t>
            </w:r>
          </w:p>
        </w:tc>
        <w:tc>
          <w:tcPr>
            <w:tcW w:w="1699" w:type="dxa"/>
            <w:vAlign w:val="center"/>
          </w:tcPr>
          <w:p w14:paraId="67EDE794">
            <w:pPr>
              <w:pStyle w:val="13"/>
              <w:snapToGrid w:val="0"/>
              <w:spacing w:line="360" w:lineRule="auto"/>
              <w:rPr>
                <w:rFonts w:ascii="仿宋" w:hAnsi="仿宋" w:eastAsia="仿宋" w:cs="仿宋"/>
                <w:color w:val="auto"/>
                <w:sz w:val="24"/>
                <w:szCs w:val="24"/>
                <w:highlight w:val="none"/>
              </w:rPr>
            </w:pPr>
          </w:p>
        </w:tc>
      </w:tr>
      <w:tr w14:paraId="6AB2B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894" w:type="dxa"/>
            <w:gridSpan w:val="2"/>
            <w:vAlign w:val="center"/>
          </w:tcPr>
          <w:p w14:paraId="085F32C7">
            <w:pPr>
              <w:pStyle w:val="13"/>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企业地址</w:t>
            </w:r>
          </w:p>
        </w:tc>
        <w:tc>
          <w:tcPr>
            <w:tcW w:w="4924" w:type="dxa"/>
            <w:gridSpan w:val="4"/>
            <w:vAlign w:val="center"/>
          </w:tcPr>
          <w:p w14:paraId="2913832B">
            <w:pPr>
              <w:pStyle w:val="13"/>
              <w:snapToGrid w:val="0"/>
              <w:spacing w:line="360" w:lineRule="auto"/>
              <w:rPr>
                <w:rFonts w:ascii="仿宋" w:hAnsi="仿宋" w:eastAsia="仿宋" w:cs="仿宋"/>
                <w:color w:val="auto"/>
                <w:sz w:val="24"/>
                <w:szCs w:val="24"/>
                <w:highlight w:val="none"/>
              </w:rPr>
            </w:pPr>
          </w:p>
        </w:tc>
        <w:tc>
          <w:tcPr>
            <w:tcW w:w="1168" w:type="dxa"/>
            <w:vAlign w:val="center"/>
          </w:tcPr>
          <w:p w14:paraId="3195DFEB">
            <w:pPr>
              <w:pStyle w:val="13"/>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p>
        </w:tc>
        <w:tc>
          <w:tcPr>
            <w:tcW w:w="1699" w:type="dxa"/>
            <w:vAlign w:val="center"/>
          </w:tcPr>
          <w:p w14:paraId="7F3D06E0">
            <w:pPr>
              <w:pStyle w:val="13"/>
              <w:snapToGrid w:val="0"/>
              <w:spacing w:line="360" w:lineRule="auto"/>
              <w:rPr>
                <w:rFonts w:ascii="仿宋" w:hAnsi="仿宋" w:eastAsia="仿宋" w:cs="仿宋"/>
                <w:color w:val="auto"/>
                <w:sz w:val="24"/>
                <w:szCs w:val="24"/>
                <w:highlight w:val="none"/>
              </w:rPr>
            </w:pPr>
          </w:p>
        </w:tc>
      </w:tr>
      <w:tr w14:paraId="58CB8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894" w:type="dxa"/>
            <w:gridSpan w:val="2"/>
            <w:vAlign w:val="center"/>
          </w:tcPr>
          <w:p w14:paraId="1AC3E758">
            <w:pPr>
              <w:pStyle w:val="13"/>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3013" w:type="dxa"/>
            <w:gridSpan w:val="2"/>
            <w:vAlign w:val="center"/>
          </w:tcPr>
          <w:p w14:paraId="7EC9540A">
            <w:pPr>
              <w:pStyle w:val="13"/>
              <w:snapToGrid w:val="0"/>
              <w:spacing w:line="360" w:lineRule="auto"/>
              <w:rPr>
                <w:rFonts w:ascii="仿宋" w:hAnsi="仿宋" w:eastAsia="仿宋" w:cs="仿宋"/>
                <w:color w:val="auto"/>
                <w:sz w:val="24"/>
                <w:szCs w:val="24"/>
                <w:highlight w:val="none"/>
              </w:rPr>
            </w:pPr>
          </w:p>
        </w:tc>
        <w:tc>
          <w:tcPr>
            <w:tcW w:w="1911" w:type="dxa"/>
            <w:gridSpan w:val="2"/>
            <w:vAlign w:val="center"/>
          </w:tcPr>
          <w:p w14:paraId="4A3CF8EA">
            <w:pPr>
              <w:pStyle w:val="13"/>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企 业 性 质</w:t>
            </w:r>
          </w:p>
        </w:tc>
        <w:tc>
          <w:tcPr>
            <w:tcW w:w="2867" w:type="dxa"/>
            <w:gridSpan w:val="2"/>
            <w:vAlign w:val="center"/>
          </w:tcPr>
          <w:p w14:paraId="003B19D5">
            <w:pPr>
              <w:pStyle w:val="13"/>
              <w:snapToGrid w:val="0"/>
              <w:spacing w:line="360" w:lineRule="auto"/>
              <w:rPr>
                <w:rFonts w:ascii="仿宋" w:hAnsi="仿宋" w:eastAsia="仿宋" w:cs="仿宋"/>
                <w:color w:val="auto"/>
                <w:sz w:val="24"/>
                <w:szCs w:val="24"/>
                <w:highlight w:val="none"/>
              </w:rPr>
            </w:pPr>
          </w:p>
        </w:tc>
      </w:tr>
      <w:tr w14:paraId="339B5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9685" w:type="dxa"/>
            <w:gridSpan w:val="8"/>
          </w:tcPr>
          <w:p w14:paraId="3D907B9B">
            <w:pPr>
              <w:pStyle w:val="13"/>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公司或所代理的生产或供应商是否通过任何质量保证体系认证（如通过请附相关证书扫描件，并提供认证机构年审监督报告）</w:t>
            </w:r>
          </w:p>
        </w:tc>
      </w:tr>
      <w:tr w14:paraId="5EBC4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4" w:hRule="atLeast"/>
        </w:trPr>
        <w:tc>
          <w:tcPr>
            <w:tcW w:w="9685" w:type="dxa"/>
            <w:gridSpan w:val="8"/>
          </w:tcPr>
          <w:p w14:paraId="79813544">
            <w:pPr>
              <w:autoSpaceDE w:val="0"/>
              <w:autoSpaceDN w:val="0"/>
              <w:adjustRightInd w:val="0"/>
              <w:snapToGrid w:val="0"/>
              <w:spacing w:line="360"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主营范围:</w:t>
            </w:r>
          </w:p>
          <w:p w14:paraId="614095E8">
            <w:pPr>
              <w:autoSpaceDE w:val="0"/>
              <w:autoSpaceDN w:val="0"/>
              <w:adjustRightInd w:val="0"/>
              <w:snapToGrid w:val="0"/>
              <w:spacing w:line="360" w:lineRule="auto"/>
              <w:jc w:val="left"/>
              <w:rPr>
                <w:rFonts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u w:val="single"/>
              </w:rPr>
              <w:t xml:space="preserve">                                                             </w:t>
            </w:r>
          </w:p>
          <w:p w14:paraId="2F9F0AB0">
            <w:pPr>
              <w:autoSpaceDE w:val="0"/>
              <w:autoSpaceDN w:val="0"/>
              <w:adjustRightInd w:val="0"/>
              <w:snapToGrid w:val="0"/>
              <w:spacing w:line="360" w:lineRule="auto"/>
              <w:jc w:val="left"/>
              <w:rPr>
                <w:rFonts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u w:val="single"/>
              </w:rPr>
              <w:t xml:space="preserve">                                                             </w:t>
            </w:r>
          </w:p>
          <w:p w14:paraId="5AEF138D">
            <w:pPr>
              <w:autoSpaceDE w:val="0"/>
              <w:autoSpaceDN w:val="0"/>
              <w:adjustRightInd w:val="0"/>
              <w:snapToGrid w:val="0"/>
              <w:spacing w:line="360" w:lineRule="auto"/>
              <w:jc w:val="left"/>
              <w:rPr>
                <w:rFonts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u w:val="single"/>
              </w:rPr>
              <w:t xml:space="preserve">                                                             </w:t>
            </w:r>
          </w:p>
          <w:p w14:paraId="4F566E79">
            <w:pPr>
              <w:autoSpaceDE w:val="0"/>
              <w:autoSpaceDN w:val="0"/>
              <w:adjustRightInd w:val="0"/>
              <w:snapToGrid w:val="0"/>
              <w:spacing w:line="360" w:lineRule="auto"/>
              <w:jc w:val="left"/>
              <w:rPr>
                <w:rFonts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4．</w:t>
            </w:r>
            <w:r>
              <w:rPr>
                <w:rFonts w:hint="eastAsia" w:ascii="仿宋" w:hAnsi="仿宋" w:eastAsia="仿宋" w:cs="仿宋"/>
                <w:color w:val="auto"/>
                <w:kern w:val="0"/>
                <w:sz w:val="24"/>
                <w:szCs w:val="24"/>
                <w:highlight w:val="none"/>
                <w:u w:val="single"/>
              </w:rPr>
              <w:t xml:space="preserve">                                                             </w:t>
            </w:r>
          </w:p>
          <w:p w14:paraId="54F513D9">
            <w:pPr>
              <w:autoSpaceDE w:val="0"/>
              <w:autoSpaceDN w:val="0"/>
              <w:adjustRightInd w:val="0"/>
              <w:snapToGrid w:val="0"/>
              <w:spacing w:line="360"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p>
          <w:p w14:paraId="03EA1CCC">
            <w:pPr>
              <w:pStyle w:val="13"/>
              <w:snapToGrid w:val="0"/>
              <w:spacing w:line="360" w:lineRule="auto"/>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w:t>
            </w:r>
          </w:p>
        </w:tc>
      </w:tr>
      <w:tr w14:paraId="6A923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685" w:type="dxa"/>
            <w:gridSpan w:val="8"/>
          </w:tcPr>
          <w:p w14:paraId="0DAF1108">
            <w:pPr>
              <w:autoSpaceDE w:val="0"/>
              <w:autoSpaceDN w:val="0"/>
              <w:adjustRightInd w:val="0"/>
              <w:snapToGrid w:val="0"/>
              <w:spacing w:line="360" w:lineRule="auto"/>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其他需要说明的情况:</w:t>
            </w:r>
          </w:p>
        </w:tc>
      </w:tr>
      <w:tr w14:paraId="18B93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1483" w:type="dxa"/>
            <w:vMerge w:val="restart"/>
            <w:vAlign w:val="center"/>
          </w:tcPr>
          <w:p w14:paraId="6C982341">
            <w:pPr>
              <w:pStyle w:val="13"/>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经营业绩</w:t>
            </w:r>
          </w:p>
        </w:tc>
        <w:tc>
          <w:tcPr>
            <w:tcW w:w="1515" w:type="dxa"/>
            <w:gridSpan w:val="2"/>
            <w:vAlign w:val="center"/>
          </w:tcPr>
          <w:p w14:paraId="5A95980A">
            <w:pPr>
              <w:pStyle w:val="13"/>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年度</w:t>
            </w:r>
          </w:p>
        </w:tc>
        <w:tc>
          <w:tcPr>
            <w:tcW w:w="3176" w:type="dxa"/>
            <w:gridSpan w:val="2"/>
            <w:vAlign w:val="center"/>
          </w:tcPr>
          <w:p w14:paraId="1AB5EB39">
            <w:pPr>
              <w:pStyle w:val="13"/>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营业额（万元）</w:t>
            </w:r>
          </w:p>
        </w:tc>
        <w:tc>
          <w:tcPr>
            <w:tcW w:w="3511" w:type="dxa"/>
            <w:gridSpan w:val="3"/>
            <w:vAlign w:val="center"/>
          </w:tcPr>
          <w:p w14:paraId="1CB98F90">
            <w:pPr>
              <w:pStyle w:val="13"/>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同类项目业绩（万元）</w:t>
            </w:r>
          </w:p>
        </w:tc>
      </w:tr>
      <w:tr w14:paraId="1A965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483" w:type="dxa"/>
            <w:vMerge w:val="continue"/>
            <w:tcBorders>
              <w:bottom w:val="single" w:color="auto" w:sz="4" w:space="0"/>
            </w:tcBorders>
          </w:tcPr>
          <w:p w14:paraId="450F0F98">
            <w:pPr>
              <w:pStyle w:val="13"/>
              <w:snapToGrid w:val="0"/>
              <w:spacing w:line="360" w:lineRule="auto"/>
              <w:rPr>
                <w:rFonts w:ascii="仿宋" w:hAnsi="仿宋" w:eastAsia="仿宋" w:cs="仿宋"/>
                <w:color w:val="auto"/>
                <w:sz w:val="24"/>
                <w:szCs w:val="24"/>
                <w:highlight w:val="none"/>
              </w:rPr>
            </w:pPr>
          </w:p>
        </w:tc>
        <w:tc>
          <w:tcPr>
            <w:tcW w:w="1515" w:type="dxa"/>
            <w:gridSpan w:val="2"/>
            <w:tcBorders>
              <w:bottom w:val="single" w:color="auto" w:sz="4" w:space="0"/>
            </w:tcBorders>
            <w:vAlign w:val="center"/>
          </w:tcPr>
          <w:p w14:paraId="5324881E">
            <w:pPr>
              <w:pStyle w:val="13"/>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2021</w:t>
            </w:r>
          </w:p>
        </w:tc>
        <w:tc>
          <w:tcPr>
            <w:tcW w:w="3176" w:type="dxa"/>
            <w:gridSpan w:val="2"/>
            <w:tcBorders>
              <w:bottom w:val="single" w:color="auto" w:sz="4" w:space="0"/>
            </w:tcBorders>
            <w:vAlign w:val="center"/>
          </w:tcPr>
          <w:p w14:paraId="2CB8BAAF">
            <w:pPr>
              <w:pStyle w:val="13"/>
              <w:snapToGrid w:val="0"/>
              <w:spacing w:line="360" w:lineRule="auto"/>
              <w:jc w:val="center"/>
              <w:rPr>
                <w:rFonts w:ascii="仿宋" w:hAnsi="仿宋" w:eastAsia="仿宋" w:cs="仿宋"/>
                <w:color w:val="auto"/>
                <w:sz w:val="24"/>
                <w:szCs w:val="24"/>
                <w:highlight w:val="none"/>
              </w:rPr>
            </w:pPr>
          </w:p>
        </w:tc>
        <w:tc>
          <w:tcPr>
            <w:tcW w:w="3511" w:type="dxa"/>
            <w:gridSpan w:val="3"/>
            <w:tcBorders>
              <w:bottom w:val="single" w:color="auto" w:sz="4" w:space="0"/>
            </w:tcBorders>
            <w:vAlign w:val="center"/>
          </w:tcPr>
          <w:p w14:paraId="590429E0">
            <w:pPr>
              <w:pStyle w:val="13"/>
              <w:snapToGrid w:val="0"/>
              <w:spacing w:line="360" w:lineRule="auto"/>
              <w:jc w:val="center"/>
              <w:rPr>
                <w:rFonts w:ascii="仿宋" w:hAnsi="仿宋" w:eastAsia="仿宋" w:cs="仿宋"/>
                <w:color w:val="auto"/>
                <w:sz w:val="24"/>
                <w:szCs w:val="24"/>
                <w:highlight w:val="none"/>
              </w:rPr>
            </w:pPr>
          </w:p>
        </w:tc>
      </w:tr>
      <w:tr w14:paraId="7F725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483" w:type="dxa"/>
            <w:vMerge w:val="continue"/>
          </w:tcPr>
          <w:p w14:paraId="03659C4B">
            <w:pPr>
              <w:pStyle w:val="13"/>
              <w:snapToGrid w:val="0"/>
              <w:spacing w:line="360" w:lineRule="auto"/>
              <w:rPr>
                <w:rFonts w:ascii="仿宋" w:hAnsi="仿宋" w:eastAsia="仿宋" w:cs="仿宋"/>
                <w:color w:val="auto"/>
                <w:sz w:val="24"/>
                <w:szCs w:val="24"/>
                <w:highlight w:val="none"/>
              </w:rPr>
            </w:pPr>
          </w:p>
        </w:tc>
        <w:tc>
          <w:tcPr>
            <w:tcW w:w="1515" w:type="dxa"/>
            <w:gridSpan w:val="2"/>
            <w:vAlign w:val="center"/>
          </w:tcPr>
          <w:p w14:paraId="4E180B7B">
            <w:pPr>
              <w:pStyle w:val="13"/>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2022</w:t>
            </w:r>
          </w:p>
        </w:tc>
        <w:tc>
          <w:tcPr>
            <w:tcW w:w="3176" w:type="dxa"/>
            <w:gridSpan w:val="2"/>
            <w:vAlign w:val="center"/>
          </w:tcPr>
          <w:p w14:paraId="6EA30E39">
            <w:pPr>
              <w:pStyle w:val="13"/>
              <w:snapToGrid w:val="0"/>
              <w:spacing w:line="360" w:lineRule="auto"/>
              <w:jc w:val="center"/>
              <w:rPr>
                <w:rFonts w:ascii="仿宋" w:hAnsi="仿宋" w:eastAsia="仿宋" w:cs="仿宋"/>
                <w:color w:val="auto"/>
                <w:sz w:val="24"/>
                <w:szCs w:val="24"/>
                <w:highlight w:val="none"/>
              </w:rPr>
            </w:pPr>
          </w:p>
        </w:tc>
        <w:tc>
          <w:tcPr>
            <w:tcW w:w="3511" w:type="dxa"/>
            <w:gridSpan w:val="3"/>
            <w:vAlign w:val="center"/>
          </w:tcPr>
          <w:p w14:paraId="0863E123">
            <w:pPr>
              <w:pStyle w:val="13"/>
              <w:snapToGrid w:val="0"/>
              <w:spacing w:line="360" w:lineRule="auto"/>
              <w:jc w:val="center"/>
              <w:rPr>
                <w:rFonts w:ascii="仿宋" w:hAnsi="仿宋" w:eastAsia="仿宋" w:cs="仿宋"/>
                <w:color w:val="auto"/>
                <w:sz w:val="24"/>
                <w:szCs w:val="24"/>
                <w:highlight w:val="none"/>
              </w:rPr>
            </w:pPr>
          </w:p>
        </w:tc>
      </w:tr>
      <w:tr w14:paraId="29726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483" w:type="dxa"/>
            <w:vMerge w:val="continue"/>
          </w:tcPr>
          <w:p w14:paraId="03D55675">
            <w:pPr>
              <w:pStyle w:val="13"/>
              <w:snapToGrid w:val="0"/>
              <w:spacing w:line="360" w:lineRule="auto"/>
              <w:rPr>
                <w:rFonts w:ascii="仿宋" w:hAnsi="仿宋" w:eastAsia="仿宋" w:cs="仿宋"/>
                <w:color w:val="auto"/>
                <w:sz w:val="24"/>
                <w:szCs w:val="24"/>
                <w:highlight w:val="none"/>
              </w:rPr>
            </w:pPr>
          </w:p>
        </w:tc>
        <w:tc>
          <w:tcPr>
            <w:tcW w:w="1515" w:type="dxa"/>
            <w:gridSpan w:val="2"/>
            <w:vAlign w:val="center"/>
          </w:tcPr>
          <w:p w14:paraId="1271E368">
            <w:pPr>
              <w:pStyle w:val="13"/>
              <w:snapToGrid w:val="0"/>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2023</w:t>
            </w:r>
          </w:p>
        </w:tc>
        <w:tc>
          <w:tcPr>
            <w:tcW w:w="3176" w:type="dxa"/>
            <w:gridSpan w:val="2"/>
            <w:vAlign w:val="center"/>
          </w:tcPr>
          <w:p w14:paraId="251FE216">
            <w:pPr>
              <w:pStyle w:val="13"/>
              <w:snapToGrid w:val="0"/>
              <w:spacing w:line="360" w:lineRule="auto"/>
              <w:jc w:val="center"/>
              <w:rPr>
                <w:rFonts w:ascii="仿宋" w:hAnsi="仿宋" w:eastAsia="仿宋" w:cs="仿宋"/>
                <w:color w:val="auto"/>
                <w:sz w:val="24"/>
                <w:szCs w:val="24"/>
                <w:highlight w:val="none"/>
              </w:rPr>
            </w:pPr>
          </w:p>
        </w:tc>
        <w:tc>
          <w:tcPr>
            <w:tcW w:w="3511" w:type="dxa"/>
            <w:gridSpan w:val="3"/>
            <w:vAlign w:val="center"/>
          </w:tcPr>
          <w:p w14:paraId="3A94CA18">
            <w:pPr>
              <w:pStyle w:val="13"/>
              <w:snapToGrid w:val="0"/>
              <w:spacing w:line="360" w:lineRule="auto"/>
              <w:jc w:val="center"/>
              <w:rPr>
                <w:rFonts w:ascii="仿宋" w:hAnsi="仿宋" w:eastAsia="仿宋" w:cs="仿宋"/>
                <w:color w:val="auto"/>
                <w:sz w:val="24"/>
                <w:szCs w:val="24"/>
                <w:highlight w:val="none"/>
              </w:rPr>
            </w:pPr>
          </w:p>
        </w:tc>
      </w:tr>
    </w:tbl>
    <w:p w14:paraId="5C0CDB7D">
      <w:pPr>
        <w:spacing w:line="360" w:lineRule="auto"/>
        <w:rPr>
          <w:rStyle w:val="34"/>
          <w:rFonts w:ascii="仿宋" w:hAnsi="仿宋" w:eastAsia="仿宋" w:cs="仿宋"/>
          <w:color w:val="auto"/>
          <w:szCs w:val="21"/>
          <w:highlight w:val="none"/>
        </w:rPr>
      </w:pPr>
    </w:p>
    <w:p w14:paraId="043BF01A">
      <w:pPr>
        <w:spacing w:line="360" w:lineRule="auto"/>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法定代表人或其委托代理人（电子签章或签字）：                日   期：</w:t>
      </w:r>
    </w:p>
    <w:p w14:paraId="75715592">
      <w:pPr>
        <w:spacing w:line="360" w:lineRule="auto"/>
        <w:rPr>
          <w:rStyle w:val="34"/>
          <w:rFonts w:ascii="仿宋" w:hAnsi="仿宋" w:eastAsia="仿宋" w:cs="仿宋"/>
          <w:color w:val="auto"/>
          <w:szCs w:val="21"/>
          <w:highlight w:val="none"/>
        </w:rPr>
      </w:pPr>
    </w:p>
    <w:p w14:paraId="6601B5A1">
      <w:pPr>
        <w:spacing w:line="360" w:lineRule="auto"/>
        <w:rPr>
          <w:rStyle w:val="34"/>
          <w:rFonts w:ascii="仿宋" w:hAnsi="仿宋" w:eastAsia="仿宋" w:cs="仿宋"/>
          <w:color w:val="auto"/>
          <w:szCs w:val="21"/>
          <w:highlight w:val="none"/>
        </w:rPr>
      </w:pPr>
      <w:r>
        <w:rPr>
          <w:rStyle w:val="34"/>
          <w:rFonts w:hint="eastAsia" w:ascii="仿宋" w:hAnsi="仿宋" w:eastAsia="仿宋" w:cs="仿宋"/>
          <w:b/>
          <w:color w:val="auto"/>
          <w:szCs w:val="21"/>
          <w:highlight w:val="none"/>
        </w:rPr>
        <w:t>注：</w:t>
      </w:r>
      <w:r>
        <w:rPr>
          <w:rStyle w:val="34"/>
          <w:rFonts w:hint="eastAsia" w:ascii="仿宋" w:hAnsi="仿宋" w:eastAsia="仿宋" w:cs="仿宋"/>
          <w:b/>
          <w:bCs/>
          <w:color w:val="auto"/>
          <w:szCs w:val="21"/>
          <w:highlight w:val="none"/>
        </w:rPr>
        <w:t>本表格中的具体内容供应商可根据实际情况进行修改，但应包含上述内容。</w:t>
      </w:r>
    </w:p>
    <w:p w14:paraId="114B41CC">
      <w:pPr>
        <w:pStyle w:val="28"/>
        <w:jc w:val="both"/>
        <w:rPr>
          <w:rStyle w:val="34"/>
          <w:rFonts w:ascii="仿宋" w:hAnsi="仿宋" w:eastAsia="仿宋" w:cs="仿宋"/>
          <w:color w:val="auto"/>
          <w:sz w:val="24"/>
          <w:szCs w:val="24"/>
          <w:highlight w:val="none"/>
        </w:rPr>
      </w:pPr>
      <w:r>
        <w:rPr>
          <w:rStyle w:val="34"/>
          <w:rFonts w:hint="eastAsia" w:ascii="仿宋" w:hAnsi="仿宋" w:eastAsia="仿宋" w:cs="仿宋"/>
          <w:color w:val="auto"/>
          <w:sz w:val="24"/>
          <w:szCs w:val="24"/>
          <w:highlight w:val="none"/>
        </w:rPr>
        <w:t>附件六</w:t>
      </w:r>
    </w:p>
    <w:p w14:paraId="392109A3">
      <w:pPr>
        <w:spacing w:before="260" w:after="260" w:line="360" w:lineRule="auto"/>
        <w:jc w:val="center"/>
        <w:rPr>
          <w:rStyle w:val="34"/>
          <w:rFonts w:ascii="仿宋" w:hAnsi="仿宋" w:eastAsia="仿宋" w:cs="仿宋"/>
          <w:bCs/>
          <w:color w:val="auto"/>
          <w:sz w:val="32"/>
          <w:szCs w:val="32"/>
          <w:highlight w:val="none"/>
        </w:rPr>
      </w:pPr>
      <w:r>
        <w:rPr>
          <w:rStyle w:val="34"/>
          <w:rFonts w:hint="eastAsia" w:ascii="仿宋" w:hAnsi="仿宋" w:eastAsia="仿宋" w:cs="仿宋"/>
          <w:b/>
          <w:bCs/>
          <w:color w:val="auto"/>
          <w:kern w:val="0"/>
          <w:sz w:val="32"/>
          <w:szCs w:val="32"/>
          <w:highlight w:val="none"/>
        </w:rPr>
        <w:t>资格证明文件</w:t>
      </w:r>
    </w:p>
    <w:p w14:paraId="36D36C9E">
      <w:pPr>
        <w:spacing w:line="360" w:lineRule="auto"/>
        <w:ind w:firstLine="630" w:firstLineChars="300"/>
        <w:jc w:val="left"/>
        <w:rPr>
          <w:rStyle w:val="34"/>
          <w:rFonts w:hint="eastAsia"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① 营业执照副本；</w:t>
      </w:r>
    </w:p>
    <w:p w14:paraId="1E254D1F">
      <w:pPr>
        <w:spacing w:line="360" w:lineRule="auto"/>
        <w:ind w:firstLine="630" w:firstLineChars="300"/>
        <w:jc w:val="left"/>
        <w:rPr>
          <w:rStyle w:val="34"/>
          <w:rFonts w:hint="eastAsia"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② 具有履行合同所必需的设备和专业技术能力声明书；</w:t>
      </w:r>
    </w:p>
    <w:p w14:paraId="203DFADA">
      <w:pPr>
        <w:spacing w:line="360" w:lineRule="auto"/>
        <w:ind w:firstLine="630" w:firstLineChars="300"/>
        <w:jc w:val="left"/>
        <w:rPr>
          <w:rStyle w:val="34"/>
          <w:rFonts w:hint="eastAsia"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③ 2024年度任意一个月已缴纳税收的证明材料；</w:t>
      </w:r>
    </w:p>
    <w:p w14:paraId="2FD2A249">
      <w:pPr>
        <w:spacing w:line="360" w:lineRule="auto"/>
        <w:ind w:firstLine="630" w:firstLineChars="300"/>
        <w:jc w:val="left"/>
        <w:rPr>
          <w:rStyle w:val="34"/>
          <w:rFonts w:hint="eastAsia"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④ 2024年度任意一个月已缴纳社会保障资金的证明材料；</w:t>
      </w:r>
    </w:p>
    <w:p w14:paraId="412E96CF">
      <w:pPr>
        <w:spacing w:line="360" w:lineRule="auto"/>
        <w:ind w:firstLine="630" w:firstLineChars="300"/>
        <w:jc w:val="left"/>
        <w:rPr>
          <w:rStyle w:val="34"/>
          <w:rFonts w:hint="eastAsia"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⑤ 廉政承诺</w:t>
      </w:r>
      <w:r>
        <w:rPr>
          <w:rStyle w:val="34"/>
          <w:rFonts w:hint="eastAsia" w:ascii="仿宋" w:hAnsi="仿宋" w:eastAsia="仿宋" w:cs="仿宋"/>
          <w:color w:val="auto"/>
          <w:kern w:val="0"/>
          <w:szCs w:val="21"/>
          <w:highlight w:val="none"/>
          <w:lang w:eastAsia="zh-CN"/>
        </w:rPr>
        <w:t>（</w:t>
      </w:r>
      <w:r>
        <w:rPr>
          <w:rStyle w:val="34"/>
          <w:rFonts w:hint="eastAsia" w:ascii="仿宋" w:hAnsi="仿宋" w:eastAsia="仿宋" w:cs="仿宋"/>
          <w:color w:val="auto"/>
          <w:kern w:val="0"/>
          <w:szCs w:val="21"/>
          <w:highlight w:val="none"/>
          <w:lang w:val="en-US" w:eastAsia="zh-CN"/>
        </w:rPr>
        <w:t>附件A</w:t>
      </w:r>
      <w:r>
        <w:rPr>
          <w:rStyle w:val="34"/>
          <w:rFonts w:hint="eastAsia" w:ascii="仿宋" w:hAnsi="仿宋" w:eastAsia="仿宋" w:cs="仿宋"/>
          <w:color w:val="auto"/>
          <w:kern w:val="0"/>
          <w:szCs w:val="21"/>
          <w:highlight w:val="none"/>
          <w:lang w:eastAsia="zh-CN"/>
        </w:rPr>
        <w:t>）</w:t>
      </w:r>
      <w:r>
        <w:rPr>
          <w:rStyle w:val="34"/>
          <w:rFonts w:hint="eastAsia" w:ascii="仿宋" w:hAnsi="仿宋" w:eastAsia="仿宋" w:cs="仿宋"/>
          <w:color w:val="auto"/>
          <w:kern w:val="0"/>
          <w:szCs w:val="21"/>
          <w:highlight w:val="none"/>
        </w:rPr>
        <w:t>；</w:t>
      </w:r>
    </w:p>
    <w:p w14:paraId="09C9ACC9">
      <w:pPr>
        <w:spacing w:line="360" w:lineRule="auto"/>
        <w:ind w:firstLine="630" w:firstLineChars="300"/>
        <w:jc w:val="left"/>
        <w:rPr>
          <w:rStyle w:val="34"/>
          <w:rFonts w:hint="eastAsia"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⑥ 信誉承诺；</w:t>
      </w:r>
    </w:p>
    <w:p w14:paraId="67707583">
      <w:pPr>
        <w:spacing w:line="360" w:lineRule="auto"/>
        <w:ind w:firstLine="630" w:firstLineChars="300"/>
        <w:jc w:val="left"/>
        <w:rPr>
          <w:rStyle w:val="34"/>
          <w:rFonts w:hint="eastAsia"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⑦ 近三年（2021年-2023年）经非本单位专业审计机构审计的财务报表及审计报告；公司成立不满三年的，提供成立后的非本单位专业审计机构审计的财务报表及审计报告；成立不满1年的，无需提供上述证明材料；事业单位提供会计报表；</w:t>
      </w:r>
    </w:p>
    <w:p w14:paraId="13C805D5">
      <w:pPr>
        <w:spacing w:line="360" w:lineRule="auto"/>
        <w:ind w:firstLine="630" w:firstLineChars="300"/>
        <w:jc w:val="left"/>
        <w:rPr>
          <w:rStyle w:val="34"/>
          <w:rFonts w:hint="eastAsia"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rPr>
        <w:t>⑧ 公共资源招标投标事前信用承诺书</w:t>
      </w:r>
      <w:r>
        <w:rPr>
          <w:rStyle w:val="34"/>
          <w:rFonts w:hint="eastAsia" w:ascii="仿宋" w:hAnsi="仿宋" w:eastAsia="仿宋" w:cs="仿宋"/>
          <w:color w:val="auto"/>
          <w:kern w:val="0"/>
          <w:szCs w:val="21"/>
          <w:highlight w:val="none"/>
          <w:lang w:eastAsia="zh-CN"/>
        </w:rPr>
        <w:t>（</w:t>
      </w:r>
      <w:r>
        <w:rPr>
          <w:rStyle w:val="34"/>
          <w:rFonts w:hint="eastAsia" w:ascii="仿宋" w:hAnsi="仿宋" w:eastAsia="仿宋" w:cs="仿宋"/>
          <w:color w:val="auto"/>
          <w:kern w:val="0"/>
          <w:szCs w:val="21"/>
          <w:highlight w:val="none"/>
          <w:lang w:val="en-US" w:eastAsia="zh-CN"/>
        </w:rPr>
        <w:t>附件B</w:t>
      </w:r>
      <w:r>
        <w:rPr>
          <w:rStyle w:val="34"/>
          <w:rFonts w:hint="eastAsia" w:ascii="仿宋" w:hAnsi="仿宋" w:eastAsia="仿宋" w:cs="仿宋"/>
          <w:color w:val="auto"/>
          <w:kern w:val="0"/>
          <w:szCs w:val="21"/>
          <w:highlight w:val="none"/>
          <w:lang w:eastAsia="zh-CN"/>
        </w:rPr>
        <w:t>）</w:t>
      </w:r>
      <w:r>
        <w:rPr>
          <w:rStyle w:val="34"/>
          <w:rFonts w:hint="eastAsia" w:ascii="仿宋" w:hAnsi="仿宋" w:eastAsia="仿宋" w:cs="仿宋"/>
          <w:color w:val="auto"/>
          <w:kern w:val="0"/>
          <w:szCs w:val="21"/>
          <w:highlight w:val="none"/>
        </w:rPr>
        <w:t>；</w:t>
      </w:r>
    </w:p>
    <w:p w14:paraId="1A91F904">
      <w:pPr>
        <w:spacing w:line="360" w:lineRule="auto"/>
        <w:ind w:firstLine="630" w:firstLineChars="300"/>
        <w:jc w:val="left"/>
        <w:rPr>
          <w:rStyle w:val="34"/>
          <w:rFonts w:hint="eastAsia" w:ascii="仿宋" w:hAnsi="仿宋" w:eastAsia="仿宋" w:cs="仿宋"/>
          <w:color w:val="auto"/>
          <w:kern w:val="0"/>
          <w:szCs w:val="21"/>
          <w:highlight w:val="none"/>
        </w:rPr>
      </w:pPr>
      <w:r>
        <w:rPr>
          <w:rStyle w:val="34"/>
          <w:rFonts w:hint="eastAsia" w:ascii="仿宋" w:hAnsi="仿宋" w:eastAsia="仿宋" w:cs="仿宋"/>
          <w:color w:val="auto"/>
          <w:kern w:val="0"/>
          <w:szCs w:val="21"/>
          <w:highlight w:val="none"/>
          <w:lang w:val="en-US" w:eastAsia="zh-CN"/>
        </w:rPr>
        <w:t>⑨</w:t>
      </w:r>
      <w:r>
        <w:rPr>
          <w:rStyle w:val="34"/>
          <w:rFonts w:hint="eastAsia" w:ascii="仿宋" w:hAnsi="仿宋" w:eastAsia="仿宋" w:cs="仿宋"/>
          <w:color w:val="auto"/>
          <w:kern w:val="0"/>
          <w:szCs w:val="21"/>
          <w:highlight w:val="none"/>
        </w:rPr>
        <w:t xml:space="preserve"> </w:t>
      </w:r>
      <w:r>
        <w:rPr>
          <w:rStyle w:val="34"/>
          <w:rFonts w:hint="eastAsia" w:ascii="仿宋" w:hAnsi="仿宋" w:eastAsia="仿宋" w:cs="仿宋"/>
          <w:color w:val="auto"/>
          <w:kern w:val="0"/>
          <w:szCs w:val="21"/>
          <w:highlight w:val="none"/>
          <w:lang w:val="en-US" w:eastAsia="zh-CN"/>
        </w:rPr>
        <w:t>供应商</w:t>
      </w:r>
      <w:r>
        <w:rPr>
          <w:rStyle w:val="34"/>
          <w:rFonts w:hint="eastAsia" w:ascii="仿宋" w:hAnsi="仿宋" w:eastAsia="仿宋" w:cs="仿宋"/>
          <w:color w:val="auto"/>
          <w:kern w:val="0"/>
          <w:szCs w:val="21"/>
          <w:highlight w:val="none"/>
        </w:rPr>
        <w:t>承诺书</w:t>
      </w:r>
      <w:r>
        <w:rPr>
          <w:rStyle w:val="34"/>
          <w:rFonts w:hint="eastAsia" w:ascii="仿宋" w:hAnsi="仿宋" w:eastAsia="仿宋" w:cs="仿宋"/>
          <w:color w:val="auto"/>
          <w:kern w:val="0"/>
          <w:szCs w:val="21"/>
          <w:highlight w:val="none"/>
          <w:lang w:eastAsia="zh-CN"/>
        </w:rPr>
        <w:t>（</w:t>
      </w:r>
      <w:r>
        <w:rPr>
          <w:rStyle w:val="34"/>
          <w:rFonts w:hint="eastAsia" w:ascii="仿宋" w:hAnsi="仿宋" w:eastAsia="仿宋" w:cs="仿宋"/>
          <w:color w:val="auto"/>
          <w:kern w:val="0"/>
          <w:szCs w:val="21"/>
          <w:highlight w:val="none"/>
          <w:lang w:val="en-US" w:eastAsia="zh-CN"/>
        </w:rPr>
        <w:t>附件C</w:t>
      </w:r>
      <w:r>
        <w:rPr>
          <w:rStyle w:val="34"/>
          <w:rFonts w:hint="eastAsia" w:ascii="仿宋" w:hAnsi="仿宋" w:eastAsia="仿宋" w:cs="仿宋"/>
          <w:color w:val="auto"/>
          <w:kern w:val="0"/>
          <w:szCs w:val="21"/>
          <w:highlight w:val="none"/>
          <w:lang w:eastAsia="zh-CN"/>
        </w:rPr>
        <w:t>）</w:t>
      </w:r>
      <w:r>
        <w:rPr>
          <w:rStyle w:val="34"/>
          <w:rFonts w:hint="eastAsia" w:ascii="仿宋" w:hAnsi="仿宋" w:eastAsia="仿宋" w:cs="仿宋"/>
          <w:color w:val="auto"/>
          <w:kern w:val="0"/>
          <w:szCs w:val="21"/>
          <w:highlight w:val="none"/>
        </w:rPr>
        <w:t>；</w:t>
      </w:r>
    </w:p>
    <w:p w14:paraId="772140A7">
      <w:pPr>
        <w:spacing w:line="360" w:lineRule="auto"/>
        <w:ind w:firstLine="630" w:firstLineChars="300"/>
        <w:jc w:val="left"/>
        <w:rPr>
          <w:rStyle w:val="34"/>
          <w:rFonts w:ascii="仿宋" w:hAnsi="仿宋" w:eastAsia="仿宋" w:cs="仿宋"/>
          <w:bCs/>
          <w:color w:val="auto"/>
          <w:kern w:val="0"/>
          <w:szCs w:val="21"/>
          <w:highlight w:val="none"/>
        </w:rPr>
      </w:pPr>
      <w:r>
        <w:rPr>
          <w:rStyle w:val="34"/>
          <w:rFonts w:hint="eastAsia" w:ascii="仿宋" w:hAnsi="仿宋" w:eastAsia="仿宋" w:cs="仿宋"/>
          <w:color w:val="auto"/>
          <w:kern w:val="0"/>
          <w:szCs w:val="21"/>
          <w:highlight w:val="none"/>
        </w:rPr>
        <w:t>⑩ 竞争性磋商文件中需要供应商提交的其他资格证明文件。</w:t>
      </w:r>
    </w:p>
    <w:p w14:paraId="23C82073">
      <w:pPr>
        <w:spacing w:before="260" w:after="260" w:line="360" w:lineRule="auto"/>
        <w:jc w:val="left"/>
        <w:rPr>
          <w:rStyle w:val="34"/>
          <w:rFonts w:ascii="仿宋" w:hAnsi="仿宋" w:eastAsia="仿宋" w:cs="仿宋"/>
          <w:bCs/>
          <w:color w:val="auto"/>
          <w:kern w:val="0"/>
          <w:szCs w:val="21"/>
          <w:highlight w:val="none"/>
        </w:rPr>
      </w:pPr>
    </w:p>
    <w:p w14:paraId="02109369">
      <w:pPr>
        <w:spacing w:before="260" w:after="260" w:line="360" w:lineRule="auto"/>
        <w:jc w:val="left"/>
        <w:rPr>
          <w:rStyle w:val="34"/>
          <w:rFonts w:ascii="仿宋" w:hAnsi="仿宋" w:eastAsia="仿宋" w:cs="仿宋"/>
          <w:bCs/>
          <w:color w:val="auto"/>
          <w:kern w:val="0"/>
          <w:szCs w:val="21"/>
          <w:highlight w:val="none"/>
        </w:rPr>
      </w:pPr>
    </w:p>
    <w:p w14:paraId="6EB9C46A">
      <w:pPr>
        <w:pStyle w:val="30"/>
        <w:rPr>
          <w:rStyle w:val="34"/>
          <w:rFonts w:ascii="仿宋" w:hAnsi="仿宋" w:eastAsia="仿宋" w:cs="仿宋"/>
          <w:color w:val="auto"/>
          <w:highlight w:val="none"/>
        </w:rPr>
      </w:pPr>
    </w:p>
    <w:p w14:paraId="0A857496">
      <w:pPr>
        <w:pStyle w:val="31"/>
        <w:spacing w:line="360" w:lineRule="auto"/>
        <w:rPr>
          <w:rStyle w:val="34"/>
          <w:rFonts w:ascii="仿宋" w:hAnsi="仿宋" w:eastAsia="仿宋" w:cs="仿宋"/>
          <w:color w:val="auto"/>
          <w:sz w:val="24"/>
          <w:szCs w:val="24"/>
          <w:highlight w:val="none"/>
        </w:rPr>
      </w:pPr>
      <w:r>
        <w:rPr>
          <w:rStyle w:val="34"/>
          <w:rFonts w:ascii="仿宋" w:hAnsi="仿宋" w:eastAsia="仿宋" w:cs="仿宋"/>
          <w:color w:val="auto"/>
          <w:sz w:val="24"/>
          <w:szCs w:val="24"/>
          <w:highlight w:val="none"/>
        </w:rPr>
        <w:br w:type="page"/>
      </w:r>
      <w:r>
        <w:rPr>
          <w:rStyle w:val="34"/>
          <w:rFonts w:hint="eastAsia" w:ascii="仿宋" w:hAnsi="仿宋" w:eastAsia="仿宋" w:cs="仿宋"/>
          <w:color w:val="auto"/>
          <w:sz w:val="24"/>
          <w:szCs w:val="24"/>
          <w:highlight w:val="none"/>
        </w:rPr>
        <w:t>附件A</w:t>
      </w:r>
    </w:p>
    <w:p w14:paraId="64263C5E">
      <w:pPr>
        <w:pStyle w:val="31"/>
        <w:spacing w:line="360" w:lineRule="auto"/>
        <w:jc w:val="center"/>
        <w:rPr>
          <w:rStyle w:val="34"/>
          <w:rFonts w:ascii="仿宋" w:hAnsi="仿宋" w:eastAsia="仿宋" w:cs="仿宋"/>
          <w:bCs w:val="0"/>
          <w:color w:val="auto"/>
          <w:sz w:val="30"/>
          <w:szCs w:val="30"/>
          <w:highlight w:val="none"/>
        </w:rPr>
      </w:pPr>
      <w:r>
        <w:rPr>
          <w:rStyle w:val="34"/>
          <w:rFonts w:hint="eastAsia" w:ascii="仿宋" w:hAnsi="仿宋" w:eastAsia="仿宋" w:cs="仿宋"/>
          <w:bCs w:val="0"/>
          <w:color w:val="auto"/>
          <w:sz w:val="30"/>
          <w:szCs w:val="30"/>
          <w:highlight w:val="none"/>
        </w:rPr>
        <w:t>廉政承诺</w:t>
      </w:r>
    </w:p>
    <w:p w14:paraId="65D0EABA">
      <w:pPr>
        <w:jc w:val="center"/>
        <w:rPr>
          <w:rStyle w:val="34"/>
          <w:rFonts w:ascii="仿宋" w:hAnsi="仿宋" w:eastAsia="仿宋" w:cs="仿宋"/>
          <w:bCs/>
          <w:color w:val="auto"/>
          <w:spacing w:val="40"/>
          <w:sz w:val="30"/>
          <w:szCs w:val="30"/>
          <w:highlight w:val="none"/>
        </w:rPr>
      </w:pPr>
      <w:r>
        <w:rPr>
          <w:rStyle w:val="34"/>
          <w:rFonts w:hint="eastAsia" w:ascii="仿宋" w:hAnsi="仿宋" w:eastAsia="仿宋" w:cs="仿宋"/>
          <w:bCs/>
          <w:color w:val="auto"/>
          <w:spacing w:val="40"/>
          <w:sz w:val="30"/>
          <w:szCs w:val="30"/>
          <w:highlight w:val="none"/>
        </w:rPr>
        <w:t>承诺书</w:t>
      </w:r>
    </w:p>
    <w:p w14:paraId="3548F0FC">
      <w:pPr>
        <w:jc w:val="center"/>
        <w:rPr>
          <w:rStyle w:val="34"/>
          <w:rFonts w:ascii="仿宋" w:hAnsi="仿宋" w:eastAsia="仿宋" w:cs="仿宋"/>
          <w:b/>
          <w:bCs/>
          <w:color w:val="auto"/>
          <w:spacing w:val="40"/>
          <w:szCs w:val="21"/>
          <w:highlight w:val="none"/>
        </w:rPr>
      </w:pPr>
    </w:p>
    <w:p w14:paraId="38F41905">
      <w:pPr>
        <w:spacing w:line="360" w:lineRule="auto"/>
        <w:ind w:firstLine="420" w:firstLineChars="200"/>
        <w:rPr>
          <w:rStyle w:val="34"/>
          <w:rFonts w:ascii="仿宋" w:hAnsi="仿宋" w:eastAsia="仿宋" w:cs="仿宋"/>
          <w:color w:val="auto"/>
          <w:szCs w:val="21"/>
          <w:highlight w:val="none"/>
        </w:rPr>
      </w:pPr>
      <w:r>
        <w:rPr>
          <w:rFonts w:hint="eastAsia" w:ascii="仿宋" w:hAnsi="仿宋" w:eastAsia="仿宋" w:cs="仿宋"/>
          <w:color w:val="auto"/>
          <w:szCs w:val="21"/>
          <w:highlight w:val="none"/>
        </w:rPr>
        <w:t>本企业参与</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项目的投标，现作如下承诺：</w:t>
      </w:r>
    </w:p>
    <w:p w14:paraId="2B252193">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1、我公司参与此次投标活动所提交的所有资料都是合法、真实、有效的。</w:t>
      </w:r>
    </w:p>
    <w:p w14:paraId="78EC4CB7">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2、不与其他供应商串通投标、围标，依法、依规公平竞争，不损害采购人或其他供应商合法权益。</w:t>
      </w:r>
    </w:p>
    <w:p w14:paraId="1AD08E49">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3、不转让、出租、出借资质证书、人员岗位证书，不以法律、法规禁止的方式投标。</w:t>
      </w:r>
    </w:p>
    <w:p w14:paraId="54E5D07E">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4、不与采购人或招标代理机构串通投标，不损害国家利益、社会公共利益或其他当事人的合法权益。</w:t>
      </w:r>
    </w:p>
    <w:p w14:paraId="624AE12F">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5、不向采购人、评标委员会成员、监督人员行贿。</w:t>
      </w:r>
    </w:p>
    <w:p w14:paraId="468B7BED">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6、不扰乱昆明市公共资源交易活动正常秩序。</w:t>
      </w:r>
    </w:p>
    <w:p w14:paraId="257870E2">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7、不进行虚假恶意投诉。</w:t>
      </w:r>
    </w:p>
    <w:p w14:paraId="4F70B596">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8、因违反法律、法规或相关规定被查处的，不干预案件查处。</w:t>
      </w:r>
    </w:p>
    <w:p w14:paraId="00BD7253">
      <w:pPr>
        <w:spacing w:line="360"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如违反以上承诺，甘愿接受公共资源交易监督管理部门、纪检监察机关或司法机关调查处理。违法、违规或不良行为事实成立的，本供应商不再要求退还投标时所提交的磋商保证金，并承担相关责任。给采购人造成损失的，依法承担赔偿责任。</w:t>
      </w:r>
    </w:p>
    <w:p w14:paraId="1C95ADB1">
      <w:pPr>
        <w:spacing w:line="360" w:lineRule="auto"/>
        <w:ind w:firstLine="420" w:firstLineChars="200"/>
        <w:rPr>
          <w:rStyle w:val="34"/>
          <w:rFonts w:ascii="仿宋" w:hAnsi="仿宋" w:eastAsia="仿宋" w:cs="仿宋"/>
          <w:color w:val="auto"/>
          <w:szCs w:val="21"/>
          <w:highlight w:val="none"/>
        </w:rPr>
      </w:pPr>
    </w:p>
    <w:p w14:paraId="79FCD349">
      <w:pPr>
        <w:spacing w:line="360" w:lineRule="auto"/>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供应商：</w:t>
      </w:r>
      <w:r>
        <w:rPr>
          <w:rStyle w:val="34"/>
          <w:rFonts w:hint="eastAsia" w:ascii="仿宋" w:hAnsi="仿宋" w:eastAsia="仿宋" w:cs="仿宋"/>
          <w:color w:val="auto"/>
          <w:szCs w:val="21"/>
          <w:highlight w:val="none"/>
          <w:u w:val="single"/>
        </w:rPr>
        <w:t xml:space="preserve">                            （电子签章或盖章）   </w:t>
      </w:r>
    </w:p>
    <w:p w14:paraId="33495B35">
      <w:pPr>
        <w:spacing w:line="360" w:lineRule="auto"/>
        <w:rPr>
          <w:rStyle w:val="34"/>
          <w:rFonts w:ascii="仿宋" w:hAnsi="仿宋" w:eastAsia="仿宋" w:cs="仿宋"/>
          <w:color w:val="auto"/>
          <w:szCs w:val="21"/>
          <w:highlight w:val="none"/>
        </w:rPr>
      </w:pPr>
    </w:p>
    <w:p w14:paraId="52624B49">
      <w:pPr>
        <w:spacing w:line="360" w:lineRule="auto"/>
        <w:rPr>
          <w:rStyle w:val="34"/>
          <w:rFonts w:ascii="仿宋" w:hAnsi="仿宋" w:eastAsia="仿宋" w:cs="仿宋"/>
          <w:color w:val="auto"/>
          <w:highlight w:val="none"/>
        </w:rPr>
      </w:pPr>
      <w:r>
        <w:rPr>
          <w:rStyle w:val="34"/>
          <w:rFonts w:hint="eastAsia" w:ascii="仿宋" w:hAnsi="仿宋" w:eastAsia="仿宋" w:cs="仿宋"/>
          <w:color w:val="auto"/>
          <w:szCs w:val="21"/>
          <w:highlight w:val="none"/>
        </w:rPr>
        <w:t>法定代表人或其委托代理人：</w:t>
      </w:r>
      <w:r>
        <w:rPr>
          <w:rStyle w:val="34"/>
          <w:rFonts w:hint="eastAsia" w:ascii="仿宋" w:hAnsi="仿宋" w:eastAsia="仿宋" w:cs="仿宋"/>
          <w:color w:val="auto"/>
          <w:szCs w:val="21"/>
          <w:highlight w:val="none"/>
          <w:u w:val="single"/>
        </w:rPr>
        <w:t xml:space="preserve">         （电子签章或签字）</w:t>
      </w:r>
    </w:p>
    <w:p w14:paraId="00D8D108">
      <w:pPr>
        <w:spacing w:line="360" w:lineRule="auto"/>
        <w:ind w:firstLine="1050" w:firstLineChars="500"/>
        <w:rPr>
          <w:rStyle w:val="34"/>
          <w:rFonts w:ascii="仿宋" w:hAnsi="仿宋" w:eastAsia="仿宋" w:cs="仿宋"/>
          <w:color w:val="auto"/>
          <w:szCs w:val="21"/>
          <w:highlight w:val="none"/>
        </w:rPr>
      </w:pPr>
    </w:p>
    <w:p w14:paraId="3454FBB2">
      <w:pPr>
        <w:spacing w:line="360" w:lineRule="auto"/>
        <w:rPr>
          <w:rStyle w:val="34"/>
          <w:rFonts w:ascii="仿宋" w:hAnsi="仿宋" w:eastAsia="仿宋" w:cs="仿宋"/>
          <w:color w:val="auto"/>
          <w:szCs w:val="21"/>
          <w:highlight w:val="none"/>
        </w:rPr>
      </w:pPr>
      <w:r>
        <w:rPr>
          <w:rFonts w:hint="eastAsia" w:ascii="仿宋" w:hAnsi="仿宋" w:eastAsia="仿宋" w:cs="仿宋"/>
          <w:color w:val="auto"/>
          <w:szCs w:val="21"/>
          <w:highlight w:val="none"/>
        </w:rPr>
        <w:t>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r>
        <w:rPr>
          <w:rStyle w:val="34"/>
          <w:rFonts w:hint="eastAsia" w:ascii="仿宋" w:hAnsi="仿宋" w:eastAsia="仿宋" w:cs="仿宋"/>
          <w:color w:val="auto"/>
          <w:szCs w:val="21"/>
          <w:highlight w:val="none"/>
        </w:rPr>
        <w:t xml:space="preserve">  </w:t>
      </w:r>
    </w:p>
    <w:p w14:paraId="69631F7E">
      <w:pPr>
        <w:spacing w:line="360" w:lineRule="auto"/>
        <w:ind w:firstLine="1050" w:firstLineChars="500"/>
        <w:rPr>
          <w:rStyle w:val="34"/>
          <w:rFonts w:ascii="仿宋" w:hAnsi="仿宋" w:eastAsia="仿宋" w:cs="仿宋"/>
          <w:color w:val="auto"/>
          <w:szCs w:val="21"/>
          <w:highlight w:val="none"/>
        </w:rPr>
      </w:pPr>
    </w:p>
    <w:p w14:paraId="28A8D817">
      <w:pPr>
        <w:spacing w:line="360" w:lineRule="auto"/>
        <w:ind w:firstLine="1050" w:firstLineChars="500"/>
        <w:rPr>
          <w:rStyle w:val="34"/>
          <w:rFonts w:ascii="仿宋" w:hAnsi="仿宋" w:eastAsia="仿宋" w:cs="仿宋"/>
          <w:color w:val="auto"/>
          <w:szCs w:val="21"/>
          <w:highlight w:val="none"/>
        </w:rPr>
      </w:pPr>
    </w:p>
    <w:p w14:paraId="5D0BFE24">
      <w:pPr>
        <w:spacing w:line="360" w:lineRule="auto"/>
        <w:ind w:firstLine="1050" w:firstLineChars="500"/>
        <w:rPr>
          <w:rStyle w:val="34"/>
          <w:rFonts w:ascii="仿宋" w:hAnsi="仿宋" w:eastAsia="仿宋" w:cs="仿宋"/>
          <w:color w:val="auto"/>
          <w:szCs w:val="21"/>
          <w:highlight w:val="none"/>
        </w:rPr>
      </w:pPr>
    </w:p>
    <w:p w14:paraId="64A0364B">
      <w:pPr>
        <w:pStyle w:val="5"/>
        <w:spacing w:line="360" w:lineRule="auto"/>
        <w:rPr>
          <w:rStyle w:val="34"/>
          <w:rFonts w:ascii="仿宋" w:hAnsi="仿宋" w:eastAsia="仿宋" w:cs="仿宋"/>
          <w:bCs/>
          <w:color w:val="auto"/>
          <w:sz w:val="24"/>
          <w:szCs w:val="24"/>
          <w:highlight w:val="none"/>
          <w:lang w:val="en-US"/>
        </w:rPr>
      </w:pPr>
      <w:r>
        <w:rPr>
          <w:rStyle w:val="34"/>
          <w:rFonts w:hint="eastAsia" w:ascii="仿宋" w:hAnsi="仿宋" w:eastAsia="仿宋" w:cs="仿宋"/>
          <w:bCs/>
          <w:color w:val="auto"/>
          <w:sz w:val="24"/>
          <w:szCs w:val="24"/>
          <w:highlight w:val="none"/>
          <w:lang w:val="en-US"/>
        </w:rPr>
        <w:t>附件B</w:t>
      </w:r>
    </w:p>
    <w:p w14:paraId="3C8E3181">
      <w:pPr>
        <w:spacing w:line="560" w:lineRule="exact"/>
        <w:ind w:right="640"/>
        <w:jc w:val="center"/>
        <w:rPr>
          <w:rStyle w:val="34"/>
          <w:rFonts w:ascii="仿宋" w:hAnsi="仿宋" w:eastAsia="仿宋" w:cs="仿宋"/>
          <w:b/>
          <w:color w:val="auto"/>
          <w:sz w:val="30"/>
          <w:szCs w:val="30"/>
          <w:highlight w:val="none"/>
        </w:rPr>
      </w:pPr>
      <w:r>
        <w:rPr>
          <w:rStyle w:val="34"/>
          <w:rFonts w:hint="eastAsia" w:ascii="仿宋" w:hAnsi="仿宋" w:eastAsia="仿宋" w:cs="仿宋"/>
          <w:b/>
          <w:color w:val="auto"/>
          <w:sz w:val="30"/>
          <w:szCs w:val="30"/>
          <w:highlight w:val="none"/>
        </w:rPr>
        <w:t>公共资源招标投标事前信用承诺书</w:t>
      </w:r>
    </w:p>
    <w:p w14:paraId="4D713645">
      <w:pPr>
        <w:spacing w:line="56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为营造我市公开、公平、公正、诚实守信的公共资源交易环境，树立诚信守法的供应商形象，本人代表本单位作出以下承诺：</w:t>
      </w:r>
    </w:p>
    <w:p w14:paraId="32993F3C">
      <w:pPr>
        <w:spacing w:line="56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63F07C3">
      <w:pPr>
        <w:spacing w:line="56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（二）严格依照国家和省、市关于招标投标的法律、法规、规章、规范性文件，开展公共资源招标投标活动；积极履行社会责任，促进廉政建设；</w:t>
      </w:r>
    </w:p>
    <w:p w14:paraId="4919B529">
      <w:pPr>
        <w:spacing w:line="56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（三）严格遵守即时信息公示规定，及时维护和更新公共资源交易中心电子交易网网员库中信息；</w:t>
      </w:r>
    </w:p>
    <w:p w14:paraId="53EBDA37">
      <w:pPr>
        <w:spacing w:line="56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（四）自我约束、自我管理，守合同、重信用，不参与围标串标、弄虚作假、骗取中标、干扰评标、违约毁约等行为，自觉维护公共资源招标投标的良好秩序；</w:t>
      </w:r>
    </w:p>
    <w:p w14:paraId="528DC192">
      <w:pPr>
        <w:spacing w:line="56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（五）自觉接受政府、行业组织、社会公众、新闻舆论的监督；</w:t>
      </w:r>
    </w:p>
    <w:p w14:paraId="6EA23F34">
      <w:pPr>
        <w:spacing w:line="56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六）本单位自愿接受招标投标综合监督管理机构和有关行政监督部门的依法检查。如发生违法违规或不良行为，自愿接受招标投标综合监督管理机构和有关行政监督部门依法给予的行政处罚（处理），并依法承担赔偿责任和刑事责任；</w:t>
      </w:r>
    </w:p>
    <w:p w14:paraId="74CDB009">
      <w:pPr>
        <w:spacing w:line="56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  （七）本人已认真阅读了上述承诺，并向本单位员工作了宣传教育。</w:t>
      </w:r>
    </w:p>
    <w:p w14:paraId="7F2C67BE">
      <w:pPr>
        <w:spacing w:line="360" w:lineRule="auto"/>
        <w:rPr>
          <w:rStyle w:val="34"/>
          <w:rFonts w:ascii="仿宋" w:hAnsi="仿宋" w:eastAsia="仿宋" w:cs="仿宋"/>
          <w:color w:val="auto"/>
          <w:szCs w:val="21"/>
          <w:highlight w:val="none"/>
        </w:rPr>
      </w:pPr>
    </w:p>
    <w:p w14:paraId="0F00202D">
      <w:pPr>
        <w:spacing w:line="360" w:lineRule="auto"/>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供应商：</w:t>
      </w:r>
      <w:r>
        <w:rPr>
          <w:rStyle w:val="34"/>
          <w:rFonts w:hint="eastAsia" w:ascii="仿宋" w:hAnsi="仿宋" w:eastAsia="仿宋" w:cs="仿宋"/>
          <w:color w:val="auto"/>
          <w:szCs w:val="21"/>
          <w:highlight w:val="none"/>
          <w:u w:val="single"/>
        </w:rPr>
        <w:t xml:space="preserve">                            </w:t>
      </w:r>
      <w:r>
        <w:rPr>
          <w:rStyle w:val="34"/>
          <w:rFonts w:hint="eastAsia" w:ascii="仿宋" w:hAnsi="仿宋" w:eastAsia="仿宋" w:cs="仿宋"/>
          <w:color w:val="auto"/>
          <w:szCs w:val="21"/>
          <w:highlight w:val="none"/>
          <w:u w:val="single"/>
          <w:lang w:eastAsia="zh-CN"/>
        </w:rPr>
        <w:t>（</w:t>
      </w:r>
      <w:r>
        <w:rPr>
          <w:rStyle w:val="34"/>
          <w:rFonts w:hint="eastAsia" w:ascii="仿宋" w:hAnsi="仿宋" w:eastAsia="仿宋" w:cs="仿宋"/>
          <w:color w:val="auto"/>
          <w:szCs w:val="21"/>
          <w:highlight w:val="none"/>
          <w:u w:val="single"/>
        </w:rPr>
        <w:t xml:space="preserve">电子签章或盖章）   </w:t>
      </w:r>
    </w:p>
    <w:p w14:paraId="2418C6BB">
      <w:pPr>
        <w:spacing w:line="360" w:lineRule="auto"/>
        <w:rPr>
          <w:rStyle w:val="34"/>
          <w:rFonts w:ascii="仿宋" w:hAnsi="仿宋" w:eastAsia="仿宋" w:cs="仿宋"/>
          <w:color w:val="auto"/>
          <w:szCs w:val="21"/>
          <w:highlight w:val="none"/>
        </w:rPr>
      </w:pPr>
    </w:p>
    <w:p w14:paraId="6CA83C20">
      <w:pPr>
        <w:spacing w:line="360" w:lineRule="auto"/>
        <w:rPr>
          <w:rStyle w:val="34"/>
          <w:rFonts w:ascii="仿宋" w:hAnsi="仿宋" w:eastAsia="仿宋" w:cs="仿宋"/>
          <w:color w:val="auto"/>
          <w:highlight w:val="none"/>
        </w:rPr>
      </w:pPr>
      <w:r>
        <w:rPr>
          <w:rStyle w:val="34"/>
          <w:rFonts w:hint="eastAsia" w:ascii="仿宋" w:hAnsi="仿宋" w:eastAsia="仿宋" w:cs="仿宋"/>
          <w:color w:val="auto"/>
          <w:szCs w:val="21"/>
          <w:highlight w:val="none"/>
        </w:rPr>
        <w:t>法定代表人或其委托代理人：</w:t>
      </w:r>
      <w:r>
        <w:rPr>
          <w:rStyle w:val="34"/>
          <w:rFonts w:hint="eastAsia" w:ascii="仿宋" w:hAnsi="仿宋" w:eastAsia="仿宋" w:cs="仿宋"/>
          <w:color w:val="auto"/>
          <w:szCs w:val="21"/>
          <w:highlight w:val="none"/>
          <w:u w:val="single"/>
        </w:rPr>
        <w:t xml:space="preserve">         （电子签章或签字）</w:t>
      </w:r>
    </w:p>
    <w:p w14:paraId="4BC3ABAD">
      <w:pPr>
        <w:spacing w:line="360" w:lineRule="auto"/>
        <w:ind w:firstLine="1050" w:firstLineChars="500"/>
        <w:rPr>
          <w:rStyle w:val="34"/>
          <w:rFonts w:ascii="仿宋" w:hAnsi="仿宋" w:eastAsia="仿宋" w:cs="仿宋"/>
          <w:color w:val="auto"/>
          <w:szCs w:val="21"/>
          <w:highlight w:val="none"/>
        </w:rPr>
      </w:pPr>
    </w:p>
    <w:p w14:paraId="0DCA9944">
      <w:pPr>
        <w:spacing w:line="360" w:lineRule="auto"/>
        <w:rPr>
          <w:rStyle w:val="34"/>
          <w:rFonts w:ascii="仿宋" w:hAnsi="仿宋" w:eastAsia="仿宋" w:cs="仿宋"/>
          <w:color w:val="auto"/>
          <w:szCs w:val="21"/>
          <w:highlight w:val="none"/>
        </w:rPr>
      </w:pPr>
      <w:r>
        <w:rPr>
          <w:rFonts w:hint="eastAsia" w:ascii="仿宋" w:hAnsi="仿宋" w:eastAsia="仿宋" w:cs="仿宋"/>
          <w:color w:val="auto"/>
          <w:szCs w:val="21"/>
          <w:highlight w:val="none"/>
        </w:rPr>
        <w:t>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r>
        <w:rPr>
          <w:rStyle w:val="34"/>
          <w:rFonts w:hint="eastAsia" w:ascii="仿宋" w:hAnsi="仿宋" w:eastAsia="仿宋" w:cs="仿宋"/>
          <w:color w:val="auto"/>
          <w:szCs w:val="21"/>
          <w:highlight w:val="none"/>
        </w:rPr>
        <w:t xml:space="preserve">  </w:t>
      </w:r>
    </w:p>
    <w:p w14:paraId="2449AD60">
      <w:pPr>
        <w:rPr>
          <w:rStyle w:val="34"/>
          <w:rFonts w:ascii="仿宋" w:hAnsi="仿宋" w:eastAsia="仿宋" w:cs="仿宋"/>
          <w:color w:val="auto"/>
          <w:sz w:val="24"/>
          <w:szCs w:val="24"/>
          <w:highlight w:val="none"/>
        </w:rPr>
      </w:pPr>
      <w:r>
        <w:rPr>
          <w:rStyle w:val="34"/>
          <w:rFonts w:hint="eastAsia" w:ascii="仿宋" w:hAnsi="仿宋" w:eastAsia="仿宋" w:cs="仿宋"/>
          <w:color w:val="auto"/>
          <w:sz w:val="24"/>
          <w:szCs w:val="24"/>
          <w:highlight w:val="none"/>
        </w:rPr>
        <w:br w:type="page"/>
      </w:r>
    </w:p>
    <w:p w14:paraId="4306B49D">
      <w:pPr>
        <w:pStyle w:val="5"/>
        <w:spacing w:line="360" w:lineRule="auto"/>
        <w:outlineLvl w:val="0"/>
        <w:rPr>
          <w:rStyle w:val="34"/>
          <w:rFonts w:ascii="仿宋" w:hAnsi="仿宋" w:eastAsia="仿宋" w:cs="仿宋"/>
          <w:bCs/>
          <w:color w:val="auto"/>
          <w:sz w:val="24"/>
          <w:szCs w:val="24"/>
          <w:highlight w:val="none"/>
          <w:lang w:val="en-US"/>
        </w:rPr>
      </w:pPr>
      <w:bookmarkStart w:id="24" w:name="_Toc6383"/>
      <w:r>
        <w:rPr>
          <w:rStyle w:val="34"/>
          <w:rFonts w:hint="eastAsia" w:ascii="仿宋" w:hAnsi="仿宋" w:eastAsia="仿宋" w:cs="仿宋"/>
          <w:bCs/>
          <w:color w:val="auto"/>
          <w:sz w:val="24"/>
          <w:szCs w:val="24"/>
          <w:highlight w:val="none"/>
          <w:lang w:val="en-US"/>
        </w:rPr>
        <w:t>附件C</w:t>
      </w:r>
      <w:bookmarkEnd w:id="24"/>
    </w:p>
    <w:p w14:paraId="2FEB417A">
      <w:pPr>
        <w:spacing w:line="560" w:lineRule="exact"/>
        <w:jc w:val="center"/>
        <w:rPr>
          <w:rFonts w:ascii="仿宋" w:hAnsi="仿宋" w:eastAsia="仿宋" w:cs="仿宋"/>
          <w:b/>
          <w:bCs/>
          <w:color w:val="auto"/>
          <w:sz w:val="28"/>
          <w:szCs w:val="22"/>
          <w:highlight w:val="none"/>
        </w:rPr>
      </w:pPr>
      <w:r>
        <w:rPr>
          <w:rFonts w:hint="eastAsia" w:ascii="仿宋" w:hAnsi="仿宋" w:eastAsia="仿宋" w:cs="仿宋"/>
          <w:b/>
          <w:bCs/>
          <w:color w:val="auto"/>
          <w:sz w:val="28"/>
          <w:szCs w:val="22"/>
          <w:highlight w:val="none"/>
        </w:rPr>
        <w:t>供应商承诺书</w:t>
      </w:r>
    </w:p>
    <w:p w14:paraId="0B73E6C1">
      <w:pPr>
        <w:widowControl w:val="0"/>
        <w:spacing w:line="360" w:lineRule="auto"/>
        <w:ind w:firstLine="420" w:firstLineChars="200"/>
        <w:jc w:val="left"/>
        <w:textAlignment w:val="auto"/>
        <w:rPr>
          <w:rFonts w:ascii="仿宋" w:hAnsi="仿宋" w:eastAsia="仿宋" w:cs="仿宋"/>
          <w:color w:val="auto"/>
          <w:szCs w:val="21"/>
          <w:highlight w:val="none"/>
        </w:rPr>
      </w:pPr>
    </w:p>
    <w:p w14:paraId="15E014F6">
      <w:pPr>
        <w:spacing w:line="56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本企业参与</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项目的投标，现作如下承诺：</w:t>
      </w:r>
    </w:p>
    <w:p w14:paraId="0FF3332D">
      <w:pPr>
        <w:spacing w:line="56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1、我公司参与此次投标活动所提交的所有资料都是合法、真实、有效的。</w:t>
      </w:r>
    </w:p>
    <w:p w14:paraId="175227B7">
      <w:pPr>
        <w:spacing w:line="56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2、不与其他供应商串通投标、围标，依法、依规公平竞争，不损害招标人或其他供应商的合法权益。</w:t>
      </w:r>
    </w:p>
    <w:p w14:paraId="7C475C43">
      <w:pPr>
        <w:spacing w:line="56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3、不转让、出租、出借资质证书、人员岗位证书，不以法律、法规禁止的方式投标。</w:t>
      </w:r>
    </w:p>
    <w:p w14:paraId="5C42FEFB">
      <w:pPr>
        <w:spacing w:line="56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4、不与招标人或招标代理机构串通投标，不损害国家利益、社会公共利益或其他当事人的合法权益。</w:t>
      </w:r>
    </w:p>
    <w:p w14:paraId="7DE08C12">
      <w:pPr>
        <w:spacing w:line="56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5、不向招标人、评标委员会成员、监督人员行贿。</w:t>
      </w:r>
    </w:p>
    <w:p w14:paraId="6D3D076F">
      <w:pPr>
        <w:spacing w:line="56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6、不扰乱公共资源交易正常秩序。</w:t>
      </w:r>
    </w:p>
    <w:p w14:paraId="725080AE">
      <w:pPr>
        <w:spacing w:line="56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7、不进行虚假恶意投诉。</w:t>
      </w:r>
    </w:p>
    <w:p w14:paraId="2A7468CE">
      <w:pPr>
        <w:spacing w:line="560" w:lineRule="exact"/>
        <w:ind w:firstLine="420" w:firstLineChars="200"/>
        <w:rPr>
          <w:rFonts w:ascii="仿宋" w:hAnsi="仿宋" w:eastAsia="仿宋" w:cs="仿宋"/>
          <w:color w:val="auto"/>
          <w:szCs w:val="21"/>
          <w:highlight w:val="none"/>
        </w:rPr>
      </w:pPr>
      <w:r>
        <w:rPr>
          <w:rFonts w:hint="eastAsia" w:ascii="仿宋" w:hAnsi="仿宋" w:eastAsia="仿宋" w:cs="仿宋"/>
          <w:color w:val="auto"/>
          <w:szCs w:val="21"/>
          <w:highlight w:val="none"/>
        </w:rPr>
        <w:t>8、因违反法律、法规或相关规定被查处的，不干预案件查处。</w:t>
      </w:r>
    </w:p>
    <w:p w14:paraId="207C5D7A">
      <w:pPr>
        <w:spacing w:line="560" w:lineRule="exact"/>
        <w:rPr>
          <w:rFonts w:ascii="仿宋" w:hAnsi="仿宋" w:eastAsia="仿宋" w:cs="仿宋"/>
          <w:color w:val="auto"/>
          <w:szCs w:val="21"/>
          <w:highlight w:val="none"/>
        </w:rPr>
      </w:pPr>
      <w:r>
        <w:rPr>
          <w:rFonts w:hint="eastAsia" w:ascii="仿宋" w:hAnsi="仿宋" w:eastAsia="仿宋" w:cs="仿宋"/>
          <w:color w:val="auto"/>
          <w:szCs w:val="21"/>
          <w:highlight w:val="none"/>
        </w:rPr>
        <w:t>如违反以上承诺，涉嫌违纪违法、犯罪的，由纪检监察机关、行政监管部门、公安机关依法调查处理。违法、违规或不良行为事实成立的，本供应商不再要求退还投标时所提交的磋商保证金和廉政保证金，并承担相关责任。给招标人造成损失的，依法承担赔偿责任。</w:t>
      </w:r>
    </w:p>
    <w:p w14:paraId="64CCE2CE">
      <w:pPr>
        <w:spacing w:line="360" w:lineRule="auto"/>
        <w:rPr>
          <w:rStyle w:val="34"/>
          <w:rFonts w:ascii="仿宋" w:hAnsi="仿宋" w:eastAsia="仿宋" w:cs="仿宋"/>
          <w:color w:val="auto"/>
          <w:szCs w:val="21"/>
          <w:highlight w:val="none"/>
        </w:rPr>
      </w:pPr>
    </w:p>
    <w:p w14:paraId="64D59ABA">
      <w:pPr>
        <w:spacing w:line="360" w:lineRule="auto"/>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供应商：</w:t>
      </w:r>
      <w:r>
        <w:rPr>
          <w:rStyle w:val="34"/>
          <w:rFonts w:hint="eastAsia" w:ascii="仿宋" w:hAnsi="仿宋" w:eastAsia="仿宋" w:cs="仿宋"/>
          <w:color w:val="auto"/>
          <w:szCs w:val="21"/>
          <w:highlight w:val="none"/>
          <w:u w:val="single"/>
        </w:rPr>
        <w:t xml:space="preserve">                            </w:t>
      </w:r>
      <w:r>
        <w:rPr>
          <w:rStyle w:val="34"/>
          <w:rFonts w:hint="eastAsia" w:ascii="仿宋" w:hAnsi="仿宋" w:eastAsia="仿宋" w:cs="仿宋"/>
          <w:color w:val="auto"/>
          <w:szCs w:val="21"/>
          <w:highlight w:val="none"/>
          <w:u w:val="single"/>
          <w:lang w:eastAsia="zh-CN"/>
        </w:rPr>
        <w:t>（</w:t>
      </w:r>
      <w:r>
        <w:rPr>
          <w:rStyle w:val="34"/>
          <w:rFonts w:hint="eastAsia" w:ascii="仿宋" w:hAnsi="仿宋" w:eastAsia="仿宋" w:cs="仿宋"/>
          <w:color w:val="auto"/>
          <w:szCs w:val="21"/>
          <w:highlight w:val="none"/>
          <w:u w:val="single"/>
        </w:rPr>
        <w:t xml:space="preserve">电子签章或盖章）   </w:t>
      </w:r>
    </w:p>
    <w:p w14:paraId="1B143A72">
      <w:pPr>
        <w:spacing w:line="360" w:lineRule="auto"/>
        <w:rPr>
          <w:rStyle w:val="34"/>
          <w:rFonts w:ascii="仿宋" w:hAnsi="仿宋" w:eastAsia="仿宋" w:cs="仿宋"/>
          <w:color w:val="auto"/>
          <w:szCs w:val="21"/>
          <w:highlight w:val="none"/>
        </w:rPr>
      </w:pPr>
    </w:p>
    <w:p w14:paraId="34EC4765">
      <w:pPr>
        <w:spacing w:line="360" w:lineRule="auto"/>
        <w:rPr>
          <w:rStyle w:val="34"/>
          <w:rFonts w:ascii="仿宋" w:hAnsi="仿宋" w:eastAsia="仿宋" w:cs="仿宋"/>
          <w:color w:val="auto"/>
          <w:highlight w:val="none"/>
        </w:rPr>
      </w:pPr>
      <w:r>
        <w:rPr>
          <w:rStyle w:val="34"/>
          <w:rFonts w:hint="eastAsia" w:ascii="仿宋" w:hAnsi="仿宋" w:eastAsia="仿宋" w:cs="仿宋"/>
          <w:color w:val="auto"/>
          <w:szCs w:val="21"/>
          <w:highlight w:val="none"/>
        </w:rPr>
        <w:t>法定代表人或其委托代理人：</w:t>
      </w:r>
      <w:r>
        <w:rPr>
          <w:rStyle w:val="34"/>
          <w:rFonts w:hint="eastAsia" w:ascii="仿宋" w:hAnsi="仿宋" w:eastAsia="仿宋" w:cs="仿宋"/>
          <w:color w:val="auto"/>
          <w:szCs w:val="21"/>
          <w:highlight w:val="none"/>
          <w:u w:val="single"/>
        </w:rPr>
        <w:t xml:space="preserve">         （电子签章或签字）</w:t>
      </w:r>
    </w:p>
    <w:p w14:paraId="2FC59DAB">
      <w:pPr>
        <w:spacing w:line="360" w:lineRule="auto"/>
        <w:ind w:firstLine="1050" w:firstLineChars="500"/>
        <w:rPr>
          <w:rStyle w:val="34"/>
          <w:rFonts w:ascii="仿宋" w:hAnsi="仿宋" w:eastAsia="仿宋" w:cs="仿宋"/>
          <w:color w:val="auto"/>
          <w:szCs w:val="21"/>
          <w:highlight w:val="none"/>
        </w:rPr>
      </w:pPr>
    </w:p>
    <w:p w14:paraId="5390AD78">
      <w:pPr>
        <w:snapToGrid w:val="0"/>
        <w:spacing w:line="480" w:lineRule="auto"/>
        <w:rPr>
          <w:rStyle w:val="34"/>
          <w:rFonts w:ascii="仿宋" w:hAnsi="仿宋" w:eastAsia="仿宋" w:cs="仿宋"/>
          <w:b/>
          <w:color w:val="auto"/>
          <w:sz w:val="24"/>
          <w:szCs w:val="24"/>
          <w:highlight w:val="none"/>
        </w:rPr>
      </w:pPr>
      <w:r>
        <w:rPr>
          <w:rFonts w:hint="eastAsia" w:ascii="仿宋" w:hAnsi="仿宋" w:eastAsia="仿宋" w:cs="仿宋"/>
          <w:color w:val="auto"/>
          <w:szCs w:val="21"/>
          <w:highlight w:val="none"/>
        </w:rPr>
        <w:t>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14:paraId="07458691">
      <w:pPr>
        <w:rPr>
          <w:rStyle w:val="34"/>
          <w:rFonts w:ascii="仿宋" w:hAnsi="仿宋" w:eastAsia="仿宋" w:cs="仿宋"/>
          <w:b/>
          <w:color w:val="auto"/>
          <w:sz w:val="24"/>
          <w:szCs w:val="24"/>
          <w:highlight w:val="none"/>
        </w:rPr>
      </w:pPr>
      <w:r>
        <w:rPr>
          <w:rStyle w:val="34"/>
          <w:rFonts w:hint="eastAsia" w:ascii="仿宋" w:hAnsi="仿宋" w:eastAsia="仿宋" w:cs="仿宋"/>
          <w:b/>
          <w:color w:val="auto"/>
          <w:sz w:val="24"/>
          <w:szCs w:val="24"/>
          <w:highlight w:val="none"/>
        </w:rPr>
        <w:br w:type="page"/>
      </w:r>
    </w:p>
    <w:p w14:paraId="306FBCB5">
      <w:pPr>
        <w:snapToGrid w:val="0"/>
        <w:spacing w:line="480" w:lineRule="auto"/>
        <w:rPr>
          <w:rStyle w:val="34"/>
          <w:rFonts w:ascii="仿宋" w:hAnsi="仿宋" w:eastAsia="仿宋" w:cs="仿宋"/>
          <w:b/>
          <w:color w:val="auto"/>
          <w:sz w:val="24"/>
          <w:szCs w:val="24"/>
          <w:highlight w:val="none"/>
        </w:rPr>
      </w:pPr>
      <w:r>
        <w:rPr>
          <w:rStyle w:val="34"/>
          <w:rFonts w:hint="eastAsia" w:ascii="仿宋" w:hAnsi="仿宋" w:eastAsia="仿宋" w:cs="仿宋"/>
          <w:b/>
          <w:color w:val="auto"/>
          <w:sz w:val="24"/>
          <w:szCs w:val="24"/>
          <w:highlight w:val="none"/>
        </w:rPr>
        <w:t>附件七</w:t>
      </w:r>
    </w:p>
    <w:p w14:paraId="23688AFF">
      <w:pPr>
        <w:spacing w:line="360" w:lineRule="auto"/>
        <w:jc w:val="center"/>
        <w:rPr>
          <w:rStyle w:val="34"/>
          <w:rFonts w:ascii="仿宋" w:hAnsi="仿宋" w:eastAsia="仿宋" w:cs="仿宋"/>
          <w:b/>
          <w:color w:val="auto"/>
          <w:sz w:val="32"/>
          <w:szCs w:val="32"/>
          <w:highlight w:val="none"/>
        </w:rPr>
      </w:pPr>
      <w:r>
        <w:rPr>
          <w:rStyle w:val="34"/>
          <w:rFonts w:hint="eastAsia" w:ascii="仿宋" w:hAnsi="仿宋" w:eastAsia="仿宋" w:cs="仿宋"/>
          <w:b/>
          <w:color w:val="auto"/>
          <w:sz w:val="32"/>
          <w:szCs w:val="32"/>
          <w:highlight w:val="none"/>
        </w:rPr>
        <w:t>报价说明</w:t>
      </w:r>
    </w:p>
    <w:p w14:paraId="4B3DF235">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Cs w:val="21"/>
          <w:highlight w:val="none"/>
        </w:rPr>
        <w:t>注：格式自拟。</w:t>
      </w:r>
      <w:r>
        <w:rPr>
          <w:rFonts w:hint="eastAsia" w:ascii="仿宋" w:hAnsi="仿宋" w:eastAsia="仿宋" w:cs="仿宋"/>
          <w:color w:val="auto"/>
          <w:sz w:val="24"/>
          <w:szCs w:val="24"/>
          <w:highlight w:val="none"/>
        </w:rPr>
        <w:t>附件</w:t>
      </w:r>
      <w:r>
        <w:rPr>
          <w:rFonts w:hint="eastAsia" w:ascii="仿宋" w:hAnsi="仿宋" w:eastAsia="仿宋" w:cs="仿宋"/>
          <w:color w:val="auto"/>
          <w:sz w:val="24"/>
          <w:szCs w:val="24"/>
          <w:highlight w:val="none"/>
          <w:lang w:val="en-US" w:eastAsia="zh-CN"/>
        </w:rPr>
        <w:t>八</w:t>
      </w:r>
    </w:p>
    <w:p w14:paraId="6B07666E">
      <w:pPr>
        <w:pStyle w:val="3"/>
        <w:outlineLvl w:val="9"/>
        <w:rPr>
          <w:rFonts w:hint="eastAsia" w:ascii="仿宋" w:hAnsi="仿宋" w:eastAsia="仿宋" w:cs="仿宋"/>
          <w:color w:val="auto"/>
          <w:szCs w:val="30"/>
          <w:highlight w:val="none"/>
        </w:rPr>
      </w:pPr>
    </w:p>
    <w:p w14:paraId="6277FEFB">
      <w:pPr>
        <w:snapToGrid w:val="0"/>
        <w:spacing w:line="480" w:lineRule="auto"/>
        <w:rPr>
          <w:rStyle w:val="34"/>
          <w:rFonts w:hint="eastAsia" w:ascii="仿宋" w:hAnsi="仿宋" w:eastAsia="仿宋" w:cs="仿宋"/>
          <w:b/>
          <w:color w:val="auto"/>
          <w:sz w:val="24"/>
          <w:szCs w:val="24"/>
          <w:highlight w:val="none"/>
        </w:rPr>
      </w:pPr>
    </w:p>
    <w:p w14:paraId="42DE6F09">
      <w:pPr>
        <w:snapToGrid w:val="0"/>
        <w:spacing w:line="480" w:lineRule="auto"/>
        <w:rPr>
          <w:rStyle w:val="34"/>
          <w:rFonts w:hint="eastAsia" w:ascii="仿宋" w:hAnsi="仿宋" w:eastAsia="仿宋" w:cs="仿宋"/>
          <w:b/>
          <w:color w:val="auto"/>
          <w:sz w:val="24"/>
          <w:szCs w:val="24"/>
          <w:highlight w:val="none"/>
        </w:rPr>
      </w:pPr>
    </w:p>
    <w:p w14:paraId="0BD728BB">
      <w:pPr>
        <w:snapToGrid w:val="0"/>
        <w:spacing w:line="480" w:lineRule="auto"/>
        <w:rPr>
          <w:rStyle w:val="34"/>
          <w:rFonts w:hint="eastAsia" w:ascii="仿宋" w:hAnsi="仿宋" w:eastAsia="仿宋" w:cs="仿宋"/>
          <w:b/>
          <w:color w:val="auto"/>
          <w:sz w:val="24"/>
          <w:szCs w:val="24"/>
          <w:highlight w:val="none"/>
        </w:rPr>
      </w:pPr>
    </w:p>
    <w:p w14:paraId="0CC8001C">
      <w:pPr>
        <w:snapToGrid w:val="0"/>
        <w:spacing w:line="480" w:lineRule="auto"/>
        <w:rPr>
          <w:rStyle w:val="34"/>
          <w:rFonts w:hint="eastAsia" w:ascii="仿宋" w:hAnsi="仿宋" w:eastAsia="仿宋" w:cs="仿宋"/>
          <w:b/>
          <w:color w:val="auto"/>
          <w:sz w:val="24"/>
          <w:szCs w:val="24"/>
          <w:highlight w:val="none"/>
        </w:rPr>
      </w:pPr>
    </w:p>
    <w:p w14:paraId="0C4EC737">
      <w:pPr>
        <w:snapToGrid w:val="0"/>
        <w:spacing w:line="480" w:lineRule="auto"/>
        <w:rPr>
          <w:rStyle w:val="34"/>
          <w:rFonts w:hint="eastAsia" w:ascii="仿宋" w:hAnsi="仿宋" w:eastAsia="仿宋" w:cs="仿宋"/>
          <w:b/>
          <w:color w:val="auto"/>
          <w:sz w:val="24"/>
          <w:szCs w:val="24"/>
          <w:highlight w:val="none"/>
          <w:lang w:eastAsia="zh-CN"/>
        </w:rPr>
      </w:pPr>
      <w:r>
        <w:rPr>
          <w:rStyle w:val="34"/>
          <w:rFonts w:hint="eastAsia" w:ascii="仿宋" w:hAnsi="仿宋" w:eastAsia="仿宋" w:cs="仿宋"/>
          <w:b/>
          <w:color w:val="auto"/>
          <w:sz w:val="24"/>
          <w:szCs w:val="24"/>
          <w:highlight w:val="none"/>
        </w:rPr>
        <w:t>附件</w:t>
      </w:r>
      <w:r>
        <w:rPr>
          <w:rStyle w:val="34"/>
          <w:rFonts w:hint="eastAsia" w:ascii="仿宋" w:hAnsi="仿宋" w:eastAsia="仿宋" w:cs="仿宋"/>
          <w:b/>
          <w:color w:val="auto"/>
          <w:sz w:val="24"/>
          <w:szCs w:val="24"/>
          <w:highlight w:val="none"/>
          <w:lang w:val="en-US" w:eastAsia="zh-CN"/>
        </w:rPr>
        <w:t>八</w:t>
      </w:r>
    </w:p>
    <w:p w14:paraId="185DAA24">
      <w:pPr>
        <w:spacing w:line="360" w:lineRule="auto"/>
        <w:jc w:val="center"/>
        <w:rPr>
          <w:rStyle w:val="34"/>
          <w:rFonts w:hint="eastAsia" w:ascii="仿宋" w:hAnsi="仿宋" w:eastAsia="仿宋" w:cs="仿宋"/>
          <w:b/>
          <w:color w:val="auto"/>
          <w:sz w:val="32"/>
          <w:szCs w:val="32"/>
          <w:highlight w:val="none"/>
        </w:rPr>
      </w:pPr>
      <w:r>
        <w:rPr>
          <w:rStyle w:val="34"/>
          <w:rFonts w:hint="eastAsia" w:ascii="仿宋" w:hAnsi="仿宋" w:eastAsia="仿宋" w:cs="仿宋"/>
          <w:b/>
          <w:color w:val="auto"/>
          <w:sz w:val="32"/>
          <w:szCs w:val="32"/>
          <w:highlight w:val="none"/>
        </w:rPr>
        <w:t>总体服务方案</w:t>
      </w:r>
    </w:p>
    <w:p w14:paraId="79AF7C3F">
      <w:pPr>
        <w:spacing w:line="36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注：格式自拟。</w:t>
      </w:r>
    </w:p>
    <w:p w14:paraId="3AAACFC6">
      <w:pPr>
        <w:snapToGrid w:val="0"/>
        <w:spacing w:line="480" w:lineRule="auto"/>
        <w:rPr>
          <w:rStyle w:val="34"/>
          <w:rFonts w:hint="eastAsia" w:ascii="仿宋" w:hAnsi="仿宋" w:eastAsia="仿宋" w:cs="仿宋"/>
          <w:b/>
          <w:color w:val="auto"/>
          <w:sz w:val="24"/>
          <w:szCs w:val="24"/>
          <w:highlight w:val="none"/>
        </w:rPr>
      </w:pPr>
    </w:p>
    <w:p w14:paraId="1813B94B">
      <w:pPr>
        <w:snapToGrid w:val="0"/>
        <w:spacing w:line="480" w:lineRule="auto"/>
        <w:rPr>
          <w:rStyle w:val="34"/>
          <w:rFonts w:hint="eastAsia" w:ascii="仿宋" w:hAnsi="仿宋" w:eastAsia="仿宋" w:cs="仿宋"/>
          <w:b/>
          <w:color w:val="auto"/>
          <w:sz w:val="24"/>
          <w:szCs w:val="24"/>
          <w:highlight w:val="none"/>
        </w:rPr>
      </w:pPr>
    </w:p>
    <w:p w14:paraId="71F9886B">
      <w:pPr>
        <w:snapToGrid w:val="0"/>
        <w:spacing w:line="480" w:lineRule="auto"/>
        <w:rPr>
          <w:rStyle w:val="34"/>
          <w:rFonts w:hint="eastAsia" w:ascii="仿宋" w:hAnsi="仿宋" w:eastAsia="仿宋" w:cs="仿宋"/>
          <w:b/>
          <w:color w:val="auto"/>
          <w:sz w:val="24"/>
          <w:szCs w:val="24"/>
          <w:highlight w:val="none"/>
        </w:rPr>
      </w:pPr>
    </w:p>
    <w:p w14:paraId="417A5122">
      <w:pPr>
        <w:snapToGrid w:val="0"/>
        <w:spacing w:line="480" w:lineRule="auto"/>
        <w:rPr>
          <w:rStyle w:val="34"/>
          <w:rFonts w:hint="eastAsia" w:ascii="仿宋" w:hAnsi="仿宋" w:eastAsia="仿宋" w:cs="仿宋"/>
          <w:b/>
          <w:color w:val="auto"/>
          <w:sz w:val="24"/>
          <w:szCs w:val="24"/>
          <w:highlight w:val="none"/>
        </w:rPr>
      </w:pPr>
    </w:p>
    <w:p w14:paraId="5E35D64E">
      <w:pPr>
        <w:snapToGrid w:val="0"/>
        <w:spacing w:line="480" w:lineRule="auto"/>
        <w:rPr>
          <w:rStyle w:val="34"/>
          <w:rFonts w:hint="eastAsia" w:ascii="仿宋" w:hAnsi="仿宋" w:eastAsia="仿宋" w:cs="仿宋"/>
          <w:b/>
          <w:color w:val="auto"/>
          <w:sz w:val="24"/>
          <w:szCs w:val="24"/>
          <w:highlight w:val="none"/>
        </w:rPr>
      </w:pPr>
    </w:p>
    <w:p w14:paraId="66BBAF69">
      <w:pPr>
        <w:snapToGrid w:val="0"/>
        <w:spacing w:line="480" w:lineRule="auto"/>
        <w:rPr>
          <w:rStyle w:val="34"/>
          <w:rFonts w:hint="eastAsia" w:ascii="仿宋" w:hAnsi="仿宋" w:eastAsia="仿宋" w:cs="仿宋"/>
          <w:b/>
          <w:color w:val="auto"/>
          <w:sz w:val="24"/>
          <w:szCs w:val="24"/>
          <w:highlight w:val="none"/>
        </w:rPr>
      </w:pPr>
    </w:p>
    <w:p w14:paraId="4351BBCE">
      <w:pPr>
        <w:snapToGrid w:val="0"/>
        <w:spacing w:line="480" w:lineRule="auto"/>
        <w:rPr>
          <w:rStyle w:val="34"/>
          <w:rFonts w:hint="eastAsia" w:ascii="仿宋" w:hAnsi="仿宋" w:eastAsia="仿宋" w:cs="仿宋"/>
          <w:b/>
          <w:color w:val="auto"/>
          <w:sz w:val="24"/>
          <w:szCs w:val="24"/>
          <w:highlight w:val="none"/>
          <w:lang w:val="en-US" w:eastAsia="zh-CN"/>
        </w:rPr>
      </w:pPr>
      <w:r>
        <w:rPr>
          <w:rStyle w:val="34"/>
          <w:rFonts w:hint="eastAsia" w:ascii="仿宋" w:hAnsi="仿宋" w:eastAsia="仿宋" w:cs="仿宋"/>
          <w:b/>
          <w:color w:val="auto"/>
          <w:sz w:val="24"/>
          <w:szCs w:val="24"/>
          <w:highlight w:val="none"/>
        </w:rPr>
        <w:t>附件</w:t>
      </w:r>
      <w:r>
        <w:rPr>
          <w:rStyle w:val="34"/>
          <w:rFonts w:hint="eastAsia" w:ascii="仿宋" w:hAnsi="仿宋" w:eastAsia="仿宋" w:cs="仿宋"/>
          <w:b/>
          <w:color w:val="auto"/>
          <w:sz w:val="24"/>
          <w:szCs w:val="24"/>
          <w:highlight w:val="none"/>
          <w:lang w:val="en-US" w:eastAsia="zh-CN"/>
        </w:rPr>
        <w:t>九</w:t>
      </w:r>
    </w:p>
    <w:p w14:paraId="2766F57B">
      <w:pPr>
        <w:spacing w:line="360" w:lineRule="auto"/>
        <w:jc w:val="center"/>
        <w:rPr>
          <w:rFonts w:hint="eastAsia" w:ascii="仿宋" w:hAnsi="仿宋" w:eastAsia="仿宋" w:cs="仿宋"/>
          <w:color w:val="auto"/>
          <w:szCs w:val="30"/>
          <w:highlight w:val="none"/>
        </w:rPr>
      </w:pPr>
      <w:r>
        <w:rPr>
          <w:rStyle w:val="34"/>
          <w:rFonts w:hint="eastAsia" w:ascii="仿宋" w:hAnsi="仿宋" w:eastAsia="仿宋" w:cs="仿宋"/>
          <w:b/>
          <w:color w:val="auto"/>
          <w:sz w:val="32"/>
          <w:szCs w:val="32"/>
          <w:highlight w:val="none"/>
        </w:rPr>
        <w:t>风险防范措施</w:t>
      </w:r>
    </w:p>
    <w:p w14:paraId="4B82AFD4">
      <w:pPr>
        <w:snapToGrid w:val="0"/>
        <w:spacing w:line="48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注：格式自拟。</w:t>
      </w:r>
    </w:p>
    <w:p w14:paraId="1032D1CD">
      <w:pPr>
        <w:pStyle w:val="3"/>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附件十</w:t>
      </w:r>
    </w:p>
    <w:p w14:paraId="5D23567A">
      <w:pPr>
        <w:pStyle w:val="3"/>
        <w:jc w:val="center"/>
        <w:rPr>
          <w:rFonts w:hint="eastAsia" w:ascii="仿宋" w:hAnsi="仿宋" w:eastAsia="仿宋" w:cs="仿宋"/>
          <w:color w:val="auto"/>
          <w:sz w:val="24"/>
          <w:szCs w:val="24"/>
          <w:highlight w:val="none"/>
        </w:rPr>
      </w:pPr>
      <w:r>
        <w:rPr>
          <w:rStyle w:val="34"/>
          <w:rFonts w:hint="eastAsia" w:ascii="仿宋" w:hAnsi="仿宋" w:eastAsia="仿宋" w:cs="仿宋"/>
          <w:color w:val="auto"/>
          <w:szCs w:val="21"/>
          <w:highlight w:val="none"/>
        </w:rPr>
        <w:t>突发事件应急预案</w:t>
      </w:r>
    </w:p>
    <w:p w14:paraId="3F60E7D7">
      <w:pPr>
        <w:pStyle w:val="3"/>
        <w:jc w:val="center"/>
        <w:rPr>
          <w:rFonts w:hint="eastAsia" w:ascii="仿宋" w:hAnsi="仿宋" w:eastAsia="仿宋" w:cs="仿宋"/>
          <w:color w:val="auto"/>
          <w:sz w:val="24"/>
          <w:szCs w:val="24"/>
          <w:highlight w:val="none"/>
        </w:rPr>
      </w:pPr>
      <w:r>
        <w:rPr>
          <w:rFonts w:hint="eastAsia" w:ascii="仿宋" w:hAnsi="仿宋" w:eastAsia="仿宋" w:cs="仿宋"/>
          <w:b w:val="0"/>
          <w:bCs/>
          <w:color w:val="auto"/>
          <w:sz w:val="21"/>
          <w:szCs w:val="21"/>
          <w:highlight w:val="none"/>
        </w:rPr>
        <w:t>注：格式自拟。</w:t>
      </w:r>
    </w:p>
    <w:p w14:paraId="38174AA8">
      <w:pPr>
        <w:pStyle w:val="3"/>
        <w:jc w:val="left"/>
        <w:outlineLvl w:val="9"/>
        <w:rPr>
          <w:rFonts w:hint="eastAsia" w:ascii="仿宋" w:hAnsi="仿宋" w:eastAsia="仿宋" w:cs="仿宋"/>
          <w:color w:val="auto"/>
          <w:sz w:val="24"/>
          <w:szCs w:val="24"/>
          <w:highlight w:val="none"/>
        </w:rPr>
      </w:pPr>
    </w:p>
    <w:p w14:paraId="2E0F5F4B">
      <w:pPr>
        <w:pStyle w:val="3"/>
        <w:jc w:val="left"/>
        <w:outlineLvl w:val="9"/>
        <w:rPr>
          <w:rFonts w:hint="eastAsia" w:ascii="仿宋" w:hAnsi="仿宋" w:eastAsia="仿宋" w:cs="仿宋"/>
          <w:color w:val="auto"/>
          <w:sz w:val="24"/>
          <w:szCs w:val="24"/>
          <w:highlight w:val="none"/>
        </w:rPr>
      </w:pPr>
    </w:p>
    <w:p w14:paraId="0463E940">
      <w:pPr>
        <w:pStyle w:val="3"/>
        <w:jc w:val="left"/>
        <w:outlineLvl w:val="9"/>
        <w:rPr>
          <w:rFonts w:hint="eastAsia" w:ascii="仿宋" w:hAnsi="仿宋" w:eastAsia="仿宋" w:cs="仿宋"/>
          <w:color w:val="auto"/>
          <w:sz w:val="24"/>
          <w:szCs w:val="24"/>
          <w:highlight w:val="none"/>
        </w:rPr>
      </w:pPr>
    </w:p>
    <w:p w14:paraId="2244D37D">
      <w:pPr>
        <w:pStyle w:val="3"/>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附件十</w:t>
      </w:r>
      <w:r>
        <w:rPr>
          <w:rFonts w:hint="eastAsia" w:ascii="仿宋" w:hAnsi="仿宋" w:eastAsia="仿宋" w:cs="仿宋"/>
          <w:color w:val="auto"/>
          <w:sz w:val="24"/>
          <w:szCs w:val="24"/>
          <w:highlight w:val="none"/>
          <w:lang w:val="en-US" w:eastAsia="zh-CN"/>
        </w:rPr>
        <w:t>一</w:t>
      </w:r>
    </w:p>
    <w:p w14:paraId="3AB3C46B">
      <w:pPr>
        <w:pStyle w:val="3"/>
        <w:outlineLvl w:val="9"/>
        <w:rPr>
          <w:rFonts w:hint="eastAsia" w:ascii="仿宋" w:hAnsi="仿宋" w:eastAsia="仿宋" w:cs="仿宋"/>
          <w:color w:val="auto"/>
          <w:szCs w:val="30"/>
          <w:highlight w:val="none"/>
        </w:rPr>
      </w:pPr>
    </w:p>
    <w:p w14:paraId="37199143">
      <w:pPr>
        <w:pStyle w:val="3"/>
        <w:tabs>
          <w:tab w:val="center" w:pos="4536"/>
        </w:tabs>
        <w:spacing w:line="720" w:lineRule="auto"/>
        <w:jc w:val="center"/>
        <w:rPr>
          <w:rStyle w:val="34"/>
          <w:rFonts w:hint="eastAsia" w:ascii="仿宋" w:hAnsi="仿宋" w:eastAsia="仿宋" w:cs="仿宋"/>
          <w:color w:val="auto"/>
          <w:sz w:val="32"/>
          <w:szCs w:val="32"/>
          <w:highlight w:val="none"/>
        </w:rPr>
      </w:pPr>
      <w:r>
        <w:rPr>
          <w:rStyle w:val="34"/>
          <w:rFonts w:hint="eastAsia" w:ascii="仿宋" w:hAnsi="仿宋" w:eastAsia="仿宋" w:cs="仿宋"/>
          <w:color w:val="auto"/>
          <w:sz w:val="32"/>
          <w:szCs w:val="32"/>
          <w:highlight w:val="none"/>
          <w:lang w:val="en-US" w:eastAsia="zh-CN"/>
        </w:rPr>
        <w:t>绿植更换保障条件</w:t>
      </w:r>
    </w:p>
    <w:p w14:paraId="0C1372A4">
      <w:pPr>
        <w:pStyle w:val="3"/>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注：格式自拟。</w:t>
      </w:r>
    </w:p>
    <w:p w14:paraId="4DF2B22E">
      <w:pPr>
        <w:rPr>
          <w:rFonts w:hint="eastAsia" w:ascii="仿宋" w:hAnsi="仿宋" w:eastAsia="仿宋" w:cs="仿宋"/>
          <w:color w:val="auto"/>
          <w:sz w:val="24"/>
          <w:szCs w:val="24"/>
          <w:highlight w:val="none"/>
        </w:rPr>
      </w:pPr>
    </w:p>
    <w:p w14:paraId="05A29C3B">
      <w:pPr>
        <w:rPr>
          <w:rFonts w:hint="eastAsia" w:ascii="仿宋" w:hAnsi="仿宋" w:eastAsia="仿宋" w:cs="仿宋"/>
          <w:color w:val="auto"/>
          <w:sz w:val="24"/>
          <w:szCs w:val="24"/>
          <w:highlight w:val="none"/>
        </w:rPr>
      </w:pPr>
    </w:p>
    <w:p w14:paraId="141AE1B4">
      <w:pPr>
        <w:rPr>
          <w:rFonts w:hint="eastAsia" w:ascii="仿宋" w:hAnsi="仿宋" w:eastAsia="仿宋" w:cs="仿宋"/>
          <w:color w:val="auto"/>
          <w:sz w:val="24"/>
          <w:szCs w:val="24"/>
          <w:highlight w:val="none"/>
        </w:rPr>
      </w:pPr>
    </w:p>
    <w:p w14:paraId="2DA2491E">
      <w:pPr>
        <w:pStyle w:val="3"/>
        <w:jc w:val="left"/>
        <w:outlineLvl w:val="9"/>
        <w:rPr>
          <w:rFonts w:hint="eastAsia" w:ascii="仿宋" w:hAnsi="仿宋" w:eastAsia="仿宋" w:cs="仿宋"/>
          <w:color w:val="auto"/>
          <w:sz w:val="24"/>
          <w:szCs w:val="24"/>
          <w:highlight w:val="none"/>
        </w:rPr>
      </w:pPr>
    </w:p>
    <w:p w14:paraId="5F5F48F5">
      <w:pPr>
        <w:pStyle w:val="3"/>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附件十</w:t>
      </w:r>
      <w:r>
        <w:rPr>
          <w:rFonts w:hint="eastAsia" w:ascii="仿宋" w:hAnsi="仿宋" w:eastAsia="仿宋" w:cs="仿宋"/>
          <w:color w:val="auto"/>
          <w:sz w:val="24"/>
          <w:szCs w:val="24"/>
          <w:highlight w:val="none"/>
          <w:lang w:val="en-US" w:eastAsia="zh-CN"/>
        </w:rPr>
        <w:t>二</w:t>
      </w:r>
    </w:p>
    <w:p w14:paraId="3D003805">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服务质量承诺及保证措施</w:t>
      </w:r>
    </w:p>
    <w:p w14:paraId="22E0B4C2">
      <w:pPr>
        <w:pStyle w:val="3"/>
        <w:jc w:val="center"/>
        <w:rPr>
          <w:rFonts w:hint="eastAsia" w:ascii="仿宋" w:hAnsi="仿宋" w:eastAsia="仿宋" w:cs="仿宋"/>
          <w:color w:val="auto"/>
          <w:sz w:val="24"/>
          <w:szCs w:val="24"/>
          <w:highlight w:val="none"/>
        </w:rPr>
      </w:pPr>
      <w:r>
        <w:rPr>
          <w:rFonts w:hint="eastAsia" w:ascii="仿宋" w:hAnsi="仿宋" w:eastAsia="仿宋" w:cs="仿宋"/>
          <w:b w:val="0"/>
          <w:bCs/>
          <w:color w:val="auto"/>
          <w:sz w:val="21"/>
          <w:szCs w:val="21"/>
          <w:highlight w:val="none"/>
        </w:rPr>
        <w:t>注：格式自拟。</w:t>
      </w:r>
    </w:p>
    <w:p w14:paraId="1DB5D983">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7658CAE9">
      <w:pPr>
        <w:pStyle w:val="3"/>
        <w:jc w:val="left"/>
        <w:rPr>
          <w:rFonts w:hint="eastAsia" w:ascii="仿宋" w:hAnsi="仿宋" w:eastAsia="仿宋" w:cs="仿宋"/>
          <w:color w:val="auto"/>
          <w:szCs w:val="30"/>
          <w:highlight w:val="none"/>
          <w:lang w:val="en-US" w:eastAsia="zh-CN"/>
        </w:rPr>
      </w:pPr>
      <w:r>
        <w:rPr>
          <w:rFonts w:hint="eastAsia" w:ascii="仿宋" w:hAnsi="仿宋" w:eastAsia="仿宋" w:cs="仿宋"/>
          <w:color w:val="auto"/>
          <w:sz w:val="24"/>
          <w:szCs w:val="24"/>
          <w:highlight w:val="none"/>
        </w:rPr>
        <w:t>附件十</w:t>
      </w:r>
      <w:r>
        <w:rPr>
          <w:rFonts w:hint="eastAsia" w:ascii="仿宋" w:hAnsi="仿宋" w:eastAsia="仿宋" w:cs="仿宋"/>
          <w:color w:val="auto"/>
          <w:sz w:val="24"/>
          <w:szCs w:val="24"/>
          <w:highlight w:val="none"/>
          <w:lang w:val="en-US" w:eastAsia="zh-CN"/>
        </w:rPr>
        <w:t>三</w:t>
      </w:r>
    </w:p>
    <w:p w14:paraId="2A27FF0F">
      <w:pPr>
        <w:jc w:val="center"/>
        <w:rPr>
          <w:rFonts w:hint="eastAsia" w:ascii="仿宋" w:hAnsi="仿宋" w:eastAsia="仿宋" w:cs="仿宋"/>
          <w:b w:val="0"/>
          <w:bCs/>
          <w:color w:val="auto"/>
          <w:sz w:val="21"/>
          <w:szCs w:val="21"/>
          <w:highlight w:val="none"/>
        </w:rPr>
      </w:pPr>
      <w:r>
        <w:rPr>
          <w:rFonts w:hint="eastAsia" w:ascii="仿宋" w:hAnsi="仿宋" w:eastAsia="仿宋" w:cs="仿宋"/>
          <w:b/>
          <w:bCs/>
          <w:color w:val="auto"/>
          <w:sz w:val="32"/>
          <w:szCs w:val="32"/>
          <w:highlight w:val="none"/>
        </w:rPr>
        <w:t>组织机构及人员配备计划</w:t>
      </w:r>
    </w:p>
    <w:tbl>
      <w:tblPr>
        <w:tblStyle w:val="21"/>
        <w:tblW w:w="0" w:type="auto"/>
        <w:jc w:val="center"/>
        <w:tblLayout w:type="fixed"/>
        <w:tblCellMar>
          <w:top w:w="0" w:type="dxa"/>
          <w:left w:w="0" w:type="dxa"/>
          <w:bottom w:w="0" w:type="dxa"/>
          <w:right w:w="0" w:type="dxa"/>
        </w:tblCellMar>
      </w:tblPr>
      <w:tblGrid>
        <w:gridCol w:w="1678"/>
        <w:gridCol w:w="1481"/>
        <w:gridCol w:w="2873"/>
        <w:gridCol w:w="1276"/>
        <w:gridCol w:w="1914"/>
      </w:tblGrid>
      <w:tr w14:paraId="1BF38AE2">
        <w:tblPrEx>
          <w:tblCellMar>
            <w:top w:w="0" w:type="dxa"/>
            <w:left w:w="0" w:type="dxa"/>
            <w:bottom w:w="0" w:type="dxa"/>
            <w:right w:w="0" w:type="dxa"/>
          </w:tblCellMar>
        </w:tblPrEx>
        <w:trPr>
          <w:trHeight w:val="871" w:hRule="exact"/>
          <w:jc w:val="center"/>
        </w:trPr>
        <w:tc>
          <w:tcPr>
            <w:tcW w:w="1678" w:type="dxa"/>
            <w:tcBorders>
              <w:top w:val="single" w:color="000000" w:sz="4" w:space="0"/>
              <w:left w:val="single" w:color="000000" w:sz="4" w:space="0"/>
              <w:bottom w:val="single" w:color="000000" w:sz="4" w:space="0"/>
              <w:right w:val="single" w:color="000000" w:sz="4" w:space="0"/>
            </w:tcBorders>
            <w:noWrap w:val="0"/>
            <w:vAlign w:val="center"/>
          </w:tcPr>
          <w:p w14:paraId="0305DC56">
            <w:pPr>
              <w:autoSpaceDE w:val="0"/>
              <w:autoSpaceDN w:val="0"/>
              <w:adjustRightInd w:val="0"/>
              <w:ind w:right="488"/>
              <w:jc w:val="center"/>
              <w:rPr>
                <w:rFonts w:ascii="仿宋" w:hAnsi="仿宋" w:eastAsia="仿宋" w:cs="仿宋"/>
                <w:color w:val="auto"/>
                <w:szCs w:val="21"/>
                <w:highlight w:val="none"/>
              </w:rPr>
            </w:pPr>
            <w:r>
              <w:rPr>
                <w:rFonts w:hint="eastAsia" w:ascii="仿宋" w:hAnsi="仿宋" w:eastAsia="仿宋" w:cs="仿宋"/>
                <w:color w:val="auto"/>
                <w:szCs w:val="21"/>
                <w:highlight w:val="none"/>
              </w:rPr>
              <w:t>姓名</w:t>
            </w: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53B43969">
            <w:pPr>
              <w:autoSpaceDE w:val="0"/>
              <w:autoSpaceDN w:val="0"/>
              <w:adjustRightInd w:val="0"/>
              <w:ind w:right="-20"/>
              <w:jc w:val="center"/>
              <w:rPr>
                <w:rFonts w:ascii="仿宋" w:hAnsi="仿宋" w:eastAsia="仿宋" w:cs="仿宋"/>
                <w:color w:val="auto"/>
                <w:szCs w:val="21"/>
                <w:highlight w:val="none"/>
              </w:rPr>
            </w:pPr>
            <w:r>
              <w:rPr>
                <w:rFonts w:hint="eastAsia" w:ascii="仿宋" w:hAnsi="仿宋" w:eastAsia="仿宋" w:cs="仿宋"/>
                <w:color w:val="auto"/>
                <w:szCs w:val="21"/>
                <w:highlight w:val="none"/>
              </w:rPr>
              <w:t>年龄</w:t>
            </w:r>
          </w:p>
        </w:tc>
        <w:tc>
          <w:tcPr>
            <w:tcW w:w="2873" w:type="dxa"/>
            <w:tcBorders>
              <w:top w:val="single" w:color="000000" w:sz="4" w:space="0"/>
              <w:left w:val="single" w:color="000000" w:sz="4" w:space="0"/>
              <w:bottom w:val="single" w:color="000000" w:sz="4" w:space="0"/>
              <w:right w:val="single" w:color="000000" w:sz="4" w:space="0"/>
            </w:tcBorders>
            <w:noWrap w:val="0"/>
            <w:vAlign w:val="center"/>
          </w:tcPr>
          <w:p w14:paraId="107766A4">
            <w:pPr>
              <w:autoSpaceDE w:val="0"/>
              <w:autoSpaceDN w:val="0"/>
              <w:adjustRightInd w:val="0"/>
              <w:spacing w:before="48" w:line="400" w:lineRule="exact"/>
              <w:ind w:right="67"/>
              <w:jc w:val="center"/>
              <w:rPr>
                <w:rFonts w:ascii="仿宋" w:hAnsi="仿宋" w:eastAsia="仿宋" w:cs="仿宋"/>
                <w:color w:val="auto"/>
                <w:szCs w:val="21"/>
                <w:highlight w:val="none"/>
              </w:rPr>
            </w:pPr>
            <w:r>
              <w:rPr>
                <w:rFonts w:hint="eastAsia" w:ascii="仿宋" w:hAnsi="仿宋" w:eastAsia="仿宋" w:cs="仿宋"/>
                <w:color w:val="auto"/>
                <w:szCs w:val="21"/>
                <w:highlight w:val="none"/>
              </w:rPr>
              <w:t>拟在</w:t>
            </w:r>
            <w:r>
              <w:rPr>
                <w:rFonts w:hint="eastAsia" w:ascii="仿宋" w:hAnsi="仿宋" w:eastAsia="仿宋" w:cs="仿宋"/>
                <w:color w:val="auto"/>
                <w:spacing w:val="-2"/>
                <w:szCs w:val="21"/>
                <w:highlight w:val="none"/>
              </w:rPr>
              <w:t>本</w:t>
            </w:r>
            <w:r>
              <w:rPr>
                <w:rFonts w:hint="eastAsia" w:ascii="仿宋" w:hAnsi="仿宋" w:eastAsia="仿宋" w:cs="仿宋"/>
                <w:color w:val="auto"/>
                <w:szCs w:val="21"/>
                <w:highlight w:val="none"/>
              </w:rPr>
              <w:t>项</w:t>
            </w:r>
            <w:r>
              <w:rPr>
                <w:rFonts w:hint="eastAsia" w:ascii="仿宋" w:hAnsi="仿宋" w:eastAsia="仿宋" w:cs="仿宋"/>
                <w:color w:val="auto"/>
                <w:spacing w:val="-2"/>
                <w:szCs w:val="21"/>
                <w:highlight w:val="none"/>
              </w:rPr>
              <w:t>目</w:t>
            </w:r>
            <w:r>
              <w:rPr>
                <w:rFonts w:hint="eastAsia" w:ascii="仿宋" w:hAnsi="仿宋" w:eastAsia="仿宋" w:cs="仿宋"/>
                <w:color w:val="auto"/>
                <w:szCs w:val="21"/>
                <w:highlight w:val="none"/>
              </w:rPr>
              <w:t>中担任</w:t>
            </w:r>
            <w:r>
              <w:rPr>
                <w:rFonts w:hint="eastAsia" w:ascii="仿宋" w:hAnsi="仿宋" w:eastAsia="仿宋" w:cs="仿宋"/>
                <w:color w:val="auto"/>
                <w:spacing w:val="-2"/>
                <w:szCs w:val="21"/>
                <w:highlight w:val="none"/>
              </w:rPr>
              <w:t>的</w:t>
            </w:r>
            <w:r>
              <w:rPr>
                <w:rFonts w:hint="eastAsia" w:ascii="仿宋" w:hAnsi="仿宋" w:eastAsia="仿宋" w:cs="仿宋"/>
                <w:color w:val="auto"/>
                <w:szCs w:val="21"/>
                <w:highlight w:val="none"/>
              </w:rPr>
              <w:t>职务</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2D2BBF2">
            <w:pPr>
              <w:autoSpaceDE w:val="0"/>
              <w:autoSpaceDN w:val="0"/>
              <w:adjustRightInd w:val="0"/>
              <w:ind w:right="-20"/>
              <w:jc w:val="center"/>
              <w:rPr>
                <w:rFonts w:ascii="仿宋" w:hAnsi="仿宋" w:eastAsia="仿宋" w:cs="仿宋"/>
                <w:color w:val="auto"/>
                <w:szCs w:val="21"/>
                <w:highlight w:val="none"/>
              </w:rPr>
            </w:pPr>
            <w:r>
              <w:rPr>
                <w:rFonts w:hint="eastAsia" w:ascii="仿宋" w:hAnsi="仿宋" w:eastAsia="仿宋" w:cs="仿宋"/>
                <w:color w:val="auto"/>
                <w:szCs w:val="21"/>
                <w:highlight w:val="none"/>
              </w:rPr>
              <w:t>职业资格</w:t>
            </w: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6D7A2ABF">
            <w:pPr>
              <w:autoSpaceDE w:val="0"/>
              <w:autoSpaceDN w:val="0"/>
              <w:adjustRightInd w:val="0"/>
              <w:ind w:right="-20"/>
              <w:jc w:val="center"/>
              <w:rPr>
                <w:rFonts w:ascii="仿宋" w:hAnsi="仿宋" w:eastAsia="仿宋" w:cs="仿宋"/>
                <w:color w:val="auto"/>
                <w:szCs w:val="21"/>
                <w:highlight w:val="none"/>
              </w:rPr>
            </w:pPr>
            <w:r>
              <w:rPr>
                <w:rFonts w:hint="eastAsia" w:ascii="仿宋" w:hAnsi="仿宋" w:eastAsia="仿宋" w:cs="仿宋"/>
                <w:color w:val="auto"/>
                <w:szCs w:val="21"/>
                <w:highlight w:val="none"/>
              </w:rPr>
              <w:t>技术</w:t>
            </w:r>
            <w:r>
              <w:rPr>
                <w:rFonts w:hint="eastAsia" w:ascii="仿宋" w:hAnsi="仿宋" w:eastAsia="仿宋" w:cs="仿宋"/>
                <w:color w:val="auto"/>
                <w:spacing w:val="-2"/>
                <w:szCs w:val="21"/>
                <w:highlight w:val="none"/>
              </w:rPr>
              <w:t>职</w:t>
            </w:r>
            <w:r>
              <w:rPr>
                <w:rFonts w:hint="eastAsia" w:ascii="仿宋" w:hAnsi="仿宋" w:eastAsia="仿宋" w:cs="仿宋"/>
                <w:color w:val="auto"/>
                <w:szCs w:val="21"/>
                <w:highlight w:val="none"/>
              </w:rPr>
              <w:t>称</w:t>
            </w:r>
          </w:p>
        </w:tc>
      </w:tr>
      <w:tr w14:paraId="3EDA844B">
        <w:tblPrEx>
          <w:tblCellMar>
            <w:top w:w="0" w:type="dxa"/>
            <w:left w:w="0" w:type="dxa"/>
            <w:bottom w:w="0" w:type="dxa"/>
            <w:right w:w="0" w:type="dxa"/>
          </w:tblCellMar>
        </w:tblPrEx>
        <w:trPr>
          <w:trHeight w:val="778" w:hRule="exact"/>
          <w:jc w:val="center"/>
        </w:trPr>
        <w:tc>
          <w:tcPr>
            <w:tcW w:w="1678" w:type="dxa"/>
            <w:tcBorders>
              <w:top w:val="single" w:color="000000" w:sz="4" w:space="0"/>
              <w:left w:val="single" w:color="000000" w:sz="4" w:space="0"/>
              <w:bottom w:val="single" w:color="000000" w:sz="4" w:space="0"/>
              <w:right w:val="single" w:color="000000" w:sz="4" w:space="0"/>
            </w:tcBorders>
            <w:noWrap w:val="0"/>
            <w:vAlign w:val="center"/>
          </w:tcPr>
          <w:p w14:paraId="169DEDDD">
            <w:pPr>
              <w:autoSpaceDE w:val="0"/>
              <w:autoSpaceDN w:val="0"/>
              <w:adjustRightInd w:val="0"/>
              <w:rPr>
                <w:rFonts w:ascii="仿宋" w:hAnsi="仿宋" w:eastAsia="仿宋" w:cs="仿宋"/>
                <w:color w:val="auto"/>
                <w:szCs w:val="21"/>
                <w:highlight w:val="none"/>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1A1CAC9B">
            <w:pPr>
              <w:autoSpaceDE w:val="0"/>
              <w:autoSpaceDN w:val="0"/>
              <w:adjustRightInd w:val="0"/>
              <w:rPr>
                <w:rFonts w:ascii="仿宋" w:hAnsi="仿宋" w:eastAsia="仿宋" w:cs="仿宋"/>
                <w:color w:val="auto"/>
                <w:szCs w:val="21"/>
                <w:highlight w:val="none"/>
              </w:rPr>
            </w:pPr>
          </w:p>
        </w:tc>
        <w:tc>
          <w:tcPr>
            <w:tcW w:w="2873" w:type="dxa"/>
            <w:tcBorders>
              <w:top w:val="single" w:color="000000" w:sz="4" w:space="0"/>
              <w:left w:val="single" w:color="000000" w:sz="4" w:space="0"/>
              <w:bottom w:val="single" w:color="000000" w:sz="4" w:space="0"/>
              <w:right w:val="single" w:color="000000" w:sz="4" w:space="0"/>
            </w:tcBorders>
            <w:noWrap w:val="0"/>
            <w:vAlign w:val="center"/>
          </w:tcPr>
          <w:p w14:paraId="03457435">
            <w:pPr>
              <w:autoSpaceDE w:val="0"/>
              <w:autoSpaceDN w:val="0"/>
              <w:adjustRightInd w:val="0"/>
              <w:rPr>
                <w:rFonts w:ascii="仿宋" w:hAnsi="仿宋" w:eastAsia="仿宋" w:cs="仿宋"/>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1232B8A">
            <w:pPr>
              <w:autoSpaceDE w:val="0"/>
              <w:autoSpaceDN w:val="0"/>
              <w:adjustRightInd w:val="0"/>
              <w:rPr>
                <w:rFonts w:ascii="仿宋" w:hAnsi="仿宋" w:eastAsia="仿宋" w:cs="仿宋"/>
                <w:color w:val="auto"/>
                <w:szCs w:val="21"/>
                <w:highlight w:val="none"/>
              </w:rPr>
            </w:pP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3DFF758C">
            <w:pPr>
              <w:autoSpaceDE w:val="0"/>
              <w:autoSpaceDN w:val="0"/>
              <w:adjustRightInd w:val="0"/>
              <w:rPr>
                <w:rFonts w:ascii="仿宋" w:hAnsi="仿宋" w:eastAsia="仿宋" w:cs="仿宋"/>
                <w:color w:val="auto"/>
                <w:szCs w:val="21"/>
                <w:highlight w:val="none"/>
              </w:rPr>
            </w:pPr>
          </w:p>
        </w:tc>
      </w:tr>
      <w:tr w14:paraId="50DF692B">
        <w:tblPrEx>
          <w:tblCellMar>
            <w:top w:w="0" w:type="dxa"/>
            <w:left w:w="0" w:type="dxa"/>
            <w:bottom w:w="0" w:type="dxa"/>
            <w:right w:w="0" w:type="dxa"/>
          </w:tblCellMar>
        </w:tblPrEx>
        <w:trPr>
          <w:trHeight w:val="790" w:hRule="exact"/>
          <w:jc w:val="center"/>
        </w:trPr>
        <w:tc>
          <w:tcPr>
            <w:tcW w:w="1678" w:type="dxa"/>
            <w:tcBorders>
              <w:top w:val="single" w:color="000000" w:sz="4" w:space="0"/>
              <w:left w:val="single" w:color="000000" w:sz="4" w:space="0"/>
              <w:bottom w:val="single" w:color="000000" w:sz="4" w:space="0"/>
              <w:right w:val="single" w:color="000000" w:sz="4" w:space="0"/>
            </w:tcBorders>
            <w:noWrap w:val="0"/>
            <w:vAlign w:val="center"/>
          </w:tcPr>
          <w:p w14:paraId="4657C49A">
            <w:pPr>
              <w:autoSpaceDE w:val="0"/>
              <w:autoSpaceDN w:val="0"/>
              <w:adjustRightInd w:val="0"/>
              <w:rPr>
                <w:rFonts w:ascii="仿宋" w:hAnsi="仿宋" w:eastAsia="仿宋" w:cs="仿宋"/>
                <w:color w:val="auto"/>
                <w:szCs w:val="21"/>
                <w:highlight w:val="none"/>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5EF512CD">
            <w:pPr>
              <w:autoSpaceDE w:val="0"/>
              <w:autoSpaceDN w:val="0"/>
              <w:adjustRightInd w:val="0"/>
              <w:rPr>
                <w:rFonts w:ascii="仿宋" w:hAnsi="仿宋" w:eastAsia="仿宋" w:cs="仿宋"/>
                <w:color w:val="auto"/>
                <w:szCs w:val="21"/>
                <w:highlight w:val="none"/>
              </w:rPr>
            </w:pPr>
          </w:p>
        </w:tc>
        <w:tc>
          <w:tcPr>
            <w:tcW w:w="2873" w:type="dxa"/>
            <w:tcBorders>
              <w:top w:val="single" w:color="000000" w:sz="4" w:space="0"/>
              <w:left w:val="single" w:color="000000" w:sz="4" w:space="0"/>
              <w:bottom w:val="single" w:color="000000" w:sz="4" w:space="0"/>
              <w:right w:val="single" w:color="000000" w:sz="4" w:space="0"/>
            </w:tcBorders>
            <w:noWrap w:val="0"/>
            <w:vAlign w:val="center"/>
          </w:tcPr>
          <w:p w14:paraId="28A3A782">
            <w:pPr>
              <w:autoSpaceDE w:val="0"/>
              <w:autoSpaceDN w:val="0"/>
              <w:adjustRightInd w:val="0"/>
              <w:rPr>
                <w:rFonts w:ascii="仿宋" w:hAnsi="仿宋" w:eastAsia="仿宋" w:cs="仿宋"/>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37DDA12">
            <w:pPr>
              <w:autoSpaceDE w:val="0"/>
              <w:autoSpaceDN w:val="0"/>
              <w:adjustRightInd w:val="0"/>
              <w:rPr>
                <w:rFonts w:ascii="仿宋" w:hAnsi="仿宋" w:eastAsia="仿宋" w:cs="仿宋"/>
                <w:color w:val="auto"/>
                <w:szCs w:val="21"/>
                <w:highlight w:val="none"/>
              </w:rPr>
            </w:pP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13B03CBD">
            <w:pPr>
              <w:autoSpaceDE w:val="0"/>
              <w:autoSpaceDN w:val="0"/>
              <w:adjustRightInd w:val="0"/>
              <w:rPr>
                <w:rFonts w:ascii="仿宋" w:hAnsi="仿宋" w:eastAsia="仿宋" w:cs="仿宋"/>
                <w:color w:val="auto"/>
                <w:szCs w:val="21"/>
                <w:highlight w:val="none"/>
              </w:rPr>
            </w:pPr>
          </w:p>
        </w:tc>
      </w:tr>
      <w:tr w14:paraId="0A3D3404">
        <w:tblPrEx>
          <w:tblCellMar>
            <w:top w:w="0" w:type="dxa"/>
            <w:left w:w="0" w:type="dxa"/>
            <w:bottom w:w="0" w:type="dxa"/>
            <w:right w:w="0" w:type="dxa"/>
          </w:tblCellMar>
        </w:tblPrEx>
        <w:trPr>
          <w:trHeight w:val="769" w:hRule="exact"/>
          <w:jc w:val="center"/>
        </w:trPr>
        <w:tc>
          <w:tcPr>
            <w:tcW w:w="1678" w:type="dxa"/>
            <w:tcBorders>
              <w:top w:val="single" w:color="000000" w:sz="4" w:space="0"/>
              <w:left w:val="single" w:color="000000" w:sz="4" w:space="0"/>
              <w:bottom w:val="single" w:color="000000" w:sz="4" w:space="0"/>
              <w:right w:val="single" w:color="000000" w:sz="4" w:space="0"/>
            </w:tcBorders>
            <w:noWrap w:val="0"/>
            <w:vAlign w:val="center"/>
          </w:tcPr>
          <w:p w14:paraId="52CDAD49">
            <w:pPr>
              <w:autoSpaceDE w:val="0"/>
              <w:autoSpaceDN w:val="0"/>
              <w:adjustRightInd w:val="0"/>
              <w:rPr>
                <w:rFonts w:ascii="仿宋" w:hAnsi="仿宋" w:eastAsia="仿宋" w:cs="仿宋"/>
                <w:color w:val="auto"/>
                <w:szCs w:val="21"/>
                <w:highlight w:val="none"/>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42FCB236">
            <w:pPr>
              <w:autoSpaceDE w:val="0"/>
              <w:autoSpaceDN w:val="0"/>
              <w:adjustRightInd w:val="0"/>
              <w:rPr>
                <w:rFonts w:ascii="仿宋" w:hAnsi="仿宋" w:eastAsia="仿宋" w:cs="仿宋"/>
                <w:color w:val="auto"/>
                <w:szCs w:val="21"/>
                <w:highlight w:val="none"/>
              </w:rPr>
            </w:pPr>
          </w:p>
        </w:tc>
        <w:tc>
          <w:tcPr>
            <w:tcW w:w="2873" w:type="dxa"/>
            <w:tcBorders>
              <w:top w:val="single" w:color="000000" w:sz="4" w:space="0"/>
              <w:left w:val="single" w:color="000000" w:sz="4" w:space="0"/>
              <w:bottom w:val="single" w:color="000000" w:sz="4" w:space="0"/>
              <w:right w:val="single" w:color="000000" w:sz="4" w:space="0"/>
            </w:tcBorders>
            <w:noWrap w:val="0"/>
            <w:vAlign w:val="center"/>
          </w:tcPr>
          <w:p w14:paraId="5871546F">
            <w:pPr>
              <w:autoSpaceDE w:val="0"/>
              <w:autoSpaceDN w:val="0"/>
              <w:adjustRightInd w:val="0"/>
              <w:rPr>
                <w:rFonts w:ascii="仿宋" w:hAnsi="仿宋" w:eastAsia="仿宋" w:cs="仿宋"/>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FD5F280">
            <w:pPr>
              <w:autoSpaceDE w:val="0"/>
              <w:autoSpaceDN w:val="0"/>
              <w:adjustRightInd w:val="0"/>
              <w:rPr>
                <w:rFonts w:ascii="仿宋" w:hAnsi="仿宋" w:eastAsia="仿宋" w:cs="仿宋"/>
                <w:color w:val="auto"/>
                <w:szCs w:val="21"/>
                <w:highlight w:val="none"/>
              </w:rPr>
            </w:pP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7B66CCD4">
            <w:pPr>
              <w:autoSpaceDE w:val="0"/>
              <w:autoSpaceDN w:val="0"/>
              <w:adjustRightInd w:val="0"/>
              <w:rPr>
                <w:rFonts w:ascii="仿宋" w:hAnsi="仿宋" w:eastAsia="仿宋" w:cs="仿宋"/>
                <w:color w:val="auto"/>
                <w:szCs w:val="21"/>
                <w:highlight w:val="none"/>
              </w:rPr>
            </w:pPr>
          </w:p>
        </w:tc>
      </w:tr>
      <w:tr w14:paraId="1AC0AC7E">
        <w:tblPrEx>
          <w:tblCellMar>
            <w:top w:w="0" w:type="dxa"/>
            <w:left w:w="0" w:type="dxa"/>
            <w:bottom w:w="0" w:type="dxa"/>
            <w:right w:w="0" w:type="dxa"/>
          </w:tblCellMar>
        </w:tblPrEx>
        <w:trPr>
          <w:trHeight w:val="782" w:hRule="exact"/>
          <w:jc w:val="center"/>
        </w:trPr>
        <w:tc>
          <w:tcPr>
            <w:tcW w:w="1678" w:type="dxa"/>
            <w:tcBorders>
              <w:top w:val="single" w:color="000000" w:sz="4" w:space="0"/>
              <w:left w:val="single" w:color="000000" w:sz="4" w:space="0"/>
              <w:bottom w:val="single" w:color="000000" w:sz="4" w:space="0"/>
              <w:right w:val="single" w:color="000000" w:sz="4" w:space="0"/>
            </w:tcBorders>
            <w:noWrap w:val="0"/>
            <w:vAlign w:val="center"/>
          </w:tcPr>
          <w:p w14:paraId="33E2182B">
            <w:pPr>
              <w:autoSpaceDE w:val="0"/>
              <w:autoSpaceDN w:val="0"/>
              <w:adjustRightInd w:val="0"/>
              <w:rPr>
                <w:rFonts w:ascii="仿宋" w:hAnsi="仿宋" w:eastAsia="仿宋" w:cs="仿宋"/>
                <w:color w:val="auto"/>
                <w:szCs w:val="21"/>
                <w:highlight w:val="none"/>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3B641982">
            <w:pPr>
              <w:autoSpaceDE w:val="0"/>
              <w:autoSpaceDN w:val="0"/>
              <w:adjustRightInd w:val="0"/>
              <w:rPr>
                <w:rFonts w:ascii="仿宋" w:hAnsi="仿宋" w:eastAsia="仿宋" w:cs="仿宋"/>
                <w:color w:val="auto"/>
                <w:szCs w:val="21"/>
                <w:highlight w:val="none"/>
              </w:rPr>
            </w:pPr>
          </w:p>
        </w:tc>
        <w:tc>
          <w:tcPr>
            <w:tcW w:w="2873" w:type="dxa"/>
            <w:tcBorders>
              <w:top w:val="single" w:color="000000" w:sz="4" w:space="0"/>
              <w:left w:val="single" w:color="000000" w:sz="4" w:space="0"/>
              <w:bottom w:val="single" w:color="000000" w:sz="4" w:space="0"/>
              <w:right w:val="single" w:color="000000" w:sz="4" w:space="0"/>
            </w:tcBorders>
            <w:noWrap w:val="0"/>
            <w:vAlign w:val="center"/>
          </w:tcPr>
          <w:p w14:paraId="03066A8B">
            <w:pPr>
              <w:autoSpaceDE w:val="0"/>
              <w:autoSpaceDN w:val="0"/>
              <w:adjustRightInd w:val="0"/>
              <w:rPr>
                <w:rFonts w:ascii="仿宋" w:hAnsi="仿宋" w:eastAsia="仿宋" w:cs="仿宋"/>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C22C7E7">
            <w:pPr>
              <w:autoSpaceDE w:val="0"/>
              <w:autoSpaceDN w:val="0"/>
              <w:adjustRightInd w:val="0"/>
              <w:rPr>
                <w:rFonts w:ascii="仿宋" w:hAnsi="仿宋" w:eastAsia="仿宋" w:cs="仿宋"/>
                <w:color w:val="auto"/>
                <w:szCs w:val="21"/>
                <w:highlight w:val="none"/>
              </w:rPr>
            </w:pP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64A362D0">
            <w:pPr>
              <w:autoSpaceDE w:val="0"/>
              <w:autoSpaceDN w:val="0"/>
              <w:adjustRightInd w:val="0"/>
              <w:rPr>
                <w:rFonts w:ascii="仿宋" w:hAnsi="仿宋" w:eastAsia="仿宋" w:cs="仿宋"/>
                <w:color w:val="auto"/>
                <w:szCs w:val="21"/>
                <w:highlight w:val="none"/>
              </w:rPr>
            </w:pPr>
          </w:p>
        </w:tc>
      </w:tr>
      <w:tr w14:paraId="3812564C">
        <w:tblPrEx>
          <w:tblCellMar>
            <w:top w:w="0" w:type="dxa"/>
            <w:left w:w="0" w:type="dxa"/>
            <w:bottom w:w="0" w:type="dxa"/>
            <w:right w:w="0" w:type="dxa"/>
          </w:tblCellMar>
        </w:tblPrEx>
        <w:trPr>
          <w:trHeight w:val="778" w:hRule="exact"/>
          <w:jc w:val="center"/>
        </w:trPr>
        <w:tc>
          <w:tcPr>
            <w:tcW w:w="1678" w:type="dxa"/>
            <w:tcBorders>
              <w:top w:val="single" w:color="000000" w:sz="4" w:space="0"/>
              <w:left w:val="single" w:color="000000" w:sz="4" w:space="0"/>
              <w:bottom w:val="single" w:color="000000" w:sz="4" w:space="0"/>
              <w:right w:val="single" w:color="000000" w:sz="4" w:space="0"/>
            </w:tcBorders>
            <w:noWrap w:val="0"/>
            <w:vAlign w:val="center"/>
          </w:tcPr>
          <w:p w14:paraId="4AB2C3CC">
            <w:pPr>
              <w:autoSpaceDE w:val="0"/>
              <w:autoSpaceDN w:val="0"/>
              <w:adjustRightInd w:val="0"/>
              <w:rPr>
                <w:rFonts w:ascii="仿宋" w:hAnsi="仿宋" w:eastAsia="仿宋" w:cs="仿宋"/>
                <w:color w:val="auto"/>
                <w:szCs w:val="21"/>
                <w:highlight w:val="none"/>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74DC13D3">
            <w:pPr>
              <w:autoSpaceDE w:val="0"/>
              <w:autoSpaceDN w:val="0"/>
              <w:adjustRightInd w:val="0"/>
              <w:rPr>
                <w:rFonts w:ascii="仿宋" w:hAnsi="仿宋" w:eastAsia="仿宋" w:cs="仿宋"/>
                <w:color w:val="auto"/>
                <w:szCs w:val="21"/>
                <w:highlight w:val="none"/>
              </w:rPr>
            </w:pPr>
          </w:p>
        </w:tc>
        <w:tc>
          <w:tcPr>
            <w:tcW w:w="2873" w:type="dxa"/>
            <w:tcBorders>
              <w:top w:val="single" w:color="000000" w:sz="4" w:space="0"/>
              <w:left w:val="single" w:color="000000" w:sz="4" w:space="0"/>
              <w:bottom w:val="single" w:color="000000" w:sz="4" w:space="0"/>
              <w:right w:val="single" w:color="000000" w:sz="4" w:space="0"/>
            </w:tcBorders>
            <w:noWrap w:val="0"/>
            <w:vAlign w:val="center"/>
          </w:tcPr>
          <w:p w14:paraId="513CCB5C">
            <w:pPr>
              <w:autoSpaceDE w:val="0"/>
              <w:autoSpaceDN w:val="0"/>
              <w:adjustRightInd w:val="0"/>
              <w:rPr>
                <w:rFonts w:ascii="仿宋" w:hAnsi="仿宋" w:eastAsia="仿宋" w:cs="仿宋"/>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A4F56E7">
            <w:pPr>
              <w:autoSpaceDE w:val="0"/>
              <w:autoSpaceDN w:val="0"/>
              <w:adjustRightInd w:val="0"/>
              <w:rPr>
                <w:rFonts w:ascii="仿宋" w:hAnsi="仿宋" w:eastAsia="仿宋" w:cs="仿宋"/>
                <w:color w:val="auto"/>
                <w:szCs w:val="21"/>
                <w:highlight w:val="none"/>
              </w:rPr>
            </w:pP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567D98DE">
            <w:pPr>
              <w:autoSpaceDE w:val="0"/>
              <w:autoSpaceDN w:val="0"/>
              <w:adjustRightInd w:val="0"/>
              <w:rPr>
                <w:rFonts w:ascii="仿宋" w:hAnsi="仿宋" w:eastAsia="仿宋" w:cs="仿宋"/>
                <w:color w:val="auto"/>
                <w:szCs w:val="21"/>
                <w:highlight w:val="none"/>
              </w:rPr>
            </w:pPr>
          </w:p>
        </w:tc>
      </w:tr>
      <w:tr w14:paraId="52356726">
        <w:tblPrEx>
          <w:tblCellMar>
            <w:top w:w="0" w:type="dxa"/>
            <w:left w:w="0" w:type="dxa"/>
            <w:bottom w:w="0" w:type="dxa"/>
            <w:right w:w="0" w:type="dxa"/>
          </w:tblCellMar>
        </w:tblPrEx>
        <w:trPr>
          <w:trHeight w:val="773" w:hRule="exact"/>
          <w:jc w:val="center"/>
        </w:trPr>
        <w:tc>
          <w:tcPr>
            <w:tcW w:w="1678" w:type="dxa"/>
            <w:tcBorders>
              <w:top w:val="single" w:color="000000" w:sz="4" w:space="0"/>
              <w:left w:val="single" w:color="000000" w:sz="4" w:space="0"/>
              <w:bottom w:val="single" w:color="000000" w:sz="4" w:space="0"/>
              <w:right w:val="single" w:color="000000" w:sz="4" w:space="0"/>
            </w:tcBorders>
            <w:noWrap w:val="0"/>
            <w:vAlign w:val="center"/>
          </w:tcPr>
          <w:p w14:paraId="428B8B20">
            <w:pPr>
              <w:autoSpaceDE w:val="0"/>
              <w:autoSpaceDN w:val="0"/>
              <w:adjustRightInd w:val="0"/>
              <w:rPr>
                <w:rFonts w:ascii="仿宋" w:hAnsi="仿宋" w:eastAsia="仿宋" w:cs="仿宋"/>
                <w:color w:val="auto"/>
                <w:szCs w:val="21"/>
                <w:highlight w:val="none"/>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4B0AFB92">
            <w:pPr>
              <w:autoSpaceDE w:val="0"/>
              <w:autoSpaceDN w:val="0"/>
              <w:adjustRightInd w:val="0"/>
              <w:rPr>
                <w:rFonts w:ascii="仿宋" w:hAnsi="仿宋" w:eastAsia="仿宋" w:cs="仿宋"/>
                <w:color w:val="auto"/>
                <w:szCs w:val="21"/>
                <w:highlight w:val="none"/>
              </w:rPr>
            </w:pPr>
          </w:p>
        </w:tc>
        <w:tc>
          <w:tcPr>
            <w:tcW w:w="2873" w:type="dxa"/>
            <w:tcBorders>
              <w:top w:val="single" w:color="000000" w:sz="4" w:space="0"/>
              <w:left w:val="single" w:color="000000" w:sz="4" w:space="0"/>
              <w:bottom w:val="single" w:color="000000" w:sz="4" w:space="0"/>
              <w:right w:val="single" w:color="000000" w:sz="4" w:space="0"/>
            </w:tcBorders>
            <w:noWrap w:val="0"/>
            <w:vAlign w:val="center"/>
          </w:tcPr>
          <w:p w14:paraId="6977F5C0">
            <w:pPr>
              <w:autoSpaceDE w:val="0"/>
              <w:autoSpaceDN w:val="0"/>
              <w:adjustRightInd w:val="0"/>
              <w:rPr>
                <w:rFonts w:ascii="仿宋" w:hAnsi="仿宋" w:eastAsia="仿宋" w:cs="仿宋"/>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382554D">
            <w:pPr>
              <w:autoSpaceDE w:val="0"/>
              <w:autoSpaceDN w:val="0"/>
              <w:adjustRightInd w:val="0"/>
              <w:rPr>
                <w:rFonts w:ascii="仿宋" w:hAnsi="仿宋" w:eastAsia="仿宋" w:cs="仿宋"/>
                <w:color w:val="auto"/>
                <w:szCs w:val="21"/>
                <w:highlight w:val="none"/>
              </w:rPr>
            </w:pP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3741068A">
            <w:pPr>
              <w:autoSpaceDE w:val="0"/>
              <w:autoSpaceDN w:val="0"/>
              <w:adjustRightInd w:val="0"/>
              <w:rPr>
                <w:rFonts w:ascii="仿宋" w:hAnsi="仿宋" w:eastAsia="仿宋" w:cs="仿宋"/>
                <w:color w:val="auto"/>
                <w:szCs w:val="21"/>
                <w:highlight w:val="none"/>
              </w:rPr>
            </w:pPr>
          </w:p>
        </w:tc>
      </w:tr>
      <w:tr w14:paraId="319B839E">
        <w:tblPrEx>
          <w:tblCellMar>
            <w:top w:w="0" w:type="dxa"/>
            <w:left w:w="0" w:type="dxa"/>
            <w:bottom w:w="0" w:type="dxa"/>
            <w:right w:w="0" w:type="dxa"/>
          </w:tblCellMar>
        </w:tblPrEx>
        <w:trPr>
          <w:trHeight w:val="797" w:hRule="exact"/>
          <w:jc w:val="center"/>
        </w:trPr>
        <w:tc>
          <w:tcPr>
            <w:tcW w:w="1678" w:type="dxa"/>
            <w:tcBorders>
              <w:top w:val="single" w:color="000000" w:sz="4" w:space="0"/>
              <w:left w:val="single" w:color="000000" w:sz="4" w:space="0"/>
              <w:bottom w:val="single" w:color="000000" w:sz="4" w:space="0"/>
              <w:right w:val="single" w:color="000000" w:sz="4" w:space="0"/>
            </w:tcBorders>
            <w:noWrap w:val="0"/>
            <w:vAlign w:val="center"/>
          </w:tcPr>
          <w:p w14:paraId="119584E8">
            <w:pPr>
              <w:autoSpaceDE w:val="0"/>
              <w:autoSpaceDN w:val="0"/>
              <w:adjustRightInd w:val="0"/>
              <w:rPr>
                <w:rFonts w:ascii="仿宋" w:hAnsi="仿宋" w:eastAsia="仿宋" w:cs="仿宋"/>
                <w:color w:val="auto"/>
                <w:szCs w:val="21"/>
                <w:highlight w:val="none"/>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5FFDC9D5">
            <w:pPr>
              <w:autoSpaceDE w:val="0"/>
              <w:autoSpaceDN w:val="0"/>
              <w:adjustRightInd w:val="0"/>
              <w:rPr>
                <w:rFonts w:ascii="仿宋" w:hAnsi="仿宋" w:eastAsia="仿宋" w:cs="仿宋"/>
                <w:color w:val="auto"/>
                <w:szCs w:val="21"/>
                <w:highlight w:val="none"/>
              </w:rPr>
            </w:pPr>
          </w:p>
        </w:tc>
        <w:tc>
          <w:tcPr>
            <w:tcW w:w="2873" w:type="dxa"/>
            <w:tcBorders>
              <w:top w:val="single" w:color="000000" w:sz="4" w:space="0"/>
              <w:left w:val="single" w:color="000000" w:sz="4" w:space="0"/>
              <w:bottom w:val="single" w:color="000000" w:sz="4" w:space="0"/>
              <w:right w:val="single" w:color="000000" w:sz="4" w:space="0"/>
            </w:tcBorders>
            <w:noWrap w:val="0"/>
            <w:vAlign w:val="center"/>
          </w:tcPr>
          <w:p w14:paraId="5CEE0D94">
            <w:pPr>
              <w:autoSpaceDE w:val="0"/>
              <w:autoSpaceDN w:val="0"/>
              <w:adjustRightInd w:val="0"/>
              <w:rPr>
                <w:rFonts w:ascii="仿宋" w:hAnsi="仿宋" w:eastAsia="仿宋" w:cs="仿宋"/>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AC0EA97">
            <w:pPr>
              <w:autoSpaceDE w:val="0"/>
              <w:autoSpaceDN w:val="0"/>
              <w:adjustRightInd w:val="0"/>
              <w:rPr>
                <w:rFonts w:ascii="仿宋" w:hAnsi="仿宋" w:eastAsia="仿宋" w:cs="仿宋"/>
                <w:color w:val="auto"/>
                <w:szCs w:val="21"/>
                <w:highlight w:val="none"/>
              </w:rPr>
            </w:pP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1840F9C4">
            <w:pPr>
              <w:autoSpaceDE w:val="0"/>
              <w:autoSpaceDN w:val="0"/>
              <w:adjustRightInd w:val="0"/>
              <w:rPr>
                <w:rFonts w:ascii="仿宋" w:hAnsi="仿宋" w:eastAsia="仿宋" w:cs="仿宋"/>
                <w:color w:val="auto"/>
                <w:szCs w:val="21"/>
                <w:highlight w:val="none"/>
              </w:rPr>
            </w:pPr>
          </w:p>
        </w:tc>
      </w:tr>
      <w:tr w14:paraId="2059A847">
        <w:tblPrEx>
          <w:tblCellMar>
            <w:top w:w="0" w:type="dxa"/>
            <w:left w:w="0" w:type="dxa"/>
            <w:bottom w:w="0" w:type="dxa"/>
            <w:right w:w="0" w:type="dxa"/>
          </w:tblCellMar>
        </w:tblPrEx>
        <w:trPr>
          <w:trHeight w:val="778" w:hRule="exact"/>
          <w:jc w:val="center"/>
        </w:trPr>
        <w:tc>
          <w:tcPr>
            <w:tcW w:w="1678" w:type="dxa"/>
            <w:tcBorders>
              <w:top w:val="single" w:color="000000" w:sz="4" w:space="0"/>
              <w:left w:val="single" w:color="000000" w:sz="4" w:space="0"/>
              <w:bottom w:val="single" w:color="000000" w:sz="4" w:space="0"/>
              <w:right w:val="single" w:color="000000" w:sz="4" w:space="0"/>
            </w:tcBorders>
            <w:noWrap w:val="0"/>
            <w:vAlign w:val="center"/>
          </w:tcPr>
          <w:p w14:paraId="43E68C16">
            <w:pPr>
              <w:autoSpaceDE w:val="0"/>
              <w:autoSpaceDN w:val="0"/>
              <w:adjustRightInd w:val="0"/>
              <w:rPr>
                <w:rFonts w:ascii="仿宋" w:hAnsi="仿宋" w:eastAsia="仿宋" w:cs="仿宋"/>
                <w:color w:val="auto"/>
                <w:szCs w:val="21"/>
                <w:highlight w:val="none"/>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19F90994">
            <w:pPr>
              <w:autoSpaceDE w:val="0"/>
              <w:autoSpaceDN w:val="0"/>
              <w:adjustRightInd w:val="0"/>
              <w:rPr>
                <w:rFonts w:ascii="仿宋" w:hAnsi="仿宋" w:eastAsia="仿宋" w:cs="仿宋"/>
                <w:color w:val="auto"/>
                <w:szCs w:val="21"/>
                <w:highlight w:val="none"/>
              </w:rPr>
            </w:pPr>
          </w:p>
        </w:tc>
        <w:tc>
          <w:tcPr>
            <w:tcW w:w="2873" w:type="dxa"/>
            <w:tcBorders>
              <w:top w:val="single" w:color="000000" w:sz="4" w:space="0"/>
              <w:left w:val="single" w:color="000000" w:sz="4" w:space="0"/>
              <w:bottom w:val="single" w:color="000000" w:sz="4" w:space="0"/>
              <w:right w:val="single" w:color="000000" w:sz="4" w:space="0"/>
            </w:tcBorders>
            <w:noWrap w:val="0"/>
            <w:vAlign w:val="center"/>
          </w:tcPr>
          <w:p w14:paraId="1BAEACCD">
            <w:pPr>
              <w:autoSpaceDE w:val="0"/>
              <w:autoSpaceDN w:val="0"/>
              <w:adjustRightInd w:val="0"/>
              <w:rPr>
                <w:rFonts w:ascii="仿宋" w:hAnsi="仿宋" w:eastAsia="仿宋" w:cs="仿宋"/>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A75163C">
            <w:pPr>
              <w:autoSpaceDE w:val="0"/>
              <w:autoSpaceDN w:val="0"/>
              <w:adjustRightInd w:val="0"/>
              <w:rPr>
                <w:rFonts w:ascii="仿宋" w:hAnsi="仿宋" w:eastAsia="仿宋" w:cs="仿宋"/>
                <w:color w:val="auto"/>
                <w:szCs w:val="21"/>
                <w:highlight w:val="none"/>
              </w:rPr>
            </w:pP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7E26496A">
            <w:pPr>
              <w:autoSpaceDE w:val="0"/>
              <w:autoSpaceDN w:val="0"/>
              <w:adjustRightInd w:val="0"/>
              <w:rPr>
                <w:rFonts w:ascii="仿宋" w:hAnsi="仿宋" w:eastAsia="仿宋" w:cs="仿宋"/>
                <w:color w:val="auto"/>
                <w:szCs w:val="21"/>
                <w:highlight w:val="none"/>
              </w:rPr>
            </w:pPr>
          </w:p>
        </w:tc>
      </w:tr>
      <w:tr w14:paraId="020CB7DC">
        <w:tblPrEx>
          <w:tblCellMar>
            <w:top w:w="0" w:type="dxa"/>
            <w:left w:w="0" w:type="dxa"/>
            <w:bottom w:w="0" w:type="dxa"/>
            <w:right w:w="0" w:type="dxa"/>
          </w:tblCellMar>
        </w:tblPrEx>
        <w:trPr>
          <w:trHeight w:val="775" w:hRule="exact"/>
          <w:jc w:val="center"/>
        </w:trPr>
        <w:tc>
          <w:tcPr>
            <w:tcW w:w="1678" w:type="dxa"/>
            <w:tcBorders>
              <w:top w:val="single" w:color="000000" w:sz="4" w:space="0"/>
              <w:left w:val="single" w:color="000000" w:sz="4" w:space="0"/>
              <w:bottom w:val="single" w:color="000000" w:sz="4" w:space="0"/>
              <w:right w:val="single" w:color="000000" w:sz="4" w:space="0"/>
            </w:tcBorders>
            <w:noWrap w:val="0"/>
            <w:vAlign w:val="center"/>
          </w:tcPr>
          <w:p w14:paraId="7256D292">
            <w:pPr>
              <w:autoSpaceDE w:val="0"/>
              <w:autoSpaceDN w:val="0"/>
              <w:adjustRightInd w:val="0"/>
              <w:rPr>
                <w:rFonts w:ascii="仿宋" w:hAnsi="仿宋" w:eastAsia="仿宋" w:cs="仿宋"/>
                <w:color w:val="auto"/>
                <w:szCs w:val="21"/>
                <w:highlight w:val="none"/>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462134A9">
            <w:pPr>
              <w:autoSpaceDE w:val="0"/>
              <w:autoSpaceDN w:val="0"/>
              <w:adjustRightInd w:val="0"/>
              <w:rPr>
                <w:rFonts w:ascii="仿宋" w:hAnsi="仿宋" w:eastAsia="仿宋" w:cs="仿宋"/>
                <w:color w:val="auto"/>
                <w:szCs w:val="21"/>
                <w:highlight w:val="none"/>
              </w:rPr>
            </w:pPr>
          </w:p>
        </w:tc>
        <w:tc>
          <w:tcPr>
            <w:tcW w:w="2873" w:type="dxa"/>
            <w:tcBorders>
              <w:top w:val="single" w:color="000000" w:sz="4" w:space="0"/>
              <w:left w:val="single" w:color="000000" w:sz="4" w:space="0"/>
              <w:bottom w:val="single" w:color="000000" w:sz="4" w:space="0"/>
              <w:right w:val="single" w:color="000000" w:sz="4" w:space="0"/>
            </w:tcBorders>
            <w:noWrap w:val="0"/>
            <w:vAlign w:val="center"/>
          </w:tcPr>
          <w:p w14:paraId="118FE9C1">
            <w:pPr>
              <w:autoSpaceDE w:val="0"/>
              <w:autoSpaceDN w:val="0"/>
              <w:adjustRightInd w:val="0"/>
              <w:rPr>
                <w:rFonts w:ascii="仿宋" w:hAnsi="仿宋" w:eastAsia="仿宋" w:cs="仿宋"/>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28D2ADD5">
            <w:pPr>
              <w:autoSpaceDE w:val="0"/>
              <w:autoSpaceDN w:val="0"/>
              <w:adjustRightInd w:val="0"/>
              <w:rPr>
                <w:rFonts w:ascii="仿宋" w:hAnsi="仿宋" w:eastAsia="仿宋" w:cs="仿宋"/>
                <w:color w:val="auto"/>
                <w:szCs w:val="21"/>
                <w:highlight w:val="none"/>
              </w:rPr>
            </w:pP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1C3614C2">
            <w:pPr>
              <w:autoSpaceDE w:val="0"/>
              <w:autoSpaceDN w:val="0"/>
              <w:adjustRightInd w:val="0"/>
              <w:rPr>
                <w:rFonts w:ascii="仿宋" w:hAnsi="仿宋" w:eastAsia="仿宋" w:cs="仿宋"/>
                <w:color w:val="auto"/>
                <w:szCs w:val="21"/>
                <w:highlight w:val="none"/>
              </w:rPr>
            </w:pPr>
          </w:p>
        </w:tc>
      </w:tr>
      <w:tr w14:paraId="476B9EC7">
        <w:tblPrEx>
          <w:tblCellMar>
            <w:top w:w="0" w:type="dxa"/>
            <w:left w:w="0" w:type="dxa"/>
            <w:bottom w:w="0" w:type="dxa"/>
            <w:right w:w="0" w:type="dxa"/>
          </w:tblCellMar>
        </w:tblPrEx>
        <w:trPr>
          <w:trHeight w:val="775" w:hRule="exact"/>
          <w:jc w:val="center"/>
        </w:trPr>
        <w:tc>
          <w:tcPr>
            <w:tcW w:w="1678" w:type="dxa"/>
            <w:tcBorders>
              <w:top w:val="single" w:color="000000" w:sz="4" w:space="0"/>
              <w:left w:val="single" w:color="000000" w:sz="4" w:space="0"/>
              <w:bottom w:val="single" w:color="000000" w:sz="4" w:space="0"/>
              <w:right w:val="single" w:color="000000" w:sz="4" w:space="0"/>
            </w:tcBorders>
            <w:noWrap w:val="0"/>
            <w:vAlign w:val="center"/>
          </w:tcPr>
          <w:p w14:paraId="58101CF0">
            <w:pPr>
              <w:autoSpaceDE w:val="0"/>
              <w:autoSpaceDN w:val="0"/>
              <w:adjustRightInd w:val="0"/>
              <w:rPr>
                <w:rFonts w:ascii="仿宋" w:hAnsi="仿宋" w:eastAsia="仿宋" w:cs="仿宋"/>
                <w:color w:val="auto"/>
                <w:szCs w:val="21"/>
                <w:highlight w:val="none"/>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06CC2A2A">
            <w:pPr>
              <w:autoSpaceDE w:val="0"/>
              <w:autoSpaceDN w:val="0"/>
              <w:adjustRightInd w:val="0"/>
              <w:rPr>
                <w:rFonts w:ascii="仿宋" w:hAnsi="仿宋" w:eastAsia="仿宋" w:cs="仿宋"/>
                <w:color w:val="auto"/>
                <w:szCs w:val="21"/>
                <w:highlight w:val="none"/>
              </w:rPr>
            </w:pPr>
          </w:p>
        </w:tc>
        <w:tc>
          <w:tcPr>
            <w:tcW w:w="2873" w:type="dxa"/>
            <w:tcBorders>
              <w:top w:val="single" w:color="000000" w:sz="4" w:space="0"/>
              <w:left w:val="single" w:color="000000" w:sz="4" w:space="0"/>
              <w:bottom w:val="single" w:color="000000" w:sz="4" w:space="0"/>
              <w:right w:val="single" w:color="000000" w:sz="4" w:space="0"/>
            </w:tcBorders>
            <w:noWrap w:val="0"/>
            <w:vAlign w:val="center"/>
          </w:tcPr>
          <w:p w14:paraId="751FFFD5">
            <w:pPr>
              <w:autoSpaceDE w:val="0"/>
              <w:autoSpaceDN w:val="0"/>
              <w:adjustRightInd w:val="0"/>
              <w:rPr>
                <w:rFonts w:ascii="仿宋" w:hAnsi="仿宋" w:eastAsia="仿宋" w:cs="仿宋"/>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80E6023">
            <w:pPr>
              <w:autoSpaceDE w:val="0"/>
              <w:autoSpaceDN w:val="0"/>
              <w:adjustRightInd w:val="0"/>
              <w:rPr>
                <w:rFonts w:ascii="仿宋" w:hAnsi="仿宋" w:eastAsia="仿宋" w:cs="仿宋"/>
                <w:color w:val="auto"/>
                <w:szCs w:val="21"/>
                <w:highlight w:val="none"/>
              </w:rPr>
            </w:pP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17B4038F">
            <w:pPr>
              <w:autoSpaceDE w:val="0"/>
              <w:autoSpaceDN w:val="0"/>
              <w:adjustRightInd w:val="0"/>
              <w:rPr>
                <w:rFonts w:ascii="仿宋" w:hAnsi="仿宋" w:eastAsia="仿宋" w:cs="仿宋"/>
                <w:color w:val="auto"/>
                <w:szCs w:val="21"/>
                <w:highlight w:val="none"/>
              </w:rPr>
            </w:pPr>
          </w:p>
        </w:tc>
      </w:tr>
      <w:tr w14:paraId="6CAE316F">
        <w:tblPrEx>
          <w:tblCellMar>
            <w:top w:w="0" w:type="dxa"/>
            <w:left w:w="0" w:type="dxa"/>
            <w:bottom w:w="0" w:type="dxa"/>
            <w:right w:w="0" w:type="dxa"/>
          </w:tblCellMar>
        </w:tblPrEx>
        <w:trPr>
          <w:trHeight w:val="776" w:hRule="exact"/>
          <w:jc w:val="center"/>
        </w:trPr>
        <w:tc>
          <w:tcPr>
            <w:tcW w:w="1678" w:type="dxa"/>
            <w:tcBorders>
              <w:top w:val="single" w:color="000000" w:sz="4" w:space="0"/>
              <w:left w:val="single" w:color="000000" w:sz="4" w:space="0"/>
              <w:bottom w:val="single" w:color="000000" w:sz="4" w:space="0"/>
              <w:right w:val="single" w:color="000000" w:sz="4" w:space="0"/>
            </w:tcBorders>
            <w:noWrap w:val="0"/>
            <w:vAlign w:val="center"/>
          </w:tcPr>
          <w:p w14:paraId="2A473736">
            <w:pPr>
              <w:autoSpaceDE w:val="0"/>
              <w:autoSpaceDN w:val="0"/>
              <w:adjustRightInd w:val="0"/>
              <w:rPr>
                <w:rFonts w:ascii="仿宋" w:hAnsi="仿宋" w:eastAsia="仿宋" w:cs="仿宋"/>
                <w:color w:val="auto"/>
                <w:szCs w:val="21"/>
                <w:highlight w:val="none"/>
              </w:rPr>
            </w:pPr>
          </w:p>
        </w:tc>
        <w:tc>
          <w:tcPr>
            <w:tcW w:w="1481" w:type="dxa"/>
            <w:tcBorders>
              <w:top w:val="single" w:color="000000" w:sz="4" w:space="0"/>
              <w:left w:val="single" w:color="000000" w:sz="4" w:space="0"/>
              <w:bottom w:val="single" w:color="000000" w:sz="4" w:space="0"/>
              <w:right w:val="single" w:color="000000" w:sz="4" w:space="0"/>
            </w:tcBorders>
            <w:noWrap w:val="0"/>
            <w:vAlign w:val="center"/>
          </w:tcPr>
          <w:p w14:paraId="684E7F91">
            <w:pPr>
              <w:autoSpaceDE w:val="0"/>
              <w:autoSpaceDN w:val="0"/>
              <w:adjustRightInd w:val="0"/>
              <w:rPr>
                <w:rFonts w:ascii="仿宋" w:hAnsi="仿宋" w:eastAsia="仿宋" w:cs="仿宋"/>
                <w:color w:val="auto"/>
                <w:szCs w:val="21"/>
                <w:highlight w:val="none"/>
              </w:rPr>
            </w:pPr>
          </w:p>
        </w:tc>
        <w:tc>
          <w:tcPr>
            <w:tcW w:w="2873" w:type="dxa"/>
            <w:tcBorders>
              <w:top w:val="single" w:color="000000" w:sz="4" w:space="0"/>
              <w:left w:val="single" w:color="000000" w:sz="4" w:space="0"/>
              <w:bottom w:val="single" w:color="000000" w:sz="4" w:space="0"/>
              <w:right w:val="single" w:color="000000" w:sz="4" w:space="0"/>
            </w:tcBorders>
            <w:noWrap w:val="0"/>
            <w:vAlign w:val="center"/>
          </w:tcPr>
          <w:p w14:paraId="2CC141B3">
            <w:pPr>
              <w:autoSpaceDE w:val="0"/>
              <w:autoSpaceDN w:val="0"/>
              <w:adjustRightInd w:val="0"/>
              <w:rPr>
                <w:rFonts w:ascii="仿宋" w:hAnsi="仿宋" w:eastAsia="仿宋" w:cs="仿宋"/>
                <w:color w:val="auto"/>
                <w:szCs w:val="21"/>
                <w:highlight w:val="none"/>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E1ABCCC">
            <w:pPr>
              <w:autoSpaceDE w:val="0"/>
              <w:autoSpaceDN w:val="0"/>
              <w:adjustRightInd w:val="0"/>
              <w:rPr>
                <w:rFonts w:ascii="仿宋" w:hAnsi="仿宋" w:eastAsia="仿宋" w:cs="仿宋"/>
                <w:color w:val="auto"/>
                <w:szCs w:val="21"/>
                <w:highlight w:val="none"/>
              </w:rPr>
            </w:pPr>
          </w:p>
        </w:tc>
        <w:tc>
          <w:tcPr>
            <w:tcW w:w="1914" w:type="dxa"/>
            <w:tcBorders>
              <w:top w:val="single" w:color="000000" w:sz="4" w:space="0"/>
              <w:left w:val="single" w:color="000000" w:sz="4" w:space="0"/>
              <w:bottom w:val="single" w:color="000000" w:sz="4" w:space="0"/>
              <w:right w:val="single" w:color="000000" w:sz="4" w:space="0"/>
            </w:tcBorders>
            <w:noWrap w:val="0"/>
            <w:vAlign w:val="center"/>
          </w:tcPr>
          <w:p w14:paraId="42162F5B">
            <w:pPr>
              <w:autoSpaceDE w:val="0"/>
              <w:autoSpaceDN w:val="0"/>
              <w:adjustRightInd w:val="0"/>
              <w:rPr>
                <w:rFonts w:ascii="仿宋" w:hAnsi="仿宋" w:eastAsia="仿宋" w:cs="仿宋"/>
                <w:color w:val="auto"/>
                <w:szCs w:val="21"/>
                <w:highlight w:val="none"/>
              </w:rPr>
            </w:pPr>
          </w:p>
        </w:tc>
      </w:tr>
    </w:tbl>
    <w:p w14:paraId="5558267C">
      <w:pPr>
        <w:autoSpaceDE w:val="0"/>
        <w:autoSpaceDN w:val="0"/>
        <w:adjustRightInd w:val="0"/>
        <w:spacing w:line="271" w:lineRule="exact"/>
        <w:ind w:left="222" w:right="-20"/>
        <w:rPr>
          <w:rFonts w:ascii="宋体" w:hAnsi="宋体" w:cs="宋体"/>
          <w:color w:val="auto"/>
          <w:position w:val="-2"/>
          <w:sz w:val="24"/>
          <w:szCs w:val="24"/>
          <w:highlight w:val="none"/>
        </w:rPr>
      </w:pPr>
    </w:p>
    <w:p w14:paraId="30813D46">
      <w:pPr>
        <w:spacing w:line="360" w:lineRule="auto"/>
        <w:contextualSpacing/>
        <w:rPr>
          <w:rFonts w:hint="eastAsia" w:ascii="仿宋" w:hAnsi="仿宋" w:eastAsia="仿宋" w:cs="仿宋"/>
          <w:color w:val="auto"/>
          <w:kern w:val="0"/>
          <w:sz w:val="24"/>
          <w:szCs w:val="24"/>
          <w:highlight w:val="none"/>
        </w:rPr>
      </w:pPr>
      <w:r>
        <w:rPr>
          <w:rFonts w:hint="eastAsia" w:ascii="仿宋" w:hAnsi="仿宋" w:eastAsia="仿宋" w:cs="仿宋"/>
          <w:color w:val="auto"/>
          <w:szCs w:val="21"/>
          <w:highlight w:val="none"/>
        </w:rPr>
        <w:t>注：项目组人员应具备相应的资质和经验。表格后附人员身份证及职业（从业）资格证等材料原件扫描件（若有）。</w:t>
      </w:r>
    </w:p>
    <w:p w14:paraId="202FD4A1">
      <w:pPr>
        <w:pStyle w:val="3"/>
        <w:tabs>
          <w:tab w:val="center" w:pos="4536"/>
        </w:tabs>
        <w:spacing w:line="720" w:lineRule="auto"/>
        <w:jc w:val="center"/>
        <w:outlineLvl w:val="9"/>
        <w:rPr>
          <w:rFonts w:hint="eastAsia" w:ascii="仿宋" w:hAnsi="仿宋" w:eastAsia="仿宋" w:cs="仿宋"/>
          <w:color w:val="auto"/>
          <w:sz w:val="24"/>
          <w:szCs w:val="24"/>
          <w:highlight w:val="none"/>
        </w:rPr>
      </w:pPr>
    </w:p>
    <w:p w14:paraId="08C0803B">
      <w:pPr>
        <w:pStyle w:val="3"/>
        <w:tabs>
          <w:tab w:val="center" w:pos="4536"/>
        </w:tabs>
        <w:spacing w:line="720" w:lineRule="auto"/>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402E74E3">
      <w:pPr>
        <w:pStyle w:val="3"/>
        <w:jc w:val="both"/>
        <w:rPr>
          <w:rFonts w:hint="eastAsia" w:ascii="仿宋" w:hAnsi="仿宋" w:eastAsia="仿宋" w:cs="仿宋"/>
          <w:color w:val="auto"/>
          <w:sz w:val="24"/>
          <w:szCs w:val="24"/>
          <w:highlight w:val="none"/>
        </w:rPr>
      </w:pPr>
      <w:bookmarkStart w:id="25" w:name="_Toc9843"/>
      <w:bookmarkStart w:id="26" w:name="_Toc493515447"/>
      <w:bookmarkStart w:id="27" w:name="_Toc381796438"/>
      <w:bookmarkStart w:id="28" w:name="_Toc493515575"/>
      <w:bookmarkStart w:id="29" w:name="_Toc292983036"/>
      <w:r>
        <w:rPr>
          <w:rFonts w:hint="eastAsia" w:ascii="仿宋" w:hAnsi="仿宋" w:eastAsia="仿宋" w:cs="仿宋"/>
          <w:color w:val="auto"/>
          <w:sz w:val="24"/>
          <w:szCs w:val="24"/>
          <w:highlight w:val="none"/>
        </w:rPr>
        <w:t>附件</w:t>
      </w:r>
      <w:bookmarkEnd w:id="25"/>
      <w:r>
        <w:rPr>
          <w:rFonts w:hint="eastAsia" w:ascii="仿宋" w:hAnsi="仿宋" w:eastAsia="仿宋" w:cs="仿宋"/>
          <w:color w:val="auto"/>
          <w:sz w:val="24"/>
          <w:szCs w:val="24"/>
          <w:highlight w:val="none"/>
        </w:rPr>
        <w:t>十</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 xml:space="preserve"> </w:t>
      </w:r>
    </w:p>
    <w:bookmarkEnd w:id="26"/>
    <w:bookmarkEnd w:id="27"/>
    <w:bookmarkEnd w:id="28"/>
    <w:bookmarkEnd w:id="29"/>
    <w:p w14:paraId="139082F1">
      <w:pPr>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竞争性磋商</w:t>
      </w:r>
      <w:r>
        <w:rPr>
          <w:rFonts w:hint="eastAsia" w:ascii="仿宋" w:hAnsi="仿宋" w:eastAsia="仿宋" w:cs="仿宋"/>
          <w:b/>
          <w:bCs/>
          <w:color w:val="auto"/>
          <w:sz w:val="32"/>
          <w:szCs w:val="32"/>
          <w:highlight w:val="none"/>
        </w:rPr>
        <w:t>文件要求</w:t>
      </w:r>
      <w:r>
        <w:rPr>
          <w:rFonts w:hint="eastAsia" w:ascii="仿宋" w:hAnsi="仿宋" w:eastAsia="仿宋" w:cs="仿宋"/>
          <w:b/>
          <w:bCs/>
          <w:color w:val="auto"/>
          <w:sz w:val="32"/>
          <w:szCs w:val="32"/>
          <w:highlight w:val="none"/>
          <w:lang w:val="en-US" w:eastAsia="zh-CN"/>
        </w:rPr>
        <w:t>供应商</w:t>
      </w:r>
      <w:r>
        <w:rPr>
          <w:rFonts w:hint="eastAsia" w:ascii="仿宋" w:hAnsi="仿宋" w:eastAsia="仿宋" w:cs="仿宋"/>
          <w:b/>
          <w:bCs/>
          <w:color w:val="auto"/>
          <w:sz w:val="32"/>
          <w:szCs w:val="32"/>
          <w:highlight w:val="none"/>
        </w:rPr>
        <w:t>提交的其他资料</w:t>
      </w:r>
    </w:p>
    <w:p w14:paraId="3A820190">
      <w:pPr>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认为需要</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其他材料。</w:t>
      </w:r>
    </w:p>
    <w:p w14:paraId="4CA7D8BE">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p>
    <w:p w14:paraId="347270D1">
      <w:pPr>
        <w:spacing w:line="360" w:lineRule="auto"/>
        <w:ind w:left="-178" w:leftChars="-85" w:firstLine="104" w:firstLineChars="37"/>
        <w:jc w:val="left"/>
        <w:rPr>
          <w:rFonts w:ascii="宋体" w:hAnsi="宋体"/>
          <w:b/>
          <w:color w:val="auto"/>
          <w:sz w:val="32"/>
          <w:szCs w:val="32"/>
          <w:highlight w:val="none"/>
        </w:rPr>
      </w:pPr>
      <w:r>
        <w:rPr>
          <w:rFonts w:hint="eastAsia" w:ascii="仿宋" w:hAnsi="仿宋" w:eastAsia="仿宋" w:cs="仿宋"/>
          <w:b/>
          <w:color w:val="auto"/>
          <w:sz w:val="28"/>
          <w:szCs w:val="28"/>
          <w:highlight w:val="none"/>
        </w:rPr>
        <w:t>附件</w:t>
      </w:r>
    </w:p>
    <w:p w14:paraId="0C264B3E">
      <w:pPr>
        <w:jc w:val="center"/>
        <w:rPr>
          <w:rStyle w:val="34"/>
          <w:rFonts w:ascii="仿宋" w:hAnsi="仿宋" w:eastAsia="仿宋" w:cs="仿宋"/>
          <w:b/>
          <w:color w:val="auto"/>
          <w:sz w:val="32"/>
          <w:szCs w:val="32"/>
          <w:highlight w:val="none"/>
        </w:rPr>
      </w:pPr>
      <w:r>
        <w:rPr>
          <w:rStyle w:val="34"/>
          <w:rFonts w:hint="eastAsia" w:ascii="仿宋" w:hAnsi="仿宋" w:eastAsia="仿宋" w:cs="仿宋"/>
          <w:b/>
          <w:color w:val="auto"/>
          <w:sz w:val="32"/>
          <w:szCs w:val="32"/>
          <w:highlight w:val="none"/>
        </w:rPr>
        <w:t>竞争性磋商承诺函及最终报价表</w:t>
      </w:r>
    </w:p>
    <w:p w14:paraId="202E4405">
      <w:pPr>
        <w:pStyle w:val="117"/>
        <w:ind w:left="624" w:leftChars="-135" w:hanging="907" w:hangingChars="432"/>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lang w:val="en-US"/>
        </w:rPr>
        <w:t>项目名称：</w:t>
      </w:r>
      <w:r>
        <w:rPr>
          <w:rFonts w:hint="eastAsia" w:ascii="仿宋" w:hAnsi="仿宋" w:eastAsia="仿宋" w:cs="仿宋"/>
          <w:color w:val="auto"/>
          <w:kern w:val="2"/>
          <w:sz w:val="21"/>
          <w:szCs w:val="21"/>
          <w:highlight w:val="none"/>
          <w:lang w:val="en-US" w:eastAsia="zh-CN"/>
        </w:rPr>
        <w:t>石林彝族自治县行政中心室外绿化管养外包服务（2025-2028年）</w:t>
      </w:r>
    </w:p>
    <w:p w14:paraId="5F5E3BD9">
      <w:pPr>
        <w:pStyle w:val="117"/>
        <w:ind w:leftChars="-135" w:hanging="283" w:hangingChars="135"/>
        <w:rPr>
          <w:rFonts w:ascii="仿宋" w:hAnsi="仿宋" w:eastAsia="仿宋" w:cs="仿宋"/>
          <w:color w:val="auto"/>
          <w:kern w:val="2"/>
          <w:sz w:val="21"/>
          <w:szCs w:val="21"/>
          <w:highlight w:val="none"/>
          <w:lang w:val="en-US"/>
        </w:rPr>
      </w:pPr>
      <w:r>
        <w:rPr>
          <w:rFonts w:hint="eastAsia" w:ascii="仿宋" w:hAnsi="仿宋" w:eastAsia="仿宋" w:cs="仿宋"/>
          <w:color w:val="auto"/>
          <w:kern w:val="2"/>
          <w:sz w:val="21"/>
          <w:szCs w:val="21"/>
          <w:highlight w:val="none"/>
          <w:lang w:val="en-US"/>
        </w:rPr>
        <w:t>招标编号：</w:t>
      </w:r>
    </w:p>
    <w:tbl>
      <w:tblPr>
        <w:tblStyle w:val="21"/>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2"/>
      </w:tblGrid>
      <w:tr w14:paraId="62CD4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9462" w:type="dxa"/>
            <w:vAlign w:val="center"/>
          </w:tcPr>
          <w:p w14:paraId="2B91CA90">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供应商名称：</w:t>
            </w:r>
          </w:p>
        </w:tc>
      </w:tr>
      <w:tr w14:paraId="08069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7" w:hRule="atLeast"/>
        </w:trPr>
        <w:tc>
          <w:tcPr>
            <w:tcW w:w="9462" w:type="dxa"/>
            <w:vAlign w:val="center"/>
          </w:tcPr>
          <w:p w14:paraId="73EFBDE1">
            <w:pPr>
              <w:tabs>
                <w:tab w:val="center" w:pos="4552"/>
              </w:tabs>
              <w:spacing w:line="480" w:lineRule="auto"/>
              <w:rPr>
                <w:rFonts w:ascii="仿宋" w:hAnsi="仿宋" w:eastAsia="仿宋" w:cs="仿宋"/>
                <w:color w:val="auto"/>
                <w:szCs w:val="21"/>
                <w:highlight w:val="none"/>
                <w:u w:val="single"/>
              </w:rPr>
            </w:pPr>
            <w:r>
              <w:rPr>
                <w:rFonts w:hint="eastAsia" w:ascii="仿宋" w:hAnsi="仿宋" w:eastAsia="仿宋" w:cs="仿宋"/>
                <w:color w:val="auto"/>
                <w:szCs w:val="21"/>
                <w:highlight w:val="none"/>
              </w:rPr>
              <w:t>最终总报价：大写：</w:t>
            </w:r>
            <w:r>
              <w:rPr>
                <w:rFonts w:hint="eastAsia" w:ascii="仿宋" w:hAnsi="仿宋" w:eastAsia="仿宋" w:cs="仿宋"/>
                <w:color w:val="auto"/>
                <w:szCs w:val="21"/>
                <w:highlight w:val="none"/>
                <w:u w:val="single"/>
              </w:rPr>
              <w:t xml:space="preserve">                                          </w:t>
            </w:r>
          </w:p>
          <w:p w14:paraId="0AE6E693">
            <w:pPr>
              <w:tabs>
                <w:tab w:val="center" w:pos="4552"/>
              </w:tabs>
              <w:spacing w:line="480" w:lineRule="auto"/>
              <w:ind w:firstLine="1260" w:firstLineChars="600"/>
              <w:rPr>
                <w:rFonts w:ascii="仿宋" w:hAnsi="仿宋" w:eastAsia="仿宋" w:cs="仿宋"/>
                <w:color w:val="auto"/>
                <w:szCs w:val="21"/>
                <w:highlight w:val="none"/>
                <w:u w:val="single"/>
              </w:rPr>
            </w:pPr>
            <w:r>
              <w:rPr>
                <w:rFonts w:hint="eastAsia" w:ascii="仿宋" w:hAnsi="仿宋" w:eastAsia="仿宋" w:cs="仿宋"/>
                <w:color w:val="auto"/>
                <w:szCs w:val="21"/>
                <w:highlight w:val="none"/>
              </w:rPr>
              <w:t>小写：</w:t>
            </w:r>
            <w:r>
              <w:rPr>
                <w:rFonts w:hint="eastAsia" w:ascii="仿宋" w:hAnsi="仿宋" w:eastAsia="仿宋" w:cs="仿宋"/>
                <w:color w:val="auto"/>
                <w:szCs w:val="21"/>
                <w:highlight w:val="none"/>
                <w:u w:val="single"/>
              </w:rPr>
              <w:t xml:space="preserve">                                          </w:t>
            </w:r>
          </w:p>
        </w:tc>
      </w:tr>
      <w:tr w14:paraId="1500F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462" w:type="dxa"/>
          </w:tcPr>
          <w:p w14:paraId="44A10D9A">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其他补充说明（或</w:t>
            </w:r>
            <w:r>
              <w:rPr>
                <w:rFonts w:hint="eastAsia" w:ascii="仿宋" w:hAnsi="仿宋" w:eastAsia="仿宋" w:cs="仿宋"/>
                <w:color w:val="auto"/>
                <w:spacing w:val="-6"/>
                <w:szCs w:val="21"/>
                <w:highlight w:val="none"/>
              </w:rPr>
              <w:t>其他优惠条件）</w:t>
            </w:r>
            <w:r>
              <w:rPr>
                <w:rFonts w:hint="eastAsia" w:ascii="仿宋" w:hAnsi="仿宋" w:eastAsia="仿宋" w:cs="仿宋"/>
                <w:color w:val="auto"/>
                <w:szCs w:val="21"/>
                <w:highlight w:val="none"/>
              </w:rPr>
              <w:t>（若有）：</w:t>
            </w:r>
          </w:p>
          <w:p w14:paraId="066D9255">
            <w:pPr>
              <w:spacing w:line="360" w:lineRule="auto"/>
              <w:rPr>
                <w:rFonts w:ascii="仿宋" w:hAnsi="仿宋" w:eastAsia="仿宋" w:cs="仿宋"/>
                <w:color w:val="auto"/>
                <w:szCs w:val="21"/>
                <w:highlight w:val="none"/>
              </w:rPr>
            </w:pPr>
          </w:p>
          <w:p w14:paraId="0BE22043">
            <w:pPr>
              <w:spacing w:line="360" w:lineRule="auto"/>
              <w:rPr>
                <w:rFonts w:ascii="仿宋" w:hAnsi="仿宋" w:eastAsia="仿宋" w:cs="仿宋"/>
                <w:color w:val="auto"/>
                <w:szCs w:val="21"/>
                <w:highlight w:val="none"/>
              </w:rPr>
            </w:pPr>
          </w:p>
          <w:p w14:paraId="4C0D1638">
            <w:pPr>
              <w:spacing w:line="360" w:lineRule="auto"/>
              <w:rPr>
                <w:rFonts w:ascii="仿宋" w:hAnsi="仿宋" w:eastAsia="仿宋" w:cs="仿宋"/>
                <w:color w:val="auto"/>
                <w:szCs w:val="21"/>
                <w:highlight w:val="none"/>
              </w:rPr>
            </w:pPr>
          </w:p>
          <w:p w14:paraId="5F1F6449">
            <w:pPr>
              <w:spacing w:line="360" w:lineRule="auto"/>
              <w:rPr>
                <w:rFonts w:ascii="仿宋" w:hAnsi="仿宋" w:eastAsia="仿宋" w:cs="仿宋"/>
                <w:color w:val="auto"/>
                <w:szCs w:val="21"/>
                <w:highlight w:val="none"/>
              </w:rPr>
            </w:pPr>
          </w:p>
          <w:p w14:paraId="17546A96">
            <w:pPr>
              <w:spacing w:line="360" w:lineRule="auto"/>
              <w:rPr>
                <w:rFonts w:ascii="仿宋" w:hAnsi="仿宋" w:eastAsia="仿宋" w:cs="仿宋"/>
                <w:color w:val="auto"/>
                <w:szCs w:val="21"/>
                <w:highlight w:val="none"/>
              </w:rPr>
            </w:pPr>
          </w:p>
          <w:p w14:paraId="7F4B4FA4">
            <w:pPr>
              <w:spacing w:line="360" w:lineRule="auto"/>
              <w:rPr>
                <w:rFonts w:ascii="仿宋" w:hAnsi="仿宋" w:eastAsia="仿宋" w:cs="仿宋"/>
                <w:color w:val="auto"/>
                <w:szCs w:val="21"/>
                <w:highlight w:val="none"/>
              </w:rPr>
            </w:pPr>
          </w:p>
          <w:p w14:paraId="037B8D6D">
            <w:pPr>
              <w:spacing w:line="360" w:lineRule="auto"/>
              <w:rPr>
                <w:rFonts w:ascii="仿宋" w:hAnsi="仿宋" w:eastAsia="仿宋" w:cs="仿宋"/>
                <w:color w:val="auto"/>
                <w:szCs w:val="21"/>
                <w:highlight w:val="none"/>
              </w:rPr>
            </w:pPr>
          </w:p>
          <w:p w14:paraId="13AE24CC">
            <w:pPr>
              <w:spacing w:line="360" w:lineRule="auto"/>
              <w:rPr>
                <w:rFonts w:ascii="仿宋" w:hAnsi="仿宋" w:eastAsia="仿宋" w:cs="仿宋"/>
                <w:color w:val="auto"/>
                <w:szCs w:val="21"/>
                <w:highlight w:val="none"/>
              </w:rPr>
            </w:pPr>
          </w:p>
          <w:p w14:paraId="736F6EF6">
            <w:pPr>
              <w:spacing w:line="360" w:lineRule="auto"/>
              <w:ind w:firstLine="3465" w:firstLineChars="1650"/>
              <w:rPr>
                <w:rFonts w:ascii="仿宋" w:hAnsi="仿宋" w:eastAsia="仿宋" w:cs="仿宋"/>
                <w:color w:val="auto"/>
                <w:szCs w:val="21"/>
                <w:highlight w:val="none"/>
              </w:rPr>
            </w:pPr>
            <w:r>
              <w:rPr>
                <w:rFonts w:hint="eastAsia" w:ascii="仿宋" w:hAnsi="仿宋" w:eastAsia="仿宋" w:cs="仿宋"/>
                <w:color w:val="auto"/>
                <w:szCs w:val="21"/>
                <w:highlight w:val="none"/>
              </w:rPr>
              <w:t>供应商法定代表人</w:t>
            </w:r>
          </w:p>
          <w:p w14:paraId="7CE102E8">
            <w:pPr>
              <w:spacing w:line="360" w:lineRule="auto"/>
              <w:ind w:firstLine="3465" w:firstLineChars="1650"/>
              <w:rPr>
                <w:rFonts w:ascii="仿宋" w:hAnsi="仿宋" w:eastAsia="仿宋" w:cs="仿宋"/>
                <w:color w:val="auto"/>
                <w:szCs w:val="21"/>
                <w:highlight w:val="none"/>
                <w:u w:val="single"/>
              </w:rPr>
            </w:pPr>
            <w:r>
              <w:rPr>
                <w:rFonts w:hint="eastAsia" w:ascii="仿宋" w:hAnsi="仿宋" w:eastAsia="仿宋" w:cs="仿宋"/>
                <w:color w:val="auto"/>
                <w:szCs w:val="21"/>
                <w:highlight w:val="none"/>
              </w:rPr>
              <w:t>或授权委托人：</w:t>
            </w:r>
            <w:r>
              <w:rPr>
                <w:rFonts w:hint="eastAsia" w:ascii="仿宋" w:hAnsi="仿宋" w:eastAsia="仿宋" w:cs="仿宋"/>
                <w:color w:val="auto"/>
                <w:szCs w:val="21"/>
                <w:highlight w:val="none"/>
                <w:u w:val="single"/>
              </w:rPr>
              <w:t xml:space="preserve">（电子签章或签字）                     </w:t>
            </w:r>
          </w:p>
          <w:p w14:paraId="0FD89EEF">
            <w:pPr>
              <w:spacing w:line="360" w:lineRule="auto"/>
              <w:rPr>
                <w:rFonts w:ascii="仿宋" w:hAnsi="仿宋" w:eastAsia="仿宋" w:cs="仿宋"/>
                <w:color w:val="auto"/>
                <w:szCs w:val="21"/>
                <w:highlight w:val="none"/>
                <w:u w:val="single"/>
              </w:rPr>
            </w:pPr>
          </w:p>
          <w:p w14:paraId="141CF7C2">
            <w:pPr>
              <w:spacing w:line="360" w:lineRule="auto"/>
              <w:ind w:firstLine="5775" w:firstLineChars="2750"/>
              <w:rPr>
                <w:rFonts w:ascii="仿宋" w:hAnsi="仿宋" w:eastAsia="仿宋" w:cs="仿宋"/>
                <w:color w:val="auto"/>
                <w:szCs w:val="21"/>
                <w:highlight w:val="none"/>
              </w:rPr>
            </w:pPr>
            <w:r>
              <w:rPr>
                <w:rFonts w:hint="eastAsia" w:ascii="仿宋" w:hAnsi="仿宋" w:eastAsia="仿宋" w:cs="仿宋"/>
                <w:color w:val="auto"/>
                <w:szCs w:val="21"/>
                <w:highlight w:val="none"/>
              </w:rPr>
              <w:t>年      月       日</w:t>
            </w:r>
          </w:p>
        </w:tc>
      </w:tr>
    </w:tbl>
    <w:p w14:paraId="33C48D0F">
      <w:pPr>
        <w:spacing w:line="336" w:lineRule="auto"/>
        <w:ind w:firstLine="600"/>
        <w:jc w:val="center"/>
        <w:rPr>
          <w:rStyle w:val="34"/>
          <w:rFonts w:ascii="仿宋" w:hAnsi="仿宋" w:eastAsia="仿宋" w:cs="仿宋"/>
          <w:b/>
          <w:color w:val="auto"/>
          <w:sz w:val="44"/>
          <w:szCs w:val="44"/>
          <w:highlight w:val="none"/>
        </w:rPr>
      </w:pPr>
    </w:p>
    <w:p w14:paraId="7AEAB680">
      <w:pPr>
        <w:spacing w:line="336" w:lineRule="auto"/>
        <w:jc w:val="left"/>
        <w:rPr>
          <w:rStyle w:val="34"/>
          <w:rFonts w:ascii="仿宋" w:hAnsi="仿宋" w:eastAsia="仿宋" w:cs="仿宋"/>
          <w:b/>
          <w:bCs/>
          <w:color w:val="auto"/>
          <w:szCs w:val="21"/>
          <w:highlight w:val="none"/>
        </w:rPr>
      </w:pPr>
      <w:r>
        <w:rPr>
          <w:rStyle w:val="34"/>
          <w:rFonts w:hint="eastAsia" w:ascii="仿宋" w:hAnsi="仿宋" w:eastAsia="仿宋" w:cs="仿宋"/>
          <w:b/>
          <w:bCs/>
          <w:color w:val="auto"/>
          <w:szCs w:val="21"/>
          <w:highlight w:val="none"/>
        </w:rPr>
        <w:t>注：1.《竞争性磋商承诺函及最终报价表》无须扫描放入响应文件中，供应商应单独打印，于二次报价时上传于政采云平台（网址：</w:t>
      </w:r>
      <w:r>
        <w:rPr>
          <w:rStyle w:val="34"/>
          <w:rFonts w:hint="eastAsia" w:ascii="仿宋" w:hAnsi="仿宋" w:eastAsia="仿宋" w:cs="仿宋"/>
          <w:b/>
          <w:bCs/>
          <w:color w:val="auto"/>
          <w:szCs w:val="21"/>
          <w:highlight w:val="none"/>
        </w:rPr>
        <w:fldChar w:fldCharType="begin"/>
      </w:r>
      <w:r>
        <w:rPr>
          <w:rStyle w:val="34"/>
          <w:rFonts w:hint="eastAsia" w:ascii="仿宋" w:hAnsi="仿宋" w:eastAsia="仿宋" w:cs="仿宋"/>
          <w:b/>
          <w:bCs/>
          <w:color w:val="auto"/>
          <w:szCs w:val="21"/>
          <w:highlight w:val="none"/>
        </w:rPr>
        <w:instrText xml:space="preserve"> HYPERLINK "https://www.zcygov.cn/)，报价时间于开标当日由代理机构人员电话通知，请各投标供应商保存通讯畅通，政采云平台规定二次报价时间为30分钟，若在此时间段内未进行二次报价的以投标文件首次报价价格为准。" </w:instrText>
      </w:r>
      <w:r>
        <w:rPr>
          <w:rStyle w:val="34"/>
          <w:rFonts w:hint="eastAsia" w:ascii="仿宋" w:hAnsi="仿宋" w:eastAsia="仿宋" w:cs="仿宋"/>
          <w:b/>
          <w:bCs/>
          <w:color w:val="auto"/>
          <w:szCs w:val="21"/>
          <w:highlight w:val="none"/>
        </w:rPr>
        <w:fldChar w:fldCharType="separate"/>
      </w:r>
      <w:r>
        <w:rPr>
          <w:rStyle w:val="34"/>
          <w:rFonts w:hint="eastAsia" w:ascii="仿宋" w:hAnsi="仿宋" w:eastAsia="仿宋" w:cs="仿宋"/>
          <w:b/>
          <w:bCs/>
          <w:color w:val="auto"/>
          <w:szCs w:val="21"/>
          <w:highlight w:val="none"/>
        </w:rPr>
        <w:t>https://www.zcygov.cn/)。</w:t>
      </w:r>
    </w:p>
    <w:p w14:paraId="3FCBC5ED">
      <w:pPr>
        <w:spacing w:line="336" w:lineRule="auto"/>
        <w:jc w:val="left"/>
        <w:rPr>
          <w:rStyle w:val="34"/>
          <w:rFonts w:ascii="仿宋" w:hAnsi="仿宋" w:eastAsia="仿宋" w:cs="仿宋"/>
          <w:b/>
          <w:color w:val="auto"/>
          <w:sz w:val="44"/>
          <w:szCs w:val="44"/>
          <w:highlight w:val="none"/>
        </w:rPr>
      </w:pPr>
      <w:r>
        <w:rPr>
          <w:rStyle w:val="34"/>
          <w:rFonts w:hint="eastAsia" w:ascii="仿宋" w:hAnsi="仿宋" w:eastAsia="仿宋" w:cs="仿宋"/>
          <w:b/>
          <w:bCs/>
          <w:color w:val="auto"/>
          <w:szCs w:val="21"/>
          <w:highlight w:val="none"/>
        </w:rPr>
        <w:t>2.报价时间于开标当日由代理机构人员电话通知，请各投标供应商保持通讯畅通，政采云平台规定二次报价时间为30分钟，若在此时间段内未进行二次报价的投标供应商，商务部分报价以响应文件首次报价价格为准。</w:t>
      </w:r>
      <w:r>
        <w:rPr>
          <w:rStyle w:val="34"/>
          <w:rFonts w:hint="eastAsia" w:ascii="仿宋" w:hAnsi="仿宋" w:eastAsia="仿宋" w:cs="仿宋"/>
          <w:b/>
          <w:bCs/>
          <w:color w:val="auto"/>
          <w:szCs w:val="21"/>
          <w:highlight w:val="none"/>
        </w:rPr>
        <w:fldChar w:fldCharType="end"/>
      </w:r>
      <w:r>
        <w:rPr>
          <w:rStyle w:val="34"/>
          <w:rFonts w:ascii="仿宋" w:hAnsi="仿宋" w:eastAsia="仿宋" w:cs="仿宋"/>
          <w:b/>
          <w:color w:val="auto"/>
          <w:sz w:val="44"/>
          <w:szCs w:val="44"/>
          <w:highlight w:val="none"/>
        </w:rPr>
        <w:br w:type="page"/>
      </w:r>
    </w:p>
    <w:p w14:paraId="20545AF3">
      <w:pPr>
        <w:spacing w:line="336" w:lineRule="auto"/>
        <w:jc w:val="left"/>
        <w:rPr>
          <w:rStyle w:val="34"/>
          <w:rFonts w:ascii="仿宋" w:hAnsi="仿宋" w:eastAsia="仿宋" w:cs="仿宋"/>
          <w:b/>
          <w:color w:val="auto"/>
          <w:sz w:val="44"/>
          <w:szCs w:val="44"/>
          <w:highlight w:val="none"/>
        </w:rPr>
      </w:pPr>
    </w:p>
    <w:p w14:paraId="6430E4CA">
      <w:pPr>
        <w:pStyle w:val="2"/>
        <w:bidi w:val="0"/>
        <w:rPr>
          <w:rStyle w:val="34"/>
          <w:rFonts w:ascii="仿宋" w:hAnsi="仿宋" w:eastAsia="仿宋" w:cs="仿宋"/>
          <w:b/>
          <w:color w:val="auto"/>
          <w:szCs w:val="44"/>
          <w:highlight w:val="none"/>
        </w:rPr>
      </w:pPr>
      <w:bookmarkStart w:id="30" w:name="_Toc21143"/>
      <w:r>
        <w:rPr>
          <w:rFonts w:hint="eastAsia" w:ascii="仿宋" w:hAnsi="仿宋" w:eastAsia="仿宋" w:cs="仿宋"/>
          <w:color w:val="auto"/>
          <w:highlight w:val="none"/>
        </w:rPr>
        <w:t>第六章  评审标准（综合评分法）</w:t>
      </w:r>
      <w:bookmarkEnd w:id="30"/>
    </w:p>
    <w:p w14:paraId="3F9E9CBE">
      <w:pPr>
        <w:spacing w:line="336" w:lineRule="auto"/>
        <w:ind w:firstLine="600"/>
        <w:jc w:val="center"/>
        <w:rPr>
          <w:rStyle w:val="34"/>
          <w:rFonts w:ascii="仿宋" w:hAnsi="仿宋" w:eastAsia="仿宋" w:cs="仿宋"/>
          <w:b/>
          <w:color w:val="auto"/>
          <w:sz w:val="32"/>
          <w:szCs w:val="32"/>
          <w:highlight w:val="none"/>
        </w:rPr>
      </w:pPr>
      <w:r>
        <w:rPr>
          <w:rStyle w:val="34"/>
          <w:rFonts w:hint="eastAsia" w:ascii="仿宋" w:hAnsi="仿宋" w:eastAsia="仿宋" w:cs="仿宋"/>
          <w:b/>
          <w:color w:val="auto"/>
          <w:sz w:val="32"/>
          <w:szCs w:val="32"/>
          <w:highlight w:val="none"/>
        </w:rPr>
        <w:t>评标办法前附表</w:t>
      </w:r>
    </w:p>
    <w:tbl>
      <w:tblPr>
        <w:tblStyle w:val="21"/>
        <w:tblW w:w="94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11"/>
        <w:gridCol w:w="1273"/>
        <w:gridCol w:w="1697"/>
        <w:gridCol w:w="5526"/>
      </w:tblGrid>
      <w:tr w14:paraId="07B2E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6" w:hRule="atLeast"/>
          <w:jc w:val="center"/>
        </w:trPr>
        <w:tc>
          <w:tcPr>
            <w:tcW w:w="2184" w:type="dxa"/>
            <w:gridSpan w:val="2"/>
            <w:vAlign w:val="center"/>
          </w:tcPr>
          <w:p w14:paraId="1B9E1358">
            <w:pPr>
              <w:spacing w:before="60" w:after="60" w:line="336" w:lineRule="auto"/>
              <w:jc w:val="center"/>
              <w:rPr>
                <w:rStyle w:val="34"/>
                <w:rFonts w:hint="eastAsia" w:ascii="仿宋" w:hAnsi="仿宋" w:eastAsia="仿宋" w:cs="仿宋"/>
                <w:b/>
                <w:color w:val="auto"/>
                <w:sz w:val="21"/>
                <w:szCs w:val="21"/>
                <w:highlight w:val="none"/>
              </w:rPr>
            </w:pPr>
            <w:r>
              <w:rPr>
                <w:rStyle w:val="34"/>
                <w:rFonts w:hint="eastAsia" w:ascii="仿宋" w:hAnsi="仿宋" w:eastAsia="仿宋" w:cs="仿宋"/>
                <w:b/>
                <w:color w:val="auto"/>
                <w:sz w:val="21"/>
                <w:szCs w:val="21"/>
                <w:highlight w:val="none"/>
              </w:rPr>
              <w:t>条款号</w:t>
            </w:r>
          </w:p>
        </w:tc>
        <w:tc>
          <w:tcPr>
            <w:tcW w:w="1697" w:type="dxa"/>
            <w:vAlign w:val="center"/>
          </w:tcPr>
          <w:p w14:paraId="139C577B">
            <w:pPr>
              <w:spacing w:before="60" w:after="60" w:line="336" w:lineRule="auto"/>
              <w:ind w:left="2" w:leftChars="-7" w:hanging="17"/>
              <w:jc w:val="center"/>
              <w:rPr>
                <w:rStyle w:val="34"/>
                <w:rFonts w:hint="eastAsia" w:ascii="仿宋" w:hAnsi="仿宋" w:eastAsia="仿宋" w:cs="仿宋"/>
                <w:b/>
                <w:color w:val="auto"/>
                <w:sz w:val="21"/>
                <w:szCs w:val="21"/>
                <w:highlight w:val="none"/>
              </w:rPr>
            </w:pPr>
            <w:r>
              <w:rPr>
                <w:rStyle w:val="34"/>
                <w:rFonts w:hint="eastAsia" w:ascii="仿宋" w:hAnsi="仿宋" w:eastAsia="仿宋" w:cs="仿宋"/>
                <w:b/>
                <w:color w:val="auto"/>
                <w:sz w:val="21"/>
                <w:szCs w:val="21"/>
                <w:highlight w:val="none"/>
              </w:rPr>
              <w:t>评审因素</w:t>
            </w:r>
          </w:p>
        </w:tc>
        <w:tc>
          <w:tcPr>
            <w:tcW w:w="5526" w:type="dxa"/>
            <w:vAlign w:val="center"/>
          </w:tcPr>
          <w:p w14:paraId="712EB81D">
            <w:pPr>
              <w:spacing w:before="60" w:after="60" w:line="336" w:lineRule="auto"/>
              <w:ind w:left="2" w:leftChars="-7" w:hanging="17"/>
              <w:jc w:val="center"/>
              <w:rPr>
                <w:rStyle w:val="34"/>
                <w:rFonts w:hint="eastAsia" w:ascii="仿宋" w:hAnsi="仿宋" w:eastAsia="仿宋" w:cs="仿宋"/>
                <w:b/>
                <w:color w:val="auto"/>
                <w:sz w:val="21"/>
                <w:szCs w:val="21"/>
                <w:highlight w:val="none"/>
              </w:rPr>
            </w:pPr>
            <w:r>
              <w:rPr>
                <w:rStyle w:val="34"/>
                <w:rFonts w:hint="eastAsia" w:ascii="仿宋" w:hAnsi="仿宋" w:eastAsia="仿宋" w:cs="仿宋"/>
                <w:b/>
                <w:color w:val="auto"/>
                <w:sz w:val="21"/>
                <w:szCs w:val="21"/>
                <w:highlight w:val="none"/>
              </w:rPr>
              <w:t>评审标准</w:t>
            </w:r>
          </w:p>
        </w:tc>
      </w:tr>
      <w:tr w14:paraId="07CFB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6" w:hRule="atLeast"/>
          <w:jc w:val="center"/>
        </w:trPr>
        <w:tc>
          <w:tcPr>
            <w:tcW w:w="911" w:type="dxa"/>
            <w:vMerge w:val="restart"/>
            <w:vAlign w:val="center"/>
          </w:tcPr>
          <w:p w14:paraId="38E1C02C">
            <w:pPr>
              <w:spacing w:before="60" w:after="60" w:line="336" w:lineRule="auto"/>
              <w:jc w:val="center"/>
              <w:rPr>
                <w:rStyle w:val="34"/>
                <w:rFonts w:hint="eastAsia" w:ascii="仿宋" w:hAnsi="仿宋" w:eastAsia="仿宋" w:cs="仿宋"/>
                <w:bCs/>
                <w:color w:val="auto"/>
                <w:sz w:val="21"/>
                <w:szCs w:val="21"/>
                <w:highlight w:val="none"/>
              </w:rPr>
            </w:pPr>
            <w:r>
              <w:rPr>
                <w:rStyle w:val="34"/>
                <w:rFonts w:hint="eastAsia" w:ascii="仿宋" w:hAnsi="仿宋" w:eastAsia="仿宋" w:cs="仿宋"/>
                <w:bCs/>
                <w:color w:val="auto"/>
                <w:sz w:val="21"/>
                <w:szCs w:val="21"/>
                <w:highlight w:val="none"/>
              </w:rPr>
              <w:t>2.1</w:t>
            </w:r>
          </w:p>
        </w:tc>
        <w:tc>
          <w:tcPr>
            <w:tcW w:w="1273" w:type="dxa"/>
            <w:vMerge w:val="restart"/>
            <w:vAlign w:val="center"/>
          </w:tcPr>
          <w:p w14:paraId="411BAA99">
            <w:pPr>
              <w:spacing w:before="60" w:after="60" w:line="336" w:lineRule="auto"/>
              <w:jc w:val="center"/>
              <w:rPr>
                <w:rStyle w:val="34"/>
                <w:rFonts w:hint="eastAsia" w:ascii="仿宋" w:hAnsi="仿宋" w:eastAsia="仿宋" w:cs="仿宋"/>
                <w:bCs/>
                <w:color w:val="auto"/>
                <w:sz w:val="21"/>
                <w:szCs w:val="21"/>
                <w:highlight w:val="none"/>
              </w:rPr>
            </w:pPr>
            <w:r>
              <w:rPr>
                <w:rStyle w:val="34"/>
                <w:rFonts w:hint="eastAsia" w:ascii="仿宋" w:hAnsi="仿宋" w:eastAsia="仿宋" w:cs="仿宋"/>
                <w:bCs/>
                <w:color w:val="auto"/>
                <w:sz w:val="21"/>
                <w:szCs w:val="21"/>
                <w:highlight w:val="none"/>
              </w:rPr>
              <w:t>资格审查</w:t>
            </w:r>
          </w:p>
        </w:tc>
        <w:tc>
          <w:tcPr>
            <w:tcW w:w="1697" w:type="dxa"/>
            <w:vAlign w:val="center"/>
          </w:tcPr>
          <w:p w14:paraId="2EB7BEC1">
            <w:pPr>
              <w:spacing w:before="60" w:after="60" w:line="336" w:lineRule="auto"/>
              <w:ind w:left="2" w:leftChars="-7" w:hanging="17"/>
              <w:jc w:val="center"/>
              <w:rPr>
                <w:rStyle w:val="34"/>
                <w:rFonts w:hint="eastAsia" w:ascii="仿宋" w:hAnsi="仿宋" w:eastAsia="仿宋" w:cs="仿宋"/>
                <w:bCs/>
                <w:color w:val="auto"/>
                <w:sz w:val="21"/>
                <w:szCs w:val="21"/>
                <w:highlight w:val="none"/>
              </w:rPr>
            </w:pPr>
            <w:r>
              <w:rPr>
                <w:rStyle w:val="34"/>
                <w:rFonts w:hint="eastAsia" w:ascii="仿宋" w:hAnsi="仿宋" w:eastAsia="仿宋" w:cs="仿宋"/>
                <w:bCs/>
                <w:color w:val="auto"/>
                <w:sz w:val="21"/>
                <w:szCs w:val="21"/>
                <w:highlight w:val="none"/>
              </w:rPr>
              <w:t>具有独立承担民事责任的能力</w:t>
            </w:r>
          </w:p>
        </w:tc>
        <w:tc>
          <w:tcPr>
            <w:tcW w:w="5526" w:type="dxa"/>
            <w:vAlign w:val="center"/>
          </w:tcPr>
          <w:p w14:paraId="0ABD13A4">
            <w:pPr>
              <w:spacing w:before="60" w:after="60" w:line="336" w:lineRule="auto"/>
              <w:ind w:left="2" w:leftChars="-7" w:hanging="17"/>
              <w:jc w:val="left"/>
              <w:rPr>
                <w:rStyle w:val="34"/>
                <w:rFonts w:hint="eastAsia" w:ascii="仿宋" w:hAnsi="仿宋" w:eastAsia="仿宋" w:cs="仿宋"/>
                <w:bCs/>
                <w:color w:val="auto"/>
                <w:sz w:val="21"/>
                <w:szCs w:val="21"/>
                <w:highlight w:val="none"/>
              </w:rPr>
            </w:pPr>
            <w:r>
              <w:rPr>
                <w:rStyle w:val="34"/>
                <w:rFonts w:hint="eastAsia" w:ascii="仿宋" w:hAnsi="仿宋" w:eastAsia="仿宋" w:cs="仿宋"/>
                <w:bCs/>
                <w:color w:val="auto"/>
                <w:sz w:val="21"/>
                <w:szCs w:val="21"/>
                <w:highlight w:val="none"/>
              </w:rPr>
              <w:t>在中华人民共和国境内合法注册，提供有效的法人或者其他组织的营业执照等证明文件</w:t>
            </w:r>
          </w:p>
        </w:tc>
      </w:tr>
      <w:tr w14:paraId="554ED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6" w:hRule="atLeast"/>
          <w:jc w:val="center"/>
        </w:trPr>
        <w:tc>
          <w:tcPr>
            <w:tcW w:w="911" w:type="dxa"/>
            <w:vMerge w:val="continue"/>
            <w:vAlign w:val="center"/>
          </w:tcPr>
          <w:p w14:paraId="33B8A79D">
            <w:pPr>
              <w:spacing w:before="60" w:after="60" w:line="336" w:lineRule="auto"/>
              <w:jc w:val="center"/>
              <w:rPr>
                <w:rStyle w:val="34"/>
                <w:rFonts w:hint="eastAsia" w:ascii="仿宋" w:hAnsi="仿宋" w:eastAsia="仿宋" w:cs="仿宋"/>
                <w:b/>
                <w:color w:val="auto"/>
                <w:sz w:val="21"/>
                <w:szCs w:val="21"/>
                <w:highlight w:val="none"/>
              </w:rPr>
            </w:pPr>
          </w:p>
        </w:tc>
        <w:tc>
          <w:tcPr>
            <w:tcW w:w="1273" w:type="dxa"/>
            <w:vMerge w:val="continue"/>
            <w:vAlign w:val="center"/>
          </w:tcPr>
          <w:p w14:paraId="0CC70E9B">
            <w:pPr>
              <w:spacing w:before="60" w:after="60" w:line="336" w:lineRule="auto"/>
              <w:jc w:val="center"/>
              <w:rPr>
                <w:rStyle w:val="34"/>
                <w:rFonts w:hint="eastAsia" w:ascii="仿宋" w:hAnsi="仿宋" w:eastAsia="仿宋" w:cs="仿宋"/>
                <w:b/>
                <w:color w:val="auto"/>
                <w:sz w:val="21"/>
                <w:szCs w:val="21"/>
                <w:highlight w:val="none"/>
              </w:rPr>
            </w:pPr>
          </w:p>
        </w:tc>
        <w:tc>
          <w:tcPr>
            <w:tcW w:w="1697" w:type="dxa"/>
            <w:vAlign w:val="center"/>
          </w:tcPr>
          <w:p w14:paraId="443288A8">
            <w:pPr>
              <w:spacing w:before="60" w:after="60" w:line="336" w:lineRule="auto"/>
              <w:ind w:left="2" w:leftChars="-7" w:hanging="17"/>
              <w:jc w:val="center"/>
              <w:rPr>
                <w:rStyle w:val="34"/>
                <w:rFonts w:hint="eastAsia" w:ascii="仿宋" w:hAnsi="仿宋" w:eastAsia="仿宋" w:cs="仿宋"/>
                <w:bCs/>
                <w:color w:val="auto"/>
                <w:sz w:val="21"/>
                <w:szCs w:val="21"/>
                <w:highlight w:val="none"/>
              </w:rPr>
            </w:pPr>
            <w:r>
              <w:rPr>
                <w:rStyle w:val="34"/>
                <w:rFonts w:hint="eastAsia" w:ascii="仿宋" w:hAnsi="仿宋" w:eastAsia="仿宋" w:cs="仿宋"/>
                <w:bCs/>
                <w:color w:val="auto"/>
                <w:sz w:val="21"/>
                <w:szCs w:val="21"/>
                <w:highlight w:val="none"/>
              </w:rPr>
              <w:t>具有良好的商业信誉和健全的财务会计制度</w:t>
            </w:r>
          </w:p>
        </w:tc>
        <w:tc>
          <w:tcPr>
            <w:tcW w:w="5526" w:type="dxa"/>
            <w:vAlign w:val="center"/>
          </w:tcPr>
          <w:p w14:paraId="1A90BE77">
            <w:pPr>
              <w:spacing w:before="60" w:after="60" w:line="336" w:lineRule="auto"/>
              <w:ind w:left="2" w:leftChars="-7" w:hanging="17"/>
              <w:jc w:val="left"/>
              <w:rPr>
                <w:rStyle w:val="34"/>
                <w:rFonts w:hint="eastAsia" w:ascii="仿宋" w:hAnsi="仿宋" w:eastAsia="仿宋" w:cs="仿宋"/>
                <w:bCs/>
                <w:color w:val="auto"/>
                <w:sz w:val="21"/>
                <w:szCs w:val="21"/>
                <w:highlight w:val="none"/>
              </w:rPr>
            </w:pPr>
            <w:r>
              <w:rPr>
                <w:rStyle w:val="34"/>
                <w:rFonts w:hint="eastAsia" w:ascii="仿宋" w:hAnsi="仿宋" w:eastAsia="仿宋" w:cs="仿宋"/>
                <w:bCs/>
                <w:color w:val="auto"/>
                <w:kern w:val="0"/>
                <w:sz w:val="21"/>
                <w:szCs w:val="21"/>
                <w:highlight w:val="none"/>
              </w:rPr>
              <w:t>提供良好的商业信誉承诺书或声明函，提供近三年（2021年-2023年）经非本单位专业审计机构审计的财务报表及审计报告；公司成立不满三年的，提供成立后的非本单位专业审计机构审计的财务报表及审计报告；成立不满1年的，无需提供上述证明材料；事业单位提供会计报表</w:t>
            </w:r>
          </w:p>
        </w:tc>
      </w:tr>
      <w:tr w14:paraId="63B3C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6" w:hRule="atLeast"/>
          <w:jc w:val="center"/>
        </w:trPr>
        <w:tc>
          <w:tcPr>
            <w:tcW w:w="911" w:type="dxa"/>
            <w:vMerge w:val="continue"/>
            <w:vAlign w:val="center"/>
          </w:tcPr>
          <w:p w14:paraId="6773829B">
            <w:pPr>
              <w:spacing w:before="60" w:after="60" w:line="336" w:lineRule="auto"/>
              <w:jc w:val="center"/>
              <w:rPr>
                <w:rStyle w:val="34"/>
                <w:rFonts w:hint="eastAsia" w:ascii="仿宋" w:hAnsi="仿宋" w:eastAsia="仿宋" w:cs="仿宋"/>
                <w:b/>
                <w:color w:val="auto"/>
                <w:sz w:val="21"/>
                <w:szCs w:val="21"/>
                <w:highlight w:val="none"/>
              </w:rPr>
            </w:pPr>
          </w:p>
        </w:tc>
        <w:tc>
          <w:tcPr>
            <w:tcW w:w="1273" w:type="dxa"/>
            <w:vMerge w:val="continue"/>
            <w:vAlign w:val="center"/>
          </w:tcPr>
          <w:p w14:paraId="7C8317A1">
            <w:pPr>
              <w:spacing w:before="60" w:after="60" w:line="336" w:lineRule="auto"/>
              <w:jc w:val="center"/>
              <w:rPr>
                <w:rStyle w:val="34"/>
                <w:rFonts w:hint="eastAsia" w:ascii="仿宋" w:hAnsi="仿宋" w:eastAsia="仿宋" w:cs="仿宋"/>
                <w:b/>
                <w:color w:val="auto"/>
                <w:sz w:val="21"/>
                <w:szCs w:val="21"/>
                <w:highlight w:val="none"/>
              </w:rPr>
            </w:pPr>
          </w:p>
        </w:tc>
        <w:tc>
          <w:tcPr>
            <w:tcW w:w="1697" w:type="dxa"/>
            <w:vAlign w:val="center"/>
          </w:tcPr>
          <w:p w14:paraId="72FEEE8D">
            <w:pPr>
              <w:spacing w:before="60" w:after="60" w:line="336" w:lineRule="auto"/>
              <w:ind w:left="2" w:leftChars="-7" w:hanging="17"/>
              <w:jc w:val="center"/>
              <w:rPr>
                <w:rStyle w:val="34"/>
                <w:rFonts w:hint="eastAsia" w:ascii="仿宋" w:hAnsi="仿宋" w:eastAsia="仿宋" w:cs="仿宋"/>
                <w:bCs/>
                <w:color w:val="auto"/>
                <w:sz w:val="21"/>
                <w:szCs w:val="21"/>
                <w:highlight w:val="none"/>
              </w:rPr>
            </w:pPr>
            <w:r>
              <w:rPr>
                <w:rStyle w:val="34"/>
                <w:rFonts w:hint="eastAsia" w:ascii="仿宋" w:hAnsi="仿宋" w:eastAsia="仿宋" w:cs="仿宋"/>
                <w:bCs/>
                <w:color w:val="auto"/>
                <w:kern w:val="0"/>
                <w:sz w:val="21"/>
                <w:szCs w:val="21"/>
                <w:highlight w:val="none"/>
              </w:rPr>
              <w:t>具有履行合同所必需的设备和专业技术能力</w:t>
            </w:r>
          </w:p>
        </w:tc>
        <w:tc>
          <w:tcPr>
            <w:tcW w:w="5526" w:type="dxa"/>
            <w:vAlign w:val="center"/>
          </w:tcPr>
          <w:p w14:paraId="0E362BB6">
            <w:pPr>
              <w:spacing w:before="60" w:after="60" w:line="336" w:lineRule="auto"/>
              <w:jc w:val="left"/>
              <w:rPr>
                <w:rStyle w:val="34"/>
                <w:rFonts w:hint="eastAsia" w:ascii="仿宋" w:hAnsi="仿宋" w:eastAsia="仿宋" w:cs="仿宋"/>
                <w:bCs/>
                <w:color w:val="auto"/>
                <w:sz w:val="21"/>
                <w:szCs w:val="21"/>
                <w:highlight w:val="none"/>
              </w:rPr>
            </w:pPr>
            <w:r>
              <w:rPr>
                <w:rStyle w:val="34"/>
                <w:rFonts w:hint="eastAsia" w:ascii="仿宋" w:hAnsi="仿宋" w:eastAsia="仿宋" w:cs="仿宋"/>
                <w:bCs/>
                <w:color w:val="auto"/>
                <w:kern w:val="0"/>
                <w:sz w:val="21"/>
                <w:szCs w:val="21"/>
                <w:highlight w:val="none"/>
              </w:rPr>
              <w:t>提供具有履行合同所必需的设备和专业技术能力的证明材料（声明函或承诺书或相关证明材料）</w:t>
            </w:r>
          </w:p>
        </w:tc>
      </w:tr>
      <w:tr w14:paraId="28D0B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6" w:hRule="atLeast"/>
          <w:jc w:val="center"/>
        </w:trPr>
        <w:tc>
          <w:tcPr>
            <w:tcW w:w="911" w:type="dxa"/>
            <w:vMerge w:val="continue"/>
            <w:vAlign w:val="center"/>
          </w:tcPr>
          <w:p w14:paraId="599472D7">
            <w:pPr>
              <w:spacing w:before="60" w:after="60" w:line="336" w:lineRule="auto"/>
              <w:jc w:val="center"/>
              <w:rPr>
                <w:rStyle w:val="34"/>
                <w:rFonts w:hint="eastAsia" w:ascii="仿宋" w:hAnsi="仿宋" w:eastAsia="仿宋" w:cs="仿宋"/>
                <w:b/>
                <w:color w:val="auto"/>
                <w:sz w:val="21"/>
                <w:szCs w:val="21"/>
                <w:highlight w:val="none"/>
              </w:rPr>
            </w:pPr>
          </w:p>
        </w:tc>
        <w:tc>
          <w:tcPr>
            <w:tcW w:w="1273" w:type="dxa"/>
            <w:vMerge w:val="continue"/>
            <w:vAlign w:val="center"/>
          </w:tcPr>
          <w:p w14:paraId="57A309A6">
            <w:pPr>
              <w:spacing w:before="60" w:after="60" w:line="336" w:lineRule="auto"/>
              <w:jc w:val="center"/>
              <w:rPr>
                <w:rStyle w:val="34"/>
                <w:rFonts w:hint="eastAsia" w:ascii="仿宋" w:hAnsi="仿宋" w:eastAsia="仿宋" w:cs="仿宋"/>
                <w:b/>
                <w:color w:val="auto"/>
                <w:sz w:val="21"/>
                <w:szCs w:val="21"/>
                <w:highlight w:val="none"/>
              </w:rPr>
            </w:pPr>
          </w:p>
        </w:tc>
        <w:tc>
          <w:tcPr>
            <w:tcW w:w="1697" w:type="dxa"/>
            <w:vAlign w:val="center"/>
          </w:tcPr>
          <w:p w14:paraId="2E0BC949">
            <w:pPr>
              <w:spacing w:before="60" w:after="60" w:line="336" w:lineRule="auto"/>
              <w:ind w:left="2" w:leftChars="-7" w:hanging="17"/>
              <w:jc w:val="center"/>
              <w:rPr>
                <w:rStyle w:val="34"/>
                <w:rFonts w:hint="eastAsia" w:ascii="仿宋" w:hAnsi="仿宋" w:eastAsia="仿宋" w:cs="仿宋"/>
                <w:bCs/>
                <w:color w:val="auto"/>
                <w:sz w:val="21"/>
                <w:szCs w:val="21"/>
                <w:highlight w:val="none"/>
              </w:rPr>
            </w:pPr>
            <w:r>
              <w:rPr>
                <w:rStyle w:val="34"/>
                <w:rFonts w:hint="eastAsia" w:ascii="仿宋" w:hAnsi="仿宋" w:eastAsia="仿宋" w:cs="仿宋"/>
                <w:bCs/>
                <w:color w:val="auto"/>
                <w:kern w:val="0"/>
                <w:sz w:val="21"/>
                <w:szCs w:val="21"/>
                <w:highlight w:val="none"/>
              </w:rPr>
              <w:t>有依法缴纳税收和社会保障资金的良好记录</w:t>
            </w:r>
          </w:p>
        </w:tc>
        <w:tc>
          <w:tcPr>
            <w:tcW w:w="5526" w:type="dxa"/>
            <w:vAlign w:val="center"/>
          </w:tcPr>
          <w:p w14:paraId="2DE81D50">
            <w:pPr>
              <w:spacing w:before="60" w:after="60" w:line="336" w:lineRule="auto"/>
              <w:ind w:left="2" w:leftChars="-7" w:hanging="17"/>
              <w:jc w:val="left"/>
              <w:rPr>
                <w:rStyle w:val="34"/>
                <w:rFonts w:hint="eastAsia" w:ascii="仿宋" w:hAnsi="仿宋" w:eastAsia="仿宋" w:cs="仿宋"/>
                <w:bCs/>
                <w:color w:val="auto"/>
                <w:sz w:val="21"/>
                <w:szCs w:val="21"/>
                <w:highlight w:val="none"/>
              </w:rPr>
            </w:pPr>
            <w:r>
              <w:rPr>
                <w:rStyle w:val="34"/>
                <w:rFonts w:hint="eastAsia" w:ascii="仿宋" w:hAnsi="仿宋" w:eastAsia="仿宋" w:cs="仿宋"/>
                <w:bCs/>
                <w:color w:val="auto"/>
                <w:kern w:val="0"/>
                <w:sz w:val="21"/>
                <w:szCs w:val="21"/>
                <w:highlight w:val="none"/>
              </w:rPr>
              <w:t>2024年度任意一个月已缴纳税收和缴纳社会保障资金的证明材料（公司成立不足一个月的投标人无需提供上述材料。依法免税或不需要缴纳社会保障资金的投标人应提供依法免税或免缴的相关证明文件）</w:t>
            </w:r>
          </w:p>
        </w:tc>
      </w:tr>
      <w:tr w14:paraId="61C76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6" w:hRule="atLeast"/>
          <w:jc w:val="center"/>
        </w:trPr>
        <w:tc>
          <w:tcPr>
            <w:tcW w:w="911" w:type="dxa"/>
            <w:vMerge w:val="continue"/>
            <w:vAlign w:val="center"/>
          </w:tcPr>
          <w:p w14:paraId="2EA90746">
            <w:pPr>
              <w:spacing w:before="60" w:after="60" w:line="336" w:lineRule="auto"/>
              <w:jc w:val="center"/>
              <w:rPr>
                <w:rStyle w:val="34"/>
                <w:rFonts w:hint="eastAsia" w:ascii="仿宋" w:hAnsi="仿宋" w:eastAsia="仿宋" w:cs="仿宋"/>
                <w:b/>
                <w:color w:val="auto"/>
                <w:sz w:val="21"/>
                <w:szCs w:val="21"/>
                <w:highlight w:val="none"/>
              </w:rPr>
            </w:pPr>
          </w:p>
        </w:tc>
        <w:tc>
          <w:tcPr>
            <w:tcW w:w="1273" w:type="dxa"/>
            <w:vMerge w:val="continue"/>
            <w:vAlign w:val="center"/>
          </w:tcPr>
          <w:p w14:paraId="541B6FB2">
            <w:pPr>
              <w:spacing w:before="60" w:after="60" w:line="336" w:lineRule="auto"/>
              <w:jc w:val="center"/>
              <w:rPr>
                <w:rStyle w:val="34"/>
                <w:rFonts w:hint="eastAsia" w:ascii="仿宋" w:hAnsi="仿宋" w:eastAsia="仿宋" w:cs="仿宋"/>
                <w:b/>
                <w:color w:val="auto"/>
                <w:sz w:val="21"/>
                <w:szCs w:val="21"/>
                <w:highlight w:val="none"/>
              </w:rPr>
            </w:pPr>
          </w:p>
        </w:tc>
        <w:tc>
          <w:tcPr>
            <w:tcW w:w="1697" w:type="dxa"/>
            <w:vAlign w:val="center"/>
          </w:tcPr>
          <w:p w14:paraId="44DC20B3">
            <w:pPr>
              <w:spacing w:before="60" w:after="60" w:line="336" w:lineRule="auto"/>
              <w:ind w:left="2" w:leftChars="-7" w:hanging="17"/>
              <w:jc w:val="center"/>
              <w:rPr>
                <w:rStyle w:val="34"/>
                <w:rFonts w:hint="eastAsia" w:ascii="仿宋" w:hAnsi="仿宋" w:eastAsia="仿宋" w:cs="仿宋"/>
                <w:bCs/>
                <w:color w:val="auto"/>
                <w:sz w:val="21"/>
                <w:szCs w:val="21"/>
                <w:highlight w:val="none"/>
              </w:rPr>
            </w:pPr>
            <w:r>
              <w:rPr>
                <w:rStyle w:val="34"/>
                <w:rFonts w:hint="eastAsia" w:ascii="仿宋" w:hAnsi="仿宋" w:eastAsia="仿宋" w:cs="仿宋"/>
                <w:bCs/>
                <w:color w:val="auto"/>
                <w:kern w:val="0"/>
                <w:sz w:val="21"/>
                <w:szCs w:val="21"/>
                <w:highlight w:val="none"/>
              </w:rPr>
              <w:t>参加政府采购活动前三年内，在经营活动中没有重大违法记录</w:t>
            </w:r>
          </w:p>
        </w:tc>
        <w:tc>
          <w:tcPr>
            <w:tcW w:w="5526" w:type="dxa"/>
            <w:vAlign w:val="center"/>
          </w:tcPr>
          <w:p w14:paraId="26ECA8DB">
            <w:pPr>
              <w:spacing w:before="60" w:after="60" w:line="336" w:lineRule="auto"/>
              <w:ind w:left="2" w:leftChars="-7" w:hanging="17"/>
              <w:jc w:val="left"/>
              <w:rPr>
                <w:rStyle w:val="34"/>
                <w:rFonts w:hint="eastAsia" w:ascii="仿宋" w:hAnsi="仿宋" w:eastAsia="仿宋" w:cs="仿宋"/>
                <w:bCs/>
                <w:color w:val="auto"/>
                <w:sz w:val="21"/>
                <w:szCs w:val="21"/>
                <w:highlight w:val="none"/>
              </w:rPr>
            </w:pPr>
            <w:r>
              <w:rPr>
                <w:rStyle w:val="34"/>
                <w:rFonts w:hint="eastAsia" w:ascii="仿宋" w:hAnsi="仿宋" w:eastAsia="仿宋" w:cs="仿宋"/>
                <w:bCs/>
                <w:color w:val="auto"/>
                <w:kern w:val="0"/>
                <w:sz w:val="21"/>
                <w:szCs w:val="21"/>
                <w:highlight w:val="none"/>
              </w:rPr>
              <w:t>提供参加政府采购活动前三年内，在经营活动中没有重大违法记录的证明材料（声明函或承诺书或相关证明材料）</w:t>
            </w:r>
          </w:p>
        </w:tc>
      </w:tr>
      <w:tr w14:paraId="4C348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6" w:hRule="atLeast"/>
          <w:jc w:val="center"/>
        </w:trPr>
        <w:tc>
          <w:tcPr>
            <w:tcW w:w="911" w:type="dxa"/>
            <w:vMerge w:val="continue"/>
            <w:vAlign w:val="center"/>
          </w:tcPr>
          <w:p w14:paraId="366374D4">
            <w:pPr>
              <w:spacing w:before="60" w:after="60" w:line="336" w:lineRule="auto"/>
              <w:jc w:val="center"/>
              <w:rPr>
                <w:rStyle w:val="34"/>
                <w:rFonts w:hint="eastAsia" w:ascii="仿宋" w:hAnsi="仿宋" w:eastAsia="仿宋" w:cs="仿宋"/>
                <w:b/>
                <w:color w:val="auto"/>
                <w:sz w:val="21"/>
                <w:szCs w:val="21"/>
                <w:highlight w:val="none"/>
              </w:rPr>
            </w:pPr>
          </w:p>
        </w:tc>
        <w:tc>
          <w:tcPr>
            <w:tcW w:w="1273" w:type="dxa"/>
            <w:vMerge w:val="continue"/>
            <w:vAlign w:val="center"/>
          </w:tcPr>
          <w:p w14:paraId="7BC9F01F">
            <w:pPr>
              <w:spacing w:before="60" w:after="60" w:line="336" w:lineRule="auto"/>
              <w:jc w:val="center"/>
              <w:rPr>
                <w:rStyle w:val="34"/>
                <w:rFonts w:hint="eastAsia" w:ascii="仿宋" w:hAnsi="仿宋" w:eastAsia="仿宋" w:cs="仿宋"/>
                <w:b/>
                <w:color w:val="auto"/>
                <w:sz w:val="21"/>
                <w:szCs w:val="21"/>
                <w:highlight w:val="none"/>
              </w:rPr>
            </w:pPr>
          </w:p>
        </w:tc>
        <w:tc>
          <w:tcPr>
            <w:tcW w:w="1697" w:type="dxa"/>
            <w:vAlign w:val="center"/>
          </w:tcPr>
          <w:p w14:paraId="1DC3008B">
            <w:pPr>
              <w:spacing w:before="60" w:after="60" w:line="336" w:lineRule="auto"/>
              <w:ind w:left="2" w:leftChars="-7" w:hanging="17"/>
              <w:jc w:val="center"/>
              <w:rPr>
                <w:rStyle w:val="34"/>
                <w:rFonts w:hint="eastAsia" w:ascii="仿宋" w:hAnsi="仿宋" w:eastAsia="仿宋" w:cs="仿宋"/>
                <w:bCs/>
                <w:color w:val="auto"/>
                <w:sz w:val="21"/>
                <w:szCs w:val="21"/>
                <w:highlight w:val="none"/>
              </w:rPr>
            </w:pPr>
            <w:r>
              <w:rPr>
                <w:rStyle w:val="34"/>
                <w:rFonts w:hint="eastAsia" w:ascii="仿宋" w:hAnsi="仿宋" w:eastAsia="仿宋" w:cs="仿宋"/>
                <w:bCs/>
                <w:color w:val="auto"/>
                <w:kern w:val="0"/>
                <w:sz w:val="21"/>
                <w:szCs w:val="21"/>
                <w:highlight w:val="none"/>
              </w:rPr>
              <w:t>法律、行政法规规定的其他条件</w:t>
            </w:r>
          </w:p>
        </w:tc>
        <w:tc>
          <w:tcPr>
            <w:tcW w:w="5526" w:type="dxa"/>
            <w:vAlign w:val="center"/>
          </w:tcPr>
          <w:p w14:paraId="728E6BDD">
            <w:pPr>
              <w:spacing w:before="60" w:after="60" w:line="336" w:lineRule="auto"/>
              <w:ind w:left="-15" w:leftChars="-7"/>
              <w:jc w:val="left"/>
              <w:rPr>
                <w:rStyle w:val="34"/>
                <w:rFonts w:hint="eastAsia" w:ascii="仿宋" w:hAnsi="仿宋" w:eastAsia="仿宋" w:cs="仿宋"/>
                <w:bCs/>
                <w:color w:val="auto"/>
                <w:sz w:val="21"/>
                <w:szCs w:val="21"/>
                <w:highlight w:val="none"/>
              </w:rPr>
            </w:pPr>
            <w:r>
              <w:rPr>
                <w:rStyle w:val="34"/>
                <w:rFonts w:hint="eastAsia" w:ascii="仿宋" w:hAnsi="仿宋" w:eastAsia="仿宋" w:cs="仿宋"/>
                <w:bCs/>
                <w:color w:val="auto"/>
                <w:sz w:val="21"/>
                <w:szCs w:val="21"/>
                <w:highlight w:val="none"/>
              </w:rPr>
              <w:t>根据《财政部关于在政府采购活动中查询及使用信用记录有关问题的通知》（财库【2016】125号）要求，采购人及采购代理机构将对供应商在投标截止日之前的信用记录进行查询，查询网址为信用中国（www.creditchina.gov.cn）、中国政府采购网（www.ccgp.gov.cn），对列入失信被执行人、重大税收违法案件当事人名单、政府采购严重违法失信行为记录名单及其他不符合《中华人民共和国政府采购法》第二十二条规定条件的供应商，拒绝其参与政府采购活动，查询结果以采购人及采购代理机构查询的结果为准。</w:t>
            </w:r>
          </w:p>
        </w:tc>
      </w:tr>
      <w:tr w14:paraId="49E37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6" w:hRule="atLeast"/>
          <w:jc w:val="center"/>
        </w:trPr>
        <w:tc>
          <w:tcPr>
            <w:tcW w:w="911" w:type="dxa"/>
            <w:vMerge w:val="continue"/>
            <w:vAlign w:val="center"/>
          </w:tcPr>
          <w:p w14:paraId="444F0C15">
            <w:pPr>
              <w:spacing w:before="60" w:after="60" w:line="336" w:lineRule="auto"/>
              <w:jc w:val="center"/>
              <w:rPr>
                <w:rStyle w:val="34"/>
                <w:rFonts w:hint="eastAsia" w:ascii="仿宋" w:hAnsi="仿宋" w:eastAsia="仿宋" w:cs="仿宋"/>
                <w:b/>
                <w:color w:val="auto"/>
                <w:sz w:val="21"/>
                <w:szCs w:val="21"/>
                <w:highlight w:val="none"/>
              </w:rPr>
            </w:pPr>
          </w:p>
        </w:tc>
        <w:tc>
          <w:tcPr>
            <w:tcW w:w="1273" w:type="dxa"/>
            <w:vMerge w:val="continue"/>
            <w:vAlign w:val="center"/>
          </w:tcPr>
          <w:p w14:paraId="43D14B6E">
            <w:pPr>
              <w:spacing w:before="60" w:after="60" w:line="336" w:lineRule="auto"/>
              <w:jc w:val="center"/>
              <w:rPr>
                <w:rStyle w:val="34"/>
                <w:rFonts w:hint="eastAsia" w:ascii="仿宋" w:hAnsi="仿宋" w:eastAsia="仿宋" w:cs="仿宋"/>
                <w:b/>
                <w:color w:val="auto"/>
                <w:sz w:val="21"/>
                <w:szCs w:val="21"/>
                <w:highlight w:val="none"/>
              </w:rPr>
            </w:pPr>
          </w:p>
        </w:tc>
        <w:tc>
          <w:tcPr>
            <w:tcW w:w="1697" w:type="dxa"/>
            <w:vAlign w:val="center"/>
          </w:tcPr>
          <w:p w14:paraId="0B762BD8">
            <w:pPr>
              <w:spacing w:before="60" w:after="60" w:line="336" w:lineRule="auto"/>
              <w:ind w:left="2" w:leftChars="-7" w:hanging="17"/>
              <w:jc w:val="center"/>
              <w:rPr>
                <w:rStyle w:val="34"/>
                <w:rFonts w:hint="eastAsia" w:ascii="仿宋" w:hAnsi="仿宋" w:eastAsia="仿宋" w:cs="仿宋"/>
                <w:bCs/>
                <w:color w:val="auto"/>
                <w:kern w:val="0"/>
                <w:sz w:val="21"/>
                <w:szCs w:val="21"/>
                <w:highlight w:val="none"/>
              </w:rPr>
            </w:pPr>
            <w:r>
              <w:rPr>
                <w:rStyle w:val="34"/>
                <w:rFonts w:hint="eastAsia" w:ascii="仿宋" w:hAnsi="仿宋" w:eastAsia="仿宋" w:cs="仿宋"/>
                <w:bCs/>
                <w:color w:val="auto"/>
                <w:kern w:val="0"/>
                <w:sz w:val="21"/>
                <w:szCs w:val="21"/>
                <w:highlight w:val="none"/>
              </w:rPr>
              <w:t>落实政府采购政策需满足的资格要求</w:t>
            </w:r>
          </w:p>
        </w:tc>
        <w:tc>
          <w:tcPr>
            <w:tcW w:w="5526" w:type="dxa"/>
            <w:vAlign w:val="center"/>
          </w:tcPr>
          <w:p w14:paraId="134A6B99">
            <w:pPr>
              <w:spacing w:before="60" w:after="60" w:line="336" w:lineRule="auto"/>
              <w:ind w:left="-15" w:leftChars="-7"/>
              <w:jc w:val="left"/>
              <w:rPr>
                <w:rStyle w:val="34"/>
                <w:rFonts w:hint="eastAsia" w:ascii="仿宋" w:hAnsi="仿宋" w:eastAsia="仿宋" w:cs="仿宋"/>
                <w:bCs/>
                <w:color w:val="auto"/>
                <w:sz w:val="21"/>
                <w:szCs w:val="21"/>
                <w:highlight w:val="none"/>
                <w:lang w:val="en-US" w:eastAsia="zh-CN"/>
              </w:rPr>
            </w:pPr>
            <w:r>
              <w:rPr>
                <w:rStyle w:val="34"/>
                <w:rFonts w:hint="eastAsia" w:ascii="仿宋" w:hAnsi="仿宋" w:eastAsia="仿宋" w:cs="仿宋"/>
                <w:bCs/>
                <w:color w:val="auto"/>
                <w:sz w:val="21"/>
                <w:szCs w:val="21"/>
                <w:highlight w:val="none"/>
                <w:lang w:val="en-US" w:eastAsia="zh-CN"/>
              </w:rPr>
              <w:t>本项目专门面向中小微企业采购，供应商应按磋商文件要求提供声明函。</w:t>
            </w:r>
          </w:p>
          <w:p w14:paraId="2797A5DC">
            <w:pPr>
              <w:spacing w:before="60" w:after="60" w:line="336" w:lineRule="auto"/>
              <w:ind w:left="-15" w:leftChars="-7"/>
              <w:jc w:val="left"/>
              <w:rPr>
                <w:rStyle w:val="34"/>
                <w:rFonts w:hint="eastAsia" w:ascii="仿宋" w:hAnsi="仿宋" w:eastAsia="仿宋" w:cs="仿宋"/>
                <w:bCs/>
                <w:color w:val="auto"/>
                <w:sz w:val="21"/>
                <w:szCs w:val="21"/>
                <w:highlight w:val="none"/>
              </w:rPr>
            </w:pPr>
            <w:r>
              <w:rPr>
                <w:rStyle w:val="34"/>
                <w:rFonts w:hint="eastAsia" w:ascii="仿宋" w:hAnsi="仿宋" w:eastAsia="仿宋" w:cs="仿宋"/>
                <w:bCs/>
                <w:color w:val="auto"/>
                <w:sz w:val="21"/>
                <w:szCs w:val="21"/>
                <w:highlight w:val="none"/>
                <w:lang w:val="en-US" w:eastAsia="zh-CN"/>
              </w:rPr>
              <w:t>注：根据工业和信息化部《关于印发中小企业划型标准规定的通知》（工信部联企业〔2011〕300号）、《关于印发&lt;政府采购促进中小企业发展管理办法&gt;的通知》（财库〔2020〕46号）及《关于进一步加大政府采购支持中小企业力度的通知》（财库【2022】19号）、云南省财政厅关于贯彻《财政部关于进一步加大政府采购支持中小企业力度的通知》的通知（云财采〔2022〕9号）的规定，对符合条件的小微企业供应商，在报价评审时不再给与扣除。监狱企业和残疾人福利性单位视同小微企业。</w:t>
            </w:r>
          </w:p>
        </w:tc>
      </w:tr>
      <w:tr w14:paraId="775F9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6" w:hRule="atLeast"/>
          <w:jc w:val="center"/>
        </w:trPr>
        <w:tc>
          <w:tcPr>
            <w:tcW w:w="911" w:type="dxa"/>
            <w:vMerge w:val="continue"/>
            <w:vAlign w:val="center"/>
          </w:tcPr>
          <w:p w14:paraId="07B30303">
            <w:pPr>
              <w:spacing w:before="60" w:after="60" w:line="336" w:lineRule="auto"/>
              <w:jc w:val="center"/>
              <w:rPr>
                <w:rStyle w:val="34"/>
                <w:rFonts w:hint="eastAsia" w:ascii="仿宋" w:hAnsi="仿宋" w:eastAsia="仿宋" w:cs="仿宋"/>
                <w:b/>
                <w:color w:val="auto"/>
                <w:sz w:val="21"/>
                <w:szCs w:val="21"/>
                <w:highlight w:val="none"/>
              </w:rPr>
            </w:pPr>
          </w:p>
        </w:tc>
        <w:tc>
          <w:tcPr>
            <w:tcW w:w="1273" w:type="dxa"/>
            <w:vMerge w:val="continue"/>
            <w:vAlign w:val="center"/>
          </w:tcPr>
          <w:p w14:paraId="361CCAC5">
            <w:pPr>
              <w:spacing w:before="60" w:after="60" w:line="336" w:lineRule="auto"/>
              <w:jc w:val="center"/>
              <w:rPr>
                <w:rStyle w:val="34"/>
                <w:rFonts w:hint="eastAsia" w:ascii="仿宋" w:hAnsi="仿宋" w:eastAsia="仿宋" w:cs="仿宋"/>
                <w:b/>
                <w:color w:val="auto"/>
                <w:sz w:val="21"/>
                <w:szCs w:val="21"/>
                <w:highlight w:val="none"/>
              </w:rPr>
            </w:pPr>
          </w:p>
        </w:tc>
        <w:tc>
          <w:tcPr>
            <w:tcW w:w="1697" w:type="dxa"/>
            <w:vAlign w:val="center"/>
          </w:tcPr>
          <w:p w14:paraId="5D020F50">
            <w:pPr>
              <w:spacing w:before="60" w:after="60" w:line="336" w:lineRule="auto"/>
              <w:ind w:left="2" w:leftChars="-7" w:hanging="17"/>
              <w:jc w:val="center"/>
              <w:rPr>
                <w:rStyle w:val="34"/>
                <w:rFonts w:hint="eastAsia" w:ascii="仿宋" w:hAnsi="仿宋" w:eastAsia="仿宋" w:cs="仿宋"/>
                <w:bCs/>
                <w:color w:val="auto"/>
                <w:kern w:val="0"/>
                <w:sz w:val="21"/>
                <w:szCs w:val="21"/>
                <w:highlight w:val="none"/>
              </w:rPr>
            </w:pPr>
            <w:r>
              <w:rPr>
                <w:rStyle w:val="34"/>
                <w:rFonts w:hint="eastAsia" w:ascii="仿宋" w:hAnsi="仿宋" w:eastAsia="仿宋" w:cs="仿宋"/>
                <w:bCs/>
                <w:color w:val="auto"/>
                <w:kern w:val="0"/>
                <w:sz w:val="21"/>
                <w:szCs w:val="21"/>
                <w:highlight w:val="none"/>
              </w:rPr>
              <w:t>本项目的特定资格要求</w:t>
            </w:r>
          </w:p>
        </w:tc>
        <w:tc>
          <w:tcPr>
            <w:tcW w:w="5526" w:type="dxa"/>
            <w:vAlign w:val="center"/>
          </w:tcPr>
          <w:p w14:paraId="59EDF525">
            <w:pPr>
              <w:spacing w:before="60" w:after="60" w:line="336" w:lineRule="auto"/>
              <w:ind w:left="-15" w:leftChars="-7"/>
              <w:jc w:val="left"/>
              <w:rPr>
                <w:rStyle w:val="34"/>
                <w:rFonts w:hint="eastAsia" w:ascii="仿宋" w:hAnsi="仿宋" w:eastAsia="仿宋" w:cs="仿宋"/>
                <w:bCs/>
                <w:color w:val="auto"/>
                <w:sz w:val="21"/>
                <w:szCs w:val="21"/>
                <w:highlight w:val="none"/>
              </w:rPr>
            </w:pPr>
            <w:r>
              <w:rPr>
                <w:rStyle w:val="34"/>
                <w:rFonts w:hint="eastAsia" w:ascii="仿宋" w:hAnsi="仿宋" w:eastAsia="仿宋" w:cs="仿宋"/>
                <w:bCs/>
                <w:color w:val="auto"/>
                <w:sz w:val="21"/>
                <w:szCs w:val="21"/>
                <w:highlight w:val="none"/>
              </w:rPr>
              <w:t>法定代表人、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声明函或承诺书或相关证明材料）</w:t>
            </w:r>
          </w:p>
        </w:tc>
      </w:tr>
      <w:tr w14:paraId="4A398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6" w:hRule="atLeast"/>
          <w:jc w:val="center"/>
        </w:trPr>
        <w:tc>
          <w:tcPr>
            <w:tcW w:w="911" w:type="dxa"/>
            <w:vMerge w:val="continue"/>
            <w:vAlign w:val="center"/>
          </w:tcPr>
          <w:p w14:paraId="6B2EC1FC">
            <w:pPr>
              <w:spacing w:before="60" w:after="60" w:line="336" w:lineRule="auto"/>
              <w:jc w:val="center"/>
              <w:rPr>
                <w:rStyle w:val="34"/>
                <w:rFonts w:hint="eastAsia" w:ascii="仿宋" w:hAnsi="仿宋" w:eastAsia="仿宋" w:cs="仿宋"/>
                <w:b/>
                <w:color w:val="auto"/>
                <w:sz w:val="21"/>
                <w:szCs w:val="21"/>
                <w:highlight w:val="none"/>
              </w:rPr>
            </w:pPr>
          </w:p>
        </w:tc>
        <w:tc>
          <w:tcPr>
            <w:tcW w:w="1273" w:type="dxa"/>
            <w:vMerge w:val="continue"/>
            <w:vAlign w:val="center"/>
          </w:tcPr>
          <w:p w14:paraId="0470B9C8">
            <w:pPr>
              <w:spacing w:before="60" w:after="60" w:line="336" w:lineRule="auto"/>
              <w:jc w:val="center"/>
              <w:rPr>
                <w:rStyle w:val="34"/>
                <w:rFonts w:hint="eastAsia" w:ascii="仿宋" w:hAnsi="仿宋" w:eastAsia="仿宋" w:cs="仿宋"/>
                <w:b/>
                <w:color w:val="auto"/>
                <w:sz w:val="21"/>
                <w:szCs w:val="21"/>
                <w:highlight w:val="none"/>
              </w:rPr>
            </w:pPr>
          </w:p>
        </w:tc>
        <w:tc>
          <w:tcPr>
            <w:tcW w:w="1697" w:type="dxa"/>
            <w:vAlign w:val="center"/>
          </w:tcPr>
          <w:p w14:paraId="306883AE">
            <w:pPr>
              <w:spacing w:before="60" w:after="60" w:line="336" w:lineRule="auto"/>
              <w:ind w:left="2" w:leftChars="-7" w:hanging="17"/>
              <w:jc w:val="center"/>
              <w:rPr>
                <w:rStyle w:val="34"/>
                <w:rFonts w:hint="eastAsia" w:ascii="仿宋" w:hAnsi="仿宋" w:eastAsia="仿宋" w:cs="仿宋"/>
                <w:bCs/>
                <w:color w:val="auto"/>
                <w:kern w:val="0"/>
                <w:sz w:val="21"/>
                <w:szCs w:val="21"/>
                <w:highlight w:val="none"/>
              </w:rPr>
            </w:pPr>
            <w:r>
              <w:rPr>
                <w:rStyle w:val="34"/>
                <w:rFonts w:hint="eastAsia" w:ascii="仿宋" w:hAnsi="仿宋" w:eastAsia="仿宋" w:cs="仿宋"/>
                <w:bCs/>
                <w:color w:val="auto"/>
                <w:kern w:val="0"/>
                <w:sz w:val="21"/>
                <w:szCs w:val="21"/>
                <w:highlight w:val="none"/>
              </w:rPr>
              <w:t>其他</w:t>
            </w:r>
          </w:p>
        </w:tc>
        <w:tc>
          <w:tcPr>
            <w:tcW w:w="5526" w:type="dxa"/>
            <w:vAlign w:val="center"/>
          </w:tcPr>
          <w:p w14:paraId="4BD6EE8F">
            <w:pPr>
              <w:tabs>
                <w:tab w:val="left" w:pos="1288"/>
              </w:tabs>
              <w:spacing w:before="60" w:after="60" w:line="336" w:lineRule="auto"/>
              <w:ind w:left="-15" w:leftChars="-7"/>
              <w:jc w:val="left"/>
              <w:rPr>
                <w:rStyle w:val="34"/>
                <w:rFonts w:hint="eastAsia" w:ascii="仿宋" w:hAnsi="仿宋" w:eastAsia="仿宋" w:cs="仿宋"/>
                <w:bCs/>
                <w:color w:val="auto"/>
                <w:sz w:val="21"/>
                <w:szCs w:val="21"/>
                <w:highlight w:val="none"/>
              </w:rPr>
            </w:pPr>
            <w:r>
              <w:rPr>
                <w:rStyle w:val="34"/>
                <w:rFonts w:hint="eastAsia" w:ascii="仿宋" w:hAnsi="仿宋" w:eastAsia="仿宋" w:cs="仿宋"/>
                <w:bCs/>
                <w:color w:val="auto"/>
                <w:sz w:val="21"/>
                <w:szCs w:val="21"/>
                <w:highlight w:val="none"/>
              </w:rPr>
              <w:t>符合竞争性磋商文件中需要供应商提交的其他资格证明文件</w:t>
            </w:r>
          </w:p>
        </w:tc>
      </w:tr>
      <w:tr w14:paraId="65E4D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8" w:hRule="atLeast"/>
          <w:jc w:val="center"/>
        </w:trPr>
        <w:tc>
          <w:tcPr>
            <w:tcW w:w="911" w:type="dxa"/>
            <w:vMerge w:val="continue"/>
            <w:vAlign w:val="center"/>
          </w:tcPr>
          <w:p w14:paraId="49D6FA84">
            <w:pPr>
              <w:spacing w:before="60" w:after="60" w:line="336" w:lineRule="auto"/>
              <w:jc w:val="center"/>
              <w:rPr>
                <w:rStyle w:val="34"/>
                <w:rFonts w:hint="eastAsia" w:ascii="仿宋" w:hAnsi="仿宋" w:eastAsia="仿宋" w:cs="仿宋"/>
                <w:b/>
                <w:color w:val="auto"/>
                <w:sz w:val="21"/>
                <w:szCs w:val="21"/>
                <w:highlight w:val="none"/>
              </w:rPr>
            </w:pPr>
          </w:p>
        </w:tc>
        <w:tc>
          <w:tcPr>
            <w:tcW w:w="1273" w:type="dxa"/>
            <w:vMerge w:val="restart"/>
            <w:vAlign w:val="center"/>
          </w:tcPr>
          <w:p w14:paraId="6F73D5FA">
            <w:pPr>
              <w:spacing w:before="60" w:after="60" w:line="336" w:lineRule="auto"/>
              <w:jc w:val="center"/>
              <w:rPr>
                <w:rStyle w:val="34"/>
                <w:rFonts w:hint="eastAsia" w:ascii="仿宋" w:hAnsi="仿宋" w:eastAsia="仿宋" w:cs="仿宋"/>
                <w:b/>
                <w:color w:val="auto"/>
                <w:sz w:val="21"/>
                <w:szCs w:val="21"/>
                <w:highlight w:val="none"/>
              </w:rPr>
            </w:pPr>
            <w:r>
              <w:rPr>
                <w:rStyle w:val="34"/>
                <w:rFonts w:hint="eastAsia" w:ascii="仿宋" w:hAnsi="仿宋" w:eastAsia="仿宋" w:cs="仿宋"/>
                <w:b w:val="0"/>
                <w:bCs/>
                <w:color w:val="auto"/>
                <w:sz w:val="21"/>
                <w:szCs w:val="21"/>
                <w:highlight w:val="none"/>
              </w:rPr>
              <w:t>符合性评审</w:t>
            </w:r>
          </w:p>
        </w:tc>
        <w:tc>
          <w:tcPr>
            <w:tcW w:w="1697" w:type="dxa"/>
            <w:vAlign w:val="center"/>
          </w:tcPr>
          <w:p w14:paraId="5C01388D">
            <w:pPr>
              <w:spacing w:line="336" w:lineRule="auto"/>
              <w:jc w:val="center"/>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响应文件的签署</w:t>
            </w:r>
          </w:p>
        </w:tc>
        <w:tc>
          <w:tcPr>
            <w:tcW w:w="5526" w:type="dxa"/>
            <w:vAlign w:val="center"/>
          </w:tcPr>
          <w:p w14:paraId="04156259">
            <w:pPr>
              <w:spacing w:line="336" w:lineRule="auto"/>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响应文件按竞争性磋商文件要求加盖供应商单位公章或有法定代表人签名</w:t>
            </w:r>
          </w:p>
        </w:tc>
      </w:tr>
      <w:tr w14:paraId="1FBB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8" w:hRule="atLeast"/>
          <w:jc w:val="center"/>
        </w:trPr>
        <w:tc>
          <w:tcPr>
            <w:tcW w:w="911" w:type="dxa"/>
            <w:vMerge w:val="continue"/>
            <w:vAlign w:val="center"/>
          </w:tcPr>
          <w:p w14:paraId="76106C7C">
            <w:pPr>
              <w:spacing w:before="60" w:after="60" w:line="336" w:lineRule="auto"/>
              <w:jc w:val="center"/>
              <w:rPr>
                <w:rStyle w:val="34"/>
                <w:rFonts w:hint="eastAsia" w:ascii="仿宋" w:hAnsi="仿宋" w:eastAsia="仿宋" w:cs="仿宋"/>
                <w:b/>
                <w:color w:val="auto"/>
                <w:sz w:val="21"/>
                <w:szCs w:val="21"/>
                <w:highlight w:val="none"/>
              </w:rPr>
            </w:pPr>
          </w:p>
        </w:tc>
        <w:tc>
          <w:tcPr>
            <w:tcW w:w="1273" w:type="dxa"/>
            <w:vMerge w:val="continue"/>
            <w:vAlign w:val="center"/>
          </w:tcPr>
          <w:p w14:paraId="64EC4608">
            <w:pPr>
              <w:spacing w:before="60" w:after="60" w:line="336" w:lineRule="auto"/>
              <w:jc w:val="center"/>
              <w:rPr>
                <w:rStyle w:val="34"/>
                <w:rFonts w:hint="eastAsia" w:ascii="仿宋" w:hAnsi="仿宋" w:eastAsia="仿宋" w:cs="仿宋"/>
                <w:b/>
                <w:color w:val="auto"/>
                <w:sz w:val="21"/>
                <w:szCs w:val="21"/>
                <w:highlight w:val="none"/>
              </w:rPr>
            </w:pPr>
          </w:p>
        </w:tc>
        <w:tc>
          <w:tcPr>
            <w:tcW w:w="1697" w:type="dxa"/>
            <w:vAlign w:val="center"/>
          </w:tcPr>
          <w:p w14:paraId="7A55A7B5">
            <w:pPr>
              <w:spacing w:line="336" w:lineRule="auto"/>
              <w:jc w:val="center"/>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响应文件的格式</w:t>
            </w:r>
          </w:p>
        </w:tc>
        <w:tc>
          <w:tcPr>
            <w:tcW w:w="5526" w:type="dxa"/>
            <w:vAlign w:val="center"/>
          </w:tcPr>
          <w:p w14:paraId="32EEED46">
            <w:pPr>
              <w:spacing w:line="336" w:lineRule="auto"/>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响应文件按规定的格式、内容和要求填写</w:t>
            </w:r>
          </w:p>
        </w:tc>
      </w:tr>
      <w:tr w14:paraId="6FDF8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3" w:hRule="atLeast"/>
          <w:jc w:val="center"/>
        </w:trPr>
        <w:tc>
          <w:tcPr>
            <w:tcW w:w="911" w:type="dxa"/>
            <w:vMerge w:val="continue"/>
            <w:vAlign w:val="center"/>
          </w:tcPr>
          <w:p w14:paraId="3E00A396">
            <w:pPr>
              <w:spacing w:before="60" w:after="60" w:line="336" w:lineRule="auto"/>
              <w:jc w:val="center"/>
              <w:rPr>
                <w:rStyle w:val="34"/>
                <w:rFonts w:hint="eastAsia" w:ascii="仿宋" w:hAnsi="仿宋" w:eastAsia="仿宋" w:cs="仿宋"/>
                <w:b/>
                <w:color w:val="auto"/>
                <w:sz w:val="21"/>
                <w:szCs w:val="21"/>
                <w:highlight w:val="none"/>
              </w:rPr>
            </w:pPr>
          </w:p>
        </w:tc>
        <w:tc>
          <w:tcPr>
            <w:tcW w:w="1273" w:type="dxa"/>
            <w:vMerge w:val="continue"/>
            <w:vAlign w:val="center"/>
          </w:tcPr>
          <w:p w14:paraId="0C78F0AE">
            <w:pPr>
              <w:spacing w:before="60" w:after="60" w:line="336" w:lineRule="auto"/>
              <w:jc w:val="center"/>
              <w:rPr>
                <w:rStyle w:val="34"/>
                <w:rFonts w:hint="eastAsia" w:ascii="仿宋" w:hAnsi="仿宋" w:eastAsia="仿宋" w:cs="仿宋"/>
                <w:b/>
                <w:color w:val="auto"/>
                <w:sz w:val="21"/>
                <w:szCs w:val="21"/>
                <w:highlight w:val="none"/>
              </w:rPr>
            </w:pPr>
          </w:p>
        </w:tc>
        <w:tc>
          <w:tcPr>
            <w:tcW w:w="1697" w:type="dxa"/>
            <w:vAlign w:val="center"/>
          </w:tcPr>
          <w:p w14:paraId="3E03A4A2">
            <w:pPr>
              <w:spacing w:line="336" w:lineRule="auto"/>
              <w:jc w:val="center"/>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投标价格</w:t>
            </w:r>
          </w:p>
        </w:tc>
        <w:tc>
          <w:tcPr>
            <w:tcW w:w="5526" w:type="dxa"/>
            <w:vAlign w:val="center"/>
          </w:tcPr>
          <w:p w14:paraId="42C85DCB">
            <w:pPr>
              <w:spacing w:line="336" w:lineRule="auto"/>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供应商按要求填报投标报价，且首次报价及最后报价均未超过最高限价</w:t>
            </w:r>
          </w:p>
        </w:tc>
      </w:tr>
      <w:tr w14:paraId="0AA52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1" w:hRule="atLeast"/>
          <w:jc w:val="center"/>
        </w:trPr>
        <w:tc>
          <w:tcPr>
            <w:tcW w:w="911" w:type="dxa"/>
            <w:vMerge w:val="continue"/>
            <w:vAlign w:val="center"/>
          </w:tcPr>
          <w:p w14:paraId="4EF65F11">
            <w:pPr>
              <w:spacing w:before="60" w:after="60" w:line="336" w:lineRule="auto"/>
              <w:jc w:val="center"/>
              <w:rPr>
                <w:rStyle w:val="34"/>
                <w:rFonts w:hint="eastAsia" w:ascii="仿宋" w:hAnsi="仿宋" w:eastAsia="仿宋" w:cs="仿宋"/>
                <w:b/>
                <w:color w:val="auto"/>
                <w:sz w:val="21"/>
                <w:szCs w:val="21"/>
                <w:highlight w:val="none"/>
              </w:rPr>
            </w:pPr>
          </w:p>
        </w:tc>
        <w:tc>
          <w:tcPr>
            <w:tcW w:w="1273" w:type="dxa"/>
            <w:vMerge w:val="continue"/>
            <w:vAlign w:val="center"/>
          </w:tcPr>
          <w:p w14:paraId="05C6D92F">
            <w:pPr>
              <w:spacing w:before="60" w:after="60" w:line="336" w:lineRule="auto"/>
              <w:jc w:val="center"/>
              <w:rPr>
                <w:rStyle w:val="34"/>
                <w:rFonts w:hint="eastAsia" w:ascii="仿宋" w:hAnsi="仿宋" w:eastAsia="仿宋" w:cs="仿宋"/>
                <w:b/>
                <w:color w:val="auto"/>
                <w:sz w:val="21"/>
                <w:szCs w:val="21"/>
                <w:highlight w:val="none"/>
              </w:rPr>
            </w:pPr>
          </w:p>
        </w:tc>
        <w:tc>
          <w:tcPr>
            <w:tcW w:w="1697" w:type="dxa"/>
            <w:vAlign w:val="center"/>
          </w:tcPr>
          <w:p w14:paraId="2F3AF4BF">
            <w:pPr>
              <w:spacing w:line="336" w:lineRule="auto"/>
              <w:jc w:val="center"/>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违法行为</w:t>
            </w:r>
          </w:p>
        </w:tc>
        <w:tc>
          <w:tcPr>
            <w:tcW w:w="5526" w:type="dxa"/>
            <w:vAlign w:val="center"/>
          </w:tcPr>
          <w:p w14:paraId="5562C340">
            <w:pPr>
              <w:spacing w:line="336" w:lineRule="auto"/>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没有串通投标、弄虚作假、行贿等违法行为的</w:t>
            </w:r>
          </w:p>
        </w:tc>
      </w:tr>
      <w:tr w14:paraId="5D312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5" w:hRule="atLeast"/>
          <w:jc w:val="center"/>
        </w:trPr>
        <w:tc>
          <w:tcPr>
            <w:tcW w:w="911" w:type="dxa"/>
            <w:vMerge w:val="continue"/>
            <w:vAlign w:val="center"/>
          </w:tcPr>
          <w:p w14:paraId="38DB97E8">
            <w:pPr>
              <w:spacing w:before="60" w:after="60" w:line="336" w:lineRule="auto"/>
              <w:jc w:val="center"/>
              <w:rPr>
                <w:rStyle w:val="34"/>
                <w:rFonts w:hint="eastAsia" w:ascii="仿宋" w:hAnsi="仿宋" w:eastAsia="仿宋" w:cs="仿宋"/>
                <w:b/>
                <w:color w:val="auto"/>
                <w:sz w:val="21"/>
                <w:szCs w:val="21"/>
                <w:highlight w:val="none"/>
              </w:rPr>
            </w:pPr>
          </w:p>
        </w:tc>
        <w:tc>
          <w:tcPr>
            <w:tcW w:w="1273" w:type="dxa"/>
            <w:vMerge w:val="continue"/>
            <w:vAlign w:val="center"/>
          </w:tcPr>
          <w:p w14:paraId="3FACB8CD">
            <w:pPr>
              <w:spacing w:before="60" w:after="60" w:line="336" w:lineRule="auto"/>
              <w:jc w:val="center"/>
              <w:rPr>
                <w:rStyle w:val="34"/>
                <w:rFonts w:hint="eastAsia" w:ascii="仿宋" w:hAnsi="仿宋" w:eastAsia="仿宋" w:cs="仿宋"/>
                <w:b/>
                <w:color w:val="auto"/>
                <w:sz w:val="21"/>
                <w:szCs w:val="21"/>
                <w:highlight w:val="none"/>
              </w:rPr>
            </w:pPr>
          </w:p>
        </w:tc>
        <w:tc>
          <w:tcPr>
            <w:tcW w:w="1697" w:type="dxa"/>
            <w:vAlign w:val="center"/>
          </w:tcPr>
          <w:p w14:paraId="5FEE5160">
            <w:pPr>
              <w:spacing w:line="336" w:lineRule="auto"/>
              <w:jc w:val="center"/>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响应文件的有效性</w:t>
            </w:r>
          </w:p>
        </w:tc>
        <w:tc>
          <w:tcPr>
            <w:tcW w:w="5526" w:type="dxa"/>
            <w:vAlign w:val="center"/>
          </w:tcPr>
          <w:p w14:paraId="4855549F">
            <w:pPr>
              <w:spacing w:line="336" w:lineRule="auto"/>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在响应文件中，供应商没有投报两个或多个标书、方案或有两个或多个报价，又未书面声明其中哪一个有效的</w:t>
            </w:r>
          </w:p>
        </w:tc>
      </w:tr>
      <w:tr w14:paraId="3DFA0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911" w:type="dxa"/>
            <w:vMerge w:val="continue"/>
            <w:vAlign w:val="center"/>
          </w:tcPr>
          <w:p w14:paraId="35138CC5">
            <w:pPr>
              <w:spacing w:before="60" w:after="60" w:line="336" w:lineRule="auto"/>
              <w:jc w:val="center"/>
              <w:rPr>
                <w:rStyle w:val="34"/>
                <w:rFonts w:hint="eastAsia" w:ascii="仿宋" w:hAnsi="仿宋" w:eastAsia="仿宋" w:cs="仿宋"/>
                <w:b/>
                <w:color w:val="auto"/>
                <w:sz w:val="21"/>
                <w:szCs w:val="21"/>
                <w:highlight w:val="none"/>
              </w:rPr>
            </w:pPr>
          </w:p>
        </w:tc>
        <w:tc>
          <w:tcPr>
            <w:tcW w:w="1273" w:type="dxa"/>
            <w:vMerge w:val="continue"/>
            <w:vAlign w:val="center"/>
          </w:tcPr>
          <w:p w14:paraId="727989FD">
            <w:pPr>
              <w:spacing w:before="60" w:after="60" w:line="336" w:lineRule="auto"/>
              <w:jc w:val="center"/>
              <w:rPr>
                <w:rStyle w:val="34"/>
                <w:rFonts w:hint="eastAsia" w:ascii="仿宋" w:hAnsi="仿宋" w:eastAsia="仿宋" w:cs="仿宋"/>
                <w:b/>
                <w:color w:val="auto"/>
                <w:sz w:val="21"/>
                <w:szCs w:val="21"/>
                <w:highlight w:val="none"/>
              </w:rPr>
            </w:pPr>
          </w:p>
        </w:tc>
        <w:tc>
          <w:tcPr>
            <w:tcW w:w="1697" w:type="dxa"/>
            <w:vAlign w:val="center"/>
          </w:tcPr>
          <w:p w14:paraId="2FF01A1F">
            <w:pPr>
              <w:spacing w:line="336" w:lineRule="auto"/>
              <w:jc w:val="center"/>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其他</w:t>
            </w:r>
          </w:p>
        </w:tc>
        <w:tc>
          <w:tcPr>
            <w:tcW w:w="5526" w:type="dxa"/>
            <w:vAlign w:val="center"/>
          </w:tcPr>
          <w:p w14:paraId="6B787913">
            <w:pPr>
              <w:spacing w:line="336" w:lineRule="auto"/>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符合法律、法规和竞争性磋商文件中规定的其他实质性要求的</w:t>
            </w:r>
          </w:p>
        </w:tc>
      </w:tr>
      <w:tr w14:paraId="17A22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911" w:type="dxa"/>
            <w:vMerge w:val="restart"/>
            <w:vAlign w:val="center"/>
          </w:tcPr>
          <w:p w14:paraId="074E3FEA">
            <w:pPr>
              <w:spacing w:before="60" w:after="60" w:line="336" w:lineRule="auto"/>
              <w:jc w:val="center"/>
              <w:rPr>
                <w:rStyle w:val="34"/>
                <w:rFonts w:hint="eastAsia" w:ascii="仿宋" w:hAnsi="仿宋" w:eastAsia="仿宋" w:cs="仿宋"/>
                <w:b/>
                <w:color w:val="auto"/>
                <w:sz w:val="21"/>
                <w:szCs w:val="21"/>
                <w:highlight w:val="none"/>
              </w:rPr>
            </w:pPr>
            <w:r>
              <w:rPr>
                <w:rStyle w:val="34"/>
                <w:rFonts w:hint="eastAsia" w:ascii="仿宋" w:hAnsi="仿宋" w:eastAsia="仿宋" w:cs="仿宋"/>
                <w:bCs/>
                <w:color w:val="auto"/>
                <w:sz w:val="21"/>
                <w:szCs w:val="21"/>
                <w:highlight w:val="none"/>
              </w:rPr>
              <w:t>2.5</w:t>
            </w:r>
          </w:p>
        </w:tc>
        <w:tc>
          <w:tcPr>
            <w:tcW w:w="1273" w:type="dxa"/>
            <w:vMerge w:val="restart"/>
            <w:vAlign w:val="center"/>
          </w:tcPr>
          <w:p w14:paraId="4B31C866">
            <w:pPr>
              <w:spacing w:before="60" w:after="60" w:line="336" w:lineRule="auto"/>
              <w:jc w:val="center"/>
              <w:rPr>
                <w:rStyle w:val="34"/>
                <w:rFonts w:hint="eastAsia" w:ascii="仿宋" w:hAnsi="仿宋" w:eastAsia="仿宋" w:cs="仿宋"/>
                <w:b/>
                <w:color w:val="auto"/>
                <w:sz w:val="21"/>
                <w:szCs w:val="21"/>
                <w:highlight w:val="none"/>
              </w:rPr>
            </w:pPr>
            <w:r>
              <w:rPr>
                <w:rStyle w:val="34"/>
                <w:rFonts w:hint="eastAsia" w:ascii="仿宋" w:hAnsi="仿宋" w:eastAsia="仿宋" w:cs="仿宋"/>
                <w:bCs/>
                <w:color w:val="auto"/>
                <w:sz w:val="21"/>
                <w:szCs w:val="21"/>
                <w:highlight w:val="none"/>
              </w:rPr>
              <w:t>详细评审</w:t>
            </w:r>
          </w:p>
        </w:tc>
        <w:tc>
          <w:tcPr>
            <w:tcW w:w="7223" w:type="dxa"/>
            <w:gridSpan w:val="2"/>
            <w:vAlign w:val="center"/>
          </w:tcPr>
          <w:p w14:paraId="5E0526E4">
            <w:pPr>
              <w:spacing w:line="336" w:lineRule="auto"/>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供应商的详细评审得分满分为100分；</w:t>
            </w:r>
          </w:p>
          <w:p w14:paraId="13AC3F7C">
            <w:pPr>
              <w:spacing w:line="336" w:lineRule="auto"/>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供应商的详细评审得分=价格部分得分+技术及商务部分得分；</w:t>
            </w:r>
          </w:p>
          <w:p w14:paraId="6304D9CF">
            <w:pPr>
              <w:spacing w:line="336" w:lineRule="auto"/>
              <w:rPr>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其中：价格部分满分为10分；技术及商务部分满分为90分。</w:t>
            </w:r>
          </w:p>
        </w:tc>
      </w:tr>
      <w:tr w14:paraId="62B7D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911" w:type="dxa"/>
            <w:vMerge w:val="continue"/>
            <w:vAlign w:val="center"/>
          </w:tcPr>
          <w:p w14:paraId="3DE29779">
            <w:pPr>
              <w:spacing w:before="60" w:after="60" w:line="336" w:lineRule="auto"/>
              <w:jc w:val="center"/>
              <w:rPr>
                <w:rStyle w:val="34"/>
                <w:rFonts w:hint="eastAsia" w:ascii="仿宋" w:hAnsi="仿宋" w:eastAsia="仿宋" w:cs="仿宋"/>
                <w:bCs/>
                <w:color w:val="auto"/>
                <w:sz w:val="21"/>
                <w:szCs w:val="21"/>
                <w:highlight w:val="none"/>
              </w:rPr>
            </w:pPr>
          </w:p>
        </w:tc>
        <w:tc>
          <w:tcPr>
            <w:tcW w:w="1273" w:type="dxa"/>
            <w:vMerge w:val="continue"/>
            <w:vAlign w:val="center"/>
          </w:tcPr>
          <w:p w14:paraId="1260A4B9">
            <w:pPr>
              <w:spacing w:before="60" w:after="60" w:line="336" w:lineRule="auto"/>
              <w:jc w:val="center"/>
              <w:rPr>
                <w:rStyle w:val="34"/>
                <w:rFonts w:hint="eastAsia" w:ascii="仿宋" w:hAnsi="仿宋" w:eastAsia="仿宋" w:cs="仿宋"/>
                <w:bCs/>
                <w:color w:val="auto"/>
                <w:sz w:val="21"/>
                <w:szCs w:val="21"/>
                <w:highlight w:val="none"/>
              </w:rPr>
            </w:pPr>
          </w:p>
        </w:tc>
        <w:tc>
          <w:tcPr>
            <w:tcW w:w="7223" w:type="dxa"/>
            <w:gridSpan w:val="2"/>
            <w:vAlign w:val="center"/>
          </w:tcPr>
          <w:p w14:paraId="24B15C69">
            <w:pPr>
              <w:spacing w:line="336" w:lineRule="auto"/>
              <w:jc w:val="center"/>
              <w:rPr>
                <w:rStyle w:val="34"/>
                <w:rFonts w:hint="eastAsia" w:ascii="仿宋" w:hAnsi="仿宋" w:eastAsia="仿宋" w:cs="仿宋"/>
                <w:color w:val="auto"/>
                <w:sz w:val="21"/>
                <w:szCs w:val="21"/>
                <w:highlight w:val="none"/>
              </w:rPr>
            </w:pPr>
            <w:r>
              <w:rPr>
                <w:rStyle w:val="34"/>
                <w:rFonts w:hint="eastAsia" w:ascii="仿宋" w:hAnsi="仿宋" w:eastAsia="仿宋" w:cs="仿宋"/>
                <w:b/>
                <w:bCs/>
                <w:color w:val="auto"/>
                <w:sz w:val="21"/>
                <w:szCs w:val="21"/>
                <w:highlight w:val="none"/>
              </w:rPr>
              <w:t>价格部分（满分10分）</w:t>
            </w:r>
          </w:p>
        </w:tc>
      </w:tr>
      <w:tr w14:paraId="4A4C4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911" w:type="dxa"/>
            <w:vMerge w:val="continue"/>
            <w:vAlign w:val="center"/>
          </w:tcPr>
          <w:p w14:paraId="23B54C01">
            <w:pPr>
              <w:spacing w:before="60" w:after="60" w:line="336" w:lineRule="auto"/>
              <w:jc w:val="center"/>
              <w:rPr>
                <w:rStyle w:val="34"/>
                <w:rFonts w:hint="eastAsia" w:ascii="仿宋" w:hAnsi="仿宋" w:eastAsia="仿宋" w:cs="仿宋"/>
                <w:bCs/>
                <w:color w:val="auto"/>
                <w:sz w:val="21"/>
                <w:szCs w:val="21"/>
                <w:highlight w:val="none"/>
              </w:rPr>
            </w:pPr>
          </w:p>
        </w:tc>
        <w:tc>
          <w:tcPr>
            <w:tcW w:w="1273" w:type="dxa"/>
            <w:vMerge w:val="continue"/>
            <w:vAlign w:val="center"/>
          </w:tcPr>
          <w:p w14:paraId="2ADB66B2">
            <w:pPr>
              <w:spacing w:before="60" w:after="60" w:line="336" w:lineRule="auto"/>
              <w:jc w:val="center"/>
              <w:rPr>
                <w:rStyle w:val="34"/>
                <w:rFonts w:hint="eastAsia" w:ascii="仿宋" w:hAnsi="仿宋" w:eastAsia="仿宋" w:cs="仿宋"/>
                <w:bCs/>
                <w:color w:val="auto"/>
                <w:sz w:val="21"/>
                <w:szCs w:val="21"/>
                <w:highlight w:val="none"/>
              </w:rPr>
            </w:pPr>
          </w:p>
        </w:tc>
        <w:tc>
          <w:tcPr>
            <w:tcW w:w="1697" w:type="dxa"/>
            <w:vAlign w:val="center"/>
          </w:tcPr>
          <w:p w14:paraId="11993500">
            <w:pPr>
              <w:spacing w:line="336" w:lineRule="auto"/>
              <w:jc w:val="center"/>
              <w:rPr>
                <w:rStyle w:val="34"/>
                <w:rFonts w:hint="eastAsia" w:ascii="仿宋" w:hAnsi="仿宋" w:eastAsia="仿宋" w:cs="仿宋"/>
                <w:color w:val="auto"/>
                <w:sz w:val="21"/>
                <w:szCs w:val="21"/>
                <w:highlight w:val="none"/>
              </w:rPr>
            </w:pPr>
            <w:r>
              <w:rPr>
                <w:rStyle w:val="34"/>
                <w:rFonts w:hint="eastAsia" w:ascii="仿宋" w:hAnsi="仿宋" w:eastAsia="仿宋" w:cs="仿宋"/>
                <w:bCs/>
                <w:color w:val="auto"/>
                <w:sz w:val="21"/>
                <w:szCs w:val="21"/>
                <w:highlight w:val="none"/>
              </w:rPr>
              <w:t>磋商报价</w:t>
            </w:r>
          </w:p>
        </w:tc>
        <w:tc>
          <w:tcPr>
            <w:tcW w:w="5526" w:type="dxa"/>
            <w:vAlign w:val="center"/>
          </w:tcPr>
          <w:p w14:paraId="00B4E899">
            <w:pPr>
              <w:spacing w:line="336" w:lineRule="auto"/>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磋商报价得分=（磋商基准价/最后磋商总报价）×10</w:t>
            </w:r>
          </w:p>
          <w:p w14:paraId="40535DA5">
            <w:pPr>
              <w:spacing w:line="336" w:lineRule="auto"/>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磋商基准价：满足磋商文件要求且最后报价最低的供应商的价格为磋商基准价。</w:t>
            </w:r>
          </w:p>
          <w:p w14:paraId="2A6771A3">
            <w:pPr>
              <w:spacing w:line="336" w:lineRule="auto"/>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满足</w:t>
            </w:r>
            <w:r>
              <w:rPr>
                <w:rStyle w:val="34"/>
                <w:rFonts w:hint="eastAsia" w:ascii="仿宋" w:hAnsi="仿宋" w:eastAsia="仿宋" w:cs="仿宋"/>
                <w:color w:val="auto"/>
                <w:sz w:val="21"/>
                <w:szCs w:val="21"/>
                <w:highlight w:val="none"/>
                <w:lang w:val="en-US" w:eastAsia="zh-CN"/>
              </w:rPr>
              <w:t>磋商</w:t>
            </w:r>
            <w:r>
              <w:rPr>
                <w:rStyle w:val="34"/>
                <w:rFonts w:hint="eastAsia" w:ascii="仿宋" w:hAnsi="仿宋" w:eastAsia="仿宋" w:cs="仿宋"/>
                <w:color w:val="auto"/>
                <w:sz w:val="21"/>
                <w:szCs w:val="21"/>
                <w:highlight w:val="none"/>
              </w:rPr>
              <w:t>文件要求且投标价格最低的投标报价，其报价分为满分。其他</w:t>
            </w:r>
            <w:r>
              <w:rPr>
                <w:rStyle w:val="34"/>
                <w:rFonts w:hint="eastAsia" w:ascii="仿宋" w:hAnsi="仿宋" w:eastAsia="仿宋" w:cs="仿宋"/>
                <w:color w:val="auto"/>
                <w:sz w:val="21"/>
                <w:szCs w:val="21"/>
                <w:highlight w:val="none"/>
                <w:lang w:val="en-US" w:eastAsia="zh-CN"/>
              </w:rPr>
              <w:t>供应商</w:t>
            </w:r>
            <w:r>
              <w:rPr>
                <w:rStyle w:val="34"/>
                <w:rFonts w:hint="eastAsia" w:ascii="仿宋" w:hAnsi="仿宋" w:eastAsia="仿宋" w:cs="仿宋"/>
                <w:color w:val="auto"/>
                <w:sz w:val="21"/>
                <w:szCs w:val="21"/>
                <w:highlight w:val="none"/>
              </w:rPr>
              <w:t>的报价得分统一按照以上公式计算。</w:t>
            </w:r>
          </w:p>
          <w:p w14:paraId="59D2E073">
            <w:pPr>
              <w:spacing w:line="336" w:lineRule="auto"/>
              <w:rPr>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注：</w:t>
            </w:r>
            <w:r>
              <w:rPr>
                <w:rStyle w:val="34"/>
                <w:rFonts w:hint="eastAsia" w:ascii="仿宋" w:hAnsi="仿宋" w:eastAsia="仿宋" w:cs="仿宋"/>
                <w:color w:val="auto"/>
                <w:sz w:val="21"/>
                <w:szCs w:val="21"/>
                <w:highlight w:val="none"/>
                <w:lang w:val="en-US" w:eastAsia="zh-CN"/>
              </w:rPr>
              <w:t>本项目专门面向中小微企业采购，供应商应按磋商文件要求提供声明函。根据工业和信息化部《关于印发中小企业划型标准规定的通知》（工信部联企业〔2011〕300号）、《关于印发&lt;政府采购促进中小企业发展管理办法&gt;的通知》（财库〔2020〕46号）及《关于进一步加大政府采购支持中小企业力度的通知》（财库【2022】19号）、云南省财政厅关于贯彻《财政部关于进一步加大政府采购支持中小企业力度的通知》的通知（云财采〔2022〕9号）的规定，对符合条件的小微企业供应商，在报价评审时不再给与扣除。监狱企业和残疾人福利性单位视同小微企业</w:t>
            </w:r>
            <w:r>
              <w:rPr>
                <w:rStyle w:val="34"/>
                <w:rFonts w:hint="eastAsia" w:ascii="仿宋" w:hAnsi="仿宋" w:eastAsia="仿宋" w:cs="仿宋"/>
                <w:color w:val="auto"/>
                <w:sz w:val="21"/>
                <w:szCs w:val="21"/>
                <w:highlight w:val="none"/>
              </w:rPr>
              <w:t>。</w:t>
            </w:r>
          </w:p>
        </w:tc>
      </w:tr>
      <w:tr w14:paraId="2595D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911" w:type="dxa"/>
            <w:vMerge w:val="continue"/>
            <w:vAlign w:val="center"/>
          </w:tcPr>
          <w:p w14:paraId="73066168">
            <w:pPr>
              <w:spacing w:before="60" w:after="60" w:line="336" w:lineRule="auto"/>
              <w:jc w:val="center"/>
              <w:rPr>
                <w:rStyle w:val="34"/>
                <w:rFonts w:hint="eastAsia" w:ascii="仿宋" w:hAnsi="仿宋" w:eastAsia="仿宋" w:cs="仿宋"/>
                <w:bCs/>
                <w:color w:val="auto"/>
                <w:sz w:val="21"/>
                <w:szCs w:val="21"/>
                <w:highlight w:val="none"/>
              </w:rPr>
            </w:pPr>
          </w:p>
        </w:tc>
        <w:tc>
          <w:tcPr>
            <w:tcW w:w="1273" w:type="dxa"/>
            <w:vMerge w:val="continue"/>
            <w:vAlign w:val="center"/>
          </w:tcPr>
          <w:p w14:paraId="674DB720">
            <w:pPr>
              <w:spacing w:before="60" w:after="60" w:line="336" w:lineRule="auto"/>
              <w:jc w:val="center"/>
              <w:rPr>
                <w:rStyle w:val="34"/>
                <w:rFonts w:hint="eastAsia" w:ascii="仿宋" w:hAnsi="仿宋" w:eastAsia="仿宋" w:cs="仿宋"/>
                <w:bCs/>
                <w:color w:val="auto"/>
                <w:sz w:val="21"/>
                <w:szCs w:val="21"/>
                <w:highlight w:val="none"/>
              </w:rPr>
            </w:pPr>
          </w:p>
        </w:tc>
        <w:tc>
          <w:tcPr>
            <w:tcW w:w="7223" w:type="dxa"/>
            <w:gridSpan w:val="2"/>
            <w:vAlign w:val="center"/>
          </w:tcPr>
          <w:p w14:paraId="6355B7A1">
            <w:pPr>
              <w:spacing w:line="336" w:lineRule="auto"/>
              <w:jc w:val="center"/>
              <w:rPr>
                <w:rStyle w:val="34"/>
                <w:rFonts w:hint="eastAsia" w:ascii="仿宋" w:hAnsi="仿宋" w:eastAsia="仿宋" w:cs="仿宋"/>
                <w:color w:val="auto"/>
                <w:sz w:val="21"/>
                <w:szCs w:val="21"/>
                <w:highlight w:val="none"/>
              </w:rPr>
            </w:pPr>
            <w:r>
              <w:rPr>
                <w:rStyle w:val="34"/>
                <w:rFonts w:hint="eastAsia" w:ascii="仿宋" w:hAnsi="仿宋" w:eastAsia="仿宋" w:cs="仿宋"/>
                <w:b/>
                <w:bCs/>
                <w:color w:val="auto"/>
                <w:sz w:val="21"/>
                <w:szCs w:val="21"/>
                <w:highlight w:val="none"/>
              </w:rPr>
              <w:t>技术及商务部分（满分90分）</w:t>
            </w:r>
          </w:p>
        </w:tc>
      </w:tr>
      <w:tr w14:paraId="7ECE4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911" w:type="dxa"/>
            <w:vMerge w:val="continue"/>
            <w:vAlign w:val="center"/>
          </w:tcPr>
          <w:p w14:paraId="36DF5D5A">
            <w:pPr>
              <w:spacing w:before="60" w:after="60" w:line="336" w:lineRule="auto"/>
              <w:jc w:val="center"/>
              <w:rPr>
                <w:rStyle w:val="34"/>
                <w:rFonts w:hint="eastAsia" w:ascii="仿宋" w:hAnsi="仿宋" w:eastAsia="仿宋" w:cs="仿宋"/>
                <w:bCs/>
                <w:color w:val="auto"/>
                <w:sz w:val="21"/>
                <w:szCs w:val="21"/>
                <w:highlight w:val="none"/>
              </w:rPr>
            </w:pPr>
          </w:p>
        </w:tc>
        <w:tc>
          <w:tcPr>
            <w:tcW w:w="1273" w:type="dxa"/>
            <w:vMerge w:val="continue"/>
            <w:vAlign w:val="center"/>
          </w:tcPr>
          <w:p w14:paraId="5A03BE50">
            <w:pPr>
              <w:spacing w:before="60" w:after="60" w:line="336" w:lineRule="auto"/>
              <w:jc w:val="center"/>
              <w:rPr>
                <w:rStyle w:val="34"/>
                <w:rFonts w:hint="eastAsia" w:ascii="仿宋" w:hAnsi="仿宋" w:eastAsia="仿宋" w:cs="仿宋"/>
                <w:bCs/>
                <w:color w:val="auto"/>
                <w:sz w:val="21"/>
                <w:szCs w:val="21"/>
                <w:highlight w:val="none"/>
              </w:rPr>
            </w:pPr>
          </w:p>
        </w:tc>
        <w:tc>
          <w:tcPr>
            <w:tcW w:w="1697" w:type="dxa"/>
            <w:vAlign w:val="center"/>
          </w:tcPr>
          <w:p w14:paraId="2E70DBB3">
            <w:pPr>
              <w:spacing w:line="336"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总体服务方案评审</w:t>
            </w:r>
          </w:p>
          <w:p w14:paraId="3C5938CE">
            <w:pPr>
              <w:spacing w:line="336" w:lineRule="auto"/>
              <w:jc w:val="center"/>
              <w:rPr>
                <w:rStyle w:val="34"/>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（满分：30分）</w:t>
            </w:r>
          </w:p>
        </w:tc>
        <w:tc>
          <w:tcPr>
            <w:tcW w:w="5526" w:type="dxa"/>
            <w:vAlign w:val="center"/>
          </w:tcPr>
          <w:p w14:paraId="42F5E4A9">
            <w:pPr>
              <w:spacing w:line="33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a.总体服务方案响应性优，满足本项目所需的服务内容，服务方案完整可行，内容规范，标准化程度高；充分考虑用户需求，针对性及操作性高；全面分析用户现状、实施要求，内容阐述充分，得17-30分；</w:t>
            </w:r>
          </w:p>
          <w:p w14:paraId="592DDE87">
            <w:pPr>
              <w:spacing w:line="33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b.总体服务方案响应性一般；基本满足本项目所需的服务内容，服务方案完整性、内容规范性及标准化程度一般；基本考虑用户需求，服务方案针对性及操作性一般；分析用户现状、实施要求不足，内容阐述一般，得8-16分；</w:t>
            </w:r>
          </w:p>
          <w:p w14:paraId="068EF639">
            <w:pPr>
              <w:spacing w:line="336" w:lineRule="auto"/>
              <w:rPr>
                <w:rStyle w:val="34"/>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c.未提供总体服务方案或针对性较差或不能满足本项目的要求及需求，整体编制为劣的得0-7分。</w:t>
            </w:r>
          </w:p>
        </w:tc>
      </w:tr>
      <w:tr w14:paraId="3EEB3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911" w:type="dxa"/>
            <w:vMerge w:val="continue"/>
            <w:vAlign w:val="center"/>
          </w:tcPr>
          <w:p w14:paraId="62847401">
            <w:pPr>
              <w:spacing w:before="60" w:after="60" w:line="336" w:lineRule="auto"/>
              <w:jc w:val="center"/>
              <w:rPr>
                <w:rStyle w:val="34"/>
                <w:rFonts w:hint="eastAsia" w:ascii="仿宋" w:hAnsi="仿宋" w:eastAsia="仿宋" w:cs="仿宋"/>
                <w:bCs/>
                <w:color w:val="auto"/>
                <w:sz w:val="21"/>
                <w:szCs w:val="21"/>
                <w:highlight w:val="none"/>
              </w:rPr>
            </w:pPr>
          </w:p>
        </w:tc>
        <w:tc>
          <w:tcPr>
            <w:tcW w:w="1273" w:type="dxa"/>
            <w:vMerge w:val="continue"/>
            <w:vAlign w:val="center"/>
          </w:tcPr>
          <w:p w14:paraId="0D678F50">
            <w:pPr>
              <w:spacing w:before="60" w:after="60" w:line="336" w:lineRule="auto"/>
              <w:jc w:val="center"/>
              <w:rPr>
                <w:rStyle w:val="34"/>
                <w:rFonts w:hint="eastAsia" w:ascii="仿宋" w:hAnsi="仿宋" w:eastAsia="仿宋" w:cs="仿宋"/>
                <w:bCs/>
                <w:color w:val="auto"/>
                <w:sz w:val="21"/>
                <w:szCs w:val="21"/>
                <w:highlight w:val="none"/>
              </w:rPr>
            </w:pPr>
          </w:p>
        </w:tc>
        <w:tc>
          <w:tcPr>
            <w:tcW w:w="1697" w:type="dxa"/>
            <w:vAlign w:val="center"/>
          </w:tcPr>
          <w:p w14:paraId="64F70A6E">
            <w:pPr>
              <w:spacing w:line="336"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rPr>
              <w:t>风险</w:t>
            </w:r>
            <w:r>
              <w:rPr>
                <w:rFonts w:hint="eastAsia" w:ascii="仿宋" w:hAnsi="仿宋" w:eastAsia="仿宋" w:cs="仿宋"/>
                <w:color w:val="auto"/>
                <w:sz w:val="21"/>
                <w:szCs w:val="21"/>
                <w:highlight w:val="none"/>
                <w:lang w:val="en-US" w:eastAsia="zh-CN"/>
              </w:rPr>
              <w:t>防范措施评审</w:t>
            </w:r>
          </w:p>
          <w:p w14:paraId="2F81EECD">
            <w:pPr>
              <w:spacing w:line="336" w:lineRule="auto"/>
              <w:jc w:val="center"/>
              <w:rPr>
                <w:rStyle w:val="34"/>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（满分：15分）</w:t>
            </w:r>
          </w:p>
        </w:tc>
        <w:tc>
          <w:tcPr>
            <w:tcW w:w="5526" w:type="dxa"/>
            <w:vAlign w:val="center"/>
          </w:tcPr>
          <w:p w14:paraId="7731569A">
            <w:pPr>
              <w:spacing w:line="336" w:lineRule="auto"/>
              <w:rPr>
                <w:rStyle w:val="34"/>
                <w:rFonts w:hint="eastAsia" w:ascii="仿宋" w:hAnsi="仿宋" w:eastAsia="仿宋" w:cs="仿宋"/>
                <w:color w:val="auto"/>
                <w:sz w:val="21"/>
                <w:szCs w:val="21"/>
                <w:highlight w:val="none"/>
                <w:lang w:val="en-US" w:eastAsia="zh-CN"/>
              </w:rPr>
            </w:pPr>
            <w:r>
              <w:rPr>
                <w:rStyle w:val="34"/>
                <w:rFonts w:hint="eastAsia" w:ascii="仿宋" w:hAnsi="仿宋" w:eastAsia="仿宋" w:cs="仿宋"/>
                <w:color w:val="auto"/>
                <w:sz w:val="21"/>
                <w:szCs w:val="21"/>
                <w:highlight w:val="none"/>
                <w:lang w:val="en-US" w:eastAsia="zh-CN"/>
              </w:rPr>
              <w:t>a.对安全事故、劳动纠纷等方面的风险分析到位，风险防范处理措施详细具体、合理可行、针对性强的，分值为10-15分；</w:t>
            </w:r>
          </w:p>
          <w:p w14:paraId="2FC84F38">
            <w:pPr>
              <w:spacing w:line="336" w:lineRule="auto"/>
              <w:rPr>
                <w:rStyle w:val="34"/>
                <w:rFonts w:hint="eastAsia" w:ascii="仿宋" w:hAnsi="仿宋" w:eastAsia="仿宋" w:cs="仿宋"/>
                <w:color w:val="auto"/>
                <w:sz w:val="21"/>
                <w:szCs w:val="21"/>
                <w:highlight w:val="none"/>
                <w:lang w:val="en-US" w:eastAsia="zh-CN"/>
              </w:rPr>
            </w:pPr>
            <w:r>
              <w:rPr>
                <w:rStyle w:val="34"/>
                <w:rFonts w:hint="eastAsia" w:ascii="仿宋" w:hAnsi="仿宋" w:eastAsia="仿宋" w:cs="仿宋"/>
                <w:color w:val="auto"/>
                <w:sz w:val="21"/>
                <w:szCs w:val="21"/>
                <w:highlight w:val="none"/>
                <w:lang w:val="en-US" w:eastAsia="zh-CN"/>
              </w:rPr>
              <w:t>b.对安全事故、劳动纠纷等方面的风险分析基本到位，风险防范处理措施基本完整，合理性、可行性、针对性一般的，分值为5-9分；</w:t>
            </w:r>
          </w:p>
          <w:p w14:paraId="384E0CEC">
            <w:pPr>
              <w:spacing w:line="336" w:lineRule="auto"/>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lang w:val="en-US" w:eastAsia="zh-CN"/>
              </w:rPr>
              <w:t>c.对安全事故、劳动纠纷等方面的风险分析不到位，风险防范处理措施不够完整，合理性、可行性、针对性较差的，分值为1-4分。</w:t>
            </w:r>
          </w:p>
        </w:tc>
      </w:tr>
      <w:tr w14:paraId="62D71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911" w:type="dxa"/>
            <w:vMerge w:val="continue"/>
            <w:vAlign w:val="center"/>
          </w:tcPr>
          <w:p w14:paraId="6237F3F9">
            <w:pPr>
              <w:spacing w:before="60" w:after="60" w:line="336" w:lineRule="auto"/>
              <w:jc w:val="center"/>
              <w:rPr>
                <w:rStyle w:val="34"/>
                <w:rFonts w:hint="eastAsia" w:ascii="仿宋" w:hAnsi="仿宋" w:eastAsia="仿宋" w:cs="仿宋"/>
                <w:bCs/>
                <w:color w:val="auto"/>
                <w:sz w:val="21"/>
                <w:szCs w:val="21"/>
                <w:highlight w:val="none"/>
              </w:rPr>
            </w:pPr>
          </w:p>
        </w:tc>
        <w:tc>
          <w:tcPr>
            <w:tcW w:w="1273" w:type="dxa"/>
            <w:vMerge w:val="continue"/>
            <w:vAlign w:val="center"/>
          </w:tcPr>
          <w:p w14:paraId="0442DA1F">
            <w:pPr>
              <w:spacing w:before="60" w:after="60" w:line="336" w:lineRule="auto"/>
              <w:jc w:val="center"/>
              <w:rPr>
                <w:rStyle w:val="34"/>
                <w:rFonts w:hint="eastAsia" w:ascii="仿宋" w:hAnsi="仿宋" w:eastAsia="仿宋" w:cs="仿宋"/>
                <w:bCs/>
                <w:color w:val="auto"/>
                <w:sz w:val="21"/>
                <w:szCs w:val="21"/>
                <w:highlight w:val="none"/>
                <w:lang w:eastAsia="zh-Hans"/>
              </w:rPr>
            </w:pPr>
          </w:p>
        </w:tc>
        <w:tc>
          <w:tcPr>
            <w:tcW w:w="1697" w:type="dxa"/>
            <w:vAlign w:val="center"/>
          </w:tcPr>
          <w:p w14:paraId="75847AE7">
            <w:pPr>
              <w:spacing w:line="336" w:lineRule="auto"/>
              <w:jc w:val="center"/>
              <w:rPr>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lang w:val="en-US" w:eastAsia="zh-CN"/>
              </w:rPr>
              <w:t>突发事件</w:t>
            </w:r>
            <w:r>
              <w:rPr>
                <w:rStyle w:val="34"/>
                <w:rFonts w:hint="eastAsia" w:ascii="仿宋" w:hAnsi="仿宋" w:eastAsia="仿宋" w:cs="仿宋"/>
                <w:color w:val="auto"/>
                <w:sz w:val="21"/>
                <w:szCs w:val="21"/>
                <w:highlight w:val="none"/>
                <w:lang w:eastAsia="zh-CN"/>
              </w:rPr>
              <w:t>应急预案评审（满分10分）</w:t>
            </w:r>
          </w:p>
        </w:tc>
        <w:tc>
          <w:tcPr>
            <w:tcW w:w="5526" w:type="dxa"/>
            <w:vAlign w:val="center"/>
          </w:tcPr>
          <w:p w14:paraId="7D20AC22">
            <w:pPr>
              <w:adjustRightInd w:val="0"/>
              <w:spacing w:line="360" w:lineRule="auto"/>
              <w:contextualSpacing/>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a.</w:t>
            </w:r>
            <w:r>
              <w:rPr>
                <w:rStyle w:val="34"/>
                <w:rFonts w:hint="eastAsia" w:ascii="仿宋" w:hAnsi="仿宋" w:eastAsia="仿宋" w:cs="仿宋"/>
                <w:color w:val="auto"/>
                <w:sz w:val="21"/>
                <w:szCs w:val="21"/>
                <w:highlight w:val="none"/>
                <w:lang w:val="en-US" w:eastAsia="zh-CN"/>
              </w:rPr>
              <w:t>突发事件法人</w:t>
            </w:r>
            <w:r>
              <w:rPr>
                <w:rStyle w:val="34"/>
                <w:rFonts w:hint="eastAsia" w:ascii="仿宋" w:hAnsi="仿宋" w:eastAsia="仿宋" w:cs="仿宋"/>
                <w:color w:val="auto"/>
                <w:sz w:val="21"/>
                <w:szCs w:val="21"/>
                <w:highlight w:val="none"/>
              </w:rPr>
              <w:t>响应时间迅速，有详细、合理的应急预案，针对性强，预案具体可行，能为业主提供完善、高效服务的，得</w:t>
            </w:r>
            <w:r>
              <w:rPr>
                <w:rStyle w:val="34"/>
                <w:rFonts w:hint="eastAsia" w:ascii="仿宋" w:hAnsi="仿宋" w:eastAsia="仿宋" w:cs="仿宋"/>
                <w:color w:val="auto"/>
                <w:sz w:val="21"/>
                <w:szCs w:val="21"/>
                <w:highlight w:val="none"/>
                <w:lang w:val="en-US" w:eastAsia="zh-CN"/>
              </w:rPr>
              <w:t>7-10</w:t>
            </w:r>
            <w:r>
              <w:rPr>
                <w:rStyle w:val="34"/>
                <w:rFonts w:hint="eastAsia" w:ascii="仿宋" w:hAnsi="仿宋" w:eastAsia="仿宋" w:cs="仿宋"/>
                <w:color w:val="auto"/>
                <w:sz w:val="21"/>
                <w:szCs w:val="21"/>
                <w:highlight w:val="none"/>
              </w:rPr>
              <w:t>分；</w:t>
            </w:r>
          </w:p>
          <w:p w14:paraId="5A59270C">
            <w:pPr>
              <w:adjustRightInd w:val="0"/>
              <w:spacing w:line="360" w:lineRule="auto"/>
              <w:contextualSpacing/>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b.</w:t>
            </w:r>
            <w:r>
              <w:rPr>
                <w:rStyle w:val="34"/>
                <w:rFonts w:hint="eastAsia" w:ascii="仿宋" w:hAnsi="仿宋" w:eastAsia="仿宋" w:cs="仿宋"/>
                <w:color w:val="auto"/>
                <w:sz w:val="21"/>
                <w:szCs w:val="21"/>
                <w:highlight w:val="none"/>
                <w:lang w:val="en-US" w:eastAsia="zh-CN"/>
              </w:rPr>
              <w:t>突发事件法人</w:t>
            </w:r>
            <w:r>
              <w:rPr>
                <w:rStyle w:val="34"/>
                <w:rFonts w:hint="eastAsia" w:ascii="仿宋" w:hAnsi="仿宋" w:eastAsia="仿宋" w:cs="仿宋"/>
                <w:color w:val="auto"/>
                <w:sz w:val="21"/>
                <w:szCs w:val="21"/>
                <w:highlight w:val="none"/>
              </w:rPr>
              <w:t>响应时间较快，基本合理的应急预案，针对性较强，预案具体可行，较好满足业主需求的，得</w:t>
            </w:r>
            <w:r>
              <w:rPr>
                <w:rStyle w:val="34"/>
                <w:rFonts w:hint="eastAsia" w:ascii="仿宋" w:hAnsi="仿宋" w:eastAsia="仿宋" w:cs="仿宋"/>
                <w:color w:val="auto"/>
                <w:sz w:val="21"/>
                <w:szCs w:val="21"/>
                <w:highlight w:val="none"/>
                <w:lang w:val="en-US" w:eastAsia="zh-CN"/>
              </w:rPr>
              <w:t>3-6</w:t>
            </w:r>
            <w:r>
              <w:rPr>
                <w:rStyle w:val="34"/>
                <w:rFonts w:hint="eastAsia" w:ascii="仿宋" w:hAnsi="仿宋" w:eastAsia="仿宋" w:cs="仿宋"/>
                <w:color w:val="auto"/>
                <w:sz w:val="21"/>
                <w:szCs w:val="21"/>
                <w:highlight w:val="none"/>
              </w:rPr>
              <w:t>分；</w:t>
            </w:r>
          </w:p>
          <w:p w14:paraId="08A26EB9">
            <w:pPr>
              <w:adjustRightInd w:val="0"/>
              <w:spacing w:line="360" w:lineRule="auto"/>
              <w:contextualSpacing/>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c.突发事件</w:t>
            </w:r>
            <w:r>
              <w:rPr>
                <w:rStyle w:val="34"/>
                <w:rFonts w:hint="eastAsia" w:ascii="仿宋" w:hAnsi="仿宋" w:eastAsia="仿宋" w:cs="仿宋"/>
                <w:color w:val="auto"/>
                <w:sz w:val="21"/>
                <w:szCs w:val="21"/>
                <w:highlight w:val="none"/>
                <w:lang w:val="en-US" w:eastAsia="zh-CN"/>
              </w:rPr>
              <w:t>法人</w:t>
            </w:r>
            <w:r>
              <w:rPr>
                <w:rStyle w:val="34"/>
                <w:rFonts w:hint="eastAsia" w:ascii="仿宋" w:hAnsi="仿宋" w:eastAsia="仿宋" w:cs="仿宋"/>
                <w:color w:val="auto"/>
                <w:sz w:val="21"/>
                <w:szCs w:val="21"/>
                <w:highlight w:val="none"/>
              </w:rPr>
              <w:t>响应时间</w:t>
            </w:r>
            <w:r>
              <w:rPr>
                <w:rStyle w:val="34"/>
                <w:rFonts w:hint="eastAsia" w:ascii="仿宋" w:hAnsi="仿宋" w:eastAsia="仿宋" w:cs="仿宋"/>
                <w:color w:val="auto"/>
                <w:sz w:val="21"/>
                <w:szCs w:val="21"/>
                <w:highlight w:val="none"/>
                <w:lang w:val="en-US" w:eastAsia="zh-CN"/>
              </w:rPr>
              <w:t>迟钝</w:t>
            </w:r>
            <w:r>
              <w:rPr>
                <w:rStyle w:val="34"/>
                <w:rFonts w:hint="eastAsia" w:ascii="仿宋" w:hAnsi="仿宋" w:eastAsia="仿宋" w:cs="仿宋"/>
                <w:color w:val="auto"/>
                <w:sz w:val="21"/>
                <w:szCs w:val="21"/>
                <w:highlight w:val="none"/>
              </w:rPr>
              <w:t>，应急预案</w:t>
            </w:r>
            <w:r>
              <w:rPr>
                <w:rStyle w:val="34"/>
                <w:rFonts w:hint="eastAsia" w:ascii="仿宋" w:hAnsi="仿宋" w:eastAsia="仿宋" w:cs="仿宋"/>
                <w:color w:val="auto"/>
                <w:sz w:val="21"/>
                <w:szCs w:val="21"/>
                <w:highlight w:val="none"/>
                <w:lang w:val="en-US" w:eastAsia="zh-CN"/>
              </w:rPr>
              <w:t>粗糙</w:t>
            </w:r>
            <w:r>
              <w:rPr>
                <w:rStyle w:val="34"/>
                <w:rFonts w:hint="eastAsia" w:ascii="仿宋" w:hAnsi="仿宋" w:eastAsia="仿宋" w:cs="仿宋"/>
                <w:color w:val="auto"/>
                <w:sz w:val="21"/>
                <w:szCs w:val="21"/>
                <w:highlight w:val="none"/>
              </w:rPr>
              <w:t>，针对性</w:t>
            </w:r>
            <w:r>
              <w:rPr>
                <w:rStyle w:val="34"/>
                <w:rFonts w:hint="eastAsia" w:ascii="仿宋" w:hAnsi="仿宋" w:eastAsia="仿宋" w:cs="仿宋"/>
                <w:color w:val="auto"/>
                <w:sz w:val="21"/>
                <w:szCs w:val="21"/>
                <w:highlight w:val="none"/>
                <w:lang w:val="en-US" w:eastAsia="zh-CN"/>
              </w:rPr>
              <w:t>一般</w:t>
            </w:r>
            <w:r>
              <w:rPr>
                <w:rStyle w:val="34"/>
                <w:rFonts w:hint="eastAsia" w:ascii="仿宋" w:hAnsi="仿宋" w:eastAsia="仿宋" w:cs="仿宋"/>
                <w:color w:val="auto"/>
                <w:sz w:val="21"/>
                <w:szCs w:val="21"/>
                <w:highlight w:val="none"/>
              </w:rPr>
              <w:t>的，得</w:t>
            </w:r>
            <w:r>
              <w:rPr>
                <w:rStyle w:val="34"/>
                <w:rFonts w:hint="eastAsia" w:ascii="仿宋" w:hAnsi="仿宋" w:eastAsia="仿宋" w:cs="仿宋"/>
                <w:color w:val="auto"/>
                <w:sz w:val="21"/>
                <w:szCs w:val="21"/>
                <w:highlight w:val="none"/>
                <w:lang w:val="en-US" w:eastAsia="zh-CN"/>
              </w:rPr>
              <w:t>1-2</w:t>
            </w:r>
            <w:r>
              <w:rPr>
                <w:rStyle w:val="34"/>
                <w:rFonts w:hint="eastAsia" w:ascii="仿宋" w:hAnsi="仿宋" w:eastAsia="仿宋" w:cs="仿宋"/>
                <w:color w:val="auto"/>
                <w:sz w:val="21"/>
                <w:szCs w:val="21"/>
                <w:highlight w:val="none"/>
              </w:rPr>
              <w:t>分。</w:t>
            </w:r>
          </w:p>
        </w:tc>
      </w:tr>
      <w:tr w14:paraId="66CF6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911" w:type="dxa"/>
            <w:vMerge w:val="continue"/>
            <w:vAlign w:val="center"/>
          </w:tcPr>
          <w:p w14:paraId="0239002D">
            <w:pPr>
              <w:spacing w:before="60" w:after="60" w:line="336" w:lineRule="auto"/>
              <w:jc w:val="center"/>
              <w:rPr>
                <w:rStyle w:val="34"/>
                <w:rFonts w:hint="eastAsia" w:ascii="仿宋" w:hAnsi="仿宋" w:eastAsia="仿宋" w:cs="仿宋"/>
                <w:bCs/>
                <w:color w:val="auto"/>
                <w:sz w:val="21"/>
                <w:szCs w:val="21"/>
                <w:highlight w:val="none"/>
              </w:rPr>
            </w:pPr>
          </w:p>
        </w:tc>
        <w:tc>
          <w:tcPr>
            <w:tcW w:w="1273" w:type="dxa"/>
            <w:vMerge w:val="continue"/>
            <w:vAlign w:val="center"/>
          </w:tcPr>
          <w:p w14:paraId="707EA6CB">
            <w:pPr>
              <w:spacing w:before="60" w:after="60" w:line="336" w:lineRule="auto"/>
              <w:jc w:val="center"/>
              <w:rPr>
                <w:rStyle w:val="34"/>
                <w:rFonts w:hint="eastAsia" w:ascii="仿宋" w:hAnsi="仿宋" w:eastAsia="仿宋" w:cs="仿宋"/>
                <w:bCs/>
                <w:color w:val="auto"/>
                <w:sz w:val="21"/>
                <w:szCs w:val="21"/>
                <w:highlight w:val="none"/>
              </w:rPr>
            </w:pPr>
          </w:p>
        </w:tc>
        <w:tc>
          <w:tcPr>
            <w:tcW w:w="1697" w:type="dxa"/>
            <w:vAlign w:val="center"/>
          </w:tcPr>
          <w:p w14:paraId="6AAE802F">
            <w:pPr>
              <w:spacing w:line="336"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绿植更换保障条件评审</w:t>
            </w:r>
          </w:p>
          <w:p w14:paraId="0788E0F2">
            <w:pPr>
              <w:spacing w:line="336" w:lineRule="auto"/>
              <w:jc w:val="center"/>
              <w:rPr>
                <w:rStyle w:val="34"/>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（满分</w:t>
            </w: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rPr>
              <w:t>分）</w:t>
            </w:r>
          </w:p>
        </w:tc>
        <w:tc>
          <w:tcPr>
            <w:tcW w:w="5526" w:type="dxa"/>
            <w:vAlign w:val="center"/>
          </w:tcPr>
          <w:p w14:paraId="785EDCC8">
            <w:pPr>
              <w:spacing w:line="336" w:lineRule="auto"/>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a.</w:t>
            </w:r>
            <w:r>
              <w:rPr>
                <w:rStyle w:val="34"/>
                <w:rFonts w:hint="eastAsia" w:ascii="仿宋" w:hAnsi="仿宋" w:eastAsia="仿宋" w:cs="仿宋"/>
                <w:color w:val="auto"/>
                <w:sz w:val="21"/>
                <w:szCs w:val="21"/>
                <w:highlight w:val="none"/>
                <w:lang w:val="en-US" w:eastAsia="zh-CN"/>
              </w:rPr>
              <w:t>绿植种类繁多、数量充足、规格合适，能够为本项目死亡绿植的更换及采购人的需求提供充分保障的</w:t>
            </w:r>
            <w:r>
              <w:rPr>
                <w:rStyle w:val="34"/>
                <w:rFonts w:hint="eastAsia" w:ascii="仿宋" w:hAnsi="仿宋" w:eastAsia="仿宋" w:cs="仿宋"/>
                <w:color w:val="auto"/>
                <w:sz w:val="21"/>
                <w:szCs w:val="21"/>
                <w:highlight w:val="none"/>
              </w:rPr>
              <w:t>，得</w:t>
            </w:r>
            <w:r>
              <w:rPr>
                <w:rStyle w:val="34"/>
                <w:rFonts w:hint="eastAsia" w:ascii="仿宋" w:hAnsi="仿宋" w:eastAsia="仿宋" w:cs="仿宋"/>
                <w:color w:val="auto"/>
                <w:sz w:val="21"/>
                <w:szCs w:val="21"/>
                <w:highlight w:val="none"/>
                <w:lang w:val="en-US" w:eastAsia="zh-CN"/>
              </w:rPr>
              <w:t>7-10</w:t>
            </w:r>
            <w:r>
              <w:rPr>
                <w:rStyle w:val="34"/>
                <w:rFonts w:hint="eastAsia" w:ascii="仿宋" w:hAnsi="仿宋" w:eastAsia="仿宋" w:cs="仿宋"/>
                <w:color w:val="auto"/>
                <w:sz w:val="21"/>
                <w:szCs w:val="21"/>
                <w:highlight w:val="none"/>
              </w:rPr>
              <w:t>分；</w:t>
            </w:r>
          </w:p>
          <w:p w14:paraId="7F945A6A">
            <w:pPr>
              <w:spacing w:line="336" w:lineRule="auto"/>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b.</w:t>
            </w:r>
            <w:r>
              <w:rPr>
                <w:rStyle w:val="34"/>
                <w:rFonts w:hint="eastAsia" w:ascii="仿宋" w:hAnsi="仿宋" w:eastAsia="仿宋" w:cs="仿宋"/>
                <w:color w:val="auto"/>
                <w:sz w:val="21"/>
                <w:szCs w:val="21"/>
                <w:highlight w:val="none"/>
                <w:lang w:val="en-US" w:eastAsia="zh-CN"/>
              </w:rPr>
              <w:t>绿植种类偏少、数量较多、规格一般，能够为本项目死亡绿植的更换及采购人的需求提供一定保障的</w:t>
            </w:r>
            <w:r>
              <w:rPr>
                <w:rStyle w:val="34"/>
                <w:rFonts w:hint="eastAsia" w:ascii="仿宋" w:hAnsi="仿宋" w:eastAsia="仿宋" w:cs="仿宋"/>
                <w:color w:val="auto"/>
                <w:sz w:val="21"/>
                <w:szCs w:val="21"/>
                <w:highlight w:val="none"/>
                <w:lang w:val="en-US" w:eastAsia="zh-Hans"/>
              </w:rPr>
              <w:t>，</w:t>
            </w:r>
            <w:r>
              <w:rPr>
                <w:rStyle w:val="34"/>
                <w:rFonts w:hint="eastAsia" w:ascii="仿宋" w:hAnsi="仿宋" w:eastAsia="仿宋" w:cs="仿宋"/>
                <w:color w:val="auto"/>
                <w:sz w:val="21"/>
                <w:szCs w:val="21"/>
                <w:highlight w:val="none"/>
              </w:rPr>
              <w:t>得</w:t>
            </w:r>
            <w:r>
              <w:rPr>
                <w:rStyle w:val="34"/>
                <w:rFonts w:hint="eastAsia" w:ascii="仿宋" w:hAnsi="仿宋" w:eastAsia="仿宋" w:cs="仿宋"/>
                <w:color w:val="auto"/>
                <w:sz w:val="21"/>
                <w:szCs w:val="21"/>
                <w:highlight w:val="none"/>
                <w:lang w:val="en-US" w:eastAsia="zh-CN"/>
              </w:rPr>
              <w:t>3-6</w:t>
            </w:r>
            <w:r>
              <w:rPr>
                <w:rStyle w:val="34"/>
                <w:rFonts w:hint="eastAsia" w:ascii="仿宋" w:hAnsi="仿宋" w:eastAsia="仿宋" w:cs="仿宋"/>
                <w:color w:val="auto"/>
                <w:sz w:val="21"/>
                <w:szCs w:val="21"/>
                <w:highlight w:val="none"/>
              </w:rPr>
              <w:t>分；</w:t>
            </w:r>
          </w:p>
          <w:p w14:paraId="7E21F801">
            <w:pPr>
              <w:spacing w:line="336" w:lineRule="auto"/>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c.</w:t>
            </w:r>
            <w:r>
              <w:rPr>
                <w:rStyle w:val="34"/>
                <w:rFonts w:hint="eastAsia" w:ascii="仿宋" w:hAnsi="仿宋" w:eastAsia="仿宋" w:cs="仿宋"/>
                <w:color w:val="auto"/>
                <w:sz w:val="21"/>
                <w:szCs w:val="21"/>
                <w:highlight w:val="none"/>
                <w:lang w:val="en-US" w:eastAsia="zh-CN"/>
              </w:rPr>
              <w:t>绿植种类极少、数量较少、规格较小，难以为本项目死亡绿植的更换及采购人的需求提供保障的，得1-2分</w:t>
            </w:r>
            <w:r>
              <w:rPr>
                <w:rStyle w:val="34"/>
                <w:rFonts w:hint="eastAsia" w:ascii="仿宋" w:hAnsi="仿宋" w:eastAsia="仿宋" w:cs="仿宋"/>
                <w:color w:val="auto"/>
                <w:sz w:val="21"/>
                <w:szCs w:val="21"/>
                <w:highlight w:val="none"/>
              </w:rPr>
              <w:t>。</w:t>
            </w:r>
          </w:p>
        </w:tc>
      </w:tr>
      <w:tr w14:paraId="73D81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911" w:type="dxa"/>
            <w:vMerge w:val="continue"/>
            <w:vAlign w:val="center"/>
          </w:tcPr>
          <w:p w14:paraId="3CF8F9A2">
            <w:pPr>
              <w:spacing w:before="60" w:after="60" w:line="336" w:lineRule="auto"/>
              <w:jc w:val="center"/>
              <w:rPr>
                <w:rStyle w:val="34"/>
                <w:rFonts w:hint="eastAsia" w:ascii="仿宋" w:hAnsi="仿宋" w:eastAsia="仿宋" w:cs="仿宋"/>
                <w:bCs/>
                <w:color w:val="auto"/>
                <w:sz w:val="21"/>
                <w:szCs w:val="21"/>
                <w:highlight w:val="none"/>
              </w:rPr>
            </w:pPr>
          </w:p>
        </w:tc>
        <w:tc>
          <w:tcPr>
            <w:tcW w:w="1273" w:type="dxa"/>
            <w:vMerge w:val="continue"/>
            <w:vAlign w:val="center"/>
          </w:tcPr>
          <w:p w14:paraId="1FA0EEF0">
            <w:pPr>
              <w:spacing w:before="60" w:after="60" w:line="336" w:lineRule="auto"/>
              <w:jc w:val="center"/>
              <w:rPr>
                <w:rStyle w:val="34"/>
                <w:rFonts w:hint="eastAsia" w:ascii="仿宋" w:hAnsi="仿宋" w:eastAsia="仿宋" w:cs="仿宋"/>
                <w:bCs/>
                <w:color w:val="auto"/>
                <w:sz w:val="21"/>
                <w:szCs w:val="21"/>
                <w:highlight w:val="none"/>
              </w:rPr>
            </w:pPr>
          </w:p>
        </w:tc>
        <w:tc>
          <w:tcPr>
            <w:tcW w:w="1697" w:type="dxa"/>
            <w:vAlign w:val="center"/>
          </w:tcPr>
          <w:p w14:paraId="1E6C0DE5">
            <w:pPr>
              <w:spacing w:line="336"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服务质量承诺及保障措施评审</w:t>
            </w:r>
          </w:p>
          <w:p w14:paraId="5BDD4ABF">
            <w:pPr>
              <w:spacing w:line="336"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（满分10分）</w:t>
            </w:r>
          </w:p>
        </w:tc>
        <w:tc>
          <w:tcPr>
            <w:tcW w:w="5526" w:type="dxa"/>
            <w:vAlign w:val="center"/>
          </w:tcPr>
          <w:p w14:paraId="7C713A88">
            <w:pPr>
              <w:spacing w:line="336" w:lineRule="auto"/>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a.</w:t>
            </w:r>
            <w:r>
              <w:rPr>
                <w:rStyle w:val="34"/>
                <w:rFonts w:hint="eastAsia" w:ascii="仿宋" w:hAnsi="仿宋" w:eastAsia="仿宋" w:cs="仿宋"/>
                <w:color w:val="auto"/>
                <w:sz w:val="21"/>
                <w:szCs w:val="21"/>
                <w:highlight w:val="none"/>
                <w:lang w:val="en-US" w:eastAsia="zh-CN"/>
              </w:rPr>
              <w:t>服务质量</w:t>
            </w:r>
            <w:r>
              <w:rPr>
                <w:rStyle w:val="34"/>
                <w:rFonts w:hint="eastAsia" w:ascii="仿宋" w:hAnsi="仿宋" w:eastAsia="仿宋" w:cs="仿宋"/>
                <w:color w:val="auto"/>
                <w:sz w:val="21"/>
                <w:szCs w:val="21"/>
                <w:highlight w:val="none"/>
              </w:rPr>
              <w:t>及</w:t>
            </w:r>
            <w:r>
              <w:rPr>
                <w:rStyle w:val="34"/>
                <w:rFonts w:hint="eastAsia" w:ascii="仿宋" w:hAnsi="仿宋" w:eastAsia="仿宋" w:cs="仿宋"/>
                <w:color w:val="auto"/>
                <w:sz w:val="21"/>
                <w:szCs w:val="21"/>
                <w:highlight w:val="none"/>
                <w:lang w:val="en-US" w:eastAsia="zh-CN"/>
              </w:rPr>
              <w:t>保障措施</w:t>
            </w:r>
            <w:r>
              <w:rPr>
                <w:rStyle w:val="34"/>
                <w:rFonts w:hint="eastAsia" w:ascii="仿宋" w:hAnsi="仿宋" w:eastAsia="仿宋" w:cs="仿宋"/>
                <w:color w:val="auto"/>
                <w:sz w:val="21"/>
                <w:szCs w:val="21"/>
                <w:highlight w:val="none"/>
              </w:rPr>
              <w:t>内容完整、规范、具体可行且针对性强，违约承诺具体的得</w:t>
            </w:r>
            <w:r>
              <w:rPr>
                <w:rStyle w:val="34"/>
                <w:rFonts w:hint="eastAsia" w:ascii="仿宋" w:hAnsi="仿宋" w:eastAsia="仿宋" w:cs="仿宋"/>
                <w:color w:val="auto"/>
                <w:sz w:val="21"/>
                <w:szCs w:val="21"/>
                <w:highlight w:val="none"/>
                <w:lang w:val="en-US" w:eastAsia="zh-CN"/>
              </w:rPr>
              <w:t>7-10</w:t>
            </w:r>
            <w:r>
              <w:rPr>
                <w:rStyle w:val="34"/>
                <w:rFonts w:hint="eastAsia" w:ascii="仿宋" w:hAnsi="仿宋" w:eastAsia="仿宋" w:cs="仿宋"/>
                <w:color w:val="auto"/>
                <w:sz w:val="21"/>
                <w:szCs w:val="21"/>
                <w:highlight w:val="none"/>
              </w:rPr>
              <w:t>分；</w:t>
            </w:r>
          </w:p>
          <w:p w14:paraId="51B7EEAD">
            <w:pPr>
              <w:spacing w:line="336" w:lineRule="auto"/>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b.</w:t>
            </w:r>
            <w:r>
              <w:rPr>
                <w:rStyle w:val="34"/>
                <w:rFonts w:hint="eastAsia" w:ascii="仿宋" w:hAnsi="仿宋" w:eastAsia="仿宋" w:cs="仿宋"/>
                <w:color w:val="auto"/>
                <w:sz w:val="21"/>
                <w:szCs w:val="21"/>
                <w:highlight w:val="none"/>
                <w:lang w:val="en-US" w:eastAsia="zh-CN"/>
              </w:rPr>
              <w:t>服务质量</w:t>
            </w:r>
            <w:r>
              <w:rPr>
                <w:rStyle w:val="34"/>
                <w:rFonts w:hint="eastAsia" w:ascii="仿宋" w:hAnsi="仿宋" w:eastAsia="仿宋" w:cs="仿宋"/>
                <w:color w:val="auto"/>
                <w:sz w:val="21"/>
                <w:szCs w:val="21"/>
                <w:highlight w:val="none"/>
              </w:rPr>
              <w:t>及</w:t>
            </w:r>
            <w:r>
              <w:rPr>
                <w:rStyle w:val="34"/>
                <w:rFonts w:hint="eastAsia" w:ascii="仿宋" w:hAnsi="仿宋" w:eastAsia="仿宋" w:cs="仿宋"/>
                <w:color w:val="auto"/>
                <w:sz w:val="21"/>
                <w:szCs w:val="21"/>
                <w:highlight w:val="none"/>
                <w:lang w:val="en-US" w:eastAsia="zh-CN"/>
              </w:rPr>
              <w:t>保障措施</w:t>
            </w:r>
            <w:r>
              <w:rPr>
                <w:rStyle w:val="34"/>
                <w:rFonts w:hint="eastAsia" w:ascii="仿宋" w:hAnsi="仿宋" w:eastAsia="仿宋" w:cs="仿宋"/>
                <w:color w:val="auto"/>
                <w:sz w:val="21"/>
                <w:szCs w:val="21"/>
                <w:highlight w:val="none"/>
              </w:rPr>
              <w:t>内容基本完整、可行，针对性一般的得</w:t>
            </w:r>
            <w:r>
              <w:rPr>
                <w:rStyle w:val="34"/>
                <w:rFonts w:hint="eastAsia" w:ascii="仿宋" w:hAnsi="仿宋" w:eastAsia="仿宋" w:cs="仿宋"/>
                <w:color w:val="auto"/>
                <w:sz w:val="21"/>
                <w:szCs w:val="21"/>
                <w:highlight w:val="none"/>
                <w:lang w:val="en-US" w:eastAsia="zh-CN"/>
              </w:rPr>
              <w:t>3-6</w:t>
            </w:r>
            <w:r>
              <w:rPr>
                <w:rStyle w:val="34"/>
                <w:rFonts w:hint="eastAsia" w:ascii="仿宋" w:hAnsi="仿宋" w:eastAsia="仿宋" w:cs="仿宋"/>
                <w:color w:val="auto"/>
                <w:sz w:val="21"/>
                <w:szCs w:val="21"/>
                <w:highlight w:val="none"/>
              </w:rPr>
              <w:t>分；</w:t>
            </w:r>
          </w:p>
          <w:p w14:paraId="2B1EE828">
            <w:pPr>
              <w:spacing w:line="336" w:lineRule="auto"/>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rPr>
              <w:t>c.</w:t>
            </w:r>
            <w:r>
              <w:rPr>
                <w:rStyle w:val="34"/>
                <w:rFonts w:hint="eastAsia" w:ascii="仿宋" w:hAnsi="仿宋" w:eastAsia="仿宋" w:cs="仿宋"/>
                <w:color w:val="auto"/>
                <w:sz w:val="21"/>
                <w:szCs w:val="21"/>
                <w:highlight w:val="none"/>
                <w:lang w:val="en-US" w:eastAsia="zh-CN"/>
              </w:rPr>
              <w:t>服务质量</w:t>
            </w:r>
            <w:r>
              <w:rPr>
                <w:rStyle w:val="34"/>
                <w:rFonts w:hint="eastAsia" w:ascii="仿宋" w:hAnsi="仿宋" w:eastAsia="仿宋" w:cs="仿宋"/>
                <w:color w:val="auto"/>
                <w:sz w:val="21"/>
                <w:szCs w:val="21"/>
                <w:highlight w:val="none"/>
              </w:rPr>
              <w:t>及</w:t>
            </w:r>
            <w:r>
              <w:rPr>
                <w:rStyle w:val="34"/>
                <w:rFonts w:hint="eastAsia" w:ascii="仿宋" w:hAnsi="仿宋" w:eastAsia="仿宋" w:cs="仿宋"/>
                <w:color w:val="auto"/>
                <w:sz w:val="21"/>
                <w:szCs w:val="21"/>
                <w:highlight w:val="none"/>
                <w:lang w:val="en-US" w:eastAsia="zh-CN"/>
              </w:rPr>
              <w:t>保障措施</w:t>
            </w:r>
            <w:r>
              <w:rPr>
                <w:rStyle w:val="34"/>
                <w:rFonts w:hint="eastAsia" w:ascii="仿宋" w:hAnsi="仿宋" w:eastAsia="仿宋" w:cs="仿宋"/>
                <w:color w:val="auto"/>
                <w:sz w:val="21"/>
                <w:szCs w:val="21"/>
                <w:highlight w:val="none"/>
              </w:rPr>
              <w:t>内容一般，基本可行，没有针对性的，得1-</w:t>
            </w:r>
            <w:r>
              <w:rPr>
                <w:rStyle w:val="34"/>
                <w:rFonts w:hint="eastAsia" w:ascii="仿宋" w:hAnsi="仿宋" w:eastAsia="仿宋" w:cs="仿宋"/>
                <w:color w:val="auto"/>
                <w:sz w:val="21"/>
                <w:szCs w:val="21"/>
                <w:highlight w:val="none"/>
                <w:lang w:val="en-US" w:eastAsia="zh-CN"/>
              </w:rPr>
              <w:t>2</w:t>
            </w:r>
            <w:r>
              <w:rPr>
                <w:rStyle w:val="34"/>
                <w:rFonts w:hint="eastAsia" w:ascii="仿宋" w:hAnsi="仿宋" w:eastAsia="仿宋" w:cs="仿宋"/>
                <w:color w:val="auto"/>
                <w:sz w:val="21"/>
                <w:szCs w:val="21"/>
                <w:highlight w:val="none"/>
              </w:rPr>
              <w:t>分；</w:t>
            </w:r>
          </w:p>
        </w:tc>
      </w:tr>
      <w:tr w14:paraId="361D3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911" w:type="dxa"/>
            <w:vMerge w:val="continue"/>
            <w:vAlign w:val="center"/>
          </w:tcPr>
          <w:p w14:paraId="4F18247E">
            <w:pPr>
              <w:spacing w:before="60" w:after="60" w:line="336" w:lineRule="auto"/>
              <w:jc w:val="center"/>
              <w:rPr>
                <w:rStyle w:val="34"/>
                <w:rFonts w:hint="eastAsia" w:ascii="仿宋" w:hAnsi="仿宋" w:eastAsia="仿宋" w:cs="仿宋"/>
                <w:bCs/>
                <w:color w:val="auto"/>
                <w:sz w:val="21"/>
                <w:szCs w:val="21"/>
                <w:highlight w:val="none"/>
              </w:rPr>
            </w:pPr>
          </w:p>
        </w:tc>
        <w:tc>
          <w:tcPr>
            <w:tcW w:w="1273" w:type="dxa"/>
            <w:vMerge w:val="continue"/>
            <w:vAlign w:val="center"/>
          </w:tcPr>
          <w:p w14:paraId="6C3B9D13">
            <w:pPr>
              <w:spacing w:before="60" w:after="60" w:line="336" w:lineRule="auto"/>
              <w:jc w:val="center"/>
              <w:rPr>
                <w:rStyle w:val="34"/>
                <w:rFonts w:hint="eastAsia" w:ascii="仿宋" w:hAnsi="仿宋" w:eastAsia="仿宋" w:cs="仿宋"/>
                <w:bCs/>
                <w:color w:val="auto"/>
                <w:sz w:val="21"/>
                <w:szCs w:val="21"/>
                <w:highlight w:val="none"/>
              </w:rPr>
            </w:pPr>
          </w:p>
        </w:tc>
        <w:tc>
          <w:tcPr>
            <w:tcW w:w="1697" w:type="dxa"/>
            <w:vAlign w:val="center"/>
          </w:tcPr>
          <w:p w14:paraId="00F337A7">
            <w:pPr>
              <w:spacing w:line="336" w:lineRule="auto"/>
              <w:jc w:val="center"/>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rPr>
              <w:t>组织机构及人员配备计划评审</w:t>
            </w:r>
          </w:p>
          <w:p w14:paraId="1D8B0AC5">
            <w:pPr>
              <w:spacing w:line="336"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（满分：15分）</w:t>
            </w:r>
          </w:p>
        </w:tc>
        <w:tc>
          <w:tcPr>
            <w:tcW w:w="5526" w:type="dxa"/>
            <w:vAlign w:val="center"/>
          </w:tcPr>
          <w:p w14:paraId="492F98AD">
            <w:pPr>
              <w:spacing w:line="336" w:lineRule="auto"/>
              <w:rPr>
                <w:rStyle w:val="34"/>
                <w:rFonts w:hint="eastAsia" w:ascii="仿宋" w:hAnsi="仿宋" w:eastAsia="仿宋" w:cs="仿宋"/>
                <w:color w:val="auto"/>
                <w:sz w:val="21"/>
                <w:szCs w:val="21"/>
                <w:highlight w:val="none"/>
                <w:lang w:val="en-US" w:eastAsia="zh-CN"/>
              </w:rPr>
            </w:pPr>
            <w:r>
              <w:rPr>
                <w:rStyle w:val="34"/>
                <w:rFonts w:hint="eastAsia" w:ascii="仿宋" w:hAnsi="仿宋" w:eastAsia="仿宋" w:cs="仿宋"/>
                <w:color w:val="auto"/>
                <w:sz w:val="21"/>
                <w:szCs w:val="21"/>
                <w:highlight w:val="none"/>
                <w:lang w:val="en-US" w:eastAsia="zh-CN"/>
              </w:rPr>
              <w:t>a.组织机构健全、岗位职责清晰，人员结构合理，经验丰</w:t>
            </w:r>
          </w:p>
          <w:p w14:paraId="3AEF4A56">
            <w:pPr>
              <w:spacing w:line="336" w:lineRule="auto"/>
              <w:rPr>
                <w:rStyle w:val="34"/>
                <w:rFonts w:hint="eastAsia" w:ascii="仿宋" w:hAnsi="仿宋" w:eastAsia="仿宋" w:cs="仿宋"/>
                <w:color w:val="auto"/>
                <w:sz w:val="21"/>
                <w:szCs w:val="21"/>
                <w:highlight w:val="none"/>
                <w:lang w:val="en-US" w:eastAsia="zh-CN"/>
              </w:rPr>
            </w:pPr>
            <w:r>
              <w:rPr>
                <w:rStyle w:val="34"/>
                <w:rFonts w:hint="eastAsia" w:ascii="仿宋" w:hAnsi="仿宋" w:eastAsia="仿宋" w:cs="仿宋"/>
                <w:color w:val="auto"/>
                <w:sz w:val="21"/>
                <w:szCs w:val="21"/>
                <w:highlight w:val="none"/>
                <w:lang w:val="en-US" w:eastAsia="zh-CN"/>
              </w:rPr>
              <w:t>富，人数完全满足或优于本项目实际需要，技术力量较强，</w:t>
            </w:r>
          </w:p>
          <w:p w14:paraId="0495A8C2">
            <w:pPr>
              <w:spacing w:line="336" w:lineRule="auto"/>
              <w:rPr>
                <w:rStyle w:val="34"/>
                <w:rFonts w:hint="eastAsia" w:ascii="仿宋" w:hAnsi="仿宋" w:eastAsia="仿宋" w:cs="仿宋"/>
                <w:color w:val="auto"/>
                <w:sz w:val="21"/>
                <w:szCs w:val="21"/>
                <w:highlight w:val="none"/>
                <w:lang w:val="en-US" w:eastAsia="zh-CN"/>
              </w:rPr>
            </w:pPr>
            <w:r>
              <w:rPr>
                <w:rStyle w:val="34"/>
                <w:rFonts w:hint="eastAsia" w:ascii="仿宋" w:hAnsi="仿宋" w:eastAsia="仿宋" w:cs="仿宋"/>
                <w:color w:val="auto"/>
                <w:sz w:val="21"/>
                <w:szCs w:val="21"/>
                <w:highlight w:val="none"/>
                <w:lang w:val="en-US" w:eastAsia="zh-CN"/>
              </w:rPr>
              <w:t>人员培训及监督考核体系完善的，分值为10-15分；</w:t>
            </w:r>
          </w:p>
          <w:p w14:paraId="2AB2ABC1">
            <w:pPr>
              <w:spacing w:line="336" w:lineRule="auto"/>
              <w:rPr>
                <w:rStyle w:val="34"/>
                <w:rFonts w:hint="eastAsia" w:ascii="仿宋" w:hAnsi="仿宋" w:eastAsia="仿宋" w:cs="仿宋"/>
                <w:color w:val="auto"/>
                <w:sz w:val="21"/>
                <w:szCs w:val="21"/>
                <w:highlight w:val="none"/>
                <w:lang w:val="en-US" w:eastAsia="zh-CN"/>
              </w:rPr>
            </w:pPr>
            <w:r>
              <w:rPr>
                <w:rStyle w:val="34"/>
                <w:rFonts w:hint="eastAsia" w:ascii="仿宋" w:hAnsi="仿宋" w:eastAsia="仿宋" w:cs="仿宋"/>
                <w:color w:val="auto"/>
                <w:sz w:val="21"/>
                <w:szCs w:val="21"/>
                <w:highlight w:val="none"/>
                <w:lang w:val="en-US" w:eastAsia="zh-CN"/>
              </w:rPr>
              <w:t>b.组织机构基本健全、岗位职责基本清晰，人员结构基本合理，经验一般，人数基本满足本项目实际需要，人员培训及监督考核体系基本完善的，分值为5-9分；</w:t>
            </w:r>
          </w:p>
          <w:p w14:paraId="57CF3B5D">
            <w:pPr>
              <w:spacing w:line="336" w:lineRule="auto"/>
              <w:rPr>
                <w:rStyle w:val="34"/>
                <w:rFonts w:hint="eastAsia" w:ascii="仿宋" w:hAnsi="仿宋" w:eastAsia="仿宋" w:cs="仿宋"/>
                <w:color w:val="auto"/>
                <w:sz w:val="21"/>
                <w:szCs w:val="21"/>
                <w:highlight w:val="none"/>
              </w:rPr>
            </w:pPr>
            <w:r>
              <w:rPr>
                <w:rStyle w:val="34"/>
                <w:rFonts w:hint="eastAsia" w:ascii="仿宋" w:hAnsi="仿宋" w:eastAsia="仿宋" w:cs="仿宋"/>
                <w:color w:val="auto"/>
                <w:sz w:val="21"/>
                <w:szCs w:val="21"/>
                <w:highlight w:val="none"/>
                <w:lang w:val="en-US" w:eastAsia="zh-CN"/>
              </w:rPr>
              <w:t>c.组织机构不够健全、岗位职责不够清晰，人员结构不够合理，经验较差，人数不能满足本项目实际需要，人员培训及监督考核体系不完善的，分值为1-4分。</w:t>
            </w:r>
          </w:p>
        </w:tc>
      </w:tr>
    </w:tbl>
    <w:p w14:paraId="27F6B98C">
      <w:pPr>
        <w:rPr>
          <w:rStyle w:val="34"/>
          <w:rFonts w:ascii="仿宋" w:hAnsi="仿宋" w:eastAsia="仿宋" w:cs="仿宋"/>
          <w:b/>
          <w:color w:val="auto"/>
          <w:szCs w:val="21"/>
          <w:highlight w:val="none"/>
        </w:rPr>
      </w:pPr>
      <w:r>
        <w:rPr>
          <w:rStyle w:val="34"/>
          <w:rFonts w:hint="eastAsia" w:ascii="仿宋" w:hAnsi="仿宋" w:eastAsia="仿宋" w:cs="仿宋"/>
          <w:b/>
          <w:color w:val="auto"/>
          <w:szCs w:val="21"/>
          <w:highlight w:val="none"/>
        </w:rPr>
        <w:br w:type="page"/>
      </w:r>
    </w:p>
    <w:p w14:paraId="547BBB62">
      <w:pPr>
        <w:pStyle w:val="30"/>
        <w:spacing w:line="348" w:lineRule="auto"/>
        <w:ind w:firstLine="0"/>
        <w:rPr>
          <w:rStyle w:val="34"/>
          <w:rFonts w:ascii="仿宋" w:hAnsi="仿宋" w:eastAsia="仿宋" w:cs="仿宋"/>
          <w:b/>
          <w:color w:val="auto"/>
          <w:szCs w:val="21"/>
          <w:highlight w:val="none"/>
        </w:rPr>
      </w:pPr>
      <w:r>
        <w:rPr>
          <w:rStyle w:val="34"/>
          <w:rFonts w:hint="eastAsia" w:ascii="仿宋" w:hAnsi="仿宋" w:eastAsia="仿宋" w:cs="仿宋"/>
          <w:b/>
          <w:color w:val="auto"/>
          <w:szCs w:val="21"/>
          <w:highlight w:val="none"/>
        </w:rPr>
        <w:t>一 、评审办法</w:t>
      </w:r>
    </w:p>
    <w:p w14:paraId="7709B83E">
      <w:pPr>
        <w:pStyle w:val="30"/>
        <w:spacing w:line="348" w:lineRule="auto"/>
        <w:ind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本次评审采用综合评分法。参照《中华人民共和国政府采购法》、《中华人民共和国政府采购法实施条例》、</w:t>
      </w:r>
      <w:r>
        <w:rPr>
          <w:rStyle w:val="34"/>
          <w:rFonts w:hint="eastAsia" w:ascii="仿宋" w:hAnsi="仿宋" w:eastAsia="仿宋" w:cs="仿宋"/>
          <w:color w:val="auto"/>
          <w:kern w:val="0"/>
          <w:szCs w:val="21"/>
          <w:highlight w:val="none"/>
        </w:rPr>
        <w:t>《政府采购竞争性磋商采购方式管理暂行办法》、财库【2015】124号文件</w:t>
      </w:r>
      <w:r>
        <w:rPr>
          <w:rStyle w:val="34"/>
          <w:rFonts w:hint="eastAsia" w:ascii="仿宋" w:hAnsi="仿宋" w:eastAsia="仿宋" w:cs="仿宋"/>
          <w:color w:val="auto"/>
          <w:szCs w:val="21"/>
          <w:highlight w:val="none"/>
        </w:rPr>
        <w:t>等有关法律法规的规定，磋商小组成员按照客观、公正、谨慎的原则，根据磋商文件规定的评审程序、评审方法和评审标准进行独立评审。根据排名先后确定成交候选供应商。</w:t>
      </w:r>
    </w:p>
    <w:p w14:paraId="5C1C856F">
      <w:pPr>
        <w:pStyle w:val="30"/>
        <w:spacing w:line="348" w:lineRule="auto"/>
        <w:ind w:firstLine="0"/>
        <w:rPr>
          <w:rStyle w:val="34"/>
          <w:rFonts w:ascii="仿宋" w:hAnsi="仿宋" w:eastAsia="仿宋" w:cs="仿宋"/>
          <w:b/>
          <w:color w:val="auto"/>
          <w:szCs w:val="21"/>
          <w:highlight w:val="none"/>
        </w:rPr>
      </w:pPr>
      <w:r>
        <w:rPr>
          <w:rStyle w:val="34"/>
          <w:rFonts w:hint="eastAsia" w:ascii="仿宋" w:hAnsi="仿宋" w:eastAsia="仿宋" w:cs="仿宋"/>
          <w:b/>
          <w:color w:val="auto"/>
          <w:szCs w:val="21"/>
          <w:highlight w:val="none"/>
        </w:rPr>
        <w:t>二、 评审程序</w:t>
      </w:r>
    </w:p>
    <w:p w14:paraId="02F57494">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2.1 资格审查（通过制）：见评标办法前附表；</w:t>
      </w:r>
    </w:p>
    <w:p w14:paraId="11C67192">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2.2 符合性评审（通过制）：见评标办法前附表；</w:t>
      </w:r>
    </w:p>
    <w:p w14:paraId="3DEDE05E">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2.3 磋商（磋商小组对通过资格审查、符合性评审的供应商分别进行磋商）；</w:t>
      </w:r>
    </w:p>
    <w:p w14:paraId="3F2DEC5F">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2.4 最后报价；</w:t>
      </w:r>
    </w:p>
    <w:p w14:paraId="71249875">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2.5 详细评审；</w:t>
      </w:r>
    </w:p>
    <w:p w14:paraId="7378E861">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2.6 推荐成交候选供应商。</w:t>
      </w:r>
    </w:p>
    <w:p w14:paraId="68489B93">
      <w:pPr>
        <w:spacing w:line="348" w:lineRule="auto"/>
        <w:rPr>
          <w:rStyle w:val="34"/>
          <w:rFonts w:ascii="仿宋" w:hAnsi="仿宋" w:eastAsia="仿宋" w:cs="仿宋"/>
          <w:b/>
          <w:color w:val="auto"/>
          <w:szCs w:val="21"/>
          <w:highlight w:val="none"/>
        </w:rPr>
      </w:pPr>
      <w:r>
        <w:rPr>
          <w:rStyle w:val="34"/>
          <w:rFonts w:hint="eastAsia" w:ascii="仿宋" w:hAnsi="仿宋" w:eastAsia="仿宋" w:cs="仿宋"/>
          <w:color w:val="auto"/>
          <w:szCs w:val="21"/>
          <w:highlight w:val="none"/>
        </w:rPr>
        <w:t>三、</w:t>
      </w:r>
      <w:r>
        <w:rPr>
          <w:rStyle w:val="34"/>
          <w:rFonts w:hint="eastAsia" w:ascii="仿宋" w:hAnsi="仿宋" w:eastAsia="仿宋" w:cs="仿宋"/>
          <w:b/>
          <w:color w:val="auto"/>
          <w:szCs w:val="21"/>
          <w:highlight w:val="none"/>
        </w:rPr>
        <w:t xml:space="preserve"> 评审原则</w:t>
      </w:r>
    </w:p>
    <w:p w14:paraId="1C1EC5E4">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3.1 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69C2CDFE">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3.2磋商小组应当根据综合评分情况，按照评审得分由高到低顺序推荐至少2名以上成交候选供应商，并编写评审报告。评审得分相同的，按照最后报价由低到高的顺序推荐。评审得分且最后报价相同的，按照技术指标优劣顺序推荐。</w:t>
      </w:r>
    </w:p>
    <w:p w14:paraId="0BA2D49F">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3.3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63953D59">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3.4响应文件如果出现计算或表达上的错误，修正错误的原则如下：</w:t>
      </w:r>
    </w:p>
    <w:p w14:paraId="2ACEA901">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（1）报价的大写金额和小写金额不一致的，以大写金额为准；</w:t>
      </w:r>
    </w:p>
    <w:p w14:paraId="27109B0C">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（2）总价金额与按单价汇总金额不一致的，以单价金额计算结果为准；</w:t>
      </w:r>
    </w:p>
    <w:p w14:paraId="43E641DF">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（3）单价金额小数点有明显错位的，应以总价为准，并修改单价；</w:t>
      </w:r>
    </w:p>
    <w:p w14:paraId="585856C3">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（4）对不同文字文本响应文件的解释发生异议的，以中文文本为准。</w:t>
      </w:r>
    </w:p>
    <w:p w14:paraId="55507FB9">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（5）按上述修正错误的原则及方法调整或修正响应文件的报价，供应商同意后，调整后的报价对供应商起约束作用。如果供应商不接受修正后的报价，视为未实质性响应竞争性磋商文件要求。</w:t>
      </w:r>
    </w:p>
    <w:p w14:paraId="108B8C15">
      <w:pPr>
        <w:spacing w:line="348" w:lineRule="auto"/>
        <w:rPr>
          <w:rStyle w:val="34"/>
          <w:rFonts w:ascii="仿宋" w:hAnsi="仿宋" w:eastAsia="仿宋" w:cs="仿宋"/>
          <w:b/>
          <w:color w:val="auto"/>
          <w:szCs w:val="21"/>
          <w:highlight w:val="none"/>
        </w:rPr>
      </w:pPr>
      <w:r>
        <w:rPr>
          <w:rStyle w:val="34"/>
          <w:rFonts w:hint="eastAsia" w:ascii="仿宋" w:hAnsi="仿宋" w:eastAsia="仿宋" w:cs="仿宋"/>
          <w:b/>
          <w:color w:val="auto"/>
          <w:szCs w:val="21"/>
          <w:highlight w:val="none"/>
        </w:rPr>
        <w:t>四 、磋商过程的保密</w:t>
      </w:r>
    </w:p>
    <w:p w14:paraId="38E00A38">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4.1响应文件开启后，直至授予成交人合同为止，凡属于对响应文件的审查、澄清、评价和比较的有关资料以及成交侯选供应商的推荐情况，与评审有关的其他任何情况均严格保密。</w:t>
      </w:r>
    </w:p>
    <w:p w14:paraId="765FC087">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 xml:space="preserve">4.2在响应文件的评审和比较、成交候选供应商推荐以及授予合同的过程中，供应商向采购人和磋商小组施加影响的任何行为，都将会导致其磋商申请将被拒绝。   </w:t>
      </w:r>
    </w:p>
    <w:p w14:paraId="2B91BC2D">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4.3成交供应商确定后，采购人不对未成交供应商就磋商过程以及未能成交原因作出任何解释。未成交供应商不得向磋商小组组成人员或其他有关人员索问磋商过程的情况和资料。</w:t>
      </w:r>
    </w:p>
    <w:p w14:paraId="04FF82B2">
      <w:pPr>
        <w:spacing w:line="348" w:lineRule="auto"/>
        <w:rPr>
          <w:rStyle w:val="34"/>
          <w:rFonts w:ascii="仿宋" w:hAnsi="仿宋" w:eastAsia="仿宋" w:cs="仿宋"/>
          <w:b/>
          <w:color w:val="auto"/>
          <w:szCs w:val="21"/>
          <w:highlight w:val="none"/>
        </w:rPr>
      </w:pPr>
      <w:r>
        <w:rPr>
          <w:rStyle w:val="34"/>
          <w:rFonts w:hint="eastAsia" w:ascii="仿宋" w:hAnsi="仿宋" w:eastAsia="仿宋" w:cs="仿宋"/>
          <w:b/>
          <w:color w:val="auto"/>
          <w:szCs w:val="21"/>
          <w:highlight w:val="none"/>
        </w:rPr>
        <w:t>五、 评审办法及标准</w:t>
      </w:r>
    </w:p>
    <w:p w14:paraId="4FCE41BC">
      <w:pPr>
        <w:spacing w:line="348" w:lineRule="auto"/>
        <w:ind w:firstLine="465"/>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5.1资格审查</w:t>
      </w:r>
    </w:p>
    <w:p w14:paraId="18DEE57F">
      <w:pPr>
        <w:spacing w:line="348" w:lineRule="auto"/>
        <w:ind w:firstLine="465"/>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磋商小组根据评审办法前附表中规定的评审因素和评审标准以及竞争性磋商文件中规定的资格要求进行审查，资格审查为通过制。</w:t>
      </w:r>
    </w:p>
    <w:p w14:paraId="213EF517">
      <w:pPr>
        <w:spacing w:line="348" w:lineRule="auto"/>
        <w:ind w:firstLine="465"/>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评审内容详见“供应商须知前附表”。</w:t>
      </w:r>
    </w:p>
    <w:p w14:paraId="34743D77">
      <w:pPr>
        <w:spacing w:line="348" w:lineRule="auto"/>
        <w:ind w:firstLine="465"/>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资格审查为通过制，未通过的供应商不进入下一评审过程。</w:t>
      </w:r>
    </w:p>
    <w:p w14:paraId="4D775D2F">
      <w:pPr>
        <w:spacing w:line="348" w:lineRule="auto"/>
        <w:ind w:firstLine="465"/>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5.2符合性评审</w:t>
      </w:r>
    </w:p>
    <w:p w14:paraId="1F5DF101">
      <w:pPr>
        <w:spacing w:line="348" w:lineRule="auto"/>
        <w:ind w:firstLine="465"/>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磋商小组对响应文件的有效性、完整性和响应程度进行审查，符合性评审为通过制。</w:t>
      </w:r>
    </w:p>
    <w:p w14:paraId="782A7A9A">
      <w:pPr>
        <w:spacing w:line="348" w:lineRule="auto"/>
        <w:ind w:firstLine="465"/>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0172423">
      <w:pPr>
        <w:spacing w:line="348" w:lineRule="auto"/>
        <w:ind w:firstLine="465"/>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03A6909B">
      <w:pPr>
        <w:spacing w:line="348" w:lineRule="auto"/>
        <w:ind w:firstLine="465"/>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评审内容详见“供应商须知前附表”。</w:t>
      </w:r>
    </w:p>
    <w:p w14:paraId="7678E735">
      <w:pPr>
        <w:spacing w:line="348" w:lineRule="auto"/>
        <w:ind w:left="465"/>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符合性评审为通过制，未通过的供应商不进入下一评审过程。</w:t>
      </w:r>
    </w:p>
    <w:p w14:paraId="39D2392E">
      <w:pPr>
        <w:spacing w:line="348" w:lineRule="auto"/>
        <w:ind w:left="465"/>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5.3 磋商</w:t>
      </w:r>
    </w:p>
    <w:p w14:paraId="128450DE">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磋商小组所有成员应当集中与通过符合性评审的单一供应商分别进行磋商，并给予所有参加磋商的供应商平等的磋商机会。磋商顺序为递交响应文件的逆顺序。</w:t>
      </w:r>
    </w:p>
    <w:p w14:paraId="1F031B82">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在磋商过程中，磋商小组可以根据磋商文件和磋商情况实质性变动采购需求中的技术、</w:t>
      </w:r>
      <w:r>
        <w:rPr>
          <w:rStyle w:val="34"/>
          <w:rFonts w:hint="eastAsia" w:ascii="仿宋" w:hAnsi="仿宋" w:eastAsia="仿宋" w:cs="仿宋"/>
          <w:color w:val="auto"/>
          <w:szCs w:val="21"/>
          <w:highlight w:val="none"/>
          <w:lang w:eastAsia="zh-CN"/>
        </w:rPr>
        <w:t>服务技术要求</w:t>
      </w:r>
      <w:r>
        <w:rPr>
          <w:rStyle w:val="34"/>
          <w:rFonts w:hint="eastAsia" w:ascii="仿宋" w:hAnsi="仿宋" w:eastAsia="仿宋" w:cs="仿宋"/>
          <w:color w:val="auto"/>
          <w:szCs w:val="21"/>
          <w:highlight w:val="none"/>
        </w:rPr>
        <w:t>以及合同草案条款，但不得变动磋商文件中的其他内容。实质性变动的内容，须经采购人代表确认。</w:t>
      </w:r>
    </w:p>
    <w:p w14:paraId="50BF018A">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对磋商文件作出的实质性变动是磋商文件的有效组成部分，磋商小组应当及时以书面形式同时通知所有参加磋商的供应商。</w:t>
      </w:r>
    </w:p>
    <w:p w14:paraId="2AB97360">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供应商应当按照磋商文件的变动情况和磋商小组的要求重新提交响应文件，并由其法定代表人或授权代表签字或者加盖公章。</w:t>
      </w:r>
    </w:p>
    <w:p w14:paraId="75A67F4F">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5.4 最后报价</w:t>
      </w:r>
    </w:p>
    <w:p w14:paraId="3919E2CD">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磋商结束后，磋商小组应当要求所有实质性响应的供应商在规定时间内提交最后报价。</w:t>
      </w:r>
    </w:p>
    <w:p w14:paraId="02788FBC">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5.5 详细评审</w:t>
      </w:r>
    </w:p>
    <w:p w14:paraId="14A62A1B">
      <w:pPr>
        <w:spacing w:line="348" w:lineRule="auto"/>
        <w:ind w:firstLine="420" w:firstLineChars="20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对通过资格审查、符合性评审的供应商按照评标办法前附表中的打分项进行详细评审，综合比较，进行打分，详细评审部分满分为90分。为了保证项目的正常实施，维护政府采购的正常招标秩序，供应商不得以低于成本价（或进价）报价，否则其磋商申请将可能被拒绝或被宣布为废标，不进入综合评分程序。</w:t>
      </w:r>
    </w:p>
    <w:p w14:paraId="257B2FC0">
      <w:pPr>
        <w:spacing w:line="348" w:lineRule="auto"/>
        <w:ind w:firstLine="542"/>
        <w:rPr>
          <w:rStyle w:val="34"/>
          <w:rFonts w:ascii="仿宋" w:hAnsi="仿宋" w:eastAsia="仿宋" w:cs="仿宋"/>
          <w:b/>
          <w:color w:val="auto"/>
          <w:szCs w:val="21"/>
          <w:highlight w:val="none"/>
        </w:rPr>
      </w:pPr>
      <w:r>
        <w:rPr>
          <w:rStyle w:val="34"/>
          <w:rFonts w:hint="eastAsia" w:ascii="仿宋" w:hAnsi="仿宋" w:eastAsia="仿宋" w:cs="仿宋"/>
          <w:b/>
          <w:color w:val="auto"/>
          <w:szCs w:val="21"/>
          <w:highlight w:val="none"/>
        </w:rPr>
        <w:t>评分要求和统计分数原则：</w:t>
      </w:r>
    </w:p>
    <w:p w14:paraId="074290B9">
      <w:pPr>
        <w:spacing w:line="348" w:lineRule="auto"/>
        <w:ind w:firstLine="54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1.磋商小组按竞争性磋商文件规定分值评分。</w:t>
      </w:r>
    </w:p>
    <w:p w14:paraId="2D2297F8">
      <w:pPr>
        <w:spacing w:line="348" w:lineRule="auto"/>
        <w:ind w:firstLine="54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2.评分中，磋商小组应自主评分并签字确认。计算平均分值（保留小数点后两位）。</w:t>
      </w:r>
    </w:p>
    <w:p w14:paraId="605FE143">
      <w:pPr>
        <w:spacing w:line="348" w:lineRule="auto"/>
        <w:rPr>
          <w:rStyle w:val="34"/>
          <w:rFonts w:ascii="仿宋" w:hAnsi="仿宋" w:eastAsia="仿宋" w:cs="仿宋"/>
          <w:color w:val="auto"/>
          <w:szCs w:val="21"/>
          <w:highlight w:val="none"/>
        </w:rPr>
      </w:pPr>
      <w:r>
        <w:rPr>
          <w:rStyle w:val="34"/>
          <w:rFonts w:hint="eastAsia" w:ascii="仿宋" w:hAnsi="仿宋" w:eastAsia="仿宋" w:cs="仿宋"/>
          <w:b/>
          <w:color w:val="auto"/>
          <w:szCs w:val="21"/>
          <w:highlight w:val="none"/>
        </w:rPr>
        <w:t>六、 推荐成交候选供应商</w:t>
      </w:r>
    </w:p>
    <w:p w14:paraId="0E29A292">
      <w:pPr>
        <w:spacing w:line="348" w:lineRule="auto"/>
        <w:ind w:firstLine="54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6.1磋商小组应当根据综合评分情况，按照评审得分由高到低顺序推荐至少2名成交候选供应商，并编写评审报告。评审得分相同的，按照最后报价由低到高的顺序推荐。评审得分且最后报价相同的，按照技术指标优劣顺序推荐。</w:t>
      </w:r>
    </w:p>
    <w:p w14:paraId="1BC38B55">
      <w:pPr>
        <w:spacing w:line="348" w:lineRule="auto"/>
        <w:ind w:firstLine="540"/>
        <w:rPr>
          <w:rStyle w:val="34"/>
          <w:rFonts w:ascii="仿宋" w:hAnsi="仿宋" w:eastAsia="仿宋" w:cs="仿宋"/>
          <w:color w:val="auto"/>
          <w:szCs w:val="21"/>
          <w:highlight w:val="none"/>
        </w:rPr>
      </w:pPr>
      <w:r>
        <w:rPr>
          <w:rStyle w:val="34"/>
          <w:rFonts w:hint="eastAsia" w:ascii="仿宋" w:hAnsi="仿宋" w:eastAsia="仿宋" w:cs="仿宋"/>
          <w:color w:val="auto"/>
          <w:szCs w:val="21"/>
          <w:highlight w:val="none"/>
        </w:rPr>
        <w:t>6.2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31A2C7C1">
      <w:pPr>
        <w:spacing w:line="348" w:lineRule="auto"/>
        <w:rPr>
          <w:rStyle w:val="34"/>
          <w:rFonts w:ascii="仿宋" w:hAnsi="仿宋" w:eastAsia="仿宋" w:cs="仿宋"/>
          <w:b/>
          <w:color w:val="auto"/>
          <w:szCs w:val="21"/>
          <w:highlight w:val="none"/>
        </w:rPr>
      </w:pPr>
    </w:p>
    <w:p w14:paraId="1647EC64">
      <w:pPr>
        <w:spacing w:line="348" w:lineRule="auto"/>
        <w:jc w:val="left"/>
        <w:rPr>
          <w:rStyle w:val="34"/>
          <w:rFonts w:ascii="仿宋" w:hAnsi="仿宋" w:eastAsia="仿宋" w:cs="仿宋"/>
          <w:b/>
          <w:color w:val="auto"/>
          <w:szCs w:val="21"/>
          <w:highlight w:val="none"/>
        </w:rPr>
      </w:pPr>
      <w:r>
        <w:rPr>
          <w:rStyle w:val="34"/>
          <w:rFonts w:hint="eastAsia" w:ascii="仿宋" w:hAnsi="仿宋" w:eastAsia="仿宋" w:cs="仿宋"/>
          <w:b/>
          <w:color w:val="auto"/>
          <w:szCs w:val="21"/>
          <w:highlight w:val="none"/>
        </w:rPr>
        <w:t>注：磋商中若遇特殊问题，由磋商小组根据有关法律、法规、规定研究决定。</w:t>
      </w:r>
    </w:p>
    <w:p w14:paraId="76EC9DC1">
      <w:pPr>
        <w:spacing w:line="360" w:lineRule="auto"/>
        <w:jc w:val="left"/>
        <w:rPr>
          <w:rStyle w:val="34"/>
          <w:rFonts w:ascii="仿宋" w:hAnsi="仿宋" w:eastAsia="仿宋" w:cs="仿宋"/>
          <w:b/>
          <w:color w:val="auto"/>
          <w:szCs w:val="21"/>
          <w:highlight w:val="none"/>
        </w:rPr>
      </w:pPr>
    </w:p>
    <w:sectPr>
      <w:footerReference r:id="rId5" w:type="default"/>
      <w:pgSz w:w="11906" w:h="16838"/>
      <w:pgMar w:top="1417" w:right="1418" w:bottom="1417" w:left="1418"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Garamond">
    <w:altName w:val="PMingLiU-ExtB"/>
    <w:panose1 w:val="02020404030301010803"/>
    <w:charset w:val="00"/>
    <w:family w:val="roman"/>
    <w:pitch w:val="default"/>
    <w:sig w:usb0="00000000" w:usb1="00000000" w:usb2="00000000" w:usb3="00000000" w:csb0="0000009F" w:csb1="DFD7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A1577">
    <w:pPr>
      <w:pStyle w:val="15"/>
      <w:ind w:right="360"/>
      <w:rPr>
        <w:rStyle w:val="3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A5134">
    <w:pPr>
      <w:pStyle w:val="15"/>
      <w:jc w:val="center"/>
      <w:rPr>
        <w:rStyle w:val="34"/>
        <w:rFonts w:ascii="黑体" w:eastAsia="黑体"/>
        <w:sz w:val="21"/>
        <w:szCs w:val="21"/>
      </w:rPr>
    </w:pPr>
    <w:r>
      <w:rPr>
        <w:sz w:val="21"/>
      </w:rP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B2F04B1">
                          <w:pPr>
                            <w:pStyle w:val="15"/>
                          </w:pPr>
                          <w:r>
                            <w:fldChar w:fldCharType="begin"/>
                          </w:r>
                          <w:r>
                            <w:instrText xml:space="preserve"> PAGE  \* MERGEFORMAT </w:instrText>
                          </w:r>
                          <w:r>
                            <w:fldChar w:fldCharType="separate"/>
                          </w:r>
                          <w:r>
                            <w:t>27</w:t>
                          </w:r>
                          <w:r>
                            <w:fldChar w:fldCharType="end"/>
                          </w:r>
                        </w:p>
                      </w:txbxContent>
                    </wps:txbx>
                    <wps:bodyPr wrap="none" lIns="0" tIns="0" rIns="0" bIns="0" upright="1">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OMHNE8MBAACHAwAADgAAAAAAAAABACAAAAAfAQAAZHJzL2Uyb0RvYy54bWxQ&#10;SwUGAAAAAAYABgBZAQAAVAUAAAAA&#10;">
              <v:fill on="f" focussize="0,0"/>
              <v:stroke on="f"/>
              <v:imagedata o:title=""/>
              <o:lock v:ext="edit" aspectratio="f"/>
              <v:textbox inset="0mm,0mm,0mm,0mm" style="mso-fit-shape-to-text:t;">
                <w:txbxContent>
                  <w:p w14:paraId="5B2F04B1">
                    <w:pPr>
                      <w:pStyle w:val="15"/>
                    </w:pPr>
                    <w:r>
                      <w:fldChar w:fldCharType="begin"/>
                    </w:r>
                    <w:r>
                      <w:instrText xml:space="preserve"> PAGE  \* MERGEFORMAT </w:instrText>
                    </w:r>
                    <w:r>
                      <w:fldChar w:fldCharType="separate"/>
                    </w:r>
                    <w:r>
                      <w:t>27</w:t>
                    </w:r>
                    <w:r>
                      <w:fldChar w:fldCharType="end"/>
                    </w:r>
                  </w:p>
                </w:txbxContent>
              </v:textbox>
            </v:rect>
          </w:pict>
        </mc:Fallback>
      </mc:AlternateContent>
    </w:r>
  </w:p>
  <w:p w14:paraId="6C1E06D4">
    <w:pPr>
      <w:pStyle w:val="15"/>
      <w:ind w:right="360"/>
      <w:rPr>
        <w:rStyle w:val="3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2949A">
    <w:pPr>
      <w:pStyle w:val="16"/>
      <w:pBdr>
        <w:bottom w:val="single" w:color="auto" w:sz="4" w:space="0"/>
      </w:pBdr>
      <w:jc w:val="right"/>
      <w:rPr>
        <w:rStyle w:val="34"/>
        <w:rFonts w:ascii="仿宋" w:hAnsi="仿宋" w:eastAsia="仿宋" w:cs="仿宋"/>
        <w:b/>
        <w:szCs w:val="18"/>
      </w:rPr>
    </w:pPr>
    <w:r>
      <w:rPr>
        <w:rStyle w:val="34"/>
        <w:rFonts w:hint="eastAsia" w:ascii="仿宋" w:hAnsi="仿宋" w:eastAsia="仿宋" w:cs="仿宋"/>
        <w:szCs w:val="21"/>
        <w:lang w:eastAsia="zh-CN"/>
      </w:rPr>
      <w:t>石林彝族自治县行政中心室外绿化管养外包服务（202</w:t>
    </w:r>
    <w:r>
      <w:rPr>
        <w:rStyle w:val="34"/>
        <w:rFonts w:hint="eastAsia" w:ascii="仿宋" w:hAnsi="仿宋" w:eastAsia="仿宋" w:cs="仿宋"/>
        <w:szCs w:val="21"/>
        <w:lang w:val="en-US" w:eastAsia="zh-CN"/>
      </w:rPr>
      <w:t>5</w:t>
    </w:r>
    <w:r>
      <w:rPr>
        <w:rStyle w:val="34"/>
        <w:rFonts w:hint="eastAsia" w:ascii="仿宋" w:hAnsi="仿宋" w:eastAsia="仿宋" w:cs="仿宋"/>
        <w:szCs w:val="21"/>
        <w:lang w:eastAsia="zh-CN"/>
      </w:rPr>
      <w:t>-202</w:t>
    </w:r>
    <w:r>
      <w:rPr>
        <w:rStyle w:val="34"/>
        <w:rFonts w:hint="eastAsia" w:ascii="仿宋" w:hAnsi="仿宋" w:eastAsia="仿宋" w:cs="仿宋"/>
        <w:szCs w:val="21"/>
        <w:lang w:val="en-US" w:eastAsia="zh-CN"/>
      </w:rPr>
      <w:t>8</w:t>
    </w:r>
    <w:r>
      <w:rPr>
        <w:rStyle w:val="34"/>
        <w:rFonts w:hint="eastAsia" w:ascii="仿宋" w:hAnsi="仿宋" w:eastAsia="仿宋" w:cs="仿宋"/>
        <w:szCs w:val="21"/>
        <w:lang w:eastAsia="zh-CN"/>
      </w:rPr>
      <w:t>年）</w:t>
    </w:r>
    <w:r>
      <w:rPr>
        <w:color w:val="000000" w:themeColor="text1"/>
        <w14:textFill>
          <w14:solidFill>
            <w14:schemeClr w14:val="tx1"/>
          </w14:solidFill>
        </w14:textFill>
      </w:rPr>
      <w:t xml:space="preserve">                      </w:t>
    </w:r>
    <w:r>
      <w:rPr>
        <w:rStyle w:val="34"/>
        <w:rFonts w:hint="eastAsia" w:ascii="仿宋" w:hAnsi="仿宋" w:eastAsia="仿宋" w:cs="仿宋"/>
        <w:szCs w:val="21"/>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350B11"/>
    <w:multiLevelType w:val="singleLevel"/>
    <w:tmpl w:val="C0350B11"/>
    <w:lvl w:ilvl="0" w:tentative="0">
      <w:start w:val="3"/>
      <w:numFmt w:val="chineseCounting"/>
      <w:suff w:val="space"/>
      <w:lvlText w:val="第%1条"/>
      <w:lvlJc w:val="left"/>
      <w:rPr>
        <w:rFonts w:hint="eastAsia"/>
      </w:rPr>
    </w:lvl>
  </w:abstractNum>
  <w:abstractNum w:abstractNumId="1">
    <w:nsid w:val="0053208E"/>
    <w:multiLevelType w:val="singleLevel"/>
    <w:tmpl w:val="0053208E"/>
    <w:lvl w:ilvl="0" w:tentative="0">
      <w:start w:val="3"/>
      <w:numFmt w:val="chineseCounting"/>
      <w:suff w:val="space"/>
      <w:lvlText w:val="第%1章"/>
      <w:lvlJc w:val="left"/>
      <w:pPr>
        <w:textAlignment w:val="baseline"/>
      </w:pPr>
    </w:lvl>
  </w:abstractNum>
  <w:abstractNum w:abstractNumId="2">
    <w:nsid w:val="42D4F049"/>
    <w:multiLevelType w:val="singleLevel"/>
    <w:tmpl w:val="42D4F049"/>
    <w:lvl w:ilvl="0" w:tentative="0">
      <w:start w:val="2"/>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isplayHorizontalDrawingGridEvery w:val="1"/>
  <w:displayVerticalDrawingGridEvery w:val="1"/>
  <w:doNotUseMarginsForDrawingGridOrigin w:val="1"/>
  <w:drawingGridHorizontalOrigin w:val="1800"/>
  <w:drawingGridVerticalOrigin w:val="1440"/>
  <w:noPunctuationKerning w:val="1"/>
  <w:characterSpacingControl w:val="doNotCompress"/>
  <w:compat>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1YzFkNmQxODgxNjk1MDNlMDYwMDZiNjExMGIzNDMifQ=="/>
  </w:docVars>
  <w:rsids>
    <w:rsidRoot w:val="00DC0D72"/>
    <w:rsid w:val="00052A18"/>
    <w:rsid w:val="000547F8"/>
    <w:rsid w:val="00076791"/>
    <w:rsid w:val="000C04CA"/>
    <w:rsid w:val="000F5645"/>
    <w:rsid w:val="0013726C"/>
    <w:rsid w:val="00176349"/>
    <w:rsid w:val="0018274C"/>
    <w:rsid w:val="001F1D2C"/>
    <w:rsid w:val="00232A92"/>
    <w:rsid w:val="00236061"/>
    <w:rsid w:val="002367F2"/>
    <w:rsid w:val="00246CFC"/>
    <w:rsid w:val="00263A05"/>
    <w:rsid w:val="00264E69"/>
    <w:rsid w:val="0046375D"/>
    <w:rsid w:val="005004BC"/>
    <w:rsid w:val="00501EE6"/>
    <w:rsid w:val="005148B8"/>
    <w:rsid w:val="00515C5E"/>
    <w:rsid w:val="00523EB0"/>
    <w:rsid w:val="005539A0"/>
    <w:rsid w:val="00577718"/>
    <w:rsid w:val="0058523E"/>
    <w:rsid w:val="00596AEB"/>
    <w:rsid w:val="005A2D64"/>
    <w:rsid w:val="005D5DB4"/>
    <w:rsid w:val="00610597"/>
    <w:rsid w:val="00615EA1"/>
    <w:rsid w:val="00655F7A"/>
    <w:rsid w:val="00675481"/>
    <w:rsid w:val="00695591"/>
    <w:rsid w:val="006E5FD5"/>
    <w:rsid w:val="006E6810"/>
    <w:rsid w:val="00704336"/>
    <w:rsid w:val="00733E26"/>
    <w:rsid w:val="00771B68"/>
    <w:rsid w:val="00791AE5"/>
    <w:rsid w:val="007A1658"/>
    <w:rsid w:val="007A6F63"/>
    <w:rsid w:val="00803058"/>
    <w:rsid w:val="00816543"/>
    <w:rsid w:val="00851784"/>
    <w:rsid w:val="00876D10"/>
    <w:rsid w:val="008827F6"/>
    <w:rsid w:val="00920750"/>
    <w:rsid w:val="009269A2"/>
    <w:rsid w:val="009D2CB4"/>
    <w:rsid w:val="00A47C75"/>
    <w:rsid w:val="00A65FA9"/>
    <w:rsid w:val="00AB7A64"/>
    <w:rsid w:val="00BA1A55"/>
    <w:rsid w:val="00BA7CA7"/>
    <w:rsid w:val="00C021AB"/>
    <w:rsid w:val="00C77016"/>
    <w:rsid w:val="00CB3C62"/>
    <w:rsid w:val="00D70859"/>
    <w:rsid w:val="00DB20F7"/>
    <w:rsid w:val="00DC0D72"/>
    <w:rsid w:val="00DC3199"/>
    <w:rsid w:val="00DC5E6F"/>
    <w:rsid w:val="00DD2CF6"/>
    <w:rsid w:val="00DE535E"/>
    <w:rsid w:val="00EA54E7"/>
    <w:rsid w:val="00ED5986"/>
    <w:rsid w:val="00F347C3"/>
    <w:rsid w:val="00F66F31"/>
    <w:rsid w:val="00F70589"/>
    <w:rsid w:val="00F74A57"/>
    <w:rsid w:val="00FB62F5"/>
    <w:rsid w:val="010A6538"/>
    <w:rsid w:val="01145609"/>
    <w:rsid w:val="01170C55"/>
    <w:rsid w:val="011C44BE"/>
    <w:rsid w:val="011E0236"/>
    <w:rsid w:val="013637D1"/>
    <w:rsid w:val="013E4C05"/>
    <w:rsid w:val="01422176"/>
    <w:rsid w:val="01483505"/>
    <w:rsid w:val="014B5201"/>
    <w:rsid w:val="014F219D"/>
    <w:rsid w:val="01514C6E"/>
    <w:rsid w:val="01583748"/>
    <w:rsid w:val="015974C0"/>
    <w:rsid w:val="015B3238"/>
    <w:rsid w:val="015E506E"/>
    <w:rsid w:val="016070E6"/>
    <w:rsid w:val="016C134C"/>
    <w:rsid w:val="016D4D19"/>
    <w:rsid w:val="01722330"/>
    <w:rsid w:val="017A1EC6"/>
    <w:rsid w:val="017E6F26"/>
    <w:rsid w:val="01804A4C"/>
    <w:rsid w:val="01852063"/>
    <w:rsid w:val="018A1427"/>
    <w:rsid w:val="018C519F"/>
    <w:rsid w:val="01987FE8"/>
    <w:rsid w:val="019B527A"/>
    <w:rsid w:val="01BF37C7"/>
    <w:rsid w:val="01C012ED"/>
    <w:rsid w:val="01C506B1"/>
    <w:rsid w:val="01CA216C"/>
    <w:rsid w:val="01CA5CC8"/>
    <w:rsid w:val="01D408F4"/>
    <w:rsid w:val="01D4793F"/>
    <w:rsid w:val="01DD59FB"/>
    <w:rsid w:val="01E3530A"/>
    <w:rsid w:val="01F82835"/>
    <w:rsid w:val="01FF1E15"/>
    <w:rsid w:val="020016E9"/>
    <w:rsid w:val="0216715F"/>
    <w:rsid w:val="021F6013"/>
    <w:rsid w:val="02225B04"/>
    <w:rsid w:val="02382230"/>
    <w:rsid w:val="023D293E"/>
    <w:rsid w:val="024141DC"/>
    <w:rsid w:val="024E68F9"/>
    <w:rsid w:val="02521188"/>
    <w:rsid w:val="02555DE0"/>
    <w:rsid w:val="02555ED9"/>
    <w:rsid w:val="026E0D49"/>
    <w:rsid w:val="0270686F"/>
    <w:rsid w:val="027345B1"/>
    <w:rsid w:val="027B3F11"/>
    <w:rsid w:val="028247F4"/>
    <w:rsid w:val="0283628C"/>
    <w:rsid w:val="02873BB9"/>
    <w:rsid w:val="02A8425B"/>
    <w:rsid w:val="02A93B2F"/>
    <w:rsid w:val="02A97FD3"/>
    <w:rsid w:val="02B7624C"/>
    <w:rsid w:val="02BF0C3C"/>
    <w:rsid w:val="02BF3353"/>
    <w:rsid w:val="02C46466"/>
    <w:rsid w:val="02E92B32"/>
    <w:rsid w:val="02ED6112"/>
    <w:rsid w:val="02FA082F"/>
    <w:rsid w:val="02FD025A"/>
    <w:rsid w:val="030671D3"/>
    <w:rsid w:val="030D40BE"/>
    <w:rsid w:val="03101E00"/>
    <w:rsid w:val="03217B69"/>
    <w:rsid w:val="032D29B2"/>
    <w:rsid w:val="03343D40"/>
    <w:rsid w:val="03367AB9"/>
    <w:rsid w:val="033B6E7D"/>
    <w:rsid w:val="033C49A3"/>
    <w:rsid w:val="033F6241"/>
    <w:rsid w:val="03443858"/>
    <w:rsid w:val="03447DA5"/>
    <w:rsid w:val="034D6BB0"/>
    <w:rsid w:val="035D3297"/>
    <w:rsid w:val="035E4919"/>
    <w:rsid w:val="036C7FAE"/>
    <w:rsid w:val="036D1000"/>
    <w:rsid w:val="0371289F"/>
    <w:rsid w:val="03767EB5"/>
    <w:rsid w:val="03806F86"/>
    <w:rsid w:val="0381060F"/>
    <w:rsid w:val="0385459C"/>
    <w:rsid w:val="03912F41"/>
    <w:rsid w:val="03951740"/>
    <w:rsid w:val="03990047"/>
    <w:rsid w:val="039E565E"/>
    <w:rsid w:val="03A013D6"/>
    <w:rsid w:val="03A11EEC"/>
    <w:rsid w:val="03AA4003"/>
    <w:rsid w:val="03B66504"/>
    <w:rsid w:val="03C07382"/>
    <w:rsid w:val="03C2134C"/>
    <w:rsid w:val="03CD4055"/>
    <w:rsid w:val="03CF5817"/>
    <w:rsid w:val="03D41080"/>
    <w:rsid w:val="03DA48E8"/>
    <w:rsid w:val="03DD1CE2"/>
    <w:rsid w:val="03E63D04"/>
    <w:rsid w:val="03E94B2B"/>
    <w:rsid w:val="0402799B"/>
    <w:rsid w:val="04096F7B"/>
    <w:rsid w:val="04115E30"/>
    <w:rsid w:val="04117BDE"/>
    <w:rsid w:val="041A162E"/>
    <w:rsid w:val="041B0A5C"/>
    <w:rsid w:val="041D47D5"/>
    <w:rsid w:val="04243DB5"/>
    <w:rsid w:val="04245B63"/>
    <w:rsid w:val="0433224A"/>
    <w:rsid w:val="04364FA5"/>
    <w:rsid w:val="04463D2B"/>
    <w:rsid w:val="044D2F90"/>
    <w:rsid w:val="045D2E23"/>
    <w:rsid w:val="046046C1"/>
    <w:rsid w:val="04620439"/>
    <w:rsid w:val="046C3066"/>
    <w:rsid w:val="047F723D"/>
    <w:rsid w:val="04812FB5"/>
    <w:rsid w:val="04932CE9"/>
    <w:rsid w:val="049A4077"/>
    <w:rsid w:val="049C7DEF"/>
    <w:rsid w:val="049D3B67"/>
    <w:rsid w:val="049D5915"/>
    <w:rsid w:val="049F51EA"/>
    <w:rsid w:val="04A70542"/>
    <w:rsid w:val="04AC7907"/>
    <w:rsid w:val="04B31CA4"/>
    <w:rsid w:val="04B8274F"/>
    <w:rsid w:val="04B844FD"/>
    <w:rsid w:val="04CC1D57"/>
    <w:rsid w:val="04CD5D15"/>
    <w:rsid w:val="04D035F5"/>
    <w:rsid w:val="04D46B3B"/>
    <w:rsid w:val="04D56E5D"/>
    <w:rsid w:val="04D74983"/>
    <w:rsid w:val="04DD3F64"/>
    <w:rsid w:val="04DF05B0"/>
    <w:rsid w:val="04DF1A8A"/>
    <w:rsid w:val="04F53EA0"/>
    <w:rsid w:val="04F574FF"/>
    <w:rsid w:val="04F72BF9"/>
    <w:rsid w:val="04FA4B16"/>
    <w:rsid w:val="050140F6"/>
    <w:rsid w:val="05085485"/>
    <w:rsid w:val="050F05C1"/>
    <w:rsid w:val="051060E7"/>
    <w:rsid w:val="05107E95"/>
    <w:rsid w:val="051536FE"/>
    <w:rsid w:val="052C440D"/>
    <w:rsid w:val="052D4EEB"/>
    <w:rsid w:val="052D6C99"/>
    <w:rsid w:val="05304975"/>
    <w:rsid w:val="05407950"/>
    <w:rsid w:val="05410997"/>
    <w:rsid w:val="054D2E98"/>
    <w:rsid w:val="05595CE0"/>
    <w:rsid w:val="05645F29"/>
    <w:rsid w:val="05681A7F"/>
    <w:rsid w:val="05706B86"/>
    <w:rsid w:val="057077A5"/>
    <w:rsid w:val="05720B50"/>
    <w:rsid w:val="05746676"/>
    <w:rsid w:val="05793C8D"/>
    <w:rsid w:val="05883ED0"/>
    <w:rsid w:val="058A40EC"/>
    <w:rsid w:val="058F34B0"/>
    <w:rsid w:val="05937294"/>
    <w:rsid w:val="059565ED"/>
    <w:rsid w:val="059B00A7"/>
    <w:rsid w:val="05A21435"/>
    <w:rsid w:val="05A50F26"/>
    <w:rsid w:val="05A827C4"/>
    <w:rsid w:val="05B11678"/>
    <w:rsid w:val="05B2719F"/>
    <w:rsid w:val="05BB70CB"/>
    <w:rsid w:val="05BE78F1"/>
    <w:rsid w:val="05D610DF"/>
    <w:rsid w:val="05D709B3"/>
    <w:rsid w:val="05E4087E"/>
    <w:rsid w:val="05EF0424"/>
    <w:rsid w:val="05F257ED"/>
    <w:rsid w:val="05F67B4F"/>
    <w:rsid w:val="060A74CA"/>
    <w:rsid w:val="060B44DD"/>
    <w:rsid w:val="06112117"/>
    <w:rsid w:val="062548CA"/>
    <w:rsid w:val="06332B83"/>
    <w:rsid w:val="0639166E"/>
    <w:rsid w:val="063B3638"/>
    <w:rsid w:val="063D0C88"/>
    <w:rsid w:val="063D4CBA"/>
    <w:rsid w:val="063F6C84"/>
    <w:rsid w:val="06400C4E"/>
    <w:rsid w:val="06436049"/>
    <w:rsid w:val="0648365F"/>
    <w:rsid w:val="064872C7"/>
    <w:rsid w:val="065F10D4"/>
    <w:rsid w:val="066D3445"/>
    <w:rsid w:val="06715AC6"/>
    <w:rsid w:val="0671705A"/>
    <w:rsid w:val="06764670"/>
    <w:rsid w:val="0687687D"/>
    <w:rsid w:val="068A3C77"/>
    <w:rsid w:val="069074E0"/>
    <w:rsid w:val="06915006"/>
    <w:rsid w:val="069621E8"/>
    <w:rsid w:val="069A210C"/>
    <w:rsid w:val="069D39AB"/>
    <w:rsid w:val="06A65DE8"/>
    <w:rsid w:val="06AA3FCE"/>
    <w:rsid w:val="06BD229F"/>
    <w:rsid w:val="06C6539B"/>
    <w:rsid w:val="06D7510F"/>
    <w:rsid w:val="06D80E87"/>
    <w:rsid w:val="06D870D9"/>
    <w:rsid w:val="06DF5D71"/>
    <w:rsid w:val="06E635A4"/>
    <w:rsid w:val="06E65352"/>
    <w:rsid w:val="06E710CA"/>
    <w:rsid w:val="06F23CF7"/>
    <w:rsid w:val="06F64817"/>
    <w:rsid w:val="06FF6413"/>
    <w:rsid w:val="0708351A"/>
    <w:rsid w:val="070A4D81"/>
    <w:rsid w:val="07126147"/>
    <w:rsid w:val="07153E89"/>
    <w:rsid w:val="07155C37"/>
    <w:rsid w:val="071579E5"/>
    <w:rsid w:val="07181283"/>
    <w:rsid w:val="071F6AB6"/>
    <w:rsid w:val="07245E7A"/>
    <w:rsid w:val="072A2F74"/>
    <w:rsid w:val="072B6240"/>
    <w:rsid w:val="0732071C"/>
    <w:rsid w:val="0749768F"/>
    <w:rsid w:val="075C73C2"/>
    <w:rsid w:val="075E138C"/>
    <w:rsid w:val="077706A0"/>
    <w:rsid w:val="078D7EC3"/>
    <w:rsid w:val="07911761"/>
    <w:rsid w:val="07950B26"/>
    <w:rsid w:val="079E5C2C"/>
    <w:rsid w:val="07A1571D"/>
    <w:rsid w:val="07A17DB7"/>
    <w:rsid w:val="07A42009"/>
    <w:rsid w:val="07A5520D"/>
    <w:rsid w:val="07A62D33"/>
    <w:rsid w:val="07B23486"/>
    <w:rsid w:val="07BC2556"/>
    <w:rsid w:val="07C531B9"/>
    <w:rsid w:val="07D17DB0"/>
    <w:rsid w:val="07DB29DD"/>
    <w:rsid w:val="07DD20D3"/>
    <w:rsid w:val="07DE071F"/>
    <w:rsid w:val="07E01DA1"/>
    <w:rsid w:val="07EA2C20"/>
    <w:rsid w:val="0808616E"/>
    <w:rsid w:val="08131685"/>
    <w:rsid w:val="081859DF"/>
    <w:rsid w:val="081D2FF5"/>
    <w:rsid w:val="08283748"/>
    <w:rsid w:val="082C148A"/>
    <w:rsid w:val="082C3238"/>
    <w:rsid w:val="0837398B"/>
    <w:rsid w:val="083B347B"/>
    <w:rsid w:val="083D5445"/>
    <w:rsid w:val="083E2F6B"/>
    <w:rsid w:val="08460D9C"/>
    <w:rsid w:val="085A5FF7"/>
    <w:rsid w:val="08602EE2"/>
    <w:rsid w:val="08631F27"/>
    <w:rsid w:val="086E1AA3"/>
    <w:rsid w:val="0870447C"/>
    <w:rsid w:val="08713341"/>
    <w:rsid w:val="087370B9"/>
    <w:rsid w:val="087846CF"/>
    <w:rsid w:val="08805332"/>
    <w:rsid w:val="088A4403"/>
    <w:rsid w:val="088C017B"/>
    <w:rsid w:val="088F37C7"/>
    <w:rsid w:val="089658A7"/>
    <w:rsid w:val="08A2174C"/>
    <w:rsid w:val="08A22E64"/>
    <w:rsid w:val="08A96637"/>
    <w:rsid w:val="08AA59B2"/>
    <w:rsid w:val="08B60D54"/>
    <w:rsid w:val="08B65C4C"/>
    <w:rsid w:val="08BD6586"/>
    <w:rsid w:val="08DB07BA"/>
    <w:rsid w:val="08DD2784"/>
    <w:rsid w:val="08FA6E92"/>
    <w:rsid w:val="08FD4BD5"/>
    <w:rsid w:val="08FD6983"/>
    <w:rsid w:val="090146C5"/>
    <w:rsid w:val="09045F63"/>
    <w:rsid w:val="090715AF"/>
    <w:rsid w:val="091343F8"/>
    <w:rsid w:val="091361A6"/>
    <w:rsid w:val="09187C60"/>
    <w:rsid w:val="09197F25"/>
    <w:rsid w:val="091B3E35"/>
    <w:rsid w:val="091D0DD3"/>
    <w:rsid w:val="09216B15"/>
    <w:rsid w:val="0922463B"/>
    <w:rsid w:val="0926412B"/>
    <w:rsid w:val="09295FE2"/>
    <w:rsid w:val="092E1232"/>
    <w:rsid w:val="092E4D8E"/>
    <w:rsid w:val="0935611C"/>
    <w:rsid w:val="0939134F"/>
    <w:rsid w:val="0949606C"/>
    <w:rsid w:val="095011A8"/>
    <w:rsid w:val="095102FB"/>
    <w:rsid w:val="09526CCE"/>
    <w:rsid w:val="095A5B83"/>
    <w:rsid w:val="095D1A5F"/>
    <w:rsid w:val="095E1B17"/>
    <w:rsid w:val="095F3199"/>
    <w:rsid w:val="096E7880"/>
    <w:rsid w:val="097053A7"/>
    <w:rsid w:val="09707B14"/>
    <w:rsid w:val="097430E9"/>
    <w:rsid w:val="097F1A8E"/>
    <w:rsid w:val="098B2CC4"/>
    <w:rsid w:val="098F7F23"/>
    <w:rsid w:val="0992531D"/>
    <w:rsid w:val="099C619C"/>
    <w:rsid w:val="099F7A3A"/>
    <w:rsid w:val="09A03EDE"/>
    <w:rsid w:val="09A3577C"/>
    <w:rsid w:val="09B90AFC"/>
    <w:rsid w:val="09D678FF"/>
    <w:rsid w:val="09D93915"/>
    <w:rsid w:val="09D96DB9"/>
    <w:rsid w:val="09E22B15"/>
    <w:rsid w:val="09E91254"/>
    <w:rsid w:val="09ED056C"/>
    <w:rsid w:val="09F36E1A"/>
    <w:rsid w:val="09F75AC8"/>
    <w:rsid w:val="0A0E788E"/>
    <w:rsid w:val="0A19685A"/>
    <w:rsid w:val="0A1B3564"/>
    <w:rsid w:val="0A2A7C4B"/>
    <w:rsid w:val="0A2C5771"/>
    <w:rsid w:val="0A314B36"/>
    <w:rsid w:val="0A3665F0"/>
    <w:rsid w:val="0A40746F"/>
    <w:rsid w:val="0A484412"/>
    <w:rsid w:val="0A491BD7"/>
    <w:rsid w:val="0A4A5BF8"/>
    <w:rsid w:val="0A4F320E"/>
    <w:rsid w:val="0A6767AA"/>
    <w:rsid w:val="0A6A44EC"/>
    <w:rsid w:val="0A6A629A"/>
    <w:rsid w:val="0A71587A"/>
    <w:rsid w:val="0A717628"/>
    <w:rsid w:val="0A764C3F"/>
    <w:rsid w:val="0A8330D0"/>
    <w:rsid w:val="0A981942"/>
    <w:rsid w:val="0A9D666F"/>
    <w:rsid w:val="0A9F4195"/>
    <w:rsid w:val="0A9F669C"/>
    <w:rsid w:val="0AA417AC"/>
    <w:rsid w:val="0AAC68B2"/>
    <w:rsid w:val="0AAF1EFF"/>
    <w:rsid w:val="0AB5723A"/>
    <w:rsid w:val="0ABA468C"/>
    <w:rsid w:val="0AC736EC"/>
    <w:rsid w:val="0AC7549A"/>
    <w:rsid w:val="0ACE05D7"/>
    <w:rsid w:val="0AD16319"/>
    <w:rsid w:val="0AD57BB7"/>
    <w:rsid w:val="0AD96F7B"/>
    <w:rsid w:val="0AE55A48"/>
    <w:rsid w:val="0AEE2A27"/>
    <w:rsid w:val="0AF52007"/>
    <w:rsid w:val="0B0017EE"/>
    <w:rsid w:val="0B024724"/>
    <w:rsid w:val="0B0264D2"/>
    <w:rsid w:val="0B1A7CC0"/>
    <w:rsid w:val="0B291CB1"/>
    <w:rsid w:val="0B3348DE"/>
    <w:rsid w:val="0B3C7C36"/>
    <w:rsid w:val="0B3F3282"/>
    <w:rsid w:val="0B3F3C9B"/>
    <w:rsid w:val="0B431DA0"/>
    <w:rsid w:val="0B52745A"/>
    <w:rsid w:val="0B5A4560"/>
    <w:rsid w:val="0B732F2C"/>
    <w:rsid w:val="0B761B0A"/>
    <w:rsid w:val="0B7E024F"/>
    <w:rsid w:val="0B845139"/>
    <w:rsid w:val="0B8769D7"/>
    <w:rsid w:val="0B881576"/>
    <w:rsid w:val="0B882E7B"/>
    <w:rsid w:val="0B8909A2"/>
    <w:rsid w:val="0B8D66E4"/>
    <w:rsid w:val="0B901D30"/>
    <w:rsid w:val="0B941820"/>
    <w:rsid w:val="0B9F6417"/>
    <w:rsid w:val="0BA15CEB"/>
    <w:rsid w:val="0BA94BA0"/>
    <w:rsid w:val="0BC55E7E"/>
    <w:rsid w:val="0BD936D7"/>
    <w:rsid w:val="0BE36304"/>
    <w:rsid w:val="0BE61950"/>
    <w:rsid w:val="0BEA7692"/>
    <w:rsid w:val="0BFE6C9A"/>
    <w:rsid w:val="0C011857"/>
    <w:rsid w:val="0C1069CD"/>
    <w:rsid w:val="0C126BE9"/>
    <w:rsid w:val="0C2A5CE1"/>
    <w:rsid w:val="0C2B4087"/>
    <w:rsid w:val="0C322DE7"/>
    <w:rsid w:val="0C3618C3"/>
    <w:rsid w:val="0C48085D"/>
    <w:rsid w:val="0C542D5E"/>
    <w:rsid w:val="0C550884"/>
    <w:rsid w:val="0C5745FC"/>
    <w:rsid w:val="0C5B233E"/>
    <w:rsid w:val="0C694485"/>
    <w:rsid w:val="0C6D2071"/>
    <w:rsid w:val="0C6D3E1F"/>
    <w:rsid w:val="0C743400"/>
    <w:rsid w:val="0C970E9C"/>
    <w:rsid w:val="0C972B3E"/>
    <w:rsid w:val="0C9E222B"/>
    <w:rsid w:val="0CA37841"/>
    <w:rsid w:val="0CBD0903"/>
    <w:rsid w:val="0CC2416B"/>
    <w:rsid w:val="0CC779D3"/>
    <w:rsid w:val="0CDB223F"/>
    <w:rsid w:val="0CDB6FDB"/>
    <w:rsid w:val="0CDD3364"/>
    <w:rsid w:val="0CE95B9C"/>
    <w:rsid w:val="0CEA36C2"/>
    <w:rsid w:val="0CEB1914"/>
    <w:rsid w:val="0CEC11E8"/>
    <w:rsid w:val="0CEC2F96"/>
    <w:rsid w:val="0CF40372"/>
    <w:rsid w:val="0CF462EF"/>
    <w:rsid w:val="0CFA3905"/>
    <w:rsid w:val="0CFB6ACC"/>
    <w:rsid w:val="0CFD33F5"/>
    <w:rsid w:val="0CFE2CC9"/>
    <w:rsid w:val="0D002EE5"/>
    <w:rsid w:val="0D0429D6"/>
    <w:rsid w:val="0D0E5602"/>
    <w:rsid w:val="0D0F0D92"/>
    <w:rsid w:val="0D1644B7"/>
    <w:rsid w:val="0D2070E4"/>
    <w:rsid w:val="0D2C3CDA"/>
    <w:rsid w:val="0D366907"/>
    <w:rsid w:val="0D4A6D5B"/>
    <w:rsid w:val="0D4F1E8D"/>
    <w:rsid w:val="0D5079C9"/>
    <w:rsid w:val="0D5154EF"/>
    <w:rsid w:val="0D51729D"/>
    <w:rsid w:val="0D536036"/>
    <w:rsid w:val="0D553231"/>
    <w:rsid w:val="0D67666D"/>
    <w:rsid w:val="0D692839"/>
    <w:rsid w:val="0D6B4803"/>
    <w:rsid w:val="0D757F40"/>
    <w:rsid w:val="0D775417"/>
    <w:rsid w:val="0D862767"/>
    <w:rsid w:val="0D8853B5"/>
    <w:rsid w:val="0D8B0A01"/>
    <w:rsid w:val="0D8D29CB"/>
    <w:rsid w:val="0D951880"/>
    <w:rsid w:val="0DA41AC3"/>
    <w:rsid w:val="0DAC357C"/>
    <w:rsid w:val="0DAE2941"/>
    <w:rsid w:val="0DB77A48"/>
    <w:rsid w:val="0DBC6E0C"/>
    <w:rsid w:val="0DC63C55"/>
    <w:rsid w:val="0DC65EDD"/>
    <w:rsid w:val="0DCC56F0"/>
    <w:rsid w:val="0DCD2DC7"/>
    <w:rsid w:val="0DD00B0A"/>
    <w:rsid w:val="0DDC74AE"/>
    <w:rsid w:val="0DF522C3"/>
    <w:rsid w:val="0DF540CC"/>
    <w:rsid w:val="0E0B7D94"/>
    <w:rsid w:val="0E172295"/>
    <w:rsid w:val="0E1A60E2"/>
    <w:rsid w:val="0E1C565C"/>
    <w:rsid w:val="0E2449B2"/>
    <w:rsid w:val="0E407A3D"/>
    <w:rsid w:val="0E5928AD"/>
    <w:rsid w:val="0E5A03D3"/>
    <w:rsid w:val="0E5E6115"/>
    <w:rsid w:val="0E653000"/>
    <w:rsid w:val="0E6B25E0"/>
    <w:rsid w:val="0E796AAB"/>
    <w:rsid w:val="0E8611C8"/>
    <w:rsid w:val="0E96765D"/>
    <w:rsid w:val="0E9D6C3E"/>
    <w:rsid w:val="0E9E29B6"/>
    <w:rsid w:val="0EA0228A"/>
    <w:rsid w:val="0EAD2BF9"/>
    <w:rsid w:val="0EBD766F"/>
    <w:rsid w:val="0EC046DA"/>
    <w:rsid w:val="0EC20452"/>
    <w:rsid w:val="0EC51CF1"/>
    <w:rsid w:val="0ED75416"/>
    <w:rsid w:val="0EEF6D6E"/>
    <w:rsid w:val="0EF6634E"/>
    <w:rsid w:val="0EFA4090"/>
    <w:rsid w:val="0F040A6B"/>
    <w:rsid w:val="0F046CBD"/>
    <w:rsid w:val="0F052A35"/>
    <w:rsid w:val="0F0A4535"/>
    <w:rsid w:val="0F0C192C"/>
    <w:rsid w:val="0F0F11BE"/>
    <w:rsid w:val="0F1B4006"/>
    <w:rsid w:val="0F1F58A5"/>
    <w:rsid w:val="0F2A7C7D"/>
    <w:rsid w:val="0F307991"/>
    <w:rsid w:val="0F355602"/>
    <w:rsid w:val="0F360E40"/>
    <w:rsid w:val="0F3D5D2B"/>
    <w:rsid w:val="0F476BAA"/>
    <w:rsid w:val="0F4E1CE6"/>
    <w:rsid w:val="0F501F02"/>
    <w:rsid w:val="0F566DED"/>
    <w:rsid w:val="0F57570D"/>
    <w:rsid w:val="0F5B4C3E"/>
    <w:rsid w:val="0F692FC4"/>
    <w:rsid w:val="0F6964D6"/>
    <w:rsid w:val="0F6A2898"/>
    <w:rsid w:val="0F753717"/>
    <w:rsid w:val="0F757561"/>
    <w:rsid w:val="0F7D081D"/>
    <w:rsid w:val="0F7D25CB"/>
    <w:rsid w:val="0F9811B3"/>
    <w:rsid w:val="0F9954C0"/>
    <w:rsid w:val="0F9A13CF"/>
    <w:rsid w:val="0F9F2542"/>
    <w:rsid w:val="0FA1275E"/>
    <w:rsid w:val="0FA20284"/>
    <w:rsid w:val="0FA51FB9"/>
    <w:rsid w:val="0FAA02BA"/>
    <w:rsid w:val="0FAD1102"/>
    <w:rsid w:val="0FB71F81"/>
    <w:rsid w:val="0FBF31AD"/>
    <w:rsid w:val="0FCE16D6"/>
    <w:rsid w:val="0FD06B9F"/>
    <w:rsid w:val="0FD22917"/>
    <w:rsid w:val="0FD348E1"/>
    <w:rsid w:val="0FEE34C9"/>
    <w:rsid w:val="0FF56606"/>
    <w:rsid w:val="100131FC"/>
    <w:rsid w:val="10073833"/>
    <w:rsid w:val="10141182"/>
    <w:rsid w:val="101420A5"/>
    <w:rsid w:val="101A606C"/>
    <w:rsid w:val="1025513D"/>
    <w:rsid w:val="10285E8F"/>
    <w:rsid w:val="10374FB6"/>
    <w:rsid w:val="104A6951"/>
    <w:rsid w:val="104D01F0"/>
    <w:rsid w:val="1057219D"/>
    <w:rsid w:val="106FB5BB"/>
    <w:rsid w:val="10724144"/>
    <w:rsid w:val="10727C56"/>
    <w:rsid w:val="107E3021"/>
    <w:rsid w:val="1088747A"/>
    <w:rsid w:val="108D1C83"/>
    <w:rsid w:val="108D7E56"/>
    <w:rsid w:val="109202F8"/>
    <w:rsid w:val="10926AB7"/>
    <w:rsid w:val="109C582A"/>
    <w:rsid w:val="109D1177"/>
    <w:rsid w:val="10A122E9"/>
    <w:rsid w:val="10A32505"/>
    <w:rsid w:val="10AA73F0"/>
    <w:rsid w:val="10AF4A06"/>
    <w:rsid w:val="10B4201D"/>
    <w:rsid w:val="10B71B0D"/>
    <w:rsid w:val="10BB33AB"/>
    <w:rsid w:val="10D12BCF"/>
    <w:rsid w:val="10E16B8A"/>
    <w:rsid w:val="10EC7A09"/>
    <w:rsid w:val="10EF74F9"/>
    <w:rsid w:val="10F13271"/>
    <w:rsid w:val="10F36FE9"/>
    <w:rsid w:val="10F42D61"/>
    <w:rsid w:val="10F468BD"/>
    <w:rsid w:val="10FB396F"/>
    <w:rsid w:val="11085B2E"/>
    <w:rsid w:val="11164A85"/>
    <w:rsid w:val="111D5E14"/>
    <w:rsid w:val="1126626E"/>
    <w:rsid w:val="112C24FB"/>
    <w:rsid w:val="112F3D99"/>
    <w:rsid w:val="113B273E"/>
    <w:rsid w:val="113B6507"/>
    <w:rsid w:val="113F222E"/>
    <w:rsid w:val="11460943"/>
    <w:rsid w:val="114C04A7"/>
    <w:rsid w:val="11514B1B"/>
    <w:rsid w:val="11592BC4"/>
    <w:rsid w:val="115B693C"/>
    <w:rsid w:val="116003F7"/>
    <w:rsid w:val="116E2B13"/>
    <w:rsid w:val="116F23E8"/>
    <w:rsid w:val="116F4196"/>
    <w:rsid w:val="116F5173"/>
    <w:rsid w:val="1170063A"/>
    <w:rsid w:val="11733C86"/>
    <w:rsid w:val="117479FE"/>
    <w:rsid w:val="11845E93"/>
    <w:rsid w:val="118714DF"/>
    <w:rsid w:val="118B7221"/>
    <w:rsid w:val="119A56B6"/>
    <w:rsid w:val="119B0E01"/>
    <w:rsid w:val="11A227BD"/>
    <w:rsid w:val="11A93B4C"/>
    <w:rsid w:val="11B322D4"/>
    <w:rsid w:val="11B36778"/>
    <w:rsid w:val="11B379CA"/>
    <w:rsid w:val="11BA18B5"/>
    <w:rsid w:val="11BC387F"/>
    <w:rsid w:val="11BF704E"/>
    <w:rsid w:val="11C1439F"/>
    <w:rsid w:val="11C269BB"/>
    <w:rsid w:val="11C40985"/>
    <w:rsid w:val="11E608FC"/>
    <w:rsid w:val="11EB5F12"/>
    <w:rsid w:val="11F33019"/>
    <w:rsid w:val="11F8418B"/>
    <w:rsid w:val="11FA43A7"/>
    <w:rsid w:val="11FD5C45"/>
    <w:rsid w:val="120142CA"/>
    <w:rsid w:val="12045226"/>
    <w:rsid w:val="121276FA"/>
    <w:rsid w:val="12137217"/>
    <w:rsid w:val="12154D3D"/>
    <w:rsid w:val="121641AC"/>
    <w:rsid w:val="12192A7F"/>
    <w:rsid w:val="121F5BBC"/>
    <w:rsid w:val="12211934"/>
    <w:rsid w:val="122B4561"/>
    <w:rsid w:val="122F22A3"/>
    <w:rsid w:val="12302D61"/>
    <w:rsid w:val="1242608C"/>
    <w:rsid w:val="124318AA"/>
    <w:rsid w:val="12435D4E"/>
    <w:rsid w:val="1246139A"/>
    <w:rsid w:val="124949E7"/>
    <w:rsid w:val="124B075F"/>
    <w:rsid w:val="124B69B1"/>
    <w:rsid w:val="124D44D7"/>
    <w:rsid w:val="124F70F5"/>
    <w:rsid w:val="12503FC7"/>
    <w:rsid w:val="12525F91"/>
    <w:rsid w:val="1254215C"/>
    <w:rsid w:val="125515DD"/>
    <w:rsid w:val="125A6BF4"/>
    <w:rsid w:val="125F0174"/>
    <w:rsid w:val="12635AA8"/>
    <w:rsid w:val="12647A72"/>
    <w:rsid w:val="12655CC4"/>
    <w:rsid w:val="126B2BAF"/>
    <w:rsid w:val="126E19A9"/>
    <w:rsid w:val="126E269F"/>
    <w:rsid w:val="12733DC2"/>
    <w:rsid w:val="12747CB6"/>
    <w:rsid w:val="127C6B6A"/>
    <w:rsid w:val="127E0B34"/>
    <w:rsid w:val="12816876"/>
    <w:rsid w:val="12863E8D"/>
    <w:rsid w:val="12887C05"/>
    <w:rsid w:val="128F4AEF"/>
    <w:rsid w:val="1292638E"/>
    <w:rsid w:val="12954B76"/>
    <w:rsid w:val="129F3EB2"/>
    <w:rsid w:val="12A367ED"/>
    <w:rsid w:val="12A6008B"/>
    <w:rsid w:val="12AB56A1"/>
    <w:rsid w:val="12B10F0A"/>
    <w:rsid w:val="12B8423D"/>
    <w:rsid w:val="12BB4E18"/>
    <w:rsid w:val="12BC340B"/>
    <w:rsid w:val="12C624DB"/>
    <w:rsid w:val="12C66037"/>
    <w:rsid w:val="12D15108"/>
    <w:rsid w:val="12D6271E"/>
    <w:rsid w:val="12E04A49"/>
    <w:rsid w:val="12E0534B"/>
    <w:rsid w:val="12E36BE9"/>
    <w:rsid w:val="12E60488"/>
    <w:rsid w:val="12E7492B"/>
    <w:rsid w:val="12F42BA4"/>
    <w:rsid w:val="13042E95"/>
    <w:rsid w:val="13057AAF"/>
    <w:rsid w:val="130C25E4"/>
    <w:rsid w:val="130F5C30"/>
    <w:rsid w:val="131274CE"/>
    <w:rsid w:val="13182D37"/>
    <w:rsid w:val="131E6C77"/>
    <w:rsid w:val="13272F7A"/>
    <w:rsid w:val="1331204B"/>
    <w:rsid w:val="13324823"/>
    <w:rsid w:val="133728C5"/>
    <w:rsid w:val="13405DEA"/>
    <w:rsid w:val="134B71F7"/>
    <w:rsid w:val="134E49AB"/>
    <w:rsid w:val="134F24D1"/>
    <w:rsid w:val="1360648C"/>
    <w:rsid w:val="13637D2A"/>
    <w:rsid w:val="13642A2E"/>
    <w:rsid w:val="13647E73"/>
    <w:rsid w:val="136C6BDF"/>
    <w:rsid w:val="136E6DFB"/>
    <w:rsid w:val="13781A27"/>
    <w:rsid w:val="137867C3"/>
    <w:rsid w:val="137A2C0B"/>
    <w:rsid w:val="138228A6"/>
    <w:rsid w:val="138237C0"/>
    <w:rsid w:val="1382544E"/>
    <w:rsid w:val="138403CC"/>
    <w:rsid w:val="13877950"/>
    <w:rsid w:val="139323BD"/>
    <w:rsid w:val="139D323C"/>
    <w:rsid w:val="13A303FD"/>
    <w:rsid w:val="13A445CA"/>
    <w:rsid w:val="13B10A95"/>
    <w:rsid w:val="13B32A60"/>
    <w:rsid w:val="13BA5B9C"/>
    <w:rsid w:val="13BF7656"/>
    <w:rsid w:val="13C8762E"/>
    <w:rsid w:val="13C92283"/>
    <w:rsid w:val="13CF699F"/>
    <w:rsid w:val="13D12EE6"/>
    <w:rsid w:val="13D1738A"/>
    <w:rsid w:val="13D749A0"/>
    <w:rsid w:val="13DC1FB6"/>
    <w:rsid w:val="13E7095B"/>
    <w:rsid w:val="13E96B4C"/>
    <w:rsid w:val="13F53078"/>
    <w:rsid w:val="13F76DF0"/>
    <w:rsid w:val="13F84C24"/>
    <w:rsid w:val="14060EC2"/>
    <w:rsid w:val="14096B23"/>
    <w:rsid w:val="14115C0D"/>
    <w:rsid w:val="14173F35"/>
    <w:rsid w:val="141A2ADF"/>
    <w:rsid w:val="14292F91"/>
    <w:rsid w:val="14305E5E"/>
    <w:rsid w:val="144D6A10"/>
    <w:rsid w:val="14524026"/>
    <w:rsid w:val="14534EB8"/>
    <w:rsid w:val="14551D69"/>
    <w:rsid w:val="145A737F"/>
    <w:rsid w:val="145E6E6F"/>
    <w:rsid w:val="1461426A"/>
    <w:rsid w:val="14622355"/>
    <w:rsid w:val="14627FE2"/>
    <w:rsid w:val="14681A9C"/>
    <w:rsid w:val="14755F67"/>
    <w:rsid w:val="147C5E29"/>
    <w:rsid w:val="1481490C"/>
    <w:rsid w:val="148368D6"/>
    <w:rsid w:val="14861F22"/>
    <w:rsid w:val="148F5D32"/>
    <w:rsid w:val="14902DA1"/>
    <w:rsid w:val="149833BE"/>
    <w:rsid w:val="14997EA7"/>
    <w:rsid w:val="149B7C36"/>
    <w:rsid w:val="14A423A8"/>
    <w:rsid w:val="14AD74AF"/>
    <w:rsid w:val="14B4083D"/>
    <w:rsid w:val="14BD2E06"/>
    <w:rsid w:val="14BF0C39"/>
    <w:rsid w:val="14C03686"/>
    <w:rsid w:val="14C36CD2"/>
    <w:rsid w:val="14D56A06"/>
    <w:rsid w:val="14DA49C1"/>
    <w:rsid w:val="14E05AD6"/>
    <w:rsid w:val="14F43330"/>
    <w:rsid w:val="15033573"/>
    <w:rsid w:val="15155054"/>
    <w:rsid w:val="151E215B"/>
    <w:rsid w:val="15237771"/>
    <w:rsid w:val="152534E9"/>
    <w:rsid w:val="15267261"/>
    <w:rsid w:val="153320AA"/>
    <w:rsid w:val="153D23B5"/>
    <w:rsid w:val="15406575"/>
    <w:rsid w:val="15471061"/>
    <w:rsid w:val="154A5E20"/>
    <w:rsid w:val="155609F9"/>
    <w:rsid w:val="15593193"/>
    <w:rsid w:val="155FAFD6"/>
    <w:rsid w:val="1562473D"/>
    <w:rsid w:val="156758B0"/>
    <w:rsid w:val="156E30E2"/>
    <w:rsid w:val="156F511F"/>
    <w:rsid w:val="15747FCD"/>
    <w:rsid w:val="15793835"/>
    <w:rsid w:val="157B135B"/>
    <w:rsid w:val="157E6B3B"/>
    <w:rsid w:val="1585042C"/>
    <w:rsid w:val="158C4780"/>
    <w:rsid w:val="158D108E"/>
    <w:rsid w:val="15A20FDE"/>
    <w:rsid w:val="15A66A1D"/>
    <w:rsid w:val="15B036FB"/>
    <w:rsid w:val="15B34F99"/>
    <w:rsid w:val="15BB46D9"/>
    <w:rsid w:val="15BE749A"/>
    <w:rsid w:val="15C947BC"/>
    <w:rsid w:val="15CF16A7"/>
    <w:rsid w:val="15D52029"/>
    <w:rsid w:val="15D8055B"/>
    <w:rsid w:val="15DB5153"/>
    <w:rsid w:val="15DE4AFA"/>
    <w:rsid w:val="15ED2236"/>
    <w:rsid w:val="15EE7D7F"/>
    <w:rsid w:val="15EF3A06"/>
    <w:rsid w:val="15F02D77"/>
    <w:rsid w:val="15F13700"/>
    <w:rsid w:val="15F20E8D"/>
    <w:rsid w:val="15F31839"/>
    <w:rsid w:val="15F3754D"/>
    <w:rsid w:val="15F420C5"/>
    <w:rsid w:val="15F555B1"/>
    <w:rsid w:val="15FE0523"/>
    <w:rsid w:val="16096967"/>
    <w:rsid w:val="160E6673"/>
    <w:rsid w:val="16135A37"/>
    <w:rsid w:val="161672D6"/>
    <w:rsid w:val="161A1BDF"/>
    <w:rsid w:val="161C1F83"/>
    <w:rsid w:val="16210154"/>
    <w:rsid w:val="16223ECC"/>
    <w:rsid w:val="16247C45"/>
    <w:rsid w:val="16254DD9"/>
    <w:rsid w:val="16297009"/>
    <w:rsid w:val="162E461F"/>
    <w:rsid w:val="1637067E"/>
    <w:rsid w:val="163976E4"/>
    <w:rsid w:val="163A7468"/>
    <w:rsid w:val="163C6D3C"/>
    <w:rsid w:val="163D0D06"/>
    <w:rsid w:val="16494DD6"/>
    <w:rsid w:val="164D0F49"/>
    <w:rsid w:val="16504596"/>
    <w:rsid w:val="16585293"/>
    <w:rsid w:val="165C118C"/>
    <w:rsid w:val="166444E5"/>
    <w:rsid w:val="167069E6"/>
    <w:rsid w:val="1672275E"/>
    <w:rsid w:val="16734728"/>
    <w:rsid w:val="1686445B"/>
    <w:rsid w:val="168B1A72"/>
    <w:rsid w:val="169A3A63"/>
    <w:rsid w:val="16B72867"/>
    <w:rsid w:val="16BC1C2B"/>
    <w:rsid w:val="16BF796D"/>
    <w:rsid w:val="16C17241"/>
    <w:rsid w:val="16C94348"/>
    <w:rsid w:val="16CB4564"/>
    <w:rsid w:val="16CD3E38"/>
    <w:rsid w:val="16CF7BB0"/>
    <w:rsid w:val="16D62899"/>
    <w:rsid w:val="16D927DD"/>
    <w:rsid w:val="16DA4390"/>
    <w:rsid w:val="16DF3B6C"/>
    <w:rsid w:val="16DF591A"/>
    <w:rsid w:val="16EB2510"/>
    <w:rsid w:val="16F13FCB"/>
    <w:rsid w:val="16F5338F"/>
    <w:rsid w:val="16F92E7F"/>
    <w:rsid w:val="16FB6BF7"/>
    <w:rsid w:val="16FE2244"/>
    <w:rsid w:val="17013AE2"/>
    <w:rsid w:val="17017F86"/>
    <w:rsid w:val="17147CB9"/>
    <w:rsid w:val="172601C0"/>
    <w:rsid w:val="172F68A1"/>
    <w:rsid w:val="17377504"/>
    <w:rsid w:val="173947A8"/>
    <w:rsid w:val="17575DF8"/>
    <w:rsid w:val="176B4CAE"/>
    <w:rsid w:val="176C18A3"/>
    <w:rsid w:val="17710C68"/>
    <w:rsid w:val="177249E0"/>
    <w:rsid w:val="17732C32"/>
    <w:rsid w:val="177469AA"/>
    <w:rsid w:val="17764D97"/>
    <w:rsid w:val="17800EAB"/>
    <w:rsid w:val="17832749"/>
    <w:rsid w:val="17866231"/>
    <w:rsid w:val="1787048B"/>
    <w:rsid w:val="178D341F"/>
    <w:rsid w:val="17921D3F"/>
    <w:rsid w:val="179761F4"/>
    <w:rsid w:val="179F6A15"/>
    <w:rsid w:val="17A20A2C"/>
    <w:rsid w:val="17A74689"/>
    <w:rsid w:val="17AA5F28"/>
    <w:rsid w:val="17AC1CA0"/>
    <w:rsid w:val="17AE37B8"/>
    <w:rsid w:val="17B40B54"/>
    <w:rsid w:val="17B578FD"/>
    <w:rsid w:val="17B60D70"/>
    <w:rsid w:val="17C0574B"/>
    <w:rsid w:val="17C34EE7"/>
    <w:rsid w:val="17C74D2B"/>
    <w:rsid w:val="17CD7844"/>
    <w:rsid w:val="17D336D0"/>
    <w:rsid w:val="17D42FA4"/>
    <w:rsid w:val="17D80CE7"/>
    <w:rsid w:val="17DD00AB"/>
    <w:rsid w:val="17E62C77"/>
    <w:rsid w:val="17EA7223"/>
    <w:rsid w:val="17EE050A"/>
    <w:rsid w:val="17F90C5D"/>
    <w:rsid w:val="17FF2717"/>
    <w:rsid w:val="180B10BC"/>
    <w:rsid w:val="180C273E"/>
    <w:rsid w:val="1811654A"/>
    <w:rsid w:val="181B1F72"/>
    <w:rsid w:val="181E725F"/>
    <w:rsid w:val="181F082D"/>
    <w:rsid w:val="18221F62"/>
    <w:rsid w:val="18253800"/>
    <w:rsid w:val="18266C2F"/>
    <w:rsid w:val="18297794"/>
    <w:rsid w:val="183028D1"/>
    <w:rsid w:val="183A72AB"/>
    <w:rsid w:val="183C554F"/>
    <w:rsid w:val="18491BE4"/>
    <w:rsid w:val="18510A99"/>
    <w:rsid w:val="185145F5"/>
    <w:rsid w:val="185B5474"/>
    <w:rsid w:val="185D2F9A"/>
    <w:rsid w:val="186050CD"/>
    <w:rsid w:val="18636BC3"/>
    <w:rsid w:val="18716A45"/>
    <w:rsid w:val="18820C52"/>
    <w:rsid w:val="1884654A"/>
    <w:rsid w:val="18876269"/>
    <w:rsid w:val="188B3FAB"/>
    <w:rsid w:val="1891463B"/>
    <w:rsid w:val="18921FDE"/>
    <w:rsid w:val="189D4520"/>
    <w:rsid w:val="18A4506D"/>
    <w:rsid w:val="18A706B9"/>
    <w:rsid w:val="18B352B0"/>
    <w:rsid w:val="18BA663E"/>
    <w:rsid w:val="18BC23B6"/>
    <w:rsid w:val="18C354F3"/>
    <w:rsid w:val="18C4126B"/>
    <w:rsid w:val="18D23988"/>
    <w:rsid w:val="18DC0363"/>
    <w:rsid w:val="18EB4A4A"/>
    <w:rsid w:val="18EE0096"/>
    <w:rsid w:val="18EF453A"/>
    <w:rsid w:val="18F356AC"/>
    <w:rsid w:val="18F558C8"/>
    <w:rsid w:val="190A3122"/>
    <w:rsid w:val="19102702"/>
    <w:rsid w:val="19191C06"/>
    <w:rsid w:val="191E097B"/>
    <w:rsid w:val="191F46F3"/>
    <w:rsid w:val="192166BD"/>
    <w:rsid w:val="19263CD4"/>
    <w:rsid w:val="19267830"/>
    <w:rsid w:val="194211B8"/>
    <w:rsid w:val="19481E9C"/>
    <w:rsid w:val="194A5088"/>
    <w:rsid w:val="195C76F5"/>
    <w:rsid w:val="19742C91"/>
    <w:rsid w:val="197F0DB4"/>
    <w:rsid w:val="19924EC5"/>
    <w:rsid w:val="19A2611B"/>
    <w:rsid w:val="19A277FE"/>
    <w:rsid w:val="19A30E80"/>
    <w:rsid w:val="19A60971"/>
    <w:rsid w:val="19AA220F"/>
    <w:rsid w:val="19B906A4"/>
    <w:rsid w:val="19B968F6"/>
    <w:rsid w:val="19BA1E3F"/>
    <w:rsid w:val="19CA465F"/>
    <w:rsid w:val="19CE23A1"/>
    <w:rsid w:val="19DB2D10"/>
    <w:rsid w:val="19DD25E4"/>
    <w:rsid w:val="19E00326"/>
    <w:rsid w:val="19E576EB"/>
    <w:rsid w:val="19EC6CCB"/>
    <w:rsid w:val="19F45B80"/>
    <w:rsid w:val="19F9105D"/>
    <w:rsid w:val="1A041DA9"/>
    <w:rsid w:val="1A09162B"/>
    <w:rsid w:val="1A134258"/>
    <w:rsid w:val="1A1678A4"/>
    <w:rsid w:val="1A1A55E6"/>
    <w:rsid w:val="1A225332"/>
    <w:rsid w:val="1A3047D2"/>
    <w:rsid w:val="1A345F7C"/>
    <w:rsid w:val="1A393593"/>
    <w:rsid w:val="1A4408B5"/>
    <w:rsid w:val="1A450189"/>
    <w:rsid w:val="1A497C7A"/>
    <w:rsid w:val="1A4A30AE"/>
    <w:rsid w:val="1A5B175B"/>
    <w:rsid w:val="1A620D3B"/>
    <w:rsid w:val="1A69031C"/>
    <w:rsid w:val="1A6B4094"/>
    <w:rsid w:val="1A6B5E42"/>
    <w:rsid w:val="1A7840BB"/>
    <w:rsid w:val="1A815666"/>
    <w:rsid w:val="1A824F3A"/>
    <w:rsid w:val="1A89276C"/>
    <w:rsid w:val="1A926CAC"/>
    <w:rsid w:val="1AA17AB6"/>
    <w:rsid w:val="1AA557F9"/>
    <w:rsid w:val="1AAC1FB7"/>
    <w:rsid w:val="1AAE3CAF"/>
    <w:rsid w:val="1AB1581F"/>
    <w:rsid w:val="1ABC044C"/>
    <w:rsid w:val="1ABC669E"/>
    <w:rsid w:val="1AD67034"/>
    <w:rsid w:val="1AD734D7"/>
    <w:rsid w:val="1ADB7C95"/>
    <w:rsid w:val="1AE654C9"/>
    <w:rsid w:val="1AF04599"/>
    <w:rsid w:val="1AF44089"/>
    <w:rsid w:val="1AF567DC"/>
    <w:rsid w:val="1AFC2F3E"/>
    <w:rsid w:val="1B0167A6"/>
    <w:rsid w:val="1B1464DA"/>
    <w:rsid w:val="1B1C713C"/>
    <w:rsid w:val="1B2B55D1"/>
    <w:rsid w:val="1B304996"/>
    <w:rsid w:val="1B326960"/>
    <w:rsid w:val="1B3501FE"/>
    <w:rsid w:val="1B375D24"/>
    <w:rsid w:val="1B3E0055"/>
    <w:rsid w:val="1B4F7512"/>
    <w:rsid w:val="1B527F1C"/>
    <w:rsid w:val="1B5374D6"/>
    <w:rsid w:val="1B5508A0"/>
    <w:rsid w:val="1B5E59A7"/>
    <w:rsid w:val="1B62556C"/>
    <w:rsid w:val="1B650AE3"/>
    <w:rsid w:val="1B6A60FA"/>
    <w:rsid w:val="1B6C00C4"/>
    <w:rsid w:val="1B6D7998"/>
    <w:rsid w:val="1B754A9E"/>
    <w:rsid w:val="1B7725C5"/>
    <w:rsid w:val="1B7B0307"/>
    <w:rsid w:val="1B7C407F"/>
    <w:rsid w:val="1B7FDEFE"/>
    <w:rsid w:val="1B80101E"/>
    <w:rsid w:val="1B813443"/>
    <w:rsid w:val="1B827383"/>
    <w:rsid w:val="1B830F69"/>
    <w:rsid w:val="1B83540D"/>
    <w:rsid w:val="1BA17641"/>
    <w:rsid w:val="1BA57132"/>
    <w:rsid w:val="1BAA4748"/>
    <w:rsid w:val="1BB455C7"/>
    <w:rsid w:val="1BB52303"/>
    <w:rsid w:val="1BE0460E"/>
    <w:rsid w:val="1BFA2605"/>
    <w:rsid w:val="1C054074"/>
    <w:rsid w:val="1C0F0A4F"/>
    <w:rsid w:val="1C1B73F4"/>
    <w:rsid w:val="1C2269D4"/>
    <w:rsid w:val="1C2A7637"/>
    <w:rsid w:val="1C2E5379"/>
    <w:rsid w:val="1C33298F"/>
    <w:rsid w:val="1C387FA6"/>
    <w:rsid w:val="1C3B466F"/>
    <w:rsid w:val="1C463390"/>
    <w:rsid w:val="1C4A1A87"/>
    <w:rsid w:val="1C4D1232"/>
    <w:rsid w:val="1C4E77C9"/>
    <w:rsid w:val="1C6B037B"/>
    <w:rsid w:val="1C6F468F"/>
    <w:rsid w:val="1C7A236C"/>
    <w:rsid w:val="1C7F7983"/>
    <w:rsid w:val="1C80194D"/>
    <w:rsid w:val="1C817B9F"/>
    <w:rsid w:val="1C8B1A0F"/>
    <w:rsid w:val="1C9A0C60"/>
    <w:rsid w:val="1C9B76A1"/>
    <w:rsid w:val="1C9D33F4"/>
    <w:rsid w:val="1CA27B15"/>
    <w:rsid w:val="1CA613B3"/>
    <w:rsid w:val="1CAA0881"/>
    <w:rsid w:val="1CB810E7"/>
    <w:rsid w:val="1CB87339"/>
    <w:rsid w:val="1CBC0BD7"/>
    <w:rsid w:val="1CBD27BF"/>
    <w:rsid w:val="1CBD66FD"/>
    <w:rsid w:val="1CC01D49"/>
    <w:rsid w:val="1CC25AC1"/>
    <w:rsid w:val="1CC61A56"/>
    <w:rsid w:val="1CCB2BC8"/>
    <w:rsid w:val="1CCD209B"/>
    <w:rsid w:val="1CCE090A"/>
    <w:rsid w:val="1CD04682"/>
    <w:rsid w:val="1CD534B2"/>
    <w:rsid w:val="1CD6156D"/>
    <w:rsid w:val="1CD75A11"/>
    <w:rsid w:val="1CDA72AF"/>
    <w:rsid w:val="1CDC3027"/>
    <w:rsid w:val="1CE1063D"/>
    <w:rsid w:val="1CE75528"/>
    <w:rsid w:val="1CEB0181"/>
    <w:rsid w:val="1CEC0CAE"/>
    <w:rsid w:val="1CEF1B8C"/>
    <w:rsid w:val="1CFA0437"/>
    <w:rsid w:val="1D022362"/>
    <w:rsid w:val="1D04432C"/>
    <w:rsid w:val="1D0B1216"/>
    <w:rsid w:val="1D152095"/>
    <w:rsid w:val="1D156539"/>
    <w:rsid w:val="1D181B85"/>
    <w:rsid w:val="1D1D0F4A"/>
    <w:rsid w:val="1D1F1166"/>
    <w:rsid w:val="1D2259C1"/>
    <w:rsid w:val="1D230C56"/>
    <w:rsid w:val="1D2B7B0B"/>
    <w:rsid w:val="1D303373"/>
    <w:rsid w:val="1D3249F5"/>
    <w:rsid w:val="1D352737"/>
    <w:rsid w:val="1D3E783E"/>
    <w:rsid w:val="1D461794"/>
    <w:rsid w:val="1D4806BC"/>
    <w:rsid w:val="1D4B5AB7"/>
    <w:rsid w:val="1D554B87"/>
    <w:rsid w:val="1D5D48F4"/>
    <w:rsid w:val="1D6D3C7F"/>
    <w:rsid w:val="1D6E17A5"/>
    <w:rsid w:val="1D70551D"/>
    <w:rsid w:val="1D750D86"/>
    <w:rsid w:val="1D911B79"/>
    <w:rsid w:val="1D927B8A"/>
    <w:rsid w:val="1D970CFC"/>
    <w:rsid w:val="1DB16262"/>
    <w:rsid w:val="1DB63878"/>
    <w:rsid w:val="1DBA2C3C"/>
    <w:rsid w:val="1DBD1612"/>
    <w:rsid w:val="1DBE272D"/>
    <w:rsid w:val="1DC615E1"/>
    <w:rsid w:val="1DD0260F"/>
    <w:rsid w:val="1DD0420E"/>
    <w:rsid w:val="1DD957B9"/>
    <w:rsid w:val="1DDA0DF7"/>
    <w:rsid w:val="1DDE692B"/>
    <w:rsid w:val="1DE55F0B"/>
    <w:rsid w:val="1DE63A32"/>
    <w:rsid w:val="1DE859FC"/>
    <w:rsid w:val="1DEA1510"/>
    <w:rsid w:val="1DED3012"/>
    <w:rsid w:val="1DEF28E6"/>
    <w:rsid w:val="1DF84907"/>
    <w:rsid w:val="1DFB572F"/>
    <w:rsid w:val="1DFC4F05"/>
    <w:rsid w:val="1DFF3D68"/>
    <w:rsid w:val="1E05035C"/>
    <w:rsid w:val="1E0839A8"/>
    <w:rsid w:val="1E0F11DA"/>
    <w:rsid w:val="1E164317"/>
    <w:rsid w:val="1E197963"/>
    <w:rsid w:val="1E1B7B7F"/>
    <w:rsid w:val="1E205195"/>
    <w:rsid w:val="1E21302E"/>
    <w:rsid w:val="1E220F0E"/>
    <w:rsid w:val="1E236A34"/>
    <w:rsid w:val="1E2A1B70"/>
    <w:rsid w:val="1E2C3B3A"/>
    <w:rsid w:val="1E2E4331"/>
    <w:rsid w:val="1E3649B9"/>
    <w:rsid w:val="1E380731"/>
    <w:rsid w:val="1E3817E4"/>
    <w:rsid w:val="1E3B2AAD"/>
    <w:rsid w:val="1E3B5B2B"/>
    <w:rsid w:val="1E3E73CA"/>
    <w:rsid w:val="1E5866DD"/>
    <w:rsid w:val="1E5D1F46"/>
    <w:rsid w:val="1E650DFA"/>
    <w:rsid w:val="1E6757C2"/>
    <w:rsid w:val="1E721AC7"/>
    <w:rsid w:val="1E7402A1"/>
    <w:rsid w:val="1E7B061E"/>
    <w:rsid w:val="1E8F5E77"/>
    <w:rsid w:val="1E90231B"/>
    <w:rsid w:val="1E990AA4"/>
    <w:rsid w:val="1EA062D6"/>
    <w:rsid w:val="1EA23DFC"/>
    <w:rsid w:val="1EA71413"/>
    <w:rsid w:val="1EAE0C12"/>
    <w:rsid w:val="1EB63404"/>
    <w:rsid w:val="1ED0096A"/>
    <w:rsid w:val="1ED55F80"/>
    <w:rsid w:val="1ED65854"/>
    <w:rsid w:val="1EDF6DFF"/>
    <w:rsid w:val="1EEFE08C"/>
    <w:rsid w:val="1EF02DBA"/>
    <w:rsid w:val="1EFF2FFD"/>
    <w:rsid w:val="1F0028D1"/>
    <w:rsid w:val="1F0077FF"/>
    <w:rsid w:val="1F06147B"/>
    <w:rsid w:val="1F0E4FEE"/>
    <w:rsid w:val="1F2C23CA"/>
    <w:rsid w:val="1F2E5690"/>
    <w:rsid w:val="1F3C4E89"/>
    <w:rsid w:val="1F3C7DAD"/>
    <w:rsid w:val="1F3D3B25"/>
    <w:rsid w:val="1F460C2C"/>
    <w:rsid w:val="1F4B7FF0"/>
    <w:rsid w:val="1F4C5B16"/>
    <w:rsid w:val="1F520570"/>
    <w:rsid w:val="1F59095F"/>
    <w:rsid w:val="1F5C3FAB"/>
    <w:rsid w:val="1F642E60"/>
    <w:rsid w:val="1F653AD7"/>
    <w:rsid w:val="1F703EFB"/>
    <w:rsid w:val="1F7A7A2E"/>
    <w:rsid w:val="1F7C464D"/>
    <w:rsid w:val="1F7C63FB"/>
    <w:rsid w:val="1F8034E6"/>
    <w:rsid w:val="1F813A12"/>
    <w:rsid w:val="1F83778A"/>
    <w:rsid w:val="1F8654CC"/>
    <w:rsid w:val="1F923E71"/>
    <w:rsid w:val="1F9C78FB"/>
    <w:rsid w:val="1FA060F1"/>
    <w:rsid w:val="1FA616CA"/>
    <w:rsid w:val="1FAD4807"/>
    <w:rsid w:val="1FB02549"/>
    <w:rsid w:val="1FB042F7"/>
    <w:rsid w:val="1FBC0EEE"/>
    <w:rsid w:val="1FBF278C"/>
    <w:rsid w:val="1FC61D6D"/>
    <w:rsid w:val="1FCB7383"/>
    <w:rsid w:val="1FDC333E"/>
    <w:rsid w:val="1FE16BA6"/>
    <w:rsid w:val="1FEF06D9"/>
    <w:rsid w:val="1FF00B97"/>
    <w:rsid w:val="1FF16DE9"/>
    <w:rsid w:val="1FF40688"/>
    <w:rsid w:val="1FF81FA6"/>
    <w:rsid w:val="20052895"/>
    <w:rsid w:val="200D34F7"/>
    <w:rsid w:val="20126D60"/>
    <w:rsid w:val="201B5C14"/>
    <w:rsid w:val="20234AC9"/>
    <w:rsid w:val="2031229C"/>
    <w:rsid w:val="203171E6"/>
    <w:rsid w:val="20360CA0"/>
    <w:rsid w:val="20390790"/>
    <w:rsid w:val="203D202F"/>
    <w:rsid w:val="20481DE0"/>
    <w:rsid w:val="204E43A5"/>
    <w:rsid w:val="204F1D62"/>
    <w:rsid w:val="20586E69"/>
    <w:rsid w:val="20653333"/>
    <w:rsid w:val="206550E2"/>
    <w:rsid w:val="20684BD2"/>
    <w:rsid w:val="206C021E"/>
    <w:rsid w:val="206E043A"/>
    <w:rsid w:val="20784E15"/>
    <w:rsid w:val="2079722F"/>
    <w:rsid w:val="20825C93"/>
    <w:rsid w:val="208C0EFF"/>
    <w:rsid w:val="208F6602"/>
    <w:rsid w:val="20933A75"/>
    <w:rsid w:val="20951D58"/>
    <w:rsid w:val="209A118D"/>
    <w:rsid w:val="209E28CD"/>
    <w:rsid w:val="20B120D5"/>
    <w:rsid w:val="20B816B5"/>
    <w:rsid w:val="20CD608F"/>
    <w:rsid w:val="20D11476"/>
    <w:rsid w:val="20D42D00"/>
    <w:rsid w:val="20E95D13"/>
    <w:rsid w:val="20EE50D7"/>
    <w:rsid w:val="20F21EF0"/>
    <w:rsid w:val="20F841A8"/>
    <w:rsid w:val="20FF5536"/>
    <w:rsid w:val="21093CBF"/>
    <w:rsid w:val="212154AC"/>
    <w:rsid w:val="21274A8D"/>
    <w:rsid w:val="212B3679"/>
    <w:rsid w:val="212E3725"/>
    <w:rsid w:val="21313216"/>
    <w:rsid w:val="213276BA"/>
    <w:rsid w:val="21350692"/>
    <w:rsid w:val="213F1DD6"/>
    <w:rsid w:val="213F3844"/>
    <w:rsid w:val="214255EC"/>
    <w:rsid w:val="21486EDD"/>
    <w:rsid w:val="2154271C"/>
    <w:rsid w:val="21557481"/>
    <w:rsid w:val="21584C46"/>
    <w:rsid w:val="21657A51"/>
    <w:rsid w:val="216D06F2"/>
    <w:rsid w:val="21747CD2"/>
    <w:rsid w:val="217575A6"/>
    <w:rsid w:val="21902632"/>
    <w:rsid w:val="21923FEB"/>
    <w:rsid w:val="21A954A2"/>
    <w:rsid w:val="21AB2FC8"/>
    <w:rsid w:val="21B225A8"/>
    <w:rsid w:val="21B60D6F"/>
    <w:rsid w:val="21D4251F"/>
    <w:rsid w:val="21DF2C72"/>
    <w:rsid w:val="21E11089"/>
    <w:rsid w:val="21E14C3C"/>
    <w:rsid w:val="21E42997"/>
    <w:rsid w:val="21E464DA"/>
    <w:rsid w:val="21EB09AA"/>
    <w:rsid w:val="21F42BC1"/>
    <w:rsid w:val="21F506E7"/>
    <w:rsid w:val="22010B4F"/>
    <w:rsid w:val="220152DE"/>
    <w:rsid w:val="220A5F40"/>
    <w:rsid w:val="22140B6D"/>
    <w:rsid w:val="221768AF"/>
    <w:rsid w:val="22194EB7"/>
    <w:rsid w:val="221E7C3E"/>
    <w:rsid w:val="22205764"/>
    <w:rsid w:val="22252D7A"/>
    <w:rsid w:val="22347BF8"/>
    <w:rsid w:val="22396826"/>
    <w:rsid w:val="224A27E1"/>
    <w:rsid w:val="224C47AB"/>
    <w:rsid w:val="2250723A"/>
    <w:rsid w:val="22596EC8"/>
    <w:rsid w:val="225E44DE"/>
    <w:rsid w:val="226C115F"/>
    <w:rsid w:val="22715FC0"/>
    <w:rsid w:val="227855A0"/>
    <w:rsid w:val="227B299A"/>
    <w:rsid w:val="227C6712"/>
    <w:rsid w:val="228A52D3"/>
    <w:rsid w:val="228E4DC3"/>
    <w:rsid w:val="22965A26"/>
    <w:rsid w:val="229B4DEB"/>
    <w:rsid w:val="229C0B63"/>
    <w:rsid w:val="22A74412"/>
    <w:rsid w:val="22AC349C"/>
    <w:rsid w:val="22AC6FF8"/>
    <w:rsid w:val="22B1460E"/>
    <w:rsid w:val="22B814DB"/>
    <w:rsid w:val="22BD7457"/>
    <w:rsid w:val="22BE52F0"/>
    <w:rsid w:val="22C5455D"/>
    <w:rsid w:val="22CB69B4"/>
    <w:rsid w:val="22F015DA"/>
    <w:rsid w:val="22F4274D"/>
    <w:rsid w:val="22F83FEB"/>
    <w:rsid w:val="22F96AE9"/>
    <w:rsid w:val="22F97D63"/>
    <w:rsid w:val="22FF181D"/>
    <w:rsid w:val="230E1A60"/>
    <w:rsid w:val="230E7CB2"/>
    <w:rsid w:val="231F3C6E"/>
    <w:rsid w:val="232079E6"/>
    <w:rsid w:val="23305E7B"/>
    <w:rsid w:val="233A0AA7"/>
    <w:rsid w:val="233C481F"/>
    <w:rsid w:val="233D2346"/>
    <w:rsid w:val="234F7804"/>
    <w:rsid w:val="235002CB"/>
    <w:rsid w:val="23524AF1"/>
    <w:rsid w:val="23531B69"/>
    <w:rsid w:val="23563407"/>
    <w:rsid w:val="235D02F2"/>
    <w:rsid w:val="235F1413"/>
    <w:rsid w:val="23641680"/>
    <w:rsid w:val="23694EE9"/>
    <w:rsid w:val="236D2C2B"/>
    <w:rsid w:val="236D60F1"/>
    <w:rsid w:val="23767606"/>
    <w:rsid w:val="23812232"/>
    <w:rsid w:val="238A37F2"/>
    <w:rsid w:val="23902475"/>
    <w:rsid w:val="239C52BE"/>
    <w:rsid w:val="239C706C"/>
    <w:rsid w:val="239E3BB1"/>
    <w:rsid w:val="239F6B5C"/>
    <w:rsid w:val="23A35071"/>
    <w:rsid w:val="23A35ADA"/>
    <w:rsid w:val="23A73044"/>
    <w:rsid w:val="23A75A11"/>
    <w:rsid w:val="23B048C6"/>
    <w:rsid w:val="23BC770E"/>
    <w:rsid w:val="23BD18BB"/>
    <w:rsid w:val="23BD5235"/>
    <w:rsid w:val="23CB16FF"/>
    <w:rsid w:val="23CE11F0"/>
    <w:rsid w:val="23CE2F9E"/>
    <w:rsid w:val="23D867FD"/>
    <w:rsid w:val="23DC105E"/>
    <w:rsid w:val="23E32EED"/>
    <w:rsid w:val="23E5659D"/>
    <w:rsid w:val="23EB7FF4"/>
    <w:rsid w:val="23EC5AD3"/>
    <w:rsid w:val="23EE53EE"/>
    <w:rsid w:val="23F01166"/>
    <w:rsid w:val="23F32A04"/>
    <w:rsid w:val="23F549CE"/>
    <w:rsid w:val="23F724F4"/>
    <w:rsid w:val="24013DB9"/>
    <w:rsid w:val="240861A3"/>
    <w:rsid w:val="240F5DE0"/>
    <w:rsid w:val="24150BCD"/>
    <w:rsid w:val="242552B4"/>
    <w:rsid w:val="242A28CA"/>
    <w:rsid w:val="242B6642"/>
    <w:rsid w:val="24303C58"/>
    <w:rsid w:val="243454F7"/>
    <w:rsid w:val="24376D95"/>
    <w:rsid w:val="244A6AC8"/>
    <w:rsid w:val="244B0A92"/>
    <w:rsid w:val="244D0366"/>
    <w:rsid w:val="2454722D"/>
    <w:rsid w:val="245E07C6"/>
    <w:rsid w:val="24612064"/>
    <w:rsid w:val="24653902"/>
    <w:rsid w:val="246770DE"/>
    <w:rsid w:val="249266C1"/>
    <w:rsid w:val="24A106B2"/>
    <w:rsid w:val="24A3442A"/>
    <w:rsid w:val="24AF1021"/>
    <w:rsid w:val="24B30B11"/>
    <w:rsid w:val="24B403E6"/>
    <w:rsid w:val="24B57F51"/>
    <w:rsid w:val="24B93C4E"/>
    <w:rsid w:val="24BB1774"/>
    <w:rsid w:val="24C034CB"/>
    <w:rsid w:val="24C22B02"/>
    <w:rsid w:val="24CC3981"/>
    <w:rsid w:val="24DF5006"/>
    <w:rsid w:val="24E231A5"/>
    <w:rsid w:val="24E54A43"/>
    <w:rsid w:val="24E862E1"/>
    <w:rsid w:val="24ED38F7"/>
    <w:rsid w:val="24EF58C2"/>
    <w:rsid w:val="24FB4266"/>
    <w:rsid w:val="24FD1D8D"/>
    <w:rsid w:val="2500362B"/>
    <w:rsid w:val="25096983"/>
    <w:rsid w:val="2511326E"/>
    <w:rsid w:val="251A0B90"/>
    <w:rsid w:val="251A293E"/>
    <w:rsid w:val="251F61A7"/>
    <w:rsid w:val="252769DA"/>
    <w:rsid w:val="252C2672"/>
    <w:rsid w:val="25333239"/>
    <w:rsid w:val="256736AA"/>
    <w:rsid w:val="256C6F12"/>
    <w:rsid w:val="25822292"/>
    <w:rsid w:val="258C3110"/>
    <w:rsid w:val="259557B7"/>
    <w:rsid w:val="25AB17E9"/>
    <w:rsid w:val="25B39F8E"/>
    <w:rsid w:val="25B83F05"/>
    <w:rsid w:val="25BC39F6"/>
    <w:rsid w:val="25C1100C"/>
    <w:rsid w:val="25C428AA"/>
    <w:rsid w:val="25D37972"/>
    <w:rsid w:val="25D725DE"/>
    <w:rsid w:val="25DD69C0"/>
    <w:rsid w:val="25EB3B3B"/>
    <w:rsid w:val="25FF7D86"/>
    <w:rsid w:val="26040EF9"/>
    <w:rsid w:val="260D5FFF"/>
    <w:rsid w:val="26121868"/>
    <w:rsid w:val="26176E7E"/>
    <w:rsid w:val="261E7C99"/>
    <w:rsid w:val="2621171F"/>
    <w:rsid w:val="26233A75"/>
    <w:rsid w:val="26265313"/>
    <w:rsid w:val="26325A66"/>
    <w:rsid w:val="26340F37"/>
    <w:rsid w:val="26354F4F"/>
    <w:rsid w:val="263F0183"/>
    <w:rsid w:val="264A4B38"/>
    <w:rsid w:val="26526108"/>
    <w:rsid w:val="26597496"/>
    <w:rsid w:val="265C6F87"/>
    <w:rsid w:val="26613FDE"/>
    <w:rsid w:val="26663961"/>
    <w:rsid w:val="26681488"/>
    <w:rsid w:val="2670658E"/>
    <w:rsid w:val="2677791D"/>
    <w:rsid w:val="26797B39"/>
    <w:rsid w:val="267B565F"/>
    <w:rsid w:val="267D0A75"/>
    <w:rsid w:val="2685028B"/>
    <w:rsid w:val="269B185D"/>
    <w:rsid w:val="269F59E4"/>
    <w:rsid w:val="26A94D1C"/>
    <w:rsid w:val="26AD4B22"/>
    <w:rsid w:val="26C358C3"/>
    <w:rsid w:val="26CA0394"/>
    <w:rsid w:val="26CA2142"/>
    <w:rsid w:val="26E36D60"/>
    <w:rsid w:val="26E74AA2"/>
    <w:rsid w:val="26F96584"/>
    <w:rsid w:val="27003DB6"/>
    <w:rsid w:val="270A6852"/>
    <w:rsid w:val="270E7E69"/>
    <w:rsid w:val="27133AE9"/>
    <w:rsid w:val="27167136"/>
    <w:rsid w:val="271E423C"/>
    <w:rsid w:val="272D447F"/>
    <w:rsid w:val="273121C1"/>
    <w:rsid w:val="273F48DE"/>
    <w:rsid w:val="274243CE"/>
    <w:rsid w:val="274370CF"/>
    <w:rsid w:val="274A3283"/>
    <w:rsid w:val="274F43F6"/>
    <w:rsid w:val="27561C28"/>
    <w:rsid w:val="27565784"/>
    <w:rsid w:val="276E04CD"/>
    <w:rsid w:val="27781B9E"/>
    <w:rsid w:val="278E4F1E"/>
    <w:rsid w:val="27921D79"/>
    <w:rsid w:val="27960276"/>
    <w:rsid w:val="27A401A2"/>
    <w:rsid w:val="27A93262"/>
    <w:rsid w:val="27AA5AD0"/>
    <w:rsid w:val="27AB3D22"/>
    <w:rsid w:val="27AC5CEC"/>
    <w:rsid w:val="27AE44AC"/>
    <w:rsid w:val="27B60CB4"/>
    <w:rsid w:val="27C748D4"/>
    <w:rsid w:val="27C76682"/>
    <w:rsid w:val="27D36DD5"/>
    <w:rsid w:val="27D56FF1"/>
    <w:rsid w:val="27DFA1B7"/>
    <w:rsid w:val="27E56B08"/>
    <w:rsid w:val="27E62FAC"/>
    <w:rsid w:val="27ED419B"/>
    <w:rsid w:val="27ED433A"/>
    <w:rsid w:val="27EE1E60"/>
    <w:rsid w:val="27F21951"/>
    <w:rsid w:val="27F324C2"/>
    <w:rsid w:val="27F751B9"/>
    <w:rsid w:val="27F76F67"/>
    <w:rsid w:val="27FF406E"/>
    <w:rsid w:val="28100029"/>
    <w:rsid w:val="2810627B"/>
    <w:rsid w:val="281573ED"/>
    <w:rsid w:val="28164F13"/>
    <w:rsid w:val="2819039E"/>
    <w:rsid w:val="281F201A"/>
    <w:rsid w:val="282028B8"/>
    <w:rsid w:val="28247630"/>
    <w:rsid w:val="282835C4"/>
    <w:rsid w:val="282D6EFC"/>
    <w:rsid w:val="283106A2"/>
    <w:rsid w:val="28335AC5"/>
    <w:rsid w:val="28357A8F"/>
    <w:rsid w:val="283C0E1E"/>
    <w:rsid w:val="284D302B"/>
    <w:rsid w:val="285048C9"/>
    <w:rsid w:val="2859377E"/>
    <w:rsid w:val="285C326E"/>
    <w:rsid w:val="286133E5"/>
    <w:rsid w:val="286363AA"/>
    <w:rsid w:val="28645955"/>
    <w:rsid w:val="28650375"/>
    <w:rsid w:val="286631FB"/>
    <w:rsid w:val="28687E65"/>
    <w:rsid w:val="28771E56"/>
    <w:rsid w:val="28823F25"/>
    <w:rsid w:val="28836A4D"/>
    <w:rsid w:val="28887BBF"/>
    <w:rsid w:val="288F53F1"/>
    <w:rsid w:val="28973EAF"/>
    <w:rsid w:val="289E73E3"/>
    <w:rsid w:val="28A40771"/>
    <w:rsid w:val="28A947D5"/>
    <w:rsid w:val="28B22E8E"/>
    <w:rsid w:val="28B60BD0"/>
    <w:rsid w:val="28B74948"/>
    <w:rsid w:val="28B93C10"/>
    <w:rsid w:val="28BB61E6"/>
    <w:rsid w:val="28BE1833"/>
    <w:rsid w:val="28C037FD"/>
    <w:rsid w:val="28C3509B"/>
    <w:rsid w:val="28D30187"/>
    <w:rsid w:val="28D728F5"/>
    <w:rsid w:val="28FC145E"/>
    <w:rsid w:val="28FC41C2"/>
    <w:rsid w:val="28FE4325"/>
    <w:rsid w:val="28FE60D3"/>
    <w:rsid w:val="2900009D"/>
    <w:rsid w:val="290F02E0"/>
    <w:rsid w:val="290F4769"/>
    <w:rsid w:val="291E6775"/>
    <w:rsid w:val="293146FB"/>
    <w:rsid w:val="29332221"/>
    <w:rsid w:val="2934212F"/>
    <w:rsid w:val="29373393"/>
    <w:rsid w:val="293D4E4D"/>
    <w:rsid w:val="293E4722"/>
    <w:rsid w:val="293E7C9D"/>
    <w:rsid w:val="29453D02"/>
    <w:rsid w:val="294A4A35"/>
    <w:rsid w:val="294E05FC"/>
    <w:rsid w:val="294E0E09"/>
    <w:rsid w:val="295108F9"/>
    <w:rsid w:val="295E3016"/>
    <w:rsid w:val="296879F1"/>
    <w:rsid w:val="296E7DBD"/>
    <w:rsid w:val="29712D49"/>
    <w:rsid w:val="29734009"/>
    <w:rsid w:val="297350C5"/>
    <w:rsid w:val="29767E5F"/>
    <w:rsid w:val="2977352D"/>
    <w:rsid w:val="297B7724"/>
    <w:rsid w:val="297F6CF9"/>
    <w:rsid w:val="299327C4"/>
    <w:rsid w:val="2996630C"/>
    <w:rsid w:val="2998070D"/>
    <w:rsid w:val="29982084"/>
    <w:rsid w:val="299B7DC6"/>
    <w:rsid w:val="29AC1FD3"/>
    <w:rsid w:val="29AE5D4B"/>
    <w:rsid w:val="29B0281D"/>
    <w:rsid w:val="29B13146"/>
    <w:rsid w:val="29B6075C"/>
    <w:rsid w:val="29B72B6A"/>
    <w:rsid w:val="29B80978"/>
    <w:rsid w:val="29BF653A"/>
    <w:rsid w:val="29C70504"/>
    <w:rsid w:val="29D11A3A"/>
    <w:rsid w:val="29D632CB"/>
    <w:rsid w:val="29D724AF"/>
    <w:rsid w:val="29D84B76"/>
    <w:rsid w:val="29DA6B40"/>
    <w:rsid w:val="29F65B41"/>
    <w:rsid w:val="2A0741F3"/>
    <w:rsid w:val="2A077678"/>
    <w:rsid w:val="2A0F0A32"/>
    <w:rsid w:val="2A1D6A2D"/>
    <w:rsid w:val="2A21651D"/>
    <w:rsid w:val="2A261D85"/>
    <w:rsid w:val="2A2658E2"/>
    <w:rsid w:val="2A306760"/>
    <w:rsid w:val="2A344F53"/>
    <w:rsid w:val="2A4E308A"/>
    <w:rsid w:val="2A4F4AA9"/>
    <w:rsid w:val="2A5A37DD"/>
    <w:rsid w:val="2A5F2BA2"/>
    <w:rsid w:val="2A691C72"/>
    <w:rsid w:val="2A701253"/>
    <w:rsid w:val="2A703001"/>
    <w:rsid w:val="2A73061D"/>
    <w:rsid w:val="2A7B5A29"/>
    <w:rsid w:val="2A7E571E"/>
    <w:rsid w:val="2A8275BB"/>
    <w:rsid w:val="2A830F86"/>
    <w:rsid w:val="2A895E70"/>
    <w:rsid w:val="2A8C0D0B"/>
    <w:rsid w:val="2A922F77"/>
    <w:rsid w:val="2A9528DE"/>
    <w:rsid w:val="2A992557"/>
    <w:rsid w:val="2A9D36CA"/>
    <w:rsid w:val="2A9E64BF"/>
    <w:rsid w:val="2AAB5DE7"/>
    <w:rsid w:val="2AAD7DB1"/>
    <w:rsid w:val="2ABB200C"/>
    <w:rsid w:val="2AC46EA9"/>
    <w:rsid w:val="2AC670C5"/>
    <w:rsid w:val="2AC86999"/>
    <w:rsid w:val="2AD27817"/>
    <w:rsid w:val="2AD92954"/>
    <w:rsid w:val="2AE37043"/>
    <w:rsid w:val="2AEB2687"/>
    <w:rsid w:val="2AEF03C9"/>
    <w:rsid w:val="2AEF4C89"/>
    <w:rsid w:val="2AFA0B7E"/>
    <w:rsid w:val="2B00729C"/>
    <w:rsid w:val="2B073965"/>
    <w:rsid w:val="2B141BDE"/>
    <w:rsid w:val="2B204A27"/>
    <w:rsid w:val="2B2160A9"/>
    <w:rsid w:val="2B255B99"/>
    <w:rsid w:val="2B367DA6"/>
    <w:rsid w:val="2B3C1135"/>
    <w:rsid w:val="2B41674B"/>
    <w:rsid w:val="2B585F6F"/>
    <w:rsid w:val="2B5B5A5F"/>
    <w:rsid w:val="2B603075"/>
    <w:rsid w:val="2B6A5CA2"/>
    <w:rsid w:val="2B795EE5"/>
    <w:rsid w:val="2B8330C6"/>
    <w:rsid w:val="2B944ACD"/>
    <w:rsid w:val="2B97636B"/>
    <w:rsid w:val="2B9D7E25"/>
    <w:rsid w:val="2BA7380D"/>
    <w:rsid w:val="2BB138D1"/>
    <w:rsid w:val="2BBA1C2C"/>
    <w:rsid w:val="2BBD2276"/>
    <w:rsid w:val="2BBD4024"/>
    <w:rsid w:val="2BBE1B4A"/>
    <w:rsid w:val="2BC3727D"/>
    <w:rsid w:val="2BD96984"/>
    <w:rsid w:val="2BDA67DF"/>
    <w:rsid w:val="2BDF2203"/>
    <w:rsid w:val="2BE07A80"/>
    <w:rsid w:val="2BFA0DD4"/>
    <w:rsid w:val="2C051C43"/>
    <w:rsid w:val="2C083231"/>
    <w:rsid w:val="2C09185D"/>
    <w:rsid w:val="2C1520B2"/>
    <w:rsid w:val="2C2C11A9"/>
    <w:rsid w:val="2C2D2422"/>
    <w:rsid w:val="2C3342E6"/>
    <w:rsid w:val="2C372028"/>
    <w:rsid w:val="2C385DA0"/>
    <w:rsid w:val="2C3B13EC"/>
    <w:rsid w:val="2C3B319A"/>
    <w:rsid w:val="2C3D6F12"/>
    <w:rsid w:val="2C493B09"/>
    <w:rsid w:val="2C4F6930"/>
    <w:rsid w:val="2C536736"/>
    <w:rsid w:val="2C581F9E"/>
    <w:rsid w:val="2C5B301F"/>
    <w:rsid w:val="2C5B55EB"/>
    <w:rsid w:val="2C5C1A8E"/>
    <w:rsid w:val="2C5E0615"/>
    <w:rsid w:val="2C666469"/>
    <w:rsid w:val="2C7212B2"/>
    <w:rsid w:val="2C78619D"/>
    <w:rsid w:val="2C950AFD"/>
    <w:rsid w:val="2C972AC7"/>
    <w:rsid w:val="2C9C632F"/>
    <w:rsid w:val="2C9F197B"/>
    <w:rsid w:val="2CA17B64"/>
    <w:rsid w:val="2CA84CAA"/>
    <w:rsid w:val="2CAE1BBE"/>
    <w:rsid w:val="2CB5119F"/>
    <w:rsid w:val="2CBF5B79"/>
    <w:rsid w:val="2CC2315E"/>
    <w:rsid w:val="2CC43190"/>
    <w:rsid w:val="2CD51841"/>
    <w:rsid w:val="2CD755B9"/>
    <w:rsid w:val="2CE463B3"/>
    <w:rsid w:val="2CE61358"/>
    <w:rsid w:val="2CE657FC"/>
    <w:rsid w:val="2CEE4AB3"/>
    <w:rsid w:val="2CEE645F"/>
    <w:rsid w:val="2CEF46B1"/>
    <w:rsid w:val="2CF03F85"/>
    <w:rsid w:val="2CF47F19"/>
    <w:rsid w:val="2CFA3055"/>
    <w:rsid w:val="2CFB12A7"/>
    <w:rsid w:val="2D081307"/>
    <w:rsid w:val="2D0D2D89"/>
    <w:rsid w:val="2D12214D"/>
    <w:rsid w:val="2D142369"/>
    <w:rsid w:val="2D200869"/>
    <w:rsid w:val="2D297497"/>
    <w:rsid w:val="2D346567"/>
    <w:rsid w:val="2D352245"/>
    <w:rsid w:val="2D3A16A4"/>
    <w:rsid w:val="2D3E1194"/>
    <w:rsid w:val="2D4A18E7"/>
    <w:rsid w:val="2D4A7B39"/>
    <w:rsid w:val="2D4F6EFD"/>
    <w:rsid w:val="2D502C75"/>
    <w:rsid w:val="2D510EC7"/>
    <w:rsid w:val="2D554612"/>
    <w:rsid w:val="2D574004"/>
    <w:rsid w:val="2D597D7C"/>
    <w:rsid w:val="2D621327"/>
    <w:rsid w:val="2D654973"/>
    <w:rsid w:val="2D68349B"/>
    <w:rsid w:val="2D6A01DB"/>
    <w:rsid w:val="2D6E3076"/>
    <w:rsid w:val="2D727090"/>
    <w:rsid w:val="2D76092E"/>
    <w:rsid w:val="2D7828F8"/>
    <w:rsid w:val="2D79041E"/>
    <w:rsid w:val="2D8017AD"/>
    <w:rsid w:val="2D872B3B"/>
    <w:rsid w:val="2D8F7C42"/>
    <w:rsid w:val="2D92328E"/>
    <w:rsid w:val="2D964B2C"/>
    <w:rsid w:val="2DA3549B"/>
    <w:rsid w:val="2DA76D39"/>
    <w:rsid w:val="2DA82AB1"/>
    <w:rsid w:val="2DAC25A2"/>
    <w:rsid w:val="2DB5702F"/>
    <w:rsid w:val="2DB733CB"/>
    <w:rsid w:val="2DB96A6D"/>
    <w:rsid w:val="2DBE22D5"/>
    <w:rsid w:val="2DCF003E"/>
    <w:rsid w:val="2DCF1197"/>
    <w:rsid w:val="2DD815E9"/>
    <w:rsid w:val="2DDB2E87"/>
    <w:rsid w:val="2DE53D06"/>
    <w:rsid w:val="2DED6716"/>
    <w:rsid w:val="2DF126AA"/>
    <w:rsid w:val="2DF14458"/>
    <w:rsid w:val="2DF67CC1"/>
    <w:rsid w:val="2DFA08A5"/>
    <w:rsid w:val="2DFA155F"/>
    <w:rsid w:val="2DFFB207"/>
    <w:rsid w:val="2E026666"/>
    <w:rsid w:val="2E0B376C"/>
    <w:rsid w:val="2E150147"/>
    <w:rsid w:val="2E152640"/>
    <w:rsid w:val="2E162111"/>
    <w:rsid w:val="2E173476"/>
    <w:rsid w:val="2E19750B"/>
    <w:rsid w:val="2E1B17A9"/>
    <w:rsid w:val="2E220AB6"/>
    <w:rsid w:val="2E222864"/>
    <w:rsid w:val="2E2760CC"/>
    <w:rsid w:val="2E3F6F72"/>
    <w:rsid w:val="2E400F3C"/>
    <w:rsid w:val="2E4647A4"/>
    <w:rsid w:val="2E483A7C"/>
    <w:rsid w:val="2E530C6F"/>
    <w:rsid w:val="2E552C39"/>
    <w:rsid w:val="2E5549E7"/>
    <w:rsid w:val="2E57204A"/>
    <w:rsid w:val="2E5B7B24"/>
    <w:rsid w:val="2E5D564A"/>
    <w:rsid w:val="2E60513A"/>
    <w:rsid w:val="2E6609A2"/>
    <w:rsid w:val="2E666BF4"/>
    <w:rsid w:val="2E6A7D67"/>
    <w:rsid w:val="2E731311"/>
    <w:rsid w:val="2E7322BB"/>
    <w:rsid w:val="2E754AA5"/>
    <w:rsid w:val="2E76670C"/>
    <w:rsid w:val="2E7B1F74"/>
    <w:rsid w:val="2E7C6418"/>
    <w:rsid w:val="2E7D7A9A"/>
    <w:rsid w:val="2E830C41"/>
    <w:rsid w:val="2E85043B"/>
    <w:rsid w:val="2E870919"/>
    <w:rsid w:val="2E921798"/>
    <w:rsid w:val="2E935510"/>
    <w:rsid w:val="2E9529CC"/>
    <w:rsid w:val="2E9A064C"/>
    <w:rsid w:val="2EA25753"/>
    <w:rsid w:val="2EA414CB"/>
    <w:rsid w:val="2EA65243"/>
    <w:rsid w:val="2EA73FC0"/>
    <w:rsid w:val="2EA96AE1"/>
    <w:rsid w:val="2EBA2A9C"/>
    <w:rsid w:val="2EC4391B"/>
    <w:rsid w:val="2EC456C9"/>
    <w:rsid w:val="2EC622A9"/>
    <w:rsid w:val="2ECA5CCA"/>
    <w:rsid w:val="2ECB4CA9"/>
    <w:rsid w:val="2ECE479A"/>
    <w:rsid w:val="2ED0406E"/>
    <w:rsid w:val="2ED718A0"/>
    <w:rsid w:val="2EDD6D8B"/>
    <w:rsid w:val="2EE47B19"/>
    <w:rsid w:val="2EE67D35"/>
    <w:rsid w:val="2EEA15D4"/>
    <w:rsid w:val="2EED10C4"/>
    <w:rsid w:val="2EF22236"/>
    <w:rsid w:val="2F0A3A24"/>
    <w:rsid w:val="2F0B0FAD"/>
    <w:rsid w:val="2F146650"/>
    <w:rsid w:val="2F155F25"/>
    <w:rsid w:val="2F191EB9"/>
    <w:rsid w:val="2F25085E"/>
    <w:rsid w:val="2F3F69B2"/>
    <w:rsid w:val="2F4405B8"/>
    <w:rsid w:val="2F4B5DEA"/>
    <w:rsid w:val="2F522CD5"/>
    <w:rsid w:val="2F5C2087"/>
    <w:rsid w:val="2F5C3B54"/>
    <w:rsid w:val="2F601896"/>
    <w:rsid w:val="2F603644"/>
    <w:rsid w:val="2F61560E"/>
    <w:rsid w:val="2F662C24"/>
    <w:rsid w:val="2F6A44C2"/>
    <w:rsid w:val="2F6C6DDF"/>
    <w:rsid w:val="2F762E67"/>
    <w:rsid w:val="2F77273B"/>
    <w:rsid w:val="2F776BDF"/>
    <w:rsid w:val="2F827A5E"/>
    <w:rsid w:val="2F8337D6"/>
    <w:rsid w:val="2F835584"/>
    <w:rsid w:val="2F9F55D0"/>
    <w:rsid w:val="2FA07EE4"/>
    <w:rsid w:val="2FA8139B"/>
    <w:rsid w:val="2FAF0127"/>
    <w:rsid w:val="2FB41D55"/>
    <w:rsid w:val="2FBB5B5C"/>
    <w:rsid w:val="2FC43258"/>
    <w:rsid w:val="2FC75471"/>
    <w:rsid w:val="2FD162F0"/>
    <w:rsid w:val="2FD656B4"/>
    <w:rsid w:val="2FD933F6"/>
    <w:rsid w:val="2FE778C1"/>
    <w:rsid w:val="2FE8682E"/>
    <w:rsid w:val="2FED0C50"/>
    <w:rsid w:val="2FF6363B"/>
    <w:rsid w:val="3004389B"/>
    <w:rsid w:val="30055F99"/>
    <w:rsid w:val="300761B5"/>
    <w:rsid w:val="300A1801"/>
    <w:rsid w:val="300F6E18"/>
    <w:rsid w:val="301306B6"/>
    <w:rsid w:val="30134B5A"/>
    <w:rsid w:val="30161F54"/>
    <w:rsid w:val="30217168"/>
    <w:rsid w:val="302208F9"/>
    <w:rsid w:val="3022518A"/>
    <w:rsid w:val="3029612C"/>
    <w:rsid w:val="3034062C"/>
    <w:rsid w:val="30363F82"/>
    <w:rsid w:val="3038011D"/>
    <w:rsid w:val="303B5E5F"/>
    <w:rsid w:val="30413188"/>
    <w:rsid w:val="30515682"/>
    <w:rsid w:val="305556AB"/>
    <w:rsid w:val="30556F21"/>
    <w:rsid w:val="306058C5"/>
    <w:rsid w:val="306929CC"/>
    <w:rsid w:val="306C76D3"/>
    <w:rsid w:val="307153DD"/>
    <w:rsid w:val="307C6BED"/>
    <w:rsid w:val="307D6477"/>
    <w:rsid w:val="307E33AB"/>
    <w:rsid w:val="30915A7F"/>
    <w:rsid w:val="30A77050"/>
    <w:rsid w:val="30AB4D93"/>
    <w:rsid w:val="30AC28B9"/>
    <w:rsid w:val="30B023A9"/>
    <w:rsid w:val="30B17ECF"/>
    <w:rsid w:val="30B359F5"/>
    <w:rsid w:val="30B874AF"/>
    <w:rsid w:val="30BA6D84"/>
    <w:rsid w:val="30C916BD"/>
    <w:rsid w:val="30CD2F5B"/>
    <w:rsid w:val="30D003B7"/>
    <w:rsid w:val="30D501D4"/>
    <w:rsid w:val="30DD0CC4"/>
    <w:rsid w:val="30DD2A72"/>
    <w:rsid w:val="30E54344"/>
    <w:rsid w:val="30ED4EF1"/>
    <w:rsid w:val="30F027A5"/>
    <w:rsid w:val="30F54260"/>
    <w:rsid w:val="30F93D50"/>
    <w:rsid w:val="30FC114A"/>
    <w:rsid w:val="310444A3"/>
    <w:rsid w:val="31045B89"/>
    <w:rsid w:val="310D15A9"/>
    <w:rsid w:val="310E0E7D"/>
    <w:rsid w:val="31120950"/>
    <w:rsid w:val="31124E12"/>
    <w:rsid w:val="311566B0"/>
    <w:rsid w:val="312A63FD"/>
    <w:rsid w:val="313034EA"/>
    <w:rsid w:val="31327262"/>
    <w:rsid w:val="31334D4A"/>
    <w:rsid w:val="31382CE4"/>
    <w:rsid w:val="3139239E"/>
    <w:rsid w:val="313E79B5"/>
    <w:rsid w:val="31425A30"/>
    <w:rsid w:val="31466869"/>
    <w:rsid w:val="31496359"/>
    <w:rsid w:val="314E571E"/>
    <w:rsid w:val="315076E8"/>
    <w:rsid w:val="31540FD0"/>
    <w:rsid w:val="31576CC8"/>
    <w:rsid w:val="315C42DF"/>
    <w:rsid w:val="31615EF0"/>
    <w:rsid w:val="31617788"/>
    <w:rsid w:val="31662A68"/>
    <w:rsid w:val="31684A32"/>
    <w:rsid w:val="316A4D30"/>
    <w:rsid w:val="316D2048"/>
    <w:rsid w:val="318B0720"/>
    <w:rsid w:val="319B05F0"/>
    <w:rsid w:val="319E4924"/>
    <w:rsid w:val="31A00036"/>
    <w:rsid w:val="31A11CF2"/>
    <w:rsid w:val="31A35A6A"/>
    <w:rsid w:val="31A737AC"/>
    <w:rsid w:val="31B41A25"/>
    <w:rsid w:val="31B45EC9"/>
    <w:rsid w:val="31B639EF"/>
    <w:rsid w:val="31BC6B2B"/>
    <w:rsid w:val="31BE28A4"/>
    <w:rsid w:val="31C3610C"/>
    <w:rsid w:val="31D64091"/>
    <w:rsid w:val="31E33438"/>
    <w:rsid w:val="31E40EB3"/>
    <w:rsid w:val="31E46665"/>
    <w:rsid w:val="31EF0CAF"/>
    <w:rsid w:val="31EF6F01"/>
    <w:rsid w:val="31F11D76"/>
    <w:rsid w:val="31F84007"/>
    <w:rsid w:val="31F84853"/>
    <w:rsid w:val="3205221E"/>
    <w:rsid w:val="32110C25"/>
    <w:rsid w:val="321626E0"/>
    <w:rsid w:val="322272D6"/>
    <w:rsid w:val="32230959"/>
    <w:rsid w:val="32244DFC"/>
    <w:rsid w:val="32272482"/>
    <w:rsid w:val="32313DE1"/>
    <w:rsid w:val="323808A8"/>
    <w:rsid w:val="323B2146"/>
    <w:rsid w:val="324234D5"/>
    <w:rsid w:val="32470AEB"/>
    <w:rsid w:val="324B4B2D"/>
    <w:rsid w:val="32513718"/>
    <w:rsid w:val="32560D2E"/>
    <w:rsid w:val="326170B4"/>
    <w:rsid w:val="327318E0"/>
    <w:rsid w:val="327A2C6E"/>
    <w:rsid w:val="327A57B8"/>
    <w:rsid w:val="327B7A5E"/>
    <w:rsid w:val="32827D75"/>
    <w:rsid w:val="32847649"/>
    <w:rsid w:val="32902492"/>
    <w:rsid w:val="32951856"/>
    <w:rsid w:val="329830F5"/>
    <w:rsid w:val="32987598"/>
    <w:rsid w:val="32990C1B"/>
    <w:rsid w:val="329D4BAF"/>
    <w:rsid w:val="32A001FB"/>
    <w:rsid w:val="32A25D21"/>
    <w:rsid w:val="32AC094E"/>
    <w:rsid w:val="32B44946"/>
    <w:rsid w:val="32B85545"/>
    <w:rsid w:val="32BF0681"/>
    <w:rsid w:val="32C65EB4"/>
    <w:rsid w:val="32C91500"/>
    <w:rsid w:val="32C959A4"/>
    <w:rsid w:val="32D63C1D"/>
    <w:rsid w:val="32DD144F"/>
    <w:rsid w:val="32E77BD8"/>
    <w:rsid w:val="32F00D0F"/>
    <w:rsid w:val="32F17D9E"/>
    <w:rsid w:val="32F8736F"/>
    <w:rsid w:val="32FB1250"/>
    <w:rsid w:val="32FE2E9B"/>
    <w:rsid w:val="33046244"/>
    <w:rsid w:val="33174961"/>
    <w:rsid w:val="33263FCB"/>
    <w:rsid w:val="333252F7"/>
    <w:rsid w:val="333F70F6"/>
    <w:rsid w:val="3345460D"/>
    <w:rsid w:val="334B460B"/>
    <w:rsid w:val="334E397C"/>
    <w:rsid w:val="335206B6"/>
    <w:rsid w:val="335C6818"/>
    <w:rsid w:val="335F1E64"/>
    <w:rsid w:val="33686F6B"/>
    <w:rsid w:val="336B6A5B"/>
    <w:rsid w:val="336E3E55"/>
    <w:rsid w:val="336F43F6"/>
    <w:rsid w:val="337C2A16"/>
    <w:rsid w:val="337F42B4"/>
    <w:rsid w:val="337F6063"/>
    <w:rsid w:val="33833DA5"/>
    <w:rsid w:val="33865643"/>
    <w:rsid w:val="33883169"/>
    <w:rsid w:val="338D4DAE"/>
    <w:rsid w:val="3392223A"/>
    <w:rsid w:val="33977850"/>
    <w:rsid w:val="339C4E66"/>
    <w:rsid w:val="33A04957"/>
    <w:rsid w:val="33A15FD9"/>
    <w:rsid w:val="33A31D51"/>
    <w:rsid w:val="33A53D1B"/>
    <w:rsid w:val="33A855B9"/>
    <w:rsid w:val="33B24B2D"/>
    <w:rsid w:val="33BC72B7"/>
    <w:rsid w:val="33BE302F"/>
    <w:rsid w:val="33BE6FF0"/>
    <w:rsid w:val="33C0280E"/>
    <w:rsid w:val="33C34F5E"/>
    <w:rsid w:val="33D12D62"/>
    <w:rsid w:val="33DB773D"/>
    <w:rsid w:val="33E02FA5"/>
    <w:rsid w:val="33E04D53"/>
    <w:rsid w:val="33ED121E"/>
    <w:rsid w:val="33F55A3B"/>
    <w:rsid w:val="340A0022"/>
    <w:rsid w:val="340A1DD0"/>
    <w:rsid w:val="340F388A"/>
    <w:rsid w:val="3422536C"/>
    <w:rsid w:val="34232234"/>
    <w:rsid w:val="342509B8"/>
    <w:rsid w:val="34254E5C"/>
    <w:rsid w:val="342A2472"/>
    <w:rsid w:val="342D5ABF"/>
    <w:rsid w:val="34337579"/>
    <w:rsid w:val="343432F1"/>
    <w:rsid w:val="343C1232"/>
    <w:rsid w:val="343C3F54"/>
    <w:rsid w:val="344E43B3"/>
    <w:rsid w:val="344E4C6B"/>
    <w:rsid w:val="344F1ED9"/>
    <w:rsid w:val="34592D57"/>
    <w:rsid w:val="345978F1"/>
    <w:rsid w:val="345D45F6"/>
    <w:rsid w:val="34605E94"/>
    <w:rsid w:val="34607C42"/>
    <w:rsid w:val="347436ED"/>
    <w:rsid w:val="34757B91"/>
    <w:rsid w:val="34784F8C"/>
    <w:rsid w:val="347D07F4"/>
    <w:rsid w:val="348C6C89"/>
    <w:rsid w:val="348F6779"/>
    <w:rsid w:val="34982D1B"/>
    <w:rsid w:val="34993154"/>
    <w:rsid w:val="349F4C0E"/>
    <w:rsid w:val="34A73AC3"/>
    <w:rsid w:val="34AF4725"/>
    <w:rsid w:val="34BB30CA"/>
    <w:rsid w:val="34C6228E"/>
    <w:rsid w:val="34DD4369"/>
    <w:rsid w:val="34E61EDD"/>
    <w:rsid w:val="34E6283D"/>
    <w:rsid w:val="34EE34A0"/>
    <w:rsid w:val="34F34F5A"/>
    <w:rsid w:val="34F8431E"/>
    <w:rsid w:val="351A24E7"/>
    <w:rsid w:val="351A4295"/>
    <w:rsid w:val="352D221A"/>
    <w:rsid w:val="35303AB8"/>
    <w:rsid w:val="353510CF"/>
    <w:rsid w:val="35441312"/>
    <w:rsid w:val="35450A4F"/>
    <w:rsid w:val="354632DC"/>
    <w:rsid w:val="35472BB0"/>
    <w:rsid w:val="35527ED3"/>
    <w:rsid w:val="355A1B9B"/>
    <w:rsid w:val="35601AEC"/>
    <w:rsid w:val="35685891"/>
    <w:rsid w:val="356F4547"/>
    <w:rsid w:val="3578720D"/>
    <w:rsid w:val="357A2C5E"/>
    <w:rsid w:val="357E2A76"/>
    <w:rsid w:val="357F67EE"/>
    <w:rsid w:val="35867B7C"/>
    <w:rsid w:val="35B2271F"/>
    <w:rsid w:val="35C23A10"/>
    <w:rsid w:val="35C250E6"/>
    <w:rsid w:val="35C77F9D"/>
    <w:rsid w:val="35D72186"/>
    <w:rsid w:val="35E126FD"/>
    <w:rsid w:val="35E51C22"/>
    <w:rsid w:val="35E623C9"/>
    <w:rsid w:val="35F86DCB"/>
    <w:rsid w:val="35FD43AC"/>
    <w:rsid w:val="35FE3BB6"/>
    <w:rsid w:val="360016DD"/>
    <w:rsid w:val="3600792F"/>
    <w:rsid w:val="36034B1A"/>
    <w:rsid w:val="360A1AA8"/>
    <w:rsid w:val="360E0429"/>
    <w:rsid w:val="362A49AB"/>
    <w:rsid w:val="362E557A"/>
    <w:rsid w:val="36352005"/>
    <w:rsid w:val="36383696"/>
    <w:rsid w:val="3642278C"/>
    <w:rsid w:val="365C268B"/>
    <w:rsid w:val="366003CD"/>
    <w:rsid w:val="36624145"/>
    <w:rsid w:val="36631C6B"/>
    <w:rsid w:val="36663854"/>
    <w:rsid w:val="3667350A"/>
    <w:rsid w:val="36730100"/>
    <w:rsid w:val="367C4ADB"/>
    <w:rsid w:val="367CA831"/>
    <w:rsid w:val="367E0853"/>
    <w:rsid w:val="368F480F"/>
    <w:rsid w:val="369167D9"/>
    <w:rsid w:val="36985DB9"/>
    <w:rsid w:val="369D517D"/>
    <w:rsid w:val="369F0490"/>
    <w:rsid w:val="36A4650C"/>
    <w:rsid w:val="36A52284"/>
    <w:rsid w:val="36A54032"/>
    <w:rsid w:val="36A75FFC"/>
    <w:rsid w:val="36A858D0"/>
    <w:rsid w:val="36AA33F6"/>
    <w:rsid w:val="36B81FB7"/>
    <w:rsid w:val="36B83D65"/>
    <w:rsid w:val="36B93025"/>
    <w:rsid w:val="36BA6CA8"/>
    <w:rsid w:val="36BB3856"/>
    <w:rsid w:val="36C344B8"/>
    <w:rsid w:val="36C4095C"/>
    <w:rsid w:val="36D023C0"/>
    <w:rsid w:val="36D30B9F"/>
    <w:rsid w:val="36D466C5"/>
    <w:rsid w:val="36D93CDC"/>
    <w:rsid w:val="36DA0180"/>
    <w:rsid w:val="36DD5106"/>
    <w:rsid w:val="36E0150E"/>
    <w:rsid w:val="36E20DE2"/>
    <w:rsid w:val="36E90C7A"/>
    <w:rsid w:val="36F32FEF"/>
    <w:rsid w:val="36FB00F6"/>
    <w:rsid w:val="371511B8"/>
    <w:rsid w:val="37152F66"/>
    <w:rsid w:val="37180CA8"/>
    <w:rsid w:val="371D1E1A"/>
    <w:rsid w:val="37225683"/>
    <w:rsid w:val="372E2279"/>
    <w:rsid w:val="37343B7A"/>
    <w:rsid w:val="37377380"/>
    <w:rsid w:val="373D24BC"/>
    <w:rsid w:val="3747231F"/>
    <w:rsid w:val="376B0DD8"/>
    <w:rsid w:val="37732540"/>
    <w:rsid w:val="3778417F"/>
    <w:rsid w:val="37821696"/>
    <w:rsid w:val="37922808"/>
    <w:rsid w:val="379320DC"/>
    <w:rsid w:val="37985945"/>
    <w:rsid w:val="379A790F"/>
    <w:rsid w:val="379B60E1"/>
    <w:rsid w:val="379C71E3"/>
    <w:rsid w:val="379E6806"/>
    <w:rsid w:val="379F4F25"/>
    <w:rsid w:val="37A4253C"/>
    <w:rsid w:val="37A6397C"/>
    <w:rsid w:val="37B564F7"/>
    <w:rsid w:val="37BA3B0D"/>
    <w:rsid w:val="37D22C05"/>
    <w:rsid w:val="37D83F93"/>
    <w:rsid w:val="37D95FAB"/>
    <w:rsid w:val="37EB016A"/>
    <w:rsid w:val="37EB1F18"/>
    <w:rsid w:val="37EF796A"/>
    <w:rsid w:val="37F05781"/>
    <w:rsid w:val="37F54B45"/>
    <w:rsid w:val="37F76B0F"/>
    <w:rsid w:val="37FD7DBA"/>
    <w:rsid w:val="37FD9BB7"/>
    <w:rsid w:val="380F5C07"/>
    <w:rsid w:val="38174ABC"/>
    <w:rsid w:val="381C6576"/>
    <w:rsid w:val="382471D8"/>
    <w:rsid w:val="3825542A"/>
    <w:rsid w:val="38323C8A"/>
    <w:rsid w:val="38341A0A"/>
    <w:rsid w:val="383E473E"/>
    <w:rsid w:val="38404012"/>
    <w:rsid w:val="38417D8A"/>
    <w:rsid w:val="38431D54"/>
    <w:rsid w:val="384653A1"/>
    <w:rsid w:val="38507FCD"/>
    <w:rsid w:val="38543F62"/>
    <w:rsid w:val="385B45E8"/>
    <w:rsid w:val="38675A43"/>
    <w:rsid w:val="386F48F8"/>
    <w:rsid w:val="387E4B3B"/>
    <w:rsid w:val="3885236D"/>
    <w:rsid w:val="38877E93"/>
    <w:rsid w:val="388C54AA"/>
    <w:rsid w:val="389E210A"/>
    <w:rsid w:val="38AC78FA"/>
    <w:rsid w:val="38C2712E"/>
    <w:rsid w:val="38C764E2"/>
    <w:rsid w:val="38CA7D80"/>
    <w:rsid w:val="38CD7870"/>
    <w:rsid w:val="38D17360"/>
    <w:rsid w:val="38DD7AB3"/>
    <w:rsid w:val="38E2156D"/>
    <w:rsid w:val="38E2331B"/>
    <w:rsid w:val="38F117B0"/>
    <w:rsid w:val="38F13A35"/>
    <w:rsid w:val="390E4110"/>
    <w:rsid w:val="391159AF"/>
    <w:rsid w:val="391A0D07"/>
    <w:rsid w:val="39253208"/>
    <w:rsid w:val="393234F6"/>
    <w:rsid w:val="3934019B"/>
    <w:rsid w:val="39537D75"/>
    <w:rsid w:val="395932DF"/>
    <w:rsid w:val="395D0BF4"/>
    <w:rsid w:val="395D29A2"/>
    <w:rsid w:val="396106E4"/>
    <w:rsid w:val="396226AE"/>
    <w:rsid w:val="396C07BE"/>
    <w:rsid w:val="39785A2E"/>
    <w:rsid w:val="3982065B"/>
    <w:rsid w:val="39875C71"/>
    <w:rsid w:val="398C3287"/>
    <w:rsid w:val="39930ABA"/>
    <w:rsid w:val="39981C2C"/>
    <w:rsid w:val="399B34CA"/>
    <w:rsid w:val="399D05F8"/>
    <w:rsid w:val="399F2FBB"/>
    <w:rsid w:val="39A405D1"/>
    <w:rsid w:val="39A44A75"/>
    <w:rsid w:val="39A86313"/>
    <w:rsid w:val="39A9208B"/>
    <w:rsid w:val="39AA4BF8"/>
    <w:rsid w:val="39B34CB8"/>
    <w:rsid w:val="39BD1693"/>
    <w:rsid w:val="39C3314D"/>
    <w:rsid w:val="39C62C3D"/>
    <w:rsid w:val="39C650B3"/>
    <w:rsid w:val="39C80763"/>
    <w:rsid w:val="39C944DB"/>
    <w:rsid w:val="39CB3DB0"/>
    <w:rsid w:val="39CD5D7A"/>
    <w:rsid w:val="39D114EA"/>
    <w:rsid w:val="39D26228"/>
    <w:rsid w:val="39D30EB6"/>
    <w:rsid w:val="39D36374"/>
    <w:rsid w:val="39E353D5"/>
    <w:rsid w:val="39E9692C"/>
    <w:rsid w:val="39EE5CF0"/>
    <w:rsid w:val="39FA28E7"/>
    <w:rsid w:val="3A0B0650"/>
    <w:rsid w:val="3A0F7B88"/>
    <w:rsid w:val="3A15327D"/>
    <w:rsid w:val="3A306308"/>
    <w:rsid w:val="3A332488"/>
    <w:rsid w:val="3A377697"/>
    <w:rsid w:val="3A483652"/>
    <w:rsid w:val="3A5C0EAC"/>
    <w:rsid w:val="3A6E3D80"/>
    <w:rsid w:val="3A6F6E31"/>
    <w:rsid w:val="3A8723CC"/>
    <w:rsid w:val="3A8750C1"/>
    <w:rsid w:val="3A976388"/>
    <w:rsid w:val="3A9C74FA"/>
    <w:rsid w:val="3AAF1923"/>
    <w:rsid w:val="3AB74334"/>
    <w:rsid w:val="3ACC7DDF"/>
    <w:rsid w:val="3AD60C5E"/>
    <w:rsid w:val="3AD66EB0"/>
    <w:rsid w:val="3ADD7E34"/>
    <w:rsid w:val="3AE570F3"/>
    <w:rsid w:val="3AE66A84"/>
    <w:rsid w:val="3AFB2473"/>
    <w:rsid w:val="3AFC056A"/>
    <w:rsid w:val="3B143534"/>
    <w:rsid w:val="3B1B48C3"/>
    <w:rsid w:val="3B1D4ADF"/>
    <w:rsid w:val="3B1D688D"/>
    <w:rsid w:val="3B286FE0"/>
    <w:rsid w:val="3B2C2F74"/>
    <w:rsid w:val="3B304812"/>
    <w:rsid w:val="3B334302"/>
    <w:rsid w:val="3B3942B5"/>
    <w:rsid w:val="3B3A0C4C"/>
    <w:rsid w:val="3B4E2EEA"/>
    <w:rsid w:val="3B561D9F"/>
    <w:rsid w:val="3B563B4D"/>
    <w:rsid w:val="3B607A22"/>
    <w:rsid w:val="3B64626A"/>
    <w:rsid w:val="3B6A7B5C"/>
    <w:rsid w:val="3B712735"/>
    <w:rsid w:val="3B7364AD"/>
    <w:rsid w:val="3B7442DC"/>
    <w:rsid w:val="3B7A783B"/>
    <w:rsid w:val="3B833FB4"/>
    <w:rsid w:val="3B854432"/>
    <w:rsid w:val="3B893F22"/>
    <w:rsid w:val="3B8E1539"/>
    <w:rsid w:val="3BA252F5"/>
    <w:rsid w:val="3BA448B8"/>
    <w:rsid w:val="3BA945C4"/>
    <w:rsid w:val="3BB70A8F"/>
    <w:rsid w:val="3BBBA2C1"/>
    <w:rsid w:val="3BBC60A6"/>
    <w:rsid w:val="3BC60CD2"/>
    <w:rsid w:val="3BD3519D"/>
    <w:rsid w:val="3BD827B4"/>
    <w:rsid w:val="3BD97F8A"/>
    <w:rsid w:val="3BEB698B"/>
    <w:rsid w:val="3BF35840"/>
    <w:rsid w:val="3BF5780A"/>
    <w:rsid w:val="3C0255B0"/>
    <w:rsid w:val="3C047A4D"/>
    <w:rsid w:val="3C055B17"/>
    <w:rsid w:val="3C066FA7"/>
    <w:rsid w:val="3C0E61D6"/>
    <w:rsid w:val="3C141EA5"/>
    <w:rsid w:val="3C1C6E6E"/>
    <w:rsid w:val="3C1E0B0E"/>
    <w:rsid w:val="3C1F03E3"/>
    <w:rsid w:val="3C1F128F"/>
    <w:rsid w:val="3C395948"/>
    <w:rsid w:val="3C447E49"/>
    <w:rsid w:val="3C487939"/>
    <w:rsid w:val="3C4B11D8"/>
    <w:rsid w:val="3C4E2A76"/>
    <w:rsid w:val="3C681D8A"/>
    <w:rsid w:val="3C834E15"/>
    <w:rsid w:val="3C8441EA"/>
    <w:rsid w:val="3C9169E0"/>
    <w:rsid w:val="3C925059"/>
    <w:rsid w:val="3C94492D"/>
    <w:rsid w:val="3C97441D"/>
    <w:rsid w:val="3C9A4C33"/>
    <w:rsid w:val="3C9B3F0D"/>
    <w:rsid w:val="3CAD3C40"/>
    <w:rsid w:val="3CB11983"/>
    <w:rsid w:val="3CB5751C"/>
    <w:rsid w:val="3CBB2C8E"/>
    <w:rsid w:val="3CC571DC"/>
    <w:rsid w:val="3CCD0D28"/>
    <w:rsid w:val="3CDC26CA"/>
    <w:rsid w:val="3CE05DC4"/>
    <w:rsid w:val="3CF950D8"/>
    <w:rsid w:val="3D023F8C"/>
    <w:rsid w:val="3D0575D8"/>
    <w:rsid w:val="3D0E0B83"/>
    <w:rsid w:val="3D1A3101"/>
    <w:rsid w:val="3D2832C7"/>
    <w:rsid w:val="3D2A703F"/>
    <w:rsid w:val="3D3B124C"/>
    <w:rsid w:val="3D3D5A5B"/>
    <w:rsid w:val="3D3F6F8E"/>
    <w:rsid w:val="3D4445A5"/>
    <w:rsid w:val="3D453E79"/>
    <w:rsid w:val="3D475273"/>
    <w:rsid w:val="3D4756E6"/>
    <w:rsid w:val="3D477BF1"/>
    <w:rsid w:val="3D495FCD"/>
    <w:rsid w:val="3D532A3A"/>
    <w:rsid w:val="3D566086"/>
    <w:rsid w:val="3D5F318D"/>
    <w:rsid w:val="3D6407A3"/>
    <w:rsid w:val="3D673DEF"/>
    <w:rsid w:val="3D6A7D83"/>
    <w:rsid w:val="3D791D75"/>
    <w:rsid w:val="3D8175A7"/>
    <w:rsid w:val="3D8255C6"/>
    <w:rsid w:val="3D920F0C"/>
    <w:rsid w:val="3DA45043"/>
    <w:rsid w:val="3DAE7C70"/>
    <w:rsid w:val="3DB159B2"/>
    <w:rsid w:val="3DB34302"/>
    <w:rsid w:val="3DBB238D"/>
    <w:rsid w:val="3DBF1E7D"/>
    <w:rsid w:val="3DC01D09"/>
    <w:rsid w:val="3DC254CA"/>
    <w:rsid w:val="3DC41242"/>
    <w:rsid w:val="3DC7000C"/>
    <w:rsid w:val="3DCC459A"/>
    <w:rsid w:val="3DD0408A"/>
    <w:rsid w:val="3DEA3F0F"/>
    <w:rsid w:val="3DF31B27"/>
    <w:rsid w:val="3DF60F17"/>
    <w:rsid w:val="3DF8538F"/>
    <w:rsid w:val="3DFB03D8"/>
    <w:rsid w:val="3E03620E"/>
    <w:rsid w:val="3E1026D9"/>
    <w:rsid w:val="3E133F77"/>
    <w:rsid w:val="3E145164"/>
    <w:rsid w:val="3E157CEF"/>
    <w:rsid w:val="3E1A2D79"/>
    <w:rsid w:val="3E1A3557"/>
    <w:rsid w:val="3E2148E6"/>
    <w:rsid w:val="3E2947D8"/>
    <w:rsid w:val="3E3068D7"/>
    <w:rsid w:val="3E3F4D6C"/>
    <w:rsid w:val="3E3F6B1A"/>
    <w:rsid w:val="3E4405D4"/>
    <w:rsid w:val="3E4B3711"/>
    <w:rsid w:val="3E4D1237"/>
    <w:rsid w:val="3E546A69"/>
    <w:rsid w:val="3E587BDC"/>
    <w:rsid w:val="3E611186"/>
    <w:rsid w:val="3E636CAD"/>
    <w:rsid w:val="3E6D3687"/>
    <w:rsid w:val="3E7E7642"/>
    <w:rsid w:val="3E810EE1"/>
    <w:rsid w:val="3E895FE7"/>
    <w:rsid w:val="3E9E08AA"/>
    <w:rsid w:val="3EAF1EF2"/>
    <w:rsid w:val="3EBE2135"/>
    <w:rsid w:val="3ECA2888"/>
    <w:rsid w:val="3ED454B4"/>
    <w:rsid w:val="3ED6747E"/>
    <w:rsid w:val="3EDC080D"/>
    <w:rsid w:val="3EE5023D"/>
    <w:rsid w:val="3EE6168C"/>
    <w:rsid w:val="3EED6576"/>
    <w:rsid w:val="3EF74E00"/>
    <w:rsid w:val="3EFB6EE5"/>
    <w:rsid w:val="3F067638"/>
    <w:rsid w:val="3F0C0DBA"/>
    <w:rsid w:val="3F1B1335"/>
    <w:rsid w:val="3F1D32FF"/>
    <w:rsid w:val="3F1E2BD3"/>
    <w:rsid w:val="3F2006FA"/>
    <w:rsid w:val="3F253F62"/>
    <w:rsid w:val="3F271EE9"/>
    <w:rsid w:val="3F2B442A"/>
    <w:rsid w:val="3F2F3033"/>
    <w:rsid w:val="3F375A43"/>
    <w:rsid w:val="3F386BD5"/>
    <w:rsid w:val="3F444EEA"/>
    <w:rsid w:val="3F4A1C1A"/>
    <w:rsid w:val="3F4F3FBF"/>
    <w:rsid w:val="3F5A41B1"/>
    <w:rsid w:val="3F5E5B15"/>
    <w:rsid w:val="3F650802"/>
    <w:rsid w:val="3F666884"/>
    <w:rsid w:val="3F6C393F"/>
    <w:rsid w:val="3F732F1F"/>
    <w:rsid w:val="3F7B0026"/>
    <w:rsid w:val="3F8252B6"/>
    <w:rsid w:val="3F8C5D8F"/>
    <w:rsid w:val="3F8E3E52"/>
    <w:rsid w:val="3F8E5FAB"/>
    <w:rsid w:val="3F910996"/>
    <w:rsid w:val="3F95733A"/>
    <w:rsid w:val="3F961544"/>
    <w:rsid w:val="3FA07A8C"/>
    <w:rsid w:val="3FAE21A9"/>
    <w:rsid w:val="3FB157F6"/>
    <w:rsid w:val="3FBB23AB"/>
    <w:rsid w:val="3FBE7F13"/>
    <w:rsid w:val="3FC03D50"/>
    <w:rsid w:val="3FC4377B"/>
    <w:rsid w:val="3FC75019"/>
    <w:rsid w:val="3FC94182"/>
    <w:rsid w:val="3FD31C10"/>
    <w:rsid w:val="3FDA2F9E"/>
    <w:rsid w:val="3FDB6D16"/>
    <w:rsid w:val="3FDD0144"/>
    <w:rsid w:val="3FE47979"/>
    <w:rsid w:val="3FEB18D8"/>
    <w:rsid w:val="3FF1653A"/>
    <w:rsid w:val="3FF3420C"/>
    <w:rsid w:val="3FF878C8"/>
    <w:rsid w:val="3FFA0F4B"/>
    <w:rsid w:val="3FFD4EDF"/>
    <w:rsid w:val="3FFF0C57"/>
    <w:rsid w:val="400022D9"/>
    <w:rsid w:val="401144E6"/>
    <w:rsid w:val="401B3630"/>
    <w:rsid w:val="402266F3"/>
    <w:rsid w:val="40251D40"/>
    <w:rsid w:val="402E32EA"/>
    <w:rsid w:val="40302BBE"/>
    <w:rsid w:val="40330901"/>
    <w:rsid w:val="40371ECC"/>
    <w:rsid w:val="403C7F0E"/>
    <w:rsid w:val="40414F3F"/>
    <w:rsid w:val="4042698B"/>
    <w:rsid w:val="40434E94"/>
    <w:rsid w:val="40550877"/>
    <w:rsid w:val="40572841"/>
    <w:rsid w:val="40610FCA"/>
    <w:rsid w:val="40704172"/>
    <w:rsid w:val="407707ED"/>
    <w:rsid w:val="40776A3F"/>
    <w:rsid w:val="40795178"/>
    <w:rsid w:val="4081166C"/>
    <w:rsid w:val="408B146A"/>
    <w:rsid w:val="40925627"/>
    <w:rsid w:val="40A67324"/>
    <w:rsid w:val="40AB493B"/>
    <w:rsid w:val="40AD2461"/>
    <w:rsid w:val="40B51316"/>
    <w:rsid w:val="40C61775"/>
    <w:rsid w:val="40CE4185"/>
    <w:rsid w:val="40D53766"/>
    <w:rsid w:val="40DA369D"/>
    <w:rsid w:val="40E340D5"/>
    <w:rsid w:val="40EB08F8"/>
    <w:rsid w:val="40EE6793"/>
    <w:rsid w:val="40F736DC"/>
    <w:rsid w:val="40FB05AF"/>
    <w:rsid w:val="40FC5196"/>
    <w:rsid w:val="41126768"/>
    <w:rsid w:val="41175B2C"/>
    <w:rsid w:val="411E4559"/>
    <w:rsid w:val="411F6AF6"/>
    <w:rsid w:val="41270465"/>
    <w:rsid w:val="41272213"/>
    <w:rsid w:val="412C1F7C"/>
    <w:rsid w:val="412C5A7C"/>
    <w:rsid w:val="412D5350"/>
    <w:rsid w:val="41326E0A"/>
    <w:rsid w:val="41362456"/>
    <w:rsid w:val="413A36C5"/>
    <w:rsid w:val="413A4F8E"/>
    <w:rsid w:val="41434B73"/>
    <w:rsid w:val="41540B2E"/>
    <w:rsid w:val="416074D3"/>
    <w:rsid w:val="4162324B"/>
    <w:rsid w:val="4177481D"/>
    <w:rsid w:val="417E7959"/>
    <w:rsid w:val="419347C7"/>
    <w:rsid w:val="41986C6D"/>
    <w:rsid w:val="41A03D74"/>
    <w:rsid w:val="41AF2209"/>
    <w:rsid w:val="41B4781F"/>
    <w:rsid w:val="41C31810"/>
    <w:rsid w:val="41CA7043"/>
    <w:rsid w:val="41E2438C"/>
    <w:rsid w:val="41E33C60"/>
    <w:rsid w:val="41E74554"/>
    <w:rsid w:val="41EF7290"/>
    <w:rsid w:val="41F06784"/>
    <w:rsid w:val="41FF0A9A"/>
    <w:rsid w:val="42010CB6"/>
    <w:rsid w:val="4210118D"/>
    <w:rsid w:val="42186000"/>
    <w:rsid w:val="421A3B26"/>
    <w:rsid w:val="421F738E"/>
    <w:rsid w:val="423275E6"/>
    <w:rsid w:val="423821FE"/>
    <w:rsid w:val="423A5F76"/>
    <w:rsid w:val="423D15C3"/>
    <w:rsid w:val="42466EEC"/>
    <w:rsid w:val="424C7A58"/>
    <w:rsid w:val="424D3EFC"/>
    <w:rsid w:val="4255690C"/>
    <w:rsid w:val="425D7EB7"/>
    <w:rsid w:val="425F3C2F"/>
    <w:rsid w:val="42672AE3"/>
    <w:rsid w:val="42693067"/>
    <w:rsid w:val="4269685C"/>
    <w:rsid w:val="426A0364"/>
    <w:rsid w:val="42764C03"/>
    <w:rsid w:val="427A2817"/>
    <w:rsid w:val="428B451C"/>
    <w:rsid w:val="428E1E1E"/>
    <w:rsid w:val="4295770E"/>
    <w:rsid w:val="42A12E2B"/>
    <w:rsid w:val="42A258CA"/>
    <w:rsid w:val="42A81132"/>
    <w:rsid w:val="42A930FC"/>
    <w:rsid w:val="42AD499A"/>
    <w:rsid w:val="42B06238"/>
    <w:rsid w:val="42BC4BDD"/>
    <w:rsid w:val="42BE6BA7"/>
    <w:rsid w:val="42BF46CD"/>
    <w:rsid w:val="42C41CE4"/>
    <w:rsid w:val="42C65A5C"/>
    <w:rsid w:val="42C972FA"/>
    <w:rsid w:val="42CB4E20"/>
    <w:rsid w:val="42CE4911"/>
    <w:rsid w:val="42D37F00"/>
    <w:rsid w:val="42DA1507"/>
    <w:rsid w:val="42DB7C9C"/>
    <w:rsid w:val="42EF6D61"/>
    <w:rsid w:val="42F425C9"/>
    <w:rsid w:val="42F500EF"/>
    <w:rsid w:val="42F75C15"/>
    <w:rsid w:val="42FE318C"/>
    <w:rsid w:val="430815C5"/>
    <w:rsid w:val="43095949"/>
    <w:rsid w:val="430A1DED"/>
    <w:rsid w:val="430B16C1"/>
    <w:rsid w:val="43195B8C"/>
    <w:rsid w:val="43252782"/>
    <w:rsid w:val="43291B47"/>
    <w:rsid w:val="432C4D74"/>
    <w:rsid w:val="432D7889"/>
    <w:rsid w:val="433230F1"/>
    <w:rsid w:val="433B36DA"/>
    <w:rsid w:val="4343342F"/>
    <w:rsid w:val="434F77FF"/>
    <w:rsid w:val="43560B8E"/>
    <w:rsid w:val="435E7A42"/>
    <w:rsid w:val="436A69A1"/>
    <w:rsid w:val="436D5ED7"/>
    <w:rsid w:val="437159C8"/>
    <w:rsid w:val="43770B04"/>
    <w:rsid w:val="437B05F4"/>
    <w:rsid w:val="43827BD5"/>
    <w:rsid w:val="43853221"/>
    <w:rsid w:val="43884ABF"/>
    <w:rsid w:val="438C45B0"/>
    <w:rsid w:val="4392593E"/>
    <w:rsid w:val="43963680"/>
    <w:rsid w:val="439E2535"/>
    <w:rsid w:val="43A35D9D"/>
    <w:rsid w:val="43A538C3"/>
    <w:rsid w:val="43B21B3C"/>
    <w:rsid w:val="43B9736F"/>
    <w:rsid w:val="43BB30E7"/>
    <w:rsid w:val="43BD0C0D"/>
    <w:rsid w:val="43C077A8"/>
    <w:rsid w:val="43C3550B"/>
    <w:rsid w:val="43CF6B92"/>
    <w:rsid w:val="43D321DE"/>
    <w:rsid w:val="43D84B60"/>
    <w:rsid w:val="43D85A47"/>
    <w:rsid w:val="43E066A9"/>
    <w:rsid w:val="43EC504E"/>
    <w:rsid w:val="43F16B09"/>
    <w:rsid w:val="4404683C"/>
    <w:rsid w:val="440920A4"/>
    <w:rsid w:val="440C749E"/>
    <w:rsid w:val="44124799"/>
    <w:rsid w:val="441647C1"/>
    <w:rsid w:val="44185E43"/>
    <w:rsid w:val="441F3676"/>
    <w:rsid w:val="442A5BD9"/>
    <w:rsid w:val="442B201A"/>
    <w:rsid w:val="443359AC"/>
    <w:rsid w:val="44354C47"/>
    <w:rsid w:val="443647CD"/>
    <w:rsid w:val="443D3AFC"/>
    <w:rsid w:val="444430DC"/>
    <w:rsid w:val="444F5DA8"/>
    <w:rsid w:val="445157F9"/>
    <w:rsid w:val="445175A7"/>
    <w:rsid w:val="44613C8E"/>
    <w:rsid w:val="44615A3C"/>
    <w:rsid w:val="44682E47"/>
    <w:rsid w:val="4469669F"/>
    <w:rsid w:val="446D488E"/>
    <w:rsid w:val="4473408E"/>
    <w:rsid w:val="44782D86"/>
    <w:rsid w:val="447A08AC"/>
    <w:rsid w:val="447A4D50"/>
    <w:rsid w:val="448B4867"/>
    <w:rsid w:val="448C05DF"/>
    <w:rsid w:val="448C4EE6"/>
    <w:rsid w:val="448F63E5"/>
    <w:rsid w:val="449C4CC6"/>
    <w:rsid w:val="44A771C7"/>
    <w:rsid w:val="44AD6ED3"/>
    <w:rsid w:val="44B57B36"/>
    <w:rsid w:val="44C4575F"/>
    <w:rsid w:val="44C935E1"/>
    <w:rsid w:val="44CB1108"/>
    <w:rsid w:val="44D07B86"/>
    <w:rsid w:val="44D2693A"/>
    <w:rsid w:val="44D63A30"/>
    <w:rsid w:val="44E26451"/>
    <w:rsid w:val="44E328F5"/>
    <w:rsid w:val="44E64193"/>
    <w:rsid w:val="44E65F41"/>
    <w:rsid w:val="44EC561F"/>
    <w:rsid w:val="44EE129A"/>
    <w:rsid w:val="44EE3048"/>
    <w:rsid w:val="44F468B0"/>
    <w:rsid w:val="44F93EC7"/>
    <w:rsid w:val="45050ABD"/>
    <w:rsid w:val="45093C8E"/>
    <w:rsid w:val="451202A5"/>
    <w:rsid w:val="45120AE5"/>
    <w:rsid w:val="451505D5"/>
    <w:rsid w:val="452F5B3A"/>
    <w:rsid w:val="45303661"/>
    <w:rsid w:val="45322F35"/>
    <w:rsid w:val="453A003B"/>
    <w:rsid w:val="45457144"/>
    <w:rsid w:val="45486BFC"/>
    <w:rsid w:val="454A4722"/>
    <w:rsid w:val="45521829"/>
    <w:rsid w:val="455410FD"/>
    <w:rsid w:val="455455A1"/>
    <w:rsid w:val="455A06DD"/>
    <w:rsid w:val="4565330A"/>
    <w:rsid w:val="4568104C"/>
    <w:rsid w:val="456D0411"/>
    <w:rsid w:val="457C0654"/>
    <w:rsid w:val="45800144"/>
    <w:rsid w:val="45857508"/>
    <w:rsid w:val="45877724"/>
    <w:rsid w:val="4588524B"/>
    <w:rsid w:val="45997458"/>
    <w:rsid w:val="45AB2CE7"/>
    <w:rsid w:val="45B91667"/>
    <w:rsid w:val="45C06792"/>
    <w:rsid w:val="45C36283"/>
    <w:rsid w:val="45C85647"/>
    <w:rsid w:val="45D73ADC"/>
    <w:rsid w:val="45E32240"/>
    <w:rsid w:val="45E561F9"/>
    <w:rsid w:val="45F17376"/>
    <w:rsid w:val="45FE72BB"/>
    <w:rsid w:val="46020B59"/>
    <w:rsid w:val="46026DAB"/>
    <w:rsid w:val="46027DC6"/>
    <w:rsid w:val="46040D75"/>
    <w:rsid w:val="4609638B"/>
    <w:rsid w:val="460D0F18"/>
    <w:rsid w:val="461E795D"/>
    <w:rsid w:val="46236D21"/>
    <w:rsid w:val="4629258A"/>
    <w:rsid w:val="462E5DF2"/>
    <w:rsid w:val="462E6545"/>
    <w:rsid w:val="46331E4E"/>
    <w:rsid w:val="46396545"/>
    <w:rsid w:val="463B050F"/>
    <w:rsid w:val="463F1DAD"/>
    <w:rsid w:val="464078D3"/>
    <w:rsid w:val="46445615"/>
    <w:rsid w:val="46447445"/>
    <w:rsid w:val="46492C2C"/>
    <w:rsid w:val="464B69A4"/>
    <w:rsid w:val="46560EA5"/>
    <w:rsid w:val="46592743"/>
    <w:rsid w:val="465A6BE7"/>
    <w:rsid w:val="46737CA9"/>
    <w:rsid w:val="467A1461"/>
    <w:rsid w:val="467B6B5D"/>
    <w:rsid w:val="467D0B27"/>
    <w:rsid w:val="468E063F"/>
    <w:rsid w:val="46A95479"/>
    <w:rsid w:val="46B72338"/>
    <w:rsid w:val="46B75DE7"/>
    <w:rsid w:val="46B851CA"/>
    <w:rsid w:val="46B856BC"/>
    <w:rsid w:val="46BC33FE"/>
    <w:rsid w:val="46C027C2"/>
    <w:rsid w:val="46D36999"/>
    <w:rsid w:val="46E26BDC"/>
    <w:rsid w:val="46E62229"/>
    <w:rsid w:val="46F30DEA"/>
    <w:rsid w:val="46F336A8"/>
    <w:rsid w:val="46F661E4"/>
    <w:rsid w:val="46F74BFA"/>
    <w:rsid w:val="46F801AE"/>
    <w:rsid w:val="47014B93"/>
    <w:rsid w:val="470923BB"/>
    <w:rsid w:val="470E79D1"/>
    <w:rsid w:val="471054F8"/>
    <w:rsid w:val="4712301E"/>
    <w:rsid w:val="47131BFB"/>
    <w:rsid w:val="471746ED"/>
    <w:rsid w:val="471D19C3"/>
    <w:rsid w:val="471E5E67"/>
    <w:rsid w:val="472965B9"/>
    <w:rsid w:val="472D42FC"/>
    <w:rsid w:val="473311E6"/>
    <w:rsid w:val="47347026"/>
    <w:rsid w:val="47347438"/>
    <w:rsid w:val="47370CD6"/>
    <w:rsid w:val="47392CA0"/>
    <w:rsid w:val="473A4323"/>
    <w:rsid w:val="4750669E"/>
    <w:rsid w:val="475937EF"/>
    <w:rsid w:val="475F022D"/>
    <w:rsid w:val="476475F1"/>
    <w:rsid w:val="47705F96"/>
    <w:rsid w:val="47710A73"/>
    <w:rsid w:val="4774202F"/>
    <w:rsid w:val="47783642"/>
    <w:rsid w:val="47857C94"/>
    <w:rsid w:val="478E1EFA"/>
    <w:rsid w:val="47961EA1"/>
    <w:rsid w:val="47985593"/>
    <w:rsid w:val="479954ED"/>
    <w:rsid w:val="479B1265"/>
    <w:rsid w:val="479C322F"/>
    <w:rsid w:val="479C3AEC"/>
    <w:rsid w:val="47A22CDF"/>
    <w:rsid w:val="47A520E4"/>
    <w:rsid w:val="47A65E5C"/>
    <w:rsid w:val="47AE0CB5"/>
    <w:rsid w:val="47B2035D"/>
    <w:rsid w:val="47B95B8F"/>
    <w:rsid w:val="47C06F1E"/>
    <w:rsid w:val="47C3064B"/>
    <w:rsid w:val="47C702AC"/>
    <w:rsid w:val="47D76015"/>
    <w:rsid w:val="47D77DC3"/>
    <w:rsid w:val="47D93B3C"/>
    <w:rsid w:val="47DB5B06"/>
    <w:rsid w:val="47DB78B4"/>
    <w:rsid w:val="47E0136E"/>
    <w:rsid w:val="47E250E6"/>
    <w:rsid w:val="47EA5D49"/>
    <w:rsid w:val="47EF7803"/>
    <w:rsid w:val="47F170D7"/>
    <w:rsid w:val="47FC658A"/>
    <w:rsid w:val="47FE35A2"/>
    <w:rsid w:val="48054931"/>
    <w:rsid w:val="480610BD"/>
    <w:rsid w:val="481132D5"/>
    <w:rsid w:val="4812704D"/>
    <w:rsid w:val="481728B6"/>
    <w:rsid w:val="48223734"/>
    <w:rsid w:val="48297404"/>
    <w:rsid w:val="482F19AD"/>
    <w:rsid w:val="48313978"/>
    <w:rsid w:val="48330957"/>
    <w:rsid w:val="48384D06"/>
    <w:rsid w:val="4847319B"/>
    <w:rsid w:val="48480CC1"/>
    <w:rsid w:val="484A67E7"/>
    <w:rsid w:val="4851401A"/>
    <w:rsid w:val="48515DC8"/>
    <w:rsid w:val="48545C43"/>
    <w:rsid w:val="485853A8"/>
    <w:rsid w:val="4860600B"/>
    <w:rsid w:val="48623B31"/>
    <w:rsid w:val="48671147"/>
    <w:rsid w:val="4867383D"/>
    <w:rsid w:val="486A6E89"/>
    <w:rsid w:val="48783354"/>
    <w:rsid w:val="487C41DD"/>
    <w:rsid w:val="487D3F41"/>
    <w:rsid w:val="488066AD"/>
    <w:rsid w:val="48867F4E"/>
    <w:rsid w:val="488A3088"/>
    <w:rsid w:val="489F2FD7"/>
    <w:rsid w:val="48AA7524"/>
    <w:rsid w:val="48AC1250"/>
    <w:rsid w:val="48B06F92"/>
    <w:rsid w:val="48C20A74"/>
    <w:rsid w:val="48C540C0"/>
    <w:rsid w:val="48C90054"/>
    <w:rsid w:val="48DF5182"/>
    <w:rsid w:val="48E56510"/>
    <w:rsid w:val="48E766F3"/>
    <w:rsid w:val="48EC5AF0"/>
    <w:rsid w:val="48FC21D7"/>
    <w:rsid w:val="490E3CB9"/>
    <w:rsid w:val="49105C83"/>
    <w:rsid w:val="491312CF"/>
    <w:rsid w:val="49156DF5"/>
    <w:rsid w:val="491C7983"/>
    <w:rsid w:val="49284D7B"/>
    <w:rsid w:val="492B03C7"/>
    <w:rsid w:val="49351245"/>
    <w:rsid w:val="49374FBE"/>
    <w:rsid w:val="49437E06"/>
    <w:rsid w:val="49492F43"/>
    <w:rsid w:val="494D47E1"/>
    <w:rsid w:val="494F67AB"/>
    <w:rsid w:val="4954230A"/>
    <w:rsid w:val="49575660"/>
    <w:rsid w:val="495A4553"/>
    <w:rsid w:val="496C5F53"/>
    <w:rsid w:val="49747FC0"/>
    <w:rsid w:val="49755AE6"/>
    <w:rsid w:val="497A30FC"/>
    <w:rsid w:val="497C0086"/>
    <w:rsid w:val="49821A68"/>
    <w:rsid w:val="49903BA9"/>
    <w:rsid w:val="4991220D"/>
    <w:rsid w:val="49973CAE"/>
    <w:rsid w:val="49997A26"/>
    <w:rsid w:val="499B7670"/>
    <w:rsid w:val="49A95790"/>
    <w:rsid w:val="49B04D70"/>
    <w:rsid w:val="49B763AB"/>
    <w:rsid w:val="49BC54C3"/>
    <w:rsid w:val="49BE123B"/>
    <w:rsid w:val="49BF235E"/>
    <w:rsid w:val="49C66341"/>
    <w:rsid w:val="49DA3B9B"/>
    <w:rsid w:val="49E03C7A"/>
    <w:rsid w:val="49E50EBD"/>
    <w:rsid w:val="49E54A1A"/>
    <w:rsid w:val="49E669E4"/>
    <w:rsid w:val="49EF3AEA"/>
    <w:rsid w:val="49F20EE5"/>
    <w:rsid w:val="49F904C5"/>
    <w:rsid w:val="4A034DBE"/>
    <w:rsid w:val="4A0D21C2"/>
    <w:rsid w:val="4A121587"/>
    <w:rsid w:val="4A315EB1"/>
    <w:rsid w:val="4A36540F"/>
    <w:rsid w:val="4A3858F5"/>
    <w:rsid w:val="4A435BE4"/>
    <w:rsid w:val="4A443E36"/>
    <w:rsid w:val="4A45370A"/>
    <w:rsid w:val="4A477482"/>
    <w:rsid w:val="4A4C4A99"/>
    <w:rsid w:val="4A4F56B2"/>
    <w:rsid w:val="4A565917"/>
    <w:rsid w:val="4A5B1180"/>
    <w:rsid w:val="4A69389D"/>
    <w:rsid w:val="4A6A05DC"/>
    <w:rsid w:val="4A6F0787"/>
    <w:rsid w:val="4A7A7858"/>
    <w:rsid w:val="4A7E09CA"/>
    <w:rsid w:val="4A7F4E6E"/>
    <w:rsid w:val="4A817F9B"/>
    <w:rsid w:val="4A871F75"/>
    <w:rsid w:val="4A8F4985"/>
    <w:rsid w:val="4A995804"/>
    <w:rsid w:val="4AA246B9"/>
    <w:rsid w:val="4AA258AB"/>
    <w:rsid w:val="4AA710BF"/>
    <w:rsid w:val="4AAC5537"/>
    <w:rsid w:val="4AB02304"/>
    <w:rsid w:val="4AB03106"/>
    <w:rsid w:val="4AB83EDC"/>
    <w:rsid w:val="4ABB577A"/>
    <w:rsid w:val="4ABD14F2"/>
    <w:rsid w:val="4AC663E7"/>
    <w:rsid w:val="4AC97AB3"/>
    <w:rsid w:val="4ACC3E2B"/>
    <w:rsid w:val="4AF173EE"/>
    <w:rsid w:val="4AF40C8C"/>
    <w:rsid w:val="4AFD79E1"/>
    <w:rsid w:val="4AFE3E0E"/>
    <w:rsid w:val="4B013AD5"/>
    <w:rsid w:val="4B0E61F2"/>
    <w:rsid w:val="4B1712B4"/>
    <w:rsid w:val="4B1F3F5B"/>
    <w:rsid w:val="4B307F16"/>
    <w:rsid w:val="4B320132"/>
    <w:rsid w:val="4B321EE0"/>
    <w:rsid w:val="4B375749"/>
    <w:rsid w:val="4B6127C6"/>
    <w:rsid w:val="4B663938"/>
    <w:rsid w:val="4B75001F"/>
    <w:rsid w:val="4B7731CC"/>
    <w:rsid w:val="4B814C16"/>
    <w:rsid w:val="4B8169C4"/>
    <w:rsid w:val="4B8244EA"/>
    <w:rsid w:val="4B86222C"/>
    <w:rsid w:val="4B865D88"/>
    <w:rsid w:val="4B893ACB"/>
    <w:rsid w:val="4B8E2E8F"/>
    <w:rsid w:val="4B8E7E2F"/>
    <w:rsid w:val="4B92297F"/>
    <w:rsid w:val="4B9366F7"/>
    <w:rsid w:val="4B9765FB"/>
    <w:rsid w:val="4B9C55AC"/>
    <w:rsid w:val="4B9F32EE"/>
    <w:rsid w:val="4BA24842"/>
    <w:rsid w:val="4BA6642B"/>
    <w:rsid w:val="4BAC68CC"/>
    <w:rsid w:val="4BB02E05"/>
    <w:rsid w:val="4BB548C0"/>
    <w:rsid w:val="4BB70DD3"/>
    <w:rsid w:val="4BBA2153"/>
    <w:rsid w:val="4BBF33C2"/>
    <w:rsid w:val="4BCB40E3"/>
    <w:rsid w:val="4BE62CCB"/>
    <w:rsid w:val="4BEB208F"/>
    <w:rsid w:val="4BED22AB"/>
    <w:rsid w:val="4BFA0524"/>
    <w:rsid w:val="4C00087D"/>
    <w:rsid w:val="4C0B2731"/>
    <w:rsid w:val="4C194E4E"/>
    <w:rsid w:val="4C2630C7"/>
    <w:rsid w:val="4C2757BD"/>
    <w:rsid w:val="4C285091"/>
    <w:rsid w:val="4C3C28EB"/>
    <w:rsid w:val="4C416153"/>
    <w:rsid w:val="4C453E95"/>
    <w:rsid w:val="4C4C6FD2"/>
    <w:rsid w:val="4C547C35"/>
    <w:rsid w:val="4C612351"/>
    <w:rsid w:val="4C650094"/>
    <w:rsid w:val="4C6A56AA"/>
    <w:rsid w:val="4C6A7458"/>
    <w:rsid w:val="4C6E5600"/>
    <w:rsid w:val="4C714C8A"/>
    <w:rsid w:val="4C7327B1"/>
    <w:rsid w:val="4C787DC7"/>
    <w:rsid w:val="4C793B3F"/>
    <w:rsid w:val="4C7D53DD"/>
    <w:rsid w:val="4C8A5D4C"/>
    <w:rsid w:val="4C8B4D74"/>
    <w:rsid w:val="4C942727"/>
    <w:rsid w:val="4C991AEB"/>
    <w:rsid w:val="4CAC181F"/>
    <w:rsid w:val="4CB46925"/>
    <w:rsid w:val="4CB9218D"/>
    <w:rsid w:val="4CC4452E"/>
    <w:rsid w:val="4CC56D84"/>
    <w:rsid w:val="4CC96874"/>
    <w:rsid w:val="4CD6689C"/>
    <w:rsid w:val="4CDB65A8"/>
    <w:rsid w:val="4CE0596C"/>
    <w:rsid w:val="4CE47AF5"/>
    <w:rsid w:val="4CE76CFB"/>
    <w:rsid w:val="4CEE0089"/>
    <w:rsid w:val="4CF51418"/>
    <w:rsid w:val="4CFD207A"/>
    <w:rsid w:val="4CFF2296"/>
    <w:rsid w:val="4CFF51B1"/>
    <w:rsid w:val="4D07114B"/>
    <w:rsid w:val="4D07739D"/>
    <w:rsid w:val="4D0F7FFF"/>
    <w:rsid w:val="4D1161AC"/>
    <w:rsid w:val="4D1675E0"/>
    <w:rsid w:val="4D19729C"/>
    <w:rsid w:val="4D2910C1"/>
    <w:rsid w:val="4D2E66D8"/>
    <w:rsid w:val="4D357A66"/>
    <w:rsid w:val="4D384A86"/>
    <w:rsid w:val="4D3857A8"/>
    <w:rsid w:val="4D3B0DF4"/>
    <w:rsid w:val="4D3C7046"/>
    <w:rsid w:val="4D3F0047"/>
    <w:rsid w:val="4D3F6B37"/>
    <w:rsid w:val="4D447CA9"/>
    <w:rsid w:val="4D465454"/>
    <w:rsid w:val="4D4B7289"/>
    <w:rsid w:val="4D5F0F87"/>
    <w:rsid w:val="4D6420F9"/>
    <w:rsid w:val="4D64659D"/>
    <w:rsid w:val="4D6640C3"/>
    <w:rsid w:val="4D6719F6"/>
    <w:rsid w:val="4D6B16DA"/>
    <w:rsid w:val="4D6B792C"/>
    <w:rsid w:val="4D6C0FAE"/>
    <w:rsid w:val="4D6D5452"/>
    <w:rsid w:val="4D7EAD7D"/>
    <w:rsid w:val="4D8B3B2A"/>
    <w:rsid w:val="4D8C494F"/>
    <w:rsid w:val="4DAF6133"/>
    <w:rsid w:val="4DB03590"/>
    <w:rsid w:val="4DBE3EFF"/>
    <w:rsid w:val="4DC86B2C"/>
    <w:rsid w:val="4DCD4142"/>
    <w:rsid w:val="4DCD7C9F"/>
    <w:rsid w:val="4DD0778F"/>
    <w:rsid w:val="4DD252B5"/>
    <w:rsid w:val="4DD454D1"/>
    <w:rsid w:val="4DD76D6F"/>
    <w:rsid w:val="4DD86643"/>
    <w:rsid w:val="4DF06083"/>
    <w:rsid w:val="4DF55447"/>
    <w:rsid w:val="4DFC0584"/>
    <w:rsid w:val="4E013DEC"/>
    <w:rsid w:val="4E0D453F"/>
    <w:rsid w:val="4E0F475B"/>
    <w:rsid w:val="4E121B55"/>
    <w:rsid w:val="4E130248"/>
    <w:rsid w:val="4E173610"/>
    <w:rsid w:val="4E1D504D"/>
    <w:rsid w:val="4E1E04FA"/>
    <w:rsid w:val="4E204308"/>
    <w:rsid w:val="4E233D62"/>
    <w:rsid w:val="4E2F2540"/>
    <w:rsid w:val="4E3E1298"/>
    <w:rsid w:val="4E4202B6"/>
    <w:rsid w:val="4E4F2DA9"/>
    <w:rsid w:val="4E516B22"/>
    <w:rsid w:val="4E685C19"/>
    <w:rsid w:val="4E6A7CA6"/>
    <w:rsid w:val="4E811C22"/>
    <w:rsid w:val="4E8B1908"/>
    <w:rsid w:val="4E93685A"/>
    <w:rsid w:val="4E9407BC"/>
    <w:rsid w:val="4EA34EA3"/>
    <w:rsid w:val="4EB1136E"/>
    <w:rsid w:val="4EB57700"/>
    <w:rsid w:val="4EC05A55"/>
    <w:rsid w:val="4ED07B3E"/>
    <w:rsid w:val="4ED92673"/>
    <w:rsid w:val="4EDE7C89"/>
    <w:rsid w:val="4EEA2AD2"/>
    <w:rsid w:val="4EF456FF"/>
    <w:rsid w:val="4EF56C0A"/>
    <w:rsid w:val="4EF847F7"/>
    <w:rsid w:val="4EFA0F67"/>
    <w:rsid w:val="4F0911AA"/>
    <w:rsid w:val="4F161B19"/>
    <w:rsid w:val="4F196F13"/>
    <w:rsid w:val="4F253B0A"/>
    <w:rsid w:val="4F29184C"/>
    <w:rsid w:val="4F334479"/>
    <w:rsid w:val="4F350835"/>
    <w:rsid w:val="4F3B1580"/>
    <w:rsid w:val="4F493C9D"/>
    <w:rsid w:val="4F512177"/>
    <w:rsid w:val="4F5543EF"/>
    <w:rsid w:val="4F626108"/>
    <w:rsid w:val="4F626B0C"/>
    <w:rsid w:val="4F6609BF"/>
    <w:rsid w:val="4F6665FD"/>
    <w:rsid w:val="4F6A776F"/>
    <w:rsid w:val="4F6C798B"/>
    <w:rsid w:val="4F701229"/>
    <w:rsid w:val="4F7A3E56"/>
    <w:rsid w:val="4F7A5C04"/>
    <w:rsid w:val="4F7B372A"/>
    <w:rsid w:val="4F7F117D"/>
    <w:rsid w:val="4F820602"/>
    <w:rsid w:val="4F8D6F17"/>
    <w:rsid w:val="4F8F63DD"/>
    <w:rsid w:val="4F980780"/>
    <w:rsid w:val="4F9C201E"/>
    <w:rsid w:val="4F9D5D96"/>
    <w:rsid w:val="4F9F6DB8"/>
    <w:rsid w:val="4FA17635"/>
    <w:rsid w:val="4FAC7D88"/>
    <w:rsid w:val="4FAD15FD"/>
    <w:rsid w:val="4FB32C07"/>
    <w:rsid w:val="4FB530E0"/>
    <w:rsid w:val="4FC44560"/>
    <w:rsid w:val="4FC9093A"/>
    <w:rsid w:val="4FCB6460"/>
    <w:rsid w:val="4FD317B8"/>
    <w:rsid w:val="4FD5108C"/>
    <w:rsid w:val="4FDC241B"/>
    <w:rsid w:val="4FF05EC6"/>
    <w:rsid w:val="4FFA0AF3"/>
    <w:rsid w:val="4FFE37AB"/>
    <w:rsid w:val="4FFF25C4"/>
    <w:rsid w:val="50011E81"/>
    <w:rsid w:val="500656EA"/>
    <w:rsid w:val="500951DA"/>
    <w:rsid w:val="500D0826"/>
    <w:rsid w:val="501047BA"/>
    <w:rsid w:val="501744FD"/>
    <w:rsid w:val="50175B49"/>
    <w:rsid w:val="5019541D"/>
    <w:rsid w:val="501D7A5F"/>
    <w:rsid w:val="502A762A"/>
    <w:rsid w:val="50301B8A"/>
    <w:rsid w:val="5033552D"/>
    <w:rsid w:val="503A5393"/>
    <w:rsid w:val="503E6C32"/>
    <w:rsid w:val="50412BC6"/>
    <w:rsid w:val="504B134F"/>
    <w:rsid w:val="50577CF3"/>
    <w:rsid w:val="505A77E4"/>
    <w:rsid w:val="505F4DFA"/>
    <w:rsid w:val="50615016"/>
    <w:rsid w:val="506B1B78"/>
    <w:rsid w:val="507E7976"/>
    <w:rsid w:val="5086682B"/>
    <w:rsid w:val="50901457"/>
    <w:rsid w:val="509C1BAA"/>
    <w:rsid w:val="50A373DC"/>
    <w:rsid w:val="50A56CB1"/>
    <w:rsid w:val="50AA3F1E"/>
    <w:rsid w:val="50AC6291"/>
    <w:rsid w:val="50AD3DB7"/>
    <w:rsid w:val="50BA3B81"/>
    <w:rsid w:val="50C3182D"/>
    <w:rsid w:val="50C64E79"/>
    <w:rsid w:val="50C7131D"/>
    <w:rsid w:val="50CD4459"/>
    <w:rsid w:val="50E7551B"/>
    <w:rsid w:val="50F33EC0"/>
    <w:rsid w:val="50F6575E"/>
    <w:rsid w:val="50FB2D75"/>
    <w:rsid w:val="510850A0"/>
    <w:rsid w:val="511D2CEB"/>
    <w:rsid w:val="511D56D0"/>
    <w:rsid w:val="512027DB"/>
    <w:rsid w:val="51226553"/>
    <w:rsid w:val="51256043"/>
    <w:rsid w:val="51322B94"/>
    <w:rsid w:val="51360251"/>
    <w:rsid w:val="51367791"/>
    <w:rsid w:val="51501312"/>
    <w:rsid w:val="51510BE7"/>
    <w:rsid w:val="51552F41"/>
    <w:rsid w:val="5157471E"/>
    <w:rsid w:val="51581F75"/>
    <w:rsid w:val="515B7CB7"/>
    <w:rsid w:val="516439EB"/>
    <w:rsid w:val="516721B8"/>
    <w:rsid w:val="5167665C"/>
    <w:rsid w:val="51694182"/>
    <w:rsid w:val="51695F30"/>
    <w:rsid w:val="51714DE5"/>
    <w:rsid w:val="517A013D"/>
    <w:rsid w:val="5181369F"/>
    <w:rsid w:val="518140F4"/>
    <w:rsid w:val="51826DFB"/>
    <w:rsid w:val="51842D6A"/>
    <w:rsid w:val="5187285A"/>
    <w:rsid w:val="51907961"/>
    <w:rsid w:val="51933A47"/>
    <w:rsid w:val="51944BC6"/>
    <w:rsid w:val="519A258E"/>
    <w:rsid w:val="519E7FF6"/>
    <w:rsid w:val="519F1952"/>
    <w:rsid w:val="51C27D36"/>
    <w:rsid w:val="51CB2747"/>
    <w:rsid w:val="51CB6BEB"/>
    <w:rsid w:val="51DF4444"/>
    <w:rsid w:val="51E0427B"/>
    <w:rsid w:val="51E85FCC"/>
    <w:rsid w:val="51E90E1F"/>
    <w:rsid w:val="51F7178E"/>
    <w:rsid w:val="51FE0D6E"/>
    <w:rsid w:val="5201085F"/>
    <w:rsid w:val="52102850"/>
    <w:rsid w:val="522679F4"/>
    <w:rsid w:val="52320A18"/>
    <w:rsid w:val="52412A09"/>
    <w:rsid w:val="52416EAD"/>
    <w:rsid w:val="5248427D"/>
    <w:rsid w:val="524C5999"/>
    <w:rsid w:val="5253273C"/>
    <w:rsid w:val="525C5A95"/>
    <w:rsid w:val="52662470"/>
    <w:rsid w:val="526731B1"/>
    <w:rsid w:val="52687BCC"/>
    <w:rsid w:val="527C1C93"/>
    <w:rsid w:val="527E1EAF"/>
    <w:rsid w:val="528A0854"/>
    <w:rsid w:val="528B637A"/>
    <w:rsid w:val="528C6BAE"/>
    <w:rsid w:val="528D5C4E"/>
    <w:rsid w:val="528F5E6A"/>
    <w:rsid w:val="529C0587"/>
    <w:rsid w:val="529E60AD"/>
    <w:rsid w:val="52A116FA"/>
    <w:rsid w:val="52A80CDA"/>
    <w:rsid w:val="52A810BE"/>
    <w:rsid w:val="52B21B59"/>
    <w:rsid w:val="52BB0A0D"/>
    <w:rsid w:val="52BF52BB"/>
    <w:rsid w:val="52CD24EF"/>
    <w:rsid w:val="52CD6993"/>
    <w:rsid w:val="52D000D0"/>
    <w:rsid w:val="52D33E80"/>
    <w:rsid w:val="52D4387D"/>
    <w:rsid w:val="52D65847"/>
    <w:rsid w:val="52D675F5"/>
    <w:rsid w:val="52E2243E"/>
    <w:rsid w:val="52ED5D1F"/>
    <w:rsid w:val="52F21F55"/>
    <w:rsid w:val="530028C4"/>
    <w:rsid w:val="5302488E"/>
    <w:rsid w:val="53050450"/>
    <w:rsid w:val="53065A01"/>
    <w:rsid w:val="53083527"/>
    <w:rsid w:val="530879CB"/>
    <w:rsid w:val="532A7941"/>
    <w:rsid w:val="532D11DF"/>
    <w:rsid w:val="532F15AB"/>
    <w:rsid w:val="533802B0"/>
    <w:rsid w:val="533F163E"/>
    <w:rsid w:val="53446C55"/>
    <w:rsid w:val="535A6478"/>
    <w:rsid w:val="535D1AC5"/>
    <w:rsid w:val="535E583D"/>
    <w:rsid w:val="5362532D"/>
    <w:rsid w:val="53690469"/>
    <w:rsid w:val="536C7F5A"/>
    <w:rsid w:val="537312E8"/>
    <w:rsid w:val="53733096"/>
    <w:rsid w:val="537565C2"/>
    <w:rsid w:val="537D008A"/>
    <w:rsid w:val="537F4332"/>
    <w:rsid w:val="53807561"/>
    <w:rsid w:val="538434F5"/>
    <w:rsid w:val="53852D75"/>
    <w:rsid w:val="539354E6"/>
    <w:rsid w:val="53964FD7"/>
    <w:rsid w:val="53A414A2"/>
    <w:rsid w:val="53A476F3"/>
    <w:rsid w:val="53AC09F7"/>
    <w:rsid w:val="53B76077"/>
    <w:rsid w:val="53C97396"/>
    <w:rsid w:val="53CB1124"/>
    <w:rsid w:val="53CE29C2"/>
    <w:rsid w:val="53D33B35"/>
    <w:rsid w:val="53D77AC9"/>
    <w:rsid w:val="53DC50DF"/>
    <w:rsid w:val="53DF697E"/>
    <w:rsid w:val="53E04BF9"/>
    <w:rsid w:val="53F32429"/>
    <w:rsid w:val="53F36F74"/>
    <w:rsid w:val="53F817ED"/>
    <w:rsid w:val="53F87A3F"/>
    <w:rsid w:val="53FA7313"/>
    <w:rsid w:val="53FC4219"/>
    <w:rsid w:val="540006A2"/>
    <w:rsid w:val="5406215C"/>
    <w:rsid w:val="54101C22"/>
    <w:rsid w:val="54146EC2"/>
    <w:rsid w:val="542E3461"/>
    <w:rsid w:val="54324CFF"/>
    <w:rsid w:val="54372177"/>
    <w:rsid w:val="544B7B6F"/>
    <w:rsid w:val="544D1B39"/>
    <w:rsid w:val="545746A4"/>
    <w:rsid w:val="54574766"/>
    <w:rsid w:val="545C1D7C"/>
    <w:rsid w:val="5472334E"/>
    <w:rsid w:val="548968E9"/>
    <w:rsid w:val="549C661D"/>
    <w:rsid w:val="549C706E"/>
    <w:rsid w:val="54A11E85"/>
    <w:rsid w:val="54A83213"/>
    <w:rsid w:val="54AF45A2"/>
    <w:rsid w:val="54B867AF"/>
    <w:rsid w:val="54BB2F47"/>
    <w:rsid w:val="54BD1520"/>
    <w:rsid w:val="54BF40B9"/>
    <w:rsid w:val="54C142D5"/>
    <w:rsid w:val="54C811C0"/>
    <w:rsid w:val="54D062C6"/>
    <w:rsid w:val="54D538DD"/>
    <w:rsid w:val="54E16725"/>
    <w:rsid w:val="54E65AEA"/>
    <w:rsid w:val="54ED0C26"/>
    <w:rsid w:val="54F77CF7"/>
    <w:rsid w:val="54F93A6F"/>
    <w:rsid w:val="54FB1595"/>
    <w:rsid w:val="54FC355F"/>
    <w:rsid w:val="55012924"/>
    <w:rsid w:val="5503044A"/>
    <w:rsid w:val="55160F28"/>
    <w:rsid w:val="551663CF"/>
    <w:rsid w:val="551E5284"/>
    <w:rsid w:val="55214D74"/>
    <w:rsid w:val="55286102"/>
    <w:rsid w:val="552B174F"/>
    <w:rsid w:val="552C5BF2"/>
    <w:rsid w:val="553625CD"/>
    <w:rsid w:val="5539030F"/>
    <w:rsid w:val="554C3B9F"/>
    <w:rsid w:val="55505B33"/>
    <w:rsid w:val="55532719"/>
    <w:rsid w:val="55563F10"/>
    <w:rsid w:val="555962BC"/>
    <w:rsid w:val="555D2250"/>
    <w:rsid w:val="555D3FFE"/>
    <w:rsid w:val="555E7D76"/>
    <w:rsid w:val="556C2493"/>
    <w:rsid w:val="556C45C4"/>
    <w:rsid w:val="5579695E"/>
    <w:rsid w:val="557F21C6"/>
    <w:rsid w:val="557F79C3"/>
    <w:rsid w:val="55821CB6"/>
    <w:rsid w:val="558772CD"/>
    <w:rsid w:val="55886BA1"/>
    <w:rsid w:val="558D2585"/>
    <w:rsid w:val="55915A56"/>
    <w:rsid w:val="55A032B3"/>
    <w:rsid w:val="55A21A11"/>
    <w:rsid w:val="55A70E85"/>
    <w:rsid w:val="55AC288F"/>
    <w:rsid w:val="55AE2AAB"/>
    <w:rsid w:val="55B31438"/>
    <w:rsid w:val="55B41744"/>
    <w:rsid w:val="55BF00A5"/>
    <w:rsid w:val="55CC1183"/>
    <w:rsid w:val="55CC2F32"/>
    <w:rsid w:val="55CE2806"/>
    <w:rsid w:val="55D122F6"/>
    <w:rsid w:val="55D50038"/>
    <w:rsid w:val="55D63DB0"/>
    <w:rsid w:val="55D65B5E"/>
    <w:rsid w:val="55DB13C7"/>
    <w:rsid w:val="55DB4F23"/>
    <w:rsid w:val="55E464CD"/>
    <w:rsid w:val="55E502FC"/>
    <w:rsid w:val="55F04E72"/>
    <w:rsid w:val="55F61D5C"/>
    <w:rsid w:val="55F85AD5"/>
    <w:rsid w:val="55FA184D"/>
    <w:rsid w:val="56073F6A"/>
    <w:rsid w:val="56102E1E"/>
    <w:rsid w:val="561D19DF"/>
    <w:rsid w:val="561F5757"/>
    <w:rsid w:val="56420695"/>
    <w:rsid w:val="564D6A26"/>
    <w:rsid w:val="56530F5D"/>
    <w:rsid w:val="56535401"/>
    <w:rsid w:val="56556E49"/>
    <w:rsid w:val="565607A7"/>
    <w:rsid w:val="565F3DA6"/>
    <w:rsid w:val="565F7902"/>
    <w:rsid w:val="56600CE8"/>
    <w:rsid w:val="5661367A"/>
    <w:rsid w:val="5664316A"/>
    <w:rsid w:val="566B274A"/>
    <w:rsid w:val="566E223B"/>
    <w:rsid w:val="566F7200"/>
    <w:rsid w:val="56701B0F"/>
    <w:rsid w:val="5675294C"/>
    <w:rsid w:val="568630E0"/>
    <w:rsid w:val="568A337E"/>
    <w:rsid w:val="568D446F"/>
    <w:rsid w:val="569951D6"/>
    <w:rsid w:val="569C6DA8"/>
    <w:rsid w:val="56A95021"/>
    <w:rsid w:val="56AC56AA"/>
    <w:rsid w:val="56B04601"/>
    <w:rsid w:val="56B539C6"/>
    <w:rsid w:val="56BC6B02"/>
    <w:rsid w:val="56C105BC"/>
    <w:rsid w:val="56C24467"/>
    <w:rsid w:val="56C8194B"/>
    <w:rsid w:val="56D41F37"/>
    <w:rsid w:val="56DE0939"/>
    <w:rsid w:val="56E16569"/>
    <w:rsid w:val="56EB73E7"/>
    <w:rsid w:val="56EF512A"/>
    <w:rsid w:val="56EF6ED8"/>
    <w:rsid w:val="56FB1D20"/>
    <w:rsid w:val="56FE35BF"/>
    <w:rsid w:val="570010E5"/>
    <w:rsid w:val="570F1328"/>
    <w:rsid w:val="57123788"/>
    <w:rsid w:val="5714693E"/>
    <w:rsid w:val="571526B6"/>
    <w:rsid w:val="57186B34"/>
    <w:rsid w:val="572172AD"/>
    <w:rsid w:val="57340D8E"/>
    <w:rsid w:val="57435475"/>
    <w:rsid w:val="57437223"/>
    <w:rsid w:val="57462870"/>
    <w:rsid w:val="57476D14"/>
    <w:rsid w:val="574F3E1A"/>
    <w:rsid w:val="57580F21"/>
    <w:rsid w:val="57596A47"/>
    <w:rsid w:val="575A3F96"/>
    <w:rsid w:val="575F2DE1"/>
    <w:rsid w:val="5765719A"/>
    <w:rsid w:val="576A030D"/>
    <w:rsid w:val="576C4A4E"/>
    <w:rsid w:val="57853648"/>
    <w:rsid w:val="578D66F1"/>
    <w:rsid w:val="578E252E"/>
    <w:rsid w:val="578F4217"/>
    <w:rsid w:val="57914433"/>
    <w:rsid w:val="579C6734"/>
    <w:rsid w:val="579E445A"/>
    <w:rsid w:val="57A04676"/>
    <w:rsid w:val="57A557E8"/>
    <w:rsid w:val="57B123DF"/>
    <w:rsid w:val="57B1418D"/>
    <w:rsid w:val="57B65C47"/>
    <w:rsid w:val="57B7551B"/>
    <w:rsid w:val="57B819BF"/>
    <w:rsid w:val="57B91294"/>
    <w:rsid w:val="57C77E54"/>
    <w:rsid w:val="57CC0FC7"/>
    <w:rsid w:val="57D670A6"/>
    <w:rsid w:val="57DE6F4C"/>
    <w:rsid w:val="57E04A72"/>
    <w:rsid w:val="57E36310"/>
    <w:rsid w:val="57E74053"/>
    <w:rsid w:val="57F26BCA"/>
    <w:rsid w:val="57F347A6"/>
    <w:rsid w:val="57FB18AC"/>
    <w:rsid w:val="58040BF9"/>
    <w:rsid w:val="58117322"/>
    <w:rsid w:val="581B5AAA"/>
    <w:rsid w:val="58254B7B"/>
    <w:rsid w:val="58256929"/>
    <w:rsid w:val="5829466B"/>
    <w:rsid w:val="58366D88"/>
    <w:rsid w:val="58384833"/>
    <w:rsid w:val="58445001"/>
    <w:rsid w:val="58472D43"/>
    <w:rsid w:val="5859472D"/>
    <w:rsid w:val="58672098"/>
    <w:rsid w:val="58773629"/>
    <w:rsid w:val="587A6C75"/>
    <w:rsid w:val="58874971"/>
    <w:rsid w:val="588C0756"/>
    <w:rsid w:val="589222F9"/>
    <w:rsid w:val="58931910"/>
    <w:rsid w:val="58953AAF"/>
    <w:rsid w:val="58982D68"/>
    <w:rsid w:val="589A7317"/>
    <w:rsid w:val="58A81A34"/>
    <w:rsid w:val="58A957AC"/>
    <w:rsid w:val="58AB3463"/>
    <w:rsid w:val="58B8154B"/>
    <w:rsid w:val="58BA1767"/>
    <w:rsid w:val="58C14000"/>
    <w:rsid w:val="58C3686E"/>
    <w:rsid w:val="58C919AA"/>
    <w:rsid w:val="58C93758"/>
    <w:rsid w:val="58CD3249"/>
    <w:rsid w:val="58CE0D6F"/>
    <w:rsid w:val="58DD0927"/>
    <w:rsid w:val="58F85DEC"/>
    <w:rsid w:val="58FC7F21"/>
    <w:rsid w:val="58FF717A"/>
    <w:rsid w:val="59080725"/>
    <w:rsid w:val="591305FD"/>
    <w:rsid w:val="59205A6E"/>
    <w:rsid w:val="5923730C"/>
    <w:rsid w:val="592661DA"/>
    <w:rsid w:val="592F5E76"/>
    <w:rsid w:val="59350DEE"/>
    <w:rsid w:val="59366498"/>
    <w:rsid w:val="594D1865"/>
    <w:rsid w:val="59513E7A"/>
    <w:rsid w:val="595B6AA6"/>
    <w:rsid w:val="5964405A"/>
    <w:rsid w:val="596A6CE9"/>
    <w:rsid w:val="59793D78"/>
    <w:rsid w:val="597B0EF6"/>
    <w:rsid w:val="597C554B"/>
    <w:rsid w:val="59847650"/>
    <w:rsid w:val="598959D1"/>
    <w:rsid w:val="598D4786"/>
    <w:rsid w:val="59905953"/>
    <w:rsid w:val="59945B14"/>
    <w:rsid w:val="599827B6"/>
    <w:rsid w:val="599D7A79"/>
    <w:rsid w:val="59A25663"/>
    <w:rsid w:val="59B241EC"/>
    <w:rsid w:val="59B3306B"/>
    <w:rsid w:val="59B52E52"/>
    <w:rsid w:val="59BD32BD"/>
    <w:rsid w:val="59C02DAD"/>
    <w:rsid w:val="59C52172"/>
    <w:rsid w:val="59D979CB"/>
    <w:rsid w:val="59DB1995"/>
    <w:rsid w:val="59DD395F"/>
    <w:rsid w:val="59DF269A"/>
    <w:rsid w:val="59E720E8"/>
    <w:rsid w:val="59F667CF"/>
    <w:rsid w:val="59F91E1B"/>
    <w:rsid w:val="5A0A4028"/>
    <w:rsid w:val="5A0C6AF4"/>
    <w:rsid w:val="5A113973"/>
    <w:rsid w:val="5A144CFE"/>
    <w:rsid w:val="5A1804F3"/>
    <w:rsid w:val="5A1B4488"/>
    <w:rsid w:val="5A1F5D26"/>
    <w:rsid w:val="5A201A9E"/>
    <w:rsid w:val="5A250E62"/>
    <w:rsid w:val="5A276988"/>
    <w:rsid w:val="5A2B2F85"/>
    <w:rsid w:val="5A3018F1"/>
    <w:rsid w:val="5A355763"/>
    <w:rsid w:val="5A3F0176"/>
    <w:rsid w:val="5A40545C"/>
    <w:rsid w:val="5A421A14"/>
    <w:rsid w:val="5A44753A"/>
    <w:rsid w:val="5A494B51"/>
    <w:rsid w:val="5A4968FF"/>
    <w:rsid w:val="5A584D94"/>
    <w:rsid w:val="5A5A0B0C"/>
    <w:rsid w:val="5A5A6D5E"/>
    <w:rsid w:val="5A5B4884"/>
    <w:rsid w:val="5A5F25C6"/>
    <w:rsid w:val="5A6000EC"/>
    <w:rsid w:val="5A601E9A"/>
    <w:rsid w:val="5A6C4CE3"/>
    <w:rsid w:val="5A6E2809"/>
    <w:rsid w:val="5A783688"/>
    <w:rsid w:val="5A7A2155"/>
    <w:rsid w:val="5A865DA5"/>
    <w:rsid w:val="5A8E07B6"/>
    <w:rsid w:val="5A987886"/>
    <w:rsid w:val="5AA91A93"/>
    <w:rsid w:val="5AA955EF"/>
    <w:rsid w:val="5AAD190B"/>
    <w:rsid w:val="5AAE0E58"/>
    <w:rsid w:val="5AB20948"/>
    <w:rsid w:val="5AB53F94"/>
    <w:rsid w:val="5AB752E1"/>
    <w:rsid w:val="5ABC7F70"/>
    <w:rsid w:val="5AD00DCE"/>
    <w:rsid w:val="5AD07020"/>
    <w:rsid w:val="5AD63F31"/>
    <w:rsid w:val="5ADC7773"/>
    <w:rsid w:val="5AF745AD"/>
    <w:rsid w:val="5AF820D3"/>
    <w:rsid w:val="5AF96577"/>
    <w:rsid w:val="5AFD593B"/>
    <w:rsid w:val="5B046CCA"/>
    <w:rsid w:val="5B0B381E"/>
    <w:rsid w:val="5B1C2265"/>
    <w:rsid w:val="5B1F1D55"/>
    <w:rsid w:val="5B1F3B03"/>
    <w:rsid w:val="5B2555BE"/>
    <w:rsid w:val="5B270145"/>
    <w:rsid w:val="5B2829B8"/>
    <w:rsid w:val="5B2B24A8"/>
    <w:rsid w:val="5B345801"/>
    <w:rsid w:val="5B386973"/>
    <w:rsid w:val="5B3D0A3D"/>
    <w:rsid w:val="5B3D3F8A"/>
    <w:rsid w:val="5B44356A"/>
    <w:rsid w:val="5B484E08"/>
    <w:rsid w:val="5B495558"/>
    <w:rsid w:val="5B527A35"/>
    <w:rsid w:val="5B5E1D4E"/>
    <w:rsid w:val="5B5E287E"/>
    <w:rsid w:val="5B6A1223"/>
    <w:rsid w:val="5B6B0A58"/>
    <w:rsid w:val="5B70470E"/>
    <w:rsid w:val="5B726329"/>
    <w:rsid w:val="5B73076F"/>
    <w:rsid w:val="5B773940"/>
    <w:rsid w:val="5B81022D"/>
    <w:rsid w:val="5B81031A"/>
    <w:rsid w:val="5B8B1199"/>
    <w:rsid w:val="5B8D5788"/>
    <w:rsid w:val="5B90055D"/>
    <w:rsid w:val="5B922527"/>
    <w:rsid w:val="5B9B13DC"/>
    <w:rsid w:val="5B9C33A6"/>
    <w:rsid w:val="5BA1276A"/>
    <w:rsid w:val="5BA504AD"/>
    <w:rsid w:val="5BAC4096"/>
    <w:rsid w:val="5BB26726"/>
    <w:rsid w:val="5BB71F8E"/>
    <w:rsid w:val="5BBFACFD"/>
    <w:rsid w:val="5BC16969"/>
    <w:rsid w:val="5BCC3C8B"/>
    <w:rsid w:val="5BCE7A03"/>
    <w:rsid w:val="5BE014E5"/>
    <w:rsid w:val="5BE2525D"/>
    <w:rsid w:val="5BE30FD5"/>
    <w:rsid w:val="5BEC60DC"/>
    <w:rsid w:val="5BEE5A91"/>
    <w:rsid w:val="5BF84A80"/>
    <w:rsid w:val="5C0C4203"/>
    <w:rsid w:val="5C121CA4"/>
    <w:rsid w:val="5C156A2E"/>
    <w:rsid w:val="5C1D6295"/>
    <w:rsid w:val="5C2018E1"/>
    <w:rsid w:val="5C2313D1"/>
    <w:rsid w:val="5C25339C"/>
    <w:rsid w:val="5C313755"/>
    <w:rsid w:val="5C34265F"/>
    <w:rsid w:val="5C462902"/>
    <w:rsid w:val="5C47587E"/>
    <w:rsid w:val="5C4C0928"/>
    <w:rsid w:val="5C4E18EC"/>
    <w:rsid w:val="5C566D9D"/>
    <w:rsid w:val="5C5B0B6B"/>
    <w:rsid w:val="5C5D2113"/>
    <w:rsid w:val="5C62639E"/>
    <w:rsid w:val="5C642116"/>
    <w:rsid w:val="5C6914DA"/>
    <w:rsid w:val="5C6C0FCA"/>
    <w:rsid w:val="5C6E089F"/>
    <w:rsid w:val="5C720468"/>
    <w:rsid w:val="5C86208C"/>
    <w:rsid w:val="5C8C6F77"/>
    <w:rsid w:val="5C8F3053"/>
    <w:rsid w:val="5C9022BC"/>
    <w:rsid w:val="5C902F0B"/>
    <w:rsid w:val="5C9B540C"/>
    <w:rsid w:val="5CA6278E"/>
    <w:rsid w:val="5CAC4142"/>
    <w:rsid w:val="5CB0535B"/>
    <w:rsid w:val="5CCB3F43"/>
    <w:rsid w:val="5CE17C58"/>
    <w:rsid w:val="5CE60D7D"/>
    <w:rsid w:val="5CE943C9"/>
    <w:rsid w:val="5CEC5C67"/>
    <w:rsid w:val="5CF52D6E"/>
    <w:rsid w:val="5CF8285E"/>
    <w:rsid w:val="5D07136C"/>
    <w:rsid w:val="5D094A6B"/>
    <w:rsid w:val="5D105DFA"/>
    <w:rsid w:val="5D137698"/>
    <w:rsid w:val="5D1458EA"/>
    <w:rsid w:val="5D1A6C78"/>
    <w:rsid w:val="5D221E8A"/>
    <w:rsid w:val="5D245401"/>
    <w:rsid w:val="5D380EAD"/>
    <w:rsid w:val="5D3A2E77"/>
    <w:rsid w:val="5D443CF5"/>
    <w:rsid w:val="5D4A711E"/>
    <w:rsid w:val="5D5932FD"/>
    <w:rsid w:val="5D5F28DD"/>
    <w:rsid w:val="5D641CA2"/>
    <w:rsid w:val="5D645DC6"/>
    <w:rsid w:val="5D656145"/>
    <w:rsid w:val="5D663C6C"/>
    <w:rsid w:val="5D6B74D4"/>
    <w:rsid w:val="5D746389"/>
    <w:rsid w:val="5D7A14C5"/>
    <w:rsid w:val="5D850596"/>
    <w:rsid w:val="5D8A5BAC"/>
    <w:rsid w:val="5D8D2FA6"/>
    <w:rsid w:val="5D953E89"/>
    <w:rsid w:val="5D986D0C"/>
    <w:rsid w:val="5D994B0C"/>
    <w:rsid w:val="5D9C143B"/>
    <w:rsid w:val="5DAC5398"/>
    <w:rsid w:val="5DAF116F"/>
    <w:rsid w:val="5DB46785"/>
    <w:rsid w:val="5DB744C7"/>
    <w:rsid w:val="5DBE5856"/>
    <w:rsid w:val="5DC82230"/>
    <w:rsid w:val="5DD24E5D"/>
    <w:rsid w:val="5DDB3583"/>
    <w:rsid w:val="5DE132F2"/>
    <w:rsid w:val="5DE27796"/>
    <w:rsid w:val="5DF64FF0"/>
    <w:rsid w:val="5DFC1EDA"/>
    <w:rsid w:val="5E0771FD"/>
    <w:rsid w:val="5E0B036F"/>
    <w:rsid w:val="5E0B2E79"/>
    <w:rsid w:val="5E192A8C"/>
    <w:rsid w:val="5E1B2CA8"/>
    <w:rsid w:val="5E263CC0"/>
    <w:rsid w:val="5E2E3B8D"/>
    <w:rsid w:val="5E341674"/>
    <w:rsid w:val="5E3D2C1E"/>
    <w:rsid w:val="5E40270F"/>
    <w:rsid w:val="5E40626B"/>
    <w:rsid w:val="5E473A9D"/>
    <w:rsid w:val="5E4A0E97"/>
    <w:rsid w:val="5E4D0587"/>
    <w:rsid w:val="5E524F12"/>
    <w:rsid w:val="5E525F9E"/>
    <w:rsid w:val="5E5A661E"/>
    <w:rsid w:val="5E6463FD"/>
    <w:rsid w:val="5E745F14"/>
    <w:rsid w:val="5E892B2C"/>
    <w:rsid w:val="5E8965D1"/>
    <w:rsid w:val="5E914D18"/>
    <w:rsid w:val="5E9465B6"/>
    <w:rsid w:val="5E9C2E3B"/>
    <w:rsid w:val="5E9D546B"/>
    <w:rsid w:val="5EA902B4"/>
    <w:rsid w:val="5EA9499B"/>
    <w:rsid w:val="5EB34C8F"/>
    <w:rsid w:val="5EB36A3D"/>
    <w:rsid w:val="5EB50A07"/>
    <w:rsid w:val="5EB56C59"/>
    <w:rsid w:val="5EBA601D"/>
    <w:rsid w:val="5ECA1FD8"/>
    <w:rsid w:val="5ECE7D1A"/>
    <w:rsid w:val="5ED2780B"/>
    <w:rsid w:val="5EE27322"/>
    <w:rsid w:val="5EE83A41"/>
    <w:rsid w:val="5EF84D97"/>
    <w:rsid w:val="5F0059FA"/>
    <w:rsid w:val="5F04291D"/>
    <w:rsid w:val="5F0D0843"/>
    <w:rsid w:val="5F100333"/>
    <w:rsid w:val="5F1871E8"/>
    <w:rsid w:val="5F265461"/>
    <w:rsid w:val="5F281EB1"/>
    <w:rsid w:val="5F2D4A41"/>
    <w:rsid w:val="5F322057"/>
    <w:rsid w:val="5F38428F"/>
    <w:rsid w:val="5F4B3119"/>
    <w:rsid w:val="5F5E109E"/>
    <w:rsid w:val="5F5F6BC4"/>
    <w:rsid w:val="5F697A43"/>
    <w:rsid w:val="5F6D12E1"/>
    <w:rsid w:val="5F746EA8"/>
    <w:rsid w:val="5F7563E8"/>
    <w:rsid w:val="5F7A755A"/>
    <w:rsid w:val="5F8328B3"/>
    <w:rsid w:val="5F88611B"/>
    <w:rsid w:val="5F8B456D"/>
    <w:rsid w:val="5F8D54E0"/>
    <w:rsid w:val="5F8E3006"/>
    <w:rsid w:val="5F926F9A"/>
    <w:rsid w:val="5FA171DD"/>
    <w:rsid w:val="5FA537FF"/>
    <w:rsid w:val="5FA82319"/>
    <w:rsid w:val="5FAC70AD"/>
    <w:rsid w:val="5FAC76D2"/>
    <w:rsid w:val="5FB23198"/>
    <w:rsid w:val="5FBD2609"/>
    <w:rsid w:val="5FBE9122"/>
    <w:rsid w:val="5FC30F01"/>
    <w:rsid w:val="5FC825C6"/>
    <w:rsid w:val="5FC92290"/>
    <w:rsid w:val="5FCA6734"/>
    <w:rsid w:val="5FCB5012"/>
    <w:rsid w:val="5FD0361E"/>
    <w:rsid w:val="5FDC6467"/>
    <w:rsid w:val="5FDE21DF"/>
    <w:rsid w:val="5FE33352"/>
    <w:rsid w:val="5FE84E0C"/>
    <w:rsid w:val="5FEB0458"/>
    <w:rsid w:val="5FED5F7E"/>
    <w:rsid w:val="5FF217E7"/>
    <w:rsid w:val="5FF90DC7"/>
    <w:rsid w:val="5FFD1529"/>
    <w:rsid w:val="5FFF5CB2"/>
    <w:rsid w:val="600D5147"/>
    <w:rsid w:val="600F4147"/>
    <w:rsid w:val="60194A7B"/>
    <w:rsid w:val="601C6094"/>
    <w:rsid w:val="601D2D07"/>
    <w:rsid w:val="60277897"/>
    <w:rsid w:val="602A71D2"/>
    <w:rsid w:val="60310561"/>
    <w:rsid w:val="60341DFF"/>
    <w:rsid w:val="60395667"/>
    <w:rsid w:val="60593614"/>
    <w:rsid w:val="605B55DE"/>
    <w:rsid w:val="60651FB9"/>
    <w:rsid w:val="60695F4D"/>
    <w:rsid w:val="606C6A2E"/>
    <w:rsid w:val="606E670A"/>
    <w:rsid w:val="607448F1"/>
    <w:rsid w:val="607664CF"/>
    <w:rsid w:val="607E751E"/>
    <w:rsid w:val="608508AD"/>
    <w:rsid w:val="608707FE"/>
    <w:rsid w:val="60885CA7"/>
    <w:rsid w:val="60936B26"/>
    <w:rsid w:val="609D5BF6"/>
    <w:rsid w:val="609E5A0A"/>
    <w:rsid w:val="60A01243"/>
    <w:rsid w:val="60AC5E39"/>
    <w:rsid w:val="60AE3960"/>
    <w:rsid w:val="60AF76D8"/>
    <w:rsid w:val="60B3541A"/>
    <w:rsid w:val="60B66CB8"/>
    <w:rsid w:val="60BA67A8"/>
    <w:rsid w:val="60C413D5"/>
    <w:rsid w:val="60C846E2"/>
    <w:rsid w:val="60CB30D2"/>
    <w:rsid w:val="60D560BA"/>
    <w:rsid w:val="60DA0BF8"/>
    <w:rsid w:val="60E036FC"/>
    <w:rsid w:val="60E04CC6"/>
    <w:rsid w:val="60E455D3"/>
    <w:rsid w:val="60E55257"/>
    <w:rsid w:val="60F3366F"/>
    <w:rsid w:val="60F63558"/>
    <w:rsid w:val="610B0DB2"/>
    <w:rsid w:val="610C4B2A"/>
    <w:rsid w:val="61107DEC"/>
    <w:rsid w:val="611A0FF5"/>
    <w:rsid w:val="611F7E64"/>
    <w:rsid w:val="6122442E"/>
    <w:rsid w:val="6126799A"/>
    <w:rsid w:val="613D1187"/>
    <w:rsid w:val="6142679E"/>
    <w:rsid w:val="61453B98"/>
    <w:rsid w:val="61466A22"/>
    <w:rsid w:val="6151078F"/>
    <w:rsid w:val="61573869"/>
    <w:rsid w:val="61630BEE"/>
    <w:rsid w:val="61686204"/>
    <w:rsid w:val="616D381B"/>
    <w:rsid w:val="616F1563"/>
    <w:rsid w:val="61730705"/>
    <w:rsid w:val="61734BA9"/>
    <w:rsid w:val="617C3A5E"/>
    <w:rsid w:val="617D1584"/>
    <w:rsid w:val="61891CD7"/>
    <w:rsid w:val="61897F29"/>
    <w:rsid w:val="61932B55"/>
    <w:rsid w:val="619F14FA"/>
    <w:rsid w:val="61AD3C17"/>
    <w:rsid w:val="61C471B3"/>
    <w:rsid w:val="61CB56CD"/>
    <w:rsid w:val="61D5316E"/>
    <w:rsid w:val="61E138C1"/>
    <w:rsid w:val="61EB1403"/>
    <w:rsid w:val="61EE4910"/>
    <w:rsid w:val="61F061FA"/>
    <w:rsid w:val="61FE01F5"/>
    <w:rsid w:val="62000862"/>
    <w:rsid w:val="62045801"/>
    <w:rsid w:val="62143C96"/>
    <w:rsid w:val="62174E1A"/>
    <w:rsid w:val="621925C6"/>
    <w:rsid w:val="621E68C3"/>
    <w:rsid w:val="62257C51"/>
    <w:rsid w:val="62314848"/>
    <w:rsid w:val="6239194F"/>
    <w:rsid w:val="623A1223"/>
    <w:rsid w:val="623C143F"/>
    <w:rsid w:val="623D5CA9"/>
    <w:rsid w:val="624B51DE"/>
    <w:rsid w:val="624D71A8"/>
    <w:rsid w:val="62516C98"/>
    <w:rsid w:val="6251FF64"/>
    <w:rsid w:val="625422E5"/>
    <w:rsid w:val="62595B4D"/>
    <w:rsid w:val="626544F2"/>
    <w:rsid w:val="626562A0"/>
    <w:rsid w:val="62693C55"/>
    <w:rsid w:val="626F5370"/>
    <w:rsid w:val="627B1F67"/>
    <w:rsid w:val="627B3D15"/>
    <w:rsid w:val="62856942"/>
    <w:rsid w:val="62894684"/>
    <w:rsid w:val="628A664F"/>
    <w:rsid w:val="6292105F"/>
    <w:rsid w:val="62924E4C"/>
    <w:rsid w:val="62935317"/>
    <w:rsid w:val="629372B1"/>
    <w:rsid w:val="62976675"/>
    <w:rsid w:val="62A56FE4"/>
    <w:rsid w:val="62AC7970"/>
    <w:rsid w:val="62AF1C11"/>
    <w:rsid w:val="62B72874"/>
    <w:rsid w:val="62B80AC5"/>
    <w:rsid w:val="62B86D17"/>
    <w:rsid w:val="62BD60DC"/>
    <w:rsid w:val="62BE2037"/>
    <w:rsid w:val="62C2052C"/>
    <w:rsid w:val="62C51434"/>
    <w:rsid w:val="62C70D09"/>
    <w:rsid w:val="62C72F81"/>
    <w:rsid w:val="62C84A81"/>
    <w:rsid w:val="62CA2457"/>
    <w:rsid w:val="62CA25A7"/>
    <w:rsid w:val="62CB049B"/>
    <w:rsid w:val="62CF4061"/>
    <w:rsid w:val="62D17DD9"/>
    <w:rsid w:val="62D31273"/>
    <w:rsid w:val="62D4754D"/>
    <w:rsid w:val="62D60F4C"/>
    <w:rsid w:val="62EA49F7"/>
    <w:rsid w:val="62EE098B"/>
    <w:rsid w:val="62F53AC8"/>
    <w:rsid w:val="62F835B8"/>
    <w:rsid w:val="62FB4E56"/>
    <w:rsid w:val="62FF66F4"/>
    <w:rsid w:val="630006BE"/>
    <w:rsid w:val="63057A83"/>
    <w:rsid w:val="63073A94"/>
    <w:rsid w:val="63097832"/>
    <w:rsid w:val="630C16BE"/>
    <w:rsid w:val="630E06AB"/>
    <w:rsid w:val="631101D6"/>
    <w:rsid w:val="63133F4E"/>
    <w:rsid w:val="631877B6"/>
    <w:rsid w:val="631B1054"/>
    <w:rsid w:val="631C2B32"/>
    <w:rsid w:val="63316ACA"/>
    <w:rsid w:val="6348658B"/>
    <w:rsid w:val="63491FAC"/>
    <w:rsid w:val="634B193A"/>
    <w:rsid w:val="634E142A"/>
    <w:rsid w:val="635527B8"/>
    <w:rsid w:val="635A6513"/>
    <w:rsid w:val="635C21B5"/>
    <w:rsid w:val="63604CB9"/>
    <w:rsid w:val="63620A31"/>
    <w:rsid w:val="63626C83"/>
    <w:rsid w:val="636B1FDC"/>
    <w:rsid w:val="636B3D8A"/>
    <w:rsid w:val="6370314E"/>
    <w:rsid w:val="637565D4"/>
    <w:rsid w:val="637F3391"/>
    <w:rsid w:val="638135AD"/>
    <w:rsid w:val="6393508F"/>
    <w:rsid w:val="63972DD1"/>
    <w:rsid w:val="639A641D"/>
    <w:rsid w:val="63AA5960"/>
    <w:rsid w:val="63AB062A"/>
    <w:rsid w:val="63AB4186"/>
    <w:rsid w:val="63B55005"/>
    <w:rsid w:val="63BE035D"/>
    <w:rsid w:val="63C17E4E"/>
    <w:rsid w:val="63C35974"/>
    <w:rsid w:val="63C60FC0"/>
    <w:rsid w:val="63C92EBD"/>
    <w:rsid w:val="63CB2A7A"/>
    <w:rsid w:val="63D86F45"/>
    <w:rsid w:val="63DD455C"/>
    <w:rsid w:val="63E8105D"/>
    <w:rsid w:val="63EF49BB"/>
    <w:rsid w:val="63F0428F"/>
    <w:rsid w:val="63F164A8"/>
    <w:rsid w:val="63F83144"/>
    <w:rsid w:val="63FF2724"/>
    <w:rsid w:val="64015CCA"/>
    <w:rsid w:val="6405023A"/>
    <w:rsid w:val="640721FE"/>
    <w:rsid w:val="640A35A3"/>
    <w:rsid w:val="640B2E77"/>
    <w:rsid w:val="640F0BB9"/>
    <w:rsid w:val="641066DF"/>
    <w:rsid w:val="64175CC0"/>
    <w:rsid w:val="64177A6E"/>
    <w:rsid w:val="64191A38"/>
    <w:rsid w:val="642018FB"/>
    <w:rsid w:val="6422373F"/>
    <w:rsid w:val="64281C7B"/>
    <w:rsid w:val="642B176B"/>
    <w:rsid w:val="642D5F69"/>
    <w:rsid w:val="64300B2F"/>
    <w:rsid w:val="643E4FFA"/>
    <w:rsid w:val="64485E79"/>
    <w:rsid w:val="64545304"/>
    <w:rsid w:val="645804F2"/>
    <w:rsid w:val="645962D8"/>
    <w:rsid w:val="645B3DFE"/>
    <w:rsid w:val="64654C7D"/>
    <w:rsid w:val="646D58E0"/>
    <w:rsid w:val="646F1658"/>
    <w:rsid w:val="64740A1C"/>
    <w:rsid w:val="6477050C"/>
    <w:rsid w:val="64813139"/>
    <w:rsid w:val="64833355"/>
    <w:rsid w:val="64874BF3"/>
    <w:rsid w:val="648A6492"/>
    <w:rsid w:val="648C045C"/>
    <w:rsid w:val="648F1CFA"/>
    <w:rsid w:val="64A82DBC"/>
    <w:rsid w:val="64AA08E2"/>
    <w:rsid w:val="64AC28AC"/>
    <w:rsid w:val="64AD35A5"/>
    <w:rsid w:val="64D15E6F"/>
    <w:rsid w:val="64D32693"/>
    <w:rsid w:val="64DE2339"/>
    <w:rsid w:val="64E21E2A"/>
    <w:rsid w:val="64E262CE"/>
    <w:rsid w:val="64E57B6C"/>
    <w:rsid w:val="64EC0EFA"/>
    <w:rsid w:val="64FA64C1"/>
    <w:rsid w:val="64FB113D"/>
    <w:rsid w:val="64FB2EEB"/>
    <w:rsid w:val="650049A6"/>
    <w:rsid w:val="6530528B"/>
    <w:rsid w:val="6531690D"/>
    <w:rsid w:val="65362175"/>
    <w:rsid w:val="65384140"/>
    <w:rsid w:val="654900FB"/>
    <w:rsid w:val="65640A91"/>
    <w:rsid w:val="657038D9"/>
    <w:rsid w:val="657A02B4"/>
    <w:rsid w:val="657B5DDA"/>
    <w:rsid w:val="657F1D6E"/>
    <w:rsid w:val="658B10E8"/>
    <w:rsid w:val="658B53A9"/>
    <w:rsid w:val="65913850"/>
    <w:rsid w:val="6593581A"/>
    <w:rsid w:val="659579A4"/>
    <w:rsid w:val="65960E66"/>
    <w:rsid w:val="65995BCE"/>
    <w:rsid w:val="659A2704"/>
    <w:rsid w:val="65A73073"/>
    <w:rsid w:val="65A90EBC"/>
    <w:rsid w:val="65AB66C0"/>
    <w:rsid w:val="65B25723"/>
    <w:rsid w:val="65B302F4"/>
    <w:rsid w:val="65C72401"/>
    <w:rsid w:val="65CC0E9B"/>
    <w:rsid w:val="65CE23AE"/>
    <w:rsid w:val="65D33E68"/>
    <w:rsid w:val="65DC0990"/>
    <w:rsid w:val="65E73C7E"/>
    <w:rsid w:val="65EE0CA2"/>
    <w:rsid w:val="65EF2FCC"/>
    <w:rsid w:val="65F35787"/>
    <w:rsid w:val="65F77B57"/>
    <w:rsid w:val="65FA13F5"/>
    <w:rsid w:val="65FE0EE5"/>
    <w:rsid w:val="66041825"/>
    <w:rsid w:val="66065FEC"/>
    <w:rsid w:val="66081D64"/>
    <w:rsid w:val="661A55F3"/>
    <w:rsid w:val="6635067F"/>
    <w:rsid w:val="66552ACF"/>
    <w:rsid w:val="665C3E5E"/>
    <w:rsid w:val="665D113B"/>
    <w:rsid w:val="6663343E"/>
    <w:rsid w:val="66666A8A"/>
    <w:rsid w:val="666D606B"/>
    <w:rsid w:val="666F1DE3"/>
    <w:rsid w:val="667411A7"/>
    <w:rsid w:val="66754F1F"/>
    <w:rsid w:val="66794A10"/>
    <w:rsid w:val="66805D9E"/>
    <w:rsid w:val="668533B4"/>
    <w:rsid w:val="668F7D8F"/>
    <w:rsid w:val="669730E8"/>
    <w:rsid w:val="669C425A"/>
    <w:rsid w:val="669E7FD2"/>
    <w:rsid w:val="66B772E6"/>
    <w:rsid w:val="66C4746E"/>
    <w:rsid w:val="66C75C1F"/>
    <w:rsid w:val="66DF198B"/>
    <w:rsid w:val="66E9417E"/>
    <w:rsid w:val="66E9560E"/>
    <w:rsid w:val="66EF6E5E"/>
    <w:rsid w:val="66F347C2"/>
    <w:rsid w:val="6712276E"/>
    <w:rsid w:val="671406BD"/>
    <w:rsid w:val="671464E6"/>
    <w:rsid w:val="67191D4F"/>
    <w:rsid w:val="67193AFD"/>
    <w:rsid w:val="67210A76"/>
    <w:rsid w:val="6722022A"/>
    <w:rsid w:val="672A7AB8"/>
    <w:rsid w:val="672C1A82"/>
    <w:rsid w:val="672D5AF5"/>
    <w:rsid w:val="67312132"/>
    <w:rsid w:val="67362901"/>
    <w:rsid w:val="673B1CC5"/>
    <w:rsid w:val="67401089"/>
    <w:rsid w:val="67452B44"/>
    <w:rsid w:val="674C7A2E"/>
    <w:rsid w:val="674E7C4A"/>
    <w:rsid w:val="674F751F"/>
    <w:rsid w:val="67582877"/>
    <w:rsid w:val="675E7762"/>
    <w:rsid w:val="676A4358"/>
    <w:rsid w:val="6780592A"/>
    <w:rsid w:val="67890C82"/>
    <w:rsid w:val="67A930D3"/>
    <w:rsid w:val="67AB6E4B"/>
    <w:rsid w:val="67AF7FBD"/>
    <w:rsid w:val="67B33F51"/>
    <w:rsid w:val="67C375BB"/>
    <w:rsid w:val="67C63C85"/>
    <w:rsid w:val="67C65A33"/>
    <w:rsid w:val="67C717AB"/>
    <w:rsid w:val="67CC6DC1"/>
    <w:rsid w:val="67D068B1"/>
    <w:rsid w:val="67D143D7"/>
    <w:rsid w:val="67D57A24"/>
    <w:rsid w:val="67D650DE"/>
    <w:rsid w:val="67DA328C"/>
    <w:rsid w:val="67DF1EA7"/>
    <w:rsid w:val="67DF6AF4"/>
    <w:rsid w:val="67DF7CC1"/>
    <w:rsid w:val="67E1461B"/>
    <w:rsid w:val="67E22141"/>
    <w:rsid w:val="67ED2FEF"/>
    <w:rsid w:val="67F26828"/>
    <w:rsid w:val="67FFE259"/>
    <w:rsid w:val="68024591"/>
    <w:rsid w:val="68060525"/>
    <w:rsid w:val="68064081"/>
    <w:rsid w:val="680761C8"/>
    <w:rsid w:val="68103152"/>
    <w:rsid w:val="68212C69"/>
    <w:rsid w:val="682E182A"/>
    <w:rsid w:val="682F7A70"/>
    <w:rsid w:val="68330BEE"/>
    <w:rsid w:val="68352BB8"/>
    <w:rsid w:val="68356714"/>
    <w:rsid w:val="683A1F7D"/>
    <w:rsid w:val="6841155D"/>
    <w:rsid w:val="684352D5"/>
    <w:rsid w:val="684F3C7A"/>
    <w:rsid w:val="6850354E"/>
    <w:rsid w:val="685257B7"/>
    <w:rsid w:val="685C0145"/>
    <w:rsid w:val="686A3AD9"/>
    <w:rsid w:val="686E1C26"/>
    <w:rsid w:val="687A4A6F"/>
    <w:rsid w:val="68816294"/>
    <w:rsid w:val="68833924"/>
    <w:rsid w:val="68863414"/>
    <w:rsid w:val="68996CA3"/>
    <w:rsid w:val="689E075E"/>
    <w:rsid w:val="689F0032"/>
    <w:rsid w:val="68A372FB"/>
    <w:rsid w:val="68A65864"/>
    <w:rsid w:val="68A815DC"/>
    <w:rsid w:val="68AD274F"/>
    <w:rsid w:val="68AD6BF3"/>
    <w:rsid w:val="68B97345"/>
    <w:rsid w:val="68BD1FB9"/>
    <w:rsid w:val="68BE670A"/>
    <w:rsid w:val="68C31F72"/>
    <w:rsid w:val="68C87588"/>
    <w:rsid w:val="68CB020A"/>
    <w:rsid w:val="68D26659"/>
    <w:rsid w:val="68D35181"/>
    <w:rsid w:val="68D75A1D"/>
    <w:rsid w:val="68D979E8"/>
    <w:rsid w:val="68E41346"/>
    <w:rsid w:val="68E43F44"/>
    <w:rsid w:val="68F20AA9"/>
    <w:rsid w:val="68F24605"/>
    <w:rsid w:val="691B590A"/>
    <w:rsid w:val="69201173"/>
    <w:rsid w:val="69246927"/>
    <w:rsid w:val="69256789"/>
    <w:rsid w:val="692D388F"/>
    <w:rsid w:val="69472BA3"/>
    <w:rsid w:val="694E2184"/>
    <w:rsid w:val="69513A22"/>
    <w:rsid w:val="695B664F"/>
    <w:rsid w:val="69601EB7"/>
    <w:rsid w:val="69605006"/>
    <w:rsid w:val="6962178B"/>
    <w:rsid w:val="69635503"/>
    <w:rsid w:val="696848C8"/>
    <w:rsid w:val="696C43B8"/>
    <w:rsid w:val="69831701"/>
    <w:rsid w:val="69944010"/>
    <w:rsid w:val="699B2EEF"/>
    <w:rsid w:val="699B6A4B"/>
    <w:rsid w:val="699D6C67"/>
    <w:rsid w:val="69A00A1D"/>
    <w:rsid w:val="69AF24F6"/>
    <w:rsid w:val="69B071F3"/>
    <w:rsid w:val="69B21613"/>
    <w:rsid w:val="69B30239"/>
    <w:rsid w:val="69C2222A"/>
    <w:rsid w:val="69C67F6C"/>
    <w:rsid w:val="69C77840"/>
    <w:rsid w:val="69D32689"/>
    <w:rsid w:val="69D837FB"/>
    <w:rsid w:val="69E14DA6"/>
    <w:rsid w:val="69E2467A"/>
    <w:rsid w:val="69E623BC"/>
    <w:rsid w:val="69E71C90"/>
    <w:rsid w:val="69E87988"/>
    <w:rsid w:val="69EE1271"/>
    <w:rsid w:val="69F148BD"/>
    <w:rsid w:val="6A024D1C"/>
    <w:rsid w:val="6A0A597F"/>
    <w:rsid w:val="6A107439"/>
    <w:rsid w:val="6A1119AC"/>
    <w:rsid w:val="6A1231B1"/>
    <w:rsid w:val="6A162576"/>
    <w:rsid w:val="6A2353BE"/>
    <w:rsid w:val="6A2A28DA"/>
    <w:rsid w:val="6A2F6E06"/>
    <w:rsid w:val="6A356EA0"/>
    <w:rsid w:val="6A372C18"/>
    <w:rsid w:val="6A3D7B02"/>
    <w:rsid w:val="6A3F387A"/>
    <w:rsid w:val="6A415844"/>
    <w:rsid w:val="6A440E91"/>
    <w:rsid w:val="6A49294B"/>
    <w:rsid w:val="6A4A4B0F"/>
    <w:rsid w:val="6A521800"/>
    <w:rsid w:val="6A5E280F"/>
    <w:rsid w:val="6A667059"/>
    <w:rsid w:val="6A70612A"/>
    <w:rsid w:val="6A746F87"/>
    <w:rsid w:val="6A77772B"/>
    <w:rsid w:val="6A7E0847"/>
    <w:rsid w:val="6A813E93"/>
    <w:rsid w:val="6A9516EC"/>
    <w:rsid w:val="6AA45DD3"/>
    <w:rsid w:val="6AA638F9"/>
    <w:rsid w:val="6AA81420"/>
    <w:rsid w:val="6AAB0F10"/>
    <w:rsid w:val="6AAB7162"/>
    <w:rsid w:val="6ABA1153"/>
    <w:rsid w:val="6ABA73A5"/>
    <w:rsid w:val="6AC02C0D"/>
    <w:rsid w:val="6AC67AF8"/>
    <w:rsid w:val="6AD006E7"/>
    <w:rsid w:val="6AD761A9"/>
    <w:rsid w:val="6ADB7A47"/>
    <w:rsid w:val="6ADF0BB9"/>
    <w:rsid w:val="6AE0505D"/>
    <w:rsid w:val="6AE461D0"/>
    <w:rsid w:val="6AF05909"/>
    <w:rsid w:val="6AFA0A30"/>
    <w:rsid w:val="6AFA59F3"/>
    <w:rsid w:val="6B0D1BCA"/>
    <w:rsid w:val="6B15282D"/>
    <w:rsid w:val="6B225676"/>
    <w:rsid w:val="6B2C2051"/>
    <w:rsid w:val="6B3158B9"/>
    <w:rsid w:val="6B3C11EA"/>
    <w:rsid w:val="6B3C7440"/>
    <w:rsid w:val="6B405B92"/>
    <w:rsid w:val="6B453112"/>
    <w:rsid w:val="6B493A4E"/>
    <w:rsid w:val="6B543355"/>
    <w:rsid w:val="6B594E10"/>
    <w:rsid w:val="6B5C045C"/>
    <w:rsid w:val="6B5C7679"/>
    <w:rsid w:val="6B621A43"/>
    <w:rsid w:val="6B625A72"/>
    <w:rsid w:val="6B655563"/>
    <w:rsid w:val="6B686E01"/>
    <w:rsid w:val="6B6A697F"/>
    <w:rsid w:val="6B6C069F"/>
    <w:rsid w:val="6B715CB5"/>
    <w:rsid w:val="6B792DBC"/>
    <w:rsid w:val="6B8005EE"/>
    <w:rsid w:val="6B8359E9"/>
    <w:rsid w:val="6B87372B"/>
    <w:rsid w:val="6B882FFF"/>
    <w:rsid w:val="6B8974A3"/>
    <w:rsid w:val="6B8A321B"/>
    <w:rsid w:val="6B9E2823"/>
    <w:rsid w:val="6BA17A5A"/>
    <w:rsid w:val="6BA77929"/>
    <w:rsid w:val="6BAA566B"/>
    <w:rsid w:val="6BBB5183"/>
    <w:rsid w:val="6BC14CDC"/>
    <w:rsid w:val="6BCB7C47"/>
    <w:rsid w:val="6BD6529C"/>
    <w:rsid w:val="6BD85D34"/>
    <w:rsid w:val="6BDE4E25"/>
    <w:rsid w:val="6BE16F41"/>
    <w:rsid w:val="6BE40B7D"/>
    <w:rsid w:val="6BE75F78"/>
    <w:rsid w:val="6BEFC410"/>
    <w:rsid w:val="6C057932"/>
    <w:rsid w:val="6C07486C"/>
    <w:rsid w:val="6C083654"/>
    <w:rsid w:val="6C0A54A9"/>
    <w:rsid w:val="6C157029"/>
    <w:rsid w:val="6C1F1BB5"/>
    <w:rsid w:val="6C1F27D0"/>
    <w:rsid w:val="6C2216A6"/>
    <w:rsid w:val="6C305B70"/>
    <w:rsid w:val="6C3D14F3"/>
    <w:rsid w:val="6C5555D7"/>
    <w:rsid w:val="6C5A72D1"/>
    <w:rsid w:val="6C733CAF"/>
    <w:rsid w:val="6C787517"/>
    <w:rsid w:val="6C7C7008"/>
    <w:rsid w:val="6C7F08A6"/>
    <w:rsid w:val="6C8B0FF9"/>
    <w:rsid w:val="6C8D4D71"/>
    <w:rsid w:val="6CA125CA"/>
    <w:rsid w:val="6CA32A49"/>
    <w:rsid w:val="6CAD4A62"/>
    <w:rsid w:val="6CB63DA8"/>
    <w:rsid w:val="6CBF41BE"/>
    <w:rsid w:val="6CC4275D"/>
    <w:rsid w:val="6CF44DF0"/>
    <w:rsid w:val="6CF87842"/>
    <w:rsid w:val="6CFC5A53"/>
    <w:rsid w:val="6D075EA7"/>
    <w:rsid w:val="6D090AE2"/>
    <w:rsid w:val="6D0D1A0E"/>
    <w:rsid w:val="6D0D7C60"/>
    <w:rsid w:val="6D0F1C2A"/>
    <w:rsid w:val="6D142D9C"/>
    <w:rsid w:val="6D176D30"/>
    <w:rsid w:val="6D1F4DCE"/>
    <w:rsid w:val="6D205BE5"/>
    <w:rsid w:val="6D207CDB"/>
    <w:rsid w:val="6D21370B"/>
    <w:rsid w:val="6D2351CC"/>
    <w:rsid w:val="6D2B6338"/>
    <w:rsid w:val="6D307C84"/>
    <w:rsid w:val="6D325918"/>
    <w:rsid w:val="6D351CD7"/>
    <w:rsid w:val="6D365409"/>
    <w:rsid w:val="6D3E42BD"/>
    <w:rsid w:val="6D413DAD"/>
    <w:rsid w:val="6D4F64CA"/>
    <w:rsid w:val="6D543AE1"/>
    <w:rsid w:val="6D5E2269"/>
    <w:rsid w:val="6D605FE2"/>
    <w:rsid w:val="6D6C2BD8"/>
    <w:rsid w:val="6D793547"/>
    <w:rsid w:val="6D800726"/>
    <w:rsid w:val="6D8048D6"/>
    <w:rsid w:val="6D875C64"/>
    <w:rsid w:val="6D8A7502"/>
    <w:rsid w:val="6D8F4B19"/>
    <w:rsid w:val="6D943EDD"/>
    <w:rsid w:val="6D9B3AD4"/>
    <w:rsid w:val="6DA32372"/>
    <w:rsid w:val="6DA926D7"/>
    <w:rsid w:val="6DB225B5"/>
    <w:rsid w:val="6DCE5641"/>
    <w:rsid w:val="6DD02C0B"/>
    <w:rsid w:val="6DD36D83"/>
    <w:rsid w:val="6DE76703"/>
    <w:rsid w:val="6DFA0AEE"/>
    <w:rsid w:val="6DFED5E7"/>
    <w:rsid w:val="6E015DF0"/>
    <w:rsid w:val="6E0472B5"/>
    <w:rsid w:val="6E0C43BB"/>
    <w:rsid w:val="6E192634"/>
    <w:rsid w:val="6E1D3ED3"/>
    <w:rsid w:val="6E231294"/>
    <w:rsid w:val="6E2434B3"/>
    <w:rsid w:val="6E2A4841"/>
    <w:rsid w:val="6E2C2368"/>
    <w:rsid w:val="6E2E4332"/>
    <w:rsid w:val="6E315BD0"/>
    <w:rsid w:val="6E3851B0"/>
    <w:rsid w:val="6E396833"/>
    <w:rsid w:val="6E3A2CD6"/>
    <w:rsid w:val="6E3F653F"/>
    <w:rsid w:val="6E441C04"/>
    <w:rsid w:val="6E4753F3"/>
    <w:rsid w:val="6E4B4EE4"/>
    <w:rsid w:val="6E4E22DE"/>
    <w:rsid w:val="6E5518BE"/>
    <w:rsid w:val="6E625D89"/>
    <w:rsid w:val="6E697118"/>
    <w:rsid w:val="6E6D5537"/>
    <w:rsid w:val="6E737F96"/>
    <w:rsid w:val="6E755ABD"/>
    <w:rsid w:val="6E81062B"/>
    <w:rsid w:val="6E867CCA"/>
    <w:rsid w:val="6E8A177A"/>
    <w:rsid w:val="6E900B48"/>
    <w:rsid w:val="6E91728B"/>
    <w:rsid w:val="6E930639"/>
    <w:rsid w:val="6E985C4F"/>
    <w:rsid w:val="6EA2262A"/>
    <w:rsid w:val="6EA6036C"/>
    <w:rsid w:val="6EA75E92"/>
    <w:rsid w:val="6EAF03D6"/>
    <w:rsid w:val="6EB1286D"/>
    <w:rsid w:val="6EB760D5"/>
    <w:rsid w:val="6EB83BFB"/>
    <w:rsid w:val="6EBF31DC"/>
    <w:rsid w:val="6EBF4800"/>
    <w:rsid w:val="6EBF4F8A"/>
    <w:rsid w:val="6EC72888"/>
    <w:rsid w:val="6EC86534"/>
    <w:rsid w:val="6ED50C51"/>
    <w:rsid w:val="6ED547AD"/>
    <w:rsid w:val="6EDF387E"/>
    <w:rsid w:val="6EDF6717"/>
    <w:rsid w:val="6EE13152"/>
    <w:rsid w:val="6EE26A42"/>
    <w:rsid w:val="6EE40E94"/>
    <w:rsid w:val="6EEA3AE3"/>
    <w:rsid w:val="6EEE3AC1"/>
    <w:rsid w:val="6EF13547"/>
    <w:rsid w:val="6F1F3C7A"/>
    <w:rsid w:val="6F2D45E9"/>
    <w:rsid w:val="6F362DCF"/>
    <w:rsid w:val="6F381A07"/>
    <w:rsid w:val="6F413E85"/>
    <w:rsid w:val="6F451933"/>
    <w:rsid w:val="6F5163A9"/>
    <w:rsid w:val="6F547DC8"/>
    <w:rsid w:val="6F5778B8"/>
    <w:rsid w:val="6F5E0C47"/>
    <w:rsid w:val="6F5E29F5"/>
    <w:rsid w:val="6F5E7509"/>
    <w:rsid w:val="6F5F1DD0"/>
    <w:rsid w:val="6F5F3BC6"/>
    <w:rsid w:val="6F60676D"/>
    <w:rsid w:val="6F6FB08D"/>
    <w:rsid w:val="6F8306AD"/>
    <w:rsid w:val="6F860896"/>
    <w:rsid w:val="6F8F2BAE"/>
    <w:rsid w:val="6F96218E"/>
    <w:rsid w:val="6F997ED1"/>
    <w:rsid w:val="6FA36659"/>
    <w:rsid w:val="6FAC7C04"/>
    <w:rsid w:val="6FAF4FFE"/>
    <w:rsid w:val="6FB42615"/>
    <w:rsid w:val="6FBB3810"/>
    <w:rsid w:val="6FBE3493"/>
    <w:rsid w:val="6FC50CC6"/>
    <w:rsid w:val="6FC767EC"/>
    <w:rsid w:val="6FC82564"/>
    <w:rsid w:val="6FCD36D6"/>
    <w:rsid w:val="6FCFFE0D"/>
    <w:rsid w:val="6FD66A2F"/>
    <w:rsid w:val="6FDE1F16"/>
    <w:rsid w:val="6FE86762"/>
    <w:rsid w:val="6FF9096F"/>
    <w:rsid w:val="70030FCD"/>
    <w:rsid w:val="700510C2"/>
    <w:rsid w:val="700A66D9"/>
    <w:rsid w:val="700C2451"/>
    <w:rsid w:val="701337DF"/>
    <w:rsid w:val="701557A9"/>
    <w:rsid w:val="70205EFC"/>
    <w:rsid w:val="70253512"/>
    <w:rsid w:val="702552C0"/>
    <w:rsid w:val="70293003"/>
    <w:rsid w:val="702A0B29"/>
    <w:rsid w:val="702A1FFA"/>
    <w:rsid w:val="702C664F"/>
    <w:rsid w:val="70311EB7"/>
    <w:rsid w:val="7036127C"/>
    <w:rsid w:val="703A6FBE"/>
    <w:rsid w:val="703B29F7"/>
    <w:rsid w:val="703D260A"/>
    <w:rsid w:val="703E6382"/>
    <w:rsid w:val="704936A5"/>
    <w:rsid w:val="70577705"/>
    <w:rsid w:val="705D0EFE"/>
    <w:rsid w:val="706109EE"/>
    <w:rsid w:val="706202C3"/>
    <w:rsid w:val="7066454C"/>
    <w:rsid w:val="70674864"/>
    <w:rsid w:val="706C2EEF"/>
    <w:rsid w:val="706E6C67"/>
    <w:rsid w:val="70730722"/>
    <w:rsid w:val="70757FF6"/>
    <w:rsid w:val="7080699B"/>
    <w:rsid w:val="70812E3F"/>
    <w:rsid w:val="708228FC"/>
    <w:rsid w:val="70853FB1"/>
    <w:rsid w:val="7087757D"/>
    <w:rsid w:val="709541F4"/>
    <w:rsid w:val="70974410"/>
    <w:rsid w:val="70A703CB"/>
    <w:rsid w:val="70B008E6"/>
    <w:rsid w:val="70B54896"/>
    <w:rsid w:val="70BC3E77"/>
    <w:rsid w:val="70BD199D"/>
    <w:rsid w:val="70C66AA3"/>
    <w:rsid w:val="70CB5E68"/>
    <w:rsid w:val="70CE3BAA"/>
    <w:rsid w:val="70D25448"/>
    <w:rsid w:val="70DE165D"/>
    <w:rsid w:val="70E62CA2"/>
    <w:rsid w:val="70F73101"/>
    <w:rsid w:val="71072C18"/>
    <w:rsid w:val="71203227"/>
    <w:rsid w:val="71241A1C"/>
    <w:rsid w:val="7128150C"/>
    <w:rsid w:val="712D6B22"/>
    <w:rsid w:val="714479C8"/>
    <w:rsid w:val="714B1E7B"/>
    <w:rsid w:val="71551BD5"/>
    <w:rsid w:val="71587BF4"/>
    <w:rsid w:val="7168174D"/>
    <w:rsid w:val="71696745"/>
    <w:rsid w:val="716B41C3"/>
    <w:rsid w:val="716B44AA"/>
    <w:rsid w:val="71721749"/>
    <w:rsid w:val="71722787"/>
    <w:rsid w:val="7178018F"/>
    <w:rsid w:val="717C7162"/>
    <w:rsid w:val="717F6C52"/>
    <w:rsid w:val="7185070D"/>
    <w:rsid w:val="71882F5D"/>
    <w:rsid w:val="718B55F7"/>
    <w:rsid w:val="718C1A9B"/>
    <w:rsid w:val="7197343A"/>
    <w:rsid w:val="71A1306D"/>
    <w:rsid w:val="71A30B93"/>
    <w:rsid w:val="71A5490B"/>
    <w:rsid w:val="71AB5C99"/>
    <w:rsid w:val="71AF7537"/>
    <w:rsid w:val="71B23116"/>
    <w:rsid w:val="71B42DA0"/>
    <w:rsid w:val="71C254BD"/>
    <w:rsid w:val="71C64881"/>
    <w:rsid w:val="71C8684B"/>
    <w:rsid w:val="71CE323A"/>
    <w:rsid w:val="71CF7BDA"/>
    <w:rsid w:val="71D10A6E"/>
    <w:rsid w:val="71D451F0"/>
    <w:rsid w:val="71E219F3"/>
    <w:rsid w:val="71E371E1"/>
    <w:rsid w:val="71EB1615"/>
    <w:rsid w:val="71F254CD"/>
    <w:rsid w:val="71F94C57"/>
    <w:rsid w:val="72005FE5"/>
    <w:rsid w:val="720A7302"/>
    <w:rsid w:val="72141A90"/>
    <w:rsid w:val="7214383E"/>
    <w:rsid w:val="72165809"/>
    <w:rsid w:val="72203F91"/>
    <w:rsid w:val="72231CD3"/>
    <w:rsid w:val="722577FA"/>
    <w:rsid w:val="72263DBE"/>
    <w:rsid w:val="722A12B4"/>
    <w:rsid w:val="722C0B88"/>
    <w:rsid w:val="723839D1"/>
    <w:rsid w:val="723E077B"/>
    <w:rsid w:val="72435ED2"/>
    <w:rsid w:val="724A7260"/>
    <w:rsid w:val="724D2BD2"/>
    <w:rsid w:val="724F0D1A"/>
    <w:rsid w:val="725472E9"/>
    <w:rsid w:val="725620A9"/>
    <w:rsid w:val="725F058D"/>
    <w:rsid w:val="7261600B"/>
    <w:rsid w:val="72620A4E"/>
    <w:rsid w:val="726E2F4F"/>
    <w:rsid w:val="7270316B"/>
    <w:rsid w:val="72730565"/>
    <w:rsid w:val="72800ED4"/>
    <w:rsid w:val="728C7879"/>
    <w:rsid w:val="72901E96"/>
    <w:rsid w:val="729329B5"/>
    <w:rsid w:val="7298621E"/>
    <w:rsid w:val="729A3D44"/>
    <w:rsid w:val="729D6DC9"/>
    <w:rsid w:val="72AC3873"/>
    <w:rsid w:val="72AE5A41"/>
    <w:rsid w:val="72B1108D"/>
    <w:rsid w:val="72B868C0"/>
    <w:rsid w:val="72B96D93"/>
    <w:rsid w:val="72BA6194"/>
    <w:rsid w:val="72BB3CBA"/>
    <w:rsid w:val="72C60FDD"/>
    <w:rsid w:val="72CD6C46"/>
    <w:rsid w:val="72CE1C3F"/>
    <w:rsid w:val="72D8486C"/>
    <w:rsid w:val="72D96CB3"/>
    <w:rsid w:val="72DD00D4"/>
    <w:rsid w:val="72DF3FAB"/>
    <w:rsid w:val="72EC0317"/>
    <w:rsid w:val="72EE408F"/>
    <w:rsid w:val="72F52066"/>
    <w:rsid w:val="72F8342D"/>
    <w:rsid w:val="730317BE"/>
    <w:rsid w:val="73032C54"/>
    <w:rsid w:val="730857E2"/>
    <w:rsid w:val="730B69EF"/>
    <w:rsid w:val="73117D7E"/>
    <w:rsid w:val="731358A4"/>
    <w:rsid w:val="731528C7"/>
    <w:rsid w:val="731A30D6"/>
    <w:rsid w:val="7329156C"/>
    <w:rsid w:val="732B7092"/>
    <w:rsid w:val="732C6966"/>
    <w:rsid w:val="733046A8"/>
    <w:rsid w:val="733A6046"/>
    <w:rsid w:val="73410663"/>
    <w:rsid w:val="734359DE"/>
    <w:rsid w:val="73487C44"/>
    <w:rsid w:val="73506AF8"/>
    <w:rsid w:val="7352461E"/>
    <w:rsid w:val="735257B2"/>
    <w:rsid w:val="73532145"/>
    <w:rsid w:val="73571C35"/>
    <w:rsid w:val="735F68D1"/>
    <w:rsid w:val="73652590"/>
    <w:rsid w:val="73661E78"/>
    <w:rsid w:val="73685BF0"/>
    <w:rsid w:val="736E6F7E"/>
    <w:rsid w:val="737A1DC7"/>
    <w:rsid w:val="737F2F3A"/>
    <w:rsid w:val="7386076C"/>
    <w:rsid w:val="738E13CF"/>
    <w:rsid w:val="739043AE"/>
    <w:rsid w:val="73944C37"/>
    <w:rsid w:val="739E4015"/>
    <w:rsid w:val="739F35DC"/>
    <w:rsid w:val="73A225C1"/>
    <w:rsid w:val="73AA6208"/>
    <w:rsid w:val="73B726D3"/>
    <w:rsid w:val="73CD0149"/>
    <w:rsid w:val="73D01D99"/>
    <w:rsid w:val="73DE5EB2"/>
    <w:rsid w:val="73E7745D"/>
    <w:rsid w:val="73F6144E"/>
    <w:rsid w:val="73FB6A64"/>
    <w:rsid w:val="73FD1347"/>
    <w:rsid w:val="7400407A"/>
    <w:rsid w:val="74031DBD"/>
    <w:rsid w:val="74051691"/>
    <w:rsid w:val="74147B26"/>
    <w:rsid w:val="742003C3"/>
    <w:rsid w:val="74341F76"/>
    <w:rsid w:val="7435737E"/>
    <w:rsid w:val="74381CCD"/>
    <w:rsid w:val="744A1799"/>
    <w:rsid w:val="744F6DB0"/>
    <w:rsid w:val="744F700A"/>
    <w:rsid w:val="745727B9"/>
    <w:rsid w:val="745C662B"/>
    <w:rsid w:val="745D2E70"/>
    <w:rsid w:val="74654825"/>
    <w:rsid w:val="74671F38"/>
    <w:rsid w:val="74692034"/>
    <w:rsid w:val="746A5998"/>
    <w:rsid w:val="746C1710"/>
    <w:rsid w:val="74746816"/>
    <w:rsid w:val="74750F31"/>
    <w:rsid w:val="74786307"/>
    <w:rsid w:val="747B7BA5"/>
    <w:rsid w:val="747D391D"/>
    <w:rsid w:val="74962C31"/>
    <w:rsid w:val="749C0915"/>
    <w:rsid w:val="749D3705"/>
    <w:rsid w:val="74A73AB9"/>
    <w:rsid w:val="74B11819"/>
    <w:rsid w:val="74BA691F"/>
    <w:rsid w:val="74BD640F"/>
    <w:rsid w:val="74C27582"/>
    <w:rsid w:val="74C55B4B"/>
    <w:rsid w:val="74CB28DA"/>
    <w:rsid w:val="74D6127F"/>
    <w:rsid w:val="74DE2DFA"/>
    <w:rsid w:val="74E219D2"/>
    <w:rsid w:val="74E4399C"/>
    <w:rsid w:val="74E7348C"/>
    <w:rsid w:val="74EA287D"/>
    <w:rsid w:val="74F07178"/>
    <w:rsid w:val="74F23177"/>
    <w:rsid w:val="74FBAED1"/>
    <w:rsid w:val="7513602F"/>
    <w:rsid w:val="75175B20"/>
    <w:rsid w:val="75242208"/>
    <w:rsid w:val="75297557"/>
    <w:rsid w:val="75330700"/>
    <w:rsid w:val="753A35BC"/>
    <w:rsid w:val="753C37D8"/>
    <w:rsid w:val="75423F42"/>
    <w:rsid w:val="7544443B"/>
    <w:rsid w:val="75467DDB"/>
    <w:rsid w:val="75475CD9"/>
    <w:rsid w:val="75501031"/>
    <w:rsid w:val="75530B22"/>
    <w:rsid w:val="75556648"/>
    <w:rsid w:val="756845CD"/>
    <w:rsid w:val="75703482"/>
    <w:rsid w:val="75720FA8"/>
    <w:rsid w:val="75742F72"/>
    <w:rsid w:val="75750A98"/>
    <w:rsid w:val="757A4300"/>
    <w:rsid w:val="757C3BD5"/>
    <w:rsid w:val="757C5983"/>
    <w:rsid w:val="757E1225"/>
    <w:rsid w:val="7589009F"/>
    <w:rsid w:val="758B02BC"/>
    <w:rsid w:val="758E0441"/>
    <w:rsid w:val="758F1B5A"/>
    <w:rsid w:val="75930F1E"/>
    <w:rsid w:val="75932CCC"/>
    <w:rsid w:val="759E3B4B"/>
    <w:rsid w:val="759F5B15"/>
    <w:rsid w:val="75A82C1C"/>
    <w:rsid w:val="75B07D22"/>
    <w:rsid w:val="75B3067F"/>
    <w:rsid w:val="75BC66C7"/>
    <w:rsid w:val="75BE41ED"/>
    <w:rsid w:val="75BF14D2"/>
    <w:rsid w:val="75C5557C"/>
    <w:rsid w:val="75D237F5"/>
    <w:rsid w:val="75D25EEA"/>
    <w:rsid w:val="75D91027"/>
    <w:rsid w:val="75DE663D"/>
    <w:rsid w:val="75E377B2"/>
    <w:rsid w:val="75F220E9"/>
    <w:rsid w:val="75F47FF3"/>
    <w:rsid w:val="75F55735"/>
    <w:rsid w:val="75F714AD"/>
    <w:rsid w:val="760836BA"/>
    <w:rsid w:val="760F2C9B"/>
    <w:rsid w:val="76116A13"/>
    <w:rsid w:val="761402B1"/>
    <w:rsid w:val="76164029"/>
    <w:rsid w:val="76165DD7"/>
    <w:rsid w:val="761E2EDE"/>
    <w:rsid w:val="762C55FB"/>
    <w:rsid w:val="76397D18"/>
    <w:rsid w:val="763B3A90"/>
    <w:rsid w:val="764A782F"/>
    <w:rsid w:val="764F753B"/>
    <w:rsid w:val="76522B87"/>
    <w:rsid w:val="765B6204"/>
    <w:rsid w:val="76612DCA"/>
    <w:rsid w:val="766528BB"/>
    <w:rsid w:val="76697616"/>
    <w:rsid w:val="766B192D"/>
    <w:rsid w:val="766F135C"/>
    <w:rsid w:val="76726135"/>
    <w:rsid w:val="769D2054"/>
    <w:rsid w:val="76A17EFF"/>
    <w:rsid w:val="76A827A7"/>
    <w:rsid w:val="76B37ACA"/>
    <w:rsid w:val="76B9E0FE"/>
    <w:rsid w:val="76BB697E"/>
    <w:rsid w:val="76C021E7"/>
    <w:rsid w:val="76C23463"/>
    <w:rsid w:val="76C43A85"/>
    <w:rsid w:val="76CA6BC2"/>
    <w:rsid w:val="76CC46E8"/>
    <w:rsid w:val="76D3350E"/>
    <w:rsid w:val="76E01F41"/>
    <w:rsid w:val="76E45ED5"/>
    <w:rsid w:val="76F0487A"/>
    <w:rsid w:val="76F36118"/>
    <w:rsid w:val="76F854DD"/>
    <w:rsid w:val="76FD7371"/>
    <w:rsid w:val="77057BFA"/>
    <w:rsid w:val="771A36A5"/>
    <w:rsid w:val="77275DC2"/>
    <w:rsid w:val="772E7150"/>
    <w:rsid w:val="773329B9"/>
    <w:rsid w:val="77370EEF"/>
    <w:rsid w:val="773D6648"/>
    <w:rsid w:val="774921DC"/>
    <w:rsid w:val="77512E3F"/>
    <w:rsid w:val="77534E09"/>
    <w:rsid w:val="7755292F"/>
    <w:rsid w:val="7758241F"/>
    <w:rsid w:val="7763AA52"/>
    <w:rsid w:val="776879A8"/>
    <w:rsid w:val="777059BB"/>
    <w:rsid w:val="77710992"/>
    <w:rsid w:val="7771703D"/>
    <w:rsid w:val="77770754"/>
    <w:rsid w:val="77784870"/>
    <w:rsid w:val="7778661E"/>
    <w:rsid w:val="777F175A"/>
    <w:rsid w:val="777F364F"/>
    <w:rsid w:val="77862AE9"/>
    <w:rsid w:val="7789082B"/>
    <w:rsid w:val="779A2A38"/>
    <w:rsid w:val="779D69AF"/>
    <w:rsid w:val="779E42D6"/>
    <w:rsid w:val="779F3BAA"/>
    <w:rsid w:val="77A411C1"/>
    <w:rsid w:val="77A967D7"/>
    <w:rsid w:val="77B05DB7"/>
    <w:rsid w:val="77B37656"/>
    <w:rsid w:val="77C67389"/>
    <w:rsid w:val="77C718FD"/>
    <w:rsid w:val="77D221D2"/>
    <w:rsid w:val="77D31AA6"/>
    <w:rsid w:val="77E3618D"/>
    <w:rsid w:val="77EA16F7"/>
    <w:rsid w:val="77ED700C"/>
    <w:rsid w:val="77EECAAA"/>
    <w:rsid w:val="77F15368"/>
    <w:rsid w:val="77F47144"/>
    <w:rsid w:val="77F63260"/>
    <w:rsid w:val="77FA34D6"/>
    <w:rsid w:val="77FB54EB"/>
    <w:rsid w:val="77FFC614"/>
    <w:rsid w:val="78146346"/>
    <w:rsid w:val="781E0F73"/>
    <w:rsid w:val="781E5417"/>
    <w:rsid w:val="781F337D"/>
    <w:rsid w:val="78242F85"/>
    <w:rsid w:val="782A7918"/>
    <w:rsid w:val="782C179B"/>
    <w:rsid w:val="782D565A"/>
    <w:rsid w:val="783562BD"/>
    <w:rsid w:val="78361C89"/>
    <w:rsid w:val="78397B5B"/>
    <w:rsid w:val="783D0149"/>
    <w:rsid w:val="784F737E"/>
    <w:rsid w:val="785D5F3F"/>
    <w:rsid w:val="7860158C"/>
    <w:rsid w:val="786170B2"/>
    <w:rsid w:val="78672624"/>
    <w:rsid w:val="787119EB"/>
    <w:rsid w:val="78745037"/>
    <w:rsid w:val="78770683"/>
    <w:rsid w:val="787E6FBC"/>
    <w:rsid w:val="78822056"/>
    <w:rsid w:val="78852DA0"/>
    <w:rsid w:val="788830A0"/>
    <w:rsid w:val="7888668D"/>
    <w:rsid w:val="788A3163"/>
    <w:rsid w:val="78941235"/>
    <w:rsid w:val="78A07BDA"/>
    <w:rsid w:val="78B33DB1"/>
    <w:rsid w:val="78BC51E1"/>
    <w:rsid w:val="78C064CE"/>
    <w:rsid w:val="78C57641"/>
    <w:rsid w:val="78CF6711"/>
    <w:rsid w:val="78DD498A"/>
    <w:rsid w:val="78EE303B"/>
    <w:rsid w:val="78F148D9"/>
    <w:rsid w:val="79077C59"/>
    <w:rsid w:val="79170C62"/>
    <w:rsid w:val="791B1956"/>
    <w:rsid w:val="791D20CB"/>
    <w:rsid w:val="792E7984"/>
    <w:rsid w:val="79346574"/>
    <w:rsid w:val="793B3B86"/>
    <w:rsid w:val="79425135"/>
    <w:rsid w:val="79462067"/>
    <w:rsid w:val="794744F9"/>
    <w:rsid w:val="794964C4"/>
    <w:rsid w:val="79514F6B"/>
    <w:rsid w:val="7956473D"/>
    <w:rsid w:val="795A247F"/>
    <w:rsid w:val="795B3127"/>
    <w:rsid w:val="795C61F7"/>
    <w:rsid w:val="79667075"/>
    <w:rsid w:val="79682D81"/>
    <w:rsid w:val="797572B9"/>
    <w:rsid w:val="797B41A3"/>
    <w:rsid w:val="797D7F1B"/>
    <w:rsid w:val="79815C5D"/>
    <w:rsid w:val="79892D64"/>
    <w:rsid w:val="79974728"/>
    <w:rsid w:val="799C4845"/>
    <w:rsid w:val="79A100AE"/>
    <w:rsid w:val="79B0080B"/>
    <w:rsid w:val="79B17BC5"/>
    <w:rsid w:val="79B5694C"/>
    <w:rsid w:val="79B7342D"/>
    <w:rsid w:val="79B871A5"/>
    <w:rsid w:val="79C142AC"/>
    <w:rsid w:val="79C43D9C"/>
    <w:rsid w:val="79CE6D9C"/>
    <w:rsid w:val="79D33FDF"/>
    <w:rsid w:val="79D51B05"/>
    <w:rsid w:val="79D7587D"/>
    <w:rsid w:val="79DC7338"/>
    <w:rsid w:val="79E65AC0"/>
    <w:rsid w:val="79EA1A55"/>
    <w:rsid w:val="79F301DD"/>
    <w:rsid w:val="7A0400BD"/>
    <w:rsid w:val="7A04063C"/>
    <w:rsid w:val="7A073240"/>
    <w:rsid w:val="7A081EDB"/>
    <w:rsid w:val="7A0F14BB"/>
    <w:rsid w:val="7A1179E4"/>
    <w:rsid w:val="7A122D24"/>
    <w:rsid w:val="7A1545F8"/>
    <w:rsid w:val="7A221BD9"/>
    <w:rsid w:val="7A2F56B9"/>
    <w:rsid w:val="7A3301F5"/>
    <w:rsid w:val="7A3F1373"/>
    <w:rsid w:val="7A434CC1"/>
    <w:rsid w:val="7A443BB4"/>
    <w:rsid w:val="7A460C55"/>
    <w:rsid w:val="7A4F18B8"/>
    <w:rsid w:val="7A5073DE"/>
    <w:rsid w:val="7A541F06"/>
    <w:rsid w:val="7A5C42EA"/>
    <w:rsid w:val="7A62566F"/>
    <w:rsid w:val="7A6335B5"/>
    <w:rsid w:val="7A6E5DE5"/>
    <w:rsid w:val="7A712A61"/>
    <w:rsid w:val="7A721A4A"/>
    <w:rsid w:val="7A726478"/>
    <w:rsid w:val="7A770E0E"/>
    <w:rsid w:val="7A7B26AD"/>
    <w:rsid w:val="7A804167"/>
    <w:rsid w:val="7A85352B"/>
    <w:rsid w:val="7A8C48BA"/>
    <w:rsid w:val="7A97325F"/>
    <w:rsid w:val="7A995229"/>
    <w:rsid w:val="7AA6C737"/>
    <w:rsid w:val="7AB67B89"/>
    <w:rsid w:val="7AB81435"/>
    <w:rsid w:val="7ABFDD59"/>
    <w:rsid w:val="7AC12D9A"/>
    <w:rsid w:val="7AC878BC"/>
    <w:rsid w:val="7ACD0A2E"/>
    <w:rsid w:val="7AD26045"/>
    <w:rsid w:val="7AD324E9"/>
    <w:rsid w:val="7AD41DBD"/>
    <w:rsid w:val="7AD7365B"/>
    <w:rsid w:val="7AD87AFF"/>
    <w:rsid w:val="7ADD5115"/>
    <w:rsid w:val="7AE220D3"/>
    <w:rsid w:val="7AEC7106"/>
    <w:rsid w:val="7AEF4E49"/>
    <w:rsid w:val="7AF1471D"/>
    <w:rsid w:val="7AF16E13"/>
    <w:rsid w:val="7AF52EC8"/>
    <w:rsid w:val="7AF661D7"/>
    <w:rsid w:val="7B057E61"/>
    <w:rsid w:val="7B072192"/>
    <w:rsid w:val="7B0C1557"/>
    <w:rsid w:val="7B0F1047"/>
    <w:rsid w:val="7B1448AF"/>
    <w:rsid w:val="7B164183"/>
    <w:rsid w:val="7B1D7C08"/>
    <w:rsid w:val="7B1F572E"/>
    <w:rsid w:val="7B205002"/>
    <w:rsid w:val="7B220D7A"/>
    <w:rsid w:val="7B2368A0"/>
    <w:rsid w:val="7B2A5E81"/>
    <w:rsid w:val="7B32362F"/>
    <w:rsid w:val="7B332F87"/>
    <w:rsid w:val="7B4927AB"/>
    <w:rsid w:val="7B533629"/>
    <w:rsid w:val="7B5A6766"/>
    <w:rsid w:val="7B6E0463"/>
    <w:rsid w:val="7B707D38"/>
    <w:rsid w:val="7B764B1D"/>
    <w:rsid w:val="7B7F7F7B"/>
    <w:rsid w:val="7B841A35"/>
    <w:rsid w:val="7B874528"/>
    <w:rsid w:val="7B8A691F"/>
    <w:rsid w:val="7B98728E"/>
    <w:rsid w:val="7B9C1B1E"/>
    <w:rsid w:val="7BA45C33"/>
    <w:rsid w:val="7BA67BFD"/>
    <w:rsid w:val="7BA7127F"/>
    <w:rsid w:val="7BAF39CA"/>
    <w:rsid w:val="7BB16DAF"/>
    <w:rsid w:val="7BB75966"/>
    <w:rsid w:val="7BCD6656"/>
    <w:rsid w:val="7BD04C7A"/>
    <w:rsid w:val="7BD227A0"/>
    <w:rsid w:val="7BDD31C6"/>
    <w:rsid w:val="7BE10C35"/>
    <w:rsid w:val="7BE129E3"/>
    <w:rsid w:val="7BEA8C87"/>
    <w:rsid w:val="7BEE3A16"/>
    <w:rsid w:val="7BEE5100"/>
    <w:rsid w:val="7BF42D23"/>
    <w:rsid w:val="7BF5CF15"/>
    <w:rsid w:val="7BF87D2D"/>
    <w:rsid w:val="7BFE17E7"/>
    <w:rsid w:val="7BFF090A"/>
    <w:rsid w:val="7BFF0ED0"/>
    <w:rsid w:val="7C042B76"/>
    <w:rsid w:val="7C0D2814"/>
    <w:rsid w:val="7C136915"/>
    <w:rsid w:val="7C266648"/>
    <w:rsid w:val="7C267368"/>
    <w:rsid w:val="7C324FED"/>
    <w:rsid w:val="7C38637B"/>
    <w:rsid w:val="7C3945CD"/>
    <w:rsid w:val="7C441BC4"/>
    <w:rsid w:val="7C466CEA"/>
    <w:rsid w:val="7C482A62"/>
    <w:rsid w:val="7C4D0079"/>
    <w:rsid w:val="7C50113C"/>
    <w:rsid w:val="7C52568F"/>
    <w:rsid w:val="7C55517F"/>
    <w:rsid w:val="7C5D4691"/>
    <w:rsid w:val="7C63789C"/>
    <w:rsid w:val="7C647170"/>
    <w:rsid w:val="7C694787"/>
    <w:rsid w:val="7C6D4277"/>
    <w:rsid w:val="7C75137E"/>
    <w:rsid w:val="7C7575D0"/>
    <w:rsid w:val="7C776EA4"/>
    <w:rsid w:val="7C7C095E"/>
    <w:rsid w:val="7C885555"/>
    <w:rsid w:val="7C8975E5"/>
    <w:rsid w:val="7C8A307B"/>
    <w:rsid w:val="7CA010C3"/>
    <w:rsid w:val="7CA0289E"/>
    <w:rsid w:val="7CB43C54"/>
    <w:rsid w:val="7CBC6927"/>
    <w:rsid w:val="7CC0084B"/>
    <w:rsid w:val="7CC12815"/>
    <w:rsid w:val="7CC74134"/>
    <w:rsid w:val="7CCF1A19"/>
    <w:rsid w:val="7CD04806"/>
    <w:rsid w:val="7CD51E1C"/>
    <w:rsid w:val="7CDC13FD"/>
    <w:rsid w:val="7CDD1B87"/>
    <w:rsid w:val="7CE3278B"/>
    <w:rsid w:val="7CEC7892"/>
    <w:rsid w:val="7CED202F"/>
    <w:rsid w:val="7CF36E72"/>
    <w:rsid w:val="7CF404F4"/>
    <w:rsid w:val="7CF90201"/>
    <w:rsid w:val="7CFE5817"/>
    <w:rsid w:val="7CFF0D1F"/>
    <w:rsid w:val="7D0270B5"/>
    <w:rsid w:val="7D032E2D"/>
    <w:rsid w:val="7D07647A"/>
    <w:rsid w:val="7D0E5A5A"/>
    <w:rsid w:val="7D171753"/>
    <w:rsid w:val="7D1B3CD3"/>
    <w:rsid w:val="7D1C608E"/>
    <w:rsid w:val="7D2A765D"/>
    <w:rsid w:val="7D2F777E"/>
    <w:rsid w:val="7D360B0D"/>
    <w:rsid w:val="7D364FB1"/>
    <w:rsid w:val="7D3923AB"/>
    <w:rsid w:val="7D407BDD"/>
    <w:rsid w:val="7D4E22FA"/>
    <w:rsid w:val="7D5471E5"/>
    <w:rsid w:val="7D5B0573"/>
    <w:rsid w:val="7D5F4879"/>
    <w:rsid w:val="7D6B6AB1"/>
    <w:rsid w:val="7D6C2781"/>
    <w:rsid w:val="7D755AD9"/>
    <w:rsid w:val="7D7653AD"/>
    <w:rsid w:val="7D831878"/>
    <w:rsid w:val="7D943A85"/>
    <w:rsid w:val="7D9632F4"/>
    <w:rsid w:val="7D97102F"/>
    <w:rsid w:val="7D9E532C"/>
    <w:rsid w:val="7D9F66B2"/>
    <w:rsid w:val="7DA243F4"/>
    <w:rsid w:val="7DA55C93"/>
    <w:rsid w:val="7DA63EE4"/>
    <w:rsid w:val="7DB008BF"/>
    <w:rsid w:val="7DB639FC"/>
    <w:rsid w:val="7DBD692C"/>
    <w:rsid w:val="7DBE3A17"/>
    <w:rsid w:val="7DBE7ADD"/>
    <w:rsid w:val="7DC51E91"/>
    <w:rsid w:val="7DC720AD"/>
    <w:rsid w:val="7DCB394B"/>
    <w:rsid w:val="7DD32800"/>
    <w:rsid w:val="7DE20C95"/>
    <w:rsid w:val="7DE247F1"/>
    <w:rsid w:val="7DE71E07"/>
    <w:rsid w:val="7DEB7B49"/>
    <w:rsid w:val="7DF06F0E"/>
    <w:rsid w:val="7DF29F64"/>
    <w:rsid w:val="7DF95558"/>
    <w:rsid w:val="7DFA7D8C"/>
    <w:rsid w:val="7E002EC9"/>
    <w:rsid w:val="7E057FE6"/>
    <w:rsid w:val="7E0D5D12"/>
    <w:rsid w:val="7E13537A"/>
    <w:rsid w:val="7E156974"/>
    <w:rsid w:val="7E191995"/>
    <w:rsid w:val="7E1FC50A"/>
    <w:rsid w:val="7E213C73"/>
    <w:rsid w:val="7E2D1F10"/>
    <w:rsid w:val="7E32177F"/>
    <w:rsid w:val="7E431733"/>
    <w:rsid w:val="7E4C610E"/>
    <w:rsid w:val="7E5F4018"/>
    <w:rsid w:val="7E617E0B"/>
    <w:rsid w:val="7E6416AA"/>
    <w:rsid w:val="7E6671D0"/>
    <w:rsid w:val="7E70004F"/>
    <w:rsid w:val="7E7E6C0F"/>
    <w:rsid w:val="7E855D33"/>
    <w:rsid w:val="7E953F59"/>
    <w:rsid w:val="7E970ADC"/>
    <w:rsid w:val="7E97161A"/>
    <w:rsid w:val="7EA1645A"/>
    <w:rsid w:val="7EAD3464"/>
    <w:rsid w:val="7EAF501B"/>
    <w:rsid w:val="7EB3006D"/>
    <w:rsid w:val="7EBA751C"/>
    <w:rsid w:val="7EBF4B32"/>
    <w:rsid w:val="7EC34622"/>
    <w:rsid w:val="7EC7B1DD"/>
    <w:rsid w:val="7ECBFE7A"/>
    <w:rsid w:val="7ED33124"/>
    <w:rsid w:val="7EDD0A49"/>
    <w:rsid w:val="7EDE76AE"/>
    <w:rsid w:val="7EE051D4"/>
    <w:rsid w:val="7EE10F4C"/>
    <w:rsid w:val="7EE2719E"/>
    <w:rsid w:val="7EE43B13"/>
    <w:rsid w:val="7EE7CB21"/>
    <w:rsid w:val="7EF02F3D"/>
    <w:rsid w:val="7EF42A2E"/>
    <w:rsid w:val="7EF50554"/>
    <w:rsid w:val="7EFE6266"/>
    <w:rsid w:val="7F0C2A46"/>
    <w:rsid w:val="7F0C5FC9"/>
    <w:rsid w:val="7F1255AA"/>
    <w:rsid w:val="7F1635B2"/>
    <w:rsid w:val="7F1A681E"/>
    <w:rsid w:val="7F1C3D32"/>
    <w:rsid w:val="7F1D01D6"/>
    <w:rsid w:val="7F230065"/>
    <w:rsid w:val="7F271055"/>
    <w:rsid w:val="7F315A30"/>
    <w:rsid w:val="7F3472CE"/>
    <w:rsid w:val="7F3F0497"/>
    <w:rsid w:val="7F4219EB"/>
    <w:rsid w:val="7F475253"/>
    <w:rsid w:val="7F4D0390"/>
    <w:rsid w:val="7F531E4A"/>
    <w:rsid w:val="7F5700F0"/>
    <w:rsid w:val="7F5C78AC"/>
    <w:rsid w:val="7F5E434B"/>
    <w:rsid w:val="7F611223"/>
    <w:rsid w:val="7F6D27E0"/>
    <w:rsid w:val="7F736048"/>
    <w:rsid w:val="7F7818B1"/>
    <w:rsid w:val="7F7B5DD3"/>
    <w:rsid w:val="7F7D2A23"/>
    <w:rsid w:val="7F86176D"/>
    <w:rsid w:val="7F8813C8"/>
    <w:rsid w:val="7F912972"/>
    <w:rsid w:val="7F945FBF"/>
    <w:rsid w:val="7F984E8D"/>
    <w:rsid w:val="7FA53D28"/>
    <w:rsid w:val="7FAD217D"/>
    <w:rsid w:val="7FB328E9"/>
    <w:rsid w:val="7FB83A5B"/>
    <w:rsid w:val="7FBA3C77"/>
    <w:rsid w:val="7FBD0E04"/>
    <w:rsid w:val="7FC95651"/>
    <w:rsid w:val="7FCA33BC"/>
    <w:rsid w:val="7FD66215"/>
    <w:rsid w:val="7FDD5BB8"/>
    <w:rsid w:val="7FE42AA2"/>
    <w:rsid w:val="7FEEDD42"/>
    <w:rsid w:val="7FF23478"/>
    <w:rsid w:val="7FF837DF"/>
    <w:rsid w:val="7FFD5912"/>
    <w:rsid w:val="7FFD9D98"/>
    <w:rsid w:val="8EF77D46"/>
    <w:rsid w:val="AABE5FB6"/>
    <w:rsid w:val="AFEDBC00"/>
    <w:rsid w:val="B6E7EB6A"/>
    <w:rsid w:val="B7313197"/>
    <w:rsid w:val="B7CF14AA"/>
    <w:rsid w:val="B94E87B9"/>
    <w:rsid w:val="B9BA8448"/>
    <w:rsid w:val="BDF58071"/>
    <w:rsid w:val="BF9B55DF"/>
    <w:rsid w:val="CA6BC510"/>
    <w:rsid w:val="CDF71C5A"/>
    <w:rsid w:val="D3EB795D"/>
    <w:rsid w:val="D5EBFE33"/>
    <w:rsid w:val="D7FF9EEF"/>
    <w:rsid w:val="DB7BC94C"/>
    <w:rsid w:val="DEDD7C23"/>
    <w:rsid w:val="DF3F672C"/>
    <w:rsid w:val="DF4F91A7"/>
    <w:rsid w:val="DF6023AF"/>
    <w:rsid w:val="DFF3F8AE"/>
    <w:rsid w:val="DFFFA151"/>
    <w:rsid w:val="E3AE36BD"/>
    <w:rsid w:val="E5FF943F"/>
    <w:rsid w:val="EAFFE720"/>
    <w:rsid w:val="EDDF812C"/>
    <w:rsid w:val="EEFFA8BE"/>
    <w:rsid w:val="EF6E764C"/>
    <w:rsid w:val="F22BF0ED"/>
    <w:rsid w:val="F2F6D314"/>
    <w:rsid w:val="F35F6ACD"/>
    <w:rsid w:val="F3FF2E74"/>
    <w:rsid w:val="F5FD33C0"/>
    <w:rsid w:val="F7FB74F6"/>
    <w:rsid w:val="F99FFBF1"/>
    <w:rsid w:val="F9FF9D6A"/>
    <w:rsid w:val="FD2BB110"/>
    <w:rsid w:val="FD3BC49B"/>
    <w:rsid w:val="FDFE22D5"/>
    <w:rsid w:val="FEFB1911"/>
    <w:rsid w:val="FF7F78AE"/>
    <w:rsid w:val="FF8FDADB"/>
    <w:rsid w:val="FFB5BEE2"/>
    <w:rsid w:val="FFBB14E8"/>
    <w:rsid w:val="FFBDB5B5"/>
    <w:rsid w:val="FFCD806A"/>
    <w:rsid w:val="FFCDB2F4"/>
    <w:rsid w:val="FFF3B61B"/>
    <w:rsid w:val="FFF7BFC3"/>
    <w:rsid w:val="FFFDEA28"/>
    <w:rsid w:val="FFFFD01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textAlignment w:val="baseline"/>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after="120"/>
      <w:jc w:val="center"/>
      <w:outlineLvl w:val="0"/>
    </w:pPr>
    <w:rPr>
      <w:b/>
      <w:spacing w:val="20"/>
      <w:kern w:val="44"/>
      <w:sz w:val="32"/>
    </w:rPr>
  </w:style>
  <w:style w:type="paragraph" w:styleId="3">
    <w:name w:val="heading 2"/>
    <w:basedOn w:val="1"/>
    <w:next w:val="1"/>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110"/>
    <w:qFormat/>
    <w:uiPriority w:val="0"/>
    <w:pPr>
      <w:keepNext/>
      <w:keepLines/>
      <w:widowControl w:val="0"/>
      <w:spacing w:before="60" w:after="60" w:line="500" w:lineRule="exact"/>
      <w:ind w:firstLine="510"/>
      <w:textAlignment w:val="auto"/>
      <w:outlineLvl w:val="2"/>
    </w:pPr>
    <w:rPr>
      <w:rFonts w:ascii="宋体"/>
      <w:b/>
      <w:kern w:val="0"/>
      <w:sz w:val="24"/>
    </w:rPr>
  </w:style>
  <w:style w:type="paragraph" w:styleId="5">
    <w:name w:val="heading 4"/>
    <w:basedOn w:val="1"/>
    <w:next w:val="1"/>
    <w:qFormat/>
    <w:uiPriority w:val="0"/>
    <w:pPr>
      <w:keepNext/>
      <w:keepLines/>
      <w:spacing w:before="280" w:after="290" w:line="372" w:lineRule="auto"/>
      <w:outlineLvl w:val="3"/>
    </w:pPr>
    <w:rPr>
      <w:rFonts w:ascii="Arial" w:hAnsi="Arial" w:eastAsia="黑体"/>
      <w:b/>
      <w:sz w:val="28"/>
      <w:lang w:val="zh-CN"/>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link w:val="111"/>
    <w:qFormat/>
    <w:uiPriority w:val="0"/>
    <w:pPr>
      <w:widowControl w:val="0"/>
      <w:spacing w:after="200" w:line="276" w:lineRule="auto"/>
      <w:ind w:firstLine="420"/>
      <w:textAlignment w:val="auto"/>
    </w:pPr>
    <w:rPr>
      <w:kern w:val="0"/>
      <w:sz w:val="20"/>
    </w:rPr>
  </w:style>
  <w:style w:type="paragraph" w:styleId="7">
    <w:name w:val="caption"/>
    <w:basedOn w:val="1"/>
    <w:next w:val="1"/>
    <w:qFormat/>
    <w:uiPriority w:val="0"/>
    <w:rPr>
      <w:rFonts w:ascii="Arial" w:hAnsi="Arial" w:eastAsia="黑体"/>
      <w:sz w:val="20"/>
    </w:rPr>
  </w:style>
  <w:style w:type="paragraph" w:styleId="8">
    <w:name w:val="Document Map"/>
    <w:basedOn w:val="1"/>
    <w:next w:val="9"/>
    <w:qFormat/>
    <w:uiPriority w:val="0"/>
    <w:rPr>
      <w:rFonts w:ascii="宋体"/>
      <w:sz w:val="18"/>
      <w:szCs w:val="18"/>
    </w:rPr>
  </w:style>
  <w:style w:type="paragraph" w:styleId="9">
    <w:name w:val="Block Text"/>
    <w:basedOn w:val="1"/>
    <w:qFormat/>
    <w:uiPriority w:val="99"/>
    <w:pPr>
      <w:ind w:left="1440" w:leftChars="700" w:right="700" w:rightChars="700"/>
    </w:pPr>
  </w:style>
  <w:style w:type="paragraph" w:styleId="10">
    <w:name w:val="Body Text"/>
    <w:basedOn w:val="11"/>
    <w:qFormat/>
    <w:uiPriority w:val="0"/>
    <w:pPr>
      <w:adjustRightInd w:val="0"/>
      <w:spacing w:line="440" w:lineRule="exact"/>
    </w:pPr>
    <w:rPr>
      <w:rFonts w:ascii="宋体" w:hAnsi="宋体"/>
      <w:bCs/>
      <w:color w:val="000000"/>
      <w:sz w:val="24"/>
    </w:rPr>
  </w:style>
  <w:style w:type="paragraph" w:customStyle="1" w:styleId="11">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12">
    <w:name w:val="Body Text Indent"/>
    <w:basedOn w:val="1"/>
    <w:qFormat/>
    <w:uiPriority w:val="0"/>
    <w:pPr>
      <w:spacing w:line="460" w:lineRule="exact"/>
      <w:ind w:firstLine="510"/>
    </w:pPr>
  </w:style>
  <w:style w:type="paragraph" w:styleId="13">
    <w:name w:val="Plain Text"/>
    <w:basedOn w:val="1"/>
    <w:qFormat/>
    <w:uiPriority w:val="0"/>
    <w:rPr>
      <w:rFonts w:ascii="宋体" w:hAnsi="Courier New"/>
    </w:rPr>
  </w:style>
  <w:style w:type="paragraph" w:styleId="14">
    <w:name w:val="Date"/>
    <w:basedOn w:val="1"/>
    <w:next w:val="1"/>
    <w:qFormat/>
    <w:uiPriority w:val="0"/>
    <w:pPr>
      <w:ind w:left="100"/>
    </w:pPr>
    <w:rPr>
      <w:rFonts w:eastAsia="楷体_GB2312"/>
      <w:sz w:val="48"/>
      <w:szCs w:val="24"/>
    </w:rPr>
  </w:style>
  <w:style w:type="paragraph" w:styleId="15">
    <w:name w:val="footer"/>
    <w:basedOn w:val="1"/>
    <w:link w:val="59"/>
    <w:qFormat/>
    <w:uiPriority w:val="0"/>
    <w:pPr>
      <w:tabs>
        <w:tab w:val="center" w:pos="4153"/>
        <w:tab w:val="right" w:pos="8306"/>
      </w:tabs>
      <w:snapToGrid w:val="0"/>
      <w:jc w:val="left"/>
    </w:pPr>
    <w:rPr>
      <w:sz w:val="18"/>
    </w:rPr>
  </w:style>
  <w:style w:type="paragraph" w:styleId="16">
    <w:name w:val="header"/>
    <w:basedOn w:val="1"/>
    <w:qFormat/>
    <w:uiPriority w:val="0"/>
    <w:pPr>
      <w:pBdr>
        <w:bottom w:val="single" w:color="000000" w:sz="6" w:space="1"/>
      </w:pBdr>
      <w:tabs>
        <w:tab w:val="center" w:pos="4153"/>
        <w:tab w:val="right" w:pos="8306"/>
      </w:tabs>
      <w:snapToGrid w:val="0"/>
      <w:jc w:val="center"/>
    </w:pPr>
    <w:rPr>
      <w:sz w:val="18"/>
    </w:rPr>
  </w:style>
  <w:style w:type="paragraph" w:styleId="17">
    <w:name w:val="Body Text 2"/>
    <w:basedOn w:val="1"/>
    <w:qFormat/>
    <w:uiPriority w:val="0"/>
    <w:pPr>
      <w:jc w:val="left"/>
    </w:pPr>
    <w:rPr>
      <w:rFonts w:ascii="Calibri" w:hAnsi="Calibri"/>
      <w:b/>
      <w:sz w:val="24"/>
      <w:lang w:eastAsia="en-US" w:bidi="en-US"/>
    </w:rPr>
  </w:style>
  <w:style w:type="paragraph" w:styleId="18">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19">
    <w:name w:val="Normal (Web)"/>
    <w:basedOn w:val="1"/>
    <w:qFormat/>
    <w:uiPriority w:val="0"/>
    <w:pPr>
      <w:spacing w:beforeAutospacing="1" w:afterAutospacing="1"/>
      <w:jc w:val="left"/>
    </w:pPr>
    <w:rPr>
      <w:rFonts w:ascii="宋体" w:hAnsi="宋体" w:cs="宋体"/>
      <w:kern w:val="0"/>
      <w:sz w:val="24"/>
    </w:rPr>
  </w:style>
  <w:style w:type="paragraph" w:styleId="20">
    <w:name w:val="Body Text First Indent 2"/>
    <w:basedOn w:val="12"/>
    <w:qFormat/>
    <w:uiPriority w:val="0"/>
    <w:pPr>
      <w:spacing w:after="120" w:line="240" w:lineRule="auto"/>
      <w:ind w:left="420" w:leftChars="200" w:firstLine="420" w:firstLineChars="200"/>
    </w:pPr>
  </w:style>
  <w:style w:type="table" w:styleId="22">
    <w:name w:val="Table Grid"/>
    <w:basedOn w:val="2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Strong"/>
    <w:qFormat/>
    <w:uiPriority w:val="0"/>
    <w:rPr>
      <w:rFonts w:cs="Times New Roman"/>
      <w:b/>
      <w:bCs/>
    </w:rPr>
  </w:style>
  <w:style w:type="character" w:styleId="25">
    <w:name w:val="FollowedHyperlink"/>
    <w:qFormat/>
    <w:uiPriority w:val="0"/>
    <w:rPr>
      <w:color w:val="800080"/>
      <w:u w:val="single"/>
    </w:rPr>
  </w:style>
  <w:style w:type="character" w:styleId="26">
    <w:name w:val="Hyperlink"/>
    <w:qFormat/>
    <w:uiPriority w:val="0"/>
    <w:rPr>
      <w:color w:val="0000FF"/>
      <w:u w:val="single"/>
    </w:rPr>
  </w:style>
  <w:style w:type="paragraph" w:customStyle="1" w:styleId="27">
    <w:name w:val="Heading1"/>
    <w:basedOn w:val="1"/>
    <w:next w:val="1"/>
    <w:qFormat/>
    <w:uiPriority w:val="0"/>
    <w:pPr>
      <w:keepNext/>
      <w:keepLines/>
      <w:spacing w:before="120" w:after="120"/>
      <w:jc w:val="center"/>
    </w:pPr>
    <w:rPr>
      <w:b/>
      <w:spacing w:val="20"/>
      <w:kern w:val="44"/>
      <w:sz w:val="32"/>
    </w:rPr>
  </w:style>
  <w:style w:type="paragraph" w:customStyle="1" w:styleId="28">
    <w:name w:val="Heading2"/>
    <w:basedOn w:val="1"/>
    <w:next w:val="1"/>
    <w:link w:val="67"/>
    <w:qFormat/>
    <w:uiPriority w:val="0"/>
    <w:pPr>
      <w:keepNext/>
      <w:keepLines/>
      <w:spacing w:line="400" w:lineRule="exact"/>
      <w:jc w:val="center"/>
    </w:pPr>
    <w:rPr>
      <w:rFonts w:ascii="Arial" w:hAnsi="Arial"/>
      <w:b/>
      <w:kern w:val="0"/>
      <w:sz w:val="30"/>
    </w:rPr>
  </w:style>
  <w:style w:type="paragraph" w:customStyle="1" w:styleId="29">
    <w:name w:val="Heading3"/>
    <w:basedOn w:val="1"/>
    <w:next w:val="30"/>
    <w:qFormat/>
    <w:uiPriority w:val="0"/>
    <w:pPr>
      <w:keepNext/>
      <w:keepLines/>
      <w:spacing w:before="60" w:after="60" w:line="500" w:lineRule="exact"/>
      <w:ind w:firstLine="510"/>
    </w:pPr>
    <w:rPr>
      <w:rFonts w:ascii="宋体"/>
      <w:b/>
      <w:sz w:val="24"/>
    </w:rPr>
  </w:style>
  <w:style w:type="paragraph" w:customStyle="1" w:styleId="30">
    <w:name w:val="NormalIndent"/>
    <w:basedOn w:val="1"/>
    <w:link w:val="53"/>
    <w:qFormat/>
    <w:uiPriority w:val="0"/>
    <w:pPr>
      <w:ind w:firstLine="420"/>
    </w:pPr>
  </w:style>
  <w:style w:type="paragraph" w:customStyle="1" w:styleId="31">
    <w:name w:val="Heading4"/>
    <w:basedOn w:val="1"/>
    <w:next w:val="1"/>
    <w:qFormat/>
    <w:uiPriority w:val="0"/>
    <w:pPr>
      <w:keepNext/>
      <w:keepLines/>
      <w:spacing w:before="280" w:after="290" w:line="372" w:lineRule="auto"/>
    </w:pPr>
    <w:rPr>
      <w:rFonts w:ascii="Arial" w:hAnsi="Arial" w:eastAsia="黑体"/>
      <w:b/>
      <w:bCs/>
      <w:sz w:val="28"/>
      <w:szCs w:val="28"/>
    </w:rPr>
  </w:style>
  <w:style w:type="paragraph" w:customStyle="1" w:styleId="32">
    <w:name w:val="Heading5"/>
    <w:basedOn w:val="1"/>
    <w:next w:val="1"/>
    <w:qFormat/>
    <w:uiPriority w:val="0"/>
    <w:pPr>
      <w:keepNext/>
      <w:jc w:val="center"/>
    </w:pPr>
    <w:rPr>
      <w:rFonts w:ascii="仿宋_GB2312" w:eastAsia="仿宋_GB2312"/>
      <w:b/>
      <w:bCs/>
      <w:sz w:val="24"/>
    </w:rPr>
  </w:style>
  <w:style w:type="paragraph" w:customStyle="1" w:styleId="33">
    <w:name w:val="Heading7"/>
    <w:basedOn w:val="1"/>
    <w:next w:val="1"/>
    <w:qFormat/>
    <w:uiPriority w:val="0"/>
    <w:pPr>
      <w:ind w:left="300"/>
    </w:pPr>
    <w:rPr>
      <w:b/>
      <w:bCs/>
      <w:sz w:val="24"/>
      <w:szCs w:val="24"/>
    </w:rPr>
  </w:style>
  <w:style w:type="character" w:customStyle="1" w:styleId="34">
    <w:name w:val="NormalCharacter"/>
    <w:qFormat/>
    <w:uiPriority w:val="0"/>
  </w:style>
  <w:style w:type="table" w:customStyle="1" w:styleId="35">
    <w:name w:val="TableNormal"/>
    <w:qFormat/>
    <w:uiPriority w:val="0"/>
    <w:tblPr>
      <w:tblCellMar>
        <w:top w:w="0" w:type="dxa"/>
        <w:left w:w="0" w:type="dxa"/>
        <w:bottom w:w="0" w:type="dxa"/>
        <w:right w:w="0" w:type="dxa"/>
      </w:tblCellMar>
    </w:tblPr>
  </w:style>
  <w:style w:type="character" w:customStyle="1" w:styleId="36">
    <w:name w:val="UserStyle_0"/>
    <w:link w:val="37"/>
    <w:qFormat/>
    <w:uiPriority w:val="0"/>
    <w:rPr>
      <w:rFonts w:ascii="宋体"/>
      <w:kern w:val="2"/>
      <w:sz w:val="24"/>
    </w:rPr>
  </w:style>
  <w:style w:type="paragraph" w:customStyle="1" w:styleId="37">
    <w:name w:val="BodyTextIndent2"/>
    <w:basedOn w:val="1"/>
    <w:link w:val="36"/>
    <w:qFormat/>
    <w:uiPriority w:val="0"/>
    <w:pPr>
      <w:spacing w:line="500" w:lineRule="exact"/>
      <w:ind w:firstLine="510"/>
    </w:pPr>
    <w:rPr>
      <w:rFonts w:ascii="宋体"/>
      <w:sz w:val="24"/>
    </w:rPr>
  </w:style>
  <w:style w:type="character" w:customStyle="1" w:styleId="38">
    <w:name w:val="UserStyle_1"/>
    <w:link w:val="39"/>
    <w:qFormat/>
    <w:uiPriority w:val="0"/>
    <w:rPr>
      <w:rFonts w:ascii="宋体" w:hAnsi="Courier New" w:eastAsia="宋体"/>
      <w:kern w:val="2"/>
      <w:sz w:val="21"/>
      <w:lang w:val="en-US" w:eastAsia="zh-CN" w:bidi="ar-SA"/>
    </w:rPr>
  </w:style>
  <w:style w:type="paragraph" w:customStyle="1" w:styleId="39">
    <w:name w:val="PlainText"/>
    <w:basedOn w:val="1"/>
    <w:next w:val="1"/>
    <w:link w:val="38"/>
    <w:qFormat/>
    <w:uiPriority w:val="0"/>
    <w:rPr>
      <w:rFonts w:ascii="宋体" w:hAnsi="Courier New"/>
    </w:rPr>
  </w:style>
  <w:style w:type="character" w:customStyle="1" w:styleId="40">
    <w:name w:val="PageNumber"/>
    <w:basedOn w:val="34"/>
    <w:qFormat/>
    <w:uiPriority w:val="0"/>
  </w:style>
  <w:style w:type="character" w:customStyle="1" w:styleId="41">
    <w:name w:val="UserStyle_2"/>
    <w:basedOn w:val="34"/>
    <w:qFormat/>
    <w:uiPriority w:val="0"/>
  </w:style>
  <w:style w:type="character" w:customStyle="1" w:styleId="42">
    <w:name w:val="UserStyle_3"/>
    <w:qFormat/>
    <w:uiPriority w:val="0"/>
    <w:rPr>
      <w:rFonts w:ascii="Arial" w:hAnsi="Arial"/>
      <w:color w:val="000000"/>
      <w:sz w:val="20"/>
      <w:szCs w:val="20"/>
    </w:rPr>
  </w:style>
  <w:style w:type="character" w:customStyle="1" w:styleId="43">
    <w:name w:val="UserStyle_4"/>
    <w:qFormat/>
    <w:uiPriority w:val="0"/>
    <w:rPr>
      <w:rFonts w:eastAsia="宋体" w:cs="Times New Roman"/>
      <w:b/>
      <w:bCs/>
      <w:kern w:val="44"/>
      <w:sz w:val="44"/>
      <w:lang w:val="en-US" w:eastAsia="zh-CN" w:bidi="ar-SA"/>
    </w:rPr>
  </w:style>
  <w:style w:type="character" w:customStyle="1" w:styleId="44">
    <w:name w:val="UserStyle_5"/>
    <w:link w:val="45"/>
    <w:qFormat/>
    <w:uiPriority w:val="0"/>
    <w:rPr>
      <w:kern w:val="2"/>
      <w:sz w:val="21"/>
    </w:rPr>
  </w:style>
  <w:style w:type="paragraph" w:customStyle="1" w:styleId="45">
    <w:name w:val="BodyTextIndent"/>
    <w:basedOn w:val="1"/>
    <w:link w:val="44"/>
    <w:qFormat/>
    <w:uiPriority w:val="0"/>
    <w:pPr>
      <w:spacing w:line="460" w:lineRule="exact"/>
      <w:ind w:firstLine="510"/>
    </w:pPr>
  </w:style>
  <w:style w:type="character" w:customStyle="1" w:styleId="46">
    <w:name w:val="UserStyle_6"/>
    <w:basedOn w:val="34"/>
    <w:qFormat/>
    <w:uiPriority w:val="0"/>
    <w:rPr>
      <w:rFonts w:ascii="Arial" w:hAnsi="Arial"/>
      <w:color w:val="000000"/>
      <w:sz w:val="18"/>
      <w:szCs w:val="18"/>
    </w:rPr>
  </w:style>
  <w:style w:type="character" w:customStyle="1" w:styleId="47">
    <w:name w:val="UserStyle_7"/>
    <w:link w:val="48"/>
    <w:qFormat/>
    <w:uiPriority w:val="0"/>
    <w:rPr>
      <w:rFonts w:ascii="宋体" w:hAnsi="宋体" w:eastAsia="宋体"/>
      <w:kern w:val="2"/>
      <w:sz w:val="28"/>
      <w:szCs w:val="28"/>
      <w:lang w:val="en-US" w:eastAsia="zh-CN" w:bidi="ar-SA"/>
    </w:rPr>
  </w:style>
  <w:style w:type="paragraph" w:customStyle="1" w:styleId="48">
    <w:name w:val="UserStyle_8"/>
    <w:basedOn w:val="49"/>
    <w:link w:val="47"/>
    <w:qFormat/>
    <w:uiPriority w:val="0"/>
    <w:rPr>
      <w:rFonts w:ascii="宋体" w:hAnsi="宋体"/>
    </w:rPr>
  </w:style>
  <w:style w:type="paragraph" w:customStyle="1" w:styleId="49">
    <w:name w:val="UserStyle_22"/>
    <w:basedOn w:val="1"/>
    <w:link w:val="62"/>
    <w:qFormat/>
    <w:uiPriority w:val="0"/>
    <w:pPr>
      <w:spacing w:line="360" w:lineRule="auto"/>
      <w:ind w:firstLine="200"/>
      <w:jc w:val="left"/>
    </w:pPr>
    <w:rPr>
      <w:sz w:val="28"/>
      <w:szCs w:val="28"/>
    </w:rPr>
  </w:style>
  <w:style w:type="character" w:customStyle="1" w:styleId="50">
    <w:name w:val="UserStyle_9"/>
    <w:qFormat/>
    <w:uiPriority w:val="0"/>
    <w:rPr>
      <w:rFonts w:ascii="宋体" w:hAnsi="Courier New" w:eastAsia="宋体"/>
      <w:kern w:val="2"/>
      <w:sz w:val="21"/>
      <w:lang w:val="en-US" w:eastAsia="zh-CN" w:bidi="ar-SA"/>
    </w:rPr>
  </w:style>
  <w:style w:type="character" w:customStyle="1" w:styleId="51">
    <w:name w:val="UserStyle_10"/>
    <w:link w:val="52"/>
    <w:qFormat/>
    <w:uiPriority w:val="0"/>
    <w:rPr>
      <w:rFonts w:ascii="宋体" w:eastAsia="宋体"/>
      <w:kern w:val="2"/>
      <w:sz w:val="24"/>
      <w:lang w:val="en-US" w:eastAsia="zh-CN" w:bidi="ar-SA"/>
    </w:rPr>
  </w:style>
  <w:style w:type="paragraph" w:customStyle="1" w:styleId="52">
    <w:name w:val="UserStyle_11"/>
    <w:basedOn w:val="1"/>
    <w:link w:val="51"/>
    <w:qFormat/>
    <w:uiPriority w:val="0"/>
    <w:pPr>
      <w:snapToGrid w:val="0"/>
      <w:spacing w:after="240" w:line="240" w:lineRule="atLeast"/>
      <w:ind w:firstLine="425"/>
    </w:pPr>
    <w:rPr>
      <w:rFonts w:ascii="宋体"/>
      <w:sz w:val="24"/>
    </w:rPr>
  </w:style>
  <w:style w:type="character" w:customStyle="1" w:styleId="53">
    <w:name w:val="UserStyle_12"/>
    <w:link w:val="30"/>
    <w:qFormat/>
    <w:uiPriority w:val="0"/>
    <w:rPr>
      <w:rFonts w:eastAsia="宋体"/>
      <w:kern w:val="2"/>
      <w:sz w:val="21"/>
      <w:lang w:val="en-US" w:eastAsia="zh-CN" w:bidi="ar-SA"/>
    </w:rPr>
  </w:style>
  <w:style w:type="character" w:customStyle="1" w:styleId="54">
    <w:name w:val="UserStyle_13"/>
    <w:qFormat/>
    <w:uiPriority w:val="0"/>
    <w:rPr>
      <w:rFonts w:ascii="宋体" w:hAnsi="宋体" w:eastAsia="宋体"/>
      <w:color w:val="FF0000"/>
      <w:sz w:val="20"/>
      <w:szCs w:val="20"/>
    </w:rPr>
  </w:style>
  <w:style w:type="character" w:customStyle="1" w:styleId="55">
    <w:name w:val="UserStyle_14"/>
    <w:qFormat/>
    <w:uiPriority w:val="0"/>
    <w:rPr>
      <w:sz w:val="18"/>
      <w:szCs w:val="18"/>
    </w:rPr>
  </w:style>
  <w:style w:type="character" w:customStyle="1" w:styleId="56">
    <w:name w:val="UserStyle_15"/>
    <w:basedOn w:val="34"/>
    <w:qFormat/>
    <w:uiPriority w:val="0"/>
  </w:style>
  <w:style w:type="character" w:customStyle="1" w:styleId="57">
    <w:name w:val="UserStyle_16"/>
    <w:basedOn w:val="34"/>
    <w:qFormat/>
    <w:uiPriority w:val="0"/>
  </w:style>
  <w:style w:type="character" w:customStyle="1" w:styleId="58">
    <w:name w:val="UserStyle_17"/>
    <w:qFormat/>
    <w:uiPriority w:val="0"/>
    <w:rPr>
      <w:rFonts w:eastAsia="宋体"/>
      <w:kern w:val="2"/>
      <w:sz w:val="21"/>
      <w:lang w:val="en-US" w:eastAsia="zh-CN" w:bidi="ar-SA"/>
    </w:rPr>
  </w:style>
  <w:style w:type="character" w:customStyle="1" w:styleId="59">
    <w:name w:val="页脚 Char"/>
    <w:link w:val="15"/>
    <w:qFormat/>
    <w:uiPriority w:val="0"/>
    <w:rPr>
      <w:kern w:val="2"/>
      <w:sz w:val="18"/>
    </w:rPr>
  </w:style>
  <w:style w:type="character" w:customStyle="1" w:styleId="60">
    <w:name w:val="UserStyle_19"/>
    <w:qFormat/>
    <w:uiPriority w:val="0"/>
    <w:rPr>
      <w:rFonts w:ascii="Arial" w:hAnsi="Arial"/>
      <w:color w:val="000000"/>
      <w:sz w:val="20"/>
      <w:szCs w:val="20"/>
    </w:rPr>
  </w:style>
  <w:style w:type="character" w:customStyle="1" w:styleId="61">
    <w:name w:val="UserStyle_20"/>
    <w:qFormat/>
    <w:uiPriority w:val="0"/>
    <w:rPr>
      <w:rFonts w:ascii="Verdana" w:hAnsi="Verdana"/>
      <w:sz w:val="17"/>
      <w:szCs w:val="17"/>
    </w:rPr>
  </w:style>
  <w:style w:type="character" w:customStyle="1" w:styleId="62">
    <w:name w:val="UserStyle_21"/>
    <w:link w:val="49"/>
    <w:qFormat/>
    <w:uiPriority w:val="0"/>
    <w:rPr>
      <w:rFonts w:eastAsia="宋体"/>
      <w:kern w:val="2"/>
      <w:sz w:val="28"/>
      <w:szCs w:val="28"/>
      <w:lang w:val="en-US" w:eastAsia="zh-CN" w:bidi="ar-SA"/>
    </w:rPr>
  </w:style>
  <w:style w:type="character" w:customStyle="1" w:styleId="63">
    <w:name w:val="UserStyle_23"/>
    <w:qFormat/>
    <w:uiPriority w:val="0"/>
    <w:rPr>
      <w:rFonts w:ascii="宋体" w:eastAsia="宋体"/>
      <w:kern w:val="2"/>
      <w:sz w:val="21"/>
      <w:lang w:val="en-US" w:eastAsia="zh-CN" w:bidi="ar-SA"/>
    </w:rPr>
  </w:style>
  <w:style w:type="character" w:customStyle="1" w:styleId="64">
    <w:name w:val="UserStyle_24"/>
    <w:basedOn w:val="34"/>
    <w:qFormat/>
    <w:uiPriority w:val="0"/>
  </w:style>
  <w:style w:type="character" w:customStyle="1" w:styleId="65">
    <w:name w:val="UserStyle_25"/>
    <w:basedOn w:val="34"/>
    <w:qFormat/>
    <w:uiPriority w:val="0"/>
    <w:rPr>
      <w:rFonts w:ascii="宋体" w:hAnsi="宋体" w:eastAsia="宋体"/>
      <w:color w:val="000000"/>
      <w:sz w:val="20"/>
      <w:szCs w:val="20"/>
    </w:rPr>
  </w:style>
  <w:style w:type="character" w:customStyle="1" w:styleId="66">
    <w:name w:val="UserStyle_26"/>
    <w:qFormat/>
    <w:uiPriority w:val="0"/>
    <w:rPr>
      <w:rFonts w:ascii="宋体" w:hAnsi="宋体" w:eastAsia="宋体"/>
      <w:sz w:val="22"/>
      <w:szCs w:val="22"/>
    </w:rPr>
  </w:style>
  <w:style w:type="character" w:customStyle="1" w:styleId="67">
    <w:name w:val="UserStyle_27"/>
    <w:link w:val="28"/>
    <w:qFormat/>
    <w:uiPriority w:val="0"/>
    <w:rPr>
      <w:rFonts w:ascii="Arial" w:hAnsi="Arial"/>
      <w:b/>
      <w:sz w:val="30"/>
    </w:rPr>
  </w:style>
  <w:style w:type="paragraph" w:customStyle="1" w:styleId="68">
    <w:name w:val="UserStyle_28"/>
    <w:basedOn w:val="1"/>
    <w:next w:val="7"/>
    <w:qFormat/>
    <w:uiPriority w:val="0"/>
    <w:pPr>
      <w:keepNext/>
      <w:jc w:val="left"/>
    </w:pPr>
    <w:rPr>
      <w:rFonts w:ascii="Garamond" w:hAnsi="Garamond"/>
      <w:kern w:val="0"/>
    </w:rPr>
  </w:style>
  <w:style w:type="paragraph" w:customStyle="1" w:styleId="69">
    <w:name w:val="TOC2"/>
    <w:basedOn w:val="1"/>
    <w:next w:val="1"/>
    <w:qFormat/>
    <w:uiPriority w:val="0"/>
    <w:pPr>
      <w:tabs>
        <w:tab w:val="right" w:leader="dot" w:pos="8640"/>
      </w:tabs>
      <w:snapToGrid w:val="0"/>
      <w:spacing w:line="360" w:lineRule="auto"/>
      <w:ind w:left="-1" w:right="250"/>
      <w:jc w:val="distribute"/>
    </w:pPr>
    <w:rPr>
      <w:rFonts w:ascii="宋体" w:hAnsi="宋体"/>
      <w:smallCaps/>
      <w:color w:val="000000"/>
      <w:sz w:val="24"/>
      <w:szCs w:val="24"/>
    </w:rPr>
  </w:style>
  <w:style w:type="paragraph" w:customStyle="1" w:styleId="70">
    <w:name w:val="UserStyle_29"/>
    <w:basedOn w:val="1"/>
    <w:qFormat/>
    <w:uiPriority w:val="0"/>
    <w:pPr>
      <w:spacing w:line="360" w:lineRule="auto"/>
      <w:ind w:firstLine="200"/>
      <w:jc w:val="left"/>
    </w:pPr>
    <w:rPr>
      <w:kern w:val="0"/>
      <w:sz w:val="28"/>
      <w:szCs w:val="28"/>
    </w:rPr>
  </w:style>
  <w:style w:type="paragraph" w:customStyle="1" w:styleId="71">
    <w:name w:val="UserStyle_30"/>
    <w:basedOn w:val="1"/>
    <w:qFormat/>
    <w:uiPriority w:val="0"/>
  </w:style>
  <w:style w:type="paragraph" w:customStyle="1" w:styleId="72">
    <w:name w:val="BodyText1I2"/>
    <w:basedOn w:val="45"/>
    <w:qFormat/>
    <w:uiPriority w:val="0"/>
    <w:pPr>
      <w:ind w:left="420" w:leftChars="200" w:firstLine="420"/>
    </w:pPr>
    <w:rPr>
      <w:rFonts w:ascii="Arial" w:hAnsi="Arial"/>
      <w:szCs w:val="21"/>
    </w:rPr>
  </w:style>
  <w:style w:type="paragraph" w:customStyle="1" w:styleId="73">
    <w:name w:val="HtmlPre"/>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customStyle="1" w:styleId="74">
    <w:name w:val="UserStyle_31"/>
    <w:basedOn w:val="30"/>
    <w:qFormat/>
    <w:uiPriority w:val="0"/>
    <w:pPr>
      <w:tabs>
        <w:tab w:val="left" w:pos="960"/>
      </w:tabs>
      <w:spacing w:line="520" w:lineRule="exact"/>
      <w:ind w:firstLine="200"/>
    </w:pPr>
    <w:rPr>
      <w:rFonts w:ascii="宋体" w:hAnsi="宋体"/>
      <w:sz w:val="28"/>
      <w:szCs w:val="28"/>
    </w:rPr>
  </w:style>
  <w:style w:type="paragraph" w:customStyle="1" w:styleId="75">
    <w:name w:val="UserStyle_32"/>
    <w:basedOn w:val="1"/>
    <w:qFormat/>
    <w:uiPriority w:val="0"/>
    <w:pPr>
      <w:spacing w:line="360" w:lineRule="auto"/>
    </w:pPr>
    <w:rPr>
      <w:kern w:val="0"/>
      <w:sz w:val="24"/>
    </w:rPr>
  </w:style>
  <w:style w:type="paragraph" w:customStyle="1" w:styleId="76">
    <w:name w:val="UserStyle_33"/>
    <w:basedOn w:val="1"/>
    <w:qFormat/>
    <w:uiPriority w:val="0"/>
    <w:pPr>
      <w:tabs>
        <w:tab w:val="left" w:pos="840"/>
      </w:tabs>
      <w:snapToGrid w:val="0"/>
      <w:spacing w:after="120" w:line="360" w:lineRule="exact"/>
      <w:ind w:left="840" w:hanging="480"/>
    </w:pPr>
    <w:rPr>
      <w:rFonts w:eastAsia="仿宋_GB2312"/>
      <w:sz w:val="32"/>
    </w:rPr>
  </w:style>
  <w:style w:type="paragraph" w:customStyle="1" w:styleId="77">
    <w:name w:val="UserStyle_34"/>
    <w:basedOn w:val="49"/>
    <w:qFormat/>
    <w:uiPriority w:val="0"/>
    <w:pPr>
      <w:tabs>
        <w:tab w:val="left" w:pos="360"/>
      </w:tabs>
      <w:spacing w:line="520" w:lineRule="exact"/>
      <w:jc w:val="both"/>
    </w:pPr>
    <w:rPr>
      <w:rFonts w:ascii="宋体" w:hAnsi="宋体"/>
      <w:szCs w:val="20"/>
    </w:rPr>
  </w:style>
  <w:style w:type="paragraph" w:customStyle="1" w:styleId="78">
    <w:name w:val="UserStyle_35"/>
    <w:basedOn w:val="1"/>
    <w:qFormat/>
    <w:uiPriority w:val="0"/>
    <w:pPr>
      <w:spacing w:after="160" w:line="240" w:lineRule="exact"/>
      <w:jc w:val="left"/>
    </w:pPr>
    <w:rPr>
      <w:rFonts w:ascii="Verdana" w:hAnsi="Verdana" w:eastAsia="仿宋_GB2312"/>
      <w:kern w:val="0"/>
      <w:sz w:val="24"/>
      <w:lang w:eastAsia="en-US"/>
    </w:rPr>
  </w:style>
  <w:style w:type="paragraph" w:customStyle="1" w:styleId="79">
    <w:name w:val="Acetate"/>
    <w:basedOn w:val="1"/>
    <w:qFormat/>
    <w:uiPriority w:val="0"/>
    <w:rPr>
      <w:sz w:val="18"/>
      <w:szCs w:val="18"/>
    </w:rPr>
  </w:style>
  <w:style w:type="paragraph" w:customStyle="1" w:styleId="80">
    <w:name w:val="UserStyle_36"/>
    <w:qFormat/>
    <w:uiPriority w:val="0"/>
    <w:pPr>
      <w:jc w:val="both"/>
      <w:textAlignment w:val="baseline"/>
    </w:pPr>
    <w:rPr>
      <w:rFonts w:ascii="Times New Roman" w:hAnsi="Times New Roman" w:eastAsia="宋体" w:cs="Times New Roman"/>
      <w:kern w:val="2"/>
      <w:sz w:val="21"/>
      <w:lang w:val="en-US" w:eastAsia="zh-CN" w:bidi="ar-SA"/>
    </w:rPr>
  </w:style>
  <w:style w:type="paragraph" w:customStyle="1" w:styleId="81">
    <w:name w:val="UserStyle_37"/>
    <w:basedOn w:val="1"/>
    <w:qFormat/>
    <w:uiPriority w:val="0"/>
    <w:pPr>
      <w:ind w:firstLine="420" w:firstLineChars="200"/>
    </w:pPr>
  </w:style>
  <w:style w:type="paragraph" w:customStyle="1" w:styleId="82">
    <w:name w:val="BodyTextIndent3"/>
    <w:basedOn w:val="1"/>
    <w:qFormat/>
    <w:uiPriority w:val="0"/>
    <w:pPr>
      <w:spacing w:line="360" w:lineRule="auto"/>
      <w:ind w:firstLine="480"/>
    </w:pPr>
    <w:rPr>
      <w:sz w:val="24"/>
      <w:szCs w:val="24"/>
    </w:rPr>
  </w:style>
  <w:style w:type="paragraph" w:customStyle="1" w:styleId="83">
    <w:name w:val="TOC7"/>
    <w:basedOn w:val="1"/>
    <w:next w:val="1"/>
    <w:qFormat/>
    <w:uiPriority w:val="0"/>
    <w:pPr>
      <w:ind w:left="2520"/>
    </w:pPr>
  </w:style>
  <w:style w:type="paragraph" w:customStyle="1" w:styleId="84">
    <w:name w:val="UserStyle_38"/>
    <w:basedOn w:val="1"/>
    <w:qFormat/>
    <w:uiPriority w:val="0"/>
    <w:pPr>
      <w:spacing w:before="360" w:line="360" w:lineRule="auto"/>
      <w:jc w:val="center"/>
    </w:pPr>
    <w:rPr>
      <w:rFonts w:ascii="宋体" w:eastAsia="仿宋_GB2312"/>
    </w:rPr>
  </w:style>
  <w:style w:type="paragraph" w:customStyle="1" w:styleId="85">
    <w:name w:val="UserStyle_39"/>
    <w:basedOn w:val="1"/>
    <w:qFormat/>
    <w:uiPriority w:val="0"/>
    <w:pPr>
      <w:spacing w:before="100" w:after="100"/>
      <w:jc w:val="left"/>
    </w:pPr>
    <w:rPr>
      <w:rFonts w:ascii="宋体" w:hAnsi="宋体"/>
      <w:kern w:val="0"/>
      <w:sz w:val="24"/>
      <w:szCs w:val="24"/>
    </w:rPr>
  </w:style>
  <w:style w:type="paragraph" w:customStyle="1" w:styleId="86">
    <w:name w:val="UserStyle_40"/>
    <w:basedOn w:val="1"/>
    <w:qFormat/>
    <w:uiPriority w:val="0"/>
    <w:pPr>
      <w:spacing w:line="240" w:lineRule="atLeast"/>
      <w:ind w:left="420" w:firstLine="420"/>
    </w:pPr>
    <w:rPr>
      <w:kern w:val="0"/>
      <w:szCs w:val="21"/>
    </w:rPr>
  </w:style>
  <w:style w:type="paragraph" w:customStyle="1" w:styleId="87">
    <w:name w:val="TOC3"/>
    <w:basedOn w:val="1"/>
    <w:next w:val="1"/>
    <w:qFormat/>
    <w:uiPriority w:val="0"/>
    <w:pPr>
      <w:ind w:left="420"/>
      <w:jc w:val="left"/>
    </w:pPr>
    <w:rPr>
      <w:i/>
      <w:sz w:val="20"/>
    </w:rPr>
  </w:style>
  <w:style w:type="paragraph" w:customStyle="1" w:styleId="88">
    <w:name w:val="266"/>
    <w:basedOn w:val="27"/>
    <w:next w:val="1"/>
    <w:qFormat/>
    <w:uiPriority w:val="0"/>
    <w:pPr>
      <w:spacing w:before="480" w:after="0" w:line="276" w:lineRule="auto"/>
      <w:jc w:val="left"/>
    </w:pPr>
    <w:rPr>
      <w:rFonts w:ascii="Cambria" w:hAnsi="Cambria"/>
      <w:bCs/>
      <w:color w:val="365F91"/>
      <w:kern w:val="0"/>
      <w:sz w:val="28"/>
      <w:szCs w:val="28"/>
    </w:rPr>
  </w:style>
  <w:style w:type="paragraph" w:customStyle="1" w:styleId="89">
    <w:name w:val="UserStyle_41"/>
    <w:basedOn w:val="77"/>
    <w:qFormat/>
    <w:uiPriority w:val="0"/>
    <w:pPr>
      <w:tabs>
        <w:tab w:val="left" w:pos="0"/>
      </w:tabs>
      <w:ind w:firstLine="400"/>
    </w:pPr>
    <w:rPr>
      <w:kern w:val="0"/>
    </w:rPr>
  </w:style>
  <w:style w:type="paragraph" w:customStyle="1" w:styleId="90">
    <w:name w:val="BodyText2"/>
    <w:basedOn w:val="1"/>
    <w:qFormat/>
    <w:uiPriority w:val="0"/>
    <w:pPr>
      <w:spacing w:before="360"/>
    </w:pPr>
    <w:rPr>
      <w:rFonts w:ascii="仿宋_GB2312" w:eastAsia="仿宋_GB2312"/>
      <w:b/>
      <w:color w:val="000000"/>
      <w:kern w:val="0"/>
      <w:sz w:val="44"/>
    </w:rPr>
  </w:style>
  <w:style w:type="paragraph" w:customStyle="1" w:styleId="91">
    <w:name w:val="UserStyle_42"/>
    <w:qFormat/>
    <w:uiPriority w:val="0"/>
    <w:pPr>
      <w:spacing w:line="300" w:lineRule="auto"/>
      <w:ind w:firstLine="200"/>
      <w:jc w:val="both"/>
      <w:textAlignment w:val="baseline"/>
    </w:pPr>
    <w:rPr>
      <w:rFonts w:ascii="Times New Roman" w:hAnsi="Times New Roman" w:eastAsia="宋体" w:cs="Times New Roman"/>
      <w:sz w:val="28"/>
      <w:lang w:val="en-US" w:eastAsia="zh-CN" w:bidi="ar-SA"/>
    </w:rPr>
  </w:style>
  <w:style w:type="paragraph" w:customStyle="1" w:styleId="92">
    <w:name w:val="179"/>
    <w:basedOn w:val="1"/>
    <w:qFormat/>
    <w:uiPriority w:val="0"/>
    <w:pPr>
      <w:ind w:left="720"/>
    </w:pPr>
    <w:rPr>
      <w:sz w:val="28"/>
    </w:rPr>
  </w:style>
  <w:style w:type="paragraph" w:customStyle="1" w:styleId="93">
    <w:name w:val="TOC1"/>
    <w:basedOn w:val="1"/>
    <w:next w:val="1"/>
    <w:qFormat/>
    <w:uiPriority w:val="0"/>
    <w:pPr>
      <w:tabs>
        <w:tab w:val="right" w:leader="dot" w:pos="9344"/>
      </w:tabs>
      <w:spacing w:line="500" w:lineRule="exact"/>
      <w:jc w:val="left"/>
    </w:pPr>
    <w:rPr>
      <w:rFonts w:ascii="宋体" w:hAnsi="宋体"/>
      <w:b/>
      <w:caps/>
      <w:sz w:val="24"/>
    </w:rPr>
  </w:style>
  <w:style w:type="paragraph" w:customStyle="1" w:styleId="94">
    <w:name w:val="TOAHeading"/>
    <w:basedOn w:val="1"/>
    <w:next w:val="1"/>
    <w:qFormat/>
    <w:uiPriority w:val="0"/>
    <w:pPr>
      <w:spacing w:before="120"/>
    </w:pPr>
    <w:rPr>
      <w:rFonts w:ascii="Arial" w:hAnsi="Arial"/>
      <w:sz w:val="24"/>
      <w:szCs w:val="24"/>
    </w:rPr>
  </w:style>
  <w:style w:type="paragraph" w:customStyle="1" w:styleId="95">
    <w:name w:val="BodyText"/>
    <w:basedOn w:val="1"/>
    <w:qFormat/>
    <w:uiPriority w:val="0"/>
    <w:pPr>
      <w:spacing w:line="440" w:lineRule="exact"/>
    </w:pPr>
    <w:rPr>
      <w:rFonts w:ascii="宋体" w:hAnsi="宋体"/>
      <w:bCs/>
      <w:color w:val="000000"/>
      <w:sz w:val="24"/>
    </w:rPr>
  </w:style>
  <w:style w:type="paragraph" w:customStyle="1" w:styleId="96">
    <w:name w:val="UserStyle_43"/>
    <w:basedOn w:val="1"/>
    <w:qFormat/>
    <w:uiPriority w:val="0"/>
    <w:pPr>
      <w:tabs>
        <w:tab w:val="left" w:pos="425"/>
      </w:tabs>
      <w:ind w:left="425" w:hanging="425"/>
    </w:pPr>
  </w:style>
  <w:style w:type="paragraph" w:customStyle="1" w:styleId="97">
    <w:name w:val="UserStyle_44"/>
    <w:basedOn w:val="1"/>
    <w:qFormat/>
    <w:uiPriority w:val="0"/>
    <w:pPr>
      <w:spacing w:after="160" w:line="240" w:lineRule="exact"/>
      <w:jc w:val="left"/>
    </w:pPr>
    <w:rPr>
      <w:rFonts w:ascii="Verdana" w:hAnsi="Verdana" w:eastAsia="仿宋_GB2312"/>
      <w:kern w:val="0"/>
      <w:sz w:val="24"/>
      <w:lang w:eastAsia="en-US"/>
    </w:rPr>
  </w:style>
  <w:style w:type="paragraph" w:customStyle="1" w:styleId="98">
    <w:name w:val="NavPane"/>
    <w:basedOn w:val="1"/>
    <w:qFormat/>
    <w:uiPriority w:val="0"/>
    <w:pPr>
      <w:shd w:val="clear" w:color="auto" w:fill="000080"/>
    </w:pPr>
  </w:style>
  <w:style w:type="paragraph" w:customStyle="1" w:styleId="99">
    <w:name w:val="UserStyle_45"/>
    <w:basedOn w:val="95"/>
    <w:next w:val="1"/>
    <w:qFormat/>
    <w:uiPriority w:val="0"/>
    <w:pPr>
      <w:spacing w:line="240" w:lineRule="auto"/>
    </w:pPr>
    <w:rPr>
      <w:rFonts w:ascii="Times New Roman" w:hAnsi="Times New Roman" w:eastAsia="楷体_GB2312"/>
      <w:bCs w:val="0"/>
      <w:kern w:val="0"/>
      <w:lang w:val="de-DE"/>
    </w:rPr>
  </w:style>
  <w:style w:type="paragraph" w:customStyle="1" w:styleId="100">
    <w:name w:val="Index1"/>
    <w:basedOn w:val="1"/>
    <w:next w:val="1"/>
    <w:qFormat/>
    <w:uiPriority w:val="0"/>
    <w:rPr>
      <w:rFonts w:ascii="宋体" w:hAnsi="宋体"/>
      <w:sz w:val="24"/>
      <w:szCs w:val="24"/>
    </w:rPr>
  </w:style>
  <w:style w:type="paragraph" w:customStyle="1" w:styleId="101">
    <w:name w:val="UserStyle_46"/>
    <w:basedOn w:val="1"/>
    <w:qFormat/>
    <w:uiPriority w:val="0"/>
  </w:style>
  <w:style w:type="paragraph" w:customStyle="1" w:styleId="102">
    <w:name w:val="UserStyle_47"/>
    <w:basedOn w:val="1"/>
    <w:qFormat/>
    <w:uiPriority w:val="0"/>
    <w:pPr>
      <w:spacing w:line="360" w:lineRule="auto"/>
      <w:ind w:firstLine="771" w:firstLineChars="257"/>
    </w:pPr>
    <w:rPr>
      <w:rFonts w:eastAsia="仿宋"/>
      <w:sz w:val="30"/>
    </w:rPr>
  </w:style>
  <w:style w:type="paragraph" w:customStyle="1" w:styleId="103">
    <w:name w:val="UserStyle_48"/>
    <w:basedOn w:val="77"/>
    <w:qFormat/>
    <w:uiPriority w:val="0"/>
    <w:pPr>
      <w:tabs>
        <w:tab w:val="left" w:pos="814"/>
      </w:tabs>
      <w:ind w:left="737" w:hanging="283"/>
    </w:pPr>
  </w:style>
  <w:style w:type="paragraph" w:customStyle="1" w:styleId="104">
    <w:name w:val="UserStyle_49"/>
    <w:basedOn w:val="1"/>
    <w:qFormat/>
    <w:uiPriority w:val="0"/>
    <w:rPr>
      <w:rFonts w:ascii="仿宋_GB2312" w:eastAsia="仿宋_GB2312"/>
      <w:b/>
      <w:sz w:val="32"/>
      <w:szCs w:val="32"/>
    </w:rPr>
  </w:style>
  <w:style w:type="paragraph" w:customStyle="1" w:styleId="105">
    <w:name w:val="UserStyle_50"/>
    <w:basedOn w:val="1"/>
    <w:qFormat/>
    <w:uiPriority w:val="0"/>
    <w:rPr>
      <w:kern w:val="0"/>
      <w:szCs w:val="21"/>
    </w:rPr>
  </w:style>
  <w:style w:type="paragraph" w:customStyle="1" w:styleId="106">
    <w:name w:val="UserStyle_51"/>
    <w:basedOn w:val="1"/>
    <w:qFormat/>
    <w:uiPriority w:val="0"/>
  </w:style>
  <w:style w:type="paragraph" w:customStyle="1" w:styleId="107">
    <w:name w:val="UserStyle_52"/>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kern w:val="0"/>
      <w:sz w:val="20"/>
    </w:rPr>
  </w:style>
  <w:style w:type="paragraph" w:customStyle="1" w:styleId="108">
    <w:name w:val="HtmlNormal"/>
    <w:basedOn w:val="1"/>
    <w:qFormat/>
    <w:uiPriority w:val="0"/>
    <w:pPr>
      <w:spacing w:before="100" w:beforeAutospacing="1" w:after="100" w:afterAutospacing="1" w:line="330" w:lineRule="atLeast"/>
      <w:jc w:val="left"/>
    </w:pPr>
    <w:rPr>
      <w:rFonts w:ascii="宋体" w:hAnsi="宋体"/>
      <w:kern w:val="0"/>
      <w:sz w:val="18"/>
      <w:szCs w:val="18"/>
    </w:rPr>
  </w:style>
  <w:style w:type="table" w:customStyle="1" w:styleId="109">
    <w:name w:val="TableGrid"/>
    <w:basedOn w:val="35"/>
    <w:qFormat/>
    <w:uiPriority w:val="0"/>
    <w:tblPr>
      <w:tblCellMar>
        <w:top w:w="0" w:type="dxa"/>
        <w:left w:w="0" w:type="dxa"/>
        <w:bottom w:w="0" w:type="dxa"/>
        <w:right w:w="0" w:type="dxa"/>
      </w:tblCellMar>
    </w:tblPr>
  </w:style>
  <w:style w:type="character" w:customStyle="1" w:styleId="110">
    <w:name w:val="标题 3 Char"/>
    <w:basedOn w:val="23"/>
    <w:link w:val="4"/>
    <w:qFormat/>
    <w:uiPriority w:val="0"/>
    <w:rPr>
      <w:rFonts w:ascii="宋体"/>
      <w:b/>
      <w:sz w:val="24"/>
    </w:rPr>
  </w:style>
  <w:style w:type="character" w:customStyle="1" w:styleId="111">
    <w:name w:val="正文缩进 Char"/>
    <w:link w:val="6"/>
    <w:qFormat/>
    <w:uiPriority w:val="0"/>
  </w:style>
  <w:style w:type="paragraph" w:customStyle="1" w:styleId="112">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14">
    <w:name w:val="列表段落1"/>
    <w:basedOn w:val="1"/>
    <w:qFormat/>
    <w:uiPriority w:val="0"/>
    <w:pPr>
      <w:ind w:firstLine="420" w:firstLineChars="200"/>
    </w:pPr>
    <w:rPr>
      <w:rFonts w:ascii="Calibri" w:hAnsi="Calibri"/>
      <w:szCs w:val="21"/>
    </w:rPr>
  </w:style>
  <w:style w:type="paragraph" w:customStyle="1" w:styleId="115">
    <w:name w:val="Table Paragraph"/>
    <w:basedOn w:val="1"/>
    <w:qFormat/>
    <w:uiPriority w:val="1"/>
    <w:rPr>
      <w:rFonts w:ascii="微软雅黑" w:hAnsi="微软雅黑" w:eastAsia="微软雅黑" w:cs="微软雅黑"/>
    </w:rPr>
  </w:style>
  <w:style w:type="paragraph" w:customStyle="1" w:styleId="116">
    <w:name w:val="Normal_0"/>
    <w:qFormat/>
    <w:uiPriority w:val="0"/>
    <w:pPr>
      <w:widowControl w:val="0"/>
    </w:pPr>
    <w:rPr>
      <w:rFonts w:ascii="Times New Roman" w:hAnsi="Times New Roman" w:eastAsia="Times New Roman" w:cs="Times New Roman"/>
      <w:color w:val="000000"/>
      <w:sz w:val="24"/>
      <w:szCs w:val="24"/>
      <w:lang w:val="zh-CN" w:eastAsia="zh-CN" w:bidi="zh-CN"/>
    </w:rPr>
  </w:style>
  <w:style w:type="paragraph" w:customStyle="1" w:styleId="117">
    <w:name w:val="Absatz2AL"/>
    <w:basedOn w:val="10"/>
    <w:next w:val="1"/>
    <w:qFormat/>
    <w:uiPriority w:val="0"/>
    <w:pPr>
      <w:overflowPunct w:val="0"/>
      <w:autoSpaceDE w:val="0"/>
      <w:autoSpaceDN w:val="0"/>
    </w:pPr>
    <w:rPr>
      <w:rFonts w:eastAsia="楷体_GB2312"/>
      <w:kern w:val="0"/>
      <w:lang w:val="de-DE"/>
    </w:rPr>
  </w:style>
  <w:style w:type="paragraph" w:customStyle="1" w:styleId="118">
    <w:name w:val="Char Char Char Char1 Char Char"/>
    <w:basedOn w:val="1"/>
    <w:qFormat/>
    <w:uiPriority w:val="0"/>
    <w:rPr>
      <w:rFonts w:ascii="Times New Roman" w:hAnsi="Times New Roman" w:cs="Times New Roman"/>
    </w:rPr>
  </w:style>
  <w:style w:type="paragraph" w:customStyle="1" w:styleId="119">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70</Pages>
  <Words>29671</Words>
  <Characters>31704</Characters>
  <Lines>236</Lines>
  <Paragraphs>66</Paragraphs>
  <TotalTime>28</TotalTime>
  <ScaleCrop>false</ScaleCrop>
  <LinksUpToDate>false</LinksUpToDate>
  <CharactersWithSpaces>32536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2021-03-17T18:10:00Z</dcterms:created>
  <dc:creator>25233</dc:creator>
  <cp:lastModifiedBy>Karenina_na。</cp:lastModifiedBy>
  <dcterms:modified xsi:type="dcterms:W3CDTF">2025-04-17T10:08:04Z</dcterms:modified>
  <cp:revision>537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B9E18CF778ED404382C9B924D64BF2C8</vt:lpwstr>
  </property>
  <property fmtid="{D5CDD505-2E9C-101B-9397-08002B2CF9AE}" pid="4" name="KSOTemplateDocerSaveRecord">
    <vt:lpwstr>eyJoZGlkIjoiNDdkZjM4MzExZDgyOTU5NDM5OGI1ZTJkNjBiODVjNWIiLCJ1c2VySWQiOiI2MzIxNTk5NDMifQ==</vt:lpwstr>
  </property>
</Properties>
</file>