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C64701">
      <w:pPr>
        <w:pStyle w:val="15"/>
        <w:spacing w:after="120"/>
        <w:rPr>
          <w:rFonts w:hint="eastAsia" w:ascii="仿宋" w:hAnsi="仿宋" w:eastAsia="仿宋" w:cs="仿宋"/>
          <w:color w:val="auto"/>
          <w:highlight w:val="none"/>
        </w:rPr>
      </w:pPr>
      <w:bookmarkStart w:id="0" w:name="_Toc227991412"/>
      <w:bookmarkStart w:id="1" w:name="_Toc292200550"/>
      <w:r>
        <w:drawing>
          <wp:anchor distT="0" distB="0" distL="114300" distR="114300" simplePos="0" relativeHeight="251660288" behindDoc="0" locked="0" layoutInCell="1" allowOverlap="1">
            <wp:simplePos x="0" y="0"/>
            <wp:positionH relativeFrom="column">
              <wp:posOffset>134620</wp:posOffset>
            </wp:positionH>
            <wp:positionV relativeFrom="paragraph">
              <wp:posOffset>269240</wp:posOffset>
            </wp:positionV>
            <wp:extent cx="5524500" cy="7820025"/>
            <wp:effectExtent l="0" t="0" r="0" b="9525"/>
            <wp:wrapTopAndBottom/>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5"/>
                    <a:stretch>
                      <a:fillRect/>
                    </a:stretch>
                  </pic:blipFill>
                  <pic:spPr>
                    <a:xfrm>
                      <a:off x="0" y="0"/>
                      <a:ext cx="5524500" cy="7820025"/>
                    </a:xfrm>
                    <a:prstGeom prst="rect">
                      <a:avLst/>
                    </a:prstGeom>
                    <a:noFill/>
                    <a:ln>
                      <a:noFill/>
                    </a:ln>
                  </pic:spPr>
                </pic:pic>
              </a:graphicData>
            </a:graphic>
          </wp:anchor>
        </w:drawing>
      </w:r>
    </w:p>
    <w:p w14:paraId="62161D59">
      <w:pPr>
        <w:pStyle w:val="15"/>
        <w:spacing w:after="120"/>
        <w:rPr>
          <w:rFonts w:hint="eastAsia" w:ascii="仿宋" w:hAnsi="仿宋" w:eastAsia="仿宋" w:cs="仿宋"/>
          <w:color w:val="auto"/>
          <w:highlight w:val="none"/>
        </w:rPr>
      </w:pPr>
    </w:p>
    <w:p w14:paraId="15A45D6E">
      <w:pPr>
        <w:pStyle w:val="15"/>
        <w:spacing w:after="120"/>
        <w:rPr>
          <w:rFonts w:hint="eastAsia" w:ascii="仿宋" w:hAnsi="仿宋" w:eastAsia="仿宋" w:cs="仿宋"/>
          <w:color w:val="auto"/>
          <w:highlight w:val="none"/>
        </w:rPr>
      </w:pPr>
    </w:p>
    <w:sdt>
      <w:sdtPr>
        <w:rPr>
          <w:rFonts w:hint="eastAsia" w:ascii="仿宋" w:hAnsi="仿宋" w:eastAsia="仿宋" w:cs="仿宋"/>
          <w:color w:val="auto"/>
          <w:sz w:val="36"/>
          <w:szCs w:val="40"/>
          <w:highlight w:val="none"/>
          <w:lang w:val="en-US" w:eastAsia="zh-CN" w:bidi="ar-SA"/>
        </w:rPr>
        <w:id w:val="147472435"/>
        <w15:color w:val="DBDBDB"/>
        <w:docPartObj>
          <w:docPartGallery w:val="Table of Contents"/>
          <w:docPartUnique/>
        </w:docPartObj>
      </w:sdtPr>
      <w:sdtEndPr>
        <w:rPr>
          <w:rFonts w:hint="eastAsia" w:ascii="仿宋" w:hAnsi="仿宋" w:eastAsia="仿宋" w:cs="仿宋"/>
          <w:smallCaps/>
          <w:color w:val="auto"/>
          <w:kern w:val="2"/>
          <w:sz w:val="20"/>
          <w:szCs w:val="20"/>
          <w:highlight w:val="none"/>
          <w:lang w:val="en-US" w:eastAsia="zh-CN" w:bidi="ar-SA"/>
        </w:rPr>
      </w:sdtEndPr>
      <w:sdtContent>
        <w:p w14:paraId="3C3E7EBF">
          <w:pPr>
            <w:spacing w:before="0" w:beforeLines="0" w:after="0" w:afterLines="0" w:line="240" w:lineRule="auto"/>
            <w:ind w:left="0" w:leftChars="0" w:right="0" w:rightChars="0" w:firstLine="0" w:firstLineChars="0"/>
            <w:jc w:val="center"/>
            <w:rPr>
              <w:rFonts w:hint="eastAsia" w:ascii="仿宋" w:hAnsi="仿宋" w:eastAsia="仿宋" w:cs="仿宋"/>
              <w:color w:val="auto"/>
              <w:sz w:val="40"/>
              <w:szCs w:val="40"/>
              <w:highlight w:val="none"/>
            </w:rPr>
          </w:pPr>
          <w:r>
            <w:rPr>
              <w:rFonts w:hint="eastAsia" w:ascii="仿宋" w:hAnsi="仿宋" w:eastAsia="仿宋" w:cs="仿宋"/>
              <w:color w:val="auto"/>
              <w:sz w:val="36"/>
              <w:szCs w:val="40"/>
              <w:highlight w:val="none"/>
            </w:rPr>
            <w:t>目录</w:t>
          </w:r>
        </w:p>
        <w:p w14:paraId="06698ED8">
          <w:pPr>
            <w:pStyle w:val="15"/>
            <w:keepNext w:val="0"/>
            <w:keepLines w:val="0"/>
            <w:pageBreakBefore w:val="0"/>
            <w:widowControl w:val="0"/>
            <w:tabs>
              <w:tab w:val="right" w:leader="dot" w:pos="9077"/>
              <w:tab w:val="clear" w:pos="9540"/>
            </w:tabs>
            <w:kinsoku/>
            <w:wordWrap/>
            <w:overflowPunct/>
            <w:topLinePunct w:val="0"/>
            <w:autoSpaceDE/>
            <w:autoSpaceDN/>
            <w:bidi w:val="0"/>
            <w:adjustRightInd/>
            <w:snapToGrid/>
            <w:spacing w:line="480" w:lineRule="auto"/>
            <w:textAlignment w:val="auto"/>
            <w:rPr>
              <w:rFonts w:hint="eastAsia" w:ascii="仿宋" w:hAnsi="仿宋" w:eastAsia="仿宋" w:cs="仿宋"/>
              <w:color w:val="auto"/>
              <w:sz w:val="24"/>
              <w:szCs w:val="24"/>
              <w:highlight w:val="none"/>
            </w:rPr>
          </w:pPr>
          <w:r>
            <w:rPr>
              <w:rStyle w:val="28"/>
              <w:rFonts w:hint="eastAsia" w:ascii="仿宋" w:hAnsi="仿宋" w:eastAsia="仿宋" w:cs="仿宋"/>
              <w:color w:val="auto"/>
              <w:sz w:val="22"/>
              <w:szCs w:val="22"/>
              <w:highlight w:val="none"/>
            </w:rPr>
            <w:fldChar w:fldCharType="begin"/>
          </w:r>
          <w:r>
            <w:rPr>
              <w:rStyle w:val="28"/>
              <w:rFonts w:hint="eastAsia" w:ascii="仿宋" w:hAnsi="仿宋" w:eastAsia="仿宋" w:cs="仿宋"/>
              <w:color w:val="auto"/>
              <w:sz w:val="22"/>
              <w:szCs w:val="22"/>
              <w:highlight w:val="none"/>
            </w:rPr>
            <w:instrText xml:space="preserve">TOC \o "1-2" \h \u </w:instrText>
          </w:r>
          <w:r>
            <w:rPr>
              <w:rStyle w:val="28"/>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_Toc14429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第一章  竞争性磋商公告</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_Toc14429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53F718A0">
          <w:pPr>
            <w:pStyle w:val="15"/>
            <w:keepNext w:val="0"/>
            <w:keepLines w:val="0"/>
            <w:pageBreakBefore w:val="0"/>
            <w:widowControl w:val="0"/>
            <w:tabs>
              <w:tab w:val="right" w:leader="dot" w:pos="9077"/>
              <w:tab w:val="clear" w:pos="9540"/>
            </w:tabs>
            <w:kinsoku/>
            <w:wordWrap/>
            <w:overflowPunct/>
            <w:topLinePunct w:val="0"/>
            <w:autoSpaceDE/>
            <w:autoSpaceDN/>
            <w:bidi w:val="0"/>
            <w:adjustRightInd/>
            <w:snapToGrid/>
            <w:spacing w:line="48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_Toc31304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第二章  </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须知</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_Toc31304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8</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1874B929">
          <w:pPr>
            <w:pStyle w:val="15"/>
            <w:keepNext w:val="0"/>
            <w:keepLines w:val="0"/>
            <w:pageBreakBefore w:val="0"/>
            <w:widowControl w:val="0"/>
            <w:tabs>
              <w:tab w:val="right" w:leader="dot" w:pos="9077"/>
              <w:tab w:val="clear" w:pos="9540"/>
            </w:tabs>
            <w:kinsoku/>
            <w:wordWrap/>
            <w:overflowPunct/>
            <w:topLinePunct w:val="0"/>
            <w:autoSpaceDE/>
            <w:autoSpaceDN/>
            <w:bidi w:val="0"/>
            <w:adjustRightInd/>
            <w:snapToGrid/>
            <w:spacing w:line="48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_Toc23815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第三章 评审办法（综合评分法）</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_Toc23815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29</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459B21EB">
          <w:pPr>
            <w:pStyle w:val="15"/>
            <w:keepNext w:val="0"/>
            <w:keepLines w:val="0"/>
            <w:pageBreakBefore w:val="0"/>
            <w:widowControl w:val="0"/>
            <w:tabs>
              <w:tab w:val="right" w:leader="dot" w:pos="9077"/>
              <w:tab w:val="clear" w:pos="9540"/>
            </w:tabs>
            <w:kinsoku/>
            <w:wordWrap/>
            <w:overflowPunct/>
            <w:topLinePunct w:val="0"/>
            <w:autoSpaceDE/>
            <w:autoSpaceDN/>
            <w:bidi w:val="0"/>
            <w:adjustRightInd/>
            <w:snapToGrid/>
            <w:spacing w:line="48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_Toc2486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第四章  合同条款及格式</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_Toc2486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41</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51BD47DD">
          <w:pPr>
            <w:pStyle w:val="15"/>
            <w:keepNext w:val="0"/>
            <w:keepLines w:val="0"/>
            <w:pageBreakBefore w:val="0"/>
            <w:widowControl w:val="0"/>
            <w:tabs>
              <w:tab w:val="right" w:leader="dot" w:pos="9077"/>
              <w:tab w:val="clear" w:pos="9540"/>
            </w:tabs>
            <w:kinsoku/>
            <w:wordWrap/>
            <w:overflowPunct/>
            <w:topLinePunct w:val="0"/>
            <w:autoSpaceDE/>
            <w:autoSpaceDN/>
            <w:bidi w:val="0"/>
            <w:adjustRightInd/>
            <w:snapToGrid/>
            <w:spacing w:line="480" w:lineRule="auto"/>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_Toc22930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lang w:val="en-US" w:eastAsia="zh-CN"/>
            </w:rPr>
            <w:t>第五章  项目需求</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lang w:val="en-US" w:eastAsia="zh-CN"/>
            </w:rPr>
            <w:t>8</w:t>
          </w:r>
        </w:p>
        <w:p w14:paraId="65087D13">
          <w:pPr>
            <w:pStyle w:val="15"/>
            <w:keepNext w:val="0"/>
            <w:keepLines w:val="0"/>
            <w:pageBreakBefore w:val="0"/>
            <w:widowControl w:val="0"/>
            <w:tabs>
              <w:tab w:val="right" w:leader="dot" w:pos="9077"/>
              <w:tab w:val="clear" w:pos="9540"/>
            </w:tabs>
            <w:kinsoku/>
            <w:wordWrap/>
            <w:overflowPunct/>
            <w:topLinePunct w:val="0"/>
            <w:autoSpaceDE/>
            <w:autoSpaceDN/>
            <w:bidi w:val="0"/>
            <w:adjustRightInd/>
            <w:snapToGrid/>
            <w:spacing w:line="48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_Toc10806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lang w:val="en-US" w:eastAsia="zh-CN"/>
            </w:rPr>
            <w:t>第六章 竞争性磋商响应文件</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PAGEREF _Toc10806 \h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69</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fldChar w:fldCharType="end"/>
          </w:r>
        </w:p>
        <w:p w14:paraId="611C04E7">
          <w:pPr>
            <w:pStyle w:val="17"/>
            <w:keepNext w:val="0"/>
            <w:keepLines w:val="0"/>
            <w:pageBreakBefore w:val="0"/>
            <w:tabs>
              <w:tab w:val="right" w:leader="dot" w:pos="10176"/>
            </w:tabs>
            <w:kinsoku/>
            <w:wordWrap/>
            <w:overflowPunct/>
            <w:topLinePunct w:val="0"/>
            <w:autoSpaceDE/>
            <w:autoSpaceDN/>
            <w:bidi w:val="0"/>
            <w:spacing w:line="360" w:lineRule="auto"/>
            <w:ind w:left="0" w:leftChars="0" w:firstLine="0" w:firstLineChars="0"/>
            <w:textAlignment w:val="auto"/>
            <w:rPr>
              <w:rFonts w:hint="eastAsia" w:ascii="仿宋" w:hAnsi="仿宋" w:eastAsia="仿宋" w:cs="仿宋"/>
              <w:smallCaps/>
              <w:color w:val="auto"/>
              <w:kern w:val="2"/>
              <w:sz w:val="20"/>
              <w:szCs w:val="20"/>
              <w:highlight w:val="none"/>
              <w:lang w:val="en-US" w:eastAsia="zh-CN" w:bidi="ar-SA"/>
            </w:rPr>
          </w:pPr>
          <w:r>
            <w:rPr>
              <w:rFonts w:hint="eastAsia" w:ascii="仿宋" w:hAnsi="仿宋" w:eastAsia="仿宋" w:cs="仿宋"/>
              <w:color w:val="auto"/>
              <w:sz w:val="24"/>
              <w:szCs w:val="24"/>
              <w:highlight w:val="none"/>
            </w:rPr>
            <w:fldChar w:fldCharType="end"/>
          </w:r>
        </w:p>
      </w:sdtContent>
    </w:sdt>
    <w:p w14:paraId="25E3ABA2">
      <w:pPr>
        <w:rPr>
          <w:rFonts w:hint="eastAsia" w:ascii="仿宋" w:hAnsi="仿宋" w:eastAsia="仿宋" w:cs="仿宋"/>
          <w:color w:val="auto"/>
          <w:highlight w:val="none"/>
        </w:rPr>
      </w:pPr>
    </w:p>
    <w:p w14:paraId="70DFA300">
      <w:pPr>
        <w:tabs>
          <w:tab w:val="left" w:pos="1980"/>
        </w:tabs>
        <w:spacing w:line="360" w:lineRule="auto"/>
        <w:jc w:val="both"/>
        <w:outlineLvl w:val="9"/>
        <w:rPr>
          <w:rFonts w:hint="eastAsia" w:ascii="仿宋" w:hAnsi="仿宋" w:eastAsia="仿宋" w:cs="仿宋"/>
          <w:b/>
          <w:bCs/>
          <w:color w:val="auto"/>
          <w:kern w:val="2"/>
          <w:sz w:val="30"/>
          <w:szCs w:val="30"/>
          <w:highlight w:val="none"/>
        </w:rPr>
      </w:pPr>
    </w:p>
    <w:p w14:paraId="6B591B33">
      <w:pPr>
        <w:tabs>
          <w:tab w:val="left" w:pos="5693"/>
        </w:tabs>
        <w:bidi w:val="0"/>
        <w:spacing w:line="360" w:lineRule="auto"/>
        <w:jc w:val="left"/>
        <w:rPr>
          <w:rFonts w:hint="eastAsia" w:ascii="仿宋" w:hAnsi="仿宋" w:eastAsia="仿宋" w:cs="仿宋"/>
          <w:color w:val="auto"/>
          <w:sz w:val="22"/>
          <w:szCs w:val="22"/>
          <w:highlight w:val="none"/>
          <w:lang w:val="en-US" w:eastAsia="zh-CN" w:bidi="ar-SA"/>
        </w:rPr>
      </w:pPr>
      <w:r>
        <w:rPr>
          <w:rFonts w:hint="eastAsia" w:ascii="仿宋" w:hAnsi="仿宋" w:eastAsia="仿宋" w:cs="仿宋"/>
          <w:color w:val="auto"/>
          <w:sz w:val="22"/>
          <w:szCs w:val="22"/>
          <w:highlight w:val="none"/>
          <w:lang w:val="en-US" w:eastAsia="zh-CN" w:bidi="ar-SA"/>
        </w:rPr>
        <w:tab/>
      </w:r>
    </w:p>
    <w:p w14:paraId="6D036783">
      <w:pPr>
        <w:bidi w:val="0"/>
        <w:spacing w:line="360" w:lineRule="auto"/>
        <w:rPr>
          <w:rFonts w:hint="eastAsia" w:ascii="仿宋" w:hAnsi="仿宋" w:eastAsia="仿宋" w:cs="仿宋"/>
          <w:color w:val="auto"/>
          <w:sz w:val="22"/>
          <w:szCs w:val="22"/>
          <w:highlight w:val="none"/>
          <w:lang w:val="en-US" w:eastAsia="zh-CN" w:bidi="ar-SA"/>
        </w:rPr>
      </w:pPr>
    </w:p>
    <w:p w14:paraId="6FEC944D">
      <w:pPr>
        <w:tabs>
          <w:tab w:val="left" w:pos="3940"/>
        </w:tabs>
        <w:bidi w:val="0"/>
        <w:spacing w:line="360" w:lineRule="auto"/>
        <w:jc w:val="left"/>
        <w:rPr>
          <w:rFonts w:hint="eastAsia" w:ascii="仿宋" w:hAnsi="仿宋" w:eastAsia="仿宋" w:cs="仿宋"/>
          <w:color w:val="auto"/>
          <w:highlight w:val="none"/>
          <w:lang w:val="en-US" w:eastAsia="zh-CN"/>
        </w:rPr>
        <w:sectPr>
          <w:headerReference r:id="rId5" w:type="first"/>
          <w:footerReference r:id="rId7" w:type="first"/>
          <w:headerReference r:id="rId4" w:type="default"/>
          <w:footerReference r:id="rId6" w:type="default"/>
          <w:pgSz w:w="11911" w:h="16838"/>
          <w:pgMar w:top="1417" w:right="1417" w:bottom="1417" w:left="1417" w:header="567" w:footer="397" w:gutter="0"/>
          <w:pgNumType w:chapStyle="3"/>
          <w:cols w:space="720" w:num="1"/>
          <w:titlePg/>
          <w:rtlGutter w:val="0"/>
          <w:docGrid w:linePitch="299" w:charSpace="0"/>
        </w:sectPr>
      </w:pPr>
      <w:r>
        <w:rPr>
          <w:rFonts w:hint="eastAsia" w:ascii="仿宋" w:hAnsi="仿宋" w:eastAsia="仿宋" w:cs="仿宋"/>
          <w:color w:val="auto"/>
          <w:highlight w:val="none"/>
          <w:lang w:val="en-US" w:eastAsia="zh-CN"/>
        </w:rPr>
        <w:tab/>
      </w:r>
    </w:p>
    <w:p w14:paraId="27C0AC84">
      <w:pPr>
        <w:pStyle w:val="3"/>
        <w:bidi w:val="0"/>
        <w:jc w:val="center"/>
        <w:rPr>
          <w:rFonts w:hint="eastAsia" w:ascii="仿宋" w:hAnsi="仿宋" w:eastAsia="仿宋" w:cs="仿宋"/>
          <w:color w:val="auto"/>
          <w:highlight w:val="none"/>
        </w:rPr>
      </w:pPr>
      <w:bookmarkStart w:id="2" w:name="_Toc29815"/>
      <w:bookmarkStart w:id="3" w:name="_Toc14429"/>
      <w:bookmarkStart w:id="4" w:name="_Toc32236"/>
      <w:bookmarkStart w:id="5" w:name="_Toc25361"/>
      <w:r>
        <w:rPr>
          <w:rFonts w:hint="eastAsia" w:ascii="仿宋" w:hAnsi="仿宋" w:eastAsia="仿宋" w:cs="仿宋"/>
          <w:color w:val="auto"/>
          <w:highlight w:val="none"/>
        </w:rPr>
        <mc:AlternateContent>
          <mc:Choice Requires="wps">
            <w:drawing>
              <wp:anchor distT="0" distB="0" distL="114300" distR="114300" simplePos="0" relativeHeight="251659264" behindDoc="0" locked="0" layoutInCell="1" hidden="1" allowOverlap="1">
                <wp:simplePos x="0" y="0"/>
                <wp:positionH relativeFrom="column">
                  <wp:posOffset>-678180</wp:posOffset>
                </wp:positionH>
                <wp:positionV relativeFrom="paragraph">
                  <wp:posOffset>-603250</wp:posOffset>
                </wp:positionV>
                <wp:extent cx="63500" cy="63500"/>
                <wp:effectExtent l="0" t="0" r="0" b="0"/>
                <wp:wrapNone/>
                <wp:docPr id="5" name="矩形 5" descr="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"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FFFFFF"/>
                        </a:solidFill>
                        <a:ln w="9525" cap="flat" cmpd="sng">
                          <a:solidFill>
                            <a:srgbClr val="000000"/>
                          </a:solidFill>
                          <a:prstDash val="solid"/>
                          <a:miter/>
                          <a:headEnd type="none" w="med" len="med"/>
                          <a:tailEnd type="none" w="med" len="med"/>
                        </a:ln>
                        <a:effectLst/>
                      </wps:spPr>
                      <wps:bodyPr upright="1"/>
                    </wps:wsp>
                  </a:graphicData>
                </a:graphic>
              </wp:anchor>
            </w:drawing>
          </mc:Choice>
          <mc:Fallback>
            <w:pict>
              <v:rect id="_x0000_s1026" o:spid="_x0000_s1026" o:spt="1" alt="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" style="position:absolute;left:0pt;margin-left:-53.4pt;margin-top:-47.5pt;height:5pt;width:5pt;visibility:hidden;z-index:251659264;mso-width-relative:page;mso-height-relative:page;" fillcolor="#FFFFFF" filled="t" stroked="t" coordsize="21600,21600" o:gfxdata="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">
                <v:fill on="t" focussize="0,0"/>
                <v:stroke color="#000000" joinstyle="miter"/>
                <v:imagedata o:title=""/>
                <o:lock v:ext="edit" aspectratio="f"/>
              </v:rect>
            </w:pict>
          </mc:Fallback>
        </mc:AlternateContent>
      </w:r>
      <w:r>
        <w:rPr>
          <w:rFonts w:hint="eastAsia" w:ascii="仿宋" w:hAnsi="仿宋" w:eastAsia="仿宋" w:cs="仿宋"/>
          <w:color w:val="auto"/>
          <w:highlight w:val="none"/>
        </w:rPr>
        <w:t>第一章  竞争性磋商</w:t>
      </w:r>
      <w:bookmarkEnd w:id="0"/>
      <w:bookmarkEnd w:id="1"/>
      <w:bookmarkStart w:id="6" w:name="_Toc519007706"/>
      <w:bookmarkStart w:id="7" w:name="_Toc487037683"/>
      <w:bookmarkStart w:id="8" w:name="_Toc292200559"/>
      <w:bookmarkStart w:id="9" w:name="_Toc227991413"/>
      <w:r>
        <w:rPr>
          <w:rFonts w:hint="eastAsia" w:ascii="仿宋" w:hAnsi="仿宋" w:eastAsia="仿宋" w:cs="仿宋"/>
          <w:color w:val="auto"/>
          <w:highlight w:val="none"/>
        </w:rPr>
        <w:t>公告</w:t>
      </w:r>
      <w:bookmarkEnd w:id="2"/>
      <w:bookmarkEnd w:id="3"/>
      <w:bookmarkEnd w:id="4"/>
      <w:bookmarkEnd w:id="5"/>
    </w:p>
    <w:bookmarkEnd w:id="6"/>
    <w:bookmarkEnd w:id="7"/>
    <w:p w14:paraId="38122467">
      <w:pPr>
        <w:tabs>
          <w:tab w:val="left" w:pos="1980"/>
          <w:tab w:val="center" w:pos="5093"/>
          <w:tab w:val="left" w:pos="9315"/>
        </w:tabs>
        <w:spacing w:line="240" w:lineRule="auto"/>
        <w:ind w:firstLine="281" w:firstLineChars="100"/>
        <w:jc w:val="center"/>
        <w:outlineLvl w:val="9"/>
        <w:rPr>
          <w:rFonts w:hint="eastAsia" w:ascii="仿宋" w:hAnsi="仿宋" w:eastAsia="仿宋" w:cs="仿宋"/>
          <w:b/>
          <w:bCs/>
          <w:color w:val="auto"/>
          <w:kern w:val="2"/>
          <w:sz w:val="28"/>
          <w:szCs w:val="28"/>
          <w:highlight w:val="none"/>
        </w:rPr>
      </w:pPr>
      <w:bookmarkStart w:id="10" w:name="_Toc7360"/>
      <w:bookmarkStart w:id="11" w:name="_Toc9359"/>
      <w:bookmarkStart w:id="12" w:name="_Toc32419"/>
      <w:bookmarkStart w:id="13" w:name="_Toc487037688"/>
      <w:bookmarkStart w:id="14" w:name="_Toc519587933"/>
      <w:r>
        <w:rPr>
          <w:rFonts w:hint="eastAsia" w:ascii="仿宋" w:hAnsi="仿宋" w:eastAsia="仿宋" w:cs="仿宋"/>
          <w:b/>
          <w:bCs/>
          <w:color w:val="auto"/>
          <w:kern w:val="2"/>
          <w:sz w:val="28"/>
          <w:szCs w:val="28"/>
          <w:highlight w:val="none"/>
          <w:lang w:eastAsia="zh-CN"/>
        </w:rPr>
        <w:t>富宁县人民医院提标扩能项目监理服务采购项目竞争性磋商公告</w:t>
      </w:r>
      <w:bookmarkEnd w:id="10"/>
      <w:bookmarkEnd w:id="11"/>
      <w:bookmarkEnd w:id="12"/>
      <w:r>
        <w:rPr>
          <w:rFonts w:hint="eastAsia" w:ascii="仿宋" w:hAnsi="仿宋" w:eastAsia="仿宋" w:cs="仿宋"/>
          <w:b/>
          <w:bCs/>
          <w:color w:val="auto"/>
          <w:kern w:val="2"/>
          <w:sz w:val="28"/>
          <w:szCs w:val="28"/>
          <w:highlight w:val="none"/>
          <w:lang w:eastAsia="zh-CN"/>
        </w:rPr>
        <w:t xml:space="preserve"> </w:t>
      </w:r>
      <w:r>
        <w:rPr>
          <w:rFonts w:hint="eastAsia" w:ascii="仿宋" w:hAnsi="仿宋" w:eastAsia="仿宋" w:cs="仿宋"/>
          <w:b/>
          <w:bCs/>
          <w:color w:val="auto"/>
          <w:kern w:val="2"/>
          <w:sz w:val="28"/>
          <w:szCs w:val="28"/>
          <w:highlight w:val="none"/>
        </w:rPr>
        <w:t xml:space="preserve"> </w:t>
      </w:r>
    </w:p>
    <w:tbl>
      <w:tblPr>
        <w:tblStyle w:val="24"/>
        <w:tblpPr w:leftFromText="180" w:rightFromText="180" w:vertAnchor="text" w:horzAnchor="page" w:tblpX="1606" w:tblpY="171"/>
        <w:tblOverlap w:val="never"/>
        <w:tblW w:w="92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58"/>
      </w:tblGrid>
      <w:tr w14:paraId="37D07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258" w:type="dxa"/>
          </w:tcPr>
          <w:p w14:paraId="744BA98B">
            <w:pPr>
              <w:pageBreakBefore w:val="0"/>
              <w:kinsoku/>
              <w:wordWrap w:val="0"/>
              <w:overflowPunct/>
              <w:bidi w:val="0"/>
              <w:spacing w:after="0" w:line="41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项目概况</w:t>
            </w:r>
          </w:p>
          <w:p w14:paraId="2E82E70D">
            <w:pPr>
              <w:pageBreakBefore w:val="0"/>
              <w:kinsoku/>
              <w:wordWrap w:val="0"/>
              <w:overflowPunct/>
              <w:bidi w:val="0"/>
              <w:spacing w:after="0" w:line="410" w:lineRule="exact"/>
              <w:ind w:firstLine="480" w:firstLineChars="200"/>
              <w:textAlignment w:val="auto"/>
              <w:rPr>
                <w:rFonts w:hint="eastAsia" w:ascii="仿宋" w:hAnsi="仿宋" w:eastAsia="仿宋" w:cs="仿宋"/>
                <w:b/>
                <w:bCs/>
                <w:color w:val="auto"/>
                <w:kern w:val="2"/>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bCs/>
                <w:color w:val="auto"/>
                <w:kern w:val="2"/>
                <w:sz w:val="24"/>
                <w:szCs w:val="24"/>
                <w:highlight w:val="none"/>
                <w:u w:val="single"/>
                <w:lang w:eastAsia="zh-CN"/>
              </w:rPr>
              <w:t>富宁县人民医院提标扩能项目监理服务采购项目</w:t>
            </w:r>
            <w:r>
              <w:rPr>
                <w:rFonts w:hint="eastAsia" w:ascii="仿宋" w:hAnsi="仿宋" w:eastAsia="仿宋" w:cs="仿宋"/>
                <w:color w:val="auto"/>
                <w:sz w:val="24"/>
                <w:szCs w:val="24"/>
                <w:highlight w:val="none"/>
              </w:rPr>
              <w:t>”采购项目的潜在供应商应在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政采云平台”（https://www.zcygov.cn/）</w:t>
            </w:r>
            <w:r>
              <w:rPr>
                <w:rFonts w:hint="eastAsia" w:ascii="仿宋" w:hAnsi="仿宋" w:eastAsia="仿宋" w:cs="仿宋"/>
                <w:color w:val="auto"/>
                <w:sz w:val="24"/>
                <w:szCs w:val="24"/>
                <w:highlight w:val="none"/>
              </w:rPr>
              <w:t>获取采购文件，并于</w:t>
            </w:r>
            <w:r>
              <w:rPr>
                <w:rFonts w:hint="eastAsia" w:ascii="仿宋" w:hAnsi="仿宋" w:eastAsia="仿宋" w:cs="仿宋"/>
                <w:b/>
                <w:bCs/>
                <w:color w:val="auto"/>
                <w:sz w:val="24"/>
                <w:szCs w:val="24"/>
                <w:highlight w:val="none"/>
                <w:lang w:val="en-US" w:eastAsia="zh-CN"/>
              </w:rPr>
              <w:t>2026年9月8日15时00分</w:t>
            </w:r>
            <w:r>
              <w:rPr>
                <w:rFonts w:hint="eastAsia" w:ascii="仿宋" w:hAnsi="仿宋" w:eastAsia="仿宋" w:cs="仿宋"/>
                <w:color w:val="auto"/>
                <w:sz w:val="24"/>
                <w:szCs w:val="24"/>
                <w:highlight w:val="none"/>
              </w:rPr>
              <w:t>（北京时间）前递交响应文件。</w:t>
            </w:r>
          </w:p>
        </w:tc>
      </w:tr>
    </w:tbl>
    <w:p w14:paraId="4A1C7927">
      <w:pPr>
        <w:pageBreakBefore w:val="0"/>
        <w:widowControl w:val="0"/>
        <w:kinsoku/>
        <w:wordWrap/>
        <w:overflowPunct/>
        <w:topLinePunct w:val="0"/>
        <w:autoSpaceDE/>
        <w:autoSpaceDN/>
        <w:bidi w:val="0"/>
        <w:adjustRightInd/>
        <w:snapToGrid/>
        <w:spacing w:after="0" w:line="560" w:lineRule="exact"/>
        <w:ind w:firstLine="562" w:firstLineChars="200"/>
        <w:jc w:val="both"/>
        <w:textAlignment w:val="auto"/>
        <w:rPr>
          <w:rFonts w:hint="eastAsia" w:ascii="仿宋" w:hAnsi="仿宋" w:eastAsia="仿宋" w:cs="仿宋"/>
          <w:b/>
          <w:bCs w:val="0"/>
          <w:color w:val="auto"/>
          <w:kern w:val="2"/>
          <w:sz w:val="28"/>
          <w:szCs w:val="28"/>
          <w:highlight w:val="none"/>
          <w:u w:val="none"/>
          <w:lang w:val="en-US" w:eastAsia="zh-CN"/>
        </w:rPr>
      </w:pPr>
      <w:bookmarkStart w:id="15" w:name="_Toc525207115"/>
      <w:bookmarkStart w:id="16" w:name="_Toc525741688"/>
      <w:bookmarkStart w:id="17" w:name="_Toc525049630"/>
      <w:r>
        <w:rPr>
          <w:rFonts w:hint="eastAsia" w:ascii="仿宋" w:hAnsi="仿宋" w:eastAsia="仿宋" w:cs="仿宋"/>
          <w:b/>
          <w:bCs w:val="0"/>
          <w:color w:val="auto"/>
          <w:kern w:val="2"/>
          <w:sz w:val="28"/>
          <w:szCs w:val="28"/>
          <w:highlight w:val="none"/>
          <w:lang w:val="en-US" w:eastAsia="zh-CN" w:bidi="ar-SA"/>
        </w:rPr>
        <w:t>一、</w:t>
      </w:r>
      <w:r>
        <w:rPr>
          <w:rFonts w:hint="eastAsia" w:ascii="仿宋" w:hAnsi="仿宋" w:eastAsia="仿宋" w:cs="仿宋"/>
          <w:b/>
          <w:bCs w:val="0"/>
          <w:color w:val="auto"/>
          <w:kern w:val="2"/>
          <w:sz w:val="28"/>
          <w:szCs w:val="28"/>
          <w:highlight w:val="none"/>
          <w:u w:val="none"/>
          <w:lang w:val="en-US" w:eastAsia="zh-CN"/>
        </w:rPr>
        <w:t>项目基本情况</w:t>
      </w:r>
    </w:p>
    <w:p w14:paraId="44AF37F6">
      <w:pPr>
        <w:pageBreakBefore w:val="0"/>
        <w:widowControl w:val="0"/>
        <w:kinsoku/>
        <w:wordWrap/>
        <w:overflowPunct/>
        <w:topLinePunct w:val="0"/>
        <w:autoSpaceDE/>
        <w:autoSpaceDN/>
        <w:bidi w:val="0"/>
        <w:adjustRightInd/>
        <w:snapToGrid/>
        <w:spacing w:after="0" w:line="560" w:lineRule="exact"/>
        <w:ind w:firstLine="482" w:firstLineChars="200"/>
        <w:jc w:val="both"/>
        <w:textAlignment w:val="auto"/>
        <w:rPr>
          <w:rFonts w:hint="eastAsia" w:ascii="仿宋" w:hAnsi="仿宋" w:eastAsia="仿宋" w:cs="仿宋"/>
          <w:color w:val="auto"/>
          <w:kern w:val="2"/>
          <w:sz w:val="24"/>
          <w:szCs w:val="24"/>
          <w:highlight w:val="none"/>
          <w:u w:val="none"/>
          <w:lang w:val="en-US" w:eastAsia="zh-CN"/>
        </w:rPr>
      </w:pPr>
      <w:bookmarkStart w:id="18" w:name="_Toc28359014"/>
      <w:bookmarkStart w:id="19" w:name="_Toc28359091"/>
      <w:r>
        <w:rPr>
          <w:rFonts w:hint="eastAsia" w:ascii="仿宋" w:hAnsi="仿宋" w:eastAsia="仿宋" w:cs="仿宋"/>
          <w:b/>
          <w:bCs/>
          <w:color w:val="auto"/>
          <w:kern w:val="2"/>
          <w:sz w:val="24"/>
          <w:szCs w:val="24"/>
          <w:highlight w:val="none"/>
          <w:u w:val="none"/>
          <w:lang w:val="en-US" w:eastAsia="zh-CN"/>
        </w:rPr>
        <w:t>1.项目编号：</w:t>
      </w:r>
      <w:r>
        <w:rPr>
          <w:rFonts w:hint="eastAsia" w:ascii="仿宋" w:hAnsi="仿宋" w:eastAsia="仿宋" w:cs="仿宋"/>
          <w:color w:val="auto"/>
          <w:kern w:val="2"/>
          <w:sz w:val="24"/>
          <w:szCs w:val="24"/>
          <w:highlight w:val="none"/>
          <w:u w:val="none"/>
          <w:lang w:val="en-US" w:eastAsia="zh-CN"/>
        </w:rPr>
        <w:t xml:space="preserve">WSZC2026-C3-00995-YNFY-0112          </w:t>
      </w:r>
    </w:p>
    <w:p w14:paraId="359907CB">
      <w:pPr>
        <w:pageBreakBefore w:val="0"/>
        <w:widowControl w:val="0"/>
        <w:kinsoku/>
        <w:wordWrap/>
        <w:overflowPunct/>
        <w:topLinePunct w:val="0"/>
        <w:autoSpaceDE/>
        <w:autoSpaceDN/>
        <w:bidi w:val="0"/>
        <w:adjustRightInd/>
        <w:snapToGrid/>
        <w:spacing w:after="0" w:line="560" w:lineRule="exact"/>
        <w:ind w:firstLine="482" w:firstLineChars="200"/>
        <w:jc w:val="both"/>
        <w:textAlignment w:val="auto"/>
        <w:rPr>
          <w:rFonts w:hint="eastAsia" w:ascii="仿宋" w:hAnsi="仿宋" w:eastAsia="仿宋" w:cs="仿宋"/>
          <w:color w:val="auto"/>
          <w:kern w:val="2"/>
          <w:sz w:val="24"/>
          <w:szCs w:val="24"/>
          <w:highlight w:val="none"/>
          <w:u w:val="none"/>
          <w:lang w:val="en-US" w:eastAsia="zh-CN"/>
        </w:rPr>
      </w:pPr>
      <w:r>
        <w:rPr>
          <w:rFonts w:hint="eastAsia" w:ascii="仿宋" w:hAnsi="仿宋" w:eastAsia="仿宋" w:cs="仿宋"/>
          <w:b/>
          <w:bCs/>
          <w:color w:val="auto"/>
          <w:kern w:val="2"/>
          <w:sz w:val="24"/>
          <w:szCs w:val="24"/>
          <w:highlight w:val="none"/>
          <w:u w:val="none"/>
          <w:lang w:val="en-US" w:eastAsia="zh-CN"/>
        </w:rPr>
        <w:t>2.项目名称：</w:t>
      </w:r>
      <w:r>
        <w:rPr>
          <w:rFonts w:hint="eastAsia" w:ascii="仿宋" w:hAnsi="仿宋" w:eastAsia="仿宋" w:cs="仿宋"/>
          <w:color w:val="auto"/>
          <w:kern w:val="2"/>
          <w:sz w:val="24"/>
          <w:szCs w:val="24"/>
          <w:highlight w:val="none"/>
          <w:u w:val="none"/>
          <w:lang w:val="en-US" w:eastAsia="zh-CN"/>
        </w:rPr>
        <w:t>富宁县人民医院提标扩能项目监理服务采购项目</w:t>
      </w:r>
      <w:bookmarkStart w:id="226" w:name="_GoBack"/>
      <w:bookmarkEnd w:id="226"/>
    </w:p>
    <w:p w14:paraId="66DD258C">
      <w:pPr>
        <w:pageBreakBefore w:val="0"/>
        <w:widowControl w:val="0"/>
        <w:kinsoku/>
        <w:wordWrap/>
        <w:overflowPunct/>
        <w:topLinePunct w:val="0"/>
        <w:autoSpaceDE/>
        <w:autoSpaceDN/>
        <w:bidi w:val="0"/>
        <w:adjustRightInd/>
        <w:snapToGrid/>
        <w:spacing w:after="0" w:line="560" w:lineRule="exact"/>
        <w:ind w:firstLine="482" w:firstLineChars="200"/>
        <w:jc w:val="both"/>
        <w:textAlignment w:val="auto"/>
        <w:rPr>
          <w:rFonts w:hint="eastAsia" w:ascii="仿宋" w:hAnsi="仿宋" w:eastAsia="仿宋" w:cs="仿宋"/>
          <w:color w:val="auto"/>
          <w:kern w:val="2"/>
          <w:sz w:val="24"/>
          <w:szCs w:val="24"/>
          <w:highlight w:val="none"/>
          <w:u w:val="none"/>
          <w:lang w:val="en-US" w:eastAsia="zh-CN"/>
        </w:rPr>
      </w:pPr>
      <w:r>
        <w:rPr>
          <w:rFonts w:hint="eastAsia" w:ascii="仿宋" w:hAnsi="仿宋" w:eastAsia="仿宋" w:cs="仿宋"/>
          <w:b/>
          <w:bCs/>
          <w:color w:val="auto"/>
          <w:kern w:val="2"/>
          <w:sz w:val="24"/>
          <w:szCs w:val="24"/>
          <w:highlight w:val="none"/>
          <w:u w:val="none"/>
          <w:lang w:val="en-US" w:eastAsia="zh-CN"/>
        </w:rPr>
        <w:t>3.采购方式：</w:t>
      </w:r>
      <w:r>
        <w:rPr>
          <w:rFonts w:hint="eastAsia" w:ascii="仿宋" w:hAnsi="仿宋" w:eastAsia="仿宋" w:cs="仿宋"/>
          <w:color w:val="auto"/>
          <w:kern w:val="2"/>
          <w:sz w:val="24"/>
          <w:szCs w:val="24"/>
          <w:highlight w:val="none"/>
          <w:u w:val="none"/>
          <w:lang w:val="en-US" w:eastAsia="zh-CN"/>
        </w:rPr>
        <w:t>竞争性磋商</w:t>
      </w:r>
    </w:p>
    <w:p w14:paraId="1723149A">
      <w:pPr>
        <w:pageBreakBefore w:val="0"/>
        <w:widowControl w:val="0"/>
        <w:kinsoku/>
        <w:wordWrap/>
        <w:overflowPunct/>
        <w:topLinePunct w:val="0"/>
        <w:autoSpaceDE/>
        <w:autoSpaceDN/>
        <w:bidi w:val="0"/>
        <w:adjustRightInd/>
        <w:snapToGrid/>
        <w:spacing w:after="0" w:line="560" w:lineRule="exact"/>
        <w:ind w:firstLine="482" w:firstLineChars="200"/>
        <w:jc w:val="both"/>
        <w:textAlignment w:val="auto"/>
        <w:rPr>
          <w:rFonts w:hint="eastAsia" w:ascii="仿宋" w:hAnsi="仿宋" w:eastAsia="仿宋" w:cs="仿宋"/>
          <w:color w:val="auto"/>
          <w:kern w:val="2"/>
          <w:sz w:val="24"/>
          <w:szCs w:val="24"/>
          <w:highlight w:val="none"/>
          <w:u w:val="none"/>
          <w:lang w:val="en-US" w:eastAsia="zh-CN"/>
        </w:rPr>
      </w:pPr>
      <w:r>
        <w:rPr>
          <w:rFonts w:hint="eastAsia" w:ascii="仿宋" w:hAnsi="仿宋" w:eastAsia="仿宋" w:cs="仿宋"/>
          <w:b/>
          <w:bCs/>
          <w:color w:val="auto"/>
          <w:kern w:val="2"/>
          <w:sz w:val="24"/>
          <w:szCs w:val="24"/>
          <w:highlight w:val="none"/>
          <w:u w:val="none"/>
          <w:lang w:val="en-US" w:eastAsia="zh-CN"/>
        </w:rPr>
        <w:t>4.预算金额：</w:t>
      </w:r>
      <w:r>
        <w:rPr>
          <w:rFonts w:hint="eastAsia" w:ascii="仿宋" w:hAnsi="仿宋" w:eastAsia="仿宋" w:cs="仿宋"/>
          <w:color w:val="auto"/>
          <w:kern w:val="2"/>
          <w:sz w:val="24"/>
          <w:szCs w:val="24"/>
          <w:highlight w:val="none"/>
          <w:u w:val="none"/>
          <w:lang w:val="en-US" w:eastAsia="zh-CN"/>
        </w:rPr>
        <w:t>81.00万元</w:t>
      </w:r>
    </w:p>
    <w:p w14:paraId="4C8A7B3E">
      <w:pPr>
        <w:pageBreakBefore w:val="0"/>
        <w:widowControl w:val="0"/>
        <w:kinsoku/>
        <w:wordWrap/>
        <w:overflowPunct/>
        <w:topLinePunct w:val="0"/>
        <w:autoSpaceDE/>
        <w:autoSpaceDN/>
        <w:bidi w:val="0"/>
        <w:adjustRightInd/>
        <w:snapToGrid/>
        <w:spacing w:after="0" w:line="560" w:lineRule="exact"/>
        <w:ind w:firstLine="482" w:firstLineChars="200"/>
        <w:jc w:val="both"/>
        <w:textAlignment w:val="auto"/>
        <w:rPr>
          <w:rFonts w:hint="eastAsia" w:ascii="仿宋" w:hAnsi="仿宋" w:eastAsia="仿宋" w:cs="仿宋"/>
          <w:color w:val="auto"/>
          <w:kern w:val="2"/>
          <w:sz w:val="24"/>
          <w:szCs w:val="24"/>
          <w:highlight w:val="none"/>
          <w:u w:val="none"/>
          <w:lang w:val="en-US" w:eastAsia="zh-CN"/>
        </w:rPr>
      </w:pPr>
      <w:r>
        <w:rPr>
          <w:rFonts w:hint="eastAsia" w:ascii="仿宋" w:hAnsi="仿宋" w:eastAsia="仿宋" w:cs="仿宋"/>
          <w:b/>
          <w:bCs/>
          <w:color w:val="auto"/>
          <w:kern w:val="2"/>
          <w:sz w:val="24"/>
          <w:szCs w:val="24"/>
          <w:highlight w:val="none"/>
          <w:u w:val="none"/>
          <w:lang w:val="en-US" w:eastAsia="zh-CN"/>
        </w:rPr>
        <w:t>5.最高限价：</w:t>
      </w:r>
      <w:bookmarkStart w:id="20" w:name="_Toc28359013"/>
      <w:bookmarkStart w:id="21" w:name="_Toc28359090"/>
      <w:bookmarkStart w:id="22" w:name="_Toc35393630"/>
      <w:bookmarkStart w:id="23" w:name="_Toc35393799"/>
      <w:r>
        <w:rPr>
          <w:rFonts w:hint="eastAsia" w:ascii="仿宋" w:hAnsi="仿宋" w:eastAsia="仿宋" w:cs="仿宋"/>
          <w:color w:val="auto"/>
          <w:kern w:val="2"/>
          <w:sz w:val="24"/>
          <w:szCs w:val="24"/>
          <w:highlight w:val="none"/>
          <w:u w:val="none"/>
          <w:lang w:val="en-US" w:eastAsia="zh-CN"/>
        </w:rPr>
        <w:t>60.00万元</w:t>
      </w:r>
    </w:p>
    <w:p w14:paraId="32972935">
      <w:pPr>
        <w:keepNext w:val="0"/>
        <w:keepLines w:val="0"/>
        <w:pageBreakBefore w:val="0"/>
        <w:widowControl w:val="0"/>
        <w:kinsoku/>
        <w:wordWrap/>
        <w:overflowPunct/>
        <w:topLinePunct w:val="0"/>
        <w:autoSpaceDE/>
        <w:autoSpaceDN/>
        <w:bidi w:val="0"/>
        <w:adjustRightInd/>
        <w:snapToGrid/>
        <w:spacing w:after="0" w:line="560" w:lineRule="exact"/>
        <w:ind w:firstLine="482" w:firstLineChars="200"/>
        <w:jc w:val="both"/>
        <w:textAlignment w:val="auto"/>
        <w:rPr>
          <w:rFonts w:hint="eastAsia" w:ascii="仿宋" w:hAnsi="仿宋" w:eastAsia="仿宋" w:cs="仿宋"/>
          <w:color w:val="auto"/>
          <w:kern w:val="2"/>
          <w:sz w:val="24"/>
          <w:szCs w:val="24"/>
          <w:highlight w:val="none"/>
          <w:u w:val="none"/>
          <w:lang w:val="en-US" w:eastAsia="zh-CN"/>
        </w:rPr>
      </w:pPr>
      <w:r>
        <w:rPr>
          <w:rFonts w:hint="eastAsia" w:ascii="仿宋" w:hAnsi="仿宋" w:eastAsia="仿宋" w:cs="仿宋"/>
          <w:b/>
          <w:bCs/>
          <w:color w:val="auto"/>
          <w:kern w:val="2"/>
          <w:sz w:val="24"/>
          <w:szCs w:val="24"/>
          <w:highlight w:val="none"/>
          <w:u w:val="none"/>
          <w:lang w:val="en-US" w:eastAsia="zh-CN"/>
        </w:rPr>
        <w:t>6.采购需求：</w:t>
      </w:r>
      <w:r>
        <w:rPr>
          <w:rFonts w:hint="eastAsia" w:ascii="仿宋" w:hAnsi="仿宋" w:eastAsia="仿宋" w:cs="仿宋"/>
          <w:color w:val="auto"/>
          <w:kern w:val="2"/>
          <w:sz w:val="24"/>
          <w:szCs w:val="24"/>
          <w:highlight w:val="none"/>
          <w:u w:val="none"/>
          <w:lang w:val="en-US" w:eastAsia="zh-CN"/>
        </w:rPr>
        <w:t>富宁县人民医院提标扩能建设项目施工准备阶段、施工阶段和保修阶段（包括缺陷责任期内）的全过程监理服务（监理服务期具体为自监理合同签订之日起至缺陷责任期满止，工程延期监理费用不调整），包括但不限于工程项目的全部施工、竣工合格、验收移交、缺陷责任期满为止的全过程监理服务。建设工程项目施工阶段的质量、进度、费用控制管理和安全、合同、信息等方面协调管理服务（包括对业主委托的工程质量检测单位检测方案、检测内容、检测费用的审核）。（具体详见第五章 项目需求）。</w:t>
      </w:r>
    </w:p>
    <w:p w14:paraId="70343B24">
      <w:pPr>
        <w:keepNext w:val="0"/>
        <w:keepLines w:val="0"/>
        <w:pageBreakBefore w:val="0"/>
        <w:widowControl w:val="0"/>
        <w:kinsoku/>
        <w:wordWrap/>
        <w:overflowPunct/>
        <w:topLinePunct w:val="0"/>
        <w:autoSpaceDE/>
        <w:autoSpaceDN/>
        <w:bidi w:val="0"/>
        <w:adjustRightInd/>
        <w:snapToGrid/>
        <w:spacing w:after="0" w:line="560" w:lineRule="exact"/>
        <w:ind w:firstLine="482" w:firstLineChars="200"/>
        <w:jc w:val="both"/>
        <w:textAlignment w:val="auto"/>
        <w:rPr>
          <w:rFonts w:hint="eastAsia" w:ascii="仿宋" w:hAnsi="仿宋" w:eastAsia="仿宋" w:cs="仿宋"/>
          <w:color w:val="auto"/>
          <w:kern w:val="2"/>
          <w:sz w:val="24"/>
          <w:szCs w:val="24"/>
          <w:highlight w:val="none"/>
          <w:u w:val="none"/>
          <w:lang w:val="en-US" w:eastAsia="zh-CN"/>
        </w:rPr>
      </w:pPr>
      <w:r>
        <w:rPr>
          <w:rFonts w:hint="eastAsia" w:ascii="仿宋" w:hAnsi="仿宋" w:eastAsia="仿宋" w:cs="仿宋"/>
          <w:b/>
          <w:bCs/>
          <w:color w:val="auto"/>
          <w:kern w:val="2"/>
          <w:sz w:val="24"/>
          <w:szCs w:val="24"/>
          <w:highlight w:val="none"/>
          <w:u w:val="none"/>
          <w:lang w:val="en-US" w:eastAsia="zh-CN"/>
        </w:rPr>
        <w:t>7.合同履行期限：</w:t>
      </w:r>
      <w:r>
        <w:rPr>
          <w:rFonts w:hint="eastAsia" w:ascii="仿宋" w:hAnsi="仿宋" w:eastAsia="仿宋" w:cs="仿宋"/>
          <w:color w:val="auto"/>
          <w:kern w:val="2"/>
          <w:sz w:val="24"/>
          <w:szCs w:val="24"/>
          <w:highlight w:val="none"/>
          <w:u w:val="none"/>
          <w:lang w:val="en-US" w:eastAsia="zh-CN"/>
        </w:rPr>
        <w:t>730日历天（按采购人总体建设计划及施工合同约定工期执行）。</w:t>
      </w:r>
    </w:p>
    <w:p w14:paraId="41C4551C">
      <w:pPr>
        <w:pStyle w:val="3"/>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kern w:val="2"/>
          <w:sz w:val="24"/>
          <w:szCs w:val="24"/>
          <w:highlight w:val="none"/>
          <w:u w:val="none"/>
          <w:lang w:val="en-US" w:eastAsia="zh-CN" w:bidi="ar-SA"/>
        </w:rPr>
        <w:t>8.服务标准：</w:t>
      </w:r>
      <w:r>
        <w:rPr>
          <w:rFonts w:hint="eastAsia" w:ascii="仿宋" w:hAnsi="仿宋" w:eastAsia="仿宋" w:cs="仿宋"/>
          <w:b w:val="0"/>
          <w:bCs w:val="0"/>
          <w:color w:val="auto"/>
          <w:kern w:val="2"/>
          <w:sz w:val="24"/>
          <w:szCs w:val="24"/>
          <w:highlight w:val="none"/>
          <w:u w:val="none"/>
          <w:lang w:val="en-US" w:eastAsia="zh-CN" w:bidi="ar-SA"/>
        </w:rPr>
        <w:t>严格执行《建设工程监理规范》(GB/T50319-2013)、《建设工程质量管理条例》、《建筑工程施工质量验收统一标准》</w:t>
      </w:r>
      <w:r>
        <w:rPr>
          <w:rFonts w:hint="eastAsia" w:ascii="仿宋" w:hAnsi="仿宋" w:eastAsia="仿宋" w:cs="仿宋"/>
          <w:b w:val="0"/>
          <w:bCs w:val="0"/>
          <w:caps w:val="0"/>
          <w:smallCaps w:val="0"/>
          <w:color w:val="auto"/>
          <w:spacing w:val="0"/>
          <w:kern w:val="0"/>
          <w:sz w:val="24"/>
          <w:szCs w:val="24"/>
          <w:highlight w:val="none"/>
          <w:lang w:val="en-US" w:eastAsia="zh-CN" w:bidi="ar-SA"/>
        </w:rPr>
        <w:t>（GB 50300-2013）</w:t>
      </w:r>
      <w:r>
        <w:rPr>
          <w:rFonts w:hint="eastAsia" w:ascii="仿宋" w:hAnsi="仿宋" w:eastAsia="仿宋" w:cs="仿宋"/>
          <w:b w:val="0"/>
          <w:bCs w:val="0"/>
          <w:color w:val="auto"/>
          <w:kern w:val="2"/>
          <w:sz w:val="24"/>
          <w:szCs w:val="24"/>
          <w:highlight w:val="none"/>
          <w:u w:val="none"/>
          <w:lang w:val="en-US" w:eastAsia="zh-CN" w:bidi="ar-SA"/>
        </w:rPr>
        <w:t>、《综合医院建筑设计标准》和国家现行工程建设强制性标准，符合国家、相关行业现行的有关规范及标准，认真、全面履行《监理合同》及监理服务承诺。</w:t>
      </w:r>
    </w:p>
    <w:p w14:paraId="3C66F44E">
      <w:pPr>
        <w:keepNext/>
        <w:keepLines/>
        <w:pageBreakBefore w:val="0"/>
        <w:widowControl w:val="0"/>
        <w:numPr>
          <w:ilvl w:val="1"/>
          <w:numId w:val="0"/>
        </w:numPr>
        <w:kinsoku/>
        <w:wordWrap/>
        <w:overflowPunct/>
        <w:topLinePunct w:val="0"/>
        <w:autoSpaceDE/>
        <w:autoSpaceDN/>
        <w:bidi w:val="0"/>
        <w:adjustRightInd/>
        <w:snapToGrid/>
        <w:spacing w:before="0" w:after="0" w:line="560" w:lineRule="exact"/>
        <w:ind w:left="0" w:leftChars="0" w:firstLine="482" w:firstLineChars="200"/>
        <w:jc w:val="both"/>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bCs w:val="0"/>
          <w:color w:val="auto"/>
          <w:kern w:val="2"/>
          <w:sz w:val="24"/>
          <w:szCs w:val="24"/>
          <w:highlight w:val="none"/>
          <w:lang w:val="en-US" w:eastAsia="zh-CN" w:bidi="ar-SA"/>
        </w:rPr>
        <w:t>9.本项目不接受联合体。</w:t>
      </w:r>
    </w:p>
    <w:p w14:paraId="6293FDE6">
      <w:pPr>
        <w:pageBreakBefore w:val="0"/>
        <w:widowControl w:val="0"/>
        <w:kinsoku/>
        <w:wordWrap/>
        <w:overflowPunct/>
        <w:topLinePunct w:val="0"/>
        <w:autoSpaceDE/>
        <w:autoSpaceDN/>
        <w:bidi w:val="0"/>
        <w:adjustRightInd/>
        <w:snapToGrid/>
        <w:spacing w:after="0" w:line="560" w:lineRule="exact"/>
        <w:ind w:firstLine="562" w:firstLineChars="200"/>
        <w:jc w:val="both"/>
        <w:textAlignment w:val="auto"/>
        <w:rPr>
          <w:rFonts w:hint="eastAsia" w:ascii="仿宋" w:hAnsi="仿宋" w:eastAsia="仿宋" w:cs="仿宋"/>
          <w:b/>
          <w:bCs/>
          <w:color w:val="auto"/>
          <w:kern w:val="2"/>
          <w:sz w:val="28"/>
          <w:szCs w:val="28"/>
          <w:highlight w:val="none"/>
          <w:u w:val="none"/>
          <w:lang w:val="en-US" w:eastAsia="zh-CN"/>
        </w:rPr>
      </w:pPr>
      <w:bookmarkStart w:id="24" w:name="_Toc9382"/>
      <w:r>
        <w:rPr>
          <w:rFonts w:hint="eastAsia" w:ascii="仿宋" w:hAnsi="仿宋" w:eastAsia="仿宋" w:cs="仿宋"/>
          <w:b/>
          <w:bCs/>
          <w:color w:val="auto"/>
          <w:kern w:val="2"/>
          <w:sz w:val="28"/>
          <w:szCs w:val="28"/>
          <w:highlight w:val="none"/>
          <w:u w:val="none"/>
          <w:lang w:val="en-US" w:eastAsia="zh-CN"/>
        </w:rPr>
        <w:t>二、供应商的资格要求：</w:t>
      </w:r>
      <w:bookmarkEnd w:id="20"/>
      <w:bookmarkEnd w:id="21"/>
      <w:bookmarkEnd w:id="22"/>
      <w:bookmarkEnd w:id="23"/>
      <w:bookmarkEnd w:id="24"/>
    </w:p>
    <w:p w14:paraId="47E3C207">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b/>
          <w:bCs/>
          <w:color w:val="auto"/>
          <w:kern w:val="2"/>
          <w:sz w:val="24"/>
          <w:szCs w:val="24"/>
          <w:highlight w:val="none"/>
          <w:u w:val="none"/>
          <w:lang w:val="en-US" w:eastAsia="zh-CN"/>
        </w:rPr>
      </w:pPr>
      <w:r>
        <w:rPr>
          <w:rFonts w:hint="eastAsia" w:ascii="仿宋" w:hAnsi="仿宋" w:eastAsia="仿宋" w:cs="仿宋"/>
          <w:b/>
          <w:bCs/>
          <w:color w:val="auto"/>
          <w:kern w:val="2"/>
          <w:sz w:val="24"/>
          <w:szCs w:val="24"/>
          <w:highlight w:val="none"/>
          <w:u w:val="none"/>
          <w:lang w:val="en-US" w:eastAsia="zh-CN"/>
        </w:rPr>
        <w:t>1.满足《中华人民共和国政府采购法》第二十二条规定；</w:t>
      </w:r>
    </w:p>
    <w:p w14:paraId="54788C55">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auto"/>
          <w:kern w:val="2"/>
          <w:sz w:val="24"/>
          <w:szCs w:val="24"/>
          <w:highlight w:val="none"/>
          <w:u w:val="none"/>
          <w:lang w:val="en-US" w:eastAsia="zh-CN"/>
        </w:rPr>
      </w:pPr>
      <w:r>
        <w:rPr>
          <w:rFonts w:hint="eastAsia" w:ascii="仿宋" w:hAnsi="仿宋" w:eastAsia="仿宋" w:cs="仿宋"/>
          <w:b/>
          <w:bCs/>
          <w:color w:val="auto"/>
          <w:kern w:val="2"/>
          <w:sz w:val="24"/>
          <w:szCs w:val="24"/>
          <w:highlight w:val="none"/>
          <w:u w:val="none"/>
          <w:lang w:val="en-US" w:eastAsia="zh-CN"/>
        </w:rPr>
        <w:t>1.1具有独立承担民事责任的能力：</w:t>
      </w:r>
      <w:r>
        <w:rPr>
          <w:rFonts w:hint="eastAsia" w:ascii="仿宋" w:hAnsi="仿宋" w:eastAsia="仿宋" w:cs="仿宋"/>
          <w:color w:val="auto"/>
          <w:sz w:val="24"/>
          <w:szCs w:val="24"/>
          <w:highlight w:val="none"/>
          <w:lang w:val="en-US" w:eastAsia="zh-CN"/>
        </w:rPr>
        <w:t>供应商为法人、其他组织或者自然人，提供有效的营业执照或事业单位法人证书或民办非企业登记证书或执业许可证或社会团体登记证或自然人身份证明</w:t>
      </w:r>
      <w:r>
        <w:rPr>
          <w:rFonts w:hint="eastAsia" w:ascii="仿宋" w:hAnsi="仿宋" w:eastAsia="仿宋" w:cs="仿宋"/>
          <w:color w:val="auto"/>
          <w:kern w:val="2"/>
          <w:sz w:val="24"/>
          <w:szCs w:val="24"/>
          <w:highlight w:val="none"/>
          <w:u w:val="none"/>
          <w:lang w:val="en-US" w:eastAsia="zh-CN"/>
        </w:rPr>
        <w:t>；</w:t>
      </w:r>
    </w:p>
    <w:p w14:paraId="37459818">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b/>
          <w:bCs/>
          <w:color w:val="auto"/>
          <w:kern w:val="2"/>
          <w:sz w:val="24"/>
          <w:szCs w:val="24"/>
          <w:highlight w:val="none"/>
          <w:u w:val="none"/>
          <w:lang w:val="en-US" w:eastAsia="zh-CN"/>
        </w:rPr>
        <w:t>1.2财务要求：</w:t>
      </w:r>
      <w:r>
        <w:rPr>
          <w:rFonts w:hint="eastAsia" w:ascii="仿宋" w:hAnsi="仿宋" w:eastAsia="仿宋" w:cs="仿宋"/>
          <w:b w:val="0"/>
          <w:bCs w:val="0"/>
          <w:color w:val="auto"/>
          <w:kern w:val="2"/>
          <w:sz w:val="24"/>
          <w:szCs w:val="24"/>
          <w:highlight w:val="none"/>
          <w:u w:val="none"/>
          <w:lang w:val="en-US" w:eastAsia="zh-CN"/>
        </w:rPr>
        <w:t>供应商满足下列任一要求：①提供2023年至今任意一年经第三方审计的审计报告及财务报表（包括资产负债表、利润表、现金流量表），成立不满1年的，提供自成立至今财务报表（包括资产负债表、利润表、现金流量表）；②提供申请文件提交截止时间前三个月内基本开户银行出具的资信证明文件（复印件加盖公章）；③非营利性单位或者社会团体或者其他机关事业单位以符合财务会计制度为准或者提供承诺函；④投标人为自然人的提供承诺函（格式自拟）；</w:t>
      </w:r>
    </w:p>
    <w:p w14:paraId="4AE2087F">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auto"/>
          <w:kern w:val="2"/>
          <w:sz w:val="24"/>
          <w:szCs w:val="24"/>
          <w:highlight w:val="none"/>
          <w:u w:val="none"/>
          <w:lang w:val="en-US" w:eastAsia="zh-CN"/>
        </w:rPr>
      </w:pPr>
      <w:r>
        <w:rPr>
          <w:rFonts w:hint="eastAsia" w:ascii="仿宋" w:hAnsi="仿宋" w:eastAsia="仿宋" w:cs="仿宋"/>
          <w:b/>
          <w:bCs/>
          <w:color w:val="auto"/>
          <w:kern w:val="2"/>
          <w:sz w:val="24"/>
          <w:szCs w:val="24"/>
          <w:highlight w:val="none"/>
          <w:u w:val="none"/>
          <w:lang w:val="en-US" w:eastAsia="zh-CN"/>
        </w:rPr>
        <w:t>1.3具有履行合同所必需的设备和专业技术能力</w:t>
      </w:r>
      <w:r>
        <w:rPr>
          <w:rFonts w:hint="eastAsia" w:ascii="仿宋" w:hAnsi="仿宋" w:eastAsia="仿宋" w:cs="仿宋"/>
          <w:color w:val="auto"/>
          <w:kern w:val="2"/>
          <w:sz w:val="24"/>
          <w:szCs w:val="24"/>
          <w:highlight w:val="none"/>
          <w:u w:val="none"/>
          <w:lang w:val="en-US" w:eastAsia="zh-CN"/>
        </w:rPr>
        <w:t>：具有履行合同所必需的设备和专业技术能力，提供书面声明或证明材料。</w:t>
      </w:r>
    </w:p>
    <w:p w14:paraId="288186EE">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b/>
          <w:bCs/>
          <w:color w:val="auto"/>
          <w:kern w:val="2"/>
          <w:sz w:val="24"/>
          <w:szCs w:val="24"/>
          <w:highlight w:val="none"/>
          <w:u w:val="none"/>
          <w:lang w:val="en-US" w:eastAsia="zh-CN"/>
        </w:rPr>
      </w:pPr>
      <w:r>
        <w:rPr>
          <w:rFonts w:hint="eastAsia" w:ascii="仿宋" w:hAnsi="仿宋" w:eastAsia="仿宋" w:cs="仿宋"/>
          <w:b/>
          <w:bCs/>
          <w:color w:val="auto"/>
          <w:kern w:val="2"/>
          <w:sz w:val="24"/>
          <w:szCs w:val="24"/>
          <w:highlight w:val="none"/>
          <w:u w:val="none"/>
          <w:lang w:val="en-US" w:eastAsia="zh-CN"/>
        </w:rPr>
        <w:t>1.4具有依法缴纳税收和社会保障资金的良好记录：</w:t>
      </w:r>
    </w:p>
    <w:p w14:paraId="787B3A43">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auto"/>
          <w:kern w:val="2"/>
          <w:sz w:val="24"/>
          <w:szCs w:val="24"/>
          <w:highlight w:val="none"/>
          <w:u w:val="none"/>
          <w:lang w:val="en-US" w:eastAsia="zh-CN"/>
        </w:rPr>
      </w:pPr>
      <w:r>
        <w:rPr>
          <w:rFonts w:hint="eastAsia" w:ascii="仿宋" w:hAnsi="仿宋" w:eastAsia="仿宋" w:cs="仿宋"/>
          <w:color w:val="auto"/>
          <w:kern w:val="2"/>
          <w:sz w:val="24"/>
          <w:szCs w:val="24"/>
          <w:highlight w:val="none"/>
          <w:u w:val="none"/>
          <w:lang w:val="en-US" w:eastAsia="zh-CN"/>
        </w:rPr>
        <w:t>（1）提供缴费所属时间在2026年1月至本项目响应文件提交截止时间前任意1个月的税收缴纳凭证；新成立的供应商提供成立以来的税收缴纳凭证或相关情况说明，依法免税的供应商，应提供相应文件证明其依法免税；</w:t>
      </w:r>
    </w:p>
    <w:p w14:paraId="0EE2236E">
      <w:pPr>
        <w:pageBreakBefore w:val="0"/>
        <w:kinsoku/>
        <w:wordWrap/>
        <w:overflowPunct/>
        <w:topLinePunct w:val="0"/>
        <w:autoSpaceDE/>
        <w:autoSpaceDN/>
        <w:bidi w:val="0"/>
        <w:adjustRightInd/>
        <w:snapToGrid/>
        <w:spacing w:after="120" w:line="560" w:lineRule="exact"/>
        <w:ind w:firstLine="480" w:firstLineChars="200"/>
        <w:textAlignment w:val="auto"/>
        <w:rPr>
          <w:rFonts w:hint="eastAsia" w:ascii="仿宋" w:hAnsi="仿宋" w:eastAsia="仿宋" w:cs="仿宋"/>
          <w:color w:val="auto"/>
          <w:kern w:val="2"/>
          <w:sz w:val="24"/>
          <w:szCs w:val="24"/>
          <w:highlight w:val="none"/>
          <w:u w:val="none"/>
          <w:lang w:val="en-US" w:eastAsia="zh-CN"/>
        </w:rPr>
      </w:pPr>
      <w:r>
        <w:rPr>
          <w:rFonts w:hint="eastAsia" w:ascii="仿宋" w:hAnsi="仿宋" w:eastAsia="仿宋" w:cs="仿宋"/>
          <w:color w:val="auto"/>
          <w:kern w:val="2"/>
          <w:sz w:val="24"/>
          <w:szCs w:val="24"/>
          <w:highlight w:val="none"/>
          <w:u w:val="none"/>
          <w:lang w:val="en-US" w:eastAsia="zh-CN"/>
        </w:rPr>
        <w:t>（2）</w:t>
      </w:r>
      <w:r>
        <w:rPr>
          <w:rFonts w:hint="eastAsia" w:ascii="仿宋" w:hAnsi="仿宋" w:eastAsia="仿宋" w:cs="仿宋"/>
          <w:color w:val="auto"/>
          <w:sz w:val="24"/>
          <w:szCs w:val="24"/>
          <w:highlight w:val="none"/>
          <w:lang w:val="zh-CN"/>
        </w:rPr>
        <w:t>提供缴费所属时间在2026年1月至本项目</w:t>
      </w:r>
      <w:r>
        <w:rPr>
          <w:rFonts w:hint="eastAsia" w:ascii="仿宋" w:hAnsi="仿宋" w:eastAsia="仿宋" w:cs="仿宋"/>
          <w:color w:val="auto"/>
          <w:sz w:val="24"/>
          <w:szCs w:val="24"/>
          <w:highlight w:val="none"/>
        </w:rPr>
        <w:t>响应</w:t>
      </w:r>
      <w:r>
        <w:rPr>
          <w:rFonts w:hint="eastAsia" w:ascii="仿宋" w:hAnsi="仿宋" w:eastAsia="仿宋" w:cs="仿宋"/>
          <w:color w:val="auto"/>
          <w:sz w:val="24"/>
          <w:szCs w:val="24"/>
          <w:highlight w:val="none"/>
          <w:lang w:val="zh-CN"/>
        </w:rPr>
        <w:t>文件提交截止时间前任意</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val="zh-CN"/>
        </w:rPr>
        <w:t>个月的社保资金缴纳凭证；</w:t>
      </w:r>
      <w:r>
        <w:rPr>
          <w:rFonts w:hint="eastAsia" w:ascii="仿宋" w:hAnsi="仿宋" w:eastAsia="仿宋" w:cs="仿宋"/>
          <w:color w:val="auto"/>
          <w:sz w:val="24"/>
          <w:szCs w:val="24"/>
          <w:highlight w:val="none"/>
          <w:lang w:val="en-US" w:eastAsia="zh-CN"/>
        </w:rPr>
        <w:t>新</w:t>
      </w:r>
      <w:r>
        <w:rPr>
          <w:rFonts w:hint="eastAsia" w:ascii="仿宋" w:hAnsi="仿宋" w:eastAsia="仿宋" w:cs="仿宋"/>
          <w:color w:val="auto"/>
          <w:sz w:val="24"/>
          <w:szCs w:val="24"/>
          <w:highlight w:val="none"/>
          <w:lang w:val="zh-CN"/>
        </w:rPr>
        <w:t>成立的</w:t>
      </w:r>
      <w:r>
        <w:rPr>
          <w:rFonts w:hint="eastAsia" w:ascii="仿宋" w:hAnsi="仿宋" w:eastAsia="仿宋" w:cs="仿宋"/>
          <w:color w:val="auto"/>
          <w:sz w:val="24"/>
          <w:szCs w:val="24"/>
          <w:highlight w:val="none"/>
        </w:rPr>
        <w:t>供应商</w:t>
      </w:r>
      <w:r>
        <w:rPr>
          <w:rFonts w:hint="eastAsia" w:ascii="仿宋" w:hAnsi="仿宋" w:eastAsia="仿宋" w:cs="仿宋"/>
          <w:color w:val="auto"/>
          <w:sz w:val="24"/>
          <w:szCs w:val="24"/>
          <w:highlight w:val="none"/>
          <w:lang w:val="zh-CN"/>
        </w:rPr>
        <w:t>提供成立以来社保资金缴纳凭证或相关情况说明；</w:t>
      </w:r>
    </w:p>
    <w:p w14:paraId="5250A29E">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auto"/>
          <w:kern w:val="2"/>
          <w:sz w:val="24"/>
          <w:szCs w:val="24"/>
          <w:highlight w:val="none"/>
          <w:u w:val="none"/>
          <w:lang w:val="en-US" w:eastAsia="zh-CN"/>
        </w:rPr>
      </w:pPr>
      <w:r>
        <w:rPr>
          <w:rFonts w:hint="eastAsia" w:ascii="仿宋" w:hAnsi="仿宋" w:eastAsia="仿宋" w:cs="仿宋"/>
          <w:b/>
          <w:bCs/>
          <w:color w:val="auto"/>
          <w:kern w:val="2"/>
          <w:sz w:val="24"/>
          <w:szCs w:val="24"/>
          <w:highlight w:val="none"/>
          <w:u w:val="none"/>
          <w:lang w:val="en-US" w:eastAsia="zh-CN"/>
        </w:rPr>
        <w:t>1.5参加政府采购活动前三年内在经营活动中没有重大违法记录</w:t>
      </w:r>
      <w:r>
        <w:rPr>
          <w:rFonts w:hint="eastAsia" w:ascii="仿宋" w:hAnsi="仿宋" w:eastAsia="仿宋" w:cs="仿宋"/>
          <w:color w:val="auto"/>
          <w:kern w:val="2"/>
          <w:sz w:val="24"/>
          <w:szCs w:val="24"/>
          <w:highlight w:val="none"/>
          <w:u w:val="none"/>
          <w:lang w:val="en-US" w:eastAsia="zh-CN"/>
        </w:rPr>
        <w:t>：重大违法记录是指供应商因违法经营受到刑事处罚或者责令停产停业、吊销许可证或者执照、较大数额罚款等行政处罚（提供书面声明）。</w:t>
      </w:r>
    </w:p>
    <w:p w14:paraId="42679CF4">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b/>
          <w:bCs/>
          <w:color w:val="auto"/>
          <w:kern w:val="2"/>
          <w:sz w:val="24"/>
          <w:szCs w:val="24"/>
          <w:highlight w:val="none"/>
          <w:u w:val="none"/>
          <w:lang w:val="en-US" w:eastAsia="zh-CN"/>
        </w:rPr>
      </w:pPr>
      <w:r>
        <w:rPr>
          <w:rFonts w:hint="eastAsia" w:ascii="仿宋" w:hAnsi="仿宋" w:eastAsia="仿宋" w:cs="仿宋"/>
          <w:b/>
          <w:bCs/>
          <w:color w:val="auto"/>
          <w:kern w:val="2"/>
          <w:sz w:val="24"/>
          <w:szCs w:val="24"/>
          <w:highlight w:val="none"/>
          <w:u w:val="none"/>
          <w:lang w:val="en-US" w:eastAsia="zh-CN"/>
        </w:rPr>
        <w:t>1.6法律、行政法规规定的其他条件：</w:t>
      </w:r>
    </w:p>
    <w:p w14:paraId="66D12BF9">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auto"/>
          <w:kern w:val="2"/>
          <w:sz w:val="24"/>
          <w:szCs w:val="24"/>
          <w:highlight w:val="none"/>
          <w:u w:val="none"/>
          <w:lang w:val="en-US" w:eastAsia="zh-CN"/>
        </w:rPr>
      </w:pPr>
      <w:r>
        <w:rPr>
          <w:rFonts w:hint="eastAsia" w:ascii="仿宋" w:hAnsi="仿宋" w:eastAsia="仿宋" w:cs="仿宋"/>
          <w:color w:val="auto"/>
          <w:kern w:val="2"/>
          <w:sz w:val="24"/>
          <w:szCs w:val="24"/>
          <w:highlight w:val="none"/>
          <w:u w:val="none"/>
          <w:lang w:val="en-US" w:eastAsia="zh-CN"/>
        </w:rPr>
        <w:t>（1）单位负责人为同一人或者存在直接控股、管理关系不同的投标人，不得同时参与本项目的采购活动。（提供承诺函加盖供应商电子公章）</w:t>
      </w:r>
    </w:p>
    <w:p w14:paraId="26C859C0">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auto"/>
          <w:kern w:val="2"/>
          <w:sz w:val="24"/>
          <w:szCs w:val="24"/>
          <w:highlight w:val="none"/>
          <w:u w:val="none"/>
          <w:lang w:val="en-US" w:eastAsia="zh-CN"/>
        </w:rPr>
      </w:pPr>
      <w:r>
        <w:rPr>
          <w:rFonts w:hint="eastAsia" w:ascii="仿宋" w:hAnsi="仿宋" w:eastAsia="仿宋" w:cs="仿宋"/>
          <w:color w:val="auto"/>
          <w:kern w:val="2"/>
          <w:sz w:val="24"/>
          <w:szCs w:val="24"/>
          <w:highlight w:val="none"/>
          <w:u w:val="none"/>
          <w:lang w:val="en-US" w:eastAsia="zh-CN"/>
        </w:rPr>
        <w:t>（2）为采购项目提供整体设计、规范编制和项目管理、监理、检测等服务的投标人，不得参与本项目采购活动。（提供承诺函加盖供应商电子公章）</w:t>
      </w:r>
    </w:p>
    <w:p w14:paraId="6ECDCD76">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auto"/>
          <w:kern w:val="2"/>
          <w:sz w:val="24"/>
          <w:szCs w:val="24"/>
          <w:highlight w:val="none"/>
          <w:u w:val="none"/>
          <w:lang w:val="en-US" w:eastAsia="zh-CN"/>
        </w:rPr>
      </w:pPr>
      <w:r>
        <w:rPr>
          <w:rFonts w:hint="eastAsia" w:ascii="仿宋" w:hAnsi="仿宋" w:eastAsia="仿宋" w:cs="仿宋"/>
          <w:color w:val="auto"/>
          <w:kern w:val="2"/>
          <w:sz w:val="24"/>
          <w:szCs w:val="24"/>
          <w:highlight w:val="none"/>
          <w:u w:val="none"/>
          <w:lang w:val="en-US" w:eastAsia="zh-CN"/>
        </w:rPr>
        <w:t>（3）供应商在“信用中国”网站（www.creditchina.gov.cn）未被列入“失信被执行人”和“重大税收违法失信主体名单”，在“中国政府采购网”网站（www.ccgp.gov.cn）未被列入政府采购严重违法失信行为记录名单（被禁止在一定期限内参加政府采购活动但期限届满的除外），（</w:t>
      </w:r>
      <w:r>
        <w:rPr>
          <w:rFonts w:hint="eastAsia" w:ascii="仿宋" w:hAnsi="仿宋" w:eastAsia="仿宋" w:cs="仿宋"/>
          <w:color w:val="auto"/>
          <w:sz w:val="24"/>
          <w:szCs w:val="24"/>
          <w:highlight w:val="none"/>
          <w:lang w:val="en-US" w:eastAsia="zh-CN"/>
        </w:rPr>
        <w:t>信用记录查询由采购人或采购代理机构在提交响应文件截止时间后查询结果为准，若供应商弄虚作假一经核实拒绝其参与本次采购活动</w:t>
      </w:r>
      <w:r>
        <w:rPr>
          <w:rFonts w:hint="eastAsia" w:ascii="仿宋" w:hAnsi="仿宋" w:eastAsia="仿宋" w:cs="仿宋"/>
          <w:color w:val="auto"/>
          <w:kern w:val="2"/>
          <w:sz w:val="24"/>
          <w:szCs w:val="24"/>
          <w:highlight w:val="none"/>
          <w:u w:val="none"/>
          <w:lang w:val="en-US" w:eastAsia="zh-CN"/>
        </w:rPr>
        <w:t>）。</w:t>
      </w:r>
    </w:p>
    <w:p w14:paraId="18A496BF">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auto"/>
          <w:kern w:val="2"/>
          <w:sz w:val="24"/>
          <w:szCs w:val="24"/>
          <w:highlight w:val="none"/>
          <w:u w:val="none"/>
          <w:lang w:val="en-US" w:eastAsia="zh-CN"/>
        </w:rPr>
      </w:pPr>
      <w:r>
        <w:rPr>
          <w:rFonts w:hint="eastAsia" w:ascii="仿宋" w:hAnsi="仿宋" w:eastAsia="仿宋" w:cs="仿宋"/>
          <w:color w:val="auto"/>
          <w:kern w:val="2"/>
          <w:sz w:val="24"/>
          <w:szCs w:val="24"/>
          <w:highlight w:val="none"/>
          <w:u w:val="none"/>
          <w:lang w:val="en-US" w:eastAsia="zh-CN"/>
        </w:rPr>
        <w:t>（4）与采购人存在利害关系可能影响招标公正性的法人、其他组织或者个人，不得参加本项目的投标（提供承诺函加盖供应商电子公章）</w:t>
      </w:r>
    </w:p>
    <w:p w14:paraId="178486B8">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auto"/>
          <w:kern w:val="2"/>
          <w:sz w:val="24"/>
          <w:szCs w:val="24"/>
          <w:highlight w:val="none"/>
          <w:u w:val="none"/>
          <w:lang w:val="en-US" w:eastAsia="zh-CN"/>
        </w:rPr>
      </w:pPr>
      <w:r>
        <w:rPr>
          <w:rFonts w:hint="eastAsia" w:ascii="仿宋" w:hAnsi="仿宋" w:eastAsia="仿宋" w:cs="仿宋"/>
          <w:color w:val="auto"/>
          <w:kern w:val="2"/>
          <w:sz w:val="24"/>
          <w:szCs w:val="24"/>
          <w:highlight w:val="none"/>
          <w:u w:val="none"/>
          <w:lang w:val="en-US" w:eastAsia="zh-CN"/>
        </w:rPr>
        <w:t>（5）投标人不在不良行为记录公示期（记录期）、不在行政处罚影响期、无失信记录的，不违反公平竞争要求。（提供承诺函加盖供应商电子公章）</w:t>
      </w:r>
    </w:p>
    <w:p w14:paraId="47A0AD83">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auto"/>
          <w:kern w:val="2"/>
          <w:sz w:val="24"/>
          <w:szCs w:val="24"/>
          <w:highlight w:val="none"/>
          <w:u w:val="none"/>
          <w:lang w:val="en-US" w:eastAsia="zh-CN"/>
        </w:rPr>
      </w:pPr>
      <w:r>
        <w:rPr>
          <w:rFonts w:hint="eastAsia" w:ascii="仿宋" w:hAnsi="仿宋" w:eastAsia="仿宋" w:cs="仿宋"/>
          <w:color w:val="auto"/>
          <w:kern w:val="2"/>
          <w:sz w:val="24"/>
          <w:szCs w:val="24"/>
          <w:highlight w:val="none"/>
          <w:u w:val="none"/>
          <w:lang w:val="en-US" w:eastAsia="zh-CN"/>
        </w:rPr>
        <w:t>（6）投标人提供虚假材料的，一经查实，取消投标或中标资格，对伪造、变造有关证件、材料、信息，骗取投标资格或中标的，将按照相关法律法规进行严肃处罚。（提供承诺函加盖供应商电子公章）</w:t>
      </w:r>
    </w:p>
    <w:p w14:paraId="19CFB61C">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b w:val="0"/>
          <w:bCs w:val="0"/>
          <w:color w:val="auto"/>
          <w:kern w:val="2"/>
          <w:sz w:val="24"/>
          <w:szCs w:val="24"/>
          <w:highlight w:val="none"/>
          <w:u w:val="none"/>
          <w:lang w:val="en-US" w:eastAsia="zh-CN"/>
        </w:rPr>
      </w:pPr>
      <w:r>
        <w:rPr>
          <w:rFonts w:hint="eastAsia" w:ascii="仿宋" w:hAnsi="仿宋" w:eastAsia="仿宋" w:cs="仿宋"/>
          <w:b/>
          <w:bCs/>
          <w:color w:val="auto"/>
          <w:kern w:val="2"/>
          <w:sz w:val="24"/>
          <w:szCs w:val="24"/>
          <w:highlight w:val="none"/>
          <w:u w:val="none"/>
          <w:lang w:val="en-US" w:eastAsia="zh-CN"/>
        </w:rPr>
        <w:t>2.落实政府采购政策需满足的资格要求：</w:t>
      </w:r>
      <w:r>
        <w:rPr>
          <w:rFonts w:hint="eastAsia" w:ascii="仿宋" w:hAnsi="仿宋" w:eastAsia="仿宋" w:cs="仿宋"/>
          <w:b w:val="0"/>
          <w:bCs w:val="0"/>
          <w:color w:val="auto"/>
          <w:kern w:val="2"/>
          <w:sz w:val="24"/>
          <w:szCs w:val="24"/>
          <w:highlight w:val="none"/>
          <w:u w:val="none"/>
          <w:lang w:val="en-US" w:eastAsia="zh-CN"/>
        </w:rPr>
        <w:t>本项目不专门面向中小企业采购，评审时小型和微型企业产品享受10%的价格扣除，监狱企业、残疾人福利性单位视同小型、微型企业。根据“《关于印发〈政府采购促进中小企业发展管理办法〉的通知》（财库〔2020〕46号）及《工业和信息化 部、国家统计局、国家发展和改革委员会、财政部关于印发中小企业划型标准规定的通知》（工信部联企业〔2011〕300号）”规定的划分标准，</w:t>
      </w:r>
      <w:r>
        <w:rPr>
          <w:rFonts w:hint="eastAsia" w:ascii="仿宋" w:hAnsi="仿宋" w:eastAsia="仿宋" w:cs="仿宋"/>
          <w:b/>
          <w:bCs/>
          <w:color w:val="auto"/>
          <w:kern w:val="2"/>
          <w:sz w:val="24"/>
          <w:szCs w:val="24"/>
          <w:highlight w:val="none"/>
          <w:u w:val="none"/>
          <w:lang w:val="en-US" w:eastAsia="zh-CN"/>
        </w:rPr>
        <w:t>本项目所属行业为其他未列明行业</w:t>
      </w:r>
      <w:r>
        <w:rPr>
          <w:rFonts w:hint="eastAsia" w:ascii="仿宋" w:hAnsi="仿宋" w:eastAsia="仿宋" w:cs="仿宋"/>
          <w:b w:val="0"/>
          <w:bCs w:val="0"/>
          <w:color w:val="auto"/>
          <w:kern w:val="2"/>
          <w:sz w:val="24"/>
          <w:szCs w:val="24"/>
          <w:highlight w:val="none"/>
          <w:u w:val="none"/>
          <w:lang w:val="en-US" w:eastAsia="zh-CN"/>
        </w:rPr>
        <w:t>。</w:t>
      </w:r>
    </w:p>
    <w:p w14:paraId="5B151AE8">
      <w:pPr>
        <w:spacing w:line="560" w:lineRule="exact"/>
        <w:ind w:firstLine="640"/>
        <w:rPr>
          <w:rFonts w:hint="eastAsia" w:ascii="仿宋" w:hAnsi="仿宋" w:eastAsia="仿宋" w:cs="仿宋"/>
          <w:b/>
          <w:bCs/>
          <w:color w:val="auto"/>
          <w:kern w:val="2"/>
          <w:sz w:val="24"/>
          <w:szCs w:val="24"/>
          <w:highlight w:val="none"/>
        </w:rPr>
      </w:pPr>
      <w:r>
        <w:rPr>
          <w:rFonts w:hint="eastAsia" w:ascii="仿宋" w:hAnsi="仿宋" w:eastAsia="仿宋" w:cs="仿宋"/>
          <w:b/>
          <w:bCs/>
          <w:color w:val="auto"/>
          <w:kern w:val="2"/>
          <w:sz w:val="24"/>
          <w:szCs w:val="24"/>
          <w:highlight w:val="none"/>
          <w:lang w:val="en-US" w:eastAsia="zh-CN"/>
        </w:rPr>
        <w:t>3.</w:t>
      </w:r>
      <w:r>
        <w:rPr>
          <w:rFonts w:hint="eastAsia" w:ascii="仿宋" w:hAnsi="仿宋" w:eastAsia="仿宋" w:cs="仿宋"/>
          <w:b/>
          <w:bCs/>
          <w:color w:val="auto"/>
          <w:kern w:val="2"/>
          <w:sz w:val="24"/>
          <w:szCs w:val="24"/>
          <w:highlight w:val="none"/>
        </w:rPr>
        <w:t>本项目的特定资格要求：</w:t>
      </w:r>
    </w:p>
    <w:p w14:paraId="5279FD09">
      <w:pPr>
        <w:pageBreakBefore w:val="0"/>
        <w:widowControl w:val="0"/>
        <w:kinsoku/>
        <w:wordWrap/>
        <w:overflowPunct/>
        <w:topLinePunct w:val="0"/>
        <w:autoSpaceDE/>
        <w:autoSpaceDN/>
        <w:bidi w:val="0"/>
        <w:snapToGrid w:val="0"/>
        <w:spacing w:beforeAutospacing="0" w:afterAutospacing="0" w:line="560" w:lineRule="exact"/>
        <w:ind w:firstLine="482" w:firstLineChars="200"/>
        <w:textAlignment w:val="auto"/>
        <w:rPr>
          <w:rFonts w:hint="eastAsia" w:ascii="仿宋" w:hAnsi="仿宋" w:eastAsia="仿宋" w:cs="仿宋"/>
          <w:bCs/>
          <w:snapToGrid w:val="0"/>
          <w:color w:val="auto"/>
          <w:kern w:val="21"/>
          <w:sz w:val="24"/>
          <w:szCs w:val="24"/>
          <w:highlight w:val="none"/>
          <w:lang w:val="en-US" w:eastAsia="zh-CN"/>
        </w:rPr>
      </w:pPr>
      <w:bookmarkStart w:id="25" w:name="_Toc26747"/>
      <w:bookmarkStart w:id="26" w:name="_Toc35393631"/>
      <w:bookmarkStart w:id="27" w:name="_Toc35393800"/>
      <w:r>
        <w:rPr>
          <w:rFonts w:hint="eastAsia" w:ascii="仿宋" w:hAnsi="仿宋" w:eastAsia="仿宋" w:cs="仿宋"/>
          <w:b/>
          <w:bCs w:val="0"/>
          <w:snapToGrid w:val="0"/>
          <w:color w:val="auto"/>
          <w:kern w:val="21"/>
          <w:sz w:val="24"/>
          <w:szCs w:val="24"/>
          <w:highlight w:val="none"/>
          <w:lang w:val="en-US" w:eastAsia="zh-CN"/>
        </w:rPr>
        <w:t>3.1资质要求：</w:t>
      </w:r>
      <w:r>
        <w:rPr>
          <w:rFonts w:hint="eastAsia" w:ascii="仿宋" w:hAnsi="仿宋" w:eastAsia="仿宋" w:cs="仿宋"/>
          <w:bCs/>
          <w:snapToGrid w:val="0"/>
          <w:color w:val="auto"/>
          <w:kern w:val="21"/>
          <w:sz w:val="24"/>
          <w:szCs w:val="24"/>
          <w:highlight w:val="none"/>
          <w:lang w:val="en-US" w:eastAsia="zh-CN"/>
        </w:rPr>
        <w:t>具备行政主管部门颁发的工程监理综合资质或房屋建筑工程监理乙级及以上资质 ，并在人员、设备等方面具备相应监理能力。</w:t>
      </w:r>
    </w:p>
    <w:p w14:paraId="7182A962">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outlineLvl w:val="1"/>
        <w:rPr>
          <w:rFonts w:hint="eastAsia" w:ascii="仿宋" w:hAnsi="仿宋" w:eastAsia="仿宋" w:cs="仿宋"/>
          <w:bCs/>
          <w:snapToGrid w:val="0"/>
          <w:color w:val="auto"/>
          <w:kern w:val="21"/>
          <w:sz w:val="24"/>
          <w:szCs w:val="24"/>
          <w:highlight w:val="none"/>
          <w:lang w:val="en-US" w:eastAsia="zh-CN"/>
        </w:rPr>
      </w:pPr>
      <w:r>
        <w:rPr>
          <w:rFonts w:hint="eastAsia" w:ascii="仿宋" w:hAnsi="仿宋" w:eastAsia="仿宋" w:cs="仿宋"/>
          <w:b/>
          <w:bCs w:val="0"/>
          <w:snapToGrid w:val="0"/>
          <w:color w:val="auto"/>
          <w:kern w:val="21"/>
          <w:sz w:val="24"/>
          <w:szCs w:val="24"/>
          <w:highlight w:val="none"/>
          <w:lang w:val="en-US" w:eastAsia="zh-CN"/>
        </w:rPr>
        <w:t>3.2项目总监理工程师要求：</w:t>
      </w:r>
      <w:r>
        <w:rPr>
          <w:rFonts w:hint="eastAsia" w:ascii="仿宋" w:hAnsi="仿宋" w:eastAsia="仿宋" w:cs="仿宋"/>
          <w:bCs/>
          <w:snapToGrid w:val="0"/>
          <w:color w:val="auto"/>
          <w:kern w:val="21"/>
          <w:sz w:val="24"/>
          <w:szCs w:val="24"/>
          <w:highlight w:val="none"/>
          <w:lang w:val="en-US" w:eastAsia="zh-CN"/>
        </w:rPr>
        <w:t>具备建设行政主管部门核发的国家注册监理工程师注册执业证书（专业：房屋建筑工程）且注册在本单位，施工期间非采购人同意不得更换，必须常驻施工现场，提供身份证、注册执业证书、劳动合同及社保证明</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新成立的公司或</w:t>
      </w:r>
      <w:r>
        <w:rPr>
          <w:rFonts w:hint="eastAsia" w:ascii="仿宋" w:hAnsi="仿宋" w:eastAsia="仿宋" w:cs="仿宋"/>
          <w:b/>
          <w:bCs/>
          <w:color w:val="auto"/>
          <w:sz w:val="24"/>
          <w:szCs w:val="24"/>
          <w:highlight w:val="none"/>
        </w:rPr>
        <w:t>入职不足</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个月</w:t>
      </w:r>
      <w:r>
        <w:rPr>
          <w:rFonts w:hint="eastAsia" w:ascii="仿宋" w:hAnsi="仿宋" w:eastAsia="仿宋" w:cs="仿宋"/>
          <w:b/>
          <w:bCs/>
          <w:color w:val="auto"/>
          <w:sz w:val="24"/>
          <w:szCs w:val="24"/>
          <w:highlight w:val="none"/>
          <w:lang w:eastAsia="zh-CN"/>
        </w:rPr>
        <w:t>的</w:t>
      </w:r>
      <w:r>
        <w:rPr>
          <w:rFonts w:hint="eastAsia" w:ascii="仿宋" w:hAnsi="仿宋" w:eastAsia="仿宋" w:cs="仿宋"/>
          <w:b/>
          <w:bCs/>
          <w:color w:val="auto"/>
          <w:sz w:val="24"/>
          <w:szCs w:val="24"/>
          <w:highlight w:val="none"/>
          <w:lang w:val="en-US" w:eastAsia="zh-CN"/>
        </w:rPr>
        <w:t>人员暂未产生缴费记录的，须提供劳动合同 + 承诺函，承诺中标后依法按时缴纳社保</w:t>
      </w:r>
      <w:r>
        <w:rPr>
          <w:rFonts w:hint="eastAsia" w:ascii="仿宋" w:hAnsi="仿宋" w:eastAsia="仿宋" w:cs="仿宋"/>
          <w:b/>
          <w:bCs/>
          <w:color w:val="auto"/>
          <w:sz w:val="24"/>
          <w:szCs w:val="24"/>
          <w:highlight w:val="none"/>
          <w:lang w:eastAsia="zh-CN"/>
        </w:rPr>
        <w:t>）</w:t>
      </w:r>
      <w:r>
        <w:rPr>
          <w:rFonts w:hint="eastAsia" w:ascii="仿宋" w:hAnsi="仿宋" w:eastAsia="仿宋" w:cs="仿宋"/>
          <w:sz w:val="24"/>
          <w:szCs w:val="24"/>
          <w:highlight w:val="none"/>
          <w:lang w:val="en-US" w:eastAsia="zh-CN"/>
        </w:rPr>
        <w:t>。</w:t>
      </w:r>
    </w:p>
    <w:p w14:paraId="365F603C">
      <w:pPr>
        <w:keepNext/>
        <w:keepLines/>
        <w:pageBreakBefore w:val="0"/>
        <w:widowControl w:val="0"/>
        <w:numPr>
          <w:ilvl w:val="1"/>
          <w:numId w:val="0"/>
        </w:numPr>
        <w:kinsoku/>
        <w:wordWrap/>
        <w:overflowPunct/>
        <w:topLinePunct w:val="0"/>
        <w:autoSpaceDE/>
        <w:autoSpaceDN/>
        <w:bidi w:val="0"/>
        <w:adjustRightInd/>
        <w:snapToGrid/>
        <w:spacing w:before="0" w:after="0" w:line="560" w:lineRule="exact"/>
        <w:ind w:left="425" w:leftChars="0" w:firstLine="281" w:firstLineChars="100"/>
        <w:jc w:val="both"/>
        <w:textAlignment w:val="auto"/>
        <w:outlineLvl w:val="9"/>
        <w:rPr>
          <w:rFonts w:hint="eastAsia" w:ascii="仿宋" w:hAnsi="仿宋" w:eastAsia="仿宋" w:cs="仿宋"/>
          <w:b/>
          <w:bCs w:val="0"/>
          <w:color w:val="auto"/>
          <w:kern w:val="2"/>
          <w:sz w:val="28"/>
          <w:szCs w:val="28"/>
          <w:highlight w:val="none"/>
          <w:lang w:val="en-US" w:eastAsia="zh-CN" w:bidi="ar-SA"/>
        </w:rPr>
      </w:pPr>
      <w:r>
        <w:rPr>
          <w:rFonts w:hint="eastAsia" w:ascii="仿宋" w:hAnsi="仿宋" w:eastAsia="仿宋" w:cs="仿宋"/>
          <w:b/>
          <w:bCs w:val="0"/>
          <w:color w:val="auto"/>
          <w:kern w:val="2"/>
          <w:sz w:val="28"/>
          <w:szCs w:val="28"/>
          <w:highlight w:val="none"/>
          <w:lang w:val="en-US" w:eastAsia="zh-CN" w:bidi="ar-SA"/>
        </w:rPr>
        <w:t>三、获取采购文件</w:t>
      </w:r>
      <w:bookmarkEnd w:id="18"/>
      <w:bookmarkEnd w:id="19"/>
      <w:bookmarkEnd w:id="25"/>
      <w:bookmarkEnd w:id="26"/>
      <w:bookmarkEnd w:id="27"/>
    </w:p>
    <w:p w14:paraId="376B1665">
      <w:pPr>
        <w:pageBreakBefore w:val="0"/>
        <w:widowControl w:val="0"/>
        <w:kinsoku/>
        <w:wordWrap/>
        <w:overflowPunct/>
        <w:topLinePunct w:val="0"/>
        <w:autoSpaceDE/>
        <w:autoSpaceDN/>
        <w:bidi w:val="0"/>
        <w:adjustRightInd/>
        <w:snapToGrid/>
        <w:spacing w:after="0" w:line="560" w:lineRule="exact"/>
        <w:ind w:firstLine="720" w:firstLineChars="300"/>
        <w:jc w:val="both"/>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时间：</w:t>
      </w:r>
      <w:r>
        <w:rPr>
          <w:rFonts w:hint="eastAsia" w:ascii="仿宋" w:hAnsi="仿宋" w:eastAsia="仿宋" w:cs="仿宋"/>
          <w:b/>
          <w:bCs/>
          <w:color w:val="auto"/>
          <w:kern w:val="2"/>
          <w:sz w:val="24"/>
          <w:szCs w:val="24"/>
          <w:highlight w:val="none"/>
          <w:lang w:val="en-US" w:eastAsia="zh-CN"/>
        </w:rPr>
        <w:t>2026年8月28日起至2026年9月3日</w:t>
      </w:r>
      <w:r>
        <w:rPr>
          <w:rFonts w:hint="eastAsia" w:ascii="仿宋" w:hAnsi="仿宋" w:eastAsia="仿宋" w:cs="仿宋"/>
          <w:color w:val="auto"/>
          <w:kern w:val="2"/>
          <w:sz w:val="24"/>
          <w:szCs w:val="24"/>
          <w:highlight w:val="none"/>
          <w:lang w:val="en-US" w:eastAsia="zh-CN"/>
        </w:rPr>
        <w:t>（北京时间，法定节假日除外），</w:t>
      </w:r>
    </w:p>
    <w:p w14:paraId="6E7F65F8">
      <w:pPr>
        <w:pageBreakBefore w:val="0"/>
        <w:widowControl w:val="0"/>
        <w:kinsoku/>
        <w:wordWrap/>
        <w:overflowPunct/>
        <w:topLinePunct w:val="0"/>
        <w:autoSpaceDE/>
        <w:autoSpaceDN/>
        <w:bidi w:val="0"/>
        <w:adjustRightInd/>
        <w:snapToGrid/>
        <w:spacing w:after="0" w:line="560" w:lineRule="exact"/>
        <w:ind w:firstLine="720" w:firstLineChars="300"/>
        <w:jc w:val="both"/>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地点：政采云平台线上获取（http：//www.zcygov.cn），（操作路径：登录“政采云平台”－项目采购－获取采购文件－找到本项目－点击“申请获取采购文件”）。</w:t>
      </w:r>
    </w:p>
    <w:p w14:paraId="6477D343">
      <w:pPr>
        <w:pageBreakBefore w:val="0"/>
        <w:widowControl w:val="0"/>
        <w:kinsoku/>
        <w:wordWrap/>
        <w:overflowPunct/>
        <w:topLinePunct w:val="0"/>
        <w:autoSpaceDE/>
        <w:autoSpaceDN/>
        <w:bidi w:val="0"/>
        <w:adjustRightInd/>
        <w:snapToGrid/>
        <w:spacing w:after="0" w:line="560" w:lineRule="exact"/>
        <w:ind w:firstLine="720" w:firstLineChars="300"/>
        <w:jc w:val="both"/>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方式：1.凡有意参加投标者，须在政采云平台办理数字证书（CA），CA申领链接：https://middle.zcygov.cn/ca/apply/list?_app_=zcy.sys，并在政采云绑定数字证书（CA）后在网上获取采购文件及其它采购资料，数字证书（CA）详见其办理流程。</w:t>
      </w:r>
    </w:p>
    <w:p w14:paraId="67529A05">
      <w:pPr>
        <w:pageBreakBefore w:val="0"/>
        <w:widowControl w:val="0"/>
        <w:numPr>
          <w:ilvl w:val="0"/>
          <w:numId w:val="0"/>
        </w:numPr>
        <w:kinsoku/>
        <w:wordWrap/>
        <w:overflowPunct/>
        <w:topLinePunct w:val="0"/>
        <w:autoSpaceDE/>
        <w:autoSpaceDN/>
        <w:bidi w:val="0"/>
        <w:adjustRightInd/>
        <w:snapToGrid/>
        <w:spacing w:after="0" w:line="560" w:lineRule="exact"/>
        <w:ind w:firstLine="480" w:firstLineChars="200"/>
        <w:jc w:val="both"/>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注：云南本地供应商如之前已在云南CA在线数字证书办理网进行过注册并办理过企业数字证书（CA），直接绑定即可，无需重复办理（2022年1月1日前办理的云南CA需到云南CA办理处进行升级）。外省供应商在政采云平台办理的其他CA可直接使用，无需重复办理。</w:t>
      </w:r>
    </w:p>
    <w:p w14:paraId="04F874AE">
      <w:pPr>
        <w:keepNext w:val="0"/>
        <w:keepLines w:val="0"/>
        <w:pageBreakBefore w:val="0"/>
        <w:widowControl w:val="0"/>
        <w:kinsoku/>
        <w:wordWrap/>
        <w:overflowPunct/>
        <w:topLinePunct w:val="0"/>
        <w:autoSpaceDE/>
        <w:autoSpaceDN/>
        <w:bidi w:val="0"/>
        <w:adjustRightInd/>
        <w:snapToGrid/>
        <w:spacing w:after="0" w:line="560" w:lineRule="exact"/>
        <w:ind w:firstLine="720" w:firstLineChars="300"/>
        <w:jc w:val="both"/>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2.按上述要求获取文件的供应商视为合法获取了本项目采购文件，具备本项目的投标资格。</w:t>
      </w:r>
    </w:p>
    <w:p w14:paraId="11DB6730">
      <w:pPr>
        <w:keepNext w:val="0"/>
        <w:keepLines w:val="0"/>
        <w:pageBreakBefore w:val="0"/>
        <w:widowControl w:val="0"/>
        <w:kinsoku/>
        <w:wordWrap/>
        <w:overflowPunct/>
        <w:topLinePunct w:val="0"/>
        <w:autoSpaceDE/>
        <w:autoSpaceDN/>
        <w:bidi w:val="0"/>
        <w:adjustRightInd/>
        <w:snapToGrid/>
        <w:spacing w:after="0" w:line="560" w:lineRule="exact"/>
        <w:ind w:firstLine="482" w:firstLineChars="200"/>
        <w:jc w:val="both"/>
        <w:textAlignment w:val="auto"/>
        <w:rPr>
          <w:rFonts w:hint="eastAsia" w:ascii="仿宋" w:hAnsi="仿宋" w:eastAsia="仿宋" w:cs="仿宋"/>
          <w:b w:val="0"/>
          <w:bCs w:val="0"/>
          <w:color w:val="auto"/>
          <w:kern w:val="2"/>
          <w:sz w:val="24"/>
          <w:szCs w:val="24"/>
          <w:highlight w:val="none"/>
          <w:lang w:val="en-US" w:eastAsia="zh-CN"/>
        </w:rPr>
      </w:pPr>
      <w:r>
        <w:rPr>
          <w:rFonts w:hint="eastAsia" w:ascii="仿宋" w:hAnsi="仿宋" w:eastAsia="仿宋" w:cs="仿宋"/>
          <w:b/>
          <w:bCs/>
          <w:color w:val="auto"/>
          <w:kern w:val="2"/>
          <w:sz w:val="24"/>
          <w:szCs w:val="24"/>
          <w:highlight w:val="none"/>
          <w:lang w:val="en-US" w:eastAsia="zh-CN"/>
        </w:rPr>
        <w:t xml:space="preserve"> </w:t>
      </w:r>
      <w:r>
        <w:rPr>
          <w:rFonts w:hint="eastAsia" w:ascii="仿宋" w:hAnsi="仿宋" w:eastAsia="仿宋" w:cs="仿宋"/>
          <w:b w:val="0"/>
          <w:bCs w:val="0"/>
          <w:color w:val="auto"/>
          <w:kern w:val="2"/>
          <w:sz w:val="24"/>
          <w:szCs w:val="24"/>
          <w:highlight w:val="none"/>
          <w:lang w:val="en-US" w:eastAsia="zh-CN"/>
        </w:rPr>
        <w:t>售价：0元。</w:t>
      </w:r>
    </w:p>
    <w:p w14:paraId="4611BB97">
      <w:pPr>
        <w:pStyle w:val="29"/>
        <w:rPr>
          <w:rFonts w:hint="eastAsia"/>
          <w:highlight w:val="none"/>
          <w:lang w:val="en-US" w:eastAsia="zh-CN"/>
        </w:rPr>
      </w:pPr>
    </w:p>
    <w:p w14:paraId="5CA69933">
      <w:pPr>
        <w:keepNext w:val="0"/>
        <w:keepLines w:val="0"/>
        <w:pageBreakBefore w:val="0"/>
        <w:widowControl w:val="0"/>
        <w:kinsoku/>
        <w:wordWrap/>
        <w:overflowPunct/>
        <w:topLinePunct w:val="0"/>
        <w:autoSpaceDE/>
        <w:autoSpaceDN/>
        <w:bidi w:val="0"/>
        <w:textAlignment w:val="auto"/>
        <w:rPr>
          <w:rFonts w:hint="eastAsia" w:ascii="仿宋" w:hAnsi="仿宋" w:eastAsia="仿宋" w:cs="仿宋"/>
          <w:b/>
          <w:bCs/>
          <w:color w:val="auto"/>
          <w:kern w:val="2"/>
          <w:sz w:val="28"/>
          <w:szCs w:val="28"/>
          <w:highlight w:val="none"/>
          <w:lang w:val="en-US" w:eastAsia="zh-CN"/>
        </w:rPr>
      </w:pPr>
      <w:r>
        <w:rPr>
          <w:rFonts w:hint="eastAsia" w:ascii="仿宋" w:hAnsi="仿宋" w:eastAsia="仿宋" w:cs="仿宋"/>
          <w:b/>
          <w:bCs/>
          <w:color w:val="auto"/>
          <w:kern w:val="2"/>
          <w:sz w:val="28"/>
          <w:szCs w:val="28"/>
          <w:highlight w:val="none"/>
          <w:lang w:val="en-US" w:eastAsia="zh-CN"/>
        </w:rPr>
        <w:t>四、响应文件提交</w:t>
      </w:r>
    </w:p>
    <w:p w14:paraId="565AEA54">
      <w:pPr>
        <w:keepNext w:val="0"/>
        <w:keepLines w:val="0"/>
        <w:pageBreakBefore w:val="0"/>
        <w:widowControl w:val="0"/>
        <w:kinsoku/>
        <w:wordWrap/>
        <w:overflowPunct/>
        <w:topLinePunct w:val="0"/>
        <w:autoSpaceDE/>
        <w:autoSpaceDN/>
        <w:bidi w:val="0"/>
        <w:adjustRightInd/>
        <w:snapToGrid/>
        <w:spacing w:after="0" w:line="560" w:lineRule="exact"/>
        <w:ind w:firstLine="482" w:firstLineChars="200"/>
        <w:jc w:val="both"/>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b/>
          <w:bCs/>
          <w:color w:val="auto"/>
          <w:kern w:val="2"/>
          <w:sz w:val="24"/>
          <w:szCs w:val="24"/>
          <w:highlight w:val="none"/>
          <w:lang w:val="en-US" w:eastAsia="zh-CN"/>
        </w:rPr>
        <w:t>截止时间</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b/>
          <w:bCs/>
          <w:color w:val="auto"/>
          <w:kern w:val="2"/>
          <w:sz w:val="24"/>
          <w:szCs w:val="24"/>
          <w:highlight w:val="none"/>
          <w:lang w:val="en-US" w:eastAsia="zh-CN"/>
        </w:rPr>
        <w:t>2026年9月8日15时00分（</w:t>
      </w:r>
      <w:r>
        <w:rPr>
          <w:rFonts w:hint="eastAsia" w:ascii="仿宋" w:hAnsi="仿宋" w:eastAsia="仿宋" w:cs="仿宋"/>
          <w:color w:val="auto"/>
          <w:kern w:val="2"/>
          <w:sz w:val="24"/>
          <w:szCs w:val="24"/>
          <w:highlight w:val="none"/>
          <w:lang w:val="en-US" w:eastAsia="zh-CN"/>
        </w:rPr>
        <w:t>北京时间）</w:t>
      </w:r>
    </w:p>
    <w:p w14:paraId="3B689D26">
      <w:pPr>
        <w:keepNext w:val="0"/>
        <w:keepLines w:val="0"/>
        <w:pageBreakBefore w:val="0"/>
        <w:widowControl w:val="0"/>
        <w:kinsoku/>
        <w:wordWrap/>
        <w:overflowPunct/>
        <w:topLinePunct w:val="0"/>
        <w:autoSpaceDE/>
        <w:autoSpaceDN/>
        <w:bidi w:val="0"/>
        <w:adjustRightInd/>
        <w:snapToGrid/>
        <w:spacing w:after="0" w:line="560" w:lineRule="exact"/>
        <w:ind w:firstLine="482" w:firstLineChars="200"/>
        <w:jc w:val="both"/>
        <w:textAlignment w:val="auto"/>
        <w:rPr>
          <w:rFonts w:hint="eastAsia" w:ascii="仿宋" w:hAnsi="仿宋" w:eastAsia="仿宋" w:cs="仿宋"/>
          <w:b w:val="0"/>
          <w:color w:val="auto"/>
          <w:sz w:val="24"/>
          <w:szCs w:val="24"/>
          <w:highlight w:val="none"/>
          <w:lang w:eastAsia="zh-CN"/>
        </w:rPr>
      </w:pPr>
      <w:r>
        <w:rPr>
          <w:rFonts w:hint="eastAsia" w:ascii="仿宋" w:hAnsi="仿宋" w:eastAsia="仿宋" w:cs="仿宋"/>
          <w:b/>
          <w:bCs/>
          <w:color w:val="auto"/>
          <w:kern w:val="2"/>
          <w:sz w:val="24"/>
          <w:szCs w:val="24"/>
          <w:highlight w:val="none"/>
          <w:lang w:val="en-US" w:eastAsia="zh-CN"/>
        </w:rPr>
        <w:t>递交地点</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b w:val="0"/>
          <w:color w:val="auto"/>
          <w:sz w:val="24"/>
          <w:szCs w:val="24"/>
          <w:highlight w:val="none"/>
        </w:rPr>
        <w:t>投标人应按照本项目采购文件和“</w:t>
      </w:r>
      <w:r>
        <w:rPr>
          <w:rFonts w:hint="eastAsia" w:ascii="仿宋" w:hAnsi="仿宋" w:eastAsia="仿宋" w:cs="仿宋"/>
          <w:b w:val="0"/>
          <w:color w:val="auto"/>
          <w:sz w:val="24"/>
          <w:szCs w:val="24"/>
          <w:highlight w:val="none"/>
          <w:lang w:eastAsia="zh-CN"/>
        </w:rPr>
        <w:t>政采云</w:t>
      </w:r>
      <w:r>
        <w:rPr>
          <w:rFonts w:hint="eastAsia" w:ascii="仿宋" w:hAnsi="仿宋" w:eastAsia="仿宋" w:cs="仿宋"/>
          <w:b w:val="0"/>
          <w:color w:val="auto"/>
          <w:sz w:val="24"/>
          <w:szCs w:val="24"/>
          <w:highlight w:val="none"/>
        </w:rPr>
        <w:t>”平台的要求编制、加密后在</w:t>
      </w:r>
      <w:r>
        <w:rPr>
          <w:rFonts w:hint="eastAsia" w:ascii="仿宋" w:hAnsi="仿宋" w:eastAsia="仿宋" w:cs="仿宋"/>
          <w:b w:val="0"/>
          <w:color w:val="auto"/>
          <w:sz w:val="24"/>
          <w:szCs w:val="24"/>
          <w:highlight w:val="none"/>
          <w:lang w:eastAsia="zh-CN"/>
        </w:rPr>
        <w:t>响应文件</w:t>
      </w:r>
      <w:r>
        <w:rPr>
          <w:rFonts w:hint="eastAsia" w:ascii="仿宋" w:hAnsi="仿宋" w:eastAsia="仿宋" w:cs="仿宋"/>
          <w:b w:val="0"/>
          <w:color w:val="auto"/>
          <w:sz w:val="24"/>
          <w:szCs w:val="24"/>
          <w:highlight w:val="none"/>
        </w:rPr>
        <w:t>提交截止时间前上传至“</w:t>
      </w:r>
      <w:r>
        <w:rPr>
          <w:rFonts w:hint="eastAsia" w:ascii="仿宋" w:hAnsi="仿宋" w:eastAsia="仿宋" w:cs="仿宋"/>
          <w:b w:val="0"/>
          <w:color w:val="auto"/>
          <w:sz w:val="24"/>
          <w:szCs w:val="24"/>
          <w:highlight w:val="none"/>
          <w:lang w:eastAsia="zh-CN"/>
        </w:rPr>
        <w:t>政采云</w:t>
      </w:r>
      <w:r>
        <w:rPr>
          <w:rFonts w:hint="eastAsia" w:ascii="仿宋" w:hAnsi="仿宋" w:eastAsia="仿宋" w:cs="仿宋"/>
          <w:b w:val="0"/>
          <w:color w:val="auto"/>
          <w:sz w:val="24"/>
          <w:szCs w:val="24"/>
          <w:highlight w:val="none"/>
        </w:rPr>
        <w:t>”平台，</w:t>
      </w:r>
      <w:r>
        <w:rPr>
          <w:rFonts w:hint="eastAsia" w:ascii="仿宋" w:hAnsi="仿宋" w:eastAsia="仿宋" w:cs="仿宋"/>
          <w:b w:val="0"/>
          <w:color w:val="auto"/>
          <w:sz w:val="24"/>
          <w:szCs w:val="24"/>
          <w:highlight w:val="none"/>
          <w:lang w:eastAsia="zh-CN"/>
        </w:rPr>
        <w:t>响应文件</w:t>
      </w:r>
      <w:r>
        <w:rPr>
          <w:rFonts w:hint="eastAsia" w:ascii="仿宋" w:hAnsi="仿宋" w:eastAsia="仿宋" w:cs="仿宋"/>
          <w:b w:val="0"/>
          <w:color w:val="auto"/>
          <w:sz w:val="24"/>
          <w:szCs w:val="24"/>
          <w:highlight w:val="none"/>
        </w:rPr>
        <w:t>提交截止时间前未完成</w:t>
      </w:r>
      <w:r>
        <w:rPr>
          <w:rFonts w:hint="eastAsia" w:ascii="仿宋" w:hAnsi="仿宋" w:eastAsia="仿宋" w:cs="仿宋"/>
          <w:b w:val="0"/>
          <w:color w:val="auto"/>
          <w:sz w:val="24"/>
          <w:szCs w:val="24"/>
          <w:highlight w:val="none"/>
          <w:lang w:eastAsia="zh-CN"/>
        </w:rPr>
        <w:t>响应文件</w:t>
      </w:r>
      <w:r>
        <w:rPr>
          <w:rFonts w:hint="eastAsia" w:ascii="仿宋" w:hAnsi="仿宋" w:eastAsia="仿宋" w:cs="仿宋"/>
          <w:b w:val="0"/>
          <w:color w:val="auto"/>
          <w:sz w:val="24"/>
          <w:szCs w:val="24"/>
          <w:highlight w:val="none"/>
        </w:rPr>
        <w:t>上传的，视为撤回</w:t>
      </w:r>
      <w:r>
        <w:rPr>
          <w:rFonts w:hint="eastAsia" w:ascii="仿宋" w:hAnsi="仿宋" w:eastAsia="仿宋" w:cs="仿宋"/>
          <w:b w:val="0"/>
          <w:color w:val="auto"/>
          <w:sz w:val="24"/>
          <w:szCs w:val="24"/>
          <w:highlight w:val="none"/>
          <w:lang w:eastAsia="zh-CN"/>
        </w:rPr>
        <w:t>响应文件</w:t>
      </w:r>
      <w:r>
        <w:rPr>
          <w:rFonts w:hint="eastAsia" w:ascii="仿宋" w:hAnsi="仿宋" w:eastAsia="仿宋" w:cs="仿宋"/>
          <w:b w:val="0"/>
          <w:color w:val="auto"/>
          <w:sz w:val="24"/>
          <w:szCs w:val="24"/>
          <w:highlight w:val="none"/>
        </w:rPr>
        <w:t>。投标人在“</w:t>
      </w:r>
      <w:r>
        <w:rPr>
          <w:rFonts w:hint="eastAsia" w:ascii="仿宋" w:hAnsi="仿宋" w:eastAsia="仿宋" w:cs="仿宋"/>
          <w:b w:val="0"/>
          <w:color w:val="auto"/>
          <w:sz w:val="24"/>
          <w:szCs w:val="24"/>
          <w:highlight w:val="none"/>
          <w:lang w:eastAsia="zh-CN"/>
        </w:rPr>
        <w:t>政采云</w:t>
      </w:r>
      <w:r>
        <w:rPr>
          <w:rFonts w:hint="eastAsia" w:ascii="仿宋" w:hAnsi="仿宋" w:eastAsia="仿宋" w:cs="仿宋"/>
          <w:b w:val="0"/>
          <w:color w:val="auto"/>
          <w:sz w:val="24"/>
          <w:szCs w:val="24"/>
          <w:highlight w:val="none"/>
        </w:rPr>
        <w:t>”平台提交电子版</w:t>
      </w:r>
      <w:r>
        <w:rPr>
          <w:rFonts w:hint="eastAsia" w:ascii="仿宋" w:hAnsi="仿宋" w:eastAsia="仿宋" w:cs="仿宋"/>
          <w:b w:val="0"/>
          <w:color w:val="auto"/>
          <w:sz w:val="24"/>
          <w:szCs w:val="24"/>
          <w:highlight w:val="none"/>
          <w:lang w:eastAsia="zh-CN"/>
        </w:rPr>
        <w:t>响应文件</w:t>
      </w:r>
      <w:r>
        <w:rPr>
          <w:rFonts w:hint="eastAsia" w:ascii="仿宋" w:hAnsi="仿宋" w:eastAsia="仿宋" w:cs="仿宋"/>
          <w:b w:val="0"/>
          <w:color w:val="auto"/>
          <w:sz w:val="24"/>
          <w:szCs w:val="24"/>
          <w:highlight w:val="none"/>
        </w:rPr>
        <w:t>时，请填写参加远程采购活动经办人联系方式</w:t>
      </w:r>
      <w:r>
        <w:rPr>
          <w:rFonts w:hint="eastAsia" w:ascii="仿宋" w:hAnsi="仿宋" w:eastAsia="仿宋" w:cs="仿宋"/>
          <w:b w:val="0"/>
          <w:color w:val="auto"/>
          <w:sz w:val="24"/>
          <w:szCs w:val="24"/>
          <w:highlight w:val="none"/>
          <w:lang w:eastAsia="zh-CN"/>
        </w:rPr>
        <w:t>。</w:t>
      </w:r>
    </w:p>
    <w:p w14:paraId="31798771">
      <w:pPr>
        <w:keepNext w:val="0"/>
        <w:keepLines w:val="0"/>
        <w:pageBreakBefore w:val="0"/>
        <w:widowControl w:val="0"/>
        <w:kinsoku/>
        <w:wordWrap/>
        <w:overflowPunct/>
        <w:topLinePunct w:val="0"/>
        <w:autoSpaceDE/>
        <w:autoSpaceDN/>
        <w:bidi w:val="0"/>
        <w:adjustRightInd/>
        <w:snapToGrid/>
        <w:spacing w:after="0" w:line="560" w:lineRule="exact"/>
        <w:ind w:firstLine="480" w:firstLineChars="200"/>
        <w:jc w:val="both"/>
        <w:textAlignment w:val="auto"/>
        <w:rPr>
          <w:rFonts w:hint="eastAsia" w:ascii="仿宋" w:hAnsi="仿宋" w:eastAsia="仿宋" w:cs="仿宋"/>
          <w:b/>
          <w:bCs w:val="0"/>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rPr>
        <w:t>递交方式：</w:t>
      </w:r>
      <w:r>
        <w:rPr>
          <w:rFonts w:hint="eastAsia" w:ascii="仿宋" w:hAnsi="仿宋" w:eastAsia="仿宋" w:cs="仿宋"/>
          <w:b/>
          <w:bCs w:val="0"/>
          <w:color w:val="auto"/>
          <w:sz w:val="24"/>
          <w:szCs w:val="24"/>
          <w:highlight w:val="none"/>
          <w:lang w:val="en-US" w:eastAsia="zh-CN"/>
        </w:rPr>
        <w:t>网上提交。</w:t>
      </w:r>
    </w:p>
    <w:p w14:paraId="4EAB885C">
      <w:pPr>
        <w:keepNext w:val="0"/>
        <w:keepLines w:val="0"/>
        <w:pageBreakBefore w:val="0"/>
        <w:widowControl w:val="0"/>
        <w:kinsoku/>
        <w:wordWrap/>
        <w:overflowPunct/>
        <w:topLinePunct w:val="0"/>
        <w:autoSpaceDE/>
        <w:autoSpaceDN/>
        <w:bidi w:val="0"/>
        <w:adjustRightInd/>
        <w:snapToGrid/>
        <w:spacing w:after="0" w:line="560" w:lineRule="exact"/>
        <w:ind w:firstLine="480" w:firstLineChars="200"/>
        <w:jc w:val="both"/>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b w:val="0"/>
          <w:color w:val="auto"/>
          <w:sz w:val="24"/>
          <w:szCs w:val="24"/>
          <w:highlight w:val="none"/>
          <w:lang w:val="en-US" w:eastAsia="zh-CN"/>
        </w:rPr>
        <w:t>注：供应商无需到达开标地点，须在“政采云”平台远程解密、开标的要求，须在规定时间内完成签到、在线解密、开标一览表确认等相关操作，若供应商没有在规定时间完成以上相关操作，则视为撤销其响应文件，不再进入评标阶段。开标过程中如有问题，可以发起在线异议，由代理机构给予对应的回复。请供应商提前熟悉“政采云”平台操作手册。任何因忽视或误解而导致响应文件未上传或已上传但未按规定的操作流程及时间要求进行解密的，由供应商自行负责。</w:t>
      </w:r>
    </w:p>
    <w:p w14:paraId="510EE677">
      <w:pPr>
        <w:keepNext w:val="0"/>
        <w:keepLines w:val="0"/>
        <w:pageBreakBefore w:val="0"/>
        <w:widowControl w:val="0"/>
        <w:kinsoku/>
        <w:wordWrap/>
        <w:overflowPunct/>
        <w:topLinePunct w:val="0"/>
        <w:autoSpaceDE/>
        <w:autoSpaceDN/>
        <w:bidi w:val="0"/>
        <w:adjustRightInd/>
        <w:snapToGrid/>
        <w:spacing w:after="0" w:line="560" w:lineRule="exact"/>
        <w:ind w:firstLine="562" w:firstLineChars="200"/>
        <w:jc w:val="both"/>
        <w:textAlignment w:val="auto"/>
        <w:rPr>
          <w:rFonts w:hint="eastAsia" w:ascii="仿宋" w:hAnsi="仿宋" w:eastAsia="仿宋" w:cs="仿宋"/>
          <w:b/>
          <w:bCs/>
          <w:color w:val="auto"/>
          <w:kern w:val="2"/>
          <w:sz w:val="28"/>
          <w:szCs w:val="28"/>
          <w:highlight w:val="none"/>
          <w:lang w:val="en-US" w:eastAsia="zh-CN"/>
        </w:rPr>
      </w:pPr>
      <w:r>
        <w:rPr>
          <w:rFonts w:hint="eastAsia" w:ascii="仿宋" w:hAnsi="仿宋" w:eastAsia="仿宋" w:cs="仿宋"/>
          <w:b/>
          <w:bCs/>
          <w:color w:val="auto"/>
          <w:kern w:val="2"/>
          <w:sz w:val="28"/>
          <w:szCs w:val="28"/>
          <w:highlight w:val="none"/>
          <w:lang w:val="en-US" w:eastAsia="zh-CN"/>
        </w:rPr>
        <w:t>五、开启</w:t>
      </w:r>
    </w:p>
    <w:p w14:paraId="210EBF7B">
      <w:pPr>
        <w:keepNext w:val="0"/>
        <w:keepLines w:val="0"/>
        <w:pageBreakBefore w:val="0"/>
        <w:widowControl w:val="0"/>
        <w:kinsoku/>
        <w:wordWrap/>
        <w:overflowPunct/>
        <w:topLinePunct w:val="0"/>
        <w:autoSpaceDE/>
        <w:autoSpaceDN/>
        <w:bidi w:val="0"/>
        <w:adjustRightInd/>
        <w:snapToGrid/>
        <w:spacing w:after="0" w:line="560" w:lineRule="exact"/>
        <w:ind w:firstLine="480" w:firstLineChars="200"/>
        <w:jc w:val="both"/>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时间：</w:t>
      </w:r>
      <w:r>
        <w:rPr>
          <w:rFonts w:hint="eastAsia" w:ascii="仿宋" w:hAnsi="仿宋" w:eastAsia="仿宋" w:cs="仿宋"/>
          <w:b/>
          <w:bCs/>
          <w:color w:val="auto"/>
          <w:kern w:val="2"/>
          <w:sz w:val="24"/>
          <w:szCs w:val="24"/>
          <w:highlight w:val="none"/>
          <w:lang w:val="en-US" w:eastAsia="zh-CN"/>
        </w:rPr>
        <w:t>2026年9月8日15时00分</w:t>
      </w:r>
      <w:r>
        <w:rPr>
          <w:rFonts w:hint="eastAsia" w:ascii="仿宋" w:hAnsi="仿宋" w:eastAsia="仿宋" w:cs="仿宋"/>
          <w:color w:val="auto"/>
          <w:kern w:val="2"/>
          <w:sz w:val="24"/>
          <w:szCs w:val="24"/>
          <w:highlight w:val="none"/>
          <w:lang w:val="en-US" w:eastAsia="zh-CN"/>
        </w:rPr>
        <w:t>（北京时间）</w:t>
      </w:r>
    </w:p>
    <w:p w14:paraId="67972067">
      <w:pPr>
        <w:keepNext w:val="0"/>
        <w:keepLines w:val="0"/>
        <w:pageBreakBefore w:val="0"/>
        <w:widowControl w:val="0"/>
        <w:kinsoku/>
        <w:wordWrap/>
        <w:overflowPunct/>
        <w:topLinePunct w:val="0"/>
        <w:autoSpaceDE/>
        <w:autoSpaceDN/>
        <w:bidi w:val="0"/>
        <w:adjustRightInd/>
        <w:snapToGrid/>
        <w:spacing w:after="0" w:line="560" w:lineRule="exact"/>
        <w:ind w:firstLine="480" w:firstLineChars="200"/>
        <w:jc w:val="both"/>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地点：通过“政采云”平台在线提交（政采云平台（</w:t>
      </w:r>
      <w:r>
        <w:rPr>
          <w:rFonts w:hint="eastAsia" w:ascii="仿宋" w:hAnsi="仿宋" w:eastAsia="仿宋" w:cs="仿宋"/>
          <w:b w:val="0"/>
          <w:bCs w:val="0"/>
          <w:color w:val="auto"/>
          <w:kern w:val="2"/>
          <w:sz w:val="24"/>
          <w:szCs w:val="24"/>
          <w:highlight w:val="none"/>
        </w:rPr>
        <w:t>供应商无需到现场）</w:t>
      </w:r>
      <w:r>
        <w:rPr>
          <w:rFonts w:hint="eastAsia" w:ascii="仿宋" w:hAnsi="仿宋" w:eastAsia="仿宋" w:cs="仿宋"/>
          <w:b w:val="0"/>
          <w:bCs w:val="0"/>
          <w:color w:val="auto"/>
          <w:kern w:val="2"/>
          <w:sz w:val="24"/>
          <w:szCs w:val="24"/>
          <w:highlight w:val="none"/>
          <w:lang w:eastAsia="zh-CN"/>
        </w:rPr>
        <w:t>。</w:t>
      </w:r>
    </w:p>
    <w:p w14:paraId="32F7AFE9">
      <w:pPr>
        <w:keepNext w:val="0"/>
        <w:keepLines w:val="0"/>
        <w:pageBreakBefore w:val="0"/>
        <w:widowControl w:val="0"/>
        <w:kinsoku/>
        <w:wordWrap/>
        <w:overflowPunct/>
        <w:topLinePunct w:val="0"/>
        <w:autoSpaceDE/>
        <w:autoSpaceDN/>
        <w:bidi w:val="0"/>
        <w:adjustRightInd/>
        <w:snapToGrid/>
        <w:spacing w:after="0" w:line="560" w:lineRule="exact"/>
        <w:ind w:firstLine="562" w:firstLineChars="200"/>
        <w:jc w:val="both"/>
        <w:textAlignment w:val="auto"/>
        <w:rPr>
          <w:rFonts w:hint="eastAsia" w:ascii="仿宋" w:hAnsi="仿宋" w:eastAsia="仿宋" w:cs="仿宋"/>
          <w:b/>
          <w:bCs/>
          <w:color w:val="auto"/>
          <w:kern w:val="2"/>
          <w:sz w:val="28"/>
          <w:szCs w:val="28"/>
          <w:highlight w:val="none"/>
          <w:lang w:val="en-US" w:eastAsia="zh-CN"/>
        </w:rPr>
      </w:pPr>
      <w:r>
        <w:rPr>
          <w:rFonts w:hint="eastAsia" w:ascii="仿宋" w:hAnsi="仿宋" w:eastAsia="仿宋" w:cs="仿宋"/>
          <w:b/>
          <w:bCs/>
          <w:color w:val="auto"/>
          <w:kern w:val="2"/>
          <w:sz w:val="28"/>
          <w:szCs w:val="28"/>
          <w:highlight w:val="none"/>
          <w:lang w:val="en-US" w:eastAsia="zh-CN"/>
        </w:rPr>
        <w:t>六、公告期限</w:t>
      </w:r>
    </w:p>
    <w:p w14:paraId="21937243">
      <w:pPr>
        <w:keepNext w:val="0"/>
        <w:keepLines w:val="0"/>
        <w:pageBreakBefore w:val="0"/>
        <w:widowControl w:val="0"/>
        <w:kinsoku/>
        <w:wordWrap/>
        <w:overflowPunct/>
        <w:topLinePunct w:val="0"/>
        <w:autoSpaceDE/>
        <w:autoSpaceDN/>
        <w:bidi w:val="0"/>
        <w:adjustRightInd/>
        <w:snapToGrid/>
        <w:spacing w:after="0" w:line="560" w:lineRule="exact"/>
        <w:ind w:firstLine="480" w:firstLineChars="200"/>
        <w:jc w:val="both"/>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自本公告发布之日起5个工作日。</w:t>
      </w:r>
    </w:p>
    <w:p w14:paraId="2E5AA4EC">
      <w:pPr>
        <w:keepNext w:val="0"/>
        <w:keepLines w:val="0"/>
        <w:pageBreakBefore w:val="0"/>
        <w:widowControl w:val="0"/>
        <w:kinsoku/>
        <w:wordWrap/>
        <w:overflowPunct/>
        <w:topLinePunct w:val="0"/>
        <w:autoSpaceDE/>
        <w:autoSpaceDN/>
        <w:bidi w:val="0"/>
        <w:adjustRightInd/>
        <w:snapToGrid/>
        <w:spacing w:after="0" w:line="560" w:lineRule="exact"/>
        <w:ind w:firstLine="480" w:firstLineChars="200"/>
        <w:jc w:val="both"/>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本次采购公告同时在“云南省政府采购网”、“政采云平台”上发布，供应商应在递交响应文件前随时查看，以获取最新信息。因供应商未及时查看网站信息导致的一切不利后果由供应商自负。对其他网站或媒体转载的公告内容采购人和采购代理机构不承担任何责任。</w:t>
      </w:r>
    </w:p>
    <w:p w14:paraId="073F63A2">
      <w:pPr>
        <w:pStyle w:val="4"/>
        <w:keepNext/>
        <w:keepLines/>
        <w:pageBreakBefore w:val="0"/>
        <w:widowControl w:val="0"/>
        <w:numPr>
          <w:ilvl w:val="1"/>
          <w:numId w:val="0"/>
        </w:numPr>
        <w:kinsoku/>
        <w:wordWrap/>
        <w:overflowPunct/>
        <w:topLinePunct w:val="0"/>
        <w:autoSpaceDE/>
        <w:autoSpaceDN/>
        <w:bidi w:val="0"/>
        <w:adjustRightInd/>
        <w:snapToGrid/>
        <w:spacing w:before="0" w:after="0" w:line="540" w:lineRule="exact"/>
        <w:ind w:left="425" w:leftChars="0" w:firstLine="0" w:firstLineChars="0"/>
        <w:jc w:val="both"/>
        <w:textAlignment w:val="auto"/>
        <w:outlineLvl w:val="9"/>
        <w:rPr>
          <w:rFonts w:hint="eastAsia" w:ascii="仿宋" w:hAnsi="仿宋" w:eastAsia="仿宋" w:cs="仿宋"/>
          <w:b/>
          <w:bCs w:val="0"/>
          <w:color w:val="auto"/>
          <w:sz w:val="28"/>
          <w:szCs w:val="28"/>
          <w:highlight w:val="none"/>
        </w:rPr>
      </w:pPr>
      <w:r>
        <w:rPr>
          <w:rFonts w:hint="eastAsia" w:ascii="仿宋" w:hAnsi="仿宋" w:eastAsia="仿宋" w:cs="仿宋"/>
          <w:b/>
          <w:bCs/>
          <w:color w:val="auto"/>
          <w:kern w:val="2"/>
          <w:sz w:val="28"/>
          <w:szCs w:val="28"/>
          <w:highlight w:val="none"/>
          <w:lang w:val="en-US" w:eastAsia="zh-CN"/>
        </w:rPr>
        <w:t>七、</w:t>
      </w:r>
      <w:r>
        <w:rPr>
          <w:rFonts w:hint="eastAsia" w:ascii="仿宋" w:hAnsi="仿宋" w:eastAsia="仿宋" w:cs="仿宋"/>
          <w:b/>
          <w:bCs w:val="0"/>
          <w:color w:val="auto"/>
          <w:sz w:val="28"/>
          <w:szCs w:val="28"/>
          <w:highlight w:val="none"/>
        </w:rPr>
        <w:t>其他补充事宜</w:t>
      </w:r>
    </w:p>
    <w:p w14:paraId="13AC7D2F">
      <w:pPr>
        <w:keepNext w:val="0"/>
        <w:keepLines w:val="0"/>
        <w:pageBreakBefore w:val="0"/>
        <w:widowControl/>
        <w:suppressLineNumbers w:val="0"/>
        <w:kinsoku/>
        <w:wordWrap/>
        <w:overflowPunct/>
        <w:topLinePunct w:val="0"/>
        <w:autoSpaceDE w:val="0"/>
        <w:autoSpaceDN w:val="0"/>
        <w:bidi w:val="0"/>
        <w:adjustRightInd/>
        <w:snapToGrid/>
        <w:spacing w:before="0" w:after="0" w:line="520" w:lineRule="exact"/>
        <w:ind w:left="0" w:leftChars="0" w:right="0" w:firstLine="480" w:firstLineChars="200"/>
        <w:jc w:val="left"/>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（一）是否需要缴纳投标保证金：否</w:t>
      </w:r>
    </w:p>
    <w:p w14:paraId="00C178A3">
      <w:pPr>
        <w:keepNext w:val="0"/>
        <w:keepLines w:val="0"/>
        <w:pageBreakBefore w:val="0"/>
        <w:widowControl/>
        <w:suppressLineNumbers w:val="0"/>
        <w:kinsoku/>
        <w:wordWrap/>
        <w:overflowPunct/>
        <w:topLinePunct w:val="0"/>
        <w:autoSpaceDE w:val="0"/>
        <w:autoSpaceDN w:val="0"/>
        <w:bidi w:val="0"/>
        <w:adjustRightInd/>
        <w:snapToGrid/>
        <w:spacing w:before="0" w:after="0" w:line="520" w:lineRule="exact"/>
        <w:ind w:left="0" w:leftChars="0" w:right="0" w:firstLine="480" w:firstLineChars="200"/>
        <w:jc w:val="left"/>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（二）开标方式：网上智能开标</w:t>
      </w:r>
    </w:p>
    <w:p w14:paraId="3DE0008F">
      <w:pPr>
        <w:keepNext w:val="0"/>
        <w:keepLines w:val="0"/>
        <w:pageBreakBefore w:val="0"/>
        <w:widowControl/>
        <w:suppressLineNumbers w:val="0"/>
        <w:kinsoku/>
        <w:wordWrap/>
        <w:overflowPunct/>
        <w:topLinePunct w:val="0"/>
        <w:autoSpaceDE w:val="0"/>
        <w:autoSpaceDN w:val="0"/>
        <w:bidi w:val="0"/>
        <w:adjustRightInd/>
        <w:snapToGrid/>
        <w:spacing w:before="0" w:after="0" w:line="520" w:lineRule="exact"/>
        <w:ind w:left="0" w:leftChars="0" w:right="0" w:firstLine="480" w:firstLineChars="200"/>
        <w:jc w:val="left"/>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1.该项目通过网上远程解密响应文件，供应商无需到现场参与响应文件解密环节。代理机构通过远程在线开标系统下达“网上解密”指令后，供应商应在规定的响应文件解密时间（下达远程解密命令后30分钟）内，使用对本项目响应文件进行加密的数字证书完成本单位所有响应文件解密操作。若未在规定的解密时间内完成解密操作或因供应商自身原因致使其响应文件未成功解密的响应视为无效。</w:t>
      </w:r>
    </w:p>
    <w:p w14:paraId="25D44D33">
      <w:pPr>
        <w:keepNext w:val="0"/>
        <w:keepLines w:val="0"/>
        <w:pageBreakBefore w:val="0"/>
        <w:widowControl/>
        <w:suppressLineNumbers w:val="0"/>
        <w:kinsoku/>
        <w:wordWrap/>
        <w:overflowPunct/>
        <w:topLinePunct w:val="0"/>
        <w:autoSpaceDE w:val="0"/>
        <w:autoSpaceDN w:val="0"/>
        <w:bidi w:val="0"/>
        <w:adjustRightInd/>
        <w:snapToGrid/>
        <w:spacing w:before="0" w:after="0" w:line="520" w:lineRule="exact"/>
        <w:ind w:left="0" w:leftChars="0" w:right="0" w:firstLine="480" w:firstLineChars="200"/>
        <w:jc w:val="left"/>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2.本次招标采购的相关信息（含招标公告、变更公告、补遗公告、延期公告、终止公告、中标公告等）同时在“云南省政府采购网”发布，请各投标人在递交投标文件前随时查看，以获取最新信息，公告内容和时间以云南省政府采购网发布的信息为准。</w:t>
      </w:r>
    </w:p>
    <w:p w14:paraId="69039EFE">
      <w:pPr>
        <w:keepNext w:val="0"/>
        <w:keepLines w:val="0"/>
        <w:pageBreakBefore w:val="0"/>
        <w:widowControl/>
        <w:suppressLineNumbers w:val="0"/>
        <w:kinsoku/>
        <w:wordWrap/>
        <w:overflowPunct/>
        <w:topLinePunct w:val="0"/>
        <w:autoSpaceDE w:val="0"/>
        <w:autoSpaceDN w:val="0"/>
        <w:bidi w:val="0"/>
        <w:adjustRightInd/>
        <w:snapToGrid/>
        <w:spacing w:before="0" w:after="0" w:line="520" w:lineRule="exact"/>
        <w:ind w:left="0" w:leftChars="0" w:right="0" w:firstLine="480" w:firstLineChars="200"/>
        <w:jc w:val="left"/>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3.本项目采用全流程电子化采购方式，请投标人认真学习云南省政府采购电子交易平台发布的相关操作手册（投标人可在交易平台下载相关手册），办理CA数字证书、进行政府采购电子交易平台注册绑定，并认真核实CA数字证书确认是否符合本项目电子化采购流程要求。</w:t>
      </w:r>
    </w:p>
    <w:p w14:paraId="71112553">
      <w:pPr>
        <w:keepNext w:val="0"/>
        <w:keepLines w:val="0"/>
        <w:pageBreakBefore w:val="0"/>
        <w:widowControl/>
        <w:suppressLineNumbers w:val="0"/>
        <w:kinsoku/>
        <w:wordWrap/>
        <w:overflowPunct/>
        <w:topLinePunct w:val="0"/>
        <w:autoSpaceDE w:val="0"/>
        <w:autoSpaceDN w:val="0"/>
        <w:bidi w:val="0"/>
        <w:adjustRightInd/>
        <w:snapToGrid/>
        <w:spacing w:before="0" w:after="0" w:line="520" w:lineRule="exact"/>
        <w:ind w:left="0" w:leftChars="0" w:right="0" w:firstLine="480" w:firstLineChars="200"/>
        <w:jc w:val="left"/>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 xml:space="preserve">CA数字证书服务热线 </w:t>
      </w:r>
    </w:p>
    <w:p w14:paraId="67624076">
      <w:pPr>
        <w:keepNext w:val="0"/>
        <w:keepLines w:val="0"/>
        <w:pageBreakBefore w:val="0"/>
        <w:widowControl/>
        <w:suppressLineNumbers w:val="0"/>
        <w:kinsoku/>
        <w:wordWrap/>
        <w:overflowPunct/>
        <w:topLinePunct w:val="0"/>
        <w:autoSpaceDE w:val="0"/>
        <w:autoSpaceDN w:val="0"/>
        <w:bidi w:val="0"/>
        <w:adjustRightInd/>
        <w:snapToGrid/>
        <w:spacing w:before="0" w:after="0" w:line="520" w:lineRule="exact"/>
        <w:ind w:left="0" w:leftChars="0" w:right="0" w:firstLine="480" w:firstLineChars="200"/>
        <w:jc w:val="left"/>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汇信CA：0571-88350735；云南CA:4006727666</w:t>
      </w:r>
    </w:p>
    <w:p w14:paraId="5859DB25">
      <w:pPr>
        <w:keepNext w:val="0"/>
        <w:keepLines w:val="0"/>
        <w:pageBreakBefore w:val="0"/>
        <w:widowControl/>
        <w:suppressLineNumbers w:val="0"/>
        <w:kinsoku/>
        <w:wordWrap/>
        <w:overflowPunct/>
        <w:topLinePunct w:val="0"/>
        <w:autoSpaceDE w:val="0"/>
        <w:autoSpaceDN w:val="0"/>
        <w:bidi w:val="0"/>
        <w:adjustRightInd/>
        <w:snapToGrid/>
        <w:spacing w:before="0" w:after="0" w:line="520" w:lineRule="exact"/>
        <w:ind w:left="0" w:leftChars="0" w:right="0" w:firstLine="480" w:firstLineChars="200"/>
        <w:jc w:val="left"/>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云南壹证通：4000040628；福建CA：0591-87760022</w:t>
      </w:r>
    </w:p>
    <w:p w14:paraId="7BBD25FB">
      <w:pPr>
        <w:keepNext w:val="0"/>
        <w:keepLines w:val="0"/>
        <w:pageBreakBefore w:val="0"/>
        <w:widowControl/>
        <w:suppressLineNumbers w:val="0"/>
        <w:kinsoku/>
        <w:wordWrap/>
        <w:overflowPunct/>
        <w:topLinePunct w:val="0"/>
        <w:autoSpaceDE w:val="0"/>
        <w:autoSpaceDN w:val="0"/>
        <w:bidi w:val="0"/>
        <w:adjustRightInd/>
        <w:snapToGrid/>
        <w:spacing w:before="0" w:after="0" w:line="520" w:lineRule="exact"/>
        <w:ind w:left="0" w:leftChars="0" w:right="0" w:firstLine="480" w:firstLineChars="200"/>
        <w:jc w:val="left"/>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需要注意的是，如果供应商之前已经在云南CA在线数字证书办理网注册并办理了企业数字证书（CA），则可以直接进行绑定，无需重复办理。此外，供应商在政采云平台办理的其他CA也可以直接使用，无需重复办理。如有问题可拨打政采云客户服务热线95763进行咨询，数字证书问题可咨询云南壹证通CA：0871-67276028。</w:t>
      </w:r>
    </w:p>
    <w:p w14:paraId="67236AF5">
      <w:pPr>
        <w:keepNext w:val="0"/>
        <w:keepLines w:val="0"/>
        <w:pageBreakBefore w:val="0"/>
        <w:widowControl/>
        <w:suppressLineNumbers w:val="0"/>
        <w:kinsoku/>
        <w:wordWrap/>
        <w:overflowPunct/>
        <w:topLinePunct w:val="0"/>
        <w:autoSpaceDE w:val="0"/>
        <w:autoSpaceDN w:val="0"/>
        <w:bidi w:val="0"/>
        <w:adjustRightInd/>
        <w:snapToGrid/>
        <w:spacing w:before="0" w:after="0" w:line="520" w:lineRule="exact"/>
        <w:ind w:left="0" w:leftChars="0" w:right="0" w:firstLine="480" w:firstLineChars="200"/>
        <w:jc w:val="left"/>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4.获取电子采购文件：投标人使用账号密码或CA数字证书登录相关驱动及客户端获取电子采购文件。投标人如计划参与多个采购包的投标，在获取采购文件详情页面，在意向标段（包）栏目依次选择对应采购包，提交申请即可。未在规定期限内按上述操作获取文件的采购包，投标人无法提交相应包的电子投标文件。</w:t>
      </w:r>
    </w:p>
    <w:p w14:paraId="0C7FFEB0">
      <w:pPr>
        <w:keepNext w:val="0"/>
        <w:keepLines w:val="0"/>
        <w:pageBreakBefore w:val="0"/>
        <w:widowControl/>
        <w:suppressLineNumbers w:val="0"/>
        <w:kinsoku/>
        <w:wordWrap/>
        <w:overflowPunct/>
        <w:topLinePunct w:val="0"/>
        <w:autoSpaceDE w:val="0"/>
        <w:autoSpaceDN w:val="0"/>
        <w:bidi w:val="0"/>
        <w:adjustRightInd/>
        <w:snapToGrid/>
        <w:spacing w:before="0" w:after="0" w:line="520" w:lineRule="exact"/>
        <w:ind w:left="0" w:leftChars="0" w:right="0" w:firstLine="480" w:firstLineChars="200"/>
        <w:jc w:val="left"/>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5.编制电子投标文件：投标人应使用电子投标客户端编制电子投标文件并进行线上投标，投标人电子投标文件需要加密并加盖电子签章，如无法按照要求在电子投标文件中加盖电子签章和加密，请及时通过技术支持服务热线联系技术人员。</w:t>
      </w:r>
    </w:p>
    <w:p w14:paraId="5E92281D">
      <w:pPr>
        <w:keepNext w:val="0"/>
        <w:keepLines w:val="0"/>
        <w:pageBreakBefore w:val="0"/>
        <w:widowControl/>
        <w:suppressLineNumbers w:val="0"/>
        <w:kinsoku/>
        <w:wordWrap/>
        <w:overflowPunct/>
        <w:topLinePunct w:val="0"/>
        <w:autoSpaceDE w:val="0"/>
        <w:autoSpaceDN w:val="0"/>
        <w:bidi w:val="0"/>
        <w:adjustRightInd/>
        <w:snapToGrid/>
        <w:spacing w:before="0" w:after="0" w:line="520" w:lineRule="exact"/>
        <w:ind w:left="0" w:leftChars="0" w:right="0" w:firstLine="480" w:firstLineChars="200"/>
        <w:jc w:val="left"/>
        <w:textAlignment w:val="auto"/>
        <w:rPr>
          <w:rFonts w:hint="eastAsia" w:ascii="仿宋" w:hAnsi="仿宋" w:eastAsia="仿宋" w:cs="仿宋"/>
          <w:b w:val="0"/>
          <w:color w:val="auto"/>
          <w:sz w:val="24"/>
          <w:szCs w:val="24"/>
          <w:highlight w:val="none"/>
          <w:lang w:val="en-US" w:eastAsia="zh-CN"/>
        </w:rPr>
      </w:pPr>
      <w:r>
        <w:rPr>
          <w:rFonts w:hint="eastAsia" w:ascii="仿宋" w:hAnsi="仿宋" w:eastAsia="仿宋" w:cs="仿宋"/>
          <w:b w:val="0"/>
          <w:color w:val="auto"/>
          <w:sz w:val="24"/>
          <w:szCs w:val="24"/>
          <w:highlight w:val="none"/>
          <w:lang w:val="en-US" w:eastAsia="zh-CN"/>
        </w:rPr>
        <w:t>6.提交电子投标文件：投标人应于投标截止时间前在政府采购电子交易平台提交电子投标文件，上传电子投标文件过程中请保持与互联网的连接畅通。</w:t>
      </w:r>
    </w:p>
    <w:p w14:paraId="74F0A6E4">
      <w:pPr>
        <w:keepNext w:val="0"/>
        <w:keepLines w:val="0"/>
        <w:pageBreakBefore w:val="0"/>
        <w:widowControl/>
        <w:suppressLineNumbers w:val="0"/>
        <w:kinsoku/>
        <w:wordWrap/>
        <w:overflowPunct/>
        <w:topLinePunct w:val="0"/>
        <w:autoSpaceDE w:val="0"/>
        <w:autoSpaceDN w:val="0"/>
        <w:bidi w:val="0"/>
        <w:adjustRightInd/>
        <w:snapToGrid/>
        <w:spacing w:before="0" w:after="0" w:line="520" w:lineRule="exact"/>
        <w:ind w:left="0" w:leftChars="0" w:right="0" w:firstLine="480" w:firstLineChars="200"/>
        <w:jc w:val="left"/>
        <w:textAlignment w:val="auto"/>
        <w:rPr>
          <w:rFonts w:hint="eastAsia" w:ascii="仿宋" w:hAnsi="仿宋" w:eastAsia="仿宋" w:cs="仿宋"/>
          <w:b/>
          <w:bCs/>
          <w:color w:val="auto"/>
          <w:kern w:val="2"/>
          <w:sz w:val="28"/>
          <w:szCs w:val="28"/>
          <w:highlight w:val="none"/>
          <w:lang w:val="en-US" w:eastAsia="zh-CN"/>
        </w:rPr>
      </w:pPr>
      <w:r>
        <w:rPr>
          <w:rFonts w:hint="eastAsia" w:ascii="仿宋" w:hAnsi="仿宋" w:eastAsia="仿宋" w:cs="仿宋"/>
          <w:b w:val="0"/>
          <w:color w:val="auto"/>
          <w:sz w:val="24"/>
          <w:szCs w:val="24"/>
          <w:highlight w:val="none"/>
          <w:lang w:val="en-US" w:eastAsia="zh-CN"/>
        </w:rPr>
        <w:t>7.在使用“政采云”平台时，请投标人自行配备有音视频通话（带摄像头及话筒的电脑）功能的相应设备及稳定网络的环境下，并按“政采云”平台开标大厅中的提示完成投标文件的解密。</w:t>
      </w:r>
    </w:p>
    <w:p w14:paraId="755441CC">
      <w:pPr>
        <w:keepNext w:val="0"/>
        <w:keepLines w:val="0"/>
        <w:pageBreakBefore w:val="0"/>
        <w:widowControl/>
        <w:suppressLineNumbers w:val="0"/>
        <w:kinsoku/>
        <w:wordWrap/>
        <w:overflowPunct/>
        <w:topLinePunct w:val="0"/>
        <w:autoSpaceDE w:val="0"/>
        <w:autoSpaceDN w:val="0"/>
        <w:bidi w:val="0"/>
        <w:adjustRightInd/>
        <w:snapToGrid/>
        <w:spacing w:before="0" w:after="0" w:line="520" w:lineRule="exact"/>
        <w:ind w:left="0" w:leftChars="0" w:right="0" w:firstLine="562" w:firstLineChars="200"/>
        <w:jc w:val="left"/>
        <w:textAlignment w:val="auto"/>
        <w:rPr>
          <w:rFonts w:hint="eastAsia" w:ascii="仿宋" w:hAnsi="仿宋" w:eastAsia="仿宋" w:cs="仿宋"/>
          <w:b/>
          <w:bCs/>
          <w:color w:val="auto"/>
          <w:kern w:val="2"/>
          <w:sz w:val="28"/>
          <w:szCs w:val="28"/>
          <w:highlight w:val="none"/>
          <w:lang w:val="en-US" w:eastAsia="zh-CN"/>
        </w:rPr>
      </w:pPr>
      <w:r>
        <w:rPr>
          <w:rFonts w:hint="eastAsia" w:ascii="仿宋" w:hAnsi="仿宋" w:eastAsia="仿宋" w:cs="仿宋"/>
          <w:b/>
          <w:bCs/>
          <w:color w:val="auto"/>
          <w:kern w:val="2"/>
          <w:sz w:val="28"/>
          <w:szCs w:val="28"/>
          <w:highlight w:val="none"/>
          <w:lang w:val="en-US" w:eastAsia="zh-CN"/>
        </w:rPr>
        <w:t>八、凡对本次采购提出询问，请按以下方式联系。</w:t>
      </w:r>
    </w:p>
    <w:p w14:paraId="0D8D8CB4">
      <w:pPr>
        <w:keepNext w:val="0"/>
        <w:keepLines w:val="0"/>
        <w:pageBreakBefore w:val="0"/>
        <w:widowControl w:val="0"/>
        <w:kinsoku/>
        <w:wordWrap/>
        <w:overflowPunct/>
        <w:topLinePunct w:val="0"/>
        <w:autoSpaceDE/>
        <w:autoSpaceDN/>
        <w:bidi w:val="0"/>
        <w:adjustRightInd/>
        <w:snapToGrid/>
        <w:spacing w:after="0" w:line="540" w:lineRule="exact"/>
        <w:ind w:firstLine="480" w:firstLineChars="200"/>
        <w:jc w:val="both"/>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1.采购人信息</w:t>
      </w:r>
    </w:p>
    <w:p w14:paraId="4CF79381">
      <w:pPr>
        <w:keepNext w:val="0"/>
        <w:keepLines w:val="0"/>
        <w:pageBreakBefore w:val="0"/>
        <w:widowControl w:val="0"/>
        <w:kinsoku/>
        <w:wordWrap/>
        <w:overflowPunct/>
        <w:topLinePunct w:val="0"/>
        <w:autoSpaceDE/>
        <w:autoSpaceDN/>
        <w:bidi w:val="0"/>
        <w:adjustRightInd/>
        <w:snapToGrid/>
        <w:spacing w:after="0" w:line="540" w:lineRule="exact"/>
        <w:ind w:firstLine="480" w:firstLineChars="200"/>
        <w:jc w:val="both"/>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名    称：富宁县人民医院</w:t>
      </w:r>
    </w:p>
    <w:p w14:paraId="4A030F64">
      <w:pPr>
        <w:keepNext w:val="0"/>
        <w:keepLines w:val="0"/>
        <w:pageBreakBefore w:val="0"/>
        <w:widowControl w:val="0"/>
        <w:kinsoku/>
        <w:wordWrap/>
        <w:overflowPunct/>
        <w:topLinePunct w:val="0"/>
        <w:autoSpaceDE/>
        <w:autoSpaceDN/>
        <w:bidi w:val="0"/>
        <w:adjustRightInd/>
        <w:snapToGrid/>
        <w:spacing w:after="0" w:line="540" w:lineRule="exact"/>
        <w:ind w:firstLine="480" w:firstLineChars="200"/>
        <w:jc w:val="both"/>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 xml:space="preserve">地    址：云南省文山州富宁县新华镇玉泉路45号 </w:t>
      </w:r>
    </w:p>
    <w:p w14:paraId="261A488D">
      <w:pPr>
        <w:keepNext w:val="0"/>
        <w:keepLines w:val="0"/>
        <w:pageBreakBefore w:val="0"/>
        <w:widowControl w:val="0"/>
        <w:kinsoku/>
        <w:wordWrap/>
        <w:overflowPunct/>
        <w:topLinePunct w:val="0"/>
        <w:autoSpaceDE/>
        <w:autoSpaceDN/>
        <w:bidi w:val="0"/>
        <w:adjustRightInd/>
        <w:snapToGrid/>
        <w:spacing w:after="0" w:line="540" w:lineRule="exact"/>
        <w:ind w:firstLine="480" w:firstLineChars="200"/>
        <w:jc w:val="both"/>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联系人：林有新</w:t>
      </w:r>
    </w:p>
    <w:p w14:paraId="5F099B95">
      <w:pPr>
        <w:keepNext w:val="0"/>
        <w:keepLines w:val="0"/>
        <w:pageBreakBefore w:val="0"/>
        <w:widowControl w:val="0"/>
        <w:kinsoku/>
        <w:wordWrap/>
        <w:overflowPunct/>
        <w:topLinePunct w:val="0"/>
        <w:autoSpaceDE/>
        <w:autoSpaceDN/>
        <w:bidi w:val="0"/>
        <w:adjustRightInd/>
        <w:snapToGrid/>
        <w:spacing w:after="0" w:line="540" w:lineRule="exact"/>
        <w:ind w:firstLine="480" w:firstLineChars="200"/>
        <w:jc w:val="both"/>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联系方式：18087669603</w:t>
      </w:r>
    </w:p>
    <w:p w14:paraId="1D4597BC">
      <w:pPr>
        <w:keepNext w:val="0"/>
        <w:keepLines w:val="0"/>
        <w:pageBreakBefore w:val="0"/>
        <w:widowControl w:val="0"/>
        <w:kinsoku/>
        <w:wordWrap/>
        <w:overflowPunct/>
        <w:topLinePunct w:val="0"/>
        <w:autoSpaceDE/>
        <w:autoSpaceDN/>
        <w:bidi w:val="0"/>
        <w:adjustRightInd/>
        <w:snapToGrid/>
        <w:spacing w:after="0" w:line="540" w:lineRule="exact"/>
        <w:ind w:firstLine="480" w:firstLineChars="200"/>
        <w:jc w:val="both"/>
        <w:textAlignment w:val="auto"/>
        <w:rPr>
          <w:rFonts w:hint="eastAsia" w:ascii="仿宋" w:hAnsi="仿宋" w:eastAsia="仿宋" w:cs="仿宋"/>
          <w:color w:val="auto"/>
          <w:kern w:val="2"/>
          <w:sz w:val="24"/>
          <w:szCs w:val="24"/>
          <w:highlight w:val="none"/>
          <w:lang w:val="en-US" w:eastAsia="zh-CN"/>
        </w:rPr>
      </w:pPr>
      <w:bookmarkStart w:id="28" w:name="_Toc14201"/>
      <w:bookmarkEnd w:id="28"/>
      <w:bookmarkStart w:id="29" w:name="_Toc4190"/>
      <w:bookmarkEnd w:id="29"/>
      <w:bookmarkStart w:id="30" w:name="_Toc12131"/>
      <w:bookmarkStart w:id="31" w:name="_Toc26116"/>
      <w:r>
        <w:rPr>
          <w:rFonts w:hint="eastAsia" w:ascii="仿宋" w:hAnsi="仿宋" w:eastAsia="仿宋" w:cs="仿宋"/>
          <w:color w:val="auto"/>
          <w:kern w:val="2"/>
          <w:sz w:val="24"/>
          <w:szCs w:val="24"/>
          <w:highlight w:val="none"/>
          <w:lang w:val="en-US" w:eastAsia="zh-CN"/>
        </w:rPr>
        <w:t>2.采购代理机构信息</w:t>
      </w:r>
      <w:bookmarkEnd w:id="30"/>
      <w:bookmarkEnd w:id="31"/>
    </w:p>
    <w:p w14:paraId="5A522ECA">
      <w:pPr>
        <w:keepNext w:val="0"/>
        <w:keepLines w:val="0"/>
        <w:pageBreakBefore w:val="0"/>
        <w:widowControl w:val="0"/>
        <w:kinsoku/>
        <w:wordWrap/>
        <w:overflowPunct/>
        <w:topLinePunct w:val="0"/>
        <w:autoSpaceDE/>
        <w:autoSpaceDN/>
        <w:bidi w:val="0"/>
        <w:adjustRightInd/>
        <w:snapToGrid/>
        <w:spacing w:after="0" w:line="540" w:lineRule="exact"/>
        <w:ind w:firstLine="480" w:firstLineChars="200"/>
        <w:jc w:val="both"/>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名     称：云南方圆工程咨询有限公司</w:t>
      </w:r>
    </w:p>
    <w:p w14:paraId="47503E20">
      <w:pPr>
        <w:keepNext w:val="0"/>
        <w:keepLines w:val="0"/>
        <w:pageBreakBefore w:val="0"/>
        <w:widowControl w:val="0"/>
        <w:kinsoku/>
        <w:wordWrap/>
        <w:overflowPunct/>
        <w:topLinePunct w:val="0"/>
        <w:autoSpaceDE/>
        <w:autoSpaceDN/>
        <w:bidi w:val="0"/>
        <w:adjustRightInd/>
        <w:snapToGrid/>
        <w:spacing w:after="0" w:line="540" w:lineRule="exact"/>
        <w:ind w:firstLine="480" w:firstLineChars="200"/>
        <w:jc w:val="both"/>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地　 　址：云南省文山壮族苗族自治州文山市卧龙街道大以古社区凤凰时代F1-25号商铺</w:t>
      </w:r>
    </w:p>
    <w:p w14:paraId="586DBB9C">
      <w:pPr>
        <w:keepNext w:val="0"/>
        <w:keepLines w:val="0"/>
        <w:pageBreakBefore w:val="0"/>
        <w:widowControl w:val="0"/>
        <w:kinsoku/>
        <w:wordWrap/>
        <w:overflowPunct/>
        <w:topLinePunct w:val="0"/>
        <w:autoSpaceDE/>
        <w:autoSpaceDN/>
        <w:bidi w:val="0"/>
        <w:adjustRightInd/>
        <w:snapToGrid/>
        <w:spacing w:after="0" w:line="540" w:lineRule="exact"/>
        <w:ind w:firstLine="480" w:firstLineChars="200"/>
        <w:jc w:val="both"/>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联系方式：0876-8841989</w:t>
      </w:r>
    </w:p>
    <w:p w14:paraId="35188BC1">
      <w:pPr>
        <w:keepNext w:val="0"/>
        <w:keepLines w:val="0"/>
        <w:pageBreakBefore w:val="0"/>
        <w:widowControl w:val="0"/>
        <w:kinsoku/>
        <w:wordWrap/>
        <w:overflowPunct/>
        <w:topLinePunct w:val="0"/>
        <w:autoSpaceDE/>
        <w:autoSpaceDN/>
        <w:bidi w:val="0"/>
        <w:adjustRightInd/>
        <w:snapToGrid/>
        <w:spacing w:after="0" w:line="540" w:lineRule="exact"/>
        <w:ind w:firstLine="480" w:firstLineChars="200"/>
        <w:jc w:val="both"/>
        <w:textAlignment w:val="auto"/>
        <w:rPr>
          <w:rFonts w:hint="eastAsia" w:ascii="仿宋" w:hAnsi="仿宋" w:eastAsia="仿宋" w:cs="仿宋"/>
          <w:color w:val="auto"/>
          <w:kern w:val="2"/>
          <w:sz w:val="24"/>
          <w:szCs w:val="24"/>
          <w:highlight w:val="none"/>
          <w:lang w:val="en-US" w:eastAsia="zh-CN"/>
        </w:rPr>
      </w:pPr>
      <w:bookmarkStart w:id="32" w:name="_Toc28359021"/>
      <w:bookmarkStart w:id="33" w:name="_Toc35393808"/>
      <w:bookmarkStart w:id="34" w:name="_Toc35393639"/>
      <w:bookmarkStart w:id="35" w:name="_Toc28359098"/>
      <w:r>
        <w:rPr>
          <w:rFonts w:hint="eastAsia" w:ascii="仿宋" w:hAnsi="仿宋" w:eastAsia="仿宋" w:cs="仿宋"/>
          <w:color w:val="auto"/>
          <w:kern w:val="2"/>
          <w:sz w:val="24"/>
          <w:szCs w:val="24"/>
          <w:highlight w:val="none"/>
          <w:lang w:val="en-US" w:eastAsia="zh-CN"/>
        </w:rPr>
        <w:t>3.项目联系方式</w:t>
      </w:r>
      <w:bookmarkEnd w:id="32"/>
      <w:bookmarkEnd w:id="33"/>
      <w:bookmarkEnd w:id="34"/>
      <w:bookmarkEnd w:id="35"/>
    </w:p>
    <w:p w14:paraId="6850FA52">
      <w:pPr>
        <w:keepNext w:val="0"/>
        <w:keepLines w:val="0"/>
        <w:pageBreakBefore w:val="0"/>
        <w:widowControl w:val="0"/>
        <w:kinsoku/>
        <w:wordWrap/>
        <w:overflowPunct/>
        <w:topLinePunct w:val="0"/>
        <w:autoSpaceDE/>
        <w:autoSpaceDN/>
        <w:bidi w:val="0"/>
        <w:adjustRightInd/>
        <w:snapToGrid/>
        <w:spacing w:after="0" w:line="540" w:lineRule="exact"/>
        <w:ind w:firstLine="480" w:firstLineChars="200"/>
        <w:jc w:val="both"/>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项目联系人：赵春艳</w:t>
      </w:r>
    </w:p>
    <w:p w14:paraId="064E6F54">
      <w:pPr>
        <w:keepNext w:val="0"/>
        <w:keepLines w:val="0"/>
        <w:pageBreakBefore w:val="0"/>
        <w:widowControl w:val="0"/>
        <w:kinsoku/>
        <w:wordWrap/>
        <w:overflowPunct/>
        <w:topLinePunct w:val="0"/>
        <w:autoSpaceDE/>
        <w:autoSpaceDN/>
        <w:bidi w:val="0"/>
        <w:adjustRightInd/>
        <w:snapToGrid/>
        <w:spacing w:after="0" w:line="540" w:lineRule="exact"/>
        <w:ind w:firstLine="480" w:firstLineChars="200"/>
        <w:jc w:val="both"/>
        <w:textAlignment w:val="auto"/>
        <w:rPr>
          <w:rFonts w:hint="eastAsia" w:ascii="仿宋" w:hAnsi="仿宋" w:eastAsia="仿宋" w:cs="仿宋"/>
          <w:color w:val="auto"/>
          <w:kern w:val="2"/>
          <w:sz w:val="24"/>
          <w:szCs w:val="24"/>
          <w:highlight w:val="none"/>
          <w:lang w:val="en-US" w:eastAsia="zh-CN"/>
        </w:rPr>
      </w:pPr>
      <w:r>
        <w:rPr>
          <w:rFonts w:hint="eastAsia" w:ascii="仿宋" w:hAnsi="仿宋" w:eastAsia="仿宋" w:cs="仿宋"/>
          <w:color w:val="auto"/>
          <w:kern w:val="2"/>
          <w:sz w:val="24"/>
          <w:szCs w:val="24"/>
          <w:highlight w:val="none"/>
          <w:lang w:val="en-US" w:eastAsia="zh-CN"/>
        </w:rPr>
        <w:t>电　　  话：0876-8841989</w:t>
      </w:r>
    </w:p>
    <w:p w14:paraId="342DD3E5">
      <w:pPr>
        <w:keepNext w:val="0"/>
        <w:keepLines w:val="0"/>
        <w:pageBreakBefore w:val="0"/>
        <w:widowControl w:val="0"/>
        <w:kinsoku/>
        <w:wordWrap/>
        <w:overflowPunct/>
        <w:topLinePunct w:val="0"/>
        <w:autoSpaceDE/>
        <w:autoSpaceDN/>
        <w:bidi w:val="0"/>
        <w:adjustRightInd/>
        <w:snapToGrid/>
        <w:spacing w:after="0" w:line="540" w:lineRule="exact"/>
        <w:ind w:firstLine="480" w:firstLineChars="200"/>
        <w:jc w:val="both"/>
        <w:textAlignment w:val="auto"/>
        <w:rPr>
          <w:rFonts w:hint="eastAsia" w:ascii="仿宋" w:hAnsi="仿宋" w:eastAsia="仿宋" w:cs="仿宋"/>
          <w:color w:val="auto"/>
          <w:kern w:val="2"/>
          <w:sz w:val="24"/>
          <w:szCs w:val="24"/>
          <w:highlight w:val="none"/>
          <w:lang w:val="en-US" w:eastAsia="zh-CN"/>
        </w:rPr>
      </w:pPr>
    </w:p>
    <w:bookmarkEnd w:id="15"/>
    <w:bookmarkEnd w:id="16"/>
    <w:bookmarkEnd w:id="17"/>
    <w:p w14:paraId="2BF58494">
      <w:pPr>
        <w:rPr>
          <w:rFonts w:hint="eastAsia" w:ascii="仿宋" w:hAnsi="仿宋" w:eastAsia="仿宋" w:cs="仿宋"/>
          <w:b/>
          <w:bCs/>
          <w:color w:val="auto"/>
          <w:kern w:val="2"/>
          <w:sz w:val="30"/>
          <w:szCs w:val="30"/>
          <w:highlight w:val="none"/>
        </w:rPr>
      </w:pPr>
      <w:bookmarkStart w:id="36" w:name="_Toc4231"/>
      <w:bookmarkStart w:id="37" w:name="_Toc15839"/>
      <w:bookmarkStart w:id="38" w:name="_Toc5210"/>
      <w:r>
        <w:rPr>
          <w:rFonts w:hint="eastAsia" w:ascii="仿宋" w:hAnsi="仿宋" w:eastAsia="仿宋" w:cs="仿宋"/>
          <w:b/>
          <w:bCs/>
          <w:color w:val="auto"/>
          <w:kern w:val="2"/>
          <w:sz w:val="30"/>
          <w:szCs w:val="30"/>
          <w:highlight w:val="none"/>
        </w:rPr>
        <w:br w:type="page"/>
      </w:r>
    </w:p>
    <w:p w14:paraId="1DBF0266">
      <w:pPr>
        <w:pStyle w:val="3"/>
        <w:bidi w:val="0"/>
        <w:jc w:val="center"/>
        <w:rPr>
          <w:rFonts w:hint="eastAsia" w:ascii="仿宋" w:hAnsi="仿宋" w:eastAsia="仿宋" w:cs="仿宋"/>
          <w:color w:val="auto"/>
          <w:highlight w:val="none"/>
        </w:rPr>
      </w:pPr>
      <w:bookmarkStart w:id="39" w:name="_Toc31304"/>
      <w:r>
        <w:rPr>
          <w:rFonts w:hint="eastAsia" w:ascii="仿宋" w:hAnsi="仿宋" w:eastAsia="仿宋" w:cs="仿宋"/>
          <w:color w:val="auto"/>
          <w:highlight w:val="none"/>
        </w:rPr>
        <w:t xml:space="preserve">第二章  </w:t>
      </w:r>
      <w:r>
        <w:rPr>
          <w:rFonts w:hint="eastAsia" w:ascii="仿宋" w:hAnsi="仿宋" w:eastAsia="仿宋" w:cs="仿宋"/>
          <w:color w:val="auto"/>
          <w:highlight w:val="none"/>
          <w:lang w:val="en-US" w:eastAsia="zh-CN"/>
        </w:rPr>
        <w:t>供应商</w:t>
      </w:r>
      <w:r>
        <w:rPr>
          <w:rFonts w:hint="eastAsia" w:ascii="仿宋" w:hAnsi="仿宋" w:eastAsia="仿宋" w:cs="仿宋"/>
          <w:color w:val="auto"/>
          <w:highlight w:val="none"/>
        </w:rPr>
        <w:t>须知</w:t>
      </w:r>
      <w:bookmarkEnd w:id="36"/>
      <w:bookmarkEnd w:id="37"/>
      <w:bookmarkEnd w:id="38"/>
      <w:bookmarkEnd w:id="39"/>
    </w:p>
    <w:p w14:paraId="15D0AFAA">
      <w:pPr>
        <w:spacing w:line="360" w:lineRule="auto"/>
        <w:jc w:val="center"/>
        <w:outlineLvl w:val="9"/>
        <w:rPr>
          <w:rFonts w:hint="eastAsia" w:ascii="仿宋" w:hAnsi="仿宋" w:eastAsia="仿宋" w:cs="仿宋"/>
          <w:b/>
          <w:color w:val="auto"/>
          <w:sz w:val="28"/>
          <w:highlight w:val="none"/>
        </w:rPr>
      </w:pPr>
      <w:bookmarkStart w:id="40" w:name="_Toc517963430"/>
      <w:bookmarkStart w:id="41" w:name="_Toc4217"/>
      <w:r>
        <w:rPr>
          <w:rFonts w:hint="eastAsia" w:ascii="仿宋" w:hAnsi="仿宋" w:eastAsia="仿宋" w:cs="仿宋"/>
          <w:b/>
          <w:color w:val="auto"/>
          <w:sz w:val="28"/>
          <w:highlight w:val="none"/>
          <w:lang w:eastAsia="zh-CN"/>
        </w:rPr>
        <w:t>供应商</w:t>
      </w:r>
      <w:r>
        <w:rPr>
          <w:rFonts w:hint="eastAsia" w:ascii="仿宋" w:hAnsi="仿宋" w:eastAsia="仿宋" w:cs="仿宋"/>
          <w:b/>
          <w:color w:val="auto"/>
          <w:sz w:val="28"/>
          <w:highlight w:val="none"/>
          <w:lang w:bidi="zh-CN"/>
        </w:rPr>
        <w:t>须知</w:t>
      </w:r>
      <w:r>
        <w:rPr>
          <w:rFonts w:hint="eastAsia" w:ascii="仿宋" w:hAnsi="仿宋" w:eastAsia="仿宋" w:cs="仿宋"/>
          <w:b/>
          <w:color w:val="auto"/>
          <w:sz w:val="28"/>
          <w:highlight w:val="none"/>
        </w:rPr>
        <w:t>前</w:t>
      </w:r>
      <w:bookmarkEnd w:id="40"/>
      <w:r>
        <w:rPr>
          <w:rFonts w:hint="eastAsia" w:ascii="仿宋" w:hAnsi="仿宋" w:eastAsia="仿宋" w:cs="仿宋"/>
          <w:b/>
          <w:color w:val="auto"/>
          <w:sz w:val="28"/>
          <w:highlight w:val="none"/>
        </w:rPr>
        <w:t>附表</w:t>
      </w:r>
      <w:bookmarkEnd w:id="41"/>
    </w:p>
    <w:tbl>
      <w:tblPr>
        <w:tblStyle w:val="35"/>
        <w:tblW w:w="97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5"/>
        <w:gridCol w:w="1695"/>
        <w:gridCol w:w="7275"/>
      </w:tblGrid>
      <w:tr w14:paraId="2195D7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jc w:val="center"/>
        </w:trPr>
        <w:tc>
          <w:tcPr>
            <w:tcW w:w="825" w:type="dxa"/>
            <w:noWrap w:val="0"/>
            <w:vAlign w:val="center"/>
          </w:tcPr>
          <w:p w14:paraId="43DE6779">
            <w:pPr>
              <w:spacing w:after="0"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条款号</w:t>
            </w:r>
          </w:p>
        </w:tc>
        <w:tc>
          <w:tcPr>
            <w:tcW w:w="1695" w:type="dxa"/>
            <w:noWrap w:val="0"/>
            <w:vAlign w:val="center"/>
          </w:tcPr>
          <w:p w14:paraId="72D4A925">
            <w:pPr>
              <w:spacing w:after="0"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条 款 名 称</w:t>
            </w:r>
          </w:p>
        </w:tc>
        <w:tc>
          <w:tcPr>
            <w:tcW w:w="7275" w:type="dxa"/>
            <w:noWrap w:val="0"/>
            <w:vAlign w:val="top"/>
          </w:tcPr>
          <w:p w14:paraId="732D9B5C">
            <w:pPr>
              <w:spacing w:after="0" w:line="360" w:lineRule="auto"/>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编 列 内 容</w:t>
            </w:r>
          </w:p>
        </w:tc>
      </w:tr>
      <w:tr w14:paraId="20C6E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7" w:hRule="atLeast"/>
          <w:jc w:val="center"/>
        </w:trPr>
        <w:tc>
          <w:tcPr>
            <w:tcW w:w="825" w:type="dxa"/>
            <w:noWrap w:val="0"/>
            <w:vAlign w:val="center"/>
          </w:tcPr>
          <w:p w14:paraId="65D6366C">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695" w:type="dxa"/>
            <w:noWrap w:val="0"/>
            <w:vAlign w:val="center"/>
          </w:tcPr>
          <w:p w14:paraId="46F8ECF9">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w:t>
            </w:r>
          </w:p>
        </w:tc>
        <w:tc>
          <w:tcPr>
            <w:tcW w:w="7275" w:type="dxa"/>
            <w:noWrap w:val="0"/>
            <w:vAlign w:val="center"/>
          </w:tcPr>
          <w:p w14:paraId="33769981">
            <w:pPr>
              <w:spacing w:after="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名  称：富宁县人民医院</w:t>
            </w:r>
          </w:p>
          <w:p w14:paraId="677B53DC">
            <w:pPr>
              <w:spacing w:after="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地  址：云南省文山州富宁县新华镇玉泉路45号</w:t>
            </w:r>
          </w:p>
          <w:p w14:paraId="46748B2D">
            <w:pPr>
              <w:spacing w:after="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联系人：林有新</w:t>
            </w:r>
          </w:p>
          <w:p w14:paraId="109A35D1">
            <w:pPr>
              <w:spacing w:after="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联系电话：18087669603</w:t>
            </w:r>
          </w:p>
        </w:tc>
      </w:tr>
      <w:tr w14:paraId="4931C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8" w:hRule="atLeast"/>
          <w:jc w:val="center"/>
        </w:trPr>
        <w:tc>
          <w:tcPr>
            <w:tcW w:w="825" w:type="dxa"/>
            <w:noWrap w:val="0"/>
            <w:vAlign w:val="center"/>
          </w:tcPr>
          <w:p w14:paraId="260D0863">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1695" w:type="dxa"/>
            <w:noWrap w:val="0"/>
            <w:vAlign w:val="center"/>
          </w:tcPr>
          <w:p w14:paraId="2163407A">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采购代理机构</w:t>
            </w:r>
          </w:p>
        </w:tc>
        <w:tc>
          <w:tcPr>
            <w:tcW w:w="7275" w:type="dxa"/>
            <w:noWrap w:val="0"/>
            <w:vAlign w:val="top"/>
          </w:tcPr>
          <w:p w14:paraId="6E5A9211">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名称：云南方圆工程咨询有限公司</w:t>
            </w:r>
          </w:p>
          <w:p w14:paraId="458DC878">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地址：云南省文山壮族苗族自治州文山市卧龙街道大以古社区凤凰时代F1-25号商铺</w:t>
            </w:r>
          </w:p>
          <w:p w14:paraId="569C881E">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联系人：赵春艳</w:t>
            </w:r>
          </w:p>
          <w:p w14:paraId="7BA7A7F1">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联系方式：0876-8841989</w:t>
            </w:r>
          </w:p>
        </w:tc>
      </w:tr>
      <w:tr w14:paraId="54ABF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jc w:val="center"/>
        </w:trPr>
        <w:tc>
          <w:tcPr>
            <w:tcW w:w="825" w:type="dxa"/>
            <w:noWrap w:val="0"/>
            <w:vAlign w:val="center"/>
          </w:tcPr>
          <w:p w14:paraId="1CF728A5">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1695" w:type="dxa"/>
            <w:noWrap w:val="0"/>
            <w:vAlign w:val="center"/>
          </w:tcPr>
          <w:p w14:paraId="168DA487">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项目编号</w:t>
            </w:r>
          </w:p>
        </w:tc>
        <w:tc>
          <w:tcPr>
            <w:tcW w:w="7275" w:type="dxa"/>
            <w:noWrap w:val="0"/>
            <w:vAlign w:val="center"/>
          </w:tcPr>
          <w:p w14:paraId="4E8F7812">
            <w:pPr>
              <w:spacing w:after="0" w:line="360" w:lineRule="auto"/>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 WSZC2026-C3-00995-YNFY-0112</w:t>
            </w:r>
          </w:p>
        </w:tc>
      </w:tr>
      <w:tr w14:paraId="3BD65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jc w:val="center"/>
        </w:trPr>
        <w:tc>
          <w:tcPr>
            <w:tcW w:w="825" w:type="dxa"/>
            <w:noWrap w:val="0"/>
            <w:vAlign w:val="center"/>
          </w:tcPr>
          <w:p w14:paraId="1AEBD487">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1695" w:type="dxa"/>
            <w:noWrap w:val="0"/>
            <w:vAlign w:val="center"/>
          </w:tcPr>
          <w:p w14:paraId="3A2116FD">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项目名称</w:t>
            </w:r>
          </w:p>
        </w:tc>
        <w:tc>
          <w:tcPr>
            <w:tcW w:w="7275" w:type="dxa"/>
            <w:noWrap w:val="0"/>
            <w:vAlign w:val="center"/>
          </w:tcPr>
          <w:p w14:paraId="080CABF7">
            <w:pPr>
              <w:spacing w:after="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富宁县人民医院提标扩能项目监理服务采购项目</w:t>
            </w:r>
          </w:p>
        </w:tc>
      </w:tr>
      <w:tr w14:paraId="3F9C8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 w:hRule="atLeast"/>
          <w:jc w:val="center"/>
        </w:trPr>
        <w:tc>
          <w:tcPr>
            <w:tcW w:w="825" w:type="dxa"/>
            <w:noWrap w:val="0"/>
            <w:vAlign w:val="center"/>
          </w:tcPr>
          <w:p w14:paraId="300260F4">
            <w:pPr>
              <w:spacing w:after="0"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w:t>
            </w:r>
          </w:p>
        </w:tc>
        <w:tc>
          <w:tcPr>
            <w:tcW w:w="1695" w:type="dxa"/>
            <w:noWrap w:val="0"/>
            <w:vAlign w:val="center"/>
          </w:tcPr>
          <w:p w14:paraId="2832914D">
            <w:pPr>
              <w:spacing w:after="0"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资金来源</w:t>
            </w:r>
          </w:p>
        </w:tc>
        <w:tc>
          <w:tcPr>
            <w:tcW w:w="7275" w:type="dxa"/>
            <w:noWrap w:val="0"/>
            <w:vAlign w:val="center"/>
          </w:tcPr>
          <w:p w14:paraId="4A86E5B4">
            <w:pPr>
              <w:spacing w:after="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自筹资金</w:t>
            </w:r>
          </w:p>
        </w:tc>
      </w:tr>
      <w:tr w14:paraId="20B38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jc w:val="center"/>
        </w:trPr>
        <w:tc>
          <w:tcPr>
            <w:tcW w:w="825" w:type="dxa"/>
            <w:noWrap w:val="0"/>
            <w:vAlign w:val="center"/>
          </w:tcPr>
          <w:p w14:paraId="52DD04F2">
            <w:pPr>
              <w:spacing w:after="0"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w:t>
            </w:r>
          </w:p>
        </w:tc>
        <w:tc>
          <w:tcPr>
            <w:tcW w:w="1695" w:type="dxa"/>
            <w:noWrap w:val="0"/>
            <w:vAlign w:val="center"/>
          </w:tcPr>
          <w:p w14:paraId="23985EAD">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采购需求</w:t>
            </w:r>
          </w:p>
        </w:tc>
        <w:tc>
          <w:tcPr>
            <w:tcW w:w="7275" w:type="dxa"/>
            <w:noWrap w:val="0"/>
            <w:vAlign w:val="center"/>
          </w:tcPr>
          <w:p w14:paraId="2C0552A1">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u w:val="none"/>
                <w:lang w:val="en-US" w:eastAsia="zh-CN"/>
              </w:rPr>
              <w:t>富宁县人民医院提标扩能建设项目施工准备阶段、施工阶段和保修阶段（包括缺陷责任期内）的全过程监理服务（监理服务期具体为自监理合同签订之日起至缺陷责任期满止，工程延期监理费用不调整），包括但不限于工程项目的全部施工、竣工合格、验收移交、缺陷责任期满为止的全过程监理服务。建设工程项目施工阶段的质量、进度、费用控制管理和安全、合同、信息等方面协调管理服务（包括对业主委托的工程质量检测单位检测方案、检测内容、检测费用的审核）。（具体详见第五章 项目需求）</w:t>
            </w:r>
          </w:p>
        </w:tc>
      </w:tr>
      <w:tr w14:paraId="33FA4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7" w:hRule="atLeast"/>
          <w:jc w:val="center"/>
        </w:trPr>
        <w:tc>
          <w:tcPr>
            <w:tcW w:w="825" w:type="dxa"/>
            <w:noWrap w:val="0"/>
            <w:vAlign w:val="center"/>
          </w:tcPr>
          <w:p w14:paraId="7F75A210">
            <w:pPr>
              <w:spacing w:after="0"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7</w:t>
            </w:r>
          </w:p>
        </w:tc>
        <w:tc>
          <w:tcPr>
            <w:tcW w:w="1695" w:type="dxa"/>
            <w:noWrap w:val="0"/>
            <w:vAlign w:val="center"/>
          </w:tcPr>
          <w:p w14:paraId="46E11D29">
            <w:pPr>
              <w:spacing w:after="0"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合同履行期限</w:t>
            </w:r>
          </w:p>
        </w:tc>
        <w:tc>
          <w:tcPr>
            <w:tcW w:w="7275" w:type="dxa"/>
            <w:noWrap w:val="0"/>
            <w:vAlign w:val="center"/>
          </w:tcPr>
          <w:p w14:paraId="576FF652">
            <w:pPr>
              <w:spacing w:after="0" w:line="360" w:lineRule="auto"/>
              <w:jc w:val="both"/>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730日历天（按采购人总体建设计划及施工合同约定工期执行）。</w:t>
            </w:r>
          </w:p>
        </w:tc>
      </w:tr>
      <w:tr w14:paraId="20D1D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jc w:val="center"/>
        </w:trPr>
        <w:tc>
          <w:tcPr>
            <w:tcW w:w="825" w:type="dxa"/>
            <w:noWrap w:val="0"/>
            <w:vAlign w:val="center"/>
          </w:tcPr>
          <w:p w14:paraId="788F1400">
            <w:pPr>
              <w:spacing w:after="0"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8</w:t>
            </w:r>
          </w:p>
        </w:tc>
        <w:tc>
          <w:tcPr>
            <w:tcW w:w="1695" w:type="dxa"/>
            <w:noWrap w:val="0"/>
            <w:vAlign w:val="center"/>
          </w:tcPr>
          <w:p w14:paraId="305E4475">
            <w:pPr>
              <w:spacing w:after="0"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服务标准</w:t>
            </w:r>
          </w:p>
        </w:tc>
        <w:tc>
          <w:tcPr>
            <w:tcW w:w="7275" w:type="dxa"/>
            <w:noWrap w:val="0"/>
            <w:vAlign w:val="center"/>
          </w:tcPr>
          <w:p w14:paraId="71138848">
            <w:pPr>
              <w:pStyle w:val="3"/>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kern w:val="2"/>
                <w:sz w:val="24"/>
                <w:szCs w:val="24"/>
                <w:highlight w:val="none"/>
                <w:u w:val="none"/>
                <w:lang w:val="en-US" w:eastAsia="zh-CN" w:bidi="ar-SA"/>
              </w:rPr>
              <w:t>严格执行《建设工程监理规范》(GB/T50319-2013)、《建设工程质量管理条例》、《建筑工程施工质量验收统一标准》</w:t>
            </w:r>
            <w:r>
              <w:rPr>
                <w:rFonts w:hint="eastAsia" w:ascii="仿宋" w:hAnsi="仿宋" w:eastAsia="仿宋" w:cs="仿宋"/>
                <w:b w:val="0"/>
                <w:bCs w:val="0"/>
                <w:caps w:val="0"/>
                <w:smallCaps w:val="0"/>
                <w:color w:val="auto"/>
                <w:spacing w:val="0"/>
                <w:kern w:val="0"/>
                <w:sz w:val="24"/>
                <w:szCs w:val="24"/>
                <w:highlight w:val="none"/>
                <w:lang w:val="en-US" w:eastAsia="zh-CN" w:bidi="ar-SA"/>
              </w:rPr>
              <w:t>（GB 50300-2013）</w:t>
            </w:r>
            <w:r>
              <w:rPr>
                <w:rFonts w:hint="eastAsia" w:ascii="仿宋" w:hAnsi="仿宋" w:eastAsia="仿宋" w:cs="仿宋"/>
                <w:b w:val="0"/>
                <w:bCs w:val="0"/>
                <w:color w:val="auto"/>
                <w:kern w:val="2"/>
                <w:sz w:val="24"/>
                <w:szCs w:val="24"/>
                <w:highlight w:val="none"/>
                <w:u w:val="none"/>
                <w:lang w:val="en-US" w:eastAsia="zh-CN" w:bidi="ar-SA"/>
              </w:rPr>
              <w:t>、《综合医院建筑设计标准》和国家现行工程建设强制性标准，符合国家、相关行业现行的有关规范及标准，认真、全面履行《监理合同》及监理服务承诺。</w:t>
            </w:r>
          </w:p>
        </w:tc>
      </w:tr>
      <w:tr w14:paraId="0837E6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5" w:hRule="atLeast"/>
          <w:jc w:val="center"/>
        </w:trPr>
        <w:tc>
          <w:tcPr>
            <w:tcW w:w="825" w:type="dxa"/>
            <w:noWrap w:val="0"/>
            <w:vAlign w:val="center"/>
          </w:tcPr>
          <w:p w14:paraId="666A35B7">
            <w:pPr>
              <w:spacing w:after="0"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9</w:t>
            </w:r>
          </w:p>
        </w:tc>
        <w:tc>
          <w:tcPr>
            <w:tcW w:w="1695" w:type="dxa"/>
            <w:noWrap w:val="0"/>
            <w:vAlign w:val="center"/>
          </w:tcPr>
          <w:p w14:paraId="6CE7EDA0">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资质条件、能力和信誉</w:t>
            </w:r>
          </w:p>
        </w:tc>
        <w:tc>
          <w:tcPr>
            <w:tcW w:w="7275" w:type="dxa"/>
            <w:noWrap w:val="0"/>
            <w:vAlign w:val="center"/>
          </w:tcPr>
          <w:p w14:paraId="53C85476">
            <w:pPr>
              <w:spacing w:after="0" w:line="360" w:lineRule="auto"/>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 第一章 竞争性磋商公告“二、供应商的资格要求：”</w:t>
            </w:r>
          </w:p>
        </w:tc>
      </w:tr>
      <w:tr w14:paraId="2E74B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25" w:type="dxa"/>
            <w:noWrap w:val="0"/>
            <w:vAlign w:val="center"/>
          </w:tcPr>
          <w:p w14:paraId="43D0B48E">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1695" w:type="dxa"/>
            <w:noWrap w:val="0"/>
            <w:vAlign w:val="center"/>
          </w:tcPr>
          <w:p w14:paraId="071AF1FE">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是否接受联合体磋商</w:t>
            </w:r>
          </w:p>
        </w:tc>
        <w:tc>
          <w:tcPr>
            <w:tcW w:w="7275" w:type="dxa"/>
            <w:noWrap w:val="0"/>
            <w:vAlign w:val="center"/>
          </w:tcPr>
          <w:p w14:paraId="227FAD44">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 不接受</w:t>
            </w:r>
          </w:p>
          <w:p w14:paraId="0BFC286D">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本项目接受联合体磋商</w:t>
            </w:r>
          </w:p>
        </w:tc>
      </w:tr>
      <w:tr w14:paraId="5B560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25" w:type="dxa"/>
            <w:noWrap w:val="0"/>
            <w:vAlign w:val="center"/>
          </w:tcPr>
          <w:p w14:paraId="7AC6D6A3">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1695" w:type="dxa"/>
            <w:noWrap w:val="0"/>
            <w:vAlign w:val="center"/>
          </w:tcPr>
          <w:p w14:paraId="04463D32">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费用承担</w:t>
            </w:r>
          </w:p>
        </w:tc>
        <w:tc>
          <w:tcPr>
            <w:tcW w:w="7275" w:type="dxa"/>
            <w:noWrap w:val="0"/>
            <w:vAlign w:val="center"/>
          </w:tcPr>
          <w:p w14:paraId="736AA0B8">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 xml:space="preserve">准备和参加投标活动发生的费用自理； </w:t>
            </w:r>
          </w:p>
          <w:p w14:paraId="4CC2A460">
            <w:pPr>
              <w:spacing w:after="0" w:line="360" w:lineRule="auto"/>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2.本项目委托代理服务费参照《云南省建设工程招标代理服务收费参考意见》（云建招协〔2024〕58号文）计算后下浮</w:t>
            </w:r>
            <w:r>
              <w:rPr>
                <w:rFonts w:hint="eastAsia" w:ascii="仿宋" w:hAnsi="仿宋" w:eastAsia="仿宋" w:cs="仿宋"/>
                <w:b w:val="0"/>
                <w:bCs w:val="0"/>
                <w:color w:val="auto"/>
                <w:sz w:val="24"/>
                <w:szCs w:val="24"/>
                <w:highlight w:val="none"/>
                <w:lang w:val="en-US" w:eastAsia="zh-CN"/>
              </w:rPr>
              <w:t>30%收取</w:t>
            </w:r>
            <w:r>
              <w:rPr>
                <w:rFonts w:hint="eastAsia" w:ascii="仿宋" w:hAnsi="仿宋" w:eastAsia="仿宋" w:cs="仿宋"/>
                <w:b/>
                <w:bCs/>
                <w:color w:val="auto"/>
                <w:sz w:val="24"/>
                <w:szCs w:val="24"/>
                <w:highlight w:val="none"/>
                <w:lang w:val="en-US" w:eastAsia="zh-CN"/>
              </w:rPr>
              <w:t>8500.00元（大写：捌仟伍佰元整）</w:t>
            </w:r>
            <w:r>
              <w:rPr>
                <w:rFonts w:hint="eastAsia" w:ascii="仿宋" w:hAnsi="仿宋" w:eastAsia="仿宋" w:cs="仿宋"/>
                <w:color w:val="auto"/>
                <w:sz w:val="24"/>
                <w:szCs w:val="24"/>
                <w:highlight w:val="none"/>
                <w:lang w:val="en-US" w:eastAsia="zh-CN"/>
              </w:rPr>
              <w:t>，由成交供应商在领取成交通知书一次性支付。</w:t>
            </w:r>
          </w:p>
        </w:tc>
      </w:tr>
      <w:tr w14:paraId="52A96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jc w:val="center"/>
        </w:trPr>
        <w:tc>
          <w:tcPr>
            <w:tcW w:w="825" w:type="dxa"/>
            <w:tcBorders>
              <w:top w:val="single" w:color="auto" w:sz="4" w:space="0"/>
            </w:tcBorders>
            <w:noWrap w:val="0"/>
            <w:vAlign w:val="center"/>
          </w:tcPr>
          <w:p w14:paraId="5FE9FD85">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1695" w:type="dxa"/>
            <w:tcBorders>
              <w:top w:val="single" w:color="auto" w:sz="4" w:space="0"/>
            </w:tcBorders>
            <w:noWrap w:val="0"/>
            <w:vAlign w:val="center"/>
          </w:tcPr>
          <w:p w14:paraId="4AD7B992">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踏勘现场</w:t>
            </w:r>
          </w:p>
        </w:tc>
        <w:tc>
          <w:tcPr>
            <w:tcW w:w="7275" w:type="dxa"/>
            <w:tcBorders>
              <w:top w:val="single" w:color="auto" w:sz="4" w:space="0"/>
            </w:tcBorders>
            <w:noWrap w:val="0"/>
            <w:vAlign w:val="top"/>
          </w:tcPr>
          <w:p w14:paraId="5770D94E">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不统一组织，自行踏勘</w:t>
            </w:r>
          </w:p>
          <w:p w14:paraId="60613B5D">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组织，组织集体踏勘。</w:t>
            </w:r>
          </w:p>
        </w:tc>
      </w:tr>
      <w:tr w14:paraId="32C9F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25" w:type="dxa"/>
            <w:noWrap w:val="0"/>
            <w:vAlign w:val="center"/>
          </w:tcPr>
          <w:p w14:paraId="57540510">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1695" w:type="dxa"/>
            <w:noWrap w:val="0"/>
            <w:vAlign w:val="center"/>
          </w:tcPr>
          <w:p w14:paraId="77CF6855">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磋商预备会</w:t>
            </w:r>
          </w:p>
        </w:tc>
        <w:tc>
          <w:tcPr>
            <w:tcW w:w="7275" w:type="dxa"/>
            <w:noWrap w:val="0"/>
            <w:vAlign w:val="top"/>
          </w:tcPr>
          <w:p w14:paraId="4E348743">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 不召开</w:t>
            </w:r>
          </w:p>
          <w:p w14:paraId="60CC34B5">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召开</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召开时间：        召开地点：        </w:t>
            </w:r>
          </w:p>
        </w:tc>
      </w:tr>
      <w:tr w14:paraId="03FA8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jc w:val="center"/>
        </w:trPr>
        <w:tc>
          <w:tcPr>
            <w:tcW w:w="825" w:type="dxa"/>
            <w:noWrap w:val="0"/>
            <w:vAlign w:val="center"/>
          </w:tcPr>
          <w:p w14:paraId="46787FC2">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1695" w:type="dxa"/>
            <w:noWrap w:val="0"/>
            <w:vAlign w:val="center"/>
          </w:tcPr>
          <w:p w14:paraId="6B47B7C2">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申请人提出问题的截止时间</w:t>
            </w:r>
          </w:p>
        </w:tc>
        <w:tc>
          <w:tcPr>
            <w:tcW w:w="7275" w:type="dxa"/>
            <w:noWrap w:val="0"/>
            <w:vAlign w:val="center"/>
          </w:tcPr>
          <w:p w14:paraId="09AECD19">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磋商截止日前 5天</w:t>
            </w:r>
          </w:p>
        </w:tc>
      </w:tr>
      <w:tr w14:paraId="0E1929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jc w:val="center"/>
        </w:trPr>
        <w:tc>
          <w:tcPr>
            <w:tcW w:w="825" w:type="dxa"/>
            <w:noWrap w:val="0"/>
            <w:vAlign w:val="center"/>
          </w:tcPr>
          <w:p w14:paraId="7638534C">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1695" w:type="dxa"/>
            <w:noWrap w:val="0"/>
            <w:vAlign w:val="center"/>
          </w:tcPr>
          <w:p w14:paraId="1446A33F">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采购人书面                   澄清的时间</w:t>
            </w:r>
          </w:p>
        </w:tc>
        <w:tc>
          <w:tcPr>
            <w:tcW w:w="7275" w:type="dxa"/>
            <w:noWrap w:val="0"/>
            <w:vAlign w:val="center"/>
          </w:tcPr>
          <w:p w14:paraId="2A4B6004">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磋商截止日前 5天</w:t>
            </w:r>
          </w:p>
        </w:tc>
      </w:tr>
      <w:tr w14:paraId="66651D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jc w:val="center"/>
        </w:trPr>
        <w:tc>
          <w:tcPr>
            <w:tcW w:w="825" w:type="dxa"/>
            <w:noWrap w:val="0"/>
            <w:vAlign w:val="center"/>
          </w:tcPr>
          <w:p w14:paraId="3D86A35A">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1695" w:type="dxa"/>
            <w:noWrap w:val="0"/>
            <w:vAlign w:val="center"/>
          </w:tcPr>
          <w:p w14:paraId="112A0D21">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构成采购文件               的其他材料</w:t>
            </w:r>
          </w:p>
        </w:tc>
        <w:tc>
          <w:tcPr>
            <w:tcW w:w="7275" w:type="dxa"/>
            <w:noWrap w:val="0"/>
            <w:vAlign w:val="center"/>
          </w:tcPr>
          <w:p w14:paraId="73C66D0F">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本项目</w:t>
            </w:r>
            <w:r>
              <w:rPr>
                <w:rFonts w:hint="eastAsia" w:ascii="仿宋" w:hAnsi="仿宋" w:eastAsia="仿宋" w:cs="仿宋"/>
                <w:color w:val="auto"/>
                <w:sz w:val="24"/>
                <w:szCs w:val="24"/>
                <w:highlight w:val="none"/>
              </w:rPr>
              <w:t>补充通知、澄清文件、答疑文件等资料（若有）</w:t>
            </w:r>
          </w:p>
        </w:tc>
      </w:tr>
      <w:tr w14:paraId="795FA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25" w:type="dxa"/>
            <w:noWrap w:val="0"/>
            <w:vAlign w:val="center"/>
          </w:tcPr>
          <w:p w14:paraId="64456C1B">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w:t>
            </w:r>
          </w:p>
        </w:tc>
        <w:tc>
          <w:tcPr>
            <w:tcW w:w="1695" w:type="dxa"/>
            <w:noWrap w:val="0"/>
            <w:vAlign w:val="center"/>
          </w:tcPr>
          <w:p w14:paraId="3E14BB0F">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要求澄清     采购文件的截止时间</w:t>
            </w:r>
          </w:p>
        </w:tc>
        <w:tc>
          <w:tcPr>
            <w:tcW w:w="7275" w:type="dxa"/>
            <w:noWrap w:val="0"/>
            <w:vAlign w:val="center"/>
          </w:tcPr>
          <w:p w14:paraId="7D52DB32">
            <w:pPr>
              <w:spacing w:after="0" w:line="360" w:lineRule="auto"/>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rPr>
              <w:t>磋商截止时间 5天前</w:t>
            </w:r>
            <w:r>
              <w:rPr>
                <w:rFonts w:hint="eastAsia" w:ascii="仿宋" w:hAnsi="仿宋" w:eastAsia="仿宋" w:cs="仿宋"/>
                <w:color w:val="auto"/>
                <w:sz w:val="24"/>
                <w:szCs w:val="24"/>
                <w:highlight w:val="none"/>
                <w:lang w:eastAsia="zh-CN"/>
              </w:rPr>
              <w:t>，澄清或者修改的内容可能影响响应文件编制的，采购人应当在响应文件递交截止时间至少</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日前，以</w:t>
            </w:r>
            <w:r>
              <w:rPr>
                <w:rFonts w:hint="eastAsia" w:ascii="仿宋" w:hAnsi="仿宋" w:eastAsia="仿宋" w:cs="仿宋"/>
                <w:color w:val="auto"/>
                <w:sz w:val="24"/>
                <w:szCs w:val="24"/>
                <w:highlight w:val="none"/>
                <w:lang w:val="en-US" w:eastAsia="zh-CN"/>
              </w:rPr>
              <w:t>网络</w:t>
            </w:r>
            <w:r>
              <w:rPr>
                <w:rFonts w:hint="eastAsia" w:ascii="仿宋" w:hAnsi="仿宋" w:eastAsia="仿宋" w:cs="仿宋"/>
                <w:color w:val="auto"/>
                <w:sz w:val="24"/>
                <w:szCs w:val="24"/>
                <w:highlight w:val="none"/>
                <w:lang w:eastAsia="zh-CN"/>
              </w:rPr>
              <w:t>形式通知所有获取磋商文件的</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lang w:eastAsia="zh-CN"/>
              </w:rPr>
              <w:t>；不足</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日的，采购人应当顺延提交响应文件的截止时间</w:t>
            </w:r>
            <w:r>
              <w:rPr>
                <w:rFonts w:hint="eastAsia" w:ascii="仿宋" w:hAnsi="仿宋" w:eastAsia="仿宋" w:cs="仿宋"/>
                <w:color w:val="auto"/>
                <w:sz w:val="24"/>
                <w:szCs w:val="24"/>
                <w:highlight w:val="none"/>
                <w:lang w:val="zh-CN" w:eastAsia="zh-CN"/>
              </w:rPr>
              <w:t>，以保证</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lang w:val="zh-CN" w:eastAsia="zh-CN"/>
              </w:rPr>
              <w:t>有合理的时间修编</w:t>
            </w:r>
            <w:r>
              <w:rPr>
                <w:rFonts w:hint="eastAsia" w:ascii="仿宋" w:hAnsi="仿宋" w:eastAsia="仿宋" w:cs="仿宋"/>
                <w:color w:val="auto"/>
                <w:sz w:val="24"/>
                <w:szCs w:val="24"/>
                <w:highlight w:val="none"/>
                <w:lang w:eastAsia="zh-CN"/>
              </w:rPr>
              <w:t>响应文件</w:t>
            </w:r>
            <w:r>
              <w:rPr>
                <w:rFonts w:hint="eastAsia" w:ascii="仿宋" w:hAnsi="仿宋" w:eastAsia="仿宋" w:cs="仿宋"/>
                <w:color w:val="auto"/>
                <w:sz w:val="24"/>
                <w:szCs w:val="24"/>
                <w:highlight w:val="none"/>
                <w:lang w:val="zh-CN" w:eastAsia="zh-CN"/>
              </w:rPr>
              <w:t>。</w:t>
            </w:r>
          </w:p>
          <w:p w14:paraId="7DA1141A">
            <w:pPr>
              <w:spacing w:after="0"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zh-CN" w:eastAsia="zh-CN"/>
              </w:rPr>
              <w:t>磋商文件的澄清、修改和答疑等内容均应以</w:t>
            </w:r>
            <w:r>
              <w:rPr>
                <w:rFonts w:hint="eastAsia" w:ascii="仿宋" w:hAnsi="仿宋" w:eastAsia="仿宋" w:cs="仿宋"/>
                <w:color w:val="auto"/>
                <w:sz w:val="24"/>
                <w:szCs w:val="24"/>
                <w:highlight w:val="none"/>
                <w:lang w:val="en-US" w:eastAsia="zh-CN"/>
              </w:rPr>
              <w:t>网络</w:t>
            </w:r>
            <w:r>
              <w:rPr>
                <w:rFonts w:hint="eastAsia" w:ascii="仿宋" w:hAnsi="仿宋" w:eastAsia="仿宋" w:cs="仿宋"/>
                <w:color w:val="auto"/>
                <w:sz w:val="24"/>
                <w:szCs w:val="24"/>
                <w:highlight w:val="none"/>
                <w:lang w:val="zh-CN" w:eastAsia="zh-CN"/>
              </w:rPr>
              <w:t>形式明确的内容为准，并作为磋商文件的组成部分，</w:t>
            </w:r>
            <w:r>
              <w:rPr>
                <w:rFonts w:hint="eastAsia" w:ascii="仿宋" w:hAnsi="仿宋" w:eastAsia="仿宋" w:cs="仿宋"/>
                <w:color w:val="auto"/>
                <w:sz w:val="24"/>
                <w:szCs w:val="24"/>
                <w:highlight w:val="none"/>
                <w:lang w:eastAsia="zh-CN"/>
              </w:rPr>
              <w:t>采购</w:t>
            </w:r>
            <w:r>
              <w:rPr>
                <w:rFonts w:hint="eastAsia" w:ascii="仿宋" w:hAnsi="仿宋" w:eastAsia="仿宋" w:cs="仿宋"/>
                <w:color w:val="auto"/>
                <w:sz w:val="24"/>
                <w:szCs w:val="24"/>
                <w:highlight w:val="none"/>
                <w:lang w:val="zh-CN" w:eastAsia="zh-CN"/>
              </w:rPr>
              <w:t>人对本磋商文件的修改、澄清和答疑等内容与磋商文件具有同等法律效应。</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lang w:val="zh-CN" w:eastAsia="zh-CN"/>
              </w:rPr>
              <w:t>在收到澄清、修改和答疑后</w:t>
            </w:r>
            <w:r>
              <w:rPr>
                <w:rFonts w:hint="eastAsia" w:ascii="仿宋" w:hAnsi="仿宋" w:eastAsia="仿宋" w:cs="仿宋"/>
                <w:color w:val="auto"/>
                <w:sz w:val="24"/>
                <w:szCs w:val="24"/>
                <w:highlight w:val="none"/>
                <w:lang w:val="en-US" w:eastAsia="zh-CN"/>
              </w:rPr>
              <w:t>自行登录“政采云平台”收取澄清、修改和答疑内容，无须回复。</w:t>
            </w:r>
          </w:p>
        </w:tc>
      </w:tr>
      <w:tr w14:paraId="70BF3F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7" w:hRule="atLeast"/>
          <w:jc w:val="center"/>
        </w:trPr>
        <w:tc>
          <w:tcPr>
            <w:tcW w:w="825" w:type="dxa"/>
            <w:noWrap w:val="0"/>
            <w:vAlign w:val="center"/>
          </w:tcPr>
          <w:p w14:paraId="4C896AED">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w:t>
            </w:r>
          </w:p>
        </w:tc>
        <w:tc>
          <w:tcPr>
            <w:tcW w:w="1695" w:type="dxa"/>
            <w:noWrap w:val="0"/>
            <w:vAlign w:val="center"/>
          </w:tcPr>
          <w:p w14:paraId="5A3A5574">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磋商截止时间</w:t>
            </w:r>
          </w:p>
        </w:tc>
        <w:tc>
          <w:tcPr>
            <w:tcW w:w="7275" w:type="dxa"/>
            <w:noWrap w:val="0"/>
            <w:vAlign w:val="center"/>
          </w:tcPr>
          <w:p w14:paraId="644E9D64">
            <w:pPr>
              <w:spacing w:after="0" w:line="360" w:lineRule="auto"/>
              <w:rPr>
                <w:rFonts w:hint="eastAsia" w:ascii="仿宋" w:hAnsi="仿宋" w:eastAsia="仿宋" w:cs="仿宋"/>
                <w:color w:val="auto"/>
                <w:sz w:val="24"/>
                <w:szCs w:val="24"/>
                <w:highlight w:val="none"/>
                <w:lang w:eastAsia="zh-CN"/>
              </w:rPr>
            </w:pPr>
            <w:r>
              <w:rPr>
                <w:rFonts w:hint="eastAsia" w:ascii="仿宋" w:hAnsi="仿宋" w:eastAsia="仿宋" w:cs="仿宋"/>
                <w:b/>
                <w:bCs/>
                <w:color w:val="auto"/>
                <w:sz w:val="24"/>
                <w:szCs w:val="24"/>
                <w:highlight w:val="none"/>
                <w:lang w:eastAsia="zh-CN"/>
              </w:rPr>
              <w:t>202</w:t>
            </w:r>
            <w:r>
              <w:rPr>
                <w:rFonts w:hint="eastAsia" w:ascii="仿宋" w:hAnsi="仿宋" w:eastAsia="仿宋" w:cs="仿宋"/>
                <w:b/>
                <w:bCs/>
                <w:color w:val="auto"/>
                <w:sz w:val="24"/>
                <w:szCs w:val="24"/>
                <w:highlight w:val="none"/>
                <w:lang w:val="en-US" w:eastAsia="zh-CN"/>
              </w:rPr>
              <w:t>6</w:t>
            </w:r>
            <w:r>
              <w:rPr>
                <w:rFonts w:hint="eastAsia" w:ascii="仿宋" w:hAnsi="仿宋" w:eastAsia="仿宋" w:cs="仿宋"/>
                <w:b/>
                <w:bCs/>
                <w:color w:val="auto"/>
                <w:sz w:val="24"/>
                <w:szCs w:val="24"/>
                <w:highlight w:val="none"/>
                <w:lang w:eastAsia="zh-CN"/>
              </w:rPr>
              <w:t>年</w:t>
            </w:r>
            <w:r>
              <w:rPr>
                <w:rFonts w:hint="eastAsia" w:ascii="仿宋" w:hAnsi="仿宋" w:eastAsia="仿宋" w:cs="仿宋"/>
                <w:b/>
                <w:bCs/>
                <w:color w:val="auto"/>
                <w:sz w:val="24"/>
                <w:szCs w:val="24"/>
                <w:highlight w:val="none"/>
                <w:lang w:val="en-US" w:eastAsia="zh-CN"/>
              </w:rPr>
              <w:t>9月8日15</w:t>
            </w:r>
            <w:r>
              <w:rPr>
                <w:rFonts w:hint="eastAsia" w:ascii="仿宋" w:hAnsi="仿宋" w:eastAsia="仿宋" w:cs="仿宋"/>
                <w:b/>
                <w:bCs/>
                <w:color w:val="auto"/>
                <w:sz w:val="24"/>
                <w:szCs w:val="24"/>
                <w:highlight w:val="none"/>
                <w:lang w:eastAsia="zh-CN"/>
              </w:rPr>
              <w:t>时00分</w:t>
            </w:r>
            <w:r>
              <w:rPr>
                <w:rFonts w:hint="eastAsia" w:ascii="仿宋" w:hAnsi="仿宋" w:eastAsia="仿宋" w:cs="仿宋"/>
                <w:color w:val="auto"/>
                <w:sz w:val="24"/>
                <w:szCs w:val="24"/>
                <w:highlight w:val="none"/>
                <w:lang w:eastAsia="zh-CN"/>
              </w:rPr>
              <w:t>（北京时间）</w:t>
            </w:r>
          </w:p>
        </w:tc>
      </w:tr>
      <w:tr w14:paraId="16B80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jc w:val="center"/>
        </w:trPr>
        <w:tc>
          <w:tcPr>
            <w:tcW w:w="825" w:type="dxa"/>
            <w:noWrap w:val="0"/>
            <w:vAlign w:val="center"/>
          </w:tcPr>
          <w:p w14:paraId="76C18C50">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w:t>
            </w:r>
          </w:p>
        </w:tc>
        <w:tc>
          <w:tcPr>
            <w:tcW w:w="1695" w:type="dxa"/>
            <w:noWrap w:val="0"/>
            <w:vAlign w:val="center"/>
          </w:tcPr>
          <w:p w14:paraId="56FDF181">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确认收到</w:t>
            </w:r>
            <w:r>
              <w:rPr>
                <w:rFonts w:hint="eastAsia" w:ascii="仿宋" w:hAnsi="仿宋" w:eastAsia="仿宋" w:cs="仿宋"/>
                <w:color w:val="auto"/>
                <w:sz w:val="24"/>
                <w:szCs w:val="24"/>
                <w:highlight w:val="none"/>
                <w:lang w:eastAsia="zh-CN"/>
              </w:rPr>
              <w:t>竞争性磋商</w:t>
            </w:r>
            <w:r>
              <w:rPr>
                <w:rFonts w:hint="eastAsia" w:ascii="仿宋" w:hAnsi="仿宋" w:eastAsia="仿宋" w:cs="仿宋"/>
                <w:color w:val="auto"/>
                <w:sz w:val="24"/>
                <w:szCs w:val="24"/>
                <w:highlight w:val="none"/>
              </w:rPr>
              <w:t>文件澄清的时间</w:t>
            </w:r>
          </w:p>
        </w:tc>
        <w:tc>
          <w:tcPr>
            <w:tcW w:w="7275" w:type="dxa"/>
            <w:noWrap w:val="0"/>
            <w:vAlign w:val="center"/>
          </w:tcPr>
          <w:p w14:paraId="01517E52">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供应商自行登录政采云平台获取澄清，无须回复确认已收到该澄清。</w:t>
            </w:r>
          </w:p>
        </w:tc>
      </w:tr>
      <w:tr w14:paraId="1B726E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 w:hRule="atLeast"/>
          <w:jc w:val="center"/>
        </w:trPr>
        <w:tc>
          <w:tcPr>
            <w:tcW w:w="825" w:type="dxa"/>
            <w:noWrap w:val="0"/>
            <w:vAlign w:val="center"/>
          </w:tcPr>
          <w:p w14:paraId="6C49F947">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1695" w:type="dxa"/>
            <w:noWrap w:val="0"/>
            <w:vAlign w:val="center"/>
          </w:tcPr>
          <w:p w14:paraId="1F821BDC">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确认收到采购文件修改的时间</w:t>
            </w:r>
          </w:p>
        </w:tc>
        <w:tc>
          <w:tcPr>
            <w:tcW w:w="7275" w:type="dxa"/>
            <w:noWrap w:val="0"/>
            <w:vAlign w:val="center"/>
          </w:tcPr>
          <w:p w14:paraId="6D005080">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供应商自行登录政采云平台获取修改，无须回复确认已收到该修改。</w:t>
            </w:r>
          </w:p>
        </w:tc>
      </w:tr>
      <w:tr w14:paraId="12007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jc w:val="center"/>
        </w:trPr>
        <w:tc>
          <w:tcPr>
            <w:tcW w:w="825" w:type="dxa"/>
            <w:noWrap w:val="0"/>
            <w:vAlign w:val="center"/>
          </w:tcPr>
          <w:p w14:paraId="27453DD1">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1695" w:type="dxa"/>
            <w:noWrap w:val="0"/>
            <w:vAlign w:val="center"/>
          </w:tcPr>
          <w:p w14:paraId="602ADBF3">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构成响应文件的其他材料</w:t>
            </w:r>
          </w:p>
        </w:tc>
        <w:tc>
          <w:tcPr>
            <w:tcW w:w="7275" w:type="dxa"/>
            <w:noWrap w:val="0"/>
            <w:vAlign w:val="center"/>
          </w:tcPr>
          <w:p w14:paraId="3159D81E">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采购单位</w:t>
            </w:r>
            <w:r>
              <w:rPr>
                <w:rFonts w:hint="eastAsia" w:ascii="仿宋" w:hAnsi="仿宋" w:eastAsia="仿宋" w:cs="仿宋"/>
                <w:color w:val="auto"/>
                <w:sz w:val="24"/>
                <w:szCs w:val="24"/>
                <w:highlight w:val="none"/>
                <w:lang w:val="en-US" w:eastAsia="zh-CN"/>
              </w:rPr>
              <w:t>或采购代理机构</w:t>
            </w:r>
            <w:r>
              <w:rPr>
                <w:rFonts w:hint="eastAsia" w:ascii="仿宋" w:hAnsi="仿宋" w:eastAsia="仿宋" w:cs="仿宋"/>
                <w:color w:val="auto"/>
                <w:sz w:val="24"/>
                <w:szCs w:val="24"/>
                <w:highlight w:val="none"/>
              </w:rPr>
              <w:t>发出的答疑书、补遗书或通知等。</w:t>
            </w:r>
          </w:p>
        </w:tc>
      </w:tr>
      <w:tr w14:paraId="04B2D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jc w:val="center"/>
        </w:trPr>
        <w:tc>
          <w:tcPr>
            <w:tcW w:w="825" w:type="dxa"/>
            <w:noWrap w:val="0"/>
            <w:vAlign w:val="center"/>
          </w:tcPr>
          <w:p w14:paraId="354A400B">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w:t>
            </w:r>
          </w:p>
        </w:tc>
        <w:tc>
          <w:tcPr>
            <w:tcW w:w="1695" w:type="dxa"/>
            <w:noWrap w:val="0"/>
            <w:vAlign w:val="center"/>
          </w:tcPr>
          <w:p w14:paraId="3F85AF50">
            <w:pPr>
              <w:spacing w:after="0" w:line="360" w:lineRule="auto"/>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采购控制价</w:t>
            </w:r>
          </w:p>
        </w:tc>
        <w:tc>
          <w:tcPr>
            <w:tcW w:w="7275" w:type="dxa"/>
            <w:noWrap w:val="0"/>
            <w:vAlign w:val="center"/>
          </w:tcPr>
          <w:p w14:paraId="4B6733AC">
            <w:pPr>
              <w:spacing w:after="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预算金额：</w:t>
            </w:r>
            <w:r>
              <w:rPr>
                <w:rFonts w:hint="eastAsia" w:ascii="仿宋" w:hAnsi="仿宋" w:eastAsia="仿宋" w:cs="仿宋"/>
                <w:color w:val="auto"/>
                <w:sz w:val="24"/>
                <w:szCs w:val="24"/>
                <w:highlight w:val="none"/>
                <w:lang w:val="en-US" w:eastAsia="zh-CN"/>
              </w:rPr>
              <w:t>81.00万元</w:t>
            </w:r>
          </w:p>
          <w:p w14:paraId="004F6FC1">
            <w:pPr>
              <w:spacing w:after="0"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最高限价：60.00万元</w:t>
            </w:r>
          </w:p>
        </w:tc>
      </w:tr>
      <w:tr w14:paraId="61E55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825" w:type="dxa"/>
            <w:noWrap w:val="0"/>
            <w:vAlign w:val="center"/>
          </w:tcPr>
          <w:p w14:paraId="30844987">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23</w:t>
            </w:r>
          </w:p>
        </w:tc>
        <w:tc>
          <w:tcPr>
            <w:tcW w:w="1695" w:type="dxa"/>
            <w:noWrap w:val="0"/>
            <w:vAlign w:val="center"/>
          </w:tcPr>
          <w:p w14:paraId="299750D5">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磋商有效期</w:t>
            </w:r>
          </w:p>
        </w:tc>
        <w:tc>
          <w:tcPr>
            <w:tcW w:w="7275" w:type="dxa"/>
            <w:noWrap w:val="0"/>
            <w:vAlign w:val="center"/>
          </w:tcPr>
          <w:p w14:paraId="28114A99">
            <w:pPr>
              <w:spacing w:after="0"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90日历天</w:t>
            </w:r>
          </w:p>
        </w:tc>
      </w:tr>
      <w:tr w14:paraId="32814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25" w:type="dxa"/>
            <w:noWrap w:val="0"/>
            <w:vAlign w:val="center"/>
          </w:tcPr>
          <w:p w14:paraId="2EB50952">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w:t>
            </w:r>
          </w:p>
        </w:tc>
        <w:tc>
          <w:tcPr>
            <w:tcW w:w="1695" w:type="dxa"/>
            <w:noWrap w:val="0"/>
            <w:vAlign w:val="center"/>
          </w:tcPr>
          <w:p w14:paraId="6D6138DA">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磋商保证金</w:t>
            </w:r>
          </w:p>
        </w:tc>
        <w:tc>
          <w:tcPr>
            <w:tcW w:w="7275" w:type="dxa"/>
            <w:noWrap w:val="0"/>
            <w:vAlign w:val="top"/>
          </w:tcPr>
          <w:p w14:paraId="1762E442">
            <w:pPr>
              <w:spacing w:after="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本项目不收取保证金；</w:t>
            </w:r>
          </w:p>
          <w:p w14:paraId="27D20BC9">
            <w:pPr>
              <w:spacing w:after="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云南省发展和改革委员会等部门关于鼓励减免政府投资项目投标保证金的通知》（云发改交易管理〔2023〕397号）文件的相关要求，减免政府投资项目投标保证金，降幅不得低于现收取数额的50%。本项目不收取投标保证金，降幅率达100%。</w:t>
            </w:r>
          </w:p>
        </w:tc>
      </w:tr>
      <w:tr w14:paraId="53BFD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 w:hRule="atLeast"/>
          <w:jc w:val="center"/>
        </w:trPr>
        <w:tc>
          <w:tcPr>
            <w:tcW w:w="825" w:type="dxa"/>
            <w:tcBorders>
              <w:top w:val="single" w:color="auto" w:sz="4" w:space="0"/>
            </w:tcBorders>
            <w:noWrap w:val="0"/>
            <w:vAlign w:val="center"/>
          </w:tcPr>
          <w:p w14:paraId="67076783">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25</w:t>
            </w:r>
          </w:p>
        </w:tc>
        <w:tc>
          <w:tcPr>
            <w:tcW w:w="1695" w:type="dxa"/>
            <w:tcBorders>
              <w:top w:val="single" w:color="auto" w:sz="4" w:space="0"/>
            </w:tcBorders>
            <w:noWrap w:val="0"/>
            <w:vAlign w:val="center"/>
          </w:tcPr>
          <w:p w14:paraId="5A152C73">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财务状况的年份要求</w:t>
            </w:r>
          </w:p>
        </w:tc>
        <w:tc>
          <w:tcPr>
            <w:tcW w:w="7275" w:type="dxa"/>
            <w:tcBorders>
              <w:top w:val="single" w:color="auto" w:sz="4" w:space="0"/>
            </w:tcBorders>
            <w:noWrap w:val="0"/>
            <w:vAlign w:val="center"/>
          </w:tcPr>
          <w:p w14:paraId="283F5E28">
            <w:pPr>
              <w:spacing w:after="0" w:line="360" w:lineRule="auto"/>
              <w:rPr>
                <w:rFonts w:hint="eastAsia" w:ascii="仿宋" w:hAnsi="仿宋" w:eastAsia="仿宋" w:cs="仿宋"/>
                <w:b/>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2023年至今任一年度</w:t>
            </w:r>
          </w:p>
        </w:tc>
      </w:tr>
      <w:tr w14:paraId="17677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2" w:hRule="atLeast"/>
          <w:jc w:val="center"/>
        </w:trPr>
        <w:tc>
          <w:tcPr>
            <w:tcW w:w="825" w:type="dxa"/>
            <w:noWrap w:val="0"/>
            <w:vAlign w:val="center"/>
          </w:tcPr>
          <w:p w14:paraId="3C77EC7A">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26</w:t>
            </w:r>
          </w:p>
        </w:tc>
        <w:tc>
          <w:tcPr>
            <w:tcW w:w="1695" w:type="dxa"/>
            <w:noWrap w:val="0"/>
            <w:vAlign w:val="center"/>
          </w:tcPr>
          <w:p w14:paraId="26B3EFA5">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近三年发生的诉讼及仲裁情况的年份要求</w:t>
            </w:r>
          </w:p>
        </w:tc>
        <w:tc>
          <w:tcPr>
            <w:tcW w:w="7275" w:type="dxa"/>
            <w:noWrap w:val="0"/>
            <w:vAlign w:val="center"/>
          </w:tcPr>
          <w:p w14:paraId="1EC10570">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近三年（</w:t>
            </w:r>
            <w:r>
              <w:rPr>
                <w:rFonts w:hint="eastAsia" w:ascii="仿宋" w:hAnsi="仿宋" w:eastAsia="仿宋" w:cs="仿宋"/>
                <w:color w:val="auto"/>
                <w:sz w:val="24"/>
                <w:szCs w:val="24"/>
                <w:highlight w:val="none"/>
                <w:lang w:eastAsia="zh-CN"/>
              </w:rPr>
              <w:t>20</w:t>
            </w:r>
            <w:r>
              <w:rPr>
                <w:rFonts w:hint="eastAsia" w:ascii="仿宋" w:hAnsi="仿宋" w:eastAsia="仿宋" w:cs="仿宋"/>
                <w:color w:val="auto"/>
                <w:sz w:val="24"/>
                <w:szCs w:val="24"/>
                <w:highlight w:val="none"/>
                <w:lang w:val="en-US" w:eastAsia="zh-CN"/>
              </w:rPr>
              <w:t>23</w:t>
            </w:r>
            <w:r>
              <w:rPr>
                <w:rFonts w:hint="eastAsia" w:ascii="仿宋" w:hAnsi="仿宋" w:eastAsia="仿宋" w:cs="仿宋"/>
                <w:color w:val="auto"/>
                <w:sz w:val="24"/>
                <w:szCs w:val="24"/>
                <w:highlight w:val="none"/>
                <w:lang w:eastAsia="zh-CN"/>
              </w:rPr>
              <w:t>年1月1日至今</w:t>
            </w:r>
            <w:r>
              <w:rPr>
                <w:rFonts w:hint="eastAsia" w:ascii="仿宋" w:hAnsi="仿宋" w:eastAsia="仿宋" w:cs="仿宋"/>
                <w:color w:val="auto"/>
                <w:sz w:val="24"/>
                <w:szCs w:val="24"/>
                <w:highlight w:val="none"/>
              </w:rPr>
              <w:t>）</w:t>
            </w:r>
          </w:p>
        </w:tc>
      </w:tr>
      <w:tr w14:paraId="0B97A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25" w:type="dxa"/>
            <w:noWrap w:val="0"/>
            <w:vAlign w:val="center"/>
          </w:tcPr>
          <w:p w14:paraId="6787CF87">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27</w:t>
            </w:r>
          </w:p>
        </w:tc>
        <w:tc>
          <w:tcPr>
            <w:tcW w:w="1695" w:type="dxa"/>
            <w:noWrap w:val="0"/>
            <w:vAlign w:val="center"/>
          </w:tcPr>
          <w:p w14:paraId="11CD1296">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是否允许递交               备选磋商方案</w:t>
            </w:r>
          </w:p>
        </w:tc>
        <w:tc>
          <w:tcPr>
            <w:tcW w:w="7275" w:type="dxa"/>
            <w:noWrap w:val="0"/>
            <w:vAlign w:val="center"/>
          </w:tcPr>
          <w:p w14:paraId="7DAAA5B6">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不允许    </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 xml:space="preserve"> 允 许</w:t>
            </w:r>
          </w:p>
        </w:tc>
      </w:tr>
      <w:tr w14:paraId="0CB79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jc w:val="center"/>
        </w:trPr>
        <w:tc>
          <w:tcPr>
            <w:tcW w:w="825" w:type="dxa"/>
            <w:noWrap w:val="0"/>
            <w:vAlign w:val="center"/>
          </w:tcPr>
          <w:p w14:paraId="191F37ED">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28</w:t>
            </w:r>
          </w:p>
        </w:tc>
        <w:tc>
          <w:tcPr>
            <w:tcW w:w="1695" w:type="dxa"/>
            <w:noWrap w:val="0"/>
            <w:vAlign w:val="center"/>
          </w:tcPr>
          <w:p w14:paraId="2318475A">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签字或盖章要求</w:t>
            </w:r>
          </w:p>
        </w:tc>
        <w:tc>
          <w:tcPr>
            <w:tcW w:w="7275" w:type="dxa"/>
            <w:noWrap w:val="0"/>
            <w:vAlign w:val="center"/>
          </w:tcPr>
          <w:p w14:paraId="4852EF6C">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按第六章竞争性磋商响应文件格式要求</w:t>
            </w:r>
            <w:r>
              <w:rPr>
                <w:rFonts w:hint="eastAsia" w:ascii="仿宋" w:hAnsi="仿宋" w:eastAsia="仿宋" w:cs="仿宋"/>
                <w:color w:val="auto"/>
                <w:sz w:val="24"/>
                <w:szCs w:val="24"/>
                <w:highlight w:val="none"/>
                <w:lang w:val="en-US" w:eastAsia="zh-CN"/>
              </w:rPr>
              <w:t>采用单位数字证书电子签章，在需要电子签章的地方进行电子签章，无需逐页电子签章。</w:t>
            </w:r>
          </w:p>
        </w:tc>
      </w:tr>
      <w:tr w14:paraId="3E22F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jc w:val="center"/>
        </w:trPr>
        <w:tc>
          <w:tcPr>
            <w:tcW w:w="825" w:type="dxa"/>
            <w:noWrap w:val="0"/>
            <w:vAlign w:val="center"/>
          </w:tcPr>
          <w:p w14:paraId="04BA8ED5">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29</w:t>
            </w:r>
          </w:p>
        </w:tc>
        <w:tc>
          <w:tcPr>
            <w:tcW w:w="1695" w:type="dxa"/>
            <w:noWrap w:val="0"/>
            <w:vAlign w:val="center"/>
          </w:tcPr>
          <w:p w14:paraId="349BB217">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竞争性磋商                   响应文件份数</w:t>
            </w:r>
          </w:p>
        </w:tc>
        <w:tc>
          <w:tcPr>
            <w:tcW w:w="7275" w:type="dxa"/>
            <w:noWrap w:val="0"/>
            <w:vAlign w:val="center"/>
          </w:tcPr>
          <w:p w14:paraId="79242B64">
            <w:pPr>
              <w:spacing w:after="0" w:line="360" w:lineRule="auto"/>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tl w:val="0"/>
                <w:lang w:val="en-US" w:eastAsia="zh-CN"/>
              </w:rPr>
              <w:t>供应商应当在响应文件提交截止时间前将加密的响应文件上传至“政采云平台”。</w:t>
            </w:r>
          </w:p>
        </w:tc>
      </w:tr>
      <w:tr w14:paraId="453AE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25" w:type="dxa"/>
            <w:noWrap w:val="0"/>
            <w:vAlign w:val="center"/>
          </w:tcPr>
          <w:p w14:paraId="56EC8D3B">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w:t>
            </w:r>
          </w:p>
        </w:tc>
        <w:tc>
          <w:tcPr>
            <w:tcW w:w="1695" w:type="dxa"/>
            <w:noWrap w:val="0"/>
            <w:vAlign w:val="center"/>
          </w:tcPr>
          <w:p w14:paraId="19E0C6D6">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装订要求</w:t>
            </w:r>
          </w:p>
        </w:tc>
        <w:tc>
          <w:tcPr>
            <w:tcW w:w="7275" w:type="dxa"/>
            <w:noWrap w:val="0"/>
            <w:vAlign w:val="center"/>
          </w:tcPr>
          <w:p w14:paraId="619D6B21">
            <w:pPr>
              <w:spacing w:after="0"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w:t>
            </w:r>
          </w:p>
        </w:tc>
      </w:tr>
      <w:tr w14:paraId="05625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jc w:val="center"/>
        </w:trPr>
        <w:tc>
          <w:tcPr>
            <w:tcW w:w="825" w:type="dxa"/>
            <w:noWrap w:val="0"/>
            <w:vAlign w:val="center"/>
          </w:tcPr>
          <w:p w14:paraId="3C6A6A83">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w:t>
            </w:r>
          </w:p>
        </w:tc>
        <w:tc>
          <w:tcPr>
            <w:tcW w:w="1695" w:type="dxa"/>
            <w:noWrap w:val="0"/>
            <w:vAlign w:val="center"/>
          </w:tcPr>
          <w:p w14:paraId="2CE9B605">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递交竞争性磋商响应文件时间、地点</w:t>
            </w:r>
          </w:p>
        </w:tc>
        <w:tc>
          <w:tcPr>
            <w:tcW w:w="7275" w:type="dxa"/>
            <w:noWrap w:val="0"/>
            <w:vAlign w:val="top"/>
          </w:tcPr>
          <w:p w14:paraId="154B7918">
            <w:pPr>
              <w:spacing w:after="0" w:line="360" w:lineRule="auto"/>
              <w:rPr>
                <w:rFonts w:hint="eastAsia" w:ascii="仿宋" w:hAnsi="仿宋" w:eastAsia="仿宋" w:cs="仿宋"/>
                <w:bCs/>
                <w:color w:val="auto"/>
                <w:sz w:val="24"/>
                <w:szCs w:val="24"/>
                <w:highlight w:val="none"/>
                <w:u w:val="single"/>
              </w:rPr>
            </w:pPr>
            <w:r>
              <w:rPr>
                <w:rFonts w:hint="eastAsia" w:ascii="仿宋" w:hAnsi="仿宋" w:eastAsia="仿宋" w:cs="仿宋"/>
                <w:bCs/>
                <w:color w:val="auto"/>
                <w:sz w:val="24"/>
                <w:szCs w:val="24"/>
                <w:highlight w:val="none"/>
              </w:rPr>
              <w:t>时间</w:t>
            </w:r>
            <w:r>
              <w:rPr>
                <w:rFonts w:hint="eastAsia" w:ascii="仿宋" w:hAnsi="仿宋" w:eastAsia="仿宋" w:cs="仿宋"/>
                <w:color w:val="auto"/>
                <w:sz w:val="24"/>
                <w:szCs w:val="24"/>
                <w:highlight w:val="none"/>
              </w:rPr>
              <w:t>：</w:t>
            </w:r>
            <w:r>
              <w:rPr>
                <w:rFonts w:hint="eastAsia" w:ascii="仿宋" w:hAnsi="仿宋" w:eastAsia="仿宋" w:cs="仿宋"/>
                <w:b/>
                <w:bCs/>
                <w:color w:val="auto"/>
                <w:sz w:val="24"/>
                <w:szCs w:val="24"/>
                <w:highlight w:val="none"/>
                <w:u w:val="none"/>
                <w:lang w:eastAsia="zh-CN"/>
              </w:rPr>
              <w:t>202</w:t>
            </w:r>
            <w:r>
              <w:rPr>
                <w:rFonts w:hint="eastAsia" w:ascii="仿宋" w:hAnsi="仿宋" w:eastAsia="仿宋" w:cs="仿宋"/>
                <w:b/>
                <w:bCs/>
                <w:color w:val="auto"/>
                <w:sz w:val="24"/>
                <w:szCs w:val="24"/>
                <w:highlight w:val="none"/>
                <w:u w:val="none"/>
                <w:lang w:val="en-US" w:eastAsia="zh-CN"/>
              </w:rPr>
              <w:t>6</w:t>
            </w:r>
            <w:r>
              <w:rPr>
                <w:rFonts w:hint="eastAsia" w:ascii="仿宋" w:hAnsi="仿宋" w:eastAsia="仿宋" w:cs="仿宋"/>
                <w:b/>
                <w:bCs/>
                <w:color w:val="auto"/>
                <w:sz w:val="24"/>
                <w:szCs w:val="24"/>
                <w:highlight w:val="none"/>
                <w:u w:val="none"/>
                <w:lang w:eastAsia="zh-CN"/>
              </w:rPr>
              <w:t>年</w:t>
            </w:r>
            <w:r>
              <w:rPr>
                <w:rFonts w:hint="eastAsia" w:ascii="仿宋" w:hAnsi="仿宋" w:eastAsia="仿宋" w:cs="仿宋"/>
                <w:b/>
                <w:bCs/>
                <w:color w:val="auto"/>
                <w:sz w:val="24"/>
                <w:szCs w:val="24"/>
                <w:highlight w:val="none"/>
                <w:u w:val="none"/>
                <w:lang w:val="en-US" w:eastAsia="zh-CN"/>
              </w:rPr>
              <w:t>9月8日15</w:t>
            </w:r>
            <w:r>
              <w:rPr>
                <w:rFonts w:hint="eastAsia" w:ascii="仿宋" w:hAnsi="仿宋" w:eastAsia="仿宋" w:cs="仿宋"/>
                <w:b/>
                <w:bCs/>
                <w:color w:val="auto"/>
                <w:sz w:val="24"/>
                <w:szCs w:val="24"/>
                <w:highlight w:val="none"/>
                <w:u w:val="none"/>
                <w:lang w:eastAsia="zh-CN"/>
              </w:rPr>
              <w:t>时00分</w:t>
            </w:r>
            <w:r>
              <w:rPr>
                <w:rFonts w:hint="eastAsia" w:ascii="仿宋" w:hAnsi="仿宋" w:eastAsia="仿宋" w:cs="仿宋"/>
                <w:b/>
                <w:bCs/>
                <w:color w:val="auto"/>
                <w:sz w:val="24"/>
                <w:szCs w:val="24"/>
                <w:highlight w:val="none"/>
                <w:u w:val="none"/>
              </w:rPr>
              <w:t>以</w:t>
            </w:r>
            <w:r>
              <w:rPr>
                <w:rFonts w:hint="eastAsia" w:ascii="仿宋" w:hAnsi="仿宋" w:eastAsia="仿宋" w:cs="仿宋"/>
                <w:b/>
                <w:bCs/>
                <w:color w:val="auto"/>
                <w:sz w:val="24"/>
                <w:szCs w:val="24"/>
                <w:highlight w:val="none"/>
              </w:rPr>
              <w:t>前</w:t>
            </w:r>
          </w:p>
          <w:p w14:paraId="5106FBD9">
            <w:pPr>
              <w:spacing w:after="0"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地点：</w:t>
            </w:r>
            <w:r>
              <w:rPr>
                <w:rFonts w:hint="eastAsia" w:ascii="仿宋" w:hAnsi="仿宋" w:eastAsia="仿宋" w:cs="仿宋"/>
                <w:bCs/>
                <w:color w:val="auto"/>
                <w:sz w:val="24"/>
                <w:szCs w:val="24"/>
                <w:highlight w:val="none"/>
                <w:lang w:val="en-US" w:eastAsia="zh-CN"/>
              </w:rPr>
              <w:t>通过“政采云平台”（网址：</w:t>
            </w:r>
            <w:r>
              <w:rPr>
                <w:rFonts w:hint="eastAsia" w:ascii="仿宋" w:hAnsi="仿宋" w:eastAsia="仿宋" w:cs="仿宋"/>
                <w:bCs/>
                <w:color w:val="auto"/>
                <w:sz w:val="24"/>
                <w:szCs w:val="24"/>
                <w:highlight w:val="none"/>
                <w:u w:val="none"/>
                <w:lang w:val="en-US" w:eastAsia="zh-CN"/>
              </w:rPr>
              <w:t>https://www.zcygov.cn/）</w:t>
            </w:r>
            <w:r>
              <w:rPr>
                <w:rFonts w:hint="eastAsia" w:ascii="仿宋" w:hAnsi="仿宋" w:eastAsia="仿宋" w:cs="仿宋"/>
                <w:bCs/>
                <w:color w:val="auto"/>
                <w:sz w:val="24"/>
                <w:szCs w:val="24"/>
                <w:highlight w:val="none"/>
                <w:lang w:val="en-US" w:eastAsia="zh-CN"/>
              </w:rPr>
              <w:t xml:space="preserve"> 进行网上递交。          </w:t>
            </w:r>
          </w:p>
          <w:p w14:paraId="33F52152">
            <w:pPr>
              <w:spacing w:after="0" w:line="360" w:lineRule="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注：</w:t>
            </w:r>
          </w:p>
          <w:p w14:paraId="14A39F7D">
            <w:pPr>
              <w:keepNext w:val="0"/>
              <w:keepLines w:val="0"/>
              <w:pageBreakBefore w:val="0"/>
              <w:kinsoku/>
              <w:wordWrap/>
              <w:overflowPunct/>
              <w:topLinePunct w:val="0"/>
              <w:bidi w:val="0"/>
              <w:snapToGrid/>
              <w:spacing w:after="0" w:line="360" w:lineRule="auto"/>
              <w:ind w:left="1" w:firstLine="0" w:firstLineChars="0"/>
              <w:textAlignment w:val="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tl w:val="0"/>
                <w:lang w:val="en-US" w:eastAsia="zh-CN"/>
              </w:rPr>
              <w:t>1.供应商应按照本项目采购文件和</w:t>
            </w:r>
            <w:r>
              <w:rPr>
                <w:rFonts w:hint="eastAsia" w:ascii="仿宋" w:hAnsi="仿宋" w:eastAsia="仿宋" w:cs="仿宋"/>
                <w:bCs/>
                <w:color w:val="auto"/>
                <w:sz w:val="24"/>
                <w:szCs w:val="24"/>
                <w:highlight w:val="none"/>
                <w:lang w:val="en-US" w:eastAsia="zh-CN"/>
              </w:rPr>
              <w:t>“政采云平台”</w:t>
            </w:r>
            <w:r>
              <w:rPr>
                <w:rFonts w:hint="eastAsia" w:ascii="仿宋" w:hAnsi="仿宋" w:eastAsia="仿宋" w:cs="仿宋"/>
                <w:bCs/>
                <w:color w:val="auto"/>
                <w:sz w:val="24"/>
                <w:szCs w:val="24"/>
                <w:highlight w:val="none"/>
                <w:rtl w:val="0"/>
                <w:lang w:val="en-US" w:eastAsia="zh-CN"/>
              </w:rPr>
              <w:t>的要求编制、加密响应文件，</w:t>
            </w:r>
            <w:r>
              <w:rPr>
                <w:rFonts w:hint="eastAsia" w:ascii="仿宋" w:hAnsi="仿宋" w:eastAsia="仿宋" w:cs="仿宋"/>
                <w:color w:val="auto"/>
                <w:kern w:val="2"/>
                <w:sz w:val="24"/>
                <w:szCs w:val="24"/>
                <w:highlight w:val="none"/>
                <w:lang w:val="en-US" w:eastAsia="zh-CN" w:bidi="ar-SA"/>
              </w:rPr>
              <w:t>供应商生成格式为*. jmbs格式加密标书后，需在提交截止时间前将加密的电子响应文件按“政采云”要求上传至政采云平台。未按要求在截止时间前完成电子响应文件上传的，视为自动放弃磋商。供应商在“政采云”平台提交电子版响应文件时，请填写参加远程采购活动经办人联系方式。</w:t>
            </w:r>
            <w:r>
              <w:rPr>
                <w:rFonts w:hint="eastAsia" w:ascii="仿宋" w:hAnsi="仿宋" w:eastAsia="仿宋" w:cs="仿宋"/>
                <w:bCs/>
                <w:color w:val="auto"/>
                <w:sz w:val="24"/>
                <w:szCs w:val="24"/>
                <w:highlight w:val="none"/>
                <w:rtl w:val="0"/>
                <w:lang w:val="en-US" w:eastAsia="zh-CN"/>
              </w:rPr>
              <w:t xml:space="preserve">                                                           2.供应商在</w:t>
            </w:r>
            <w:r>
              <w:rPr>
                <w:rFonts w:hint="eastAsia" w:ascii="仿宋" w:hAnsi="仿宋" w:eastAsia="仿宋" w:cs="仿宋"/>
                <w:bCs/>
                <w:color w:val="auto"/>
                <w:sz w:val="24"/>
                <w:szCs w:val="24"/>
                <w:highlight w:val="none"/>
                <w:lang w:val="en-US" w:eastAsia="zh-CN"/>
              </w:rPr>
              <w:t>“政采云平台”</w:t>
            </w:r>
            <w:r>
              <w:rPr>
                <w:rFonts w:hint="eastAsia" w:ascii="仿宋" w:hAnsi="仿宋" w:eastAsia="仿宋" w:cs="仿宋"/>
                <w:bCs/>
                <w:color w:val="auto"/>
                <w:sz w:val="24"/>
                <w:szCs w:val="24"/>
                <w:highlight w:val="none"/>
                <w:rtl w:val="0"/>
                <w:lang w:val="en-US" w:eastAsia="zh-CN"/>
              </w:rPr>
              <w:t>提交电子版响应文件时，请填写参加远程采购活动经办人联系方式。并于开标当日在系统上等待代理机构通知最后报价。</w:t>
            </w:r>
          </w:p>
        </w:tc>
      </w:tr>
      <w:tr w14:paraId="5BFD7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8" w:hRule="atLeast"/>
          <w:jc w:val="center"/>
        </w:trPr>
        <w:tc>
          <w:tcPr>
            <w:tcW w:w="825" w:type="dxa"/>
            <w:noWrap w:val="0"/>
            <w:vAlign w:val="center"/>
          </w:tcPr>
          <w:p w14:paraId="0EA6DD10">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w:t>
            </w:r>
          </w:p>
        </w:tc>
        <w:tc>
          <w:tcPr>
            <w:tcW w:w="1695" w:type="dxa"/>
            <w:noWrap w:val="0"/>
            <w:vAlign w:val="center"/>
          </w:tcPr>
          <w:p w14:paraId="07952CB2">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是否退还                       竞争性磋商响应文件</w:t>
            </w:r>
          </w:p>
        </w:tc>
        <w:tc>
          <w:tcPr>
            <w:tcW w:w="7275" w:type="dxa"/>
            <w:noWrap w:val="0"/>
            <w:vAlign w:val="center"/>
          </w:tcPr>
          <w:p w14:paraId="68907A44">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否</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□是</w:t>
            </w:r>
          </w:p>
        </w:tc>
      </w:tr>
      <w:tr w14:paraId="51AE7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jc w:val="center"/>
        </w:trPr>
        <w:tc>
          <w:tcPr>
            <w:tcW w:w="825" w:type="dxa"/>
            <w:noWrap w:val="0"/>
            <w:vAlign w:val="center"/>
          </w:tcPr>
          <w:p w14:paraId="4C95E455">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w:t>
            </w:r>
          </w:p>
        </w:tc>
        <w:tc>
          <w:tcPr>
            <w:tcW w:w="1695" w:type="dxa"/>
            <w:noWrap w:val="0"/>
            <w:vAlign w:val="center"/>
          </w:tcPr>
          <w:p w14:paraId="07987592">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磋商时间和地点</w:t>
            </w:r>
          </w:p>
        </w:tc>
        <w:tc>
          <w:tcPr>
            <w:tcW w:w="7275" w:type="dxa"/>
            <w:noWrap w:val="0"/>
            <w:vAlign w:val="center"/>
          </w:tcPr>
          <w:p w14:paraId="6F223BE5">
            <w:pPr>
              <w:spacing w:after="0"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磋商时间：</w:t>
            </w:r>
            <w:r>
              <w:rPr>
                <w:rFonts w:hint="eastAsia" w:ascii="仿宋" w:hAnsi="仿宋" w:eastAsia="仿宋" w:cs="仿宋"/>
                <w:b/>
                <w:bCs/>
                <w:color w:val="auto"/>
                <w:sz w:val="24"/>
                <w:szCs w:val="24"/>
                <w:highlight w:val="none"/>
                <w:lang w:eastAsia="zh-CN"/>
              </w:rPr>
              <w:t>202</w:t>
            </w:r>
            <w:r>
              <w:rPr>
                <w:rFonts w:hint="eastAsia" w:ascii="仿宋" w:hAnsi="仿宋" w:eastAsia="仿宋" w:cs="仿宋"/>
                <w:b/>
                <w:bCs/>
                <w:color w:val="auto"/>
                <w:sz w:val="24"/>
                <w:szCs w:val="24"/>
                <w:highlight w:val="none"/>
                <w:lang w:val="en-US" w:eastAsia="zh-CN"/>
              </w:rPr>
              <w:t>6</w:t>
            </w:r>
            <w:r>
              <w:rPr>
                <w:rFonts w:hint="eastAsia" w:ascii="仿宋" w:hAnsi="仿宋" w:eastAsia="仿宋" w:cs="仿宋"/>
                <w:b/>
                <w:bCs/>
                <w:color w:val="auto"/>
                <w:sz w:val="24"/>
                <w:szCs w:val="24"/>
                <w:highlight w:val="none"/>
                <w:lang w:eastAsia="zh-CN"/>
              </w:rPr>
              <w:t>年</w:t>
            </w:r>
            <w:r>
              <w:rPr>
                <w:rFonts w:hint="eastAsia" w:ascii="仿宋" w:hAnsi="仿宋" w:eastAsia="仿宋" w:cs="仿宋"/>
                <w:b/>
                <w:bCs/>
                <w:color w:val="auto"/>
                <w:sz w:val="24"/>
                <w:szCs w:val="24"/>
                <w:highlight w:val="none"/>
                <w:lang w:val="en-US" w:eastAsia="zh-CN"/>
              </w:rPr>
              <w:t>9月8日15</w:t>
            </w:r>
            <w:r>
              <w:rPr>
                <w:rFonts w:hint="eastAsia" w:ascii="仿宋" w:hAnsi="仿宋" w:eastAsia="仿宋" w:cs="仿宋"/>
                <w:b/>
                <w:bCs/>
                <w:color w:val="auto"/>
                <w:sz w:val="24"/>
                <w:szCs w:val="24"/>
                <w:highlight w:val="none"/>
                <w:lang w:eastAsia="zh-CN"/>
              </w:rPr>
              <w:t>时00分</w:t>
            </w:r>
            <w:r>
              <w:rPr>
                <w:rFonts w:hint="eastAsia" w:ascii="仿宋" w:hAnsi="仿宋" w:eastAsia="仿宋" w:cs="仿宋"/>
                <w:color w:val="auto"/>
                <w:sz w:val="24"/>
                <w:szCs w:val="24"/>
                <w:highlight w:val="none"/>
                <w:lang w:eastAsia="zh-CN"/>
              </w:rPr>
              <w:t>（北京时间）</w:t>
            </w:r>
          </w:p>
          <w:p w14:paraId="7478926B">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磋商地点：</w:t>
            </w:r>
            <w:r>
              <w:rPr>
                <w:rFonts w:hint="eastAsia" w:ascii="仿宋" w:hAnsi="仿宋" w:eastAsia="仿宋" w:cs="仿宋"/>
                <w:color w:val="auto"/>
                <w:sz w:val="24"/>
                <w:szCs w:val="24"/>
                <w:highlight w:val="none"/>
                <w:lang w:val="en-US" w:eastAsia="zh-CN"/>
              </w:rPr>
              <w:t>“政采云”平台（https://www.zcygov.cn/）</w:t>
            </w:r>
          </w:p>
        </w:tc>
      </w:tr>
      <w:tr w14:paraId="7DA4A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825" w:type="dxa"/>
            <w:noWrap w:val="0"/>
            <w:vAlign w:val="center"/>
          </w:tcPr>
          <w:p w14:paraId="793898F6">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w:t>
            </w:r>
          </w:p>
        </w:tc>
        <w:tc>
          <w:tcPr>
            <w:tcW w:w="1695" w:type="dxa"/>
            <w:noWrap w:val="0"/>
            <w:vAlign w:val="center"/>
          </w:tcPr>
          <w:p w14:paraId="591BBDB0">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磋商程序</w:t>
            </w:r>
          </w:p>
        </w:tc>
        <w:tc>
          <w:tcPr>
            <w:tcW w:w="7275" w:type="dxa"/>
            <w:noWrap w:val="0"/>
            <w:vAlign w:val="center"/>
          </w:tcPr>
          <w:p w14:paraId="0A735BC8">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宣布</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纪律。</w:t>
            </w:r>
          </w:p>
          <w:p w14:paraId="1D9881CA">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公布在投标截止时间前递交</w:t>
            </w:r>
            <w:r>
              <w:rPr>
                <w:rFonts w:hint="eastAsia" w:ascii="仿宋" w:hAnsi="仿宋" w:eastAsia="仿宋" w:cs="仿宋"/>
                <w:color w:val="auto"/>
                <w:sz w:val="24"/>
                <w:szCs w:val="24"/>
                <w:highlight w:val="none"/>
                <w:lang w:eastAsia="zh-CN"/>
              </w:rPr>
              <w:t>响应文件</w:t>
            </w:r>
            <w:r>
              <w:rPr>
                <w:rFonts w:hint="eastAsia" w:ascii="仿宋" w:hAnsi="仿宋" w:eastAsia="仿宋" w:cs="仿宋"/>
                <w:color w:val="auto"/>
                <w:sz w:val="24"/>
                <w:szCs w:val="24"/>
                <w:highlight w:val="none"/>
              </w:rPr>
              <w:t>的情况。</w:t>
            </w:r>
          </w:p>
          <w:p w14:paraId="7FB2124B">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宣布</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人、唱标人、记录人、监标人等有关人员姓名。</w:t>
            </w:r>
          </w:p>
          <w:p w14:paraId="4CB37B1B">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按照“</w:t>
            </w:r>
            <w:r>
              <w:rPr>
                <w:rFonts w:hint="eastAsia" w:ascii="仿宋" w:hAnsi="仿宋" w:eastAsia="仿宋" w:cs="仿宋"/>
                <w:color w:val="auto"/>
                <w:sz w:val="24"/>
                <w:szCs w:val="24"/>
                <w:highlight w:val="none"/>
                <w:lang w:eastAsia="zh-CN"/>
              </w:rPr>
              <w:t>政采云</w:t>
            </w:r>
            <w:r>
              <w:rPr>
                <w:rFonts w:hint="eastAsia" w:ascii="仿宋" w:hAnsi="仿宋" w:eastAsia="仿宋" w:cs="仿宋"/>
                <w:color w:val="auto"/>
                <w:sz w:val="24"/>
                <w:szCs w:val="24"/>
                <w:highlight w:val="none"/>
              </w:rPr>
              <w:t>平台”自动提取所有</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的顺序当众开标，由</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对网上递交已加密的</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文件，进行网上（远程）解密，解密完成后，</w:t>
            </w:r>
            <w:r>
              <w:rPr>
                <w:rFonts w:hint="eastAsia" w:ascii="仿宋" w:hAnsi="仿宋" w:eastAsia="仿宋" w:cs="仿宋"/>
                <w:color w:val="auto"/>
                <w:sz w:val="24"/>
                <w:szCs w:val="24"/>
                <w:highlight w:val="none"/>
                <w:lang w:val="en-US" w:eastAsia="zh-CN"/>
              </w:rPr>
              <w:t>将供应商</w:t>
            </w:r>
            <w:r>
              <w:rPr>
                <w:rFonts w:hint="eastAsia" w:ascii="仿宋" w:hAnsi="仿宋" w:eastAsia="仿宋" w:cs="仿宋"/>
                <w:color w:val="auto"/>
                <w:sz w:val="24"/>
                <w:szCs w:val="24"/>
                <w:highlight w:val="none"/>
              </w:rPr>
              <w:t>名称、标段名称、</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报价、</w:t>
            </w:r>
            <w:r>
              <w:rPr>
                <w:rFonts w:hint="eastAsia" w:ascii="仿宋" w:hAnsi="仿宋" w:eastAsia="仿宋" w:cs="仿宋"/>
                <w:color w:val="auto"/>
                <w:sz w:val="24"/>
                <w:szCs w:val="24"/>
                <w:highlight w:val="none"/>
                <w:lang w:val="en-US" w:eastAsia="zh-CN"/>
              </w:rPr>
              <w:t>合同履行期限</w:t>
            </w:r>
            <w:r>
              <w:rPr>
                <w:rFonts w:hint="eastAsia" w:ascii="仿宋" w:hAnsi="仿宋" w:eastAsia="仿宋" w:cs="仿宋"/>
                <w:color w:val="auto"/>
                <w:sz w:val="24"/>
                <w:szCs w:val="24"/>
                <w:highlight w:val="none"/>
              </w:rPr>
              <w:t>及其他内容记录在案。因</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原因造成</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文件未解密的，视为撤销其</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w:t>
            </w:r>
          </w:p>
          <w:p w14:paraId="12894658">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（5）供应商</w:t>
            </w:r>
            <w:r>
              <w:rPr>
                <w:rFonts w:hint="eastAsia" w:ascii="仿宋" w:hAnsi="仿宋" w:eastAsia="仿宋" w:cs="仿宋"/>
                <w:color w:val="auto"/>
                <w:sz w:val="24"/>
                <w:szCs w:val="24"/>
                <w:highlight w:val="none"/>
              </w:rPr>
              <w:t>代表（如需）、</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代表、监标人、记录人等有关人员在开标记录上签字确认。</w:t>
            </w:r>
          </w:p>
          <w:p w14:paraId="3A23B724">
            <w:pPr>
              <w:spacing w:after="0" w:line="360" w:lineRule="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通过</w:t>
            </w:r>
            <w:r>
              <w:rPr>
                <w:rFonts w:hint="eastAsia" w:ascii="仿宋" w:hAnsi="仿宋" w:eastAsia="仿宋" w:cs="仿宋"/>
                <w:color w:val="auto"/>
                <w:sz w:val="24"/>
                <w:szCs w:val="24"/>
                <w:highlight w:val="none"/>
                <w:lang w:val="en-US" w:eastAsia="zh-CN"/>
              </w:rPr>
              <w:t>资格评审和</w:t>
            </w:r>
            <w:r>
              <w:rPr>
                <w:rFonts w:hint="eastAsia" w:ascii="仿宋" w:hAnsi="仿宋" w:eastAsia="仿宋" w:cs="仿宋"/>
                <w:color w:val="auto"/>
                <w:sz w:val="24"/>
                <w:szCs w:val="24"/>
                <w:highlight w:val="none"/>
              </w:rPr>
              <w:t>初步评审的供应商进入第二轮报价及承诺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磋商小组成员集中与单一供应商分别进行磋商；公布供应商名称、磋商第二轮报价、合同履行期限及其他内容，并记录在案；</w:t>
            </w:r>
            <w:r>
              <w:rPr>
                <w:rFonts w:hint="eastAsia" w:ascii="仿宋" w:hAnsi="仿宋" w:eastAsia="仿宋" w:cs="仿宋"/>
                <w:sz w:val="24"/>
                <w:szCs w:val="24"/>
                <w:highlight w:val="none"/>
              </w:rPr>
              <w:t>①.通过符合性响应的供应商应准备实时在线，磋商小组通过网络方式通知供应商在规定时限内，在“政采云平台”进行二次报价，提交最终（第二次）报价。</w:t>
            </w:r>
          </w:p>
          <w:p w14:paraId="3F4B20FF">
            <w:pPr>
              <w:pStyle w:val="2"/>
              <w:rPr>
                <w:rFonts w:hint="eastAsia" w:ascii="仿宋" w:hAnsi="仿宋" w:eastAsia="仿宋" w:cs="仿宋"/>
                <w:sz w:val="24"/>
                <w:szCs w:val="24"/>
                <w:highlight w:val="none"/>
              </w:rPr>
            </w:pPr>
            <w:r>
              <w:rPr>
                <w:rFonts w:hint="eastAsia" w:ascii="仿宋" w:hAnsi="仿宋" w:eastAsia="仿宋" w:cs="仿宋"/>
                <w:sz w:val="24"/>
                <w:szCs w:val="24"/>
                <w:highlight w:val="none"/>
              </w:rPr>
              <w:t>②.供应商一共有二次报价机会（第一次报价为电子响应文件中的报价，第二次报价为最终报价）。最终报价的准备时间按“政府采购云平台”要求为准，超出规定时间未进行报价的，视为放弃最终报价，按第一次报价为准。</w:t>
            </w:r>
          </w:p>
          <w:p w14:paraId="682A0855">
            <w:pPr>
              <w:pStyle w:val="2"/>
              <w:rPr>
                <w:rFonts w:hint="eastAsia" w:ascii="仿宋" w:hAnsi="仿宋" w:eastAsia="仿宋" w:cs="仿宋"/>
                <w:sz w:val="24"/>
                <w:szCs w:val="24"/>
                <w:highlight w:val="none"/>
              </w:rPr>
            </w:pPr>
            <w:r>
              <w:rPr>
                <w:rFonts w:hint="eastAsia" w:ascii="仿宋" w:hAnsi="仿宋" w:eastAsia="仿宋" w:cs="仿宋"/>
                <w:sz w:val="24"/>
                <w:szCs w:val="24"/>
                <w:highlight w:val="none"/>
              </w:rPr>
              <w:t>③.供应商在“政</w:t>
            </w:r>
            <w:r>
              <w:rPr>
                <w:rFonts w:hint="eastAsia" w:ascii="仿宋" w:hAnsi="仿宋" w:eastAsia="仿宋" w:cs="仿宋"/>
                <w:sz w:val="24"/>
                <w:szCs w:val="24"/>
                <w:highlight w:val="none"/>
                <w:lang w:val="en-US" w:eastAsia="zh-CN"/>
              </w:rPr>
              <w:t>采</w:t>
            </w:r>
            <w:r>
              <w:rPr>
                <w:rFonts w:hint="eastAsia" w:ascii="仿宋" w:hAnsi="仿宋" w:eastAsia="仿宋" w:cs="仿宋"/>
                <w:sz w:val="24"/>
                <w:szCs w:val="24"/>
                <w:highlight w:val="none"/>
              </w:rPr>
              <w:t>云平台”完成最终报价后可以离场，若发生意外状况，采购代理机构电话通知参与最终报价的供应商。</w:t>
            </w:r>
          </w:p>
          <w:p w14:paraId="6D7BFB03">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（7）磋商</w:t>
            </w:r>
            <w:r>
              <w:rPr>
                <w:rFonts w:hint="eastAsia" w:ascii="仿宋" w:hAnsi="仿宋" w:eastAsia="仿宋" w:cs="仿宋"/>
                <w:color w:val="auto"/>
                <w:sz w:val="24"/>
                <w:szCs w:val="24"/>
                <w:highlight w:val="none"/>
              </w:rPr>
              <w:t>结束。</w:t>
            </w:r>
          </w:p>
        </w:tc>
      </w:tr>
      <w:tr w14:paraId="01178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5" w:hRule="atLeast"/>
          <w:jc w:val="center"/>
        </w:trPr>
        <w:tc>
          <w:tcPr>
            <w:tcW w:w="825" w:type="dxa"/>
            <w:noWrap w:val="0"/>
            <w:vAlign w:val="center"/>
          </w:tcPr>
          <w:p w14:paraId="4888DB0B">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w:t>
            </w:r>
          </w:p>
        </w:tc>
        <w:tc>
          <w:tcPr>
            <w:tcW w:w="1695" w:type="dxa"/>
            <w:noWrap w:val="0"/>
            <w:vAlign w:val="center"/>
          </w:tcPr>
          <w:p w14:paraId="23AF0E17">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磋商小组的组建</w:t>
            </w:r>
          </w:p>
        </w:tc>
        <w:tc>
          <w:tcPr>
            <w:tcW w:w="7275" w:type="dxa"/>
            <w:noWrap w:val="0"/>
            <w:vAlign w:val="center"/>
          </w:tcPr>
          <w:p w14:paraId="2D441BF9">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磋商小组人数：</w:t>
            </w:r>
            <w:r>
              <w:rPr>
                <w:rFonts w:hint="eastAsia" w:ascii="仿宋" w:hAnsi="仿宋" w:eastAsia="仿宋" w:cs="仿宋"/>
                <w:color w:val="auto"/>
                <w:sz w:val="24"/>
                <w:szCs w:val="24"/>
                <w:highlight w:val="none"/>
                <w:u w:val="single"/>
                <w:lang w:val="en-US" w:eastAsia="zh-CN"/>
              </w:rPr>
              <w:t>3</w:t>
            </w:r>
            <w:r>
              <w:rPr>
                <w:rFonts w:hint="eastAsia" w:ascii="仿宋" w:hAnsi="仿宋" w:eastAsia="仿宋" w:cs="仿宋"/>
                <w:color w:val="auto"/>
                <w:sz w:val="24"/>
                <w:szCs w:val="24"/>
                <w:highlight w:val="none"/>
                <w:u w:val="none"/>
              </w:rPr>
              <w:t>人</w:t>
            </w:r>
            <w:r>
              <w:rPr>
                <w:rFonts w:hint="eastAsia" w:ascii="仿宋" w:hAnsi="仿宋" w:eastAsia="仿宋" w:cs="仿宋"/>
                <w:color w:val="auto"/>
                <w:sz w:val="24"/>
                <w:szCs w:val="24"/>
                <w:highlight w:val="none"/>
              </w:rPr>
              <w:t>及以上单数</w:t>
            </w:r>
          </w:p>
          <w:p w14:paraId="13C3F03B">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磋商小组构成：由采购人代表和评审专家共</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人及以上单数组成，其中评审专家人数不得少于磋商小组成员总数的2/3。</w:t>
            </w:r>
          </w:p>
          <w:p w14:paraId="78A59FA1">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注：采购人委派代表参加</w:t>
            </w:r>
            <w:r>
              <w:rPr>
                <w:rFonts w:hint="eastAsia" w:ascii="仿宋" w:hAnsi="仿宋" w:eastAsia="仿宋" w:cs="仿宋"/>
                <w:color w:val="auto"/>
                <w:sz w:val="24"/>
                <w:szCs w:val="24"/>
                <w:highlight w:val="none"/>
                <w:lang w:eastAsia="zh-CN"/>
              </w:rPr>
              <w:t>磋商小组</w:t>
            </w:r>
            <w:r>
              <w:rPr>
                <w:rFonts w:hint="eastAsia" w:ascii="仿宋" w:hAnsi="仿宋" w:eastAsia="仿宋" w:cs="仿宋"/>
                <w:color w:val="auto"/>
                <w:sz w:val="24"/>
                <w:szCs w:val="24"/>
                <w:highlight w:val="none"/>
              </w:rPr>
              <w:t>的，须向采购代理机构出具授权函。采购人代表不得担任组长。</w:t>
            </w:r>
          </w:p>
          <w:p w14:paraId="04630349">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评标专家确定方式：</w:t>
            </w:r>
            <w:r>
              <w:rPr>
                <w:rFonts w:hint="eastAsia" w:ascii="仿宋" w:hAnsi="仿宋" w:eastAsia="仿宋" w:cs="仿宋"/>
                <w:color w:val="auto"/>
                <w:sz w:val="24"/>
                <w:szCs w:val="24"/>
                <w:highlight w:val="none"/>
                <w:lang w:eastAsia="zh-CN"/>
              </w:rPr>
              <w:t>在</w:t>
            </w:r>
            <w:r>
              <w:rPr>
                <w:rFonts w:hint="eastAsia" w:ascii="仿宋" w:hAnsi="仿宋" w:eastAsia="仿宋" w:cs="仿宋"/>
                <w:color w:val="auto"/>
                <w:sz w:val="24"/>
                <w:szCs w:val="24"/>
                <w:highlight w:val="none"/>
              </w:rPr>
              <w:t>云南省政府采购专家库</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文山州分库</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随机抽取。</w:t>
            </w:r>
          </w:p>
        </w:tc>
      </w:tr>
      <w:tr w14:paraId="18434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25" w:type="dxa"/>
            <w:noWrap w:val="0"/>
            <w:vAlign w:val="center"/>
          </w:tcPr>
          <w:p w14:paraId="3F3D32E0">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w:t>
            </w:r>
          </w:p>
        </w:tc>
        <w:tc>
          <w:tcPr>
            <w:tcW w:w="1695" w:type="dxa"/>
            <w:noWrap w:val="0"/>
            <w:vAlign w:val="center"/>
          </w:tcPr>
          <w:p w14:paraId="78BA2A53">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评标办法</w:t>
            </w:r>
          </w:p>
        </w:tc>
        <w:tc>
          <w:tcPr>
            <w:tcW w:w="7275" w:type="dxa"/>
            <w:noWrap w:val="0"/>
            <w:vAlign w:val="center"/>
          </w:tcPr>
          <w:p w14:paraId="52DC5002">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综合评分法</w:t>
            </w:r>
          </w:p>
        </w:tc>
      </w:tr>
      <w:tr w14:paraId="224CA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25" w:type="dxa"/>
            <w:noWrap w:val="0"/>
            <w:vAlign w:val="center"/>
          </w:tcPr>
          <w:p w14:paraId="241FF2FE">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w:t>
            </w:r>
          </w:p>
        </w:tc>
        <w:tc>
          <w:tcPr>
            <w:tcW w:w="1695" w:type="dxa"/>
            <w:noWrap w:val="0"/>
            <w:vAlign w:val="center"/>
          </w:tcPr>
          <w:p w14:paraId="29943362">
            <w:pPr>
              <w:spacing w:after="0" w:line="360" w:lineRule="auto"/>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是否授权磋商小组确定成交</w:t>
            </w:r>
            <w:r>
              <w:rPr>
                <w:rFonts w:hint="eastAsia" w:ascii="仿宋" w:hAnsi="仿宋" w:eastAsia="仿宋" w:cs="仿宋"/>
                <w:color w:val="auto"/>
                <w:sz w:val="24"/>
                <w:szCs w:val="24"/>
                <w:highlight w:val="none"/>
                <w:lang w:val="en-US" w:eastAsia="zh-CN"/>
              </w:rPr>
              <w:t>人</w:t>
            </w:r>
          </w:p>
        </w:tc>
        <w:tc>
          <w:tcPr>
            <w:tcW w:w="7275" w:type="dxa"/>
            <w:noWrap w:val="0"/>
            <w:vAlign w:val="center"/>
          </w:tcPr>
          <w:p w14:paraId="424C3D3D">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是</w:t>
            </w:r>
          </w:p>
          <w:p w14:paraId="244FA9A3">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否</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由磋商小组根据采购文件评审办法的相关规定推荐成交</w:t>
            </w:r>
            <w:r>
              <w:rPr>
                <w:rFonts w:hint="eastAsia" w:ascii="仿宋" w:hAnsi="仿宋" w:eastAsia="仿宋" w:cs="仿宋"/>
                <w:color w:val="auto"/>
                <w:sz w:val="24"/>
                <w:szCs w:val="24"/>
                <w:highlight w:val="none"/>
                <w:lang w:val="en-US" w:eastAsia="zh-CN"/>
              </w:rPr>
              <w:t>候选人</w:t>
            </w:r>
            <w:r>
              <w:rPr>
                <w:rFonts w:hint="eastAsia" w:ascii="仿宋" w:hAnsi="仿宋" w:eastAsia="仿宋" w:cs="仿宋"/>
                <w:color w:val="auto"/>
                <w:sz w:val="24"/>
                <w:szCs w:val="24"/>
                <w:highlight w:val="none"/>
              </w:rPr>
              <w:t>，采购人根据相关规定确定成交</w:t>
            </w:r>
            <w:r>
              <w:rPr>
                <w:rFonts w:hint="eastAsia" w:ascii="仿宋" w:hAnsi="仿宋" w:eastAsia="仿宋" w:cs="仿宋"/>
                <w:color w:val="auto"/>
                <w:sz w:val="24"/>
                <w:szCs w:val="24"/>
                <w:highlight w:val="none"/>
                <w:lang w:val="en-US" w:eastAsia="zh-CN"/>
              </w:rPr>
              <w:t>人</w:t>
            </w:r>
            <w:r>
              <w:rPr>
                <w:rFonts w:hint="eastAsia" w:ascii="仿宋" w:hAnsi="仿宋" w:eastAsia="仿宋" w:cs="仿宋"/>
                <w:color w:val="auto"/>
                <w:sz w:val="24"/>
                <w:szCs w:val="24"/>
                <w:highlight w:val="none"/>
              </w:rPr>
              <w:t>。</w:t>
            </w:r>
          </w:p>
        </w:tc>
      </w:tr>
      <w:tr w14:paraId="1C557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jc w:val="center"/>
        </w:trPr>
        <w:tc>
          <w:tcPr>
            <w:tcW w:w="825" w:type="dxa"/>
            <w:noWrap w:val="0"/>
            <w:vAlign w:val="center"/>
          </w:tcPr>
          <w:p w14:paraId="480716D9">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w:t>
            </w:r>
          </w:p>
        </w:tc>
        <w:tc>
          <w:tcPr>
            <w:tcW w:w="1695" w:type="dxa"/>
            <w:noWrap w:val="0"/>
            <w:vAlign w:val="center"/>
          </w:tcPr>
          <w:p w14:paraId="6BCAFD97">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履约</w:t>
            </w:r>
            <w:r>
              <w:rPr>
                <w:rFonts w:hint="eastAsia" w:ascii="仿宋" w:hAnsi="仿宋" w:eastAsia="仿宋" w:cs="仿宋"/>
                <w:color w:val="auto"/>
                <w:sz w:val="24"/>
                <w:szCs w:val="24"/>
                <w:highlight w:val="none"/>
                <w:lang w:val="en-US" w:eastAsia="zh-CN"/>
              </w:rPr>
              <w:t>保证金</w:t>
            </w:r>
          </w:p>
          <w:p w14:paraId="48D7291E">
            <w:pPr>
              <w:pStyle w:val="2"/>
              <w:rPr>
                <w:rFonts w:hint="eastAsia"/>
                <w:highlight w:val="none"/>
                <w:lang w:eastAsia="zh-CN"/>
              </w:rPr>
            </w:pPr>
            <w:r>
              <w:rPr>
                <w:rFonts w:hint="eastAsia" w:ascii="仿宋" w:hAnsi="仿宋" w:eastAsia="仿宋" w:cs="仿宋"/>
                <w:b w:val="0"/>
                <w:bCs w:val="0"/>
                <w:color w:val="auto"/>
                <w:sz w:val="24"/>
                <w:highlight w:val="none"/>
                <w:lang w:val="en-US" w:eastAsia="zh-CN"/>
              </w:rPr>
              <w:t>（具体是否缴纳签订合同时约定）</w:t>
            </w:r>
          </w:p>
        </w:tc>
        <w:tc>
          <w:tcPr>
            <w:tcW w:w="7275" w:type="dxa"/>
            <w:noWrap w:val="0"/>
            <w:vAlign w:val="center"/>
          </w:tcPr>
          <w:p w14:paraId="3A1937F0">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履约保证金</w:t>
            </w:r>
            <w:r>
              <w:rPr>
                <w:rFonts w:hint="eastAsia" w:ascii="仿宋" w:hAnsi="仿宋" w:eastAsia="仿宋" w:cs="仿宋"/>
                <w:color w:val="auto"/>
                <w:sz w:val="24"/>
                <w:highlight w:val="none"/>
                <w:lang w:val="en-US" w:eastAsia="zh-CN"/>
              </w:rPr>
              <w:t>金额</w:t>
            </w:r>
            <w:r>
              <w:rPr>
                <w:rFonts w:hint="eastAsia" w:ascii="仿宋" w:hAnsi="仿宋" w:eastAsia="仿宋" w:cs="仿宋"/>
                <w:color w:val="auto"/>
                <w:kern w:val="2"/>
                <w:sz w:val="24"/>
                <w:highlight w:val="none"/>
                <w:lang w:eastAsia="zh-CN"/>
              </w:rPr>
              <w:t>：成交价的</w:t>
            </w:r>
            <w:r>
              <w:rPr>
                <w:rFonts w:hint="eastAsia" w:ascii="仿宋" w:hAnsi="仿宋" w:eastAsia="仿宋" w:cs="仿宋"/>
                <w:color w:val="auto"/>
                <w:kern w:val="2"/>
                <w:sz w:val="24"/>
                <w:highlight w:val="none"/>
                <w:lang w:val="en-US" w:eastAsia="zh-CN"/>
              </w:rPr>
              <w:t>5</w:t>
            </w:r>
            <w:r>
              <w:rPr>
                <w:rFonts w:hint="eastAsia" w:ascii="仿宋" w:hAnsi="仿宋" w:eastAsia="仿宋" w:cs="仿宋"/>
                <w:color w:val="auto"/>
                <w:kern w:val="2"/>
                <w:sz w:val="24"/>
                <w:highlight w:val="none"/>
                <w:lang w:eastAsia="zh-CN"/>
              </w:rPr>
              <w:t>%，成交人不按规定提交履约保证金</w:t>
            </w:r>
            <w:r>
              <w:rPr>
                <w:rFonts w:hint="eastAsia" w:ascii="仿宋" w:hAnsi="仿宋" w:eastAsia="仿宋" w:cs="仿宋"/>
                <w:color w:val="auto"/>
                <w:sz w:val="24"/>
                <w:highlight w:val="none"/>
                <w:lang w:eastAsia="zh-CN"/>
              </w:rPr>
              <w:t>的视为放弃中标。</w:t>
            </w:r>
          </w:p>
          <w:p w14:paraId="0333E1F4">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缴纳方式：银行转账、支票、汇票、本票、保函。</w:t>
            </w:r>
          </w:p>
          <w:p w14:paraId="60D89FCB">
            <w:pPr>
              <w:pStyle w:val="11"/>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auto"/>
                <w:kern w:val="2"/>
                <w:sz w:val="24"/>
                <w:highlight w:val="none"/>
                <w:lang w:val="en-US" w:eastAsia="zh-CN"/>
              </w:rPr>
            </w:pPr>
            <w:r>
              <w:rPr>
                <w:rFonts w:hint="eastAsia" w:ascii="仿宋" w:hAnsi="仿宋" w:eastAsia="仿宋" w:cs="仿宋"/>
                <w:color w:val="auto"/>
                <w:kern w:val="2"/>
                <w:sz w:val="24"/>
                <w:highlight w:val="none"/>
                <w:lang w:val="en-US" w:eastAsia="zh-CN"/>
              </w:rPr>
              <w:t>履约保证金提交时间：合同签订前。</w:t>
            </w:r>
          </w:p>
          <w:p w14:paraId="6B27988C">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kern w:val="2"/>
                <w:sz w:val="24"/>
                <w:highlight w:val="none"/>
                <w:lang w:val="en-US" w:eastAsia="zh-CN"/>
              </w:rPr>
              <w:t>履约保证金退款时间：工程竣工经双方验收合格后退回。</w:t>
            </w:r>
          </w:p>
        </w:tc>
      </w:tr>
      <w:tr w14:paraId="681F3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jc w:val="center"/>
        </w:trPr>
        <w:tc>
          <w:tcPr>
            <w:tcW w:w="825" w:type="dxa"/>
            <w:noWrap w:val="0"/>
            <w:vAlign w:val="center"/>
          </w:tcPr>
          <w:p w14:paraId="12D63C92">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39</w:t>
            </w:r>
          </w:p>
        </w:tc>
        <w:tc>
          <w:tcPr>
            <w:tcW w:w="8970" w:type="dxa"/>
            <w:gridSpan w:val="2"/>
            <w:noWrap w:val="0"/>
            <w:vAlign w:val="center"/>
          </w:tcPr>
          <w:p w14:paraId="314C32A0">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需要补充的其他内容</w:t>
            </w:r>
          </w:p>
        </w:tc>
      </w:tr>
      <w:tr w14:paraId="26A21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0" w:hRule="atLeast"/>
          <w:jc w:val="center"/>
        </w:trPr>
        <w:tc>
          <w:tcPr>
            <w:tcW w:w="825" w:type="dxa"/>
            <w:noWrap w:val="0"/>
            <w:vAlign w:val="center"/>
          </w:tcPr>
          <w:p w14:paraId="2061DEFA">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39.1</w:t>
            </w:r>
          </w:p>
        </w:tc>
        <w:tc>
          <w:tcPr>
            <w:tcW w:w="1695" w:type="dxa"/>
            <w:noWrap w:val="0"/>
            <w:vAlign w:val="center"/>
          </w:tcPr>
          <w:p w14:paraId="353EDDBB">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报价说明</w:t>
            </w:r>
          </w:p>
        </w:tc>
        <w:tc>
          <w:tcPr>
            <w:tcW w:w="7275" w:type="dxa"/>
            <w:noWrap w:val="0"/>
            <w:vAlign w:val="center"/>
          </w:tcPr>
          <w:p w14:paraId="26AE9F41">
            <w:pPr>
              <w:pStyle w:val="11"/>
              <w:keepNext w:val="0"/>
              <w:keepLines w:val="0"/>
              <w:pageBreakBefore w:val="0"/>
              <w:kinsoku/>
              <w:wordWrap/>
              <w:overflowPunct/>
              <w:topLinePunct w:val="0"/>
              <w:bidi w:val="0"/>
              <w:snapToGrid/>
              <w:spacing w:after="0" w:line="560" w:lineRule="exact"/>
              <w:ind w:firstLine="0" w:firstLineChars="0"/>
              <w:jc w:val="both"/>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（1）报价次数：本项目采用2轮报价</w:t>
            </w:r>
          </w:p>
          <w:p w14:paraId="7F6C4CB2">
            <w:pPr>
              <w:pStyle w:val="11"/>
              <w:keepNext w:val="0"/>
              <w:keepLines w:val="0"/>
              <w:pageBreakBefore w:val="0"/>
              <w:kinsoku/>
              <w:wordWrap/>
              <w:overflowPunct/>
              <w:topLinePunct w:val="0"/>
              <w:bidi w:val="0"/>
              <w:snapToGrid/>
              <w:spacing w:after="0" w:line="560" w:lineRule="exact"/>
              <w:ind w:firstLine="0" w:firstLineChars="0"/>
              <w:jc w:val="both"/>
              <w:textAlignment w:val="auto"/>
              <w:rPr>
                <w:rFonts w:hint="default" w:ascii="仿宋" w:hAnsi="仿宋" w:eastAsia="仿宋" w:cs="仿宋"/>
                <w:color w:val="auto"/>
                <w:kern w:val="0"/>
                <w:sz w:val="24"/>
                <w:szCs w:val="24"/>
                <w:highlight w:val="none"/>
                <w:lang w:val="en-US" w:eastAsia="zh-CN" w:bidi="ar-SA"/>
              </w:rPr>
            </w:pPr>
            <w:r>
              <w:rPr>
                <w:rFonts w:hint="default" w:ascii="仿宋" w:hAnsi="仿宋" w:eastAsia="仿宋" w:cs="仿宋"/>
                <w:color w:val="auto"/>
                <w:kern w:val="0"/>
                <w:sz w:val="24"/>
                <w:szCs w:val="24"/>
                <w:highlight w:val="none"/>
                <w:lang w:val="en-US" w:eastAsia="zh-CN" w:bidi="ar-SA"/>
              </w:rPr>
              <w:t>①.通过符合性响应的供应商应准备实时在线，磋商小组通过网络方式通知供应商在规定时限内，在</w:t>
            </w:r>
            <w:r>
              <w:rPr>
                <w:rFonts w:hint="eastAsia" w:ascii="仿宋" w:hAnsi="仿宋" w:eastAsia="仿宋" w:cs="仿宋"/>
                <w:color w:val="auto"/>
                <w:kern w:val="0"/>
                <w:sz w:val="24"/>
                <w:szCs w:val="24"/>
                <w:highlight w:val="none"/>
                <w:lang w:val="en-US" w:eastAsia="zh-CN" w:bidi="ar-SA"/>
              </w:rPr>
              <w:t>“政采云</w:t>
            </w:r>
            <w:r>
              <w:rPr>
                <w:rFonts w:hint="default" w:ascii="仿宋" w:hAnsi="仿宋" w:eastAsia="仿宋" w:cs="仿宋"/>
                <w:color w:val="auto"/>
                <w:kern w:val="0"/>
                <w:sz w:val="24"/>
                <w:szCs w:val="24"/>
                <w:highlight w:val="none"/>
                <w:lang w:val="en-US" w:eastAsia="zh-CN" w:bidi="ar-SA"/>
              </w:rPr>
              <w:t>平台</w:t>
            </w:r>
            <w:r>
              <w:rPr>
                <w:rFonts w:hint="eastAsia" w:ascii="仿宋" w:hAnsi="仿宋" w:eastAsia="仿宋" w:cs="仿宋"/>
                <w:color w:val="auto"/>
                <w:kern w:val="0"/>
                <w:sz w:val="24"/>
                <w:szCs w:val="24"/>
                <w:highlight w:val="none"/>
                <w:lang w:val="en-US" w:eastAsia="zh-CN" w:bidi="ar-SA"/>
              </w:rPr>
              <w:t>”</w:t>
            </w:r>
            <w:r>
              <w:rPr>
                <w:rFonts w:hint="default" w:ascii="仿宋" w:hAnsi="仿宋" w:eastAsia="仿宋" w:cs="仿宋"/>
                <w:color w:val="auto"/>
                <w:kern w:val="0"/>
                <w:sz w:val="24"/>
                <w:szCs w:val="24"/>
                <w:highlight w:val="none"/>
                <w:lang w:val="en-US" w:eastAsia="zh-CN" w:bidi="ar-SA"/>
              </w:rPr>
              <w:t>进行二次报价，提交最终（第二次）报价。</w:t>
            </w:r>
          </w:p>
          <w:p w14:paraId="11717261">
            <w:pPr>
              <w:pStyle w:val="11"/>
              <w:keepNext w:val="0"/>
              <w:keepLines w:val="0"/>
              <w:pageBreakBefore w:val="0"/>
              <w:kinsoku/>
              <w:wordWrap/>
              <w:overflowPunct/>
              <w:topLinePunct w:val="0"/>
              <w:bidi w:val="0"/>
              <w:snapToGrid/>
              <w:spacing w:after="0" w:line="560" w:lineRule="exact"/>
              <w:ind w:firstLine="0" w:firstLineChars="0"/>
              <w:jc w:val="both"/>
              <w:textAlignment w:val="auto"/>
              <w:rPr>
                <w:rFonts w:hint="default" w:ascii="仿宋" w:hAnsi="仿宋" w:eastAsia="仿宋" w:cs="仿宋"/>
                <w:color w:val="auto"/>
                <w:kern w:val="0"/>
                <w:sz w:val="24"/>
                <w:szCs w:val="24"/>
                <w:highlight w:val="none"/>
                <w:lang w:val="en-US" w:eastAsia="zh-CN" w:bidi="ar-SA"/>
              </w:rPr>
            </w:pPr>
            <w:r>
              <w:rPr>
                <w:rFonts w:hint="default" w:ascii="仿宋" w:hAnsi="仿宋" w:eastAsia="仿宋" w:cs="仿宋"/>
                <w:color w:val="auto"/>
                <w:kern w:val="0"/>
                <w:sz w:val="24"/>
                <w:szCs w:val="24"/>
                <w:highlight w:val="none"/>
                <w:lang w:val="en-US" w:eastAsia="zh-CN" w:bidi="ar-SA"/>
              </w:rPr>
              <w:t>②.供应商一共有二次报价机会（第一次报价为电子响应文件中的报价，第二次报价为最终报价）。最终报价的准备时间按</w:t>
            </w:r>
            <w:r>
              <w:rPr>
                <w:rFonts w:hint="eastAsia" w:ascii="仿宋" w:hAnsi="仿宋" w:eastAsia="仿宋" w:cs="仿宋"/>
                <w:color w:val="auto"/>
                <w:kern w:val="0"/>
                <w:sz w:val="24"/>
                <w:szCs w:val="24"/>
                <w:highlight w:val="none"/>
                <w:lang w:val="en-US" w:eastAsia="zh-CN" w:bidi="ar-SA"/>
              </w:rPr>
              <w:t>“政采云</w:t>
            </w:r>
            <w:r>
              <w:rPr>
                <w:rFonts w:hint="default" w:ascii="仿宋" w:hAnsi="仿宋" w:eastAsia="仿宋" w:cs="仿宋"/>
                <w:color w:val="auto"/>
                <w:kern w:val="0"/>
                <w:sz w:val="24"/>
                <w:szCs w:val="24"/>
                <w:highlight w:val="none"/>
                <w:lang w:val="en-US" w:eastAsia="zh-CN" w:bidi="ar-SA"/>
              </w:rPr>
              <w:t>平台</w:t>
            </w:r>
            <w:r>
              <w:rPr>
                <w:rFonts w:hint="eastAsia" w:ascii="仿宋" w:hAnsi="仿宋" w:eastAsia="仿宋" w:cs="仿宋"/>
                <w:color w:val="auto"/>
                <w:kern w:val="0"/>
                <w:sz w:val="24"/>
                <w:szCs w:val="24"/>
                <w:highlight w:val="none"/>
                <w:lang w:val="en-US" w:eastAsia="zh-CN" w:bidi="ar-SA"/>
              </w:rPr>
              <w:t>”</w:t>
            </w:r>
            <w:r>
              <w:rPr>
                <w:rFonts w:hint="default" w:ascii="仿宋" w:hAnsi="仿宋" w:eastAsia="仿宋" w:cs="仿宋"/>
                <w:color w:val="auto"/>
                <w:kern w:val="0"/>
                <w:sz w:val="24"/>
                <w:szCs w:val="24"/>
                <w:highlight w:val="none"/>
                <w:lang w:val="en-US" w:eastAsia="zh-CN" w:bidi="ar-SA"/>
              </w:rPr>
              <w:t>要求为准，超出规定时间未进行报价的，视为放弃最终报价，按第一次报价为准。</w:t>
            </w:r>
          </w:p>
          <w:p w14:paraId="2685D387">
            <w:pPr>
              <w:spacing w:after="0" w:line="360" w:lineRule="auto"/>
              <w:rPr>
                <w:rFonts w:hint="eastAsia" w:ascii="仿宋" w:hAnsi="仿宋" w:eastAsia="仿宋" w:cs="仿宋"/>
                <w:color w:val="auto"/>
                <w:kern w:val="0"/>
                <w:sz w:val="24"/>
                <w:szCs w:val="24"/>
                <w:highlight w:val="none"/>
                <w:lang w:val="en-US" w:eastAsia="zh-CN" w:bidi="ar-SA"/>
              </w:rPr>
            </w:pPr>
            <w:r>
              <w:rPr>
                <w:rFonts w:hint="default" w:ascii="仿宋" w:hAnsi="仿宋" w:eastAsia="仿宋" w:cs="仿宋"/>
                <w:color w:val="auto"/>
                <w:kern w:val="0"/>
                <w:sz w:val="24"/>
                <w:szCs w:val="24"/>
                <w:highlight w:val="none"/>
                <w:lang w:val="en-US" w:eastAsia="zh-CN" w:bidi="ar-SA"/>
              </w:rPr>
              <w:t>③.供应商在</w:t>
            </w:r>
            <w:r>
              <w:rPr>
                <w:rFonts w:hint="eastAsia" w:ascii="仿宋" w:hAnsi="仿宋" w:eastAsia="仿宋" w:cs="仿宋"/>
                <w:color w:val="auto"/>
                <w:kern w:val="0"/>
                <w:sz w:val="24"/>
                <w:szCs w:val="24"/>
                <w:highlight w:val="none"/>
                <w:lang w:val="en-US" w:eastAsia="zh-CN" w:bidi="ar-SA"/>
              </w:rPr>
              <w:t>“政采云</w:t>
            </w:r>
            <w:r>
              <w:rPr>
                <w:rFonts w:hint="default" w:ascii="仿宋" w:hAnsi="仿宋" w:eastAsia="仿宋" w:cs="仿宋"/>
                <w:color w:val="auto"/>
                <w:kern w:val="0"/>
                <w:sz w:val="24"/>
                <w:szCs w:val="24"/>
                <w:highlight w:val="none"/>
                <w:lang w:val="en-US" w:eastAsia="zh-CN" w:bidi="ar-SA"/>
              </w:rPr>
              <w:t>平台</w:t>
            </w:r>
            <w:r>
              <w:rPr>
                <w:rFonts w:hint="eastAsia" w:ascii="仿宋" w:hAnsi="仿宋" w:eastAsia="仿宋" w:cs="仿宋"/>
                <w:color w:val="auto"/>
                <w:kern w:val="0"/>
                <w:sz w:val="24"/>
                <w:szCs w:val="24"/>
                <w:highlight w:val="none"/>
                <w:lang w:val="en-US" w:eastAsia="zh-CN" w:bidi="ar-SA"/>
              </w:rPr>
              <w:t>”</w:t>
            </w:r>
            <w:r>
              <w:rPr>
                <w:rFonts w:hint="default" w:ascii="仿宋" w:hAnsi="仿宋" w:eastAsia="仿宋" w:cs="仿宋"/>
                <w:color w:val="auto"/>
                <w:kern w:val="0"/>
                <w:sz w:val="24"/>
                <w:szCs w:val="24"/>
                <w:highlight w:val="none"/>
                <w:lang w:val="en-US" w:eastAsia="zh-CN" w:bidi="ar-SA"/>
              </w:rPr>
              <w:t>完成最终报价后可以离场，若发生意外状况，采购代理机构电话通知参与最终报价的供应商。</w:t>
            </w:r>
          </w:p>
          <w:p w14:paraId="4CF1E704">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2）磋商报价方式：供应商应依据本磋商文件、服务要求及有关资料，根据供应商自身综合实力、现行市场价格自行测算出满足采购要求的投标报价，该投标报价须包含供应商人工费、运杂费、仓储费、利润、税金以及国家规定的各项费用。因成交人自身原因造成漏报、少报皆由其自行承担责任，采购人不再补偿。</w:t>
            </w:r>
            <w:r>
              <w:rPr>
                <w:rFonts w:hint="eastAsia" w:ascii="仿宋" w:hAnsi="仿宋" w:eastAsia="仿宋" w:cs="仿宋"/>
                <w:color w:val="auto"/>
                <w:sz w:val="24"/>
                <w:szCs w:val="24"/>
                <w:highlight w:val="none"/>
              </w:rPr>
              <w:t xml:space="preserve">                                                            </w:t>
            </w:r>
          </w:p>
        </w:tc>
      </w:tr>
      <w:tr w14:paraId="29EFC5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9" w:hRule="atLeast"/>
          <w:jc w:val="center"/>
        </w:trPr>
        <w:tc>
          <w:tcPr>
            <w:tcW w:w="825" w:type="dxa"/>
            <w:tcBorders>
              <w:top w:val="single" w:color="auto" w:sz="4" w:space="0"/>
              <w:bottom w:val="single" w:color="auto" w:sz="4" w:space="0"/>
              <w:right w:val="single" w:color="auto" w:sz="4" w:space="0"/>
            </w:tcBorders>
            <w:noWrap w:val="0"/>
            <w:vAlign w:val="center"/>
          </w:tcPr>
          <w:p w14:paraId="308F8A34">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39.2</w:t>
            </w:r>
          </w:p>
        </w:tc>
        <w:tc>
          <w:tcPr>
            <w:tcW w:w="1695" w:type="dxa"/>
            <w:tcBorders>
              <w:top w:val="single" w:color="auto" w:sz="4" w:space="0"/>
              <w:left w:val="single" w:color="auto" w:sz="4" w:space="0"/>
              <w:bottom w:val="single" w:color="auto" w:sz="4" w:space="0"/>
              <w:right w:val="single" w:color="auto" w:sz="4" w:space="0"/>
            </w:tcBorders>
            <w:noWrap w:val="0"/>
            <w:vAlign w:val="center"/>
          </w:tcPr>
          <w:p w14:paraId="3A9D0948">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知识产权</w:t>
            </w:r>
          </w:p>
        </w:tc>
        <w:tc>
          <w:tcPr>
            <w:tcW w:w="7275" w:type="dxa"/>
            <w:tcBorders>
              <w:top w:val="single" w:color="auto" w:sz="4" w:space="0"/>
              <w:left w:val="single" w:color="auto" w:sz="4" w:space="0"/>
              <w:bottom w:val="single" w:color="auto" w:sz="4" w:space="0"/>
            </w:tcBorders>
            <w:noWrap w:val="0"/>
            <w:vAlign w:val="center"/>
          </w:tcPr>
          <w:p w14:paraId="707953B7">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磋商申请单位必须遵守《中华人民共和国保守国家秘密法</w:t>
            </w:r>
            <w:r>
              <w:rPr>
                <w:rFonts w:hint="eastAsia" w:ascii="仿宋" w:hAnsi="仿宋" w:eastAsia="仿宋" w:cs="仿宋"/>
                <w:color w:val="auto"/>
                <w:sz w:val="24"/>
                <w:szCs w:val="24"/>
                <w:highlight w:val="none"/>
                <w:lang w:eastAsia="zh-CN"/>
              </w:rPr>
              <w:t>》和《</w:t>
            </w:r>
            <w:r>
              <w:rPr>
                <w:rFonts w:hint="eastAsia" w:ascii="仿宋" w:hAnsi="仿宋" w:eastAsia="仿宋" w:cs="仿宋"/>
                <w:color w:val="auto"/>
                <w:sz w:val="24"/>
                <w:szCs w:val="24"/>
                <w:highlight w:val="none"/>
              </w:rPr>
              <w:t>中华人民共和国保守国家秘密法实施条例</w:t>
            </w:r>
            <w:r>
              <w:rPr>
                <w:rFonts w:hint="eastAsia" w:ascii="仿宋" w:hAnsi="仿宋" w:eastAsia="仿宋" w:cs="仿宋"/>
                <w:color w:val="auto"/>
                <w:sz w:val="24"/>
                <w:szCs w:val="24"/>
                <w:highlight w:val="none"/>
                <w:lang w:eastAsia="zh-CN"/>
              </w:rPr>
              <w:t>》等</w:t>
            </w:r>
            <w:r>
              <w:rPr>
                <w:rFonts w:hint="eastAsia" w:ascii="仿宋" w:hAnsi="仿宋" w:eastAsia="仿宋" w:cs="仿宋"/>
                <w:color w:val="auto"/>
                <w:sz w:val="24"/>
                <w:szCs w:val="24"/>
                <w:highlight w:val="none"/>
              </w:rPr>
              <w:t>规定做好保密工作，构成本磋商文件各个组成部分的文件，未经采购人书面同意，</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不得擅自复印和用于非本磋商项目所需的其他目的。采购人全部或者部分使用未成交人磋商响应文件中的技术成果或技术方案时，需征得其书面同意，并不得擅自复印或提供给第三人。</w:t>
            </w:r>
          </w:p>
        </w:tc>
      </w:tr>
      <w:tr w14:paraId="4E46C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5" w:hRule="atLeast"/>
          <w:jc w:val="center"/>
        </w:trPr>
        <w:tc>
          <w:tcPr>
            <w:tcW w:w="825" w:type="dxa"/>
            <w:tcBorders>
              <w:top w:val="single" w:color="auto" w:sz="4" w:space="0"/>
              <w:bottom w:val="single" w:color="auto" w:sz="4" w:space="0"/>
              <w:right w:val="single" w:color="auto" w:sz="4" w:space="0"/>
            </w:tcBorders>
            <w:noWrap w:val="0"/>
            <w:vAlign w:val="center"/>
          </w:tcPr>
          <w:p w14:paraId="1675B747">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39.3</w:t>
            </w:r>
          </w:p>
        </w:tc>
        <w:tc>
          <w:tcPr>
            <w:tcW w:w="1695" w:type="dxa"/>
            <w:tcBorders>
              <w:top w:val="single" w:color="auto" w:sz="4" w:space="0"/>
              <w:left w:val="single" w:color="auto" w:sz="4" w:space="0"/>
              <w:bottom w:val="single" w:color="auto" w:sz="4" w:space="0"/>
              <w:right w:val="single" w:color="auto" w:sz="4" w:space="0"/>
            </w:tcBorders>
            <w:noWrap w:val="0"/>
            <w:vAlign w:val="center"/>
          </w:tcPr>
          <w:p w14:paraId="10456E93">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解释权</w:t>
            </w:r>
          </w:p>
        </w:tc>
        <w:tc>
          <w:tcPr>
            <w:tcW w:w="7275" w:type="dxa"/>
            <w:tcBorders>
              <w:top w:val="single" w:color="auto" w:sz="4" w:space="0"/>
              <w:left w:val="single" w:color="auto" w:sz="4" w:space="0"/>
              <w:bottom w:val="single" w:color="auto" w:sz="4" w:space="0"/>
            </w:tcBorders>
            <w:noWrap w:val="0"/>
            <w:vAlign w:val="center"/>
          </w:tcPr>
          <w:p w14:paraId="338F187E">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构成本采购文件的各个组成文件应互为解释，互为说明；如有不明确或不一致，构成合同文件组成内容的，以合同文件约定内容为准，且以专用合同条款约定的合同文件优先顺序解释；除采购文件中有特别规定外，仅适用于采购全过程阶段的规定，按</w:t>
            </w:r>
            <w:r>
              <w:rPr>
                <w:rFonts w:hint="eastAsia" w:ascii="仿宋" w:hAnsi="仿宋" w:eastAsia="仿宋" w:cs="仿宋"/>
                <w:color w:val="auto"/>
                <w:sz w:val="24"/>
                <w:szCs w:val="24"/>
                <w:highlight w:val="none"/>
                <w:lang w:val="en-US" w:eastAsia="zh-CN"/>
              </w:rPr>
              <w:t>竞争性</w:t>
            </w:r>
            <w:r>
              <w:rPr>
                <w:rFonts w:hint="eastAsia" w:ascii="仿宋" w:hAnsi="仿宋" w:eastAsia="仿宋" w:cs="仿宋"/>
                <w:color w:val="auto"/>
                <w:sz w:val="24"/>
                <w:szCs w:val="24"/>
                <w:highlight w:val="none"/>
              </w:rPr>
              <w:t>磋商公告、</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评审办法、磋商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0496A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 w:hRule="atLeast"/>
          <w:jc w:val="center"/>
        </w:trPr>
        <w:tc>
          <w:tcPr>
            <w:tcW w:w="825" w:type="dxa"/>
            <w:tcBorders>
              <w:top w:val="single" w:color="auto" w:sz="4" w:space="0"/>
              <w:bottom w:val="single" w:color="auto" w:sz="4" w:space="0"/>
              <w:right w:val="single" w:color="auto" w:sz="4" w:space="0"/>
            </w:tcBorders>
            <w:noWrap w:val="0"/>
            <w:vAlign w:val="center"/>
          </w:tcPr>
          <w:p w14:paraId="0D62CE8D">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39.4</w:t>
            </w:r>
          </w:p>
        </w:tc>
        <w:tc>
          <w:tcPr>
            <w:tcW w:w="169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97C873D">
            <w:pPr>
              <w:spacing w:after="0" w:line="360" w:lineRule="auto"/>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政府采购政策功能（若有时提供）</w:t>
            </w:r>
          </w:p>
        </w:tc>
        <w:tc>
          <w:tcPr>
            <w:tcW w:w="7275" w:type="dxa"/>
            <w:tcBorders>
              <w:top w:val="single" w:color="auto" w:sz="4" w:space="0"/>
              <w:left w:val="single" w:color="auto" w:sz="4" w:space="0"/>
              <w:bottom w:val="single" w:color="auto" w:sz="4" w:space="0"/>
            </w:tcBorders>
            <w:shd w:val="clear" w:color="auto" w:fill="auto"/>
            <w:noWrap w:val="0"/>
            <w:vAlign w:val="center"/>
          </w:tcPr>
          <w:p w14:paraId="385A7CFC">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b w:val="0"/>
                <w:bCs w:val="0"/>
                <w:color w:val="auto"/>
                <w:kern w:val="2"/>
                <w:sz w:val="24"/>
                <w:szCs w:val="24"/>
                <w:highlight w:val="none"/>
                <w:u w:val="none"/>
                <w:lang w:val="en-US" w:eastAsia="zh-CN"/>
              </w:rPr>
            </w:pPr>
            <w:r>
              <w:rPr>
                <w:rFonts w:hint="eastAsia" w:ascii="仿宋" w:hAnsi="仿宋" w:eastAsia="仿宋" w:cs="仿宋"/>
                <w:b w:val="0"/>
                <w:bCs w:val="0"/>
                <w:color w:val="auto"/>
                <w:kern w:val="2"/>
                <w:sz w:val="24"/>
                <w:szCs w:val="24"/>
                <w:highlight w:val="none"/>
                <w:u w:val="none"/>
                <w:lang w:val="en-US" w:eastAsia="zh-CN"/>
              </w:rPr>
              <w:t>本项目不专门面向中小企业采购，评审时小型和微型企业产品享受10%的价格扣除，监狱企业、残疾人福利性单位视同小型、微型企业。根据“《关于印发〈政府采购促进中小企业发展管理办法〉的通知》（财库〔2020〕46号）及《工业和信息化 部、国家统计局、国家发展和改革委员会、财政部关于印发中小企业划型标准规定的通知》（工信部联企业〔2011〕300号）”规定的划分标准。</w:t>
            </w:r>
            <w:r>
              <w:rPr>
                <w:rFonts w:hint="eastAsia" w:ascii="仿宋" w:hAnsi="仿宋" w:eastAsia="仿宋" w:cs="仿宋"/>
                <w:color w:val="auto"/>
                <w:kern w:val="2"/>
                <w:sz w:val="24"/>
                <w:highlight w:val="none"/>
                <w:lang w:val="en-US" w:eastAsia="zh-CN"/>
              </w:rPr>
              <w:t>本项目所属行业为</w:t>
            </w:r>
            <w:r>
              <w:rPr>
                <w:rFonts w:hint="eastAsia" w:ascii="仿宋" w:hAnsi="仿宋" w:eastAsia="仿宋" w:cs="仿宋"/>
                <w:b/>
                <w:bCs/>
                <w:color w:val="auto"/>
                <w:kern w:val="2"/>
                <w:sz w:val="24"/>
                <w:highlight w:val="none"/>
                <w:lang w:val="en-US" w:eastAsia="zh-CN"/>
              </w:rPr>
              <w:t>其他未列明行业。</w:t>
            </w:r>
          </w:p>
          <w:p w14:paraId="16E0EB28">
            <w:pPr>
              <w:pageBreakBefore w:val="0"/>
              <w:widowControl w:val="0"/>
              <w:kinsoku/>
              <w:wordWrap/>
              <w:overflowPunct/>
              <w:topLinePunct w:val="0"/>
              <w:autoSpaceDE/>
              <w:autoSpaceDN/>
              <w:bidi w:val="0"/>
              <w:adjustRightInd/>
              <w:snapToGrid/>
              <w:spacing w:after="0" w:line="560" w:lineRule="exact"/>
              <w:ind w:firstLine="540" w:firstLineChars="0"/>
              <w:jc w:val="both"/>
              <w:textAlignment w:val="auto"/>
              <w:rPr>
                <w:rFonts w:hint="eastAsia" w:ascii="仿宋" w:hAnsi="仿宋" w:eastAsia="仿宋" w:cs="仿宋"/>
                <w:color w:val="auto"/>
                <w:kern w:val="2"/>
                <w:sz w:val="24"/>
                <w:szCs w:val="22"/>
                <w:highlight w:val="none"/>
                <w:lang w:val="en-US" w:eastAsia="zh-CN" w:bidi="ar-SA"/>
              </w:rPr>
            </w:pPr>
            <w:r>
              <w:rPr>
                <w:rFonts w:hint="eastAsia" w:ascii="仿宋" w:hAnsi="仿宋" w:eastAsia="仿宋" w:cs="仿宋"/>
                <w:b w:val="0"/>
                <w:bCs w:val="0"/>
                <w:sz w:val="24"/>
                <w:szCs w:val="24"/>
                <w:highlight w:val="none"/>
                <w:lang w:val="en-US" w:eastAsia="zh-CN"/>
              </w:rPr>
              <w:t>根据《工业和信息化部、国家统计局、国家发展和改革委员会、财政部关于印发中小企业划型标准规定的通知》（工信部联企业〔2011〕300号）的规定，</w:t>
            </w:r>
            <w:r>
              <w:rPr>
                <w:rFonts w:hint="eastAsia" w:ascii="仿宋" w:hAnsi="仿宋" w:eastAsia="仿宋" w:cs="仿宋"/>
                <w:b/>
                <w:bCs/>
                <w:sz w:val="24"/>
                <w:szCs w:val="24"/>
                <w:highlight w:val="none"/>
                <w:lang w:val="en-US" w:eastAsia="zh-CN"/>
              </w:rPr>
              <w:t>其他未列明行业划型标准为</w:t>
            </w:r>
            <w:r>
              <w:rPr>
                <w:rFonts w:hint="eastAsia" w:ascii="仿宋" w:hAnsi="仿宋" w:eastAsia="仿宋" w:cs="仿宋"/>
                <w:b w:val="0"/>
                <w:bCs w:val="0"/>
                <w:sz w:val="24"/>
                <w:szCs w:val="24"/>
                <w:highlight w:val="none"/>
                <w:lang w:val="en-US" w:eastAsia="zh-CN"/>
              </w:rPr>
              <w:t>：</w:t>
            </w:r>
            <w:r>
              <w:rPr>
                <w:rFonts w:hint="eastAsia" w:ascii="仿宋" w:hAnsi="仿宋" w:eastAsia="仿宋" w:cs="仿宋"/>
                <w:b w:val="0"/>
                <w:bCs w:val="0"/>
                <w:color w:val="auto"/>
                <w:kern w:val="2"/>
                <w:sz w:val="24"/>
                <w:szCs w:val="24"/>
                <w:highlight w:val="none"/>
                <w:u w:val="none"/>
                <w:lang w:val="en-US" w:eastAsia="zh-CN"/>
              </w:rPr>
              <w:t>从业人员300人以下的为中小微型企业。其中，从业人员100人及以上的为中型企业；从业人员10人及以上的为小型企业；从业人员10人以下的为微型企业。</w:t>
            </w:r>
          </w:p>
        </w:tc>
      </w:tr>
      <w:tr w14:paraId="69470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 w:hRule="atLeast"/>
          <w:jc w:val="center"/>
        </w:trPr>
        <w:tc>
          <w:tcPr>
            <w:tcW w:w="825" w:type="dxa"/>
            <w:tcBorders>
              <w:top w:val="single" w:color="auto" w:sz="4" w:space="0"/>
              <w:bottom w:val="single" w:color="auto" w:sz="4" w:space="0"/>
              <w:right w:val="single" w:color="auto" w:sz="4" w:space="0"/>
            </w:tcBorders>
            <w:noWrap w:val="0"/>
            <w:vAlign w:val="center"/>
          </w:tcPr>
          <w:p w14:paraId="55F56628">
            <w:pPr>
              <w:spacing w:after="0" w:line="360" w:lineRule="auto"/>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rPr>
              <w:t>39.5</w:t>
            </w:r>
          </w:p>
        </w:tc>
        <w:tc>
          <w:tcPr>
            <w:tcW w:w="1695" w:type="dxa"/>
            <w:tcBorders>
              <w:top w:val="single" w:color="auto" w:sz="4" w:space="0"/>
              <w:left w:val="single" w:color="auto" w:sz="4" w:space="0"/>
              <w:bottom w:val="single" w:color="auto" w:sz="4" w:space="0"/>
              <w:right w:val="single" w:color="auto" w:sz="4" w:space="0"/>
            </w:tcBorders>
            <w:noWrap w:val="0"/>
            <w:vAlign w:val="center"/>
          </w:tcPr>
          <w:p w14:paraId="56052F91">
            <w:pPr>
              <w:spacing w:after="0" w:line="360" w:lineRule="auto"/>
              <w:jc w:val="center"/>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rPr>
              <w:t>词语的定义</w:t>
            </w:r>
          </w:p>
        </w:tc>
        <w:tc>
          <w:tcPr>
            <w:tcW w:w="7275" w:type="dxa"/>
            <w:tcBorders>
              <w:top w:val="single" w:color="auto" w:sz="4" w:space="0"/>
              <w:left w:val="single" w:color="auto" w:sz="4" w:space="0"/>
              <w:bottom w:val="single" w:color="auto" w:sz="4" w:space="0"/>
            </w:tcBorders>
            <w:noWrap w:val="0"/>
            <w:vAlign w:val="center"/>
          </w:tcPr>
          <w:p w14:paraId="298C1A67">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1 \* GB3</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①</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”系指获得资金或贷款的国家机关、企事业单位或者其他社会组织，或称业主。</w:t>
            </w:r>
          </w:p>
          <w:p w14:paraId="19D2E9CB">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2 \* GB3</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②</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供应商”“成交人</w:t>
            </w:r>
            <w:r>
              <w:rPr>
                <w:rFonts w:hint="eastAsia" w:ascii="仿宋" w:hAnsi="仿宋" w:eastAsia="仿宋" w:cs="仿宋"/>
                <w:color w:val="auto"/>
                <w:sz w:val="24"/>
                <w:szCs w:val="24"/>
                <w:highlight w:val="none"/>
              </w:rPr>
              <w:t>”系指向</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提交</w:t>
            </w:r>
            <w:r>
              <w:rPr>
                <w:rFonts w:hint="eastAsia" w:ascii="仿宋" w:hAnsi="仿宋" w:eastAsia="仿宋" w:cs="仿宋"/>
                <w:color w:val="auto"/>
                <w:sz w:val="24"/>
                <w:szCs w:val="24"/>
                <w:highlight w:val="none"/>
                <w:lang w:eastAsia="zh-CN"/>
              </w:rPr>
              <w:t>竞争性磋商响应文件</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”的投标产品中标后，即为“</w:t>
            </w:r>
            <w:r>
              <w:rPr>
                <w:rFonts w:hint="eastAsia" w:ascii="仿宋" w:hAnsi="仿宋" w:eastAsia="仿宋" w:cs="仿宋"/>
                <w:color w:val="auto"/>
                <w:sz w:val="24"/>
                <w:szCs w:val="24"/>
                <w:highlight w:val="none"/>
                <w:lang w:eastAsia="zh-CN"/>
              </w:rPr>
              <w:t>成交人</w:t>
            </w:r>
            <w:r>
              <w:rPr>
                <w:rFonts w:hint="eastAsia" w:ascii="仿宋" w:hAnsi="仿宋" w:eastAsia="仿宋" w:cs="仿宋"/>
                <w:color w:val="auto"/>
                <w:sz w:val="24"/>
                <w:szCs w:val="24"/>
                <w:highlight w:val="none"/>
              </w:rPr>
              <w:t>”。</w:t>
            </w:r>
          </w:p>
          <w:p w14:paraId="5AE8B6A4">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3 \* GB3</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③</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“招标代理机构”或“采购代理机构”系指依法备案，从事招标代理业务并提供相关服务的社会中介组织。</w:t>
            </w:r>
          </w:p>
          <w:p w14:paraId="35A6FF47">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4 \* GB3</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④</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“服务”系指</w:t>
            </w:r>
            <w:r>
              <w:rPr>
                <w:rFonts w:hint="eastAsia" w:ascii="仿宋" w:hAnsi="仿宋" w:eastAsia="仿宋" w:cs="仿宋"/>
                <w:color w:val="auto"/>
                <w:sz w:val="24"/>
                <w:szCs w:val="24"/>
                <w:highlight w:val="none"/>
                <w:lang w:eastAsia="zh-CN"/>
              </w:rPr>
              <w:t>竞争性磋商文件</w:t>
            </w:r>
            <w:r>
              <w:rPr>
                <w:rFonts w:hint="eastAsia" w:ascii="仿宋" w:hAnsi="仿宋" w:eastAsia="仿宋" w:cs="仿宋"/>
                <w:color w:val="auto"/>
                <w:sz w:val="24"/>
                <w:szCs w:val="24"/>
                <w:highlight w:val="none"/>
              </w:rPr>
              <w:t>规定的需</w:t>
            </w:r>
            <w:r>
              <w:rPr>
                <w:rFonts w:hint="eastAsia" w:ascii="仿宋" w:hAnsi="仿宋" w:eastAsia="仿宋" w:cs="仿宋"/>
                <w:color w:val="auto"/>
                <w:sz w:val="24"/>
                <w:szCs w:val="24"/>
                <w:highlight w:val="none"/>
                <w:lang w:eastAsia="zh-CN"/>
              </w:rPr>
              <w:t>成交人</w:t>
            </w:r>
            <w:r>
              <w:rPr>
                <w:rFonts w:hint="eastAsia" w:ascii="仿宋" w:hAnsi="仿宋" w:eastAsia="仿宋" w:cs="仿宋"/>
                <w:color w:val="auto"/>
                <w:sz w:val="24"/>
                <w:szCs w:val="24"/>
                <w:highlight w:val="none"/>
              </w:rPr>
              <w:t>承担的如运输、保险及其它服务，或指导安装、调试、提供技术协助、培训及其它义务。</w:t>
            </w:r>
          </w:p>
          <w:p w14:paraId="62E01005">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5 \* GB3</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⑤</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“单位公章”系指刻有工商登记部门核准并登记的法人名称全称的公章，简称“公章”。</w:t>
            </w:r>
          </w:p>
          <w:p w14:paraId="798F24A9">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6 \* GB3</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⑥</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法人”系指具有民事权利能力和民事行为能力，依法独立享有民事权利和承担民事义务的组织。简言之，法人是具有民事权利主体资格的社会组织。我国的法人主要有四种：机关法人、事业法人、企业法人和社团法人。</w:t>
            </w:r>
          </w:p>
          <w:p w14:paraId="1E31F452">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7 \* GB3</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⑦</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“企业法人”系指依照《中华人民共和国公司法》在中国境内设立的有限责任公司和股份有限公司。</w:t>
            </w:r>
          </w:p>
          <w:p w14:paraId="32AF765A">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8 \* GB3</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⑧</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“法定代表人”系指依照法律或法人组织章程规定，代表法人行使职权的负责人。</w:t>
            </w:r>
          </w:p>
          <w:p w14:paraId="2848E38F">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9 \* GB3</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⑨</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“书面”表示有收到证明的书面通讯</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如电报、传真、信函</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w:t>
            </w:r>
          </w:p>
          <w:p w14:paraId="03814E00">
            <w:pPr>
              <w:spacing w:after="0" w:line="360" w:lineRule="auto"/>
              <w:rPr>
                <w:rFonts w:hint="eastAsia" w:ascii="仿宋" w:hAnsi="仿宋" w:eastAsia="仿宋" w:cs="仿宋"/>
                <w:color w:val="auto"/>
                <w:kern w:val="2"/>
                <w:sz w:val="24"/>
                <w:highlight w:val="none"/>
                <w:lang w:val="en-US" w:eastAsia="zh-CN"/>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10 \* GB3</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⑩</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“天”系指日历天数。</w:t>
            </w:r>
          </w:p>
        </w:tc>
      </w:tr>
      <w:tr w14:paraId="792E5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jc w:val="center"/>
        </w:trPr>
        <w:tc>
          <w:tcPr>
            <w:tcW w:w="825" w:type="dxa"/>
            <w:tcBorders>
              <w:top w:val="single" w:color="auto" w:sz="4" w:space="0"/>
              <w:bottom w:val="single" w:color="auto" w:sz="4" w:space="0"/>
              <w:right w:val="single" w:color="auto" w:sz="4" w:space="0"/>
            </w:tcBorders>
            <w:noWrap w:val="0"/>
            <w:vAlign w:val="center"/>
          </w:tcPr>
          <w:p w14:paraId="5364673B">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39</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p>
        </w:tc>
        <w:tc>
          <w:tcPr>
            <w:tcW w:w="1695" w:type="dxa"/>
            <w:tcBorders>
              <w:top w:val="single" w:color="auto" w:sz="4" w:space="0"/>
              <w:left w:val="single" w:color="auto" w:sz="4" w:space="0"/>
              <w:bottom w:val="single" w:color="auto" w:sz="4" w:space="0"/>
              <w:right w:val="single" w:color="auto" w:sz="4" w:space="0"/>
            </w:tcBorders>
            <w:noWrap w:val="0"/>
            <w:vAlign w:val="center"/>
          </w:tcPr>
          <w:p w14:paraId="5AF2134B">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其他未尽事宜</w:t>
            </w:r>
          </w:p>
        </w:tc>
        <w:tc>
          <w:tcPr>
            <w:tcW w:w="7275" w:type="dxa"/>
            <w:tcBorders>
              <w:top w:val="single" w:color="auto" w:sz="4" w:space="0"/>
              <w:left w:val="single" w:color="auto" w:sz="4" w:space="0"/>
              <w:bottom w:val="single" w:color="auto" w:sz="4" w:space="0"/>
            </w:tcBorders>
            <w:noWrap w:val="0"/>
            <w:vAlign w:val="center"/>
          </w:tcPr>
          <w:p w14:paraId="2651197A">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本采购文件未尽事宜，按现行相关法律法规执行。</w:t>
            </w:r>
          </w:p>
        </w:tc>
      </w:tr>
      <w:tr w14:paraId="40471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825" w:type="dxa"/>
            <w:tcBorders>
              <w:top w:val="single" w:color="auto" w:sz="4" w:space="0"/>
              <w:bottom w:val="single" w:color="auto" w:sz="4" w:space="0"/>
              <w:right w:val="single" w:color="auto" w:sz="4" w:space="0"/>
            </w:tcBorders>
            <w:noWrap w:val="0"/>
            <w:vAlign w:val="center"/>
          </w:tcPr>
          <w:p w14:paraId="1A2A2DF0">
            <w:pPr>
              <w:spacing w:after="0"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40</w:t>
            </w:r>
          </w:p>
        </w:tc>
        <w:tc>
          <w:tcPr>
            <w:tcW w:w="1695" w:type="dxa"/>
            <w:tcBorders>
              <w:top w:val="single" w:color="auto" w:sz="4" w:space="0"/>
              <w:left w:val="single" w:color="auto" w:sz="4" w:space="0"/>
              <w:bottom w:val="single" w:color="auto" w:sz="4" w:space="0"/>
              <w:right w:val="single" w:color="auto" w:sz="4" w:space="0"/>
            </w:tcBorders>
            <w:noWrap w:val="0"/>
            <w:vAlign w:val="center"/>
          </w:tcPr>
          <w:p w14:paraId="65A79524">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val="en-US" w:eastAsia="zh-CN"/>
              </w:rPr>
              <w:t>异常低价</w:t>
            </w:r>
          </w:p>
        </w:tc>
        <w:tc>
          <w:tcPr>
            <w:tcW w:w="7275" w:type="dxa"/>
            <w:tcBorders>
              <w:top w:val="single" w:color="auto" w:sz="4" w:space="0"/>
              <w:left w:val="single" w:color="auto" w:sz="4" w:space="0"/>
              <w:bottom w:val="single" w:color="auto" w:sz="4" w:space="0"/>
            </w:tcBorders>
            <w:noWrap w:val="0"/>
            <w:vAlign w:val="center"/>
          </w:tcPr>
          <w:p w14:paraId="3AEB2402">
            <w:pPr>
              <w:spacing w:line="360" w:lineRule="auto"/>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参照《关于推动解决政府采购异常低价问题的通知》（财库〔2026〕2号）文件，磋商小组在评审过程中，如发现供应商的报价明显低于其他通过符合性审查供应商的报价，或者在设有最高投标限价的情况下，明显低于最高投标限价，且可能影响产品质量或者不能诚信履约的，应当启动异常低价审查程序。</w:t>
            </w:r>
          </w:p>
          <w:p w14:paraId="1BE4ABC6">
            <w:pPr>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（1）投标（响应）报价低于全部通过符合性审查供应商投标（响应）报价平均值50%的，即投标（响应）报价〈全部通过符合性审查供应商投标（响应）报价平均值×50%；</w:t>
            </w:r>
          </w:p>
          <w:p w14:paraId="0D96C134">
            <w:pPr>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（2）投标（响应）报价低于通过符合性审查的次低报价供应商投标（响应）报价50%的，即投标（响应）报价〈通过符合性审查的次低报价供应商投标（响应）报价×50%；</w:t>
            </w:r>
          </w:p>
          <w:p w14:paraId="147475A4">
            <w:pPr>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（3）投标（响应）报价低于采购项目最高限价45%的，即投标（响应）报价〈采购项目最高限价×45%；</w:t>
            </w:r>
          </w:p>
          <w:p w14:paraId="1A4ECDA6">
            <w:pPr>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（4）磋商小组基于专业判断，认为供应商报价过低，有可能影响产品质量或者不能诚信履约的其他情形。</w:t>
            </w:r>
          </w:p>
          <w:p w14:paraId="5FD7C9AA">
            <w:pPr>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采购人可以结合具体项目实际情况，提高上述第1项至第3项中启动异常低价投标（响应）审查的数值标准，但是最高不得超过65%。</w:t>
            </w:r>
          </w:p>
          <w:p w14:paraId="69AB91B7">
            <w:pPr>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相关法律法规对供应商报价有规定的，从其规定。 </w:t>
            </w:r>
          </w:p>
          <w:p w14:paraId="0E5BBAEC">
            <w:pPr>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磋商小组启动异常低价投标（响应）审查后，属于前述第1项至第4项情形的，应当要求相关供应商在评审现场合理的时间内对投标（响应）价格作出解释，供应商应在30分钟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p>
          <w:p w14:paraId="58A3B9DD">
            <w:pPr>
              <w:spacing w:line="360" w:lineRule="auto"/>
              <w:ind w:firstLine="480" w:firstLineChars="200"/>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p>
          <w:p w14:paraId="4B3C43CA">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val="en-US" w:eastAsia="zh-CN"/>
              </w:rPr>
              <w:t>采购人、代理机构应当为磋商小组在评审现场及时获取同类项目中标（成交）价格、类似产品市场价格水平、行业人工费用标准、国家有关部门指导行业协会发布的行业平均成本等相关信息资料提供便利。</w:t>
            </w:r>
          </w:p>
        </w:tc>
      </w:tr>
      <w:tr w14:paraId="551FAA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825" w:type="dxa"/>
            <w:tcBorders>
              <w:top w:val="single" w:color="auto" w:sz="4" w:space="0"/>
              <w:bottom w:val="single" w:color="auto" w:sz="4" w:space="0"/>
              <w:right w:val="single" w:color="auto" w:sz="4" w:space="0"/>
            </w:tcBorders>
            <w:noWrap w:val="0"/>
            <w:vAlign w:val="center"/>
          </w:tcPr>
          <w:p w14:paraId="2718ED85">
            <w:pPr>
              <w:spacing w:after="0" w:line="360" w:lineRule="auto"/>
              <w:jc w:val="center"/>
              <w:rPr>
                <w:rFonts w:hint="eastAsia" w:ascii="仿宋" w:hAnsi="仿宋" w:eastAsia="仿宋" w:cs="仿宋"/>
                <w:color w:val="auto"/>
                <w:sz w:val="24"/>
                <w:szCs w:val="24"/>
                <w:highlight w:val="none"/>
                <w:lang w:val="en-US" w:eastAsia="zh-CN"/>
              </w:rPr>
            </w:pPr>
            <w:bookmarkStart w:id="42" w:name="_Toc517963432"/>
            <w:bookmarkStart w:id="43" w:name="_Toc27705"/>
            <w:r>
              <w:rPr>
                <w:rFonts w:hint="eastAsia" w:ascii="仿宋" w:hAnsi="仿宋" w:eastAsia="仿宋" w:cs="仿宋"/>
                <w:color w:val="auto"/>
                <w:sz w:val="24"/>
                <w:szCs w:val="24"/>
                <w:highlight w:val="none"/>
                <w:lang w:val="en-US" w:eastAsia="zh-CN"/>
              </w:rPr>
              <w:t>41</w:t>
            </w:r>
          </w:p>
        </w:tc>
        <w:tc>
          <w:tcPr>
            <w:tcW w:w="1695" w:type="dxa"/>
            <w:tcBorders>
              <w:top w:val="single" w:color="auto" w:sz="4" w:space="0"/>
              <w:left w:val="single" w:color="auto" w:sz="4" w:space="0"/>
              <w:bottom w:val="single" w:color="auto" w:sz="4" w:space="0"/>
              <w:right w:val="single" w:color="auto" w:sz="4" w:space="0"/>
            </w:tcBorders>
            <w:noWrap w:val="0"/>
            <w:vAlign w:val="center"/>
          </w:tcPr>
          <w:p w14:paraId="07CF219C">
            <w:pPr>
              <w:spacing w:after="0"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val="en-US" w:eastAsia="zh-CN"/>
              </w:rPr>
              <w:t>其他说明</w:t>
            </w:r>
          </w:p>
        </w:tc>
        <w:tc>
          <w:tcPr>
            <w:tcW w:w="7275" w:type="dxa"/>
            <w:tcBorders>
              <w:top w:val="single" w:color="auto" w:sz="4" w:space="0"/>
              <w:left w:val="single" w:color="auto" w:sz="4" w:space="0"/>
              <w:bottom w:val="single" w:color="auto" w:sz="4" w:space="0"/>
            </w:tcBorders>
            <w:noWrap w:val="0"/>
            <w:vAlign w:val="center"/>
          </w:tcPr>
          <w:p w14:paraId="74C2E5DD">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lang w:val="en-US" w:eastAsia="zh-CN"/>
              </w:rPr>
              <w:t>因政采云平台流程设置问题，为避免供应商上传投标文件与系统评审流程不一致，请供应商上传商务技术文件时，务必同时上传报价文件。</w:t>
            </w:r>
          </w:p>
        </w:tc>
      </w:tr>
      <w:tr w14:paraId="38041C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5" w:hRule="atLeast"/>
          <w:jc w:val="center"/>
        </w:trPr>
        <w:tc>
          <w:tcPr>
            <w:tcW w:w="825" w:type="dxa"/>
            <w:tcBorders>
              <w:top w:val="single" w:color="auto" w:sz="4" w:space="0"/>
              <w:bottom w:val="single" w:color="auto" w:sz="4" w:space="0"/>
              <w:right w:val="single" w:color="auto" w:sz="4" w:space="0"/>
            </w:tcBorders>
            <w:noWrap w:val="0"/>
            <w:vAlign w:val="center"/>
          </w:tcPr>
          <w:p w14:paraId="599D3042">
            <w:pPr>
              <w:spacing w:after="0" w:line="360" w:lineRule="auto"/>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w:t>
            </w:r>
          </w:p>
        </w:tc>
        <w:tc>
          <w:tcPr>
            <w:tcW w:w="1695" w:type="dxa"/>
            <w:tcBorders>
              <w:top w:val="single" w:color="auto" w:sz="4" w:space="0"/>
              <w:left w:val="single" w:color="auto" w:sz="4" w:space="0"/>
              <w:bottom w:val="single" w:color="auto" w:sz="4" w:space="0"/>
              <w:right w:val="single" w:color="auto" w:sz="4" w:space="0"/>
            </w:tcBorders>
            <w:noWrap w:val="0"/>
            <w:vAlign w:val="center"/>
          </w:tcPr>
          <w:p w14:paraId="6DBA4346">
            <w:pPr>
              <w:spacing w:after="0" w:line="360" w:lineRule="auto"/>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付款方式</w:t>
            </w:r>
          </w:p>
        </w:tc>
        <w:tc>
          <w:tcPr>
            <w:tcW w:w="7275" w:type="dxa"/>
            <w:tcBorders>
              <w:top w:val="single" w:color="auto" w:sz="4" w:space="0"/>
              <w:left w:val="single" w:color="auto" w:sz="4" w:space="0"/>
              <w:bottom w:val="single" w:color="auto" w:sz="4" w:space="0"/>
            </w:tcBorders>
            <w:noWrap w:val="0"/>
            <w:vAlign w:val="center"/>
          </w:tcPr>
          <w:p w14:paraId="06229233">
            <w:pPr>
              <w:spacing w:after="0" w:line="360" w:lineRule="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合同签订项目动工，人员进场45天内付款30%，主体竣工付款30%，项目完工付款30%，监理与相关服务期届满14天内</w:t>
            </w:r>
            <w:r>
              <w:rPr>
                <w:rFonts w:hint="eastAsia" w:ascii="仿宋" w:hAnsi="仿宋" w:eastAsia="仿宋" w:cs="仿宋"/>
                <w:color w:val="auto"/>
                <w:sz w:val="24"/>
                <w:highlight w:val="none"/>
                <w:lang w:val="en-US" w:eastAsia="zh-CN"/>
              </w:rPr>
              <w:tab/>
            </w:r>
            <w:r>
              <w:rPr>
                <w:rFonts w:hint="eastAsia" w:ascii="仿宋" w:hAnsi="仿宋" w:eastAsia="仿宋" w:cs="仿宋"/>
                <w:color w:val="auto"/>
                <w:sz w:val="24"/>
                <w:highlight w:val="none"/>
                <w:lang w:val="en-US" w:eastAsia="zh-CN"/>
              </w:rPr>
              <w:t>10%。</w:t>
            </w:r>
          </w:p>
        </w:tc>
      </w:tr>
    </w:tbl>
    <w:p w14:paraId="35B33658">
      <w:pPr>
        <w:pStyle w:val="4"/>
        <w:spacing w:before="120" w:beforeLines="50" w:after="120" w:afterLines="50" w:line="360" w:lineRule="auto"/>
        <w:jc w:val="both"/>
        <w:outlineLvl w:val="9"/>
        <w:rPr>
          <w:rFonts w:hint="eastAsia" w:ascii="仿宋" w:hAnsi="仿宋" w:eastAsia="仿宋" w:cs="仿宋"/>
          <w:color w:val="auto"/>
          <w:sz w:val="28"/>
          <w:szCs w:val="28"/>
          <w:highlight w:val="none"/>
        </w:rPr>
      </w:pPr>
    </w:p>
    <w:p w14:paraId="0A5B60D3">
      <w:pPr>
        <w:pStyle w:val="4"/>
        <w:spacing w:before="120" w:beforeLines="50" w:after="120" w:afterLines="50" w:line="360" w:lineRule="auto"/>
        <w:jc w:val="center"/>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1.总则</w:t>
      </w:r>
      <w:bookmarkEnd w:id="42"/>
      <w:bookmarkEnd w:id="43"/>
    </w:p>
    <w:p w14:paraId="3265515B">
      <w:pPr>
        <w:spacing w:after="0" w:line="360" w:lineRule="auto"/>
        <w:rPr>
          <w:rFonts w:hint="eastAsia" w:ascii="仿宋" w:hAnsi="仿宋" w:eastAsia="仿宋" w:cs="仿宋"/>
          <w:b/>
          <w:bCs/>
          <w:color w:val="auto"/>
          <w:sz w:val="24"/>
          <w:szCs w:val="24"/>
          <w:highlight w:val="none"/>
        </w:rPr>
      </w:pPr>
      <w:bookmarkStart w:id="44" w:name="_bookmark14"/>
      <w:bookmarkEnd w:id="44"/>
      <w:r>
        <w:rPr>
          <w:rFonts w:hint="eastAsia" w:ascii="仿宋" w:hAnsi="仿宋" w:eastAsia="仿宋" w:cs="仿宋"/>
          <w:b/>
          <w:bCs/>
          <w:color w:val="auto"/>
          <w:sz w:val="24"/>
          <w:szCs w:val="24"/>
          <w:highlight w:val="none"/>
        </w:rPr>
        <w:t>1.1 项目概况</w:t>
      </w:r>
    </w:p>
    <w:p w14:paraId="7F467D76">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1.1.1根据《中华人民共和国政府采购法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云南省政府采购管理暂行办法</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政府采购竞争性磋商采购方式管理暂行办法》（财库〔2014〕214号）等法律法规的规定，本项目</w:t>
      </w:r>
      <w:r>
        <w:rPr>
          <w:rFonts w:hint="eastAsia" w:ascii="仿宋" w:hAnsi="仿宋" w:eastAsia="仿宋" w:cs="仿宋"/>
          <w:color w:val="auto"/>
          <w:sz w:val="24"/>
          <w:szCs w:val="24"/>
          <w:highlight w:val="none"/>
          <w:lang w:eastAsia="zh-CN"/>
        </w:rPr>
        <w:t>已</w:t>
      </w:r>
      <w:r>
        <w:rPr>
          <w:rFonts w:hint="eastAsia" w:ascii="仿宋" w:hAnsi="仿宋" w:eastAsia="仿宋" w:cs="仿宋"/>
          <w:color w:val="auto"/>
          <w:sz w:val="24"/>
          <w:szCs w:val="24"/>
          <w:highlight w:val="none"/>
        </w:rPr>
        <w:t>具备磋商条件，现对本项目进行磋商采购。</w:t>
      </w:r>
    </w:p>
    <w:p w14:paraId="342808C5">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1.1.2采购人：详见“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p>
    <w:p w14:paraId="63737037">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1.1.3采购代理机构：详见“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p>
    <w:p w14:paraId="2E5C5315">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1.1.4 项目名称：详见“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p>
    <w:p w14:paraId="6B0F91F3">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1.1.5 项目地点：</w:t>
      </w:r>
      <w:bookmarkStart w:id="45" w:name="_bookmark15"/>
      <w:bookmarkEnd w:id="45"/>
      <w:r>
        <w:rPr>
          <w:rFonts w:hint="eastAsia" w:ascii="仿宋" w:hAnsi="仿宋" w:eastAsia="仿宋" w:cs="仿宋"/>
          <w:color w:val="auto"/>
          <w:sz w:val="24"/>
          <w:szCs w:val="24"/>
          <w:highlight w:val="none"/>
        </w:rPr>
        <w:t>详见“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p>
    <w:p w14:paraId="5C3328AC">
      <w:pPr>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1.2 资金来源</w:t>
      </w:r>
    </w:p>
    <w:p w14:paraId="326EDFA4">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1.2.1资金来源：详见“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p>
    <w:p w14:paraId="5A9AA100">
      <w:pPr>
        <w:spacing w:after="0"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 xml:space="preserve">1.3 </w:t>
      </w:r>
      <w:r>
        <w:rPr>
          <w:rFonts w:hint="eastAsia" w:ascii="仿宋" w:hAnsi="仿宋" w:eastAsia="仿宋" w:cs="仿宋"/>
          <w:b/>
          <w:bCs/>
          <w:color w:val="auto"/>
          <w:sz w:val="24"/>
          <w:szCs w:val="24"/>
          <w:highlight w:val="none"/>
          <w:lang w:eastAsia="zh-CN"/>
        </w:rPr>
        <w:t>采购需求</w:t>
      </w:r>
      <w:r>
        <w:rPr>
          <w:rFonts w:hint="eastAsia" w:ascii="仿宋" w:hAnsi="仿宋" w:eastAsia="仿宋" w:cs="仿宋"/>
          <w:b/>
          <w:bCs/>
          <w:color w:val="auto"/>
          <w:sz w:val="24"/>
          <w:szCs w:val="24"/>
          <w:highlight w:val="none"/>
        </w:rPr>
        <w:t>、</w:t>
      </w:r>
      <w:r>
        <w:rPr>
          <w:rFonts w:hint="eastAsia" w:ascii="仿宋" w:hAnsi="仿宋" w:eastAsia="仿宋" w:cs="仿宋"/>
          <w:b/>
          <w:bCs/>
          <w:color w:val="auto"/>
          <w:sz w:val="24"/>
          <w:szCs w:val="24"/>
          <w:highlight w:val="none"/>
          <w:lang w:eastAsia="zh-CN"/>
        </w:rPr>
        <w:t>合同履行期限</w:t>
      </w:r>
    </w:p>
    <w:p w14:paraId="6E919FD6">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 </w:t>
      </w:r>
      <w:r>
        <w:rPr>
          <w:rFonts w:hint="eastAsia" w:ascii="仿宋" w:hAnsi="仿宋" w:eastAsia="仿宋" w:cs="仿宋"/>
          <w:color w:val="auto"/>
          <w:sz w:val="24"/>
          <w:szCs w:val="24"/>
          <w:highlight w:val="none"/>
          <w:lang w:eastAsia="zh-CN"/>
        </w:rPr>
        <w:t>合同履行期限</w:t>
      </w:r>
      <w:r>
        <w:rPr>
          <w:rFonts w:hint="eastAsia" w:ascii="仿宋" w:hAnsi="仿宋" w:eastAsia="仿宋" w:cs="仿宋"/>
          <w:color w:val="auto"/>
          <w:sz w:val="24"/>
          <w:szCs w:val="24"/>
          <w:highlight w:val="none"/>
        </w:rPr>
        <w:t>：详见“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p>
    <w:p w14:paraId="4255792B">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1.3.2</w:t>
      </w:r>
      <w:r>
        <w:rPr>
          <w:rFonts w:hint="eastAsia" w:ascii="仿宋" w:hAnsi="仿宋" w:eastAsia="仿宋" w:cs="仿宋"/>
          <w:color w:val="auto"/>
          <w:sz w:val="24"/>
          <w:szCs w:val="24"/>
          <w:highlight w:val="none"/>
          <w:lang w:eastAsia="zh-CN"/>
        </w:rPr>
        <w:t>采购需求</w:t>
      </w:r>
      <w:r>
        <w:rPr>
          <w:rFonts w:hint="eastAsia" w:ascii="仿宋" w:hAnsi="仿宋" w:eastAsia="仿宋" w:cs="仿宋"/>
          <w:color w:val="auto"/>
          <w:sz w:val="24"/>
          <w:szCs w:val="24"/>
          <w:highlight w:val="none"/>
        </w:rPr>
        <w:t>：详见“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p>
    <w:p w14:paraId="049643CB">
      <w:pPr>
        <w:spacing w:after="0" w:line="360" w:lineRule="auto"/>
        <w:rPr>
          <w:rFonts w:hint="eastAsia" w:ascii="仿宋" w:hAnsi="仿宋" w:eastAsia="仿宋" w:cs="仿宋"/>
          <w:b/>
          <w:bCs/>
          <w:color w:val="auto"/>
          <w:sz w:val="24"/>
          <w:szCs w:val="24"/>
          <w:highlight w:val="none"/>
        </w:rPr>
      </w:pPr>
      <w:bookmarkStart w:id="46" w:name="_bookmark17"/>
      <w:bookmarkEnd w:id="46"/>
      <w:r>
        <w:rPr>
          <w:rFonts w:hint="eastAsia" w:ascii="仿宋" w:hAnsi="仿宋" w:eastAsia="仿宋" w:cs="仿宋"/>
          <w:b/>
          <w:bCs/>
          <w:color w:val="auto"/>
          <w:sz w:val="24"/>
          <w:szCs w:val="24"/>
          <w:highlight w:val="none"/>
        </w:rPr>
        <w:t xml:space="preserve">1.4 </w:t>
      </w:r>
      <w:r>
        <w:rPr>
          <w:rFonts w:hint="eastAsia" w:ascii="仿宋" w:hAnsi="仿宋" w:eastAsia="仿宋" w:cs="仿宋"/>
          <w:b/>
          <w:bCs/>
          <w:color w:val="auto"/>
          <w:sz w:val="24"/>
          <w:szCs w:val="24"/>
          <w:highlight w:val="none"/>
          <w:lang w:eastAsia="zh-CN"/>
        </w:rPr>
        <w:t>供应商</w:t>
      </w:r>
      <w:r>
        <w:rPr>
          <w:rFonts w:hint="eastAsia" w:ascii="仿宋" w:hAnsi="仿宋" w:eastAsia="仿宋" w:cs="仿宋"/>
          <w:b/>
          <w:bCs/>
          <w:color w:val="auto"/>
          <w:sz w:val="24"/>
          <w:szCs w:val="24"/>
          <w:highlight w:val="none"/>
        </w:rPr>
        <w:t>资格要求（适用于未进行资格预审的）</w:t>
      </w:r>
    </w:p>
    <w:p w14:paraId="3EC84F3D">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应具备承担本项目的资质条件、能力和信誉；</w:t>
      </w:r>
    </w:p>
    <w:p w14:paraId="297325D6">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1 \* GB2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⑴</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资质条件：详见“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p>
    <w:p w14:paraId="56A97E79">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2 \* GB2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⑵</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财务状况及财务能力要求：详见“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p>
    <w:p w14:paraId="498DE530">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3 \* GB2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⑶</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信誉要求：详见“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p>
    <w:p w14:paraId="15E4CDEC">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4 \* GB2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⑷</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其他要求：详见“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p>
    <w:p w14:paraId="5A163C14">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须知前附表规定接受联合体磋商的，除应符合本章第 1.4.1 项和</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须知前附表的要求外，还应遵守以下规定：</w:t>
      </w:r>
    </w:p>
    <w:p w14:paraId="0A05E4ED">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1 \* GB2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⑴</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联合体各方应按竞争性磋商文件提供的格式签订联合体协议书，明确联合体牵头人和各方权利义务；</w:t>
      </w:r>
    </w:p>
    <w:p w14:paraId="25124649">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2 \* GB2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⑵</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由同一专业的单位组成的联合体，按照资质等级较低的单位确定资质等级；</w:t>
      </w:r>
    </w:p>
    <w:p w14:paraId="00B914DB">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3 \* GB2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⑶</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联合体各方不得再以自己名义单独或参加其他联合体在同一标段中磋商。</w:t>
      </w:r>
    </w:p>
    <w:p w14:paraId="7F1FFEA8">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1.4.3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不得存在下列情形之一：</w:t>
      </w:r>
    </w:p>
    <w:p w14:paraId="044CEA89">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1 \* GB2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⑴</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与采购人存在利害关系可能影响磋商公正性的法人、其他组织或者个人，不得参加磋商。单位负责人为同一人或者存在控股、管理关系；</w:t>
      </w:r>
    </w:p>
    <w:p w14:paraId="2C218E3F">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2 \* GB2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⑵</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为本项目提供采购代理服务的；</w:t>
      </w:r>
    </w:p>
    <w:p w14:paraId="55E50984">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3 \* GB2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⑶</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与本项目的代建人或采购代理机构同为一个法定代表人的；</w:t>
      </w:r>
    </w:p>
    <w:p w14:paraId="77E5326E">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4 \* GB2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⑷</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与本项目的代建人或采购代理机构相互控股或参股的；</w:t>
      </w:r>
    </w:p>
    <w:p w14:paraId="559EA181">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5 \* GB2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⑸</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与本项目的代建人或采购代理机构相互任职或工作的；</w:t>
      </w:r>
    </w:p>
    <w:p w14:paraId="5337508A">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6 \* GB2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⑹</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被责令停业的；</w:t>
      </w:r>
    </w:p>
    <w:p w14:paraId="55A3F7F7">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7 \* GB2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⑺</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被暂停或取消磋商资格的；</w:t>
      </w:r>
    </w:p>
    <w:p w14:paraId="7B783712">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8 \* GB2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⑻</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财产被接管或冻结的；</w:t>
      </w:r>
    </w:p>
    <w:p w14:paraId="542FA59A">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9 \* GB2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⑼</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在最近三年内有骗取中标或严重违约或重大工程质量问题的。</w:t>
      </w:r>
    </w:p>
    <w:p w14:paraId="1C3FF3C8">
      <w:pPr>
        <w:spacing w:after="0" w:line="360" w:lineRule="auto"/>
        <w:rPr>
          <w:rFonts w:hint="eastAsia" w:ascii="仿宋" w:hAnsi="仿宋" w:eastAsia="仿宋" w:cs="仿宋"/>
          <w:b/>
          <w:bCs/>
          <w:color w:val="auto"/>
          <w:sz w:val="24"/>
          <w:szCs w:val="24"/>
          <w:highlight w:val="none"/>
        </w:rPr>
      </w:pPr>
      <w:bookmarkStart w:id="47" w:name="_bookmark18"/>
      <w:bookmarkEnd w:id="47"/>
      <w:bookmarkStart w:id="48" w:name="_Toc529362113"/>
      <w:bookmarkStart w:id="49" w:name="_Toc529362396"/>
      <w:r>
        <w:rPr>
          <w:rFonts w:hint="eastAsia" w:ascii="仿宋" w:hAnsi="仿宋" w:eastAsia="仿宋" w:cs="仿宋"/>
          <w:b/>
          <w:bCs/>
          <w:color w:val="auto"/>
          <w:sz w:val="24"/>
          <w:szCs w:val="24"/>
          <w:highlight w:val="none"/>
        </w:rPr>
        <w:t>1.5费用承担</w:t>
      </w:r>
      <w:bookmarkEnd w:id="48"/>
      <w:bookmarkEnd w:id="49"/>
    </w:p>
    <w:p w14:paraId="698C67BF">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1.5.1</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 xml:space="preserve">准备和参加投标活动发生的费用自理； </w:t>
      </w:r>
    </w:p>
    <w:p w14:paraId="5C6B824D">
      <w:pPr>
        <w:spacing w:after="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1.5.2</w:t>
      </w:r>
      <w:r>
        <w:rPr>
          <w:rFonts w:hint="eastAsia" w:ascii="仿宋" w:hAnsi="仿宋" w:eastAsia="仿宋" w:cs="仿宋"/>
          <w:color w:val="auto"/>
          <w:sz w:val="24"/>
          <w:szCs w:val="24"/>
          <w:highlight w:val="none"/>
          <w:lang w:val="en-US" w:eastAsia="zh-CN"/>
        </w:rPr>
        <w:t>本项目委托代理服务费为</w:t>
      </w:r>
      <w:r>
        <w:rPr>
          <w:rFonts w:hint="eastAsia" w:ascii="仿宋" w:hAnsi="仿宋" w:eastAsia="仿宋" w:cs="仿宋"/>
          <w:b/>
          <w:bCs/>
          <w:color w:val="auto"/>
          <w:sz w:val="24"/>
          <w:szCs w:val="24"/>
          <w:highlight w:val="none"/>
          <w:lang w:val="en-US" w:eastAsia="zh-CN"/>
        </w:rPr>
        <w:t>8500.00</w:t>
      </w:r>
      <w:r>
        <w:rPr>
          <w:rFonts w:hint="eastAsia" w:ascii="仿宋" w:hAnsi="仿宋" w:eastAsia="仿宋" w:cs="仿宋"/>
          <w:b w:val="0"/>
          <w:bCs w:val="0"/>
          <w:color w:val="auto"/>
          <w:sz w:val="24"/>
          <w:szCs w:val="24"/>
          <w:highlight w:val="none"/>
          <w:lang w:val="en-US" w:eastAsia="zh-CN"/>
        </w:rPr>
        <w:t>元</w:t>
      </w:r>
      <w:r>
        <w:rPr>
          <w:rFonts w:hint="eastAsia" w:ascii="仿宋" w:hAnsi="仿宋" w:eastAsia="仿宋" w:cs="仿宋"/>
          <w:color w:val="auto"/>
          <w:sz w:val="24"/>
          <w:szCs w:val="24"/>
          <w:highlight w:val="none"/>
          <w:lang w:val="en-US" w:eastAsia="zh-CN"/>
        </w:rPr>
        <w:t>，由成交供应商领取成交通知书时一次性支付。</w:t>
      </w:r>
    </w:p>
    <w:p w14:paraId="4660CF5B">
      <w:pPr>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1.6 保密</w:t>
      </w:r>
    </w:p>
    <w:p w14:paraId="27B0C829">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参与采购活动的各方应对采购文件和</w:t>
      </w:r>
      <w:r>
        <w:rPr>
          <w:rFonts w:hint="eastAsia" w:ascii="仿宋" w:hAnsi="仿宋" w:eastAsia="仿宋" w:cs="仿宋"/>
          <w:color w:val="auto"/>
          <w:sz w:val="24"/>
          <w:highlight w:val="none"/>
        </w:rPr>
        <w:t>响应文件</w:t>
      </w:r>
      <w:r>
        <w:rPr>
          <w:rFonts w:hint="eastAsia" w:ascii="仿宋" w:hAnsi="仿宋" w:eastAsia="仿宋" w:cs="仿宋"/>
          <w:color w:val="auto"/>
          <w:sz w:val="24"/>
          <w:szCs w:val="24"/>
          <w:highlight w:val="none"/>
        </w:rPr>
        <w:t>中的商业和技术等秘密保密，违者应对由此造成的后果承担法律责任。</w:t>
      </w:r>
    </w:p>
    <w:p w14:paraId="56F8AC16">
      <w:pPr>
        <w:spacing w:after="0" w:line="360" w:lineRule="auto"/>
        <w:rPr>
          <w:rFonts w:hint="eastAsia" w:ascii="仿宋" w:hAnsi="仿宋" w:eastAsia="仿宋" w:cs="仿宋"/>
          <w:b/>
          <w:bCs/>
          <w:color w:val="auto"/>
          <w:sz w:val="24"/>
          <w:szCs w:val="24"/>
          <w:highlight w:val="none"/>
        </w:rPr>
      </w:pPr>
      <w:bookmarkStart w:id="50" w:name="_bookmark20"/>
      <w:bookmarkEnd w:id="50"/>
      <w:r>
        <w:rPr>
          <w:rFonts w:hint="eastAsia" w:ascii="仿宋" w:hAnsi="仿宋" w:eastAsia="仿宋" w:cs="仿宋"/>
          <w:b/>
          <w:bCs/>
          <w:color w:val="auto"/>
          <w:sz w:val="24"/>
          <w:szCs w:val="24"/>
          <w:highlight w:val="none"/>
        </w:rPr>
        <w:t>1.7 语言文字</w:t>
      </w:r>
    </w:p>
    <w:p w14:paraId="5DBC1C12">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除专用术语外，与采购有关的语言均使用中文。必要时专用术语应附有中文注释。</w:t>
      </w:r>
    </w:p>
    <w:p w14:paraId="182A0C4B">
      <w:pPr>
        <w:spacing w:after="0" w:line="360" w:lineRule="auto"/>
        <w:rPr>
          <w:rFonts w:hint="eastAsia" w:ascii="仿宋" w:hAnsi="仿宋" w:eastAsia="仿宋" w:cs="仿宋"/>
          <w:b/>
          <w:bCs/>
          <w:color w:val="auto"/>
          <w:sz w:val="24"/>
          <w:szCs w:val="24"/>
          <w:highlight w:val="none"/>
        </w:rPr>
      </w:pPr>
      <w:bookmarkStart w:id="51" w:name="_bookmark21"/>
      <w:bookmarkEnd w:id="51"/>
      <w:r>
        <w:rPr>
          <w:rFonts w:hint="eastAsia" w:ascii="仿宋" w:hAnsi="仿宋" w:eastAsia="仿宋" w:cs="仿宋"/>
          <w:b/>
          <w:bCs/>
          <w:color w:val="auto"/>
          <w:sz w:val="24"/>
          <w:szCs w:val="24"/>
          <w:highlight w:val="none"/>
        </w:rPr>
        <w:t>1.8计量单位</w:t>
      </w:r>
    </w:p>
    <w:p w14:paraId="4B80C602">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所有计量均采用中华人民共和国法定计量单位。</w:t>
      </w:r>
    </w:p>
    <w:p w14:paraId="09DCC21A">
      <w:pPr>
        <w:spacing w:after="0" w:line="360" w:lineRule="auto"/>
        <w:rPr>
          <w:rFonts w:hint="eastAsia" w:ascii="仿宋" w:hAnsi="仿宋" w:eastAsia="仿宋" w:cs="仿宋"/>
          <w:b/>
          <w:bCs/>
          <w:color w:val="auto"/>
          <w:sz w:val="24"/>
          <w:szCs w:val="24"/>
          <w:highlight w:val="none"/>
        </w:rPr>
      </w:pPr>
      <w:bookmarkStart w:id="52" w:name="_bookmark22"/>
      <w:bookmarkEnd w:id="52"/>
      <w:r>
        <w:rPr>
          <w:rFonts w:hint="eastAsia" w:ascii="仿宋" w:hAnsi="仿宋" w:eastAsia="仿宋" w:cs="仿宋"/>
          <w:b/>
          <w:bCs/>
          <w:color w:val="auto"/>
          <w:sz w:val="24"/>
          <w:szCs w:val="24"/>
          <w:highlight w:val="none"/>
        </w:rPr>
        <w:t>1.9 踏勘现场</w:t>
      </w:r>
    </w:p>
    <w:p w14:paraId="181FC98C">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1.9.1 本项目采购人不组织踏勘现场，</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自行踏勘。</w:t>
      </w:r>
    </w:p>
    <w:p w14:paraId="1B746534">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1.9.2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踏勘现场发生的费用自理。</w:t>
      </w:r>
    </w:p>
    <w:p w14:paraId="7CCED9E5">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1.9.3 除采购人的原因外，</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自行负责在踏勘现场中所发生的人员伤亡和财产损失。</w:t>
      </w:r>
    </w:p>
    <w:p w14:paraId="04DB37B0">
      <w:pPr>
        <w:spacing w:after="0" w:line="360" w:lineRule="auto"/>
        <w:rPr>
          <w:rFonts w:hint="eastAsia" w:ascii="仿宋" w:hAnsi="仿宋" w:eastAsia="仿宋" w:cs="仿宋"/>
          <w:b/>
          <w:bCs/>
          <w:color w:val="auto"/>
          <w:sz w:val="24"/>
          <w:szCs w:val="24"/>
          <w:highlight w:val="none"/>
        </w:rPr>
      </w:pPr>
      <w:bookmarkStart w:id="53" w:name="_bookmark23"/>
      <w:bookmarkEnd w:id="53"/>
      <w:r>
        <w:rPr>
          <w:rFonts w:hint="eastAsia" w:ascii="仿宋" w:hAnsi="仿宋" w:eastAsia="仿宋" w:cs="仿宋"/>
          <w:b/>
          <w:bCs/>
          <w:color w:val="auto"/>
          <w:sz w:val="24"/>
          <w:szCs w:val="24"/>
          <w:highlight w:val="none"/>
        </w:rPr>
        <w:t>1.10 磋商预备会</w:t>
      </w:r>
    </w:p>
    <w:p w14:paraId="0932DBC9">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不召开磋商预备会。</w:t>
      </w:r>
    </w:p>
    <w:p w14:paraId="0E9D19C3">
      <w:pPr>
        <w:pStyle w:val="4"/>
        <w:spacing w:before="120" w:beforeLines="50" w:after="120" w:afterLines="50" w:line="360" w:lineRule="auto"/>
        <w:jc w:val="center"/>
        <w:outlineLvl w:val="9"/>
        <w:rPr>
          <w:rFonts w:hint="eastAsia" w:ascii="仿宋" w:hAnsi="仿宋" w:eastAsia="仿宋" w:cs="仿宋"/>
          <w:b/>
          <w:bCs/>
          <w:color w:val="auto"/>
          <w:kern w:val="0"/>
          <w:sz w:val="28"/>
          <w:szCs w:val="28"/>
          <w:highlight w:val="none"/>
          <w:lang w:val="en-US" w:eastAsia="zh-CN" w:bidi="ar-SA"/>
        </w:rPr>
      </w:pPr>
      <w:bookmarkStart w:id="54" w:name="_bookmark24"/>
      <w:bookmarkEnd w:id="54"/>
      <w:bookmarkStart w:id="55" w:name="_Toc21758"/>
      <w:r>
        <w:rPr>
          <w:rFonts w:hint="eastAsia" w:ascii="仿宋" w:hAnsi="仿宋" w:eastAsia="仿宋" w:cs="仿宋"/>
          <w:b/>
          <w:bCs/>
          <w:color w:val="auto"/>
          <w:kern w:val="0"/>
          <w:sz w:val="28"/>
          <w:szCs w:val="28"/>
          <w:highlight w:val="none"/>
          <w:lang w:val="en-US" w:eastAsia="zh-CN" w:bidi="ar-SA"/>
        </w:rPr>
        <w:t>2.竞争性磋商文件</w:t>
      </w:r>
      <w:bookmarkEnd w:id="55"/>
    </w:p>
    <w:p w14:paraId="7D6E60D1">
      <w:pPr>
        <w:spacing w:after="0" w:line="360" w:lineRule="auto"/>
        <w:rPr>
          <w:rFonts w:hint="eastAsia" w:ascii="仿宋" w:hAnsi="仿宋" w:eastAsia="仿宋" w:cs="仿宋"/>
          <w:b/>
          <w:bCs/>
          <w:color w:val="auto"/>
          <w:sz w:val="24"/>
          <w:szCs w:val="24"/>
          <w:highlight w:val="none"/>
        </w:rPr>
      </w:pPr>
      <w:bookmarkStart w:id="56" w:name="_bookmark25"/>
      <w:bookmarkEnd w:id="56"/>
      <w:r>
        <w:rPr>
          <w:rFonts w:hint="eastAsia" w:ascii="仿宋" w:hAnsi="仿宋" w:eastAsia="仿宋" w:cs="仿宋"/>
          <w:b/>
          <w:bCs/>
          <w:color w:val="auto"/>
          <w:sz w:val="24"/>
          <w:szCs w:val="24"/>
          <w:highlight w:val="none"/>
        </w:rPr>
        <w:t>2.1竞争性磋商文件的组成</w:t>
      </w:r>
    </w:p>
    <w:p w14:paraId="5006762E">
      <w:pPr>
        <w:spacing w:after="0" w:line="360" w:lineRule="auto"/>
        <w:ind w:firstLine="120" w:firstLineChars="5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竞争性</w:t>
      </w:r>
      <w:r>
        <w:rPr>
          <w:rFonts w:hint="eastAsia" w:ascii="仿宋" w:hAnsi="仿宋" w:eastAsia="仿宋" w:cs="仿宋"/>
          <w:color w:val="auto"/>
          <w:sz w:val="24"/>
          <w:szCs w:val="24"/>
          <w:highlight w:val="none"/>
          <w:lang w:eastAsia="zh-CN"/>
        </w:rPr>
        <w:t>磋商公告；</w:t>
      </w:r>
    </w:p>
    <w:p w14:paraId="69C70837">
      <w:pPr>
        <w:spacing w:after="0" w:line="360" w:lineRule="auto"/>
        <w:ind w:firstLine="120" w:firstLineChars="5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）供应商须知；</w:t>
      </w:r>
    </w:p>
    <w:p w14:paraId="17115C0F">
      <w:pPr>
        <w:spacing w:after="0" w:line="360" w:lineRule="auto"/>
        <w:ind w:firstLine="120" w:firstLineChars="5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）评审办法；</w:t>
      </w:r>
    </w:p>
    <w:p w14:paraId="2D455282">
      <w:pPr>
        <w:spacing w:after="0" w:line="360" w:lineRule="auto"/>
        <w:ind w:firstLine="120" w:firstLineChars="5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）合同条款及格式；</w:t>
      </w:r>
    </w:p>
    <w:p w14:paraId="45E1262F">
      <w:pPr>
        <w:spacing w:after="0" w:line="360" w:lineRule="auto"/>
        <w:ind w:firstLine="120" w:firstLineChars="5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项目需求；</w:t>
      </w:r>
    </w:p>
    <w:p w14:paraId="257523D0">
      <w:pPr>
        <w:spacing w:after="0" w:line="360" w:lineRule="auto"/>
        <w:ind w:firstLine="120" w:firstLineChars="5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竞争性磋商响应文件格式；</w:t>
      </w:r>
    </w:p>
    <w:p w14:paraId="21C0E9F1">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根据本章</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须知前附表第</w:t>
      </w:r>
      <w:r>
        <w:rPr>
          <w:rFonts w:hint="eastAsia" w:ascii="仿宋" w:hAnsi="仿宋" w:eastAsia="仿宋" w:cs="仿宋"/>
          <w:color w:val="auto"/>
          <w:sz w:val="24"/>
          <w:szCs w:val="24"/>
          <w:highlight w:val="none"/>
          <w:lang w:val="en-US" w:eastAsia="zh-CN"/>
        </w:rPr>
        <w:t>15</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条</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须知第</w:t>
      </w:r>
      <w:r>
        <w:rPr>
          <w:rFonts w:hint="eastAsia" w:ascii="仿宋" w:hAnsi="仿宋" w:eastAsia="仿宋" w:cs="仿宋"/>
          <w:color w:val="auto"/>
          <w:sz w:val="24"/>
          <w:szCs w:val="24"/>
          <w:highlight w:val="none"/>
          <w:lang w:val="en-US" w:eastAsia="zh-CN"/>
        </w:rPr>
        <w:t>17条</w:t>
      </w:r>
      <w:r>
        <w:rPr>
          <w:rFonts w:hint="eastAsia" w:ascii="仿宋" w:hAnsi="仿宋" w:eastAsia="仿宋" w:cs="仿宋"/>
          <w:color w:val="auto"/>
          <w:sz w:val="24"/>
          <w:szCs w:val="24"/>
          <w:highlight w:val="none"/>
        </w:rPr>
        <w:t>对竞争性磋商文件所作的澄清、修改，构成采购文件的组成部分。</w:t>
      </w:r>
    </w:p>
    <w:p w14:paraId="347371B1">
      <w:pPr>
        <w:spacing w:after="0" w:line="360" w:lineRule="auto"/>
        <w:rPr>
          <w:rFonts w:hint="eastAsia" w:ascii="仿宋" w:hAnsi="仿宋" w:eastAsia="仿宋" w:cs="仿宋"/>
          <w:b/>
          <w:bCs/>
          <w:color w:val="auto"/>
          <w:sz w:val="24"/>
          <w:szCs w:val="24"/>
          <w:highlight w:val="none"/>
        </w:rPr>
      </w:pPr>
      <w:bookmarkStart w:id="57" w:name="_bookmark26"/>
      <w:bookmarkEnd w:id="57"/>
      <w:r>
        <w:rPr>
          <w:rFonts w:hint="eastAsia" w:ascii="仿宋" w:hAnsi="仿宋" w:eastAsia="仿宋" w:cs="仿宋"/>
          <w:b/>
          <w:bCs/>
          <w:color w:val="auto"/>
          <w:sz w:val="24"/>
          <w:szCs w:val="24"/>
          <w:highlight w:val="none"/>
        </w:rPr>
        <w:t>2.2 竞争性磋商文件的澄清</w:t>
      </w:r>
    </w:p>
    <w:p w14:paraId="48E14179">
      <w:pPr>
        <w:spacing w:after="0" w:line="360" w:lineRule="auto"/>
        <w:ind w:firstLine="480" w:firstLineChars="200"/>
        <w:rPr>
          <w:rFonts w:hint="eastAsia" w:ascii="仿宋" w:hAnsi="仿宋" w:eastAsia="仿宋" w:cs="仿宋"/>
          <w:color w:val="auto"/>
          <w:sz w:val="24"/>
          <w:szCs w:val="24"/>
          <w:highlight w:val="none"/>
        </w:rPr>
      </w:pPr>
      <w:bookmarkStart w:id="58" w:name="_bookmark27"/>
      <w:bookmarkEnd w:id="58"/>
      <w:r>
        <w:rPr>
          <w:rFonts w:hint="eastAsia" w:ascii="仿宋" w:hAnsi="仿宋" w:eastAsia="仿宋" w:cs="仿宋"/>
          <w:color w:val="auto"/>
          <w:sz w:val="24"/>
          <w:szCs w:val="24"/>
          <w:highlight w:val="none"/>
        </w:rPr>
        <w:t>2.2.1磋商截止时间：详见“供应商须知前附表”。</w:t>
      </w:r>
    </w:p>
    <w:p w14:paraId="1F038338">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2.2.2供应商应仔细阅读和检查采购文件的全部内容。如发现缺页或附件不全，应及时向采购人提出，以便补齐。如有疑问，应在“供应商须知前附表”规定的时间前</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使用CA数字证书登录“</w:t>
      </w:r>
      <w:r>
        <w:rPr>
          <w:rFonts w:hint="eastAsia" w:ascii="仿宋" w:hAnsi="仿宋" w:eastAsia="仿宋" w:cs="仿宋"/>
          <w:color w:val="auto"/>
          <w:sz w:val="24"/>
          <w:szCs w:val="24"/>
          <w:highlight w:val="none"/>
          <w:lang w:eastAsia="zh-CN"/>
        </w:rPr>
        <w:t>政采云</w:t>
      </w:r>
      <w:r>
        <w:rPr>
          <w:rFonts w:hint="eastAsia" w:ascii="仿宋" w:hAnsi="仿宋" w:eastAsia="仿宋" w:cs="仿宋"/>
          <w:color w:val="auto"/>
          <w:sz w:val="24"/>
          <w:szCs w:val="24"/>
          <w:highlight w:val="none"/>
        </w:rPr>
        <w:t>平台”（网址：</w:t>
      </w:r>
      <w:r>
        <w:rPr>
          <w:rFonts w:hint="eastAsia" w:ascii="仿宋" w:hAnsi="仿宋" w:eastAsia="仿宋" w:cs="仿宋"/>
          <w:color w:val="auto"/>
          <w:sz w:val="24"/>
          <w:szCs w:val="24"/>
          <w:highlight w:val="none"/>
          <w:lang w:eastAsia="zh-CN"/>
        </w:rPr>
        <w:t>https://www.zcygov.cn/</w:t>
      </w:r>
      <w:r>
        <w:rPr>
          <w:rFonts w:hint="eastAsia" w:ascii="仿宋" w:hAnsi="仿宋" w:eastAsia="仿宋" w:cs="仿宋"/>
          <w:color w:val="auto"/>
          <w:sz w:val="24"/>
          <w:szCs w:val="24"/>
          <w:highlight w:val="none"/>
        </w:rPr>
        <w:t>)，在“</w:t>
      </w:r>
      <w:r>
        <w:rPr>
          <w:rFonts w:hint="eastAsia" w:ascii="仿宋" w:hAnsi="仿宋" w:eastAsia="仿宋" w:cs="仿宋"/>
          <w:color w:val="auto"/>
          <w:sz w:val="24"/>
          <w:szCs w:val="24"/>
          <w:highlight w:val="none"/>
          <w:lang w:val="en-US" w:eastAsia="zh-CN"/>
        </w:rPr>
        <w:t>询问</w:t>
      </w:r>
      <w:r>
        <w:rPr>
          <w:rFonts w:hint="eastAsia" w:ascii="仿宋" w:hAnsi="仿宋" w:eastAsia="仿宋" w:cs="仿宋"/>
          <w:color w:val="auto"/>
          <w:sz w:val="24"/>
          <w:szCs w:val="24"/>
          <w:highlight w:val="none"/>
        </w:rPr>
        <w:t>”菜单提出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要求采购人对采购文件予以澄清。</w:t>
      </w:r>
    </w:p>
    <w:p w14:paraId="271372B9">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2.2.3供应商自行登录“</w:t>
      </w:r>
      <w:r>
        <w:rPr>
          <w:rFonts w:hint="eastAsia" w:ascii="仿宋" w:hAnsi="仿宋" w:eastAsia="仿宋" w:cs="仿宋"/>
          <w:color w:val="auto"/>
          <w:sz w:val="24"/>
          <w:szCs w:val="24"/>
          <w:highlight w:val="none"/>
          <w:lang w:eastAsia="zh-CN"/>
        </w:rPr>
        <w:t>政采云</w:t>
      </w:r>
      <w:r>
        <w:rPr>
          <w:rFonts w:hint="eastAsia" w:ascii="仿宋" w:hAnsi="仿宋" w:eastAsia="仿宋" w:cs="仿宋"/>
          <w:color w:val="auto"/>
          <w:sz w:val="24"/>
          <w:szCs w:val="24"/>
          <w:highlight w:val="none"/>
        </w:rPr>
        <w:t>平台”（网址：</w:t>
      </w:r>
      <w:r>
        <w:rPr>
          <w:rFonts w:hint="eastAsia" w:ascii="仿宋" w:hAnsi="仿宋" w:eastAsia="仿宋" w:cs="仿宋"/>
          <w:color w:val="auto"/>
          <w:sz w:val="24"/>
          <w:szCs w:val="24"/>
          <w:highlight w:val="none"/>
          <w:lang w:eastAsia="zh-CN"/>
        </w:rPr>
        <w:t>https://www.zcygov.cn/）</w:t>
      </w:r>
      <w:r>
        <w:rPr>
          <w:rFonts w:hint="eastAsia" w:ascii="仿宋" w:hAnsi="仿宋" w:eastAsia="仿宋" w:cs="仿宋"/>
          <w:color w:val="auto"/>
          <w:sz w:val="24"/>
          <w:szCs w:val="24"/>
          <w:highlight w:val="none"/>
        </w:rPr>
        <w:t>获取澄清，无须回复确认已收到该澄清。</w:t>
      </w:r>
    </w:p>
    <w:p w14:paraId="17C2BD3F">
      <w:pPr>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2.3 竞争性磋商文件的修改</w:t>
      </w:r>
    </w:p>
    <w:p w14:paraId="48F01DA1">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2.3.1提交首次响应文件截止之日前，采购人、采购代理机构可以对已发出的磋商文件进行必要的修改，修改的内容作为磋商文件的组成部分。采购人、采购代理机构通过“</w:t>
      </w:r>
      <w:r>
        <w:rPr>
          <w:rFonts w:hint="eastAsia" w:ascii="仿宋" w:hAnsi="仿宋" w:eastAsia="仿宋" w:cs="仿宋"/>
          <w:color w:val="auto"/>
          <w:sz w:val="24"/>
          <w:szCs w:val="24"/>
          <w:highlight w:val="none"/>
          <w:lang w:eastAsia="zh-CN"/>
        </w:rPr>
        <w:t>政采云</w:t>
      </w:r>
      <w:r>
        <w:rPr>
          <w:rFonts w:hint="eastAsia" w:ascii="仿宋" w:hAnsi="仿宋" w:eastAsia="仿宋" w:cs="仿宋"/>
          <w:color w:val="auto"/>
          <w:sz w:val="24"/>
          <w:szCs w:val="24"/>
          <w:highlight w:val="none"/>
        </w:rPr>
        <w:t>平台”（网址：</w:t>
      </w:r>
      <w:r>
        <w:rPr>
          <w:rFonts w:hint="eastAsia" w:ascii="仿宋" w:hAnsi="仿宋" w:eastAsia="仿宋" w:cs="仿宋"/>
          <w:color w:val="auto"/>
          <w:sz w:val="24"/>
          <w:szCs w:val="24"/>
          <w:highlight w:val="none"/>
          <w:lang w:eastAsia="zh-CN"/>
        </w:rPr>
        <w:t>https://www.zcygov.cn/）</w:t>
      </w:r>
      <w:r>
        <w:rPr>
          <w:rFonts w:hint="eastAsia" w:ascii="仿宋" w:hAnsi="仿宋" w:eastAsia="仿宋" w:cs="仿宋"/>
          <w:color w:val="auto"/>
          <w:sz w:val="24"/>
          <w:szCs w:val="24"/>
          <w:highlight w:val="none"/>
        </w:rPr>
        <w:t>发出采购文件</w:t>
      </w:r>
      <w:r>
        <w:rPr>
          <w:rFonts w:hint="eastAsia" w:ascii="仿宋" w:hAnsi="仿宋" w:eastAsia="仿宋" w:cs="仿宋"/>
          <w:color w:val="auto"/>
          <w:sz w:val="24"/>
          <w:szCs w:val="24"/>
          <w:highlight w:val="none"/>
          <w:lang w:val="en-US" w:eastAsia="zh-CN"/>
        </w:rPr>
        <w:t>修改</w:t>
      </w:r>
      <w:r>
        <w:rPr>
          <w:rFonts w:hint="eastAsia" w:ascii="仿宋" w:hAnsi="仿宋" w:eastAsia="仿宋" w:cs="仿宋"/>
          <w:color w:val="auto"/>
          <w:sz w:val="24"/>
          <w:szCs w:val="24"/>
          <w:highlight w:val="none"/>
        </w:rPr>
        <w:t>。所有获取了采购文件的潜在供应商登录“</w:t>
      </w:r>
      <w:r>
        <w:rPr>
          <w:rFonts w:hint="eastAsia" w:ascii="仿宋" w:hAnsi="仿宋" w:eastAsia="仿宋" w:cs="仿宋"/>
          <w:color w:val="auto"/>
          <w:sz w:val="24"/>
          <w:szCs w:val="24"/>
          <w:highlight w:val="none"/>
          <w:lang w:eastAsia="zh-CN"/>
        </w:rPr>
        <w:t>政采云</w:t>
      </w:r>
      <w:r>
        <w:rPr>
          <w:rFonts w:hint="eastAsia" w:ascii="仿宋" w:hAnsi="仿宋" w:eastAsia="仿宋" w:cs="仿宋"/>
          <w:color w:val="auto"/>
          <w:sz w:val="24"/>
          <w:szCs w:val="24"/>
          <w:highlight w:val="none"/>
        </w:rPr>
        <w:t>平台”（网址：</w:t>
      </w:r>
      <w:r>
        <w:rPr>
          <w:rFonts w:hint="eastAsia" w:ascii="仿宋" w:hAnsi="仿宋" w:eastAsia="仿宋" w:cs="仿宋"/>
          <w:color w:val="auto"/>
          <w:sz w:val="24"/>
          <w:szCs w:val="24"/>
          <w:highlight w:val="none"/>
          <w:lang w:eastAsia="zh-CN"/>
        </w:rPr>
        <w:t>https://www.zcygov.cn/）</w:t>
      </w:r>
      <w:r>
        <w:rPr>
          <w:rFonts w:hint="eastAsia" w:ascii="仿宋" w:hAnsi="仿宋" w:eastAsia="仿宋" w:cs="仿宋"/>
          <w:color w:val="auto"/>
          <w:sz w:val="24"/>
          <w:szCs w:val="24"/>
          <w:highlight w:val="none"/>
        </w:rPr>
        <w:t>凭企业身份认证数字证书（CA）查看</w:t>
      </w:r>
      <w:r>
        <w:rPr>
          <w:rFonts w:hint="eastAsia" w:ascii="仿宋" w:hAnsi="仿宋" w:eastAsia="仿宋" w:cs="仿宋"/>
          <w:color w:val="auto"/>
          <w:sz w:val="24"/>
          <w:szCs w:val="24"/>
          <w:highlight w:val="none"/>
          <w:lang w:val="en-US" w:eastAsia="zh-CN"/>
        </w:rPr>
        <w:t>修改</w:t>
      </w:r>
      <w:r>
        <w:rPr>
          <w:rFonts w:hint="eastAsia" w:ascii="仿宋" w:hAnsi="仿宋" w:eastAsia="仿宋" w:cs="仿宋"/>
          <w:color w:val="auto"/>
          <w:sz w:val="24"/>
          <w:szCs w:val="24"/>
          <w:highlight w:val="none"/>
        </w:rPr>
        <w:t>内容。</w:t>
      </w:r>
    </w:p>
    <w:p w14:paraId="5B139AF7">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2.3.2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1D005600">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2.3.3采购代理机构发出的所有补充、修改和变更文件均作为磋商文件的组成部分，与磋商文件具有同等法律效力。当采购文件、采购文件澄清、采购文件修改文件内容前后相互矛盾时，以最后发出的为准。</w:t>
      </w:r>
    </w:p>
    <w:p w14:paraId="3456E856">
      <w:pPr>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2.4 竞争性磋商文件的解释</w:t>
      </w:r>
    </w:p>
    <w:p w14:paraId="613CF479">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采购文件最终解释权归采购人，所有解释均依据本采购文件及有关的</w:t>
      </w:r>
      <w:r>
        <w:rPr>
          <w:rFonts w:hint="eastAsia" w:ascii="仿宋" w:hAnsi="仿宋" w:eastAsia="仿宋" w:cs="仿宋"/>
          <w:color w:val="auto"/>
          <w:sz w:val="24"/>
          <w:szCs w:val="24"/>
          <w:highlight w:val="none"/>
          <w:lang w:eastAsia="zh-CN"/>
        </w:rPr>
        <w:t>法律法规</w:t>
      </w:r>
      <w:r>
        <w:rPr>
          <w:rFonts w:hint="eastAsia" w:ascii="仿宋" w:hAnsi="仿宋" w:eastAsia="仿宋" w:cs="仿宋"/>
          <w:color w:val="auto"/>
          <w:sz w:val="24"/>
          <w:szCs w:val="24"/>
          <w:highlight w:val="none"/>
        </w:rPr>
        <w:t>；在评审时，若出现采购文件无明确说明和处理的情况时，由磋商小组讨论确定处理方案；磋商小组成员之间对处理方案有争议时，采取少数服从多数的投票方式确定。</w:t>
      </w:r>
    </w:p>
    <w:p w14:paraId="4EA12C40">
      <w:pPr>
        <w:pStyle w:val="4"/>
        <w:spacing w:before="120" w:beforeLines="50" w:after="120" w:afterLines="50" w:line="360" w:lineRule="auto"/>
        <w:jc w:val="center"/>
        <w:outlineLvl w:val="9"/>
        <w:rPr>
          <w:rFonts w:hint="eastAsia" w:ascii="仿宋" w:hAnsi="仿宋" w:eastAsia="仿宋" w:cs="仿宋"/>
          <w:color w:val="auto"/>
          <w:sz w:val="28"/>
          <w:szCs w:val="28"/>
          <w:highlight w:val="none"/>
        </w:rPr>
      </w:pPr>
      <w:bookmarkStart w:id="59" w:name="_bookmark29"/>
      <w:bookmarkEnd w:id="59"/>
      <w:bookmarkStart w:id="60" w:name="_Toc653"/>
      <w:r>
        <w:rPr>
          <w:rFonts w:hint="eastAsia" w:ascii="仿宋" w:hAnsi="仿宋" w:eastAsia="仿宋" w:cs="仿宋"/>
          <w:color w:val="auto"/>
          <w:sz w:val="28"/>
          <w:szCs w:val="28"/>
          <w:highlight w:val="none"/>
        </w:rPr>
        <w:t>3.竞争性磋商响应文件</w:t>
      </w:r>
      <w:bookmarkEnd w:id="60"/>
    </w:p>
    <w:p w14:paraId="73437257">
      <w:pPr>
        <w:spacing w:after="0" w:line="360" w:lineRule="auto"/>
        <w:rPr>
          <w:rFonts w:hint="eastAsia" w:ascii="仿宋" w:hAnsi="仿宋" w:eastAsia="仿宋" w:cs="仿宋"/>
          <w:b/>
          <w:bCs/>
          <w:color w:val="auto"/>
          <w:sz w:val="24"/>
          <w:szCs w:val="24"/>
          <w:highlight w:val="none"/>
        </w:rPr>
      </w:pPr>
      <w:bookmarkStart w:id="61" w:name="_bookmark30"/>
      <w:bookmarkEnd w:id="61"/>
      <w:r>
        <w:rPr>
          <w:rFonts w:hint="eastAsia" w:ascii="仿宋" w:hAnsi="仿宋" w:eastAsia="仿宋" w:cs="仿宋"/>
          <w:b/>
          <w:bCs/>
          <w:color w:val="auto"/>
          <w:sz w:val="24"/>
          <w:szCs w:val="24"/>
          <w:highlight w:val="none"/>
        </w:rPr>
        <w:t>3.1竞争性磋商响应文件的组成</w:t>
      </w:r>
    </w:p>
    <w:p w14:paraId="54E32C71">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3.1.1竞争性磋商响应文件应包括下列内容：</w:t>
      </w:r>
    </w:p>
    <w:p w14:paraId="43711C3D">
      <w:pPr>
        <w:spacing w:after="0" w:line="360" w:lineRule="auto"/>
        <w:ind w:firstLine="480" w:firstLineChars="200"/>
        <w:rPr>
          <w:rFonts w:hint="eastAsia" w:ascii="仿宋" w:hAnsi="仿宋" w:eastAsia="仿宋" w:cs="仿宋"/>
          <w:color w:val="auto"/>
          <w:sz w:val="24"/>
          <w:szCs w:val="24"/>
          <w:highlight w:val="none"/>
        </w:rPr>
      </w:pPr>
      <w:bookmarkStart w:id="62" w:name="_bookmark31"/>
      <w:bookmarkEnd w:id="62"/>
      <w:r>
        <w:rPr>
          <w:rFonts w:hint="eastAsia" w:ascii="仿宋" w:hAnsi="仿宋" w:eastAsia="仿宋" w:cs="仿宋"/>
          <w:color w:val="auto"/>
          <w:sz w:val="24"/>
          <w:szCs w:val="24"/>
          <w:highlight w:val="none"/>
        </w:rPr>
        <w:t>1.磋商函</w:t>
      </w:r>
    </w:p>
    <w:p w14:paraId="7D97B1AA">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2.磋商报价一览表</w:t>
      </w:r>
    </w:p>
    <w:p w14:paraId="6DD9D0C4">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3.法定代表人身份证明书</w:t>
      </w:r>
    </w:p>
    <w:p w14:paraId="522A8DBB">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4.授权委托书</w:t>
      </w:r>
    </w:p>
    <w:p w14:paraId="2D1A3582">
      <w:pPr>
        <w:spacing w:after="0" w:line="360" w:lineRule="auto"/>
        <w:ind w:firstLine="480" w:firstLineChars="20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.资格审查资料</w:t>
      </w:r>
    </w:p>
    <w:p w14:paraId="011880B2">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技术部分</w:t>
      </w:r>
    </w:p>
    <w:p w14:paraId="02FFC762">
      <w:pPr>
        <w:spacing w:after="0"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供应商认为需要提交的其他资料或竞争性磋商文件要求提交的其他资料</w:t>
      </w:r>
    </w:p>
    <w:p w14:paraId="7FE5AF7F">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中小企业、残疾人福利性单位、监狱企业证明文件</w:t>
      </w:r>
    </w:p>
    <w:p w14:paraId="723F525B">
      <w:pPr>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3.2 磋商报价</w:t>
      </w:r>
    </w:p>
    <w:p w14:paraId="1027169A">
      <w:pPr>
        <w:spacing w:after="0" w:line="360" w:lineRule="auto"/>
        <w:ind w:firstLine="480" w:firstLineChars="200"/>
        <w:rPr>
          <w:rFonts w:hint="eastAsia" w:ascii="仿宋" w:hAnsi="仿宋" w:eastAsia="仿宋" w:cs="仿宋"/>
          <w:color w:val="auto"/>
          <w:sz w:val="24"/>
          <w:szCs w:val="24"/>
          <w:highlight w:val="none"/>
        </w:rPr>
      </w:pPr>
      <w:bookmarkStart w:id="63" w:name="_bookmark32"/>
      <w:bookmarkEnd w:id="63"/>
      <w:r>
        <w:rPr>
          <w:rFonts w:hint="eastAsia" w:ascii="仿宋" w:hAnsi="仿宋" w:eastAsia="仿宋" w:cs="仿宋"/>
          <w:color w:val="auto"/>
          <w:sz w:val="24"/>
          <w:szCs w:val="24"/>
          <w:highlight w:val="none"/>
        </w:rPr>
        <w:t>详见“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p>
    <w:p w14:paraId="242F084B">
      <w:pPr>
        <w:spacing w:after="0"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3.3 磋商有效期</w:t>
      </w:r>
    </w:p>
    <w:p w14:paraId="376CAB17">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3.3.1 在</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须知前附表规定的磋商有效期内，</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不得要求撤销或修改其竞争性磋商响应文件。</w:t>
      </w:r>
    </w:p>
    <w:p w14:paraId="61E1DF6E">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3.3.2 出现特殊情况需要延长磋商有效期的，采购人以书面形式通知所有</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延长磋商有效期。</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同意延长的，应相应延长其磋商保证金的有效期，但不得要求或被允许修改或撤销其竞争性磋商响应文件；</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拒绝延长的，其磋商失效，但</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有权收回其磋商保证金。</w:t>
      </w:r>
    </w:p>
    <w:p w14:paraId="20FB1136">
      <w:pPr>
        <w:spacing w:after="0" w:line="360" w:lineRule="auto"/>
        <w:rPr>
          <w:rFonts w:hint="eastAsia" w:ascii="仿宋" w:hAnsi="仿宋" w:eastAsia="仿宋" w:cs="仿宋"/>
          <w:b/>
          <w:bCs/>
          <w:color w:val="auto"/>
          <w:sz w:val="24"/>
          <w:szCs w:val="24"/>
          <w:highlight w:val="none"/>
        </w:rPr>
      </w:pPr>
      <w:bookmarkStart w:id="64" w:name="_bookmark33"/>
      <w:bookmarkEnd w:id="64"/>
      <w:r>
        <w:rPr>
          <w:rFonts w:hint="eastAsia" w:ascii="仿宋" w:hAnsi="仿宋" w:eastAsia="仿宋" w:cs="仿宋"/>
          <w:b/>
          <w:bCs/>
          <w:color w:val="auto"/>
          <w:sz w:val="24"/>
          <w:szCs w:val="24"/>
          <w:highlight w:val="none"/>
        </w:rPr>
        <w:t>3.4 磋商保证金</w:t>
      </w:r>
    </w:p>
    <w:p w14:paraId="18D22F0C">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b w:val="0"/>
          <w:bCs w:val="0"/>
          <w:color w:val="auto"/>
          <w:sz w:val="24"/>
          <w:szCs w:val="24"/>
          <w:highlight w:val="none"/>
          <w:lang w:val="en-US" w:eastAsia="zh-CN"/>
        </w:rPr>
      </w:pPr>
      <w:bookmarkStart w:id="65" w:name="_bookmark34"/>
      <w:bookmarkEnd w:id="65"/>
      <w:r>
        <w:rPr>
          <w:rFonts w:hint="eastAsia" w:ascii="仿宋" w:hAnsi="仿宋" w:eastAsia="仿宋" w:cs="仿宋"/>
          <w:b w:val="0"/>
          <w:bCs w:val="0"/>
          <w:color w:val="auto"/>
          <w:sz w:val="24"/>
          <w:szCs w:val="24"/>
          <w:highlight w:val="none"/>
          <w:lang w:val="en-US" w:eastAsia="zh-CN"/>
        </w:rPr>
        <w:t>本项目不收取保证金</w:t>
      </w:r>
    </w:p>
    <w:p w14:paraId="2F9655BA">
      <w:pPr>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3.5 资格审查资料</w:t>
      </w:r>
    </w:p>
    <w:p w14:paraId="7754253D">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具体要求详见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 xml:space="preserve">须知前附表； </w:t>
      </w:r>
    </w:p>
    <w:p w14:paraId="6F8F4E38">
      <w:pPr>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3.6 备选磋商方案</w:t>
      </w:r>
    </w:p>
    <w:p w14:paraId="5E14110D">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除</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须知前附表另有规定外，</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不得递交备选磋商方案。允许</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递交备选磋商方案的，只有成交单位所递交的备选磋商方案方可予以考虑。磋商小组认为成交单位的备选磋商方案优于其按照竞争性磋商文件要求编制的磋商方案的，采购人可以接受该备选磋商方案。</w:t>
      </w:r>
    </w:p>
    <w:p w14:paraId="7539DE17">
      <w:pPr>
        <w:spacing w:after="0" w:line="360" w:lineRule="auto"/>
        <w:rPr>
          <w:rFonts w:hint="eastAsia" w:ascii="仿宋" w:hAnsi="仿宋" w:eastAsia="仿宋" w:cs="仿宋"/>
          <w:b/>
          <w:bCs/>
          <w:color w:val="auto"/>
          <w:sz w:val="24"/>
          <w:szCs w:val="24"/>
          <w:highlight w:val="none"/>
        </w:rPr>
      </w:pPr>
      <w:bookmarkStart w:id="66" w:name="_bookmark36"/>
      <w:bookmarkEnd w:id="66"/>
      <w:r>
        <w:rPr>
          <w:rFonts w:hint="eastAsia" w:ascii="仿宋" w:hAnsi="仿宋" w:eastAsia="仿宋" w:cs="仿宋"/>
          <w:b/>
          <w:bCs/>
          <w:color w:val="auto"/>
          <w:sz w:val="24"/>
          <w:szCs w:val="24"/>
          <w:highlight w:val="none"/>
        </w:rPr>
        <w:t>3.7 竞争性磋商响应文件的编制</w:t>
      </w:r>
    </w:p>
    <w:p w14:paraId="15B8981E">
      <w:pPr>
        <w:spacing w:after="0" w:line="360" w:lineRule="auto"/>
        <w:ind w:firstLine="480" w:firstLineChars="200"/>
        <w:rPr>
          <w:rFonts w:hint="eastAsia" w:ascii="仿宋" w:hAnsi="仿宋" w:eastAsia="仿宋" w:cs="仿宋"/>
          <w:color w:val="auto"/>
          <w:sz w:val="24"/>
          <w:szCs w:val="24"/>
          <w:highlight w:val="none"/>
        </w:rPr>
      </w:pPr>
      <w:bookmarkStart w:id="67" w:name="_bookmark37"/>
      <w:bookmarkEnd w:id="67"/>
      <w:r>
        <w:rPr>
          <w:rFonts w:hint="eastAsia" w:ascii="仿宋" w:hAnsi="仿宋" w:eastAsia="仿宋" w:cs="仿宋"/>
          <w:color w:val="auto"/>
          <w:sz w:val="24"/>
          <w:szCs w:val="24"/>
          <w:highlight w:val="none"/>
          <w:lang w:val="en-US" w:eastAsia="zh-CN"/>
        </w:rPr>
        <w:t>3.7.1</w:t>
      </w:r>
      <w:r>
        <w:rPr>
          <w:rFonts w:hint="eastAsia" w:ascii="仿宋" w:hAnsi="仿宋" w:eastAsia="仿宋" w:cs="仿宋"/>
          <w:color w:val="auto"/>
          <w:sz w:val="24"/>
          <w:szCs w:val="24"/>
          <w:highlight w:val="none"/>
        </w:rPr>
        <w:t>响应文件全部采用电子文档，供应商应安装客户端软件—“</w:t>
      </w:r>
      <w:r>
        <w:rPr>
          <w:rFonts w:hint="eastAsia" w:ascii="仿宋" w:hAnsi="仿宋" w:eastAsia="仿宋" w:cs="仿宋"/>
          <w:color w:val="auto"/>
          <w:sz w:val="24"/>
          <w:szCs w:val="24"/>
          <w:highlight w:val="none"/>
          <w:lang w:eastAsia="zh-CN"/>
        </w:rPr>
        <w:t>政采云</w:t>
      </w:r>
      <w:r>
        <w:rPr>
          <w:rFonts w:hint="eastAsia" w:ascii="仿宋" w:hAnsi="仿宋" w:eastAsia="仿宋" w:cs="仿宋"/>
          <w:color w:val="auto"/>
          <w:sz w:val="24"/>
          <w:szCs w:val="24"/>
          <w:highlight w:val="none"/>
        </w:rPr>
        <w:t>电子交易客户端”，并按照</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文件和</w:t>
      </w:r>
      <w:r>
        <w:rPr>
          <w:rFonts w:hint="eastAsia" w:ascii="仿宋" w:hAnsi="仿宋" w:eastAsia="仿宋" w:cs="仿宋"/>
          <w:color w:val="auto"/>
          <w:sz w:val="24"/>
          <w:szCs w:val="24"/>
          <w:highlight w:val="none"/>
          <w:lang w:eastAsia="zh-CN"/>
        </w:rPr>
        <w:t>政采云</w:t>
      </w:r>
      <w:r>
        <w:rPr>
          <w:rFonts w:hint="eastAsia" w:ascii="仿宋" w:hAnsi="仿宋" w:eastAsia="仿宋" w:cs="仿宋"/>
          <w:color w:val="auto"/>
          <w:sz w:val="24"/>
          <w:szCs w:val="24"/>
          <w:highlight w:val="none"/>
        </w:rPr>
        <w:t>电子交易平台的要求编制，编制后应进行电子签章、签名及加密；</w:t>
      </w:r>
    </w:p>
    <w:p w14:paraId="01BA3BD9">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3.7.2</w:t>
      </w:r>
      <w:r>
        <w:rPr>
          <w:rFonts w:hint="eastAsia" w:ascii="仿宋" w:hAnsi="仿宋" w:eastAsia="仿宋" w:cs="仿宋"/>
          <w:color w:val="auto"/>
          <w:sz w:val="24"/>
          <w:szCs w:val="24"/>
          <w:highlight w:val="none"/>
        </w:rPr>
        <w:t>如响应文件提交的电子标书不满足</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 xml:space="preserve">文件要求或开标时无法读取导入或解密，其响应文件将不予受理； </w:t>
      </w:r>
    </w:p>
    <w:p w14:paraId="3D9B99A0">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3.7.3</w:t>
      </w:r>
      <w:r>
        <w:rPr>
          <w:rFonts w:hint="eastAsia" w:ascii="仿宋" w:hAnsi="仿宋" w:eastAsia="仿宋" w:cs="仿宋"/>
          <w:color w:val="auto"/>
          <w:sz w:val="24"/>
          <w:szCs w:val="24"/>
          <w:highlight w:val="none"/>
        </w:rPr>
        <w:t>响应文件中提供的资料（扫描件），内容必须清晰可辨，若内容模糊，无法辨识，均视为未提供。</w:t>
      </w:r>
    </w:p>
    <w:p w14:paraId="5051B2F0">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3.7.4供应商</w:t>
      </w:r>
      <w:r>
        <w:rPr>
          <w:rFonts w:hint="eastAsia" w:ascii="仿宋" w:hAnsi="仿宋" w:eastAsia="仿宋" w:cs="仿宋"/>
          <w:color w:val="auto"/>
          <w:sz w:val="24"/>
          <w:szCs w:val="24"/>
          <w:highlight w:val="none"/>
        </w:rPr>
        <w:t>进行电子交易应安装客户端软件—“</w:t>
      </w:r>
      <w:r>
        <w:rPr>
          <w:rFonts w:hint="eastAsia" w:ascii="仿宋" w:hAnsi="仿宋" w:eastAsia="仿宋" w:cs="仿宋"/>
          <w:color w:val="auto"/>
          <w:sz w:val="24"/>
          <w:szCs w:val="24"/>
          <w:highlight w:val="none"/>
          <w:lang w:eastAsia="zh-CN"/>
        </w:rPr>
        <w:t>政采云</w:t>
      </w:r>
      <w:r>
        <w:rPr>
          <w:rFonts w:hint="eastAsia" w:ascii="仿宋" w:hAnsi="仿宋" w:eastAsia="仿宋" w:cs="仿宋"/>
          <w:color w:val="auto"/>
          <w:sz w:val="24"/>
          <w:szCs w:val="24"/>
          <w:highlight w:val="none"/>
        </w:rPr>
        <w:t>电子交易客户端”，并按照</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文件和电子交易平台的要求编制并加密响应文件。</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 xml:space="preserve">未按规定加密的响应文件，电子交易平台将拒收并提示； </w:t>
      </w:r>
    </w:p>
    <w:p w14:paraId="4E9D7435">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3.7.5</w:t>
      </w:r>
      <w:r>
        <w:rPr>
          <w:rFonts w:hint="eastAsia" w:ascii="仿宋" w:hAnsi="仿宋" w:eastAsia="仿宋" w:cs="仿宋"/>
          <w:color w:val="auto"/>
          <w:sz w:val="24"/>
          <w:szCs w:val="24"/>
          <w:highlight w:val="none"/>
        </w:rPr>
        <w:t>使用“</w:t>
      </w:r>
      <w:r>
        <w:rPr>
          <w:rFonts w:hint="eastAsia" w:ascii="仿宋" w:hAnsi="仿宋" w:eastAsia="仿宋" w:cs="仿宋"/>
          <w:color w:val="auto"/>
          <w:sz w:val="24"/>
          <w:szCs w:val="24"/>
          <w:highlight w:val="none"/>
          <w:lang w:eastAsia="zh-CN"/>
        </w:rPr>
        <w:t>政采云</w:t>
      </w:r>
      <w:r>
        <w:rPr>
          <w:rFonts w:hint="eastAsia" w:ascii="仿宋" w:hAnsi="仿宋" w:eastAsia="仿宋" w:cs="仿宋"/>
          <w:color w:val="auto"/>
          <w:sz w:val="24"/>
          <w:szCs w:val="24"/>
          <w:highlight w:val="none"/>
        </w:rPr>
        <w:t>电子交易客户端”需要提前申领CA数字证书，申领流程见“</w:t>
      </w:r>
      <w:r>
        <w:rPr>
          <w:rFonts w:hint="eastAsia" w:ascii="仿宋" w:hAnsi="仿宋" w:eastAsia="仿宋" w:cs="仿宋"/>
          <w:color w:val="auto"/>
          <w:sz w:val="24"/>
          <w:szCs w:val="24"/>
          <w:highlight w:val="none"/>
          <w:lang w:eastAsia="zh-CN"/>
        </w:rPr>
        <w:t>政采云</w:t>
      </w:r>
      <w:r>
        <w:rPr>
          <w:rFonts w:hint="eastAsia" w:ascii="仿宋" w:hAnsi="仿宋" w:eastAsia="仿宋" w:cs="仿宋"/>
          <w:color w:val="auto"/>
          <w:sz w:val="24"/>
          <w:szCs w:val="24"/>
          <w:highlight w:val="none"/>
        </w:rPr>
        <w:t>平台”</w:t>
      </w:r>
      <w:r>
        <w:rPr>
          <w:rFonts w:hint="eastAsia" w:ascii="仿宋" w:hAnsi="仿宋" w:eastAsia="仿宋" w:cs="仿宋"/>
          <w:color w:val="auto"/>
          <w:sz w:val="24"/>
          <w:szCs w:val="24"/>
          <w:highlight w:val="none"/>
          <w:lang w:val="en-US" w:eastAsia="zh-CN"/>
        </w:rPr>
        <w:t>相应模块</w:t>
      </w:r>
      <w:r>
        <w:rPr>
          <w:rFonts w:hint="eastAsia" w:ascii="仿宋" w:hAnsi="仿宋" w:eastAsia="仿宋" w:cs="仿宋"/>
          <w:color w:val="auto"/>
          <w:sz w:val="24"/>
          <w:szCs w:val="24"/>
          <w:highlight w:val="none"/>
        </w:rPr>
        <w:t xml:space="preserve">； </w:t>
      </w:r>
    </w:p>
    <w:p w14:paraId="28C1910E">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3.7.6</w:t>
      </w:r>
      <w:r>
        <w:rPr>
          <w:rFonts w:hint="eastAsia" w:ascii="仿宋" w:hAnsi="仿宋" w:eastAsia="仿宋" w:cs="仿宋"/>
          <w:color w:val="auto"/>
          <w:sz w:val="24"/>
          <w:szCs w:val="24"/>
          <w:highlight w:val="none"/>
        </w:rPr>
        <w:t>为确保网上操作合法、有效和安全，</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应当在响应文件提交截止时间前完成在“</w:t>
      </w:r>
      <w:r>
        <w:rPr>
          <w:rFonts w:hint="eastAsia" w:ascii="仿宋" w:hAnsi="仿宋" w:eastAsia="仿宋" w:cs="仿宋"/>
          <w:color w:val="auto"/>
          <w:sz w:val="24"/>
          <w:szCs w:val="24"/>
          <w:highlight w:val="none"/>
          <w:lang w:eastAsia="zh-CN"/>
        </w:rPr>
        <w:t>政采云</w:t>
      </w:r>
      <w:r>
        <w:rPr>
          <w:rFonts w:hint="eastAsia" w:ascii="仿宋" w:hAnsi="仿宋" w:eastAsia="仿宋" w:cs="仿宋"/>
          <w:color w:val="auto"/>
          <w:sz w:val="24"/>
          <w:szCs w:val="24"/>
          <w:highlight w:val="none"/>
        </w:rPr>
        <w:t>平台”的身份认证，确保在电子交易过程中能够对相关数据电文进行加密和使用电子签名。</w:t>
      </w:r>
    </w:p>
    <w:p w14:paraId="4BBE3E8A">
      <w:pPr>
        <w:pStyle w:val="4"/>
        <w:spacing w:before="120" w:beforeLines="50" w:after="120" w:afterLines="50" w:line="360" w:lineRule="auto"/>
        <w:jc w:val="center"/>
        <w:outlineLvl w:val="9"/>
        <w:rPr>
          <w:rFonts w:hint="eastAsia" w:ascii="仿宋" w:hAnsi="仿宋" w:eastAsia="仿宋" w:cs="仿宋"/>
          <w:color w:val="auto"/>
          <w:sz w:val="28"/>
          <w:szCs w:val="28"/>
          <w:highlight w:val="none"/>
        </w:rPr>
      </w:pPr>
      <w:bookmarkStart w:id="68" w:name="_Toc28281"/>
      <w:r>
        <w:rPr>
          <w:rFonts w:hint="eastAsia" w:ascii="仿宋" w:hAnsi="仿宋" w:eastAsia="仿宋" w:cs="仿宋"/>
          <w:color w:val="auto"/>
          <w:sz w:val="28"/>
          <w:szCs w:val="28"/>
          <w:highlight w:val="none"/>
        </w:rPr>
        <w:t>4.</w:t>
      </w:r>
      <w:bookmarkEnd w:id="68"/>
      <w:r>
        <w:rPr>
          <w:rFonts w:hint="eastAsia" w:ascii="仿宋" w:hAnsi="仿宋" w:eastAsia="仿宋" w:cs="仿宋"/>
          <w:color w:val="auto"/>
          <w:sz w:val="28"/>
          <w:szCs w:val="28"/>
          <w:highlight w:val="none"/>
        </w:rPr>
        <w:t>磋商响应文件的提交</w:t>
      </w:r>
    </w:p>
    <w:p w14:paraId="5DFB5966">
      <w:pPr>
        <w:spacing w:after="0" w:line="360" w:lineRule="auto"/>
        <w:rPr>
          <w:rFonts w:hint="eastAsia" w:ascii="仿宋" w:hAnsi="仿宋" w:eastAsia="仿宋" w:cs="仿宋"/>
          <w:b/>
          <w:bCs/>
          <w:color w:val="auto"/>
          <w:sz w:val="24"/>
          <w:szCs w:val="24"/>
          <w:highlight w:val="none"/>
        </w:rPr>
      </w:pPr>
      <w:bookmarkStart w:id="69" w:name="_bookmark38"/>
      <w:bookmarkEnd w:id="69"/>
      <w:r>
        <w:rPr>
          <w:rFonts w:hint="eastAsia" w:ascii="仿宋" w:hAnsi="仿宋" w:eastAsia="仿宋" w:cs="仿宋"/>
          <w:b/>
          <w:bCs/>
          <w:color w:val="auto"/>
          <w:sz w:val="24"/>
          <w:szCs w:val="24"/>
          <w:highlight w:val="none"/>
        </w:rPr>
        <w:t>4.</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 xml:space="preserve"> </w:t>
      </w:r>
      <w:r>
        <w:rPr>
          <w:rFonts w:hint="eastAsia" w:ascii="仿宋" w:hAnsi="仿宋" w:eastAsia="仿宋" w:cs="仿宋"/>
          <w:b/>
          <w:bCs/>
          <w:color w:val="auto"/>
          <w:sz w:val="24"/>
          <w:szCs w:val="24"/>
          <w:highlight w:val="none"/>
          <w:lang w:val="en-US" w:eastAsia="zh-CN"/>
        </w:rPr>
        <w:t>竞争性</w:t>
      </w:r>
      <w:r>
        <w:rPr>
          <w:rFonts w:hint="eastAsia" w:ascii="仿宋" w:hAnsi="仿宋" w:eastAsia="仿宋" w:cs="仿宋"/>
          <w:b/>
          <w:bCs/>
          <w:color w:val="auto"/>
          <w:sz w:val="24"/>
          <w:szCs w:val="24"/>
          <w:highlight w:val="none"/>
        </w:rPr>
        <w:t>磋商响应文件的递交</w:t>
      </w:r>
    </w:p>
    <w:p w14:paraId="3A126748">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auto"/>
          <w:sz w:val="24"/>
          <w:szCs w:val="24"/>
          <w:highlight w:val="none"/>
        </w:rPr>
      </w:pPr>
      <w:bookmarkStart w:id="70" w:name="_bookmark40"/>
      <w:bookmarkEnd w:id="70"/>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 xml:space="preserve">.1在“供应商须知前附表” </w:t>
      </w:r>
      <w:r>
        <w:rPr>
          <w:rFonts w:hint="eastAsia" w:ascii="仿宋" w:hAnsi="仿宋" w:eastAsia="仿宋" w:cs="仿宋"/>
          <w:color w:val="auto"/>
          <w:sz w:val="24"/>
          <w:szCs w:val="24"/>
          <w:highlight w:val="none"/>
          <w:lang w:val="en-US" w:eastAsia="zh-CN"/>
        </w:rPr>
        <w:t>18</w:t>
      </w:r>
      <w:r>
        <w:rPr>
          <w:rFonts w:hint="eastAsia" w:ascii="仿宋" w:hAnsi="仿宋" w:eastAsia="仿宋" w:cs="仿宋"/>
          <w:color w:val="auto"/>
          <w:sz w:val="24"/>
          <w:szCs w:val="24"/>
          <w:highlight w:val="none"/>
        </w:rPr>
        <w:t>项规定的磋商截止时间前递交竞争性磋商响应文件。</w:t>
      </w:r>
    </w:p>
    <w:p w14:paraId="0C94D467">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.2供应商递交竞争性磋商响应文件的地点：详见“供应商须知前附表”。</w:t>
      </w:r>
    </w:p>
    <w:p w14:paraId="2F326ABD">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.3除“供应商须知前附表”另有规定外，供应商所递交的竞争性磋商响应文件不予退还。</w:t>
      </w:r>
    </w:p>
    <w:p w14:paraId="76913EE0">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.4供应商应当在磋商文件要求的截止时间前，按照本项目采购文件和“</w:t>
      </w:r>
      <w:r>
        <w:rPr>
          <w:rFonts w:hint="eastAsia" w:ascii="仿宋" w:hAnsi="仿宋" w:eastAsia="仿宋" w:cs="仿宋"/>
          <w:color w:val="auto"/>
          <w:sz w:val="24"/>
          <w:szCs w:val="24"/>
          <w:highlight w:val="none"/>
          <w:lang w:eastAsia="zh-CN"/>
        </w:rPr>
        <w:t>政采云</w:t>
      </w:r>
      <w:r>
        <w:rPr>
          <w:rFonts w:hint="eastAsia" w:ascii="仿宋" w:hAnsi="仿宋" w:eastAsia="仿宋" w:cs="仿宋"/>
          <w:color w:val="auto"/>
          <w:sz w:val="24"/>
          <w:szCs w:val="24"/>
          <w:highlight w:val="none"/>
        </w:rPr>
        <w:t>平台”的要求编制、加密响应文件，并在响应文件提交截止时间前上传至“</w:t>
      </w:r>
      <w:r>
        <w:rPr>
          <w:rFonts w:hint="eastAsia" w:ascii="仿宋" w:hAnsi="仿宋" w:eastAsia="仿宋" w:cs="仿宋"/>
          <w:color w:val="auto"/>
          <w:sz w:val="24"/>
          <w:szCs w:val="24"/>
          <w:highlight w:val="none"/>
          <w:lang w:eastAsia="zh-CN"/>
        </w:rPr>
        <w:t>政采云</w:t>
      </w:r>
      <w:r>
        <w:rPr>
          <w:rFonts w:hint="eastAsia" w:ascii="仿宋" w:hAnsi="仿宋" w:eastAsia="仿宋" w:cs="仿宋"/>
          <w:color w:val="auto"/>
          <w:sz w:val="24"/>
          <w:szCs w:val="24"/>
          <w:highlight w:val="none"/>
        </w:rPr>
        <w:t>平台”，响应文件提交截止时间前未完成响应文件上传的，视为撤回响应文件。</w:t>
      </w:r>
    </w:p>
    <w:p w14:paraId="7A7195AD">
      <w:pPr>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w:t>
      </w:r>
      <w:r>
        <w:rPr>
          <w:rFonts w:hint="eastAsia" w:ascii="仿宋" w:hAnsi="仿宋" w:eastAsia="仿宋" w:cs="仿宋"/>
          <w:b/>
          <w:bCs/>
          <w:color w:val="auto"/>
          <w:sz w:val="24"/>
          <w:szCs w:val="24"/>
          <w:highlight w:val="none"/>
          <w:lang w:val="en-US" w:eastAsia="zh-CN"/>
        </w:rPr>
        <w:t>2</w:t>
      </w:r>
      <w:r>
        <w:rPr>
          <w:rFonts w:hint="eastAsia" w:ascii="仿宋" w:hAnsi="仿宋" w:eastAsia="仿宋" w:cs="仿宋"/>
          <w:b/>
          <w:bCs/>
          <w:color w:val="auto"/>
          <w:sz w:val="24"/>
          <w:szCs w:val="24"/>
          <w:highlight w:val="none"/>
        </w:rPr>
        <w:t>竞争性磋商申请文件的修改与撤回</w:t>
      </w:r>
    </w:p>
    <w:p w14:paraId="1E002E26">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auto"/>
          <w:sz w:val="24"/>
          <w:szCs w:val="24"/>
          <w:highlight w:val="none"/>
        </w:rPr>
      </w:pPr>
      <w:bookmarkStart w:id="71" w:name="_bookmark42"/>
      <w:bookmarkEnd w:id="71"/>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.1本章第4.</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.1款规定的</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截止时间前，</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可以修改或撤回已递交的</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文件，无须书面形式通知</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人。</w:t>
      </w:r>
    </w:p>
    <w:p w14:paraId="16025BD9">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.2修改的</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文件应按照电子</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文件编制规定进行编制、密封、标记和递交。</w:t>
      </w:r>
    </w:p>
    <w:p w14:paraId="46A52E46">
      <w:pPr>
        <w:pStyle w:val="4"/>
        <w:spacing w:before="120" w:beforeLines="50" w:after="120" w:afterLines="50" w:line="360" w:lineRule="auto"/>
        <w:jc w:val="center"/>
        <w:outlineLvl w:val="9"/>
        <w:rPr>
          <w:rFonts w:hint="eastAsia" w:ascii="仿宋" w:hAnsi="仿宋" w:eastAsia="仿宋" w:cs="仿宋"/>
          <w:color w:val="auto"/>
          <w:sz w:val="28"/>
          <w:szCs w:val="28"/>
          <w:highlight w:val="none"/>
        </w:rPr>
      </w:pPr>
      <w:bookmarkStart w:id="72" w:name="_Toc2141"/>
      <w:r>
        <w:rPr>
          <w:rFonts w:hint="eastAsia" w:ascii="仿宋" w:hAnsi="仿宋" w:eastAsia="仿宋" w:cs="仿宋"/>
          <w:color w:val="auto"/>
          <w:sz w:val="28"/>
          <w:szCs w:val="28"/>
          <w:highlight w:val="none"/>
        </w:rPr>
        <w:t>5.</w:t>
      </w:r>
      <w:r>
        <w:rPr>
          <w:rFonts w:hint="eastAsia" w:ascii="仿宋" w:hAnsi="仿宋" w:eastAsia="仿宋" w:cs="仿宋"/>
          <w:b/>
          <w:bCs/>
          <w:color w:val="auto"/>
          <w:kern w:val="0"/>
          <w:sz w:val="28"/>
          <w:szCs w:val="28"/>
          <w:highlight w:val="none"/>
          <w:lang w:val="en-US" w:eastAsia="zh-CN" w:bidi="ar-SA"/>
        </w:rPr>
        <w:t>磋商</w:t>
      </w:r>
      <w:bookmarkEnd w:id="72"/>
    </w:p>
    <w:p w14:paraId="3EDD0AC2">
      <w:pPr>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5.1磋商时间和地点</w:t>
      </w:r>
    </w:p>
    <w:p w14:paraId="3574E272">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采购人在磋商须知前附表</w:t>
      </w:r>
      <w:r>
        <w:rPr>
          <w:rFonts w:hint="eastAsia" w:ascii="仿宋" w:hAnsi="仿宋" w:eastAsia="仿宋" w:cs="仿宋"/>
          <w:color w:val="auto"/>
          <w:sz w:val="24"/>
          <w:szCs w:val="24"/>
          <w:highlight w:val="none"/>
          <w:lang w:val="en-US" w:eastAsia="zh-CN"/>
        </w:rPr>
        <w:t>18</w:t>
      </w:r>
      <w:r>
        <w:rPr>
          <w:rFonts w:hint="eastAsia" w:ascii="仿宋" w:hAnsi="仿宋" w:eastAsia="仿宋" w:cs="仿宋"/>
          <w:color w:val="auto"/>
          <w:sz w:val="24"/>
          <w:szCs w:val="24"/>
          <w:highlight w:val="none"/>
        </w:rPr>
        <w:t>项规定的磋商截止时间（磋商时间）和</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须知前附表规定的地点参加公开磋商。</w:t>
      </w:r>
    </w:p>
    <w:p w14:paraId="5E53223C">
      <w:pPr>
        <w:spacing w:after="0" w:line="360" w:lineRule="auto"/>
        <w:rPr>
          <w:rFonts w:hint="eastAsia" w:ascii="仿宋" w:hAnsi="仿宋" w:eastAsia="仿宋" w:cs="仿宋"/>
          <w:b/>
          <w:bCs/>
          <w:color w:val="auto"/>
          <w:sz w:val="24"/>
          <w:szCs w:val="24"/>
          <w:highlight w:val="none"/>
        </w:rPr>
      </w:pPr>
      <w:bookmarkStart w:id="73" w:name="_bookmark43"/>
      <w:bookmarkEnd w:id="73"/>
      <w:r>
        <w:rPr>
          <w:rFonts w:hint="eastAsia" w:ascii="仿宋" w:hAnsi="仿宋" w:eastAsia="仿宋" w:cs="仿宋"/>
          <w:b/>
          <w:bCs/>
          <w:color w:val="auto"/>
          <w:sz w:val="24"/>
          <w:szCs w:val="24"/>
          <w:highlight w:val="none"/>
        </w:rPr>
        <w:t>5.2 磋商程序</w:t>
      </w:r>
    </w:p>
    <w:p w14:paraId="6673B918">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在本章第4.2.1项规定的</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截止时间（开标时间）和</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须知前附表规定的地点公开开标，并邀请所有</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的法定代表人或其委托代理人准时参加网上开标。</w:t>
      </w:r>
    </w:p>
    <w:p w14:paraId="27B5CB63">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5.2</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程序</w:t>
      </w:r>
    </w:p>
    <w:p w14:paraId="6A45712C">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主持人按下列程序进行开标：</w:t>
      </w:r>
    </w:p>
    <w:p w14:paraId="5AB31C30">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宣布</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纪律。</w:t>
      </w:r>
    </w:p>
    <w:p w14:paraId="06B41EA4">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公布在投标截止时间前递交</w:t>
      </w:r>
      <w:r>
        <w:rPr>
          <w:rFonts w:hint="eastAsia" w:ascii="仿宋" w:hAnsi="仿宋" w:eastAsia="仿宋" w:cs="仿宋"/>
          <w:color w:val="auto"/>
          <w:sz w:val="24"/>
          <w:szCs w:val="24"/>
          <w:highlight w:val="none"/>
          <w:lang w:eastAsia="zh-CN"/>
        </w:rPr>
        <w:t>响应文件</w:t>
      </w:r>
      <w:r>
        <w:rPr>
          <w:rFonts w:hint="eastAsia" w:ascii="仿宋" w:hAnsi="仿宋" w:eastAsia="仿宋" w:cs="仿宋"/>
          <w:color w:val="auto"/>
          <w:sz w:val="24"/>
          <w:szCs w:val="24"/>
          <w:highlight w:val="none"/>
        </w:rPr>
        <w:t>的情况。</w:t>
      </w:r>
    </w:p>
    <w:p w14:paraId="661EF6AB">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宣布</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人、唱标人、记录人、监标人等有关人员姓名。</w:t>
      </w:r>
    </w:p>
    <w:p w14:paraId="14676EB4">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按照“</w:t>
      </w:r>
      <w:r>
        <w:rPr>
          <w:rFonts w:hint="eastAsia" w:ascii="仿宋" w:hAnsi="仿宋" w:eastAsia="仿宋" w:cs="仿宋"/>
          <w:color w:val="auto"/>
          <w:sz w:val="24"/>
          <w:szCs w:val="24"/>
          <w:highlight w:val="none"/>
          <w:lang w:eastAsia="zh-CN"/>
        </w:rPr>
        <w:t>政采云</w:t>
      </w:r>
      <w:r>
        <w:rPr>
          <w:rFonts w:hint="eastAsia" w:ascii="仿宋" w:hAnsi="仿宋" w:eastAsia="仿宋" w:cs="仿宋"/>
          <w:color w:val="auto"/>
          <w:sz w:val="24"/>
          <w:szCs w:val="24"/>
          <w:highlight w:val="none"/>
        </w:rPr>
        <w:t>平台”自动提取所有</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的顺序当众开标，由</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对网上递交已加密的</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文件，进行网上（远程）解密，解密完成后，</w:t>
      </w:r>
      <w:r>
        <w:rPr>
          <w:rFonts w:hint="eastAsia" w:ascii="仿宋" w:hAnsi="仿宋" w:eastAsia="仿宋" w:cs="仿宋"/>
          <w:color w:val="auto"/>
          <w:sz w:val="24"/>
          <w:szCs w:val="24"/>
          <w:highlight w:val="none"/>
          <w:lang w:val="en-US" w:eastAsia="zh-CN"/>
        </w:rPr>
        <w:t>将供应商</w:t>
      </w:r>
      <w:r>
        <w:rPr>
          <w:rFonts w:hint="eastAsia" w:ascii="仿宋" w:hAnsi="仿宋" w:eastAsia="仿宋" w:cs="仿宋"/>
          <w:color w:val="auto"/>
          <w:sz w:val="24"/>
          <w:szCs w:val="24"/>
          <w:highlight w:val="none"/>
        </w:rPr>
        <w:t>名称、标段名称、</w:t>
      </w: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报价、</w:t>
      </w:r>
      <w:r>
        <w:rPr>
          <w:rFonts w:hint="eastAsia" w:ascii="仿宋" w:hAnsi="仿宋" w:eastAsia="仿宋" w:cs="仿宋"/>
          <w:color w:val="auto"/>
          <w:sz w:val="24"/>
          <w:szCs w:val="24"/>
          <w:highlight w:val="none"/>
          <w:lang w:val="en-US" w:eastAsia="zh-CN"/>
        </w:rPr>
        <w:t>合同履行期限</w:t>
      </w:r>
      <w:r>
        <w:rPr>
          <w:rFonts w:hint="eastAsia" w:ascii="仿宋" w:hAnsi="仿宋" w:eastAsia="仿宋" w:cs="仿宋"/>
          <w:color w:val="auto"/>
          <w:sz w:val="24"/>
          <w:szCs w:val="24"/>
          <w:highlight w:val="none"/>
        </w:rPr>
        <w:t>及其他内容记录在案。因</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原因造成</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文件未解密的，视为撤销其</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rPr>
        <w:t>文件。</w:t>
      </w:r>
    </w:p>
    <w:p w14:paraId="334E85DD">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（5）供应商</w:t>
      </w:r>
      <w:r>
        <w:rPr>
          <w:rFonts w:hint="eastAsia" w:ascii="仿宋" w:hAnsi="仿宋" w:eastAsia="仿宋" w:cs="仿宋"/>
          <w:color w:val="auto"/>
          <w:sz w:val="24"/>
          <w:szCs w:val="24"/>
          <w:highlight w:val="none"/>
        </w:rPr>
        <w:t>代表（如需）、</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代表、监标人、记录人等有关人员在开标记录上签字确认。</w:t>
      </w:r>
    </w:p>
    <w:p w14:paraId="3608F768">
      <w:pPr>
        <w:spacing w:after="0"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通过</w:t>
      </w:r>
      <w:r>
        <w:rPr>
          <w:rFonts w:hint="eastAsia" w:ascii="仿宋" w:hAnsi="仿宋" w:eastAsia="仿宋" w:cs="仿宋"/>
          <w:color w:val="auto"/>
          <w:sz w:val="24"/>
          <w:szCs w:val="24"/>
          <w:highlight w:val="none"/>
          <w:lang w:val="en-US" w:eastAsia="zh-CN"/>
        </w:rPr>
        <w:t>资格评审和</w:t>
      </w:r>
      <w:r>
        <w:rPr>
          <w:rFonts w:hint="eastAsia" w:ascii="仿宋" w:hAnsi="仿宋" w:eastAsia="仿宋" w:cs="仿宋"/>
          <w:color w:val="auto"/>
          <w:sz w:val="24"/>
          <w:szCs w:val="24"/>
          <w:highlight w:val="none"/>
        </w:rPr>
        <w:t>初步评审的供应商进入第二轮报价及承诺</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磋商小组成员集中与单一供应商分别进行磋商；公布供应商名称、磋商第二轮报价、合同履行期限及其他内容，并记录在案；</w:t>
      </w:r>
    </w:p>
    <w:p w14:paraId="5A9E28D1">
      <w:pPr>
        <w:spacing w:after="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①.通过符合性响应的供应商应准备实时在线，磋商小组通过网络方式通知供应商在规定时限内，在“政采云平台”进行二次报价，提交最终（第二次）报价。</w:t>
      </w:r>
    </w:p>
    <w:p w14:paraId="2F423341">
      <w:pPr>
        <w:spacing w:after="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供应商一共有二次报价机会（第一次报价为电子响应文件中的报价，第二次报价为最终报价）。最终报价的准备时间按“政府采购云平台”要求为准，超出规定时间未进行报价的，视为放弃最终报价，按第一次报价为准。</w:t>
      </w:r>
    </w:p>
    <w:p w14:paraId="49CD7C07">
      <w:pPr>
        <w:spacing w:after="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③.供应商在“政采云平台”完成最终报价后可以离场，若发生意外状况，采购代理机构电话通知参与最终报价的供应商。</w:t>
      </w:r>
    </w:p>
    <w:p w14:paraId="7C334C72">
      <w:pPr>
        <w:spacing w:after="0"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（7）磋商结束。</w:t>
      </w:r>
    </w:p>
    <w:p w14:paraId="52945DD4">
      <w:pPr>
        <w:pStyle w:val="4"/>
        <w:spacing w:before="120" w:beforeLines="50" w:after="120" w:afterLines="50" w:line="360" w:lineRule="auto"/>
        <w:jc w:val="center"/>
        <w:outlineLvl w:val="9"/>
        <w:rPr>
          <w:rFonts w:hint="eastAsia" w:ascii="仿宋" w:hAnsi="仿宋" w:eastAsia="仿宋" w:cs="仿宋"/>
          <w:color w:val="auto"/>
          <w:sz w:val="28"/>
          <w:szCs w:val="28"/>
          <w:highlight w:val="none"/>
          <w:lang w:eastAsia="zh-CN"/>
        </w:rPr>
      </w:pPr>
      <w:bookmarkStart w:id="74" w:name="_Toc12139"/>
      <w:r>
        <w:rPr>
          <w:rFonts w:hint="eastAsia" w:ascii="仿宋" w:hAnsi="仿宋" w:eastAsia="仿宋" w:cs="仿宋"/>
          <w:color w:val="auto"/>
          <w:sz w:val="28"/>
          <w:szCs w:val="28"/>
          <w:highlight w:val="none"/>
        </w:rPr>
        <w:t>6.</w:t>
      </w:r>
      <w:bookmarkEnd w:id="74"/>
      <w:r>
        <w:rPr>
          <w:rFonts w:hint="eastAsia" w:ascii="仿宋" w:hAnsi="仿宋" w:eastAsia="仿宋" w:cs="仿宋"/>
          <w:color w:val="auto"/>
          <w:sz w:val="28"/>
          <w:szCs w:val="28"/>
          <w:highlight w:val="none"/>
          <w:lang w:val="en-US" w:eastAsia="zh-CN"/>
        </w:rPr>
        <w:t>磋商与评审</w:t>
      </w:r>
    </w:p>
    <w:p w14:paraId="47E38406">
      <w:pPr>
        <w:spacing w:after="0" w:line="360" w:lineRule="auto"/>
        <w:rPr>
          <w:rFonts w:hint="eastAsia" w:ascii="仿宋" w:hAnsi="仿宋" w:eastAsia="仿宋" w:cs="仿宋"/>
          <w:b/>
          <w:bCs/>
          <w:color w:val="auto"/>
          <w:sz w:val="24"/>
          <w:szCs w:val="24"/>
          <w:highlight w:val="none"/>
        </w:rPr>
      </w:pPr>
      <w:bookmarkStart w:id="75" w:name="_bookmark45"/>
      <w:bookmarkEnd w:id="75"/>
      <w:r>
        <w:rPr>
          <w:rFonts w:hint="eastAsia" w:ascii="仿宋" w:hAnsi="仿宋" w:eastAsia="仿宋" w:cs="仿宋"/>
          <w:b/>
          <w:bCs/>
          <w:color w:val="auto"/>
          <w:sz w:val="24"/>
          <w:szCs w:val="24"/>
          <w:highlight w:val="none"/>
        </w:rPr>
        <w:t>6.1 磋商小组</w:t>
      </w:r>
    </w:p>
    <w:p w14:paraId="7184E68B">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6.1.1 评审由采购人依法组建的磋商小组负责。磋商小组由采购人和评审专家共3人以上单数组成。磋商小组成员人数以及技术、经济等方面专家的确定方式见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p>
    <w:p w14:paraId="6C62F169">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6.1.2 磋商小组成员有下列情形之一的，应当回避：</w:t>
      </w:r>
    </w:p>
    <w:p w14:paraId="33E6CF2B">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1 \* GB2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⑴</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采购人或</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的主要负责人的近亲属；</w:t>
      </w:r>
    </w:p>
    <w:p w14:paraId="61831D10">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2 \* GB2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⑵</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项目主管部门或者行政监督部门的人员；</w:t>
      </w:r>
    </w:p>
    <w:p w14:paraId="03A167EF">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3 \* GB2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⑶</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与</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有经济利益关系，可能影响对磋商公正评审的；</w:t>
      </w:r>
    </w:p>
    <w:p w14:paraId="5D6A3303">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4 \* GB2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⑷</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曾因在招标、评标以及其他与招标投标有关活动中从事违法行为而受过行政处罚或刑事处罚的。</w:t>
      </w:r>
    </w:p>
    <w:p w14:paraId="3E54B0CF">
      <w:pPr>
        <w:spacing w:after="0" w:line="360" w:lineRule="auto"/>
        <w:rPr>
          <w:rFonts w:hint="eastAsia" w:ascii="仿宋" w:hAnsi="仿宋" w:eastAsia="仿宋" w:cs="仿宋"/>
          <w:b/>
          <w:bCs/>
          <w:color w:val="auto"/>
          <w:sz w:val="24"/>
          <w:szCs w:val="24"/>
          <w:highlight w:val="none"/>
        </w:rPr>
      </w:pPr>
      <w:bookmarkStart w:id="76" w:name="_bookmark46"/>
      <w:bookmarkEnd w:id="76"/>
      <w:r>
        <w:rPr>
          <w:rFonts w:hint="eastAsia" w:ascii="仿宋" w:hAnsi="仿宋" w:eastAsia="仿宋" w:cs="仿宋"/>
          <w:b/>
          <w:bCs/>
          <w:color w:val="auto"/>
          <w:sz w:val="24"/>
          <w:szCs w:val="24"/>
          <w:highlight w:val="none"/>
        </w:rPr>
        <w:t>6.2 磋商原则</w:t>
      </w:r>
    </w:p>
    <w:p w14:paraId="7492DB50">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评审活动遵循公平、公正、科学和择优的原则。</w:t>
      </w:r>
    </w:p>
    <w:p w14:paraId="380280AF">
      <w:pPr>
        <w:spacing w:after="0" w:line="360" w:lineRule="auto"/>
        <w:rPr>
          <w:rFonts w:hint="eastAsia" w:ascii="仿宋" w:hAnsi="仿宋" w:eastAsia="仿宋" w:cs="仿宋"/>
          <w:b/>
          <w:bCs/>
          <w:color w:val="auto"/>
          <w:sz w:val="24"/>
          <w:szCs w:val="24"/>
          <w:highlight w:val="none"/>
        </w:rPr>
      </w:pPr>
      <w:bookmarkStart w:id="77" w:name="_bookmark47"/>
      <w:bookmarkEnd w:id="77"/>
      <w:r>
        <w:rPr>
          <w:rFonts w:hint="eastAsia" w:ascii="仿宋" w:hAnsi="仿宋" w:eastAsia="仿宋" w:cs="仿宋"/>
          <w:b/>
          <w:bCs/>
          <w:color w:val="auto"/>
          <w:sz w:val="24"/>
          <w:szCs w:val="24"/>
          <w:highlight w:val="none"/>
        </w:rPr>
        <w:t>6.3 评标</w:t>
      </w:r>
    </w:p>
    <w:p w14:paraId="12E0BCDE">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磋商小组按照第三章“评审办法”规定的方法、评审因素、标准和程序对竞争性磋商响应文件进行评审。第三章“评审办法”没有规定的方法、评审因素和标准，不作为评审依据。</w:t>
      </w:r>
    </w:p>
    <w:p w14:paraId="7843E8E9">
      <w:pPr>
        <w:pStyle w:val="4"/>
        <w:spacing w:before="120" w:beforeLines="50" w:after="120" w:afterLines="50" w:line="360" w:lineRule="auto"/>
        <w:jc w:val="center"/>
        <w:outlineLvl w:val="9"/>
        <w:rPr>
          <w:rFonts w:hint="eastAsia" w:ascii="仿宋" w:hAnsi="仿宋" w:eastAsia="仿宋" w:cs="仿宋"/>
          <w:color w:val="auto"/>
          <w:sz w:val="28"/>
          <w:szCs w:val="28"/>
          <w:highlight w:val="none"/>
        </w:rPr>
      </w:pPr>
      <w:bookmarkStart w:id="78" w:name="_Toc29445"/>
      <w:r>
        <w:rPr>
          <w:rFonts w:hint="eastAsia" w:ascii="仿宋" w:hAnsi="仿宋" w:eastAsia="仿宋" w:cs="仿宋"/>
          <w:color w:val="auto"/>
          <w:sz w:val="28"/>
          <w:szCs w:val="28"/>
          <w:highlight w:val="none"/>
        </w:rPr>
        <w:t>7.</w:t>
      </w:r>
      <w:bookmarkEnd w:id="78"/>
      <w:r>
        <w:rPr>
          <w:rFonts w:hint="eastAsia" w:ascii="仿宋" w:hAnsi="仿宋" w:eastAsia="仿宋" w:cs="仿宋"/>
          <w:color w:val="auto"/>
          <w:sz w:val="28"/>
          <w:szCs w:val="28"/>
          <w:highlight w:val="none"/>
        </w:rPr>
        <w:t>成交</w:t>
      </w:r>
      <w:r>
        <w:rPr>
          <w:rFonts w:hint="eastAsia" w:ascii="仿宋" w:hAnsi="仿宋" w:eastAsia="仿宋" w:cs="仿宋"/>
          <w:b/>
          <w:bCs/>
          <w:color w:val="auto"/>
          <w:kern w:val="0"/>
          <w:sz w:val="28"/>
          <w:szCs w:val="28"/>
          <w:highlight w:val="none"/>
          <w:lang w:val="en-US" w:eastAsia="zh-CN" w:bidi="ar-SA"/>
        </w:rPr>
        <w:t>结果</w:t>
      </w:r>
    </w:p>
    <w:p w14:paraId="5EC46C28">
      <w:pPr>
        <w:spacing w:after="0" w:line="360" w:lineRule="auto"/>
        <w:rPr>
          <w:rFonts w:hint="eastAsia" w:ascii="仿宋" w:hAnsi="仿宋" w:eastAsia="仿宋" w:cs="仿宋"/>
          <w:b/>
          <w:bCs/>
          <w:color w:val="auto"/>
          <w:sz w:val="24"/>
          <w:szCs w:val="24"/>
          <w:highlight w:val="none"/>
        </w:rPr>
      </w:pPr>
      <w:bookmarkStart w:id="79" w:name="_bookmark49"/>
      <w:bookmarkEnd w:id="79"/>
      <w:r>
        <w:rPr>
          <w:rFonts w:hint="eastAsia" w:ascii="仿宋" w:hAnsi="仿宋" w:eastAsia="仿宋" w:cs="仿宋"/>
          <w:b/>
          <w:bCs/>
          <w:color w:val="auto"/>
          <w:sz w:val="24"/>
          <w:szCs w:val="24"/>
          <w:highlight w:val="none"/>
        </w:rPr>
        <w:t>7.1成交供应商的确定</w:t>
      </w:r>
    </w:p>
    <w:p w14:paraId="2C484B66">
      <w:pPr>
        <w:keepNext w:val="0"/>
        <w:keepLines w:val="0"/>
        <w:pageBreakBefore w:val="0"/>
        <w:widowControl/>
        <w:kinsoku/>
        <w:wordWrap/>
        <w:overflowPunct/>
        <w:topLinePunct w:val="0"/>
        <w:autoSpaceDE/>
        <w:autoSpaceDN/>
        <w:bidi w:val="0"/>
        <w:spacing w:after="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7.1.1 除</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须知前附表规定磋商小组直接确定成交单位外，采购人根据磋商小组提出的书面评审报告和推荐的成交候选人自行确定成交单位</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磋商小组推荐成交候选人的人数见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p>
    <w:p w14:paraId="3F8A0DA5">
      <w:pPr>
        <w:keepNext w:val="0"/>
        <w:keepLines w:val="0"/>
        <w:pageBreakBefore w:val="0"/>
        <w:widowControl/>
        <w:kinsoku/>
        <w:wordWrap/>
        <w:overflowPunct/>
        <w:topLinePunct w:val="0"/>
        <w:autoSpaceDE/>
        <w:autoSpaceDN/>
        <w:bidi w:val="0"/>
        <w:spacing w:after="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7.1.2 成交候选人不能作为成交单位的情形：</w:t>
      </w:r>
    </w:p>
    <w:p w14:paraId="1C00DDB0">
      <w:pPr>
        <w:keepNext w:val="0"/>
        <w:keepLines w:val="0"/>
        <w:pageBreakBefore w:val="0"/>
        <w:widowControl/>
        <w:kinsoku/>
        <w:wordWrap/>
        <w:overflowPunct/>
        <w:topLinePunct w:val="0"/>
        <w:autoSpaceDE/>
        <w:autoSpaceDN/>
        <w:bidi w:val="0"/>
        <w:spacing w:after="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成交候选人放弃成交的；</w:t>
      </w:r>
    </w:p>
    <w:p w14:paraId="5E2F59E6">
      <w:pPr>
        <w:keepNext w:val="0"/>
        <w:keepLines w:val="0"/>
        <w:pageBreakBefore w:val="0"/>
        <w:widowControl/>
        <w:kinsoku/>
        <w:wordWrap/>
        <w:overflowPunct/>
        <w:topLinePunct w:val="0"/>
        <w:autoSpaceDE/>
        <w:autoSpaceDN/>
        <w:bidi w:val="0"/>
        <w:spacing w:after="0"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（2）因不可抗力不能履行合同的；</w:t>
      </w:r>
    </w:p>
    <w:p w14:paraId="3F7BBBFA">
      <w:pPr>
        <w:keepNext w:val="0"/>
        <w:keepLines w:val="0"/>
        <w:pageBreakBefore w:val="0"/>
        <w:widowControl/>
        <w:kinsoku/>
        <w:wordWrap/>
        <w:overflowPunct/>
        <w:topLinePunct w:val="0"/>
        <w:autoSpaceDE/>
        <w:autoSpaceDN/>
        <w:bidi w:val="0"/>
        <w:spacing w:after="0"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（3）成交候选人公示期满后，在采购人规定的时限内，不能到场商签合同的；</w:t>
      </w:r>
    </w:p>
    <w:p w14:paraId="04C016F2">
      <w:pPr>
        <w:keepNext w:val="0"/>
        <w:keepLines w:val="0"/>
        <w:pageBreakBefore w:val="0"/>
        <w:widowControl/>
        <w:kinsoku/>
        <w:wordWrap/>
        <w:overflowPunct/>
        <w:topLinePunct w:val="0"/>
        <w:autoSpaceDE/>
        <w:autoSpaceDN/>
        <w:bidi w:val="0"/>
        <w:spacing w:after="0"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（4）被查实存在影响成交结果的违法行为等情形的；</w:t>
      </w:r>
    </w:p>
    <w:p w14:paraId="4F887165">
      <w:pPr>
        <w:keepNext w:val="0"/>
        <w:keepLines w:val="0"/>
        <w:pageBreakBefore w:val="0"/>
        <w:widowControl/>
        <w:kinsoku/>
        <w:wordWrap/>
        <w:overflowPunct/>
        <w:topLinePunct w:val="0"/>
        <w:autoSpaceDE/>
        <w:autoSpaceDN/>
        <w:bidi w:val="0"/>
        <w:spacing w:after="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（5）其他不符合成交</w:t>
      </w:r>
      <w:r>
        <w:rPr>
          <w:rFonts w:hint="eastAsia" w:ascii="仿宋" w:hAnsi="仿宋" w:eastAsia="仿宋" w:cs="仿宋"/>
          <w:color w:val="auto"/>
          <w:sz w:val="24"/>
          <w:szCs w:val="24"/>
          <w:highlight w:val="none"/>
        </w:rPr>
        <w:t>条件情形的。</w:t>
      </w:r>
    </w:p>
    <w:p w14:paraId="056ABB74">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highlight w:val="none"/>
        </w:rPr>
      </w:pPr>
      <w:bookmarkStart w:id="80" w:name="_bookmark50"/>
      <w:bookmarkEnd w:id="80"/>
      <w:r>
        <w:rPr>
          <w:rFonts w:hint="eastAsia" w:ascii="仿宋" w:hAnsi="仿宋" w:eastAsia="仿宋" w:cs="仿宋"/>
          <w:color w:val="auto"/>
          <w:sz w:val="24"/>
          <w:highlight w:val="none"/>
        </w:rPr>
        <w:t>成交供应商因不可抗力或者自身原因不能履行政府采购合同的，采购人可以与排位在成交供应商之后第一位的成交候选供应商签订政府采购合同，以此类推；</w:t>
      </w:r>
      <w:r>
        <w:rPr>
          <w:rFonts w:hint="eastAsia" w:ascii="仿宋" w:hAnsi="仿宋" w:eastAsia="仿宋" w:cs="仿宋"/>
          <w:color w:val="auto"/>
          <w:kern w:val="0"/>
          <w:sz w:val="24"/>
          <w:highlight w:val="none"/>
        </w:rPr>
        <w:t>或重新开展采购活动。拒绝签订政府采购合同的成交供应商不得参加对本项目重新开展的采购活动。</w:t>
      </w:r>
    </w:p>
    <w:p w14:paraId="303E0325">
      <w:pPr>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7.2 成交通知</w:t>
      </w:r>
    </w:p>
    <w:p w14:paraId="22FADA29">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rPr>
        <w:t>成交供应商确定后，成交结果由采购代理机构在云南省政府采购网等媒体上公告</w:t>
      </w:r>
      <w:r>
        <w:rPr>
          <w:rFonts w:hint="eastAsia" w:ascii="仿宋" w:hAnsi="仿宋" w:eastAsia="仿宋" w:cs="仿宋"/>
          <w:color w:val="auto"/>
          <w:sz w:val="24"/>
          <w:szCs w:val="24"/>
          <w:highlight w:val="none"/>
        </w:rPr>
        <w:t>，采购人</w:t>
      </w:r>
      <w:r>
        <w:rPr>
          <w:rFonts w:hint="eastAsia" w:ascii="仿宋" w:hAnsi="仿宋" w:eastAsia="仿宋" w:cs="仿宋"/>
          <w:color w:val="auto"/>
          <w:sz w:val="24"/>
          <w:szCs w:val="24"/>
          <w:highlight w:val="none"/>
          <w:lang w:val="en-US" w:eastAsia="zh-CN"/>
        </w:rPr>
        <w:t>或采购代理机构</w:t>
      </w:r>
      <w:r>
        <w:rPr>
          <w:rFonts w:hint="eastAsia" w:ascii="仿宋" w:hAnsi="仿宋" w:eastAsia="仿宋" w:cs="仿宋"/>
          <w:color w:val="auto"/>
          <w:sz w:val="24"/>
          <w:szCs w:val="24"/>
          <w:highlight w:val="none"/>
        </w:rPr>
        <w:t>以书面形式向成交人发出成交通知书。</w:t>
      </w:r>
    </w:p>
    <w:p w14:paraId="10F20BB0">
      <w:pPr>
        <w:spacing w:after="0" w:line="360" w:lineRule="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7.3 履约</w:t>
      </w:r>
      <w:r>
        <w:rPr>
          <w:rFonts w:hint="eastAsia" w:ascii="仿宋" w:hAnsi="仿宋" w:eastAsia="仿宋" w:cs="仿宋"/>
          <w:b/>
          <w:bCs/>
          <w:color w:val="auto"/>
          <w:sz w:val="24"/>
          <w:szCs w:val="24"/>
          <w:highlight w:val="none"/>
          <w:lang w:val="en-US" w:eastAsia="zh-CN"/>
        </w:rPr>
        <w:t>保证金</w:t>
      </w:r>
    </w:p>
    <w:p w14:paraId="0CEE2B15">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auto"/>
          <w:sz w:val="24"/>
          <w:szCs w:val="24"/>
          <w:highlight w:val="none"/>
        </w:rPr>
      </w:pPr>
      <w:bookmarkStart w:id="81" w:name="_bookmark52"/>
      <w:bookmarkEnd w:id="81"/>
      <w:r>
        <w:rPr>
          <w:rFonts w:hint="eastAsia" w:ascii="仿宋" w:hAnsi="仿宋" w:eastAsia="仿宋" w:cs="仿宋"/>
          <w:color w:val="auto"/>
          <w:sz w:val="24"/>
          <w:szCs w:val="24"/>
          <w:highlight w:val="none"/>
        </w:rPr>
        <w:t>7.3.1在签订合同前，成交单位应按“供应商须知前附表”规定的向采购人提交履约</w:t>
      </w:r>
      <w:r>
        <w:rPr>
          <w:rFonts w:hint="eastAsia" w:ascii="仿宋" w:hAnsi="仿宋" w:eastAsia="仿宋" w:cs="仿宋"/>
          <w:color w:val="auto"/>
          <w:sz w:val="24"/>
          <w:szCs w:val="24"/>
          <w:highlight w:val="none"/>
          <w:lang w:val="en-US" w:eastAsia="zh-CN"/>
        </w:rPr>
        <w:t>保证金（如有）</w:t>
      </w:r>
      <w:r>
        <w:rPr>
          <w:rFonts w:hint="eastAsia" w:ascii="仿宋" w:hAnsi="仿宋" w:eastAsia="仿宋" w:cs="仿宋"/>
          <w:color w:val="auto"/>
          <w:sz w:val="24"/>
          <w:szCs w:val="24"/>
          <w:highlight w:val="none"/>
        </w:rPr>
        <w:t>。</w:t>
      </w:r>
    </w:p>
    <w:p w14:paraId="6C28180A">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成交单位不能按本章第7.3.1项要求提交担保的，视为放弃成交，给采购</w:t>
      </w:r>
      <w:r>
        <w:rPr>
          <w:rFonts w:hint="eastAsia" w:ascii="仿宋" w:hAnsi="仿宋" w:eastAsia="仿宋" w:cs="仿宋"/>
          <w:color w:val="auto"/>
          <w:sz w:val="24"/>
          <w:szCs w:val="24"/>
          <w:highlight w:val="none"/>
          <w:lang w:eastAsia="zh-CN"/>
        </w:rPr>
        <w:t>人造成损失的，成交</w:t>
      </w:r>
      <w:r>
        <w:rPr>
          <w:rFonts w:hint="eastAsia" w:ascii="仿宋" w:hAnsi="仿宋" w:eastAsia="仿宋" w:cs="仿宋"/>
          <w:color w:val="auto"/>
          <w:sz w:val="24"/>
          <w:szCs w:val="24"/>
          <w:highlight w:val="none"/>
        </w:rPr>
        <w:t>单位还应当予以赔偿。</w:t>
      </w:r>
    </w:p>
    <w:p w14:paraId="1776DB45">
      <w:pPr>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7.4 签订合同</w:t>
      </w:r>
    </w:p>
    <w:p w14:paraId="052EB27C">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7.4.1 采购人和成交单位应当自成交通知书发出之日起30天内，根据竞争性磋商文件和成交单位的竞争性磋商响应文件订立书面合同。成交单位无正当理由拒签合同的，采购人取消其成交资格，给采购人造成损失的，成交单位还应当予以赔偿。</w:t>
      </w:r>
    </w:p>
    <w:p w14:paraId="7577C8C9">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7.4.2 发出成交通知书后，采购人无正当理由拒签合同的，给成交单位造成损失的，还应当赔偿损失。</w:t>
      </w:r>
    </w:p>
    <w:p w14:paraId="5EF9A5D0">
      <w:pPr>
        <w:pStyle w:val="4"/>
        <w:spacing w:before="120" w:beforeLines="50" w:after="120" w:afterLines="50" w:line="360" w:lineRule="auto"/>
        <w:jc w:val="center"/>
        <w:outlineLvl w:val="9"/>
        <w:rPr>
          <w:rFonts w:hint="eastAsia" w:ascii="仿宋" w:hAnsi="仿宋" w:eastAsia="仿宋" w:cs="仿宋"/>
          <w:color w:val="auto"/>
          <w:sz w:val="28"/>
          <w:szCs w:val="28"/>
          <w:highlight w:val="none"/>
        </w:rPr>
      </w:pPr>
      <w:bookmarkStart w:id="82" w:name="_Toc31001"/>
      <w:r>
        <w:rPr>
          <w:rFonts w:hint="eastAsia" w:ascii="仿宋" w:hAnsi="仿宋" w:eastAsia="仿宋" w:cs="仿宋"/>
          <w:color w:val="auto"/>
          <w:sz w:val="28"/>
          <w:szCs w:val="28"/>
          <w:highlight w:val="none"/>
        </w:rPr>
        <w:t>8.重新</w:t>
      </w:r>
      <w:r>
        <w:rPr>
          <w:rFonts w:hint="eastAsia" w:ascii="仿宋" w:hAnsi="仿宋" w:eastAsia="仿宋" w:cs="仿宋"/>
          <w:b/>
          <w:bCs/>
          <w:color w:val="auto"/>
          <w:kern w:val="0"/>
          <w:sz w:val="28"/>
          <w:szCs w:val="28"/>
          <w:highlight w:val="none"/>
          <w:lang w:val="en-US" w:eastAsia="zh-CN" w:bidi="ar-SA"/>
        </w:rPr>
        <w:t>磋商</w:t>
      </w:r>
      <w:r>
        <w:rPr>
          <w:rFonts w:hint="eastAsia" w:ascii="仿宋" w:hAnsi="仿宋" w:eastAsia="仿宋" w:cs="仿宋"/>
          <w:color w:val="auto"/>
          <w:sz w:val="28"/>
          <w:szCs w:val="28"/>
          <w:highlight w:val="none"/>
        </w:rPr>
        <w:t>和不再磋商</w:t>
      </w:r>
      <w:bookmarkEnd w:id="82"/>
    </w:p>
    <w:p w14:paraId="1F8A2A7E">
      <w:pPr>
        <w:spacing w:after="0" w:line="360" w:lineRule="auto"/>
        <w:rPr>
          <w:rFonts w:hint="eastAsia" w:ascii="仿宋" w:hAnsi="仿宋" w:eastAsia="仿宋" w:cs="仿宋"/>
          <w:b/>
          <w:bCs/>
          <w:color w:val="auto"/>
          <w:sz w:val="24"/>
          <w:szCs w:val="24"/>
          <w:highlight w:val="none"/>
        </w:rPr>
      </w:pPr>
      <w:bookmarkStart w:id="83" w:name="_bookmark54"/>
      <w:bookmarkEnd w:id="83"/>
      <w:r>
        <w:rPr>
          <w:rFonts w:hint="eastAsia" w:ascii="仿宋" w:hAnsi="仿宋" w:eastAsia="仿宋" w:cs="仿宋"/>
          <w:b/>
          <w:bCs/>
          <w:color w:val="auto"/>
          <w:sz w:val="24"/>
          <w:szCs w:val="24"/>
          <w:highlight w:val="none"/>
        </w:rPr>
        <w:t>8.1 重新磋商</w:t>
      </w:r>
    </w:p>
    <w:p w14:paraId="39938709">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auto"/>
          <w:sz w:val="24"/>
          <w:szCs w:val="24"/>
          <w:highlight w:val="none"/>
        </w:rPr>
      </w:pPr>
      <w:bookmarkStart w:id="84" w:name="_bookmark55"/>
      <w:bookmarkEnd w:id="84"/>
      <w:r>
        <w:rPr>
          <w:rFonts w:hint="eastAsia" w:ascii="仿宋" w:hAnsi="仿宋" w:eastAsia="仿宋" w:cs="仿宋"/>
          <w:color w:val="auto"/>
          <w:sz w:val="24"/>
          <w:szCs w:val="24"/>
          <w:highlight w:val="none"/>
        </w:rPr>
        <w:t>8.1.1出现下列情形之一的，采购人或者采购代理机构应当终止竞争性磋商采购活动，发布项目终止公告并说明原因，重新开展采购活动：</w:t>
      </w:r>
    </w:p>
    <w:p w14:paraId="741237EF">
      <w:pPr>
        <w:numPr>
          <w:ilvl w:val="0"/>
          <w:numId w:val="0"/>
        </w:numPr>
        <w:spacing w:after="0" w:line="360" w:lineRule="auto"/>
        <w:ind w:left="426" w:lef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①因情况变化，不再符合规定的竞争性磋商采购方式适用情形的；</w:t>
      </w:r>
    </w:p>
    <w:p w14:paraId="2C94E307">
      <w:pPr>
        <w:numPr>
          <w:ilvl w:val="0"/>
          <w:numId w:val="0"/>
        </w:numPr>
        <w:spacing w:after="0" w:line="360" w:lineRule="auto"/>
        <w:ind w:left="426" w:lef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②出现影响采购公正的违法、违规行为的；</w:t>
      </w:r>
    </w:p>
    <w:p w14:paraId="4AFCF9CE">
      <w:pPr>
        <w:numPr>
          <w:ilvl w:val="0"/>
          <w:numId w:val="0"/>
        </w:numPr>
        <w:spacing w:after="0" w:line="360" w:lineRule="auto"/>
        <w:ind w:left="426" w:leftChars="0"/>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③除《政府采购竞争性磋商采购方式管理暂行办法》（财库〔2014〕214号）第二十一条第三款规定的情形外，在采购过程中符合要求的供应商或者报价未超过采购预算的供应商不足3家的</w:t>
      </w:r>
      <w:r>
        <w:rPr>
          <w:rFonts w:hint="eastAsia" w:ascii="仿宋" w:hAnsi="仿宋" w:eastAsia="仿宋" w:cs="仿宋"/>
          <w:color w:val="auto"/>
          <w:sz w:val="24"/>
          <w:szCs w:val="24"/>
          <w:highlight w:val="none"/>
          <w:lang w:eastAsia="zh-CN"/>
        </w:rPr>
        <w:t>；</w:t>
      </w:r>
    </w:p>
    <w:p w14:paraId="281BA8E7">
      <w:pPr>
        <w:numPr>
          <w:ilvl w:val="0"/>
          <w:numId w:val="0"/>
        </w:numPr>
        <w:spacing w:after="0" w:line="360" w:lineRule="auto"/>
        <w:ind w:left="426" w:lef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④磋商截止时间止，供应商少于3个的；</w:t>
      </w:r>
    </w:p>
    <w:p w14:paraId="301C281E">
      <w:pPr>
        <w:numPr>
          <w:ilvl w:val="0"/>
          <w:numId w:val="0"/>
        </w:numPr>
        <w:spacing w:after="0" w:line="360" w:lineRule="auto"/>
        <w:ind w:left="400" w:leftChars="0"/>
        <w:rPr>
          <w:rFonts w:hint="eastAsia" w:ascii="仿宋" w:hAnsi="仿宋" w:eastAsia="仿宋" w:cs="仿宋"/>
          <w:color w:val="auto"/>
          <w:highlight w:val="none"/>
        </w:rPr>
      </w:pPr>
      <w:r>
        <w:rPr>
          <w:rFonts w:hint="eastAsia" w:ascii="仿宋" w:hAnsi="仿宋" w:eastAsia="仿宋" w:cs="仿宋"/>
          <w:color w:val="auto"/>
          <w:sz w:val="24"/>
          <w:szCs w:val="24"/>
          <w:highlight w:val="none"/>
        </w:rPr>
        <w:t>⑤经磋商小组评审后否决所有磋商。</w:t>
      </w:r>
    </w:p>
    <w:p w14:paraId="0CC652BC">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8.1.2采购活动中因重大变故，采购任务取消的，采购人或者采购代理机构应当终止采购活动，通知所有参加采购活动的供应商，并将项目实施情况和采购任务取消原因报送本级财政部门。</w:t>
      </w:r>
    </w:p>
    <w:p w14:paraId="0548E8A7">
      <w:pPr>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8.2 不再磋商</w:t>
      </w:r>
    </w:p>
    <w:p w14:paraId="51653039">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重新磋商后</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仍少于3个或者所有磋商被否决的，属于必须审批或核准的工程建设项目，经原审批或核准部门批准后不再进行磋商。</w:t>
      </w:r>
    </w:p>
    <w:p w14:paraId="565028B7">
      <w:pPr>
        <w:pStyle w:val="4"/>
        <w:spacing w:before="120" w:beforeLines="50" w:after="120" w:afterLines="50" w:line="360" w:lineRule="auto"/>
        <w:jc w:val="center"/>
        <w:outlineLvl w:val="9"/>
        <w:rPr>
          <w:rFonts w:hint="eastAsia" w:ascii="仿宋" w:hAnsi="仿宋" w:eastAsia="仿宋" w:cs="仿宋"/>
          <w:color w:val="auto"/>
          <w:sz w:val="28"/>
          <w:szCs w:val="28"/>
          <w:highlight w:val="none"/>
        </w:rPr>
      </w:pPr>
      <w:bookmarkStart w:id="85" w:name="_bookmark56"/>
      <w:bookmarkEnd w:id="85"/>
      <w:bookmarkStart w:id="86" w:name="_Toc17066"/>
      <w:r>
        <w:rPr>
          <w:rFonts w:hint="eastAsia" w:ascii="仿宋" w:hAnsi="仿宋" w:eastAsia="仿宋" w:cs="仿宋"/>
          <w:color w:val="auto"/>
          <w:sz w:val="28"/>
          <w:szCs w:val="28"/>
          <w:highlight w:val="none"/>
        </w:rPr>
        <w:t>9.纪律和</w:t>
      </w:r>
      <w:r>
        <w:rPr>
          <w:rFonts w:hint="eastAsia" w:ascii="仿宋" w:hAnsi="仿宋" w:eastAsia="仿宋" w:cs="仿宋"/>
          <w:b/>
          <w:bCs/>
          <w:color w:val="auto"/>
          <w:kern w:val="0"/>
          <w:sz w:val="28"/>
          <w:szCs w:val="28"/>
          <w:highlight w:val="none"/>
          <w:lang w:val="en-US" w:eastAsia="zh-CN" w:bidi="ar-SA"/>
        </w:rPr>
        <w:t>监督</w:t>
      </w:r>
      <w:bookmarkEnd w:id="86"/>
    </w:p>
    <w:p w14:paraId="3EFE945A">
      <w:pPr>
        <w:spacing w:after="0" w:line="360" w:lineRule="auto"/>
        <w:rPr>
          <w:rFonts w:hint="eastAsia" w:ascii="仿宋" w:hAnsi="仿宋" w:eastAsia="仿宋" w:cs="仿宋"/>
          <w:b/>
          <w:bCs/>
          <w:color w:val="auto"/>
          <w:sz w:val="24"/>
          <w:szCs w:val="24"/>
          <w:highlight w:val="none"/>
        </w:rPr>
      </w:pPr>
      <w:bookmarkStart w:id="87" w:name="_bookmark57"/>
      <w:bookmarkEnd w:id="87"/>
      <w:bookmarkStart w:id="88" w:name="_bookmark62"/>
      <w:bookmarkEnd w:id="88"/>
      <w:r>
        <w:rPr>
          <w:rFonts w:hint="eastAsia" w:ascii="仿宋" w:hAnsi="仿宋" w:eastAsia="仿宋" w:cs="仿宋"/>
          <w:b/>
          <w:bCs/>
          <w:color w:val="auto"/>
          <w:sz w:val="24"/>
          <w:szCs w:val="24"/>
          <w:highlight w:val="none"/>
        </w:rPr>
        <w:t>9.1对采购人的纪律要求</w:t>
      </w:r>
    </w:p>
    <w:p w14:paraId="60F6B051">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采购人不得泄漏招标投标活动中应当保密的情况和资料，不得与供应商串通损害国家利益、社会公共利益或者他人合法权益。</w:t>
      </w:r>
    </w:p>
    <w:p w14:paraId="7441A1CF">
      <w:pPr>
        <w:spacing w:after="0" w:line="360" w:lineRule="auto"/>
        <w:rPr>
          <w:rFonts w:hint="eastAsia" w:ascii="仿宋" w:hAnsi="仿宋" w:eastAsia="仿宋" w:cs="仿宋"/>
          <w:b/>
          <w:bCs/>
          <w:color w:val="auto"/>
          <w:sz w:val="24"/>
          <w:szCs w:val="24"/>
          <w:highlight w:val="none"/>
        </w:rPr>
      </w:pPr>
      <w:bookmarkStart w:id="89" w:name="_bookmark58"/>
      <w:bookmarkEnd w:id="89"/>
      <w:r>
        <w:rPr>
          <w:rFonts w:hint="eastAsia" w:ascii="仿宋" w:hAnsi="仿宋" w:eastAsia="仿宋" w:cs="仿宋"/>
          <w:b/>
          <w:bCs/>
          <w:color w:val="auto"/>
          <w:sz w:val="24"/>
          <w:szCs w:val="24"/>
          <w:highlight w:val="none"/>
        </w:rPr>
        <w:t>9.2对供应商的纪律要求</w:t>
      </w:r>
    </w:p>
    <w:p w14:paraId="14FEEF63">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供应商不得相互串通磋商或者与采购人串通投标，不得向采购人或者磋商小组成员行贿谋取成交，不得以他人名义磋商或者以其他方式弄虚作假骗取成交；供应商不得以任何方式干扰、影响评审工作。</w:t>
      </w:r>
    </w:p>
    <w:p w14:paraId="697D2E60">
      <w:pPr>
        <w:spacing w:after="0" w:line="360" w:lineRule="auto"/>
        <w:rPr>
          <w:rFonts w:hint="eastAsia" w:ascii="仿宋" w:hAnsi="仿宋" w:eastAsia="仿宋" w:cs="仿宋"/>
          <w:b/>
          <w:bCs/>
          <w:color w:val="auto"/>
          <w:sz w:val="24"/>
          <w:szCs w:val="24"/>
          <w:highlight w:val="none"/>
        </w:rPr>
      </w:pPr>
      <w:bookmarkStart w:id="90" w:name="_bookmark59"/>
      <w:bookmarkEnd w:id="90"/>
      <w:r>
        <w:rPr>
          <w:rFonts w:hint="eastAsia" w:ascii="仿宋" w:hAnsi="仿宋" w:eastAsia="仿宋" w:cs="仿宋"/>
          <w:b/>
          <w:bCs/>
          <w:color w:val="auto"/>
          <w:sz w:val="24"/>
          <w:szCs w:val="24"/>
          <w:highlight w:val="none"/>
        </w:rPr>
        <w:t>9.3对磋商小组成员的纪律要求</w:t>
      </w:r>
    </w:p>
    <w:p w14:paraId="6B8058D9">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9.3.1磋商小组应当遵守评审工作纪律，不得泄露评审情况和评审中获悉的商业秘密。</w:t>
      </w:r>
    </w:p>
    <w:p w14:paraId="21AF7105">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9.3.2磋商小组在评审过程中发现供应商有行贿、提供虚假材料或者串通等违法行为的，应当及时向财政部门报告。</w:t>
      </w:r>
    </w:p>
    <w:p w14:paraId="5E28C6BA">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9.3.3在评审活动中，磋商小组成员不得擅离职守，影响评审程序正常进行。</w:t>
      </w:r>
    </w:p>
    <w:p w14:paraId="6B9665B2">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9.3.4磋商文件中没有规定的评审标准不得作为评审依据。</w:t>
      </w:r>
    </w:p>
    <w:p w14:paraId="18DBADF4">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9.3.5评审专家在评审过程中受到非法干涉的，应当及时向财政、监察等部门举报。</w:t>
      </w:r>
    </w:p>
    <w:p w14:paraId="61F811D1">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9.3.6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6179CDA2">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9.3.7磋商文件内容违反国家有关强制性规定的，磋商小组应当停止评审并向采购人或者采购代理机构说明情况。</w:t>
      </w:r>
    </w:p>
    <w:p w14:paraId="1AF537D7">
      <w:pPr>
        <w:spacing w:after="0"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9.4参与评审活动的工作人员的纪律要求</w:t>
      </w:r>
    </w:p>
    <w:p w14:paraId="5FA61C99">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与评审活动有关的工作人员不得收受他人的财物或者其他好处，不得向他人透漏对竞争性磋商响应文件的评审和比较、成交单位的推荐情况以及评审有关的其他情况。在评审活动中，与评审活动有关的工作人员不得擅离职守，影响评审程序正常进行。</w:t>
      </w:r>
    </w:p>
    <w:p w14:paraId="6C3E63C6">
      <w:pPr>
        <w:spacing w:after="0" w:line="360" w:lineRule="auto"/>
        <w:rPr>
          <w:rFonts w:hint="eastAsia" w:ascii="仿宋" w:hAnsi="仿宋" w:eastAsia="仿宋" w:cs="仿宋"/>
          <w:b/>
          <w:bCs/>
          <w:color w:val="auto"/>
          <w:sz w:val="24"/>
          <w:szCs w:val="24"/>
          <w:highlight w:val="none"/>
        </w:rPr>
      </w:pPr>
      <w:bookmarkStart w:id="91" w:name="_bookmark61"/>
      <w:bookmarkEnd w:id="91"/>
      <w:r>
        <w:rPr>
          <w:rFonts w:hint="eastAsia" w:ascii="仿宋" w:hAnsi="仿宋" w:eastAsia="仿宋" w:cs="仿宋"/>
          <w:b/>
          <w:bCs/>
          <w:color w:val="auto"/>
          <w:sz w:val="24"/>
          <w:szCs w:val="24"/>
          <w:highlight w:val="none"/>
        </w:rPr>
        <w:t>9.5质疑和投诉</w:t>
      </w:r>
    </w:p>
    <w:p w14:paraId="243B1A4F">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9.5.1质疑提出与答复</w:t>
      </w:r>
    </w:p>
    <w:p w14:paraId="2F6874EE">
      <w:pPr>
        <w:pageBreakBefore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1 \* GB2 \* MERGEFORMAT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⑴</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供应商认为采购文件、采购过程、中标或者成交结果使自己的权益受到损害的，可以在知道或者应知其权益受到损害之日起7个工作日内，</w:t>
      </w:r>
      <w:r>
        <w:rPr>
          <w:rFonts w:hint="eastAsia" w:ascii="仿宋" w:hAnsi="仿宋" w:eastAsia="仿宋" w:cs="仿宋"/>
          <w:color w:val="auto"/>
          <w:sz w:val="24"/>
          <w:highlight w:val="none"/>
        </w:rPr>
        <w:t>以书面形式</w:t>
      </w:r>
      <w:r>
        <w:rPr>
          <w:rFonts w:hint="eastAsia" w:ascii="仿宋" w:hAnsi="仿宋" w:eastAsia="仿宋" w:cs="仿宋"/>
          <w:color w:val="auto"/>
          <w:sz w:val="24"/>
          <w:szCs w:val="24"/>
          <w:highlight w:val="none"/>
        </w:rPr>
        <w:t>向采购人、采购代理机构提出质疑。</w:t>
      </w:r>
      <w:r>
        <w:rPr>
          <w:rFonts w:hint="eastAsia" w:ascii="仿宋" w:hAnsi="仿宋" w:eastAsia="仿宋" w:cs="仿宋"/>
          <w:color w:val="auto"/>
          <w:sz w:val="24"/>
          <w:highlight w:val="none"/>
        </w:rPr>
        <w:t>质疑内容不得含有虚假、恶意成分。提出质疑时应当有明确的请求和必要的证明材料，同时还必须提交相关证据材料和注明事实的确切来源。</w:t>
      </w:r>
    </w:p>
    <w:p w14:paraId="668DCF9B">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2 \* GB2 \* MERGEFORMAT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⑵</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提出质疑的供应商（以下简称质疑供应商）应当是参与所质疑项目采购活动的供应商。以联合体形式参加政府采购活动的，其</w:t>
      </w:r>
      <w:r>
        <w:rPr>
          <w:rFonts w:hint="eastAsia" w:ascii="仿宋" w:hAnsi="仿宋" w:eastAsia="仿宋" w:cs="仿宋"/>
          <w:color w:val="auto"/>
          <w:sz w:val="24"/>
          <w:szCs w:val="24"/>
          <w:highlight w:val="none"/>
          <w:lang w:val="en-US" w:eastAsia="zh-CN"/>
        </w:rPr>
        <w:t>质疑</w:t>
      </w:r>
      <w:r>
        <w:rPr>
          <w:rFonts w:hint="eastAsia" w:ascii="仿宋" w:hAnsi="仿宋" w:eastAsia="仿宋" w:cs="仿宋"/>
          <w:color w:val="auto"/>
          <w:sz w:val="24"/>
          <w:szCs w:val="24"/>
          <w:highlight w:val="none"/>
        </w:rPr>
        <w:t>应当由组成联合体的所有供应商共同提出。</w:t>
      </w:r>
    </w:p>
    <w:p w14:paraId="39ECAFD0">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3 \* GB2 \* MERGEFORMAT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⑶</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p w14:paraId="2038A862">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4 \* GB2 \* MERGEFORMAT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⑷</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供应商提出质疑应当提交质疑函和必要的证明材料。质疑函应当包括下列内容：</w:t>
      </w:r>
    </w:p>
    <w:p w14:paraId="1169D126">
      <w:pPr>
        <w:numPr>
          <w:ilvl w:val="0"/>
          <w:numId w:val="0"/>
        </w:numPr>
        <w:spacing w:after="0" w:line="360" w:lineRule="auto"/>
        <w:ind w:left="400" w:lef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①供应商的姓名或者名称、地址、邮编、联系人及联系电话；</w:t>
      </w:r>
    </w:p>
    <w:p w14:paraId="325CBCC4">
      <w:pPr>
        <w:numPr>
          <w:ilvl w:val="0"/>
          <w:numId w:val="0"/>
        </w:numPr>
        <w:spacing w:after="0" w:line="360" w:lineRule="auto"/>
        <w:ind w:left="400" w:lef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②质疑项目的名称、编号；</w:t>
      </w:r>
    </w:p>
    <w:p w14:paraId="595D4BE5">
      <w:pPr>
        <w:numPr>
          <w:ilvl w:val="0"/>
          <w:numId w:val="0"/>
        </w:numPr>
        <w:spacing w:after="0" w:line="360" w:lineRule="auto"/>
        <w:ind w:left="400" w:lef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③具体、明确的质疑事项和与质疑事项相关的请求；</w:t>
      </w:r>
    </w:p>
    <w:p w14:paraId="7F03FA6D">
      <w:pPr>
        <w:numPr>
          <w:ilvl w:val="0"/>
          <w:numId w:val="0"/>
        </w:numPr>
        <w:spacing w:after="0" w:line="360" w:lineRule="auto"/>
        <w:ind w:left="400" w:lef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④事实依据；</w:t>
      </w:r>
    </w:p>
    <w:p w14:paraId="53E7F92F">
      <w:pPr>
        <w:numPr>
          <w:ilvl w:val="0"/>
          <w:numId w:val="0"/>
        </w:numPr>
        <w:spacing w:after="0" w:line="360" w:lineRule="auto"/>
        <w:ind w:left="400" w:lef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⑤必要的法律依据；</w:t>
      </w:r>
    </w:p>
    <w:p w14:paraId="15A84B77">
      <w:pPr>
        <w:numPr>
          <w:ilvl w:val="0"/>
          <w:numId w:val="0"/>
        </w:numPr>
        <w:spacing w:after="0" w:line="360" w:lineRule="auto"/>
        <w:ind w:left="400" w:lef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⑥提出质疑的日期。</w:t>
      </w:r>
    </w:p>
    <w:p w14:paraId="1C16C9D9">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5 \* GB2 \* MERGEFORMAT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⑸</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供应商为自然人的，应当由本人签字；供应商为法人或者其他组织的，应当由法定代表人、主要负责人，或者其授权代表签字或者盖章，并加盖公章。</w:t>
      </w:r>
    </w:p>
    <w:p w14:paraId="7F77EC77">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6 \* GB2 \* MERGEFORMAT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highlight w:val="none"/>
        </w:rPr>
        <w:t>⑹</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采购人、采购代理机构不得拒收质疑供应商在法定质疑期内发出的质疑函，应当在收到质疑函后7个工作日内作出答复，并以书面形式通知质疑供应商和其他有关供应商。</w:t>
      </w:r>
    </w:p>
    <w:p w14:paraId="7EB8A45C">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9.5.2投诉提出与投诉处理</w:t>
      </w:r>
    </w:p>
    <w:p w14:paraId="33DA119C">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1 \* GB2 \* MERGEFORMAT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⑴</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质疑供应商对采购人、采购代理机构的答复不满意，或者采购人、采购代理机构未在规定时间内作出答复的，可以在答复期满后15个工作日内向《政府采购质疑和投诉办法》（中华人民共和国财政部令第94号）规定的部门提起投诉。</w:t>
      </w:r>
    </w:p>
    <w:p w14:paraId="650F595D">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2 \* GB2 \* MERGEFORMAT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⑵</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投诉人投诉时，应当提交投诉书和必要的证明材料，并按照被投诉采购人、采购代理机构（以下简称被投诉人）和与投诉事项有关的供应商数量提供投诉书的副本。投诉书应当包括下列内容：</w:t>
      </w:r>
    </w:p>
    <w:p w14:paraId="78B6104C">
      <w:pPr>
        <w:numPr>
          <w:ilvl w:val="0"/>
          <w:numId w:val="0"/>
        </w:numPr>
        <w:spacing w:after="0" w:line="360" w:lineRule="auto"/>
        <w:ind w:left="400" w:lef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①投诉人和被投诉人的姓名或者名称、通讯地址、邮编、联系人及联系电话；</w:t>
      </w:r>
    </w:p>
    <w:p w14:paraId="0C9328A7">
      <w:pPr>
        <w:numPr>
          <w:ilvl w:val="0"/>
          <w:numId w:val="0"/>
        </w:numPr>
        <w:spacing w:after="0" w:line="360" w:lineRule="auto"/>
        <w:ind w:left="400" w:lef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②质疑和质疑答复情况说明及相关证明材料；</w:t>
      </w:r>
    </w:p>
    <w:p w14:paraId="10941511">
      <w:pPr>
        <w:numPr>
          <w:ilvl w:val="0"/>
          <w:numId w:val="0"/>
        </w:numPr>
        <w:spacing w:after="0" w:line="360" w:lineRule="auto"/>
        <w:ind w:left="400" w:lef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③具体、明确的投诉事项和与投诉事项相关的投诉请求；</w:t>
      </w:r>
    </w:p>
    <w:p w14:paraId="75E0BCA3">
      <w:pPr>
        <w:numPr>
          <w:ilvl w:val="0"/>
          <w:numId w:val="0"/>
        </w:numPr>
        <w:spacing w:after="0" w:line="360" w:lineRule="auto"/>
        <w:ind w:left="400" w:lef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④事实依据；</w:t>
      </w:r>
    </w:p>
    <w:p w14:paraId="1D092531">
      <w:pPr>
        <w:numPr>
          <w:ilvl w:val="0"/>
          <w:numId w:val="0"/>
        </w:numPr>
        <w:spacing w:after="0" w:line="360" w:lineRule="auto"/>
        <w:ind w:left="400" w:lef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⑤法律依据；</w:t>
      </w:r>
    </w:p>
    <w:p w14:paraId="56A780F2">
      <w:pPr>
        <w:numPr>
          <w:ilvl w:val="0"/>
          <w:numId w:val="0"/>
        </w:numPr>
        <w:spacing w:after="0" w:line="360" w:lineRule="auto"/>
        <w:ind w:left="400" w:lef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⑥提起投诉的日期。</w:t>
      </w:r>
    </w:p>
    <w:p w14:paraId="70BB0F43">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3 \* GB2 \* MERGEFORMAT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⑶</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投诉人为自然人的，应当由本人签字；投诉人为法人或者其他组织的，应当由法定代表人、主要负责人，或者其授权代表签字或者盖章，并加盖公章。</w:t>
      </w:r>
    </w:p>
    <w:p w14:paraId="22169B3C">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4 \* GB2 \* MERGEFORMAT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⑷</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投诉人提起投诉应当符合下列条件：</w:t>
      </w:r>
    </w:p>
    <w:p w14:paraId="17EC346B">
      <w:pPr>
        <w:numPr>
          <w:ilvl w:val="0"/>
          <w:numId w:val="0"/>
        </w:numPr>
        <w:spacing w:after="0" w:line="360" w:lineRule="auto"/>
        <w:ind w:left="400" w:lef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①提起投诉前已依法进行质疑；</w:t>
      </w:r>
    </w:p>
    <w:p w14:paraId="7665B46E">
      <w:pPr>
        <w:numPr>
          <w:ilvl w:val="0"/>
          <w:numId w:val="0"/>
        </w:numPr>
        <w:spacing w:after="0" w:line="360" w:lineRule="auto"/>
        <w:ind w:left="400" w:lef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②投诉书内容符合本办法的规定；</w:t>
      </w:r>
    </w:p>
    <w:p w14:paraId="41C2295E">
      <w:pPr>
        <w:numPr>
          <w:ilvl w:val="0"/>
          <w:numId w:val="0"/>
        </w:numPr>
        <w:spacing w:after="0" w:line="360" w:lineRule="auto"/>
        <w:ind w:left="400" w:lef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③在投诉有效期限内提起投诉；</w:t>
      </w:r>
    </w:p>
    <w:p w14:paraId="3E87BC5C">
      <w:pPr>
        <w:numPr>
          <w:ilvl w:val="0"/>
          <w:numId w:val="0"/>
        </w:numPr>
        <w:spacing w:after="0" w:line="360" w:lineRule="auto"/>
        <w:ind w:left="400" w:lef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④同一投诉事项未经财政部门投诉处理；</w:t>
      </w:r>
    </w:p>
    <w:p w14:paraId="7620C26C">
      <w:pPr>
        <w:numPr>
          <w:ilvl w:val="0"/>
          <w:numId w:val="0"/>
        </w:numPr>
        <w:spacing w:after="0" w:line="360" w:lineRule="auto"/>
        <w:ind w:left="400" w:lef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⑤财政部规定的其他条件。</w:t>
      </w:r>
    </w:p>
    <w:p w14:paraId="6C37E195">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5 \* GB2 \* MERGEFORMAT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⑸</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供应商投诉的事项不得超出已质疑事项的范围，但基于质疑答复内容提出的投诉事项除外。</w:t>
      </w:r>
    </w:p>
    <w:p w14:paraId="18D594D1">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 6 \* GB2 \* MERGEFORMAT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⑹</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投诉人有下列行为之一的，属于虚假、恶意投诉，由财政部门列入不良行为记录名单，禁止其1至3年内参加政府采购活动：</w:t>
      </w:r>
    </w:p>
    <w:p w14:paraId="4483F74F">
      <w:pPr>
        <w:numPr>
          <w:ilvl w:val="0"/>
          <w:numId w:val="0"/>
        </w:numPr>
        <w:spacing w:after="0" w:line="360" w:lineRule="auto"/>
        <w:ind w:left="400" w:lef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①捏造事实；</w:t>
      </w:r>
    </w:p>
    <w:p w14:paraId="6D0F3717">
      <w:pPr>
        <w:numPr>
          <w:ilvl w:val="0"/>
          <w:numId w:val="0"/>
        </w:numPr>
        <w:spacing w:after="0" w:line="360" w:lineRule="auto"/>
        <w:ind w:left="400" w:lef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②提供虚假材料；</w:t>
      </w:r>
    </w:p>
    <w:p w14:paraId="6793E36D">
      <w:pPr>
        <w:numPr>
          <w:ilvl w:val="0"/>
          <w:numId w:val="0"/>
        </w:numPr>
        <w:spacing w:after="0" w:line="360" w:lineRule="auto"/>
        <w:ind w:left="400" w:left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③以非法手段取得证明材料。证据来源的合法性存在明显疑问，投诉人无法证明其取得方式合法的，视为以非法手段取得证明材料。</w:t>
      </w:r>
    </w:p>
    <w:p w14:paraId="4074F0C5">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⑺财政部门收到投诉书后，按照《政府采购质疑和投诉办法》（中华人民共和国财政部令第94号）相关规定处理。</w:t>
      </w:r>
    </w:p>
    <w:p w14:paraId="3B11FF39">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9.5.3质疑函和投诉书应当使用中文。</w:t>
      </w:r>
    </w:p>
    <w:p w14:paraId="25A6A187">
      <w:pPr>
        <w:pStyle w:val="4"/>
        <w:spacing w:before="120" w:beforeLines="50" w:after="120" w:afterLines="50" w:line="360" w:lineRule="auto"/>
        <w:jc w:val="center"/>
        <w:outlineLvl w:val="9"/>
        <w:rPr>
          <w:rFonts w:hint="eastAsia" w:ascii="仿宋" w:hAnsi="仿宋" w:eastAsia="仿宋" w:cs="仿宋"/>
          <w:color w:val="auto"/>
          <w:sz w:val="28"/>
          <w:szCs w:val="28"/>
          <w:highlight w:val="none"/>
        </w:rPr>
      </w:pPr>
      <w:bookmarkStart w:id="92" w:name="_Toc10045"/>
      <w:r>
        <w:rPr>
          <w:rFonts w:hint="eastAsia" w:ascii="仿宋" w:hAnsi="仿宋" w:eastAsia="仿宋" w:cs="仿宋"/>
          <w:color w:val="auto"/>
          <w:sz w:val="28"/>
          <w:szCs w:val="28"/>
          <w:highlight w:val="none"/>
        </w:rPr>
        <w:t>10.需要</w:t>
      </w:r>
      <w:r>
        <w:rPr>
          <w:rFonts w:hint="eastAsia" w:ascii="仿宋" w:hAnsi="仿宋" w:eastAsia="仿宋" w:cs="仿宋"/>
          <w:b/>
          <w:bCs/>
          <w:color w:val="auto"/>
          <w:kern w:val="0"/>
          <w:sz w:val="28"/>
          <w:szCs w:val="28"/>
          <w:highlight w:val="none"/>
          <w:lang w:val="en-US" w:eastAsia="zh-CN" w:bidi="ar-SA"/>
        </w:rPr>
        <w:t>补充</w:t>
      </w:r>
      <w:r>
        <w:rPr>
          <w:rFonts w:hint="eastAsia" w:ascii="仿宋" w:hAnsi="仿宋" w:eastAsia="仿宋" w:cs="仿宋"/>
          <w:color w:val="auto"/>
          <w:sz w:val="28"/>
          <w:szCs w:val="28"/>
          <w:highlight w:val="none"/>
        </w:rPr>
        <w:t>的其他内容</w:t>
      </w:r>
      <w:bookmarkEnd w:id="92"/>
    </w:p>
    <w:p w14:paraId="78F420DA">
      <w:pPr>
        <w:spacing w:after="0"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需要补充的其他内容：见</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p>
    <w:p w14:paraId="3A5762E5">
      <w:pPr>
        <w:spacing w:line="360" w:lineRule="auto"/>
        <w:jc w:val="right"/>
        <w:rPr>
          <w:rFonts w:hint="eastAsia" w:ascii="仿宋" w:hAnsi="仿宋" w:eastAsia="仿宋" w:cs="仿宋"/>
          <w:color w:val="auto"/>
          <w:sz w:val="24"/>
          <w:szCs w:val="24"/>
          <w:highlight w:val="none"/>
        </w:rPr>
        <w:sectPr>
          <w:headerReference r:id="rId8" w:type="first"/>
          <w:footerReference r:id="rId10" w:type="first"/>
          <w:footerReference r:id="rId9" w:type="default"/>
          <w:pgSz w:w="11911" w:h="16838"/>
          <w:pgMar w:top="1417" w:right="1417" w:bottom="1417" w:left="1417" w:header="567" w:footer="397" w:gutter="0"/>
          <w:pgNumType w:fmt="decimal" w:start="1"/>
          <w:cols w:space="720" w:num="1"/>
          <w:titlePg/>
          <w:rtlGutter w:val="0"/>
          <w:docGrid w:linePitch="299" w:charSpace="0"/>
        </w:sectPr>
      </w:pPr>
      <w:r>
        <w:rPr>
          <w:rFonts w:hint="eastAsia" w:ascii="仿宋" w:hAnsi="仿宋" w:eastAsia="仿宋" w:cs="仿宋"/>
          <w:b/>
          <w:bCs/>
          <w:color w:val="auto"/>
          <w:sz w:val="24"/>
          <w:szCs w:val="24"/>
          <w:highlight w:val="none"/>
        </w:rPr>
        <w:br w:type="page"/>
      </w:r>
    </w:p>
    <w:p w14:paraId="355D8E97">
      <w:pPr>
        <w:pStyle w:val="3"/>
        <w:bidi w:val="0"/>
        <w:jc w:val="center"/>
        <w:rPr>
          <w:rFonts w:hint="eastAsia" w:ascii="仿宋" w:hAnsi="仿宋" w:eastAsia="仿宋" w:cs="仿宋"/>
          <w:color w:val="auto"/>
          <w:highlight w:val="none"/>
        </w:rPr>
      </w:pPr>
      <w:bookmarkStart w:id="93" w:name="_Toc23815"/>
      <w:bookmarkStart w:id="94" w:name="_Toc11232"/>
      <w:bookmarkStart w:id="95" w:name="_Toc530733561"/>
      <w:bookmarkStart w:id="96" w:name="_Toc32088"/>
      <w:bookmarkStart w:id="97" w:name="_Toc16473"/>
      <w:bookmarkStart w:id="98" w:name="_Toc468962371"/>
      <w:bookmarkStart w:id="99" w:name="_Toc472062102"/>
      <w:bookmarkStart w:id="100" w:name="_Toc468367787"/>
      <w:bookmarkStart w:id="101" w:name="_Toc468280346"/>
      <w:bookmarkStart w:id="102" w:name="_Toc466120028"/>
      <w:r>
        <w:rPr>
          <w:rFonts w:hint="eastAsia" w:ascii="仿宋" w:hAnsi="仿宋" w:eastAsia="仿宋" w:cs="仿宋"/>
          <w:color w:val="auto"/>
          <w:highlight w:val="none"/>
        </w:rPr>
        <w:t>第三章 评审办法（综合评分法）</w:t>
      </w:r>
      <w:bookmarkEnd w:id="93"/>
      <w:bookmarkEnd w:id="94"/>
      <w:bookmarkEnd w:id="95"/>
      <w:bookmarkEnd w:id="96"/>
      <w:bookmarkEnd w:id="97"/>
    </w:p>
    <w:p w14:paraId="1F98F92B">
      <w:pPr>
        <w:pStyle w:val="4"/>
        <w:spacing w:before="120" w:after="120" w:line="360" w:lineRule="auto"/>
        <w:jc w:val="center"/>
        <w:outlineLvl w:val="9"/>
        <w:rPr>
          <w:rFonts w:hint="eastAsia" w:ascii="仿宋" w:hAnsi="仿宋" w:eastAsia="仿宋" w:cs="仿宋"/>
          <w:color w:val="auto"/>
          <w:sz w:val="28"/>
          <w:highlight w:val="none"/>
        </w:rPr>
      </w:pPr>
      <w:bookmarkStart w:id="103" w:name="_bookmark66"/>
      <w:bookmarkEnd w:id="103"/>
      <w:bookmarkStart w:id="104" w:name="_Toc530733562"/>
      <w:bookmarkStart w:id="105" w:name="_Toc517963434"/>
      <w:bookmarkStart w:id="106" w:name="_Toc4557"/>
      <w:r>
        <w:rPr>
          <w:rFonts w:hint="eastAsia" w:ascii="仿宋" w:hAnsi="仿宋" w:eastAsia="仿宋" w:cs="仿宋"/>
          <w:color w:val="auto"/>
          <w:sz w:val="28"/>
          <w:highlight w:val="none"/>
        </w:rPr>
        <w:t>评审办法前附表</w:t>
      </w:r>
      <w:bookmarkEnd w:id="104"/>
      <w:bookmarkEnd w:id="105"/>
      <w:bookmarkEnd w:id="106"/>
    </w:p>
    <w:tbl>
      <w:tblPr>
        <w:tblStyle w:val="23"/>
        <w:tblW w:w="9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6"/>
        <w:gridCol w:w="779"/>
        <w:gridCol w:w="1886"/>
        <w:gridCol w:w="5993"/>
      </w:tblGrid>
      <w:tr w14:paraId="2E15E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265" w:type="dxa"/>
            <w:gridSpan w:val="2"/>
            <w:tcBorders>
              <w:top w:val="single" w:color="000000" w:sz="4" w:space="0"/>
              <w:left w:val="single" w:color="000000" w:sz="4" w:space="0"/>
              <w:bottom w:val="single" w:color="000000" w:sz="4" w:space="0"/>
              <w:right w:val="single" w:color="000000" w:sz="4" w:space="0"/>
            </w:tcBorders>
            <w:vAlign w:val="center"/>
          </w:tcPr>
          <w:p w14:paraId="54278850">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bookmarkStart w:id="107" w:name="_Toc14749"/>
            <w:bookmarkStart w:id="108" w:name="_Toc530733564"/>
            <w:bookmarkStart w:id="109" w:name="_Toc525207134"/>
            <w:r>
              <w:rPr>
                <w:rFonts w:hint="eastAsia" w:ascii="仿宋" w:hAnsi="仿宋" w:eastAsia="仿宋" w:cs="仿宋"/>
                <w:color w:val="auto"/>
                <w:kern w:val="0"/>
                <w:sz w:val="24"/>
                <w:szCs w:val="24"/>
                <w:highlight w:val="none"/>
              </w:rPr>
              <w:t>条款号</w:t>
            </w:r>
          </w:p>
        </w:tc>
        <w:tc>
          <w:tcPr>
            <w:tcW w:w="1886" w:type="dxa"/>
            <w:tcBorders>
              <w:top w:val="single" w:color="000000" w:sz="4" w:space="0"/>
              <w:left w:val="single" w:color="000000" w:sz="4" w:space="0"/>
              <w:bottom w:val="single" w:color="000000" w:sz="4" w:space="0"/>
              <w:right w:val="single" w:color="000000" w:sz="4" w:space="0"/>
            </w:tcBorders>
            <w:vAlign w:val="center"/>
          </w:tcPr>
          <w:p w14:paraId="78570639">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评审因素</w:t>
            </w:r>
          </w:p>
        </w:tc>
        <w:tc>
          <w:tcPr>
            <w:tcW w:w="5993" w:type="dxa"/>
            <w:tcBorders>
              <w:top w:val="single" w:color="000000" w:sz="4" w:space="0"/>
              <w:left w:val="single" w:color="000000" w:sz="4" w:space="0"/>
              <w:bottom w:val="single" w:color="000000" w:sz="4" w:space="0"/>
              <w:right w:val="single" w:color="000000" w:sz="4" w:space="0"/>
            </w:tcBorders>
            <w:vAlign w:val="center"/>
          </w:tcPr>
          <w:p w14:paraId="78B34C56">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评审标准</w:t>
            </w:r>
          </w:p>
        </w:tc>
      </w:tr>
      <w:tr w14:paraId="3E1AC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486" w:type="dxa"/>
            <w:vMerge w:val="restart"/>
            <w:tcBorders>
              <w:top w:val="single" w:color="000000" w:sz="4" w:space="0"/>
              <w:left w:val="single" w:color="000000" w:sz="4" w:space="0"/>
              <w:right w:val="single" w:color="000000" w:sz="4" w:space="0"/>
            </w:tcBorders>
            <w:vAlign w:val="center"/>
          </w:tcPr>
          <w:p w14:paraId="2D6FB99B">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779" w:type="dxa"/>
            <w:vMerge w:val="restart"/>
            <w:tcBorders>
              <w:top w:val="single" w:color="000000" w:sz="4" w:space="0"/>
              <w:left w:val="single" w:color="000000" w:sz="4" w:space="0"/>
              <w:right w:val="single" w:color="000000" w:sz="4" w:space="0"/>
            </w:tcBorders>
            <w:vAlign w:val="center"/>
          </w:tcPr>
          <w:p w14:paraId="165996B7">
            <w:pPr>
              <w:keepNext w:val="0"/>
              <w:keepLines w:val="0"/>
              <w:pageBreakBefore w:val="0"/>
              <w:widowControl/>
              <w:kinsoku/>
              <w:wordWrap/>
              <w:overflowPunct/>
              <w:topLinePunct w:val="0"/>
              <w:autoSpaceDE/>
              <w:autoSpaceDN/>
              <w:bidi w:val="0"/>
              <w:spacing w:line="560" w:lineRule="exact"/>
              <w:jc w:val="center"/>
              <w:textAlignment w:val="auto"/>
              <w:rPr>
                <w:rFonts w:hint="eastAsia" w:ascii="仿宋" w:hAnsi="仿宋" w:eastAsia="仿宋" w:cs="仿宋"/>
                <w:color w:val="auto"/>
                <w:kern w:val="0"/>
                <w:sz w:val="24"/>
                <w:szCs w:val="24"/>
                <w:highlight w:val="none"/>
              </w:rPr>
            </w:pPr>
          </w:p>
        </w:tc>
        <w:tc>
          <w:tcPr>
            <w:tcW w:w="1886" w:type="dxa"/>
            <w:tcBorders>
              <w:top w:val="single" w:color="000000" w:sz="4" w:space="0"/>
              <w:left w:val="single" w:color="000000" w:sz="4" w:space="0"/>
              <w:bottom w:val="single" w:color="000000" w:sz="4" w:space="0"/>
              <w:right w:val="single" w:color="000000" w:sz="4" w:space="0"/>
            </w:tcBorders>
            <w:vAlign w:val="center"/>
          </w:tcPr>
          <w:p w14:paraId="6DB7666F">
            <w:pPr>
              <w:keepNext w:val="0"/>
              <w:keepLines w:val="0"/>
              <w:pageBreakBefore w:val="0"/>
              <w:widowControl/>
              <w:kinsoku/>
              <w:wordWrap/>
              <w:overflowPunct/>
              <w:topLinePunct w:val="0"/>
              <w:autoSpaceDE/>
              <w:autoSpaceDN/>
              <w:bidi w:val="0"/>
              <w:snapToGrid w:val="0"/>
              <w:spacing w:line="560" w:lineRule="exact"/>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具有独立承担民事责任的能力</w:t>
            </w:r>
          </w:p>
        </w:tc>
        <w:tc>
          <w:tcPr>
            <w:tcW w:w="5993" w:type="dxa"/>
            <w:tcBorders>
              <w:top w:val="single" w:color="000000" w:sz="4" w:space="0"/>
              <w:left w:val="single" w:color="000000" w:sz="4" w:space="0"/>
              <w:bottom w:val="single" w:color="000000" w:sz="4" w:space="0"/>
              <w:right w:val="single" w:color="000000" w:sz="4" w:space="0"/>
            </w:tcBorders>
            <w:vAlign w:val="center"/>
          </w:tcPr>
          <w:p w14:paraId="32BBEBE0">
            <w:pPr>
              <w:keepNext w:val="0"/>
              <w:keepLines w:val="0"/>
              <w:pageBreakBefore w:val="0"/>
              <w:widowControl/>
              <w:kinsoku/>
              <w:wordWrap/>
              <w:overflowPunct/>
              <w:topLinePunct w:val="0"/>
              <w:autoSpaceDE/>
              <w:autoSpaceDN/>
              <w:bidi w:val="0"/>
              <w:snapToGrid w:val="0"/>
              <w:spacing w:line="560" w:lineRule="exact"/>
              <w:jc w:val="left"/>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供应商为法人、其他组织或者自然人，提供有效的营业执照或事业单位法人证书或民办非企业登记证书或执业许可证或社会团体登记证或自然人身份证明；</w:t>
            </w:r>
          </w:p>
        </w:tc>
      </w:tr>
      <w:tr w14:paraId="112C8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6" w:type="dxa"/>
            <w:vMerge w:val="continue"/>
            <w:tcBorders>
              <w:left w:val="single" w:color="000000" w:sz="4" w:space="0"/>
              <w:right w:val="single" w:color="000000" w:sz="4" w:space="0"/>
            </w:tcBorders>
            <w:vAlign w:val="center"/>
          </w:tcPr>
          <w:p w14:paraId="759007B5">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779" w:type="dxa"/>
            <w:vMerge w:val="continue"/>
            <w:tcBorders>
              <w:left w:val="single" w:color="000000" w:sz="4" w:space="0"/>
              <w:right w:val="single" w:color="000000" w:sz="4" w:space="0"/>
            </w:tcBorders>
            <w:vAlign w:val="center"/>
          </w:tcPr>
          <w:p w14:paraId="0DDC8AE8">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1886" w:type="dxa"/>
            <w:tcBorders>
              <w:top w:val="single" w:color="000000" w:sz="4" w:space="0"/>
              <w:left w:val="single" w:color="000000" w:sz="4" w:space="0"/>
              <w:bottom w:val="single" w:color="000000" w:sz="4" w:space="0"/>
              <w:right w:val="single" w:color="000000" w:sz="4" w:space="0"/>
            </w:tcBorders>
            <w:vAlign w:val="center"/>
          </w:tcPr>
          <w:p w14:paraId="320E6873">
            <w:pPr>
              <w:keepNext w:val="0"/>
              <w:keepLines w:val="0"/>
              <w:pageBreakBefore w:val="0"/>
              <w:kinsoku/>
              <w:wordWrap/>
              <w:overflowPunct/>
              <w:topLinePunct w:val="0"/>
              <w:autoSpaceDE/>
              <w:autoSpaceDN/>
              <w:bidi w:val="0"/>
              <w:snapToGrid w:val="0"/>
              <w:spacing w:line="560" w:lineRule="exact"/>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财务要求</w:t>
            </w:r>
          </w:p>
        </w:tc>
        <w:tc>
          <w:tcPr>
            <w:tcW w:w="5993" w:type="dxa"/>
            <w:tcBorders>
              <w:top w:val="single" w:color="000000" w:sz="4" w:space="0"/>
              <w:left w:val="single" w:color="000000" w:sz="4" w:space="0"/>
              <w:bottom w:val="single" w:color="000000" w:sz="4" w:space="0"/>
              <w:right w:val="single" w:color="000000" w:sz="4" w:space="0"/>
            </w:tcBorders>
            <w:vAlign w:val="center"/>
          </w:tcPr>
          <w:p w14:paraId="2E4082B8">
            <w:pPr>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供应商满足下列任一要求：①提供2023年至今任意一年经第三方审计的审计报告及财务报表（包括资产负债表、利润表、现金流量表），成立不满1年的，提供自成立至今财务报表（包括资产负债表、利润表、现金流量表）；②提供申请文件提交截止时间前三个月内基本开户银行出具的资信证明文件（复印件加盖公章）；③非营利性单位或者社会团体或者其他机关事业单位以符合财务会计制度为准或者提供承诺函；④投标人为自然人的提供承诺函（格式自拟）；</w:t>
            </w:r>
          </w:p>
        </w:tc>
      </w:tr>
      <w:tr w14:paraId="2FC29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486" w:type="dxa"/>
            <w:vMerge w:val="continue"/>
            <w:tcBorders>
              <w:left w:val="single" w:color="000000" w:sz="4" w:space="0"/>
              <w:right w:val="single" w:color="000000" w:sz="4" w:space="0"/>
            </w:tcBorders>
            <w:vAlign w:val="center"/>
          </w:tcPr>
          <w:p w14:paraId="026B26C7">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779" w:type="dxa"/>
            <w:vMerge w:val="continue"/>
            <w:tcBorders>
              <w:left w:val="single" w:color="000000" w:sz="4" w:space="0"/>
              <w:right w:val="single" w:color="000000" w:sz="4" w:space="0"/>
            </w:tcBorders>
            <w:vAlign w:val="center"/>
          </w:tcPr>
          <w:p w14:paraId="5C7E9F8A">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1886" w:type="dxa"/>
            <w:tcBorders>
              <w:top w:val="single" w:color="000000" w:sz="4" w:space="0"/>
              <w:left w:val="single" w:color="000000" w:sz="4" w:space="0"/>
              <w:bottom w:val="single" w:color="000000" w:sz="4" w:space="0"/>
              <w:right w:val="single" w:color="000000" w:sz="4" w:space="0"/>
            </w:tcBorders>
            <w:vAlign w:val="center"/>
          </w:tcPr>
          <w:p w14:paraId="283DEE1E">
            <w:pPr>
              <w:keepNext w:val="0"/>
              <w:keepLines w:val="0"/>
              <w:pageBreakBefore w:val="0"/>
              <w:kinsoku/>
              <w:wordWrap/>
              <w:overflowPunct/>
              <w:topLinePunct w:val="0"/>
              <w:autoSpaceDE/>
              <w:autoSpaceDN/>
              <w:bidi w:val="0"/>
              <w:snapToGrid w:val="0"/>
              <w:spacing w:line="560" w:lineRule="exact"/>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具有履行合同所必需的设备和专业技术能力</w:t>
            </w:r>
          </w:p>
        </w:tc>
        <w:tc>
          <w:tcPr>
            <w:tcW w:w="5993" w:type="dxa"/>
            <w:tcBorders>
              <w:top w:val="single" w:color="000000" w:sz="4" w:space="0"/>
              <w:left w:val="single" w:color="000000" w:sz="4" w:space="0"/>
              <w:bottom w:val="single" w:color="000000" w:sz="4" w:space="0"/>
              <w:right w:val="single" w:color="000000" w:sz="4" w:space="0"/>
            </w:tcBorders>
            <w:vAlign w:val="center"/>
          </w:tcPr>
          <w:p w14:paraId="5F86FC06">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具有履行合同所必需的设备和专业技术能力，提供书面声明或证明材料。</w:t>
            </w:r>
          </w:p>
        </w:tc>
      </w:tr>
      <w:tr w14:paraId="3E35B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6" w:type="dxa"/>
            <w:vMerge w:val="continue"/>
            <w:tcBorders>
              <w:left w:val="single" w:color="000000" w:sz="4" w:space="0"/>
              <w:right w:val="single" w:color="000000" w:sz="4" w:space="0"/>
            </w:tcBorders>
            <w:vAlign w:val="center"/>
          </w:tcPr>
          <w:p w14:paraId="5F7E6ABF">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779" w:type="dxa"/>
            <w:vMerge w:val="continue"/>
            <w:tcBorders>
              <w:left w:val="single" w:color="000000" w:sz="4" w:space="0"/>
              <w:right w:val="single" w:color="000000" w:sz="4" w:space="0"/>
            </w:tcBorders>
            <w:vAlign w:val="center"/>
          </w:tcPr>
          <w:p w14:paraId="5F6A1812">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1886" w:type="dxa"/>
            <w:tcBorders>
              <w:top w:val="single" w:color="000000" w:sz="4" w:space="0"/>
              <w:left w:val="single" w:color="000000" w:sz="4" w:space="0"/>
              <w:bottom w:val="single" w:color="000000" w:sz="4" w:space="0"/>
              <w:right w:val="single" w:color="000000" w:sz="4" w:space="0"/>
            </w:tcBorders>
            <w:vAlign w:val="center"/>
          </w:tcPr>
          <w:p w14:paraId="38B2CF62">
            <w:pPr>
              <w:keepNext w:val="0"/>
              <w:keepLines w:val="0"/>
              <w:pageBreakBefore w:val="0"/>
              <w:kinsoku/>
              <w:wordWrap/>
              <w:overflowPunct/>
              <w:topLinePunct w:val="0"/>
              <w:autoSpaceDE/>
              <w:autoSpaceDN/>
              <w:bidi w:val="0"/>
              <w:snapToGrid w:val="0"/>
              <w:spacing w:line="560" w:lineRule="exact"/>
              <w:jc w:val="center"/>
              <w:textAlignment w:val="auto"/>
              <w:rPr>
                <w:rFonts w:hint="eastAsia" w:ascii="仿宋" w:hAnsi="仿宋" w:eastAsia="仿宋" w:cs="仿宋"/>
                <w:color w:val="auto"/>
                <w:kern w:val="0"/>
                <w:sz w:val="24"/>
                <w:szCs w:val="24"/>
                <w:highlight w:val="none"/>
                <w:lang w:val="en-US" w:eastAsia="zh-CN"/>
              </w:rPr>
            </w:pPr>
          </w:p>
          <w:p w14:paraId="139A84DC">
            <w:pPr>
              <w:keepNext w:val="0"/>
              <w:keepLines w:val="0"/>
              <w:pageBreakBefore w:val="0"/>
              <w:kinsoku/>
              <w:wordWrap/>
              <w:overflowPunct/>
              <w:topLinePunct w:val="0"/>
              <w:autoSpaceDE/>
              <w:autoSpaceDN/>
              <w:bidi w:val="0"/>
              <w:snapToGrid w:val="0"/>
              <w:spacing w:line="560" w:lineRule="exact"/>
              <w:jc w:val="center"/>
              <w:textAlignment w:val="auto"/>
              <w:rPr>
                <w:rFonts w:hint="eastAsia" w:ascii="仿宋" w:hAnsi="仿宋" w:eastAsia="仿宋" w:cs="仿宋"/>
                <w:color w:val="auto"/>
                <w:kern w:val="0"/>
                <w:sz w:val="24"/>
                <w:szCs w:val="24"/>
                <w:highlight w:val="none"/>
                <w:lang w:val="en-US" w:eastAsia="zh-CN"/>
              </w:rPr>
            </w:pPr>
          </w:p>
          <w:p w14:paraId="28B02D99">
            <w:pPr>
              <w:keepNext w:val="0"/>
              <w:keepLines w:val="0"/>
              <w:pageBreakBefore w:val="0"/>
              <w:kinsoku/>
              <w:wordWrap/>
              <w:overflowPunct/>
              <w:topLinePunct w:val="0"/>
              <w:autoSpaceDE/>
              <w:autoSpaceDN/>
              <w:bidi w:val="0"/>
              <w:snapToGrid w:val="0"/>
              <w:spacing w:line="560" w:lineRule="exact"/>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具有依法缴纳税收和社会保障资金的良好记录</w:t>
            </w:r>
          </w:p>
        </w:tc>
        <w:tc>
          <w:tcPr>
            <w:tcW w:w="5993" w:type="dxa"/>
            <w:tcBorders>
              <w:top w:val="single" w:color="000000" w:sz="4" w:space="0"/>
              <w:left w:val="single" w:color="000000" w:sz="4" w:space="0"/>
              <w:bottom w:val="single" w:color="000000" w:sz="4" w:space="0"/>
              <w:right w:val="single" w:color="000000" w:sz="4" w:space="0"/>
            </w:tcBorders>
            <w:vAlign w:val="center"/>
          </w:tcPr>
          <w:p w14:paraId="08A94884">
            <w:pPr>
              <w:keepNext w:val="0"/>
              <w:keepLines w:val="0"/>
              <w:pageBreakBefore w:val="0"/>
              <w:widowControl/>
              <w:kinsoku/>
              <w:wordWrap/>
              <w:overflowPunct/>
              <w:topLinePunct w:val="0"/>
              <w:autoSpaceDE/>
              <w:autoSpaceDN/>
              <w:bidi w:val="0"/>
              <w:adjustRightInd/>
              <w:snapToGrid/>
              <w:spacing w:line="560" w:lineRule="exact"/>
              <w:ind w:left="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提供缴费所属时间在2026年1月至本项目响应文件提交截止时间前任意1个月的税收缴纳凭证；新成立的供应商提供成立以来的税收缴纳凭证或相关情况说明，依法免税的供应商，应提供相应文件证明其依法免税；</w:t>
            </w:r>
          </w:p>
          <w:p w14:paraId="30DE7487">
            <w:pPr>
              <w:keepNext w:val="0"/>
              <w:keepLines w:val="0"/>
              <w:pageBreakBefore w:val="0"/>
              <w:widowControl/>
              <w:kinsoku/>
              <w:wordWrap/>
              <w:overflowPunct/>
              <w:topLinePunct w:val="0"/>
              <w:autoSpaceDE/>
              <w:autoSpaceDN/>
              <w:bidi w:val="0"/>
              <w:adjustRightInd/>
              <w:snapToGrid/>
              <w:spacing w:line="560" w:lineRule="exact"/>
              <w:ind w:left="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lang w:val="zh-CN"/>
              </w:rPr>
              <w:t>提供缴费所属时间在2026年1月至本项目</w:t>
            </w:r>
            <w:r>
              <w:rPr>
                <w:rFonts w:hint="eastAsia" w:ascii="仿宋" w:hAnsi="仿宋" w:eastAsia="仿宋" w:cs="仿宋"/>
                <w:color w:val="auto"/>
                <w:kern w:val="0"/>
                <w:sz w:val="24"/>
                <w:szCs w:val="24"/>
                <w:highlight w:val="none"/>
              </w:rPr>
              <w:t>响应</w:t>
            </w:r>
            <w:r>
              <w:rPr>
                <w:rFonts w:hint="eastAsia" w:ascii="仿宋" w:hAnsi="仿宋" w:eastAsia="仿宋" w:cs="仿宋"/>
                <w:color w:val="auto"/>
                <w:kern w:val="0"/>
                <w:sz w:val="24"/>
                <w:szCs w:val="24"/>
                <w:highlight w:val="none"/>
                <w:lang w:val="zh-CN"/>
              </w:rPr>
              <w:t>文件提交截止时间前任意</w:t>
            </w: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lang w:val="zh-CN"/>
              </w:rPr>
              <w:t>个月的社保资金缴纳凭证；</w:t>
            </w:r>
            <w:r>
              <w:rPr>
                <w:rFonts w:hint="eastAsia" w:ascii="仿宋" w:hAnsi="仿宋" w:eastAsia="仿宋" w:cs="仿宋"/>
                <w:color w:val="auto"/>
                <w:kern w:val="0"/>
                <w:sz w:val="24"/>
                <w:szCs w:val="24"/>
                <w:highlight w:val="none"/>
                <w:lang w:val="en-US" w:eastAsia="zh-CN"/>
              </w:rPr>
              <w:t>新</w:t>
            </w:r>
            <w:r>
              <w:rPr>
                <w:rFonts w:hint="eastAsia" w:ascii="仿宋" w:hAnsi="仿宋" w:eastAsia="仿宋" w:cs="仿宋"/>
                <w:color w:val="auto"/>
                <w:kern w:val="0"/>
                <w:sz w:val="24"/>
                <w:szCs w:val="24"/>
                <w:highlight w:val="none"/>
                <w:lang w:val="zh-CN"/>
              </w:rPr>
              <w:t>成立的</w:t>
            </w:r>
            <w:r>
              <w:rPr>
                <w:rFonts w:hint="eastAsia" w:ascii="仿宋" w:hAnsi="仿宋" w:eastAsia="仿宋" w:cs="仿宋"/>
                <w:color w:val="auto"/>
                <w:kern w:val="0"/>
                <w:sz w:val="24"/>
                <w:szCs w:val="24"/>
                <w:highlight w:val="none"/>
              </w:rPr>
              <w:t>供应商</w:t>
            </w:r>
            <w:r>
              <w:rPr>
                <w:rFonts w:hint="eastAsia" w:ascii="仿宋" w:hAnsi="仿宋" w:eastAsia="仿宋" w:cs="仿宋"/>
                <w:color w:val="auto"/>
                <w:kern w:val="0"/>
                <w:sz w:val="24"/>
                <w:szCs w:val="24"/>
                <w:highlight w:val="none"/>
                <w:lang w:val="zh-CN"/>
              </w:rPr>
              <w:t>提供成立以来社保资金缴纳凭证或相关情况说明；</w:t>
            </w:r>
          </w:p>
        </w:tc>
      </w:tr>
      <w:tr w14:paraId="79990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6" w:type="dxa"/>
            <w:vMerge w:val="continue"/>
            <w:tcBorders>
              <w:left w:val="single" w:color="000000" w:sz="4" w:space="0"/>
              <w:right w:val="single" w:color="000000" w:sz="4" w:space="0"/>
            </w:tcBorders>
            <w:vAlign w:val="center"/>
          </w:tcPr>
          <w:p w14:paraId="7DCC5A3C">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779" w:type="dxa"/>
            <w:vMerge w:val="continue"/>
            <w:tcBorders>
              <w:left w:val="single" w:color="000000" w:sz="4" w:space="0"/>
              <w:right w:val="single" w:color="000000" w:sz="4" w:space="0"/>
            </w:tcBorders>
            <w:vAlign w:val="center"/>
          </w:tcPr>
          <w:p w14:paraId="755487B9">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1886" w:type="dxa"/>
            <w:tcBorders>
              <w:top w:val="single" w:color="000000" w:sz="4" w:space="0"/>
              <w:left w:val="single" w:color="000000" w:sz="4" w:space="0"/>
              <w:bottom w:val="single" w:color="000000" w:sz="4" w:space="0"/>
              <w:right w:val="single" w:color="000000" w:sz="4" w:space="0"/>
            </w:tcBorders>
            <w:vAlign w:val="center"/>
          </w:tcPr>
          <w:p w14:paraId="53118148">
            <w:pPr>
              <w:keepNext w:val="0"/>
              <w:keepLines w:val="0"/>
              <w:pageBreakBefore w:val="0"/>
              <w:kinsoku/>
              <w:wordWrap/>
              <w:overflowPunct/>
              <w:topLinePunct w:val="0"/>
              <w:autoSpaceDE/>
              <w:autoSpaceDN/>
              <w:bidi w:val="0"/>
              <w:snapToGrid w:val="0"/>
              <w:spacing w:line="560" w:lineRule="exact"/>
              <w:jc w:val="center"/>
              <w:textAlignment w:val="auto"/>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参加政府采购活动前三年内在经营活动中没有重大违法记录</w:t>
            </w:r>
          </w:p>
        </w:tc>
        <w:tc>
          <w:tcPr>
            <w:tcW w:w="5993" w:type="dxa"/>
            <w:tcBorders>
              <w:top w:val="single" w:color="000000" w:sz="4" w:space="0"/>
              <w:left w:val="single" w:color="000000" w:sz="4" w:space="0"/>
              <w:bottom w:val="single" w:color="000000" w:sz="4" w:space="0"/>
              <w:right w:val="single" w:color="000000" w:sz="4" w:space="0"/>
            </w:tcBorders>
            <w:vAlign w:val="center"/>
          </w:tcPr>
          <w:p w14:paraId="0936AD3C">
            <w:pPr>
              <w:keepNext w:val="0"/>
              <w:keepLines w:val="0"/>
              <w:pageBreakBefore w:val="0"/>
              <w:widowControl/>
              <w:kinsoku/>
              <w:wordWrap/>
              <w:overflowPunct/>
              <w:topLinePunct w:val="0"/>
              <w:autoSpaceDE/>
              <w:autoSpaceDN/>
              <w:bidi w:val="0"/>
              <w:adjustRightInd/>
              <w:snapToGrid/>
              <w:spacing w:line="560" w:lineRule="exact"/>
              <w:ind w:left="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重大违法记录是指供应商因违法经营受到刑事处罚或者责令停产停业、吊销许可证或者执照、较大数额罚款等行政处罚（提供书面声明）。</w:t>
            </w:r>
          </w:p>
        </w:tc>
      </w:tr>
      <w:tr w14:paraId="67215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6" w:type="dxa"/>
            <w:vMerge w:val="continue"/>
            <w:tcBorders>
              <w:left w:val="single" w:color="000000" w:sz="4" w:space="0"/>
              <w:right w:val="single" w:color="000000" w:sz="4" w:space="0"/>
            </w:tcBorders>
            <w:vAlign w:val="center"/>
          </w:tcPr>
          <w:p w14:paraId="1001C1D7">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779" w:type="dxa"/>
            <w:vMerge w:val="continue"/>
            <w:tcBorders>
              <w:left w:val="single" w:color="000000" w:sz="4" w:space="0"/>
              <w:right w:val="single" w:color="000000" w:sz="4" w:space="0"/>
            </w:tcBorders>
            <w:vAlign w:val="center"/>
          </w:tcPr>
          <w:p w14:paraId="0B5B3D01">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1886" w:type="dxa"/>
            <w:tcBorders>
              <w:top w:val="single" w:color="000000" w:sz="4" w:space="0"/>
              <w:left w:val="single" w:color="000000" w:sz="4" w:space="0"/>
              <w:bottom w:val="single" w:color="000000" w:sz="4" w:space="0"/>
              <w:right w:val="single" w:color="000000" w:sz="4" w:space="0"/>
            </w:tcBorders>
            <w:vAlign w:val="center"/>
          </w:tcPr>
          <w:p w14:paraId="2A09754E">
            <w:pPr>
              <w:keepNext w:val="0"/>
              <w:keepLines w:val="0"/>
              <w:pageBreakBefore w:val="0"/>
              <w:kinsoku/>
              <w:wordWrap/>
              <w:overflowPunct/>
              <w:topLinePunct w:val="0"/>
              <w:autoSpaceDE/>
              <w:autoSpaceDN/>
              <w:bidi w:val="0"/>
              <w:snapToGrid w:val="0"/>
              <w:spacing w:line="560" w:lineRule="exact"/>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法律、行政法规规定的其他条件</w:t>
            </w:r>
          </w:p>
        </w:tc>
        <w:tc>
          <w:tcPr>
            <w:tcW w:w="5993" w:type="dxa"/>
            <w:tcBorders>
              <w:top w:val="single" w:color="000000" w:sz="4" w:space="0"/>
              <w:left w:val="single" w:color="000000" w:sz="4" w:space="0"/>
              <w:bottom w:val="single" w:color="000000" w:sz="4" w:space="0"/>
              <w:right w:val="single" w:color="000000" w:sz="4" w:space="0"/>
            </w:tcBorders>
            <w:vAlign w:val="center"/>
          </w:tcPr>
          <w:p w14:paraId="3F42146D">
            <w:pPr>
              <w:keepNext w:val="0"/>
              <w:keepLines w:val="0"/>
              <w:pageBreakBefore w:val="0"/>
              <w:widowControl/>
              <w:numPr>
                <w:ilvl w:val="0"/>
                <w:numId w:val="0"/>
              </w:numPr>
              <w:kinsoku/>
              <w:wordWrap/>
              <w:overflowPunct/>
              <w:topLinePunct w:val="0"/>
              <w:autoSpaceDE/>
              <w:autoSpaceDN/>
              <w:bidi w:val="0"/>
              <w:spacing w:line="560" w:lineRule="exact"/>
              <w:ind w:left="0" w:leftChars="0" w:firstLine="0" w:firstLineChars="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（1）单位负责人为同一人或者存在直接控股、管理关系不同的投标人，不得同时参与本项目的采购活动。（提供承诺函加盖供应商电子公章）</w:t>
            </w:r>
          </w:p>
          <w:p w14:paraId="599F6B90">
            <w:pPr>
              <w:keepNext w:val="0"/>
              <w:keepLines w:val="0"/>
              <w:pageBreakBefore w:val="0"/>
              <w:widowControl/>
              <w:numPr>
                <w:ilvl w:val="0"/>
                <w:numId w:val="0"/>
              </w:numPr>
              <w:kinsoku/>
              <w:wordWrap/>
              <w:overflowPunct/>
              <w:topLinePunct w:val="0"/>
              <w:autoSpaceDE/>
              <w:autoSpaceDN/>
              <w:bidi w:val="0"/>
              <w:spacing w:line="560" w:lineRule="exact"/>
              <w:ind w:left="0" w:leftChars="0" w:firstLine="0" w:firstLineChars="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（2）为采购项目提供整体设计、规范编制和项目管理、监理、检测等服务的投标人，不得参与本项目采购活动。（提供承诺函加盖供应商电子公章）</w:t>
            </w:r>
          </w:p>
          <w:p w14:paraId="57142900">
            <w:pPr>
              <w:keepNext w:val="0"/>
              <w:keepLines w:val="0"/>
              <w:pageBreakBefore w:val="0"/>
              <w:widowControl/>
              <w:numPr>
                <w:ilvl w:val="0"/>
                <w:numId w:val="0"/>
              </w:numPr>
              <w:kinsoku/>
              <w:wordWrap/>
              <w:overflowPunct/>
              <w:topLinePunct w:val="0"/>
              <w:autoSpaceDE/>
              <w:autoSpaceDN/>
              <w:bidi w:val="0"/>
              <w:spacing w:line="560" w:lineRule="exact"/>
              <w:ind w:left="0" w:leftChars="0" w:firstLine="0" w:firstLineChars="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3）供应商在“信用中国”网站（www.creditchina.gov.cn）未被列入“失信被执行人”和“重大税收违法失信主体名单”，在“中国政府采购网”网站（www.ccgp.gov.cn）未被列入政府采购严重违法失信行为记录名单（被禁止在一定期限内参加政府采购活动但期限届满的除外），（信用记录查询由采购人或采购代理机构在提交响应文件截止时间后查询结果为准，若供应商弄虚作假一经核实拒绝其参与本次采购活动）。</w:t>
            </w:r>
          </w:p>
          <w:p w14:paraId="7E0B52B1">
            <w:pPr>
              <w:keepNext w:val="0"/>
              <w:keepLines w:val="0"/>
              <w:pageBreakBefore w:val="0"/>
              <w:widowControl/>
              <w:numPr>
                <w:ilvl w:val="0"/>
                <w:numId w:val="0"/>
              </w:numPr>
              <w:kinsoku/>
              <w:wordWrap/>
              <w:overflowPunct/>
              <w:topLinePunct w:val="0"/>
              <w:autoSpaceDE/>
              <w:autoSpaceDN/>
              <w:bidi w:val="0"/>
              <w:spacing w:line="560" w:lineRule="exact"/>
              <w:ind w:left="0" w:leftChars="0" w:firstLine="0" w:firstLineChars="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（4）与采购人存在利害关系可能影响招标公正性的法人、其他组织或者个人，不得参加本项目的投标（提供承诺函加盖供应商电子公章）</w:t>
            </w:r>
          </w:p>
          <w:p w14:paraId="42674B02">
            <w:pPr>
              <w:keepNext w:val="0"/>
              <w:keepLines w:val="0"/>
              <w:pageBreakBefore w:val="0"/>
              <w:widowControl/>
              <w:numPr>
                <w:ilvl w:val="0"/>
                <w:numId w:val="0"/>
              </w:numPr>
              <w:kinsoku/>
              <w:wordWrap/>
              <w:overflowPunct/>
              <w:topLinePunct w:val="0"/>
              <w:autoSpaceDE/>
              <w:autoSpaceDN/>
              <w:bidi w:val="0"/>
              <w:spacing w:line="560" w:lineRule="exact"/>
              <w:ind w:left="0" w:leftChars="0" w:firstLine="0" w:firstLineChars="0"/>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（5）投标人不在不良行为记录公示期（记录期）、不在行政处罚影响期、无失信记录的，不违反公平竞争要求。（提供承诺函加盖供应商电子公章）</w:t>
            </w:r>
          </w:p>
          <w:p w14:paraId="2027AB05">
            <w:pPr>
              <w:keepNext w:val="0"/>
              <w:keepLines w:val="0"/>
              <w:pageBreakBefore w:val="0"/>
              <w:widowControl/>
              <w:numPr>
                <w:ilvl w:val="0"/>
                <w:numId w:val="0"/>
              </w:numPr>
              <w:kinsoku/>
              <w:wordWrap/>
              <w:overflowPunct/>
              <w:topLinePunct w:val="0"/>
              <w:autoSpaceDE/>
              <w:autoSpaceDN/>
              <w:bidi w:val="0"/>
              <w:spacing w:line="560" w:lineRule="exact"/>
              <w:ind w:left="0" w:leftChars="0" w:firstLine="0" w:firstLineChars="0"/>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（6）投标人提供虚假材料的，一经查实，取消投标或中标资格，对伪造、变造有关证件、材料、信息，骗取投标资格或中标的，将按照相关法律法规进行严肃处罚。（提供承诺函加盖供应商电子公章）</w:t>
            </w:r>
          </w:p>
        </w:tc>
      </w:tr>
      <w:tr w14:paraId="370EC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6" w:type="dxa"/>
            <w:vMerge w:val="continue"/>
            <w:tcBorders>
              <w:left w:val="single" w:color="000000" w:sz="4" w:space="0"/>
              <w:right w:val="single" w:color="000000" w:sz="4" w:space="0"/>
            </w:tcBorders>
            <w:vAlign w:val="center"/>
          </w:tcPr>
          <w:p w14:paraId="45EA6FD7">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779" w:type="dxa"/>
            <w:vMerge w:val="continue"/>
            <w:tcBorders>
              <w:left w:val="single" w:color="000000" w:sz="4" w:space="0"/>
              <w:right w:val="single" w:color="000000" w:sz="4" w:space="0"/>
            </w:tcBorders>
            <w:vAlign w:val="center"/>
          </w:tcPr>
          <w:p w14:paraId="22D6E632">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1886" w:type="dxa"/>
            <w:tcBorders>
              <w:top w:val="single" w:color="000000" w:sz="4" w:space="0"/>
              <w:left w:val="single" w:color="000000" w:sz="4" w:space="0"/>
              <w:bottom w:val="single" w:color="000000" w:sz="4" w:space="0"/>
              <w:right w:val="single" w:color="000000" w:sz="4" w:space="0"/>
            </w:tcBorders>
            <w:vAlign w:val="center"/>
          </w:tcPr>
          <w:p w14:paraId="78F417D8">
            <w:pPr>
              <w:keepNext w:val="0"/>
              <w:keepLines w:val="0"/>
              <w:pageBreakBefore w:val="0"/>
              <w:kinsoku/>
              <w:wordWrap/>
              <w:overflowPunct/>
              <w:topLinePunct w:val="0"/>
              <w:autoSpaceDE/>
              <w:autoSpaceDN/>
              <w:bidi w:val="0"/>
              <w:snapToGrid w:val="0"/>
              <w:spacing w:line="56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资质要求</w:t>
            </w:r>
          </w:p>
        </w:tc>
        <w:tc>
          <w:tcPr>
            <w:tcW w:w="5993" w:type="dxa"/>
            <w:tcBorders>
              <w:top w:val="single" w:color="000000" w:sz="4" w:space="0"/>
              <w:left w:val="single" w:color="000000" w:sz="4" w:space="0"/>
              <w:bottom w:val="single" w:color="000000" w:sz="4" w:space="0"/>
              <w:right w:val="single" w:color="000000" w:sz="4" w:space="0"/>
            </w:tcBorders>
            <w:vAlign w:val="center"/>
          </w:tcPr>
          <w:p w14:paraId="353DB402">
            <w:pPr>
              <w:pageBreakBefore w:val="0"/>
              <w:widowControl w:val="0"/>
              <w:kinsoku/>
              <w:wordWrap/>
              <w:overflowPunct/>
              <w:topLinePunct w:val="0"/>
              <w:autoSpaceDE/>
              <w:autoSpaceDN/>
              <w:bidi w:val="0"/>
              <w:snapToGrid w:val="0"/>
              <w:spacing w:beforeAutospacing="0" w:afterAutospacing="0" w:line="560" w:lineRule="exact"/>
              <w:textAlignment w:val="auto"/>
              <w:rPr>
                <w:rFonts w:hint="eastAsia" w:ascii="仿宋" w:hAnsi="仿宋" w:eastAsia="仿宋" w:cs="仿宋"/>
                <w:color w:val="auto"/>
                <w:kern w:val="0"/>
                <w:sz w:val="24"/>
                <w:szCs w:val="24"/>
                <w:highlight w:val="none"/>
              </w:rPr>
            </w:pPr>
            <w:r>
              <w:rPr>
                <w:rFonts w:hint="eastAsia" w:ascii="仿宋" w:hAnsi="仿宋" w:eastAsia="仿宋" w:cs="仿宋"/>
                <w:bCs/>
                <w:snapToGrid w:val="0"/>
                <w:color w:val="auto"/>
                <w:kern w:val="21"/>
                <w:sz w:val="24"/>
                <w:szCs w:val="24"/>
                <w:highlight w:val="none"/>
                <w:lang w:val="en-US" w:eastAsia="zh-CN"/>
              </w:rPr>
              <w:t>具备行政主管部门颁发的工程监理综合资质或房屋建筑工程监理乙级及以上资质 ，并在人员、设备等方面具备相应监理能力。</w:t>
            </w:r>
          </w:p>
        </w:tc>
      </w:tr>
      <w:tr w14:paraId="1A344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486" w:type="dxa"/>
            <w:vMerge w:val="continue"/>
            <w:tcBorders>
              <w:left w:val="single" w:color="000000" w:sz="4" w:space="0"/>
              <w:right w:val="single" w:color="000000" w:sz="4" w:space="0"/>
            </w:tcBorders>
            <w:vAlign w:val="center"/>
          </w:tcPr>
          <w:p w14:paraId="423E4732">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779" w:type="dxa"/>
            <w:vMerge w:val="continue"/>
            <w:tcBorders>
              <w:left w:val="single" w:color="000000" w:sz="4" w:space="0"/>
              <w:right w:val="single" w:color="000000" w:sz="4" w:space="0"/>
            </w:tcBorders>
            <w:vAlign w:val="center"/>
          </w:tcPr>
          <w:p w14:paraId="717B5D1E">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1886" w:type="dxa"/>
            <w:tcBorders>
              <w:top w:val="single" w:color="000000" w:sz="4" w:space="0"/>
              <w:left w:val="single" w:color="000000" w:sz="4" w:space="0"/>
              <w:right w:val="single" w:color="000000" w:sz="4" w:space="0"/>
            </w:tcBorders>
            <w:vAlign w:val="center"/>
          </w:tcPr>
          <w:p w14:paraId="012D32B9">
            <w:pPr>
              <w:keepNext w:val="0"/>
              <w:keepLines w:val="0"/>
              <w:pageBreakBefore w:val="0"/>
              <w:kinsoku/>
              <w:wordWrap/>
              <w:overflowPunct/>
              <w:topLinePunct w:val="0"/>
              <w:autoSpaceDE/>
              <w:autoSpaceDN/>
              <w:bidi w:val="0"/>
              <w:snapToGrid w:val="0"/>
              <w:spacing w:line="56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总监理工程师要求</w:t>
            </w:r>
          </w:p>
        </w:tc>
        <w:tc>
          <w:tcPr>
            <w:tcW w:w="5993" w:type="dxa"/>
            <w:tcBorders>
              <w:top w:val="single" w:color="000000" w:sz="4" w:space="0"/>
              <w:left w:val="single" w:color="000000" w:sz="4" w:space="0"/>
              <w:bottom w:val="single" w:color="000000" w:sz="4" w:space="0"/>
              <w:right w:val="single" w:color="000000" w:sz="4" w:space="0"/>
            </w:tcBorders>
            <w:vAlign w:val="center"/>
          </w:tcPr>
          <w:p w14:paraId="75673184">
            <w:pPr>
              <w:keepNext w:val="0"/>
              <w:keepLines w:val="0"/>
              <w:pageBreakBefore w:val="0"/>
              <w:widowControl w:val="0"/>
              <w:kinsoku/>
              <w:wordWrap/>
              <w:overflowPunct/>
              <w:topLinePunct w:val="0"/>
              <w:autoSpaceDE/>
              <w:autoSpaceDN/>
              <w:bidi w:val="0"/>
              <w:adjustRightInd/>
              <w:snapToGrid/>
              <w:spacing w:line="520" w:lineRule="exact"/>
              <w:textAlignment w:val="auto"/>
              <w:outlineLvl w:val="1"/>
              <w:rPr>
                <w:rFonts w:hint="eastAsia" w:ascii="仿宋" w:hAnsi="仿宋" w:eastAsia="仿宋" w:cs="仿宋"/>
                <w:b w:val="0"/>
                <w:bCs w:val="0"/>
                <w:color w:val="auto"/>
                <w:kern w:val="2"/>
                <w:sz w:val="24"/>
                <w:szCs w:val="24"/>
                <w:highlight w:val="none"/>
                <w:u w:val="none"/>
                <w:lang w:val="en-US" w:eastAsia="zh-CN"/>
              </w:rPr>
            </w:pPr>
            <w:r>
              <w:rPr>
                <w:rFonts w:hint="eastAsia" w:ascii="仿宋" w:hAnsi="仿宋" w:eastAsia="仿宋" w:cs="仿宋"/>
                <w:bCs/>
                <w:snapToGrid w:val="0"/>
                <w:color w:val="auto"/>
                <w:kern w:val="21"/>
                <w:sz w:val="24"/>
                <w:szCs w:val="24"/>
                <w:highlight w:val="none"/>
                <w:lang w:val="en-US" w:eastAsia="zh-CN"/>
              </w:rPr>
              <w:t>具备建设行政主管部门核发的国家注册监理工程师注册执业证书（专业：房屋建筑工程）且注册在本单位，施工期间非采购人同意不得更换，必须常驻施工现场，提供身份证、注册执业证书、劳动合同及社保证明</w:t>
            </w:r>
            <w:r>
              <w:rPr>
                <w:rFonts w:hint="eastAsia" w:ascii="仿宋" w:hAnsi="仿宋" w:eastAsia="仿宋" w:cs="仿宋"/>
                <w:b/>
                <w:bCs/>
                <w:color w:val="auto"/>
                <w:sz w:val="24"/>
                <w:szCs w:val="24"/>
                <w:highlight w:val="none"/>
                <w:lang w:eastAsia="zh-CN"/>
              </w:rPr>
              <w:t>（</w:t>
            </w:r>
            <w:r>
              <w:rPr>
                <w:rFonts w:hint="eastAsia" w:ascii="仿宋" w:hAnsi="仿宋" w:eastAsia="仿宋" w:cs="仿宋"/>
                <w:b/>
                <w:bCs/>
                <w:color w:val="auto"/>
                <w:sz w:val="24"/>
                <w:szCs w:val="24"/>
                <w:highlight w:val="none"/>
                <w:lang w:val="en-US" w:eastAsia="zh-CN"/>
              </w:rPr>
              <w:t>新成立的公司或</w:t>
            </w:r>
            <w:r>
              <w:rPr>
                <w:rFonts w:hint="eastAsia" w:ascii="仿宋" w:hAnsi="仿宋" w:eastAsia="仿宋" w:cs="仿宋"/>
                <w:b/>
                <w:bCs/>
                <w:color w:val="auto"/>
                <w:sz w:val="24"/>
                <w:szCs w:val="24"/>
                <w:highlight w:val="none"/>
              </w:rPr>
              <w:t>入职不足</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个月</w:t>
            </w:r>
            <w:r>
              <w:rPr>
                <w:rFonts w:hint="eastAsia" w:ascii="仿宋" w:hAnsi="仿宋" w:eastAsia="仿宋" w:cs="仿宋"/>
                <w:b/>
                <w:bCs/>
                <w:color w:val="auto"/>
                <w:sz w:val="24"/>
                <w:szCs w:val="24"/>
                <w:highlight w:val="none"/>
                <w:lang w:eastAsia="zh-CN"/>
              </w:rPr>
              <w:t>的</w:t>
            </w:r>
            <w:r>
              <w:rPr>
                <w:rFonts w:hint="eastAsia" w:ascii="仿宋" w:hAnsi="仿宋" w:eastAsia="仿宋" w:cs="仿宋"/>
                <w:b/>
                <w:bCs/>
                <w:color w:val="auto"/>
                <w:sz w:val="24"/>
                <w:szCs w:val="24"/>
                <w:highlight w:val="none"/>
                <w:lang w:val="en-US" w:eastAsia="zh-CN"/>
              </w:rPr>
              <w:t>人员暂未产生缴费记录的，须提供劳动合同 + 承诺函，承诺中标后依法按时缴纳社保</w:t>
            </w:r>
            <w:r>
              <w:rPr>
                <w:rFonts w:hint="eastAsia" w:ascii="仿宋" w:hAnsi="仿宋" w:eastAsia="仿宋" w:cs="仿宋"/>
                <w:b/>
                <w:bCs/>
                <w:color w:val="auto"/>
                <w:sz w:val="24"/>
                <w:szCs w:val="24"/>
                <w:highlight w:val="none"/>
                <w:lang w:eastAsia="zh-CN"/>
              </w:rPr>
              <w:t>）</w:t>
            </w:r>
            <w:r>
              <w:rPr>
                <w:rFonts w:hint="eastAsia" w:ascii="仿宋" w:hAnsi="仿宋" w:eastAsia="仿宋" w:cs="仿宋"/>
                <w:sz w:val="24"/>
                <w:szCs w:val="24"/>
                <w:highlight w:val="none"/>
                <w:lang w:val="en-US" w:eastAsia="zh-CN"/>
              </w:rPr>
              <w:t>。</w:t>
            </w:r>
          </w:p>
        </w:tc>
      </w:tr>
      <w:tr w14:paraId="19CA8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144" w:type="dxa"/>
            <w:gridSpan w:val="4"/>
            <w:tcBorders>
              <w:top w:val="single" w:color="000000" w:sz="4" w:space="0"/>
              <w:left w:val="single" w:color="000000" w:sz="4" w:space="0"/>
              <w:bottom w:val="single" w:color="000000" w:sz="4" w:space="0"/>
              <w:right w:val="single" w:color="000000" w:sz="4" w:space="0"/>
            </w:tcBorders>
            <w:vAlign w:val="center"/>
          </w:tcPr>
          <w:p w14:paraId="47FFA740">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上述评审标准，供应商须全部满足，否则</w:t>
            </w:r>
            <w:r>
              <w:rPr>
                <w:rFonts w:hint="eastAsia" w:ascii="仿宋" w:hAnsi="仿宋" w:eastAsia="仿宋" w:cs="仿宋"/>
                <w:color w:val="auto"/>
                <w:kern w:val="0"/>
                <w:sz w:val="24"/>
                <w:szCs w:val="24"/>
                <w:highlight w:val="none"/>
                <w:lang w:eastAsia="zh-CN"/>
              </w:rPr>
              <w:t>视为</w:t>
            </w:r>
            <w:r>
              <w:rPr>
                <w:rFonts w:hint="eastAsia" w:ascii="仿宋" w:hAnsi="仿宋" w:eastAsia="仿宋" w:cs="仿宋"/>
                <w:color w:val="auto"/>
                <w:kern w:val="0"/>
                <w:sz w:val="24"/>
                <w:szCs w:val="24"/>
                <w:highlight w:val="none"/>
              </w:rPr>
              <w:t>不合格的供应商，不得进入符合性评审、技术部分评审和磋商报价。</w:t>
            </w:r>
          </w:p>
        </w:tc>
      </w:tr>
      <w:tr w14:paraId="6EB8B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265" w:type="dxa"/>
            <w:gridSpan w:val="2"/>
            <w:tcBorders>
              <w:top w:val="single" w:color="000000" w:sz="4" w:space="0"/>
              <w:left w:val="single" w:color="000000" w:sz="4" w:space="0"/>
              <w:bottom w:val="single" w:color="000000" w:sz="4" w:space="0"/>
              <w:right w:val="single" w:color="000000" w:sz="4" w:space="0"/>
            </w:tcBorders>
            <w:vAlign w:val="center"/>
          </w:tcPr>
          <w:p w14:paraId="2D2DE54B">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条款号</w:t>
            </w:r>
          </w:p>
        </w:tc>
        <w:tc>
          <w:tcPr>
            <w:tcW w:w="1886" w:type="dxa"/>
            <w:tcBorders>
              <w:top w:val="single" w:color="000000" w:sz="4" w:space="0"/>
              <w:left w:val="single" w:color="000000" w:sz="4" w:space="0"/>
              <w:bottom w:val="single" w:color="000000" w:sz="4" w:space="0"/>
              <w:right w:val="single" w:color="000000" w:sz="4" w:space="0"/>
            </w:tcBorders>
            <w:vAlign w:val="center"/>
          </w:tcPr>
          <w:p w14:paraId="5176FA8C">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评审因素</w:t>
            </w:r>
          </w:p>
        </w:tc>
        <w:tc>
          <w:tcPr>
            <w:tcW w:w="5993" w:type="dxa"/>
            <w:tcBorders>
              <w:top w:val="single" w:color="000000" w:sz="4" w:space="0"/>
              <w:left w:val="single" w:color="000000" w:sz="4" w:space="0"/>
              <w:bottom w:val="single" w:color="000000" w:sz="4" w:space="0"/>
              <w:right w:val="single" w:color="000000" w:sz="4" w:space="0"/>
            </w:tcBorders>
            <w:vAlign w:val="center"/>
          </w:tcPr>
          <w:p w14:paraId="764BE677">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评审标准</w:t>
            </w:r>
          </w:p>
        </w:tc>
      </w:tr>
      <w:tr w14:paraId="33FF4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486" w:type="dxa"/>
            <w:vMerge w:val="restart"/>
            <w:tcBorders>
              <w:top w:val="single" w:color="000000" w:sz="4" w:space="0"/>
              <w:left w:val="single" w:color="000000" w:sz="4" w:space="0"/>
              <w:right w:val="single" w:color="000000" w:sz="4" w:space="0"/>
            </w:tcBorders>
            <w:vAlign w:val="center"/>
          </w:tcPr>
          <w:p w14:paraId="308DD340">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779" w:type="dxa"/>
            <w:vMerge w:val="restart"/>
            <w:tcBorders>
              <w:top w:val="single" w:color="000000" w:sz="4" w:space="0"/>
              <w:left w:val="single" w:color="000000" w:sz="4" w:space="0"/>
              <w:right w:val="single" w:color="000000" w:sz="4" w:space="0"/>
            </w:tcBorders>
            <w:vAlign w:val="center"/>
          </w:tcPr>
          <w:p w14:paraId="4D35F371">
            <w:pPr>
              <w:keepNext w:val="0"/>
              <w:keepLines w:val="0"/>
              <w:pageBreakBefore w:val="0"/>
              <w:kinsoku/>
              <w:wordWrap/>
              <w:overflowPunct/>
              <w:topLinePunct w:val="0"/>
              <w:autoSpaceDE/>
              <w:autoSpaceDN/>
              <w:bidi w:val="0"/>
              <w:spacing w:line="560" w:lineRule="exact"/>
              <w:jc w:val="center"/>
              <w:textAlignment w:val="auto"/>
              <w:rPr>
                <w:rFonts w:hint="eastAsia" w:ascii="仿宋" w:hAnsi="仿宋" w:eastAsia="仿宋" w:cs="仿宋"/>
                <w:color w:val="auto"/>
                <w:kern w:val="0"/>
                <w:sz w:val="24"/>
                <w:szCs w:val="24"/>
                <w:highlight w:val="none"/>
              </w:rPr>
            </w:pPr>
          </w:p>
          <w:p w14:paraId="0169646B">
            <w:pPr>
              <w:keepNext w:val="0"/>
              <w:keepLines w:val="0"/>
              <w:pageBreakBefore w:val="0"/>
              <w:kinsoku/>
              <w:wordWrap/>
              <w:overflowPunct/>
              <w:topLinePunct w:val="0"/>
              <w:autoSpaceDE/>
              <w:autoSpaceDN/>
              <w:bidi w:val="0"/>
              <w:spacing w:line="560" w:lineRule="exact"/>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符</w:t>
            </w:r>
          </w:p>
          <w:p w14:paraId="08211F29">
            <w:pPr>
              <w:keepNext w:val="0"/>
              <w:keepLines w:val="0"/>
              <w:pageBreakBefore w:val="0"/>
              <w:kinsoku/>
              <w:wordWrap/>
              <w:overflowPunct/>
              <w:topLinePunct w:val="0"/>
              <w:autoSpaceDE/>
              <w:autoSpaceDN/>
              <w:bidi w:val="0"/>
              <w:spacing w:line="560" w:lineRule="exact"/>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合</w:t>
            </w:r>
          </w:p>
          <w:p w14:paraId="52EEF016">
            <w:pPr>
              <w:keepNext w:val="0"/>
              <w:keepLines w:val="0"/>
              <w:pageBreakBefore w:val="0"/>
              <w:kinsoku/>
              <w:wordWrap/>
              <w:overflowPunct/>
              <w:topLinePunct w:val="0"/>
              <w:autoSpaceDE/>
              <w:autoSpaceDN/>
              <w:bidi w:val="0"/>
              <w:spacing w:line="560" w:lineRule="exact"/>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性</w:t>
            </w:r>
          </w:p>
          <w:p w14:paraId="7843C65C">
            <w:pPr>
              <w:keepNext w:val="0"/>
              <w:keepLines w:val="0"/>
              <w:pageBreakBefore w:val="0"/>
              <w:kinsoku/>
              <w:wordWrap/>
              <w:overflowPunct/>
              <w:topLinePunct w:val="0"/>
              <w:autoSpaceDE/>
              <w:autoSpaceDN/>
              <w:bidi w:val="0"/>
              <w:spacing w:line="560" w:lineRule="exact"/>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w:t>
            </w:r>
          </w:p>
          <w:p w14:paraId="71951860">
            <w:pPr>
              <w:keepNext w:val="0"/>
              <w:keepLines w:val="0"/>
              <w:pageBreakBefore w:val="0"/>
              <w:kinsoku/>
              <w:wordWrap/>
              <w:overflowPunct/>
              <w:topLinePunct w:val="0"/>
              <w:autoSpaceDE/>
              <w:autoSpaceDN/>
              <w:bidi w:val="0"/>
              <w:spacing w:line="560" w:lineRule="exact"/>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审</w:t>
            </w:r>
          </w:p>
          <w:p w14:paraId="5DF1A8EF">
            <w:pPr>
              <w:keepNext w:val="0"/>
              <w:keepLines w:val="0"/>
              <w:pageBreakBefore w:val="0"/>
              <w:kinsoku/>
              <w:wordWrap/>
              <w:overflowPunct/>
              <w:topLinePunct w:val="0"/>
              <w:autoSpaceDE/>
              <w:autoSpaceDN/>
              <w:bidi w:val="0"/>
              <w:spacing w:line="560" w:lineRule="exact"/>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标</w:t>
            </w:r>
          </w:p>
          <w:p w14:paraId="105EB6B2">
            <w:pPr>
              <w:keepNext w:val="0"/>
              <w:keepLines w:val="0"/>
              <w:pageBreakBefore w:val="0"/>
              <w:kinsoku/>
              <w:wordWrap/>
              <w:overflowPunct/>
              <w:topLinePunct w:val="0"/>
              <w:autoSpaceDE/>
              <w:autoSpaceDN/>
              <w:bidi w:val="0"/>
              <w:spacing w:line="560" w:lineRule="exact"/>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准</w:t>
            </w:r>
          </w:p>
        </w:tc>
        <w:tc>
          <w:tcPr>
            <w:tcW w:w="1886" w:type="dxa"/>
            <w:tcBorders>
              <w:top w:val="single" w:color="000000" w:sz="4" w:space="0"/>
              <w:left w:val="single" w:color="000000" w:sz="4" w:space="0"/>
              <w:right w:val="single" w:color="000000" w:sz="4" w:space="0"/>
            </w:tcBorders>
            <w:vAlign w:val="center"/>
          </w:tcPr>
          <w:p w14:paraId="6D38DA6A">
            <w:pPr>
              <w:keepNext w:val="0"/>
              <w:keepLines w:val="0"/>
              <w:pageBreakBefore w:val="0"/>
              <w:kinsoku/>
              <w:wordWrap/>
              <w:overflowPunct/>
              <w:topLinePunct w:val="0"/>
              <w:autoSpaceDE/>
              <w:autoSpaceDN/>
              <w:bidi w:val="0"/>
              <w:spacing w:line="560" w:lineRule="exact"/>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报价</w:t>
            </w:r>
          </w:p>
        </w:tc>
        <w:tc>
          <w:tcPr>
            <w:tcW w:w="5993" w:type="dxa"/>
            <w:tcBorders>
              <w:top w:val="single" w:color="000000" w:sz="4" w:space="0"/>
              <w:left w:val="single" w:color="000000" w:sz="4" w:space="0"/>
              <w:bottom w:val="single" w:color="000000" w:sz="4" w:space="0"/>
              <w:right w:val="single" w:color="000000" w:sz="4" w:space="0"/>
            </w:tcBorders>
            <w:vAlign w:val="center"/>
          </w:tcPr>
          <w:p w14:paraId="20B42F56">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完整且只有一个有效报价</w:t>
            </w:r>
            <w:r>
              <w:rPr>
                <w:rFonts w:hint="eastAsia" w:ascii="仿宋" w:hAnsi="仿宋" w:eastAsia="仿宋" w:cs="仿宋"/>
                <w:color w:val="auto"/>
                <w:kern w:val="0"/>
                <w:sz w:val="24"/>
                <w:szCs w:val="24"/>
                <w:highlight w:val="none"/>
                <w:lang w:eastAsia="zh-CN"/>
              </w:rPr>
              <w:t>；</w:t>
            </w:r>
          </w:p>
        </w:tc>
      </w:tr>
      <w:tr w14:paraId="34059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1" w:hRule="atLeast"/>
          <w:jc w:val="center"/>
        </w:trPr>
        <w:tc>
          <w:tcPr>
            <w:tcW w:w="486" w:type="dxa"/>
            <w:vMerge w:val="continue"/>
            <w:tcBorders>
              <w:left w:val="single" w:color="000000" w:sz="4" w:space="0"/>
              <w:right w:val="single" w:color="000000" w:sz="4" w:space="0"/>
            </w:tcBorders>
            <w:vAlign w:val="center"/>
          </w:tcPr>
          <w:p w14:paraId="26152751">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779" w:type="dxa"/>
            <w:vMerge w:val="continue"/>
            <w:tcBorders>
              <w:left w:val="single" w:color="000000" w:sz="4" w:space="0"/>
              <w:right w:val="single" w:color="000000" w:sz="4" w:space="0"/>
            </w:tcBorders>
            <w:vAlign w:val="center"/>
          </w:tcPr>
          <w:p w14:paraId="67477786">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1886" w:type="dxa"/>
            <w:tcBorders>
              <w:top w:val="single" w:color="000000" w:sz="4" w:space="0"/>
              <w:left w:val="single" w:color="000000" w:sz="4" w:space="0"/>
              <w:bottom w:val="single" w:color="000000" w:sz="4" w:space="0"/>
              <w:right w:val="single" w:color="000000" w:sz="4" w:space="0"/>
            </w:tcBorders>
            <w:vAlign w:val="center"/>
          </w:tcPr>
          <w:p w14:paraId="2D0E9B50">
            <w:pPr>
              <w:keepNext w:val="0"/>
              <w:keepLines w:val="0"/>
              <w:pageBreakBefore w:val="0"/>
              <w:kinsoku/>
              <w:wordWrap/>
              <w:overflowPunct/>
              <w:topLinePunct w:val="0"/>
              <w:autoSpaceDE/>
              <w:autoSpaceDN/>
              <w:bidi w:val="0"/>
              <w:spacing w:line="560" w:lineRule="exact"/>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磋商响应文件格式</w:t>
            </w:r>
          </w:p>
        </w:tc>
        <w:tc>
          <w:tcPr>
            <w:tcW w:w="5993" w:type="dxa"/>
            <w:tcBorders>
              <w:top w:val="single" w:color="000000" w:sz="4" w:space="0"/>
              <w:left w:val="single" w:color="000000" w:sz="4" w:space="0"/>
              <w:bottom w:val="single" w:color="000000" w:sz="4" w:space="0"/>
              <w:right w:val="single" w:color="000000" w:sz="4" w:space="0"/>
            </w:tcBorders>
            <w:vAlign w:val="center"/>
          </w:tcPr>
          <w:p w14:paraId="50FBED3D">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磋商响应文件按规定的格式填写，</w:t>
            </w:r>
            <w:r>
              <w:rPr>
                <w:rFonts w:hint="eastAsia" w:ascii="仿宋" w:hAnsi="仿宋" w:eastAsia="仿宋" w:cs="仿宋"/>
                <w:color w:val="auto"/>
                <w:kern w:val="0"/>
                <w:sz w:val="24"/>
                <w:szCs w:val="24"/>
                <w:highlight w:val="none"/>
                <w:lang w:val="en-US" w:eastAsia="zh-CN"/>
              </w:rPr>
              <w:t>无</w:t>
            </w:r>
            <w:r>
              <w:rPr>
                <w:rFonts w:hint="eastAsia" w:ascii="仿宋" w:hAnsi="仿宋" w:eastAsia="仿宋" w:cs="仿宋"/>
                <w:color w:val="auto"/>
                <w:kern w:val="0"/>
                <w:sz w:val="24"/>
                <w:szCs w:val="24"/>
                <w:highlight w:val="none"/>
              </w:rPr>
              <w:t>内容不全或关键字模糊、无法辨认的；</w:t>
            </w:r>
          </w:p>
        </w:tc>
      </w:tr>
      <w:tr w14:paraId="7BB84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atLeast"/>
          <w:jc w:val="center"/>
        </w:trPr>
        <w:tc>
          <w:tcPr>
            <w:tcW w:w="486" w:type="dxa"/>
            <w:vMerge w:val="continue"/>
            <w:tcBorders>
              <w:left w:val="single" w:color="000000" w:sz="4" w:space="0"/>
              <w:right w:val="single" w:color="000000" w:sz="4" w:space="0"/>
            </w:tcBorders>
            <w:vAlign w:val="center"/>
          </w:tcPr>
          <w:p w14:paraId="786D4FAA">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779" w:type="dxa"/>
            <w:vMerge w:val="continue"/>
            <w:tcBorders>
              <w:left w:val="single" w:color="000000" w:sz="4" w:space="0"/>
              <w:right w:val="single" w:color="000000" w:sz="4" w:space="0"/>
            </w:tcBorders>
            <w:vAlign w:val="center"/>
          </w:tcPr>
          <w:p w14:paraId="1CFFFAE5">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1886" w:type="dxa"/>
            <w:tcBorders>
              <w:top w:val="single" w:color="000000" w:sz="4" w:space="0"/>
              <w:left w:val="single" w:color="000000" w:sz="4" w:space="0"/>
              <w:bottom w:val="single" w:color="000000" w:sz="4" w:space="0"/>
              <w:right w:val="single" w:color="000000" w:sz="4" w:space="0"/>
            </w:tcBorders>
            <w:vAlign w:val="center"/>
          </w:tcPr>
          <w:p w14:paraId="57DB44BA">
            <w:pPr>
              <w:keepNext w:val="0"/>
              <w:keepLines w:val="0"/>
              <w:pageBreakBefore w:val="0"/>
              <w:kinsoku/>
              <w:wordWrap/>
              <w:overflowPunct/>
              <w:topLinePunct w:val="0"/>
              <w:autoSpaceDE/>
              <w:autoSpaceDN/>
              <w:bidi w:val="0"/>
              <w:spacing w:line="560" w:lineRule="exact"/>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磋商响应文件</w:t>
            </w:r>
            <w:r>
              <w:rPr>
                <w:rFonts w:hint="eastAsia" w:ascii="仿宋" w:hAnsi="仿宋" w:eastAsia="仿宋" w:cs="仿宋"/>
                <w:color w:val="auto"/>
                <w:kern w:val="0"/>
                <w:sz w:val="24"/>
                <w:szCs w:val="24"/>
                <w:highlight w:val="none"/>
                <w:lang w:eastAsia="zh-CN"/>
              </w:rPr>
              <w:t>电子签章、签字</w:t>
            </w:r>
          </w:p>
        </w:tc>
        <w:tc>
          <w:tcPr>
            <w:tcW w:w="5993" w:type="dxa"/>
            <w:tcBorders>
              <w:top w:val="single" w:color="000000" w:sz="4" w:space="0"/>
              <w:left w:val="single" w:color="000000" w:sz="4" w:space="0"/>
              <w:bottom w:val="single" w:color="000000" w:sz="4" w:space="0"/>
              <w:right w:val="single" w:color="000000" w:sz="4" w:space="0"/>
            </w:tcBorders>
            <w:vAlign w:val="center"/>
          </w:tcPr>
          <w:p w14:paraId="15E71BF0">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磋商响应文件按规定</w:t>
            </w:r>
            <w:r>
              <w:rPr>
                <w:rFonts w:hint="eastAsia" w:ascii="仿宋" w:hAnsi="仿宋" w:eastAsia="仿宋" w:cs="仿宋"/>
                <w:color w:val="auto"/>
                <w:kern w:val="0"/>
                <w:sz w:val="24"/>
                <w:szCs w:val="24"/>
                <w:highlight w:val="none"/>
                <w:lang w:eastAsia="zh-CN"/>
              </w:rPr>
              <w:t>电子签章、签字</w:t>
            </w:r>
            <w:r>
              <w:rPr>
                <w:rFonts w:hint="eastAsia" w:ascii="仿宋" w:hAnsi="仿宋" w:eastAsia="仿宋" w:cs="仿宋"/>
                <w:color w:val="auto"/>
                <w:kern w:val="0"/>
                <w:sz w:val="24"/>
                <w:szCs w:val="24"/>
                <w:highlight w:val="none"/>
              </w:rPr>
              <w:t>；</w:t>
            </w:r>
          </w:p>
        </w:tc>
      </w:tr>
      <w:tr w14:paraId="5CAD9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2" w:hRule="atLeast"/>
          <w:jc w:val="center"/>
        </w:trPr>
        <w:tc>
          <w:tcPr>
            <w:tcW w:w="486" w:type="dxa"/>
            <w:vMerge w:val="continue"/>
            <w:tcBorders>
              <w:left w:val="single" w:color="000000" w:sz="4" w:space="0"/>
              <w:right w:val="single" w:color="000000" w:sz="4" w:space="0"/>
            </w:tcBorders>
            <w:vAlign w:val="center"/>
          </w:tcPr>
          <w:p w14:paraId="1ABA6EBF">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779" w:type="dxa"/>
            <w:vMerge w:val="continue"/>
            <w:tcBorders>
              <w:left w:val="single" w:color="000000" w:sz="4" w:space="0"/>
              <w:right w:val="single" w:color="000000" w:sz="4" w:space="0"/>
            </w:tcBorders>
            <w:vAlign w:val="center"/>
          </w:tcPr>
          <w:p w14:paraId="47C74C85">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1886" w:type="dxa"/>
            <w:tcBorders>
              <w:top w:val="single" w:color="000000" w:sz="4" w:space="0"/>
              <w:left w:val="single" w:color="000000" w:sz="4" w:space="0"/>
              <w:bottom w:val="single" w:color="000000" w:sz="4" w:space="0"/>
              <w:right w:val="single" w:color="000000" w:sz="4" w:space="0"/>
            </w:tcBorders>
            <w:vAlign w:val="center"/>
          </w:tcPr>
          <w:p w14:paraId="70CD8067">
            <w:pPr>
              <w:keepNext w:val="0"/>
              <w:keepLines w:val="0"/>
              <w:pageBreakBefore w:val="0"/>
              <w:kinsoku/>
              <w:wordWrap/>
              <w:overflowPunct/>
              <w:topLinePunct w:val="0"/>
              <w:autoSpaceDE/>
              <w:autoSpaceDN/>
              <w:bidi w:val="0"/>
              <w:spacing w:line="560" w:lineRule="exact"/>
              <w:jc w:val="center"/>
              <w:textAlignment w:val="auto"/>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合同履行期限</w:t>
            </w:r>
          </w:p>
        </w:tc>
        <w:tc>
          <w:tcPr>
            <w:tcW w:w="5993" w:type="dxa"/>
            <w:tcBorders>
              <w:top w:val="single" w:color="000000" w:sz="4" w:space="0"/>
              <w:left w:val="single" w:color="000000" w:sz="4" w:space="0"/>
              <w:bottom w:val="single" w:color="000000" w:sz="4" w:space="0"/>
              <w:right w:val="single" w:color="000000" w:sz="4" w:space="0"/>
            </w:tcBorders>
            <w:vAlign w:val="center"/>
          </w:tcPr>
          <w:p w14:paraId="434C75D1">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符合第二章“供应商须知前附表”第</w:t>
            </w:r>
            <w:r>
              <w:rPr>
                <w:rFonts w:hint="eastAsia" w:ascii="仿宋" w:hAnsi="仿宋" w:eastAsia="仿宋" w:cs="仿宋"/>
                <w:color w:val="auto"/>
                <w:kern w:val="0"/>
                <w:sz w:val="24"/>
                <w:szCs w:val="24"/>
                <w:highlight w:val="none"/>
                <w:lang w:val="en-US" w:eastAsia="zh-CN"/>
              </w:rPr>
              <w:t>7</w:t>
            </w:r>
            <w:r>
              <w:rPr>
                <w:rFonts w:hint="eastAsia" w:ascii="仿宋" w:hAnsi="仿宋" w:eastAsia="仿宋" w:cs="仿宋"/>
                <w:color w:val="auto"/>
                <w:kern w:val="0"/>
                <w:sz w:val="24"/>
                <w:szCs w:val="24"/>
                <w:highlight w:val="none"/>
              </w:rPr>
              <w:t>款规定</w:t>
            </w:r>
          </w:p>
        </w:tc>
      </w:tr>
      <w:tr w14:paraId="4C6F5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jc w:val="center"/>
        </w:trPr>
        <w:tc>
          <w:tcPr>
            <w:tcW w:w="486" w:type="dxa"/>
            <w:vMerge w:val="continue"/>
            <w:tcBorders>
              <w:left w:val="single" w:color="000000" w:sz="4" w:space="0"/>
              <w:right w:val="single" w:color="000000" w:sz="4" w:space="0"/>
            </w:tcBorders>
            <w:vAlign w:val="center"/>
          </w:tcPr>
          <w:p w14:paraId="656729BB">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779" w:type="dxa"/>
            <w:vMerge w:val="continue"/>
            <w:tcBorders>
              <w:left w:val="single" w:color="000000" w:sz="4" w:space="0"/>
              <w:right w:val="single" w:color="000000" w:sz="4" w:space="0"/>
            </w:tcBorders>
            <w:vAlign w:val="center"/>
          </w:tcPr>
          <w:p w14:paraId="7C85972C">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1886" w:type="dxa"/>
            <w:tcBorders>
              <w:top w:val="single" w:color="000000" w:sz="4" w:space="0"/>
              <w:left w:val="single" w:color="000000" w:sz="4" w:space="0"/>
              <w:bottom w:val="single" w:color="000000" w:sz="4" w:space="0"/>
              <w:right w:val="single" w:color="000000" w:sz="4" w:space="0"/>
            </w:tcBorders>
            <w:vAlign w:val="center"/>
          </w:tcPr>
          <w:p w14:paraId="4585FF0E">
            <w:pPr>
              <w:keepNext w:val="0"/>
              <w:keepLines w:val="0"/>
              <w:pageBreakBefore w:val="0"/>
              <w:kinsoku/>
              <w:wordWrap/>
              <w:overflowPunct/>
              <w:topLinePunct w:val="0"/>
              <w:autoSpaceDE/>
              <w:autoSpaceDN/>
              <w:bidi w:val="0"/>
              <w:spacing w:line="560" w:lineRule="exact"/>
              <w:jc w:val="center"/>
              <w:textAlignment w:val="auto"/>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服务标准</w:t>
            </w:r>
          </w:p>
        </w:tc>
        <w:tc>
          <w:tcPr>
            <w:tcW w:w="5993" w:type="dxa"/>
            <w:tcBorders>
              <w:top w:val="single" w:color="000000" w:sz="4" w:space="0"/>
              <w:left w:val="single" w:color="000000" w:sz="4" w:space="0"/>
              <w:bottom w:val="single" w:color="000000" w:sz="4" w:space="0"/>
              <w:right w:val="single" w:color="000000" w:sz="4" w:space="0"/>
            </w:tcBorders>
            <w:vAlign w:val="center"/>
          </w:tcPr>
          <w:p w14:paraId="6F7DA002">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符合第二章“供应商须知前附表”第</w:t>
            </w:r>
            <w:r>
              <w:rPr>
                <w:rFonts w:hint="eastAsia" w:ascii="仿宋" w:hAnsi="仿宋" w:eastAsia="仿宋" w:cs="仿宋"/>
                <w:color w:val="auto"/>
                <w:kern w:val="0"/>
                <w:sz w:val="24"/>
                <w:szCs w:val="24"/>
                <w:highlight w:val="none"/>
                <w:lang w:val="en-US" w:eastAsia="zh-CN"/>
              </w:rPr>
              <w:t>8</w:t>
            </w:r>
            <w:r>
              <w:rPr>
                <w:rFonts w:hint="eastAsia" w:ascii="仿宋" w:hAnsi="仿宋" w:eastAsia="仿宋" w:cs="仿宋"/>
                <w:color w:val="auto"/>
                <w:kern w:val="0"/>
                <w:sz w:val="24"/>
                <w:szCs w:val="24"/>
                <w:highlight w:val="none"/>
              </w:rPr>
              <w:t>款规定</w:t>
            </w:r>
          </w:p>
        </w:tc>
      </w:tr>
      <w:tr w14:paraId="7E1AF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jc w:val="center"/>
        </w:trPr>
        <w:tc>
          <w:tcPr>
            <w:tcW w:w="486" w:type="dxa"/>
            <w:vMerge w:val="continue"/>
            <w:tcBorders>
              <w:left w:val="single" w:color="000000" w:sz="4" w:space="0"/>
              <w:bottom w:val="single" w:color="000000" w:sz="4" w:space="0"/>
              <w:right w:val="single" w:color="000000" w:sz="4" w:space="0"/>
            </w:tcBorders>
            <w:vAlign w:val="center"/>
          </w:tcPr>
          <w:p w14:paraId="19C0FEF5">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779" w:type="dxa"/>
            <w:vMerge w:val="continue"/>
            <w:tcBorders>
              <w:left w:val="single" w:color="000000" w:sz="4" w:space="0"/>
              <w:bottom w:val="single" w:color="000000" w:sz="4" w:space="0"/>
              <w:right w:val="single" w:color="000000" w:sz="4" w:space="0"/>
            </w:tcBorders>
            <w:vAlign w:val="center"/>
          </w:tcPr>
          <w:p w14:paraId="5ADE1E12">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1886" w:type="dxa"/>
            <w:tcBorders>
              <w:top w:val="single" w:color="000000" w:sz="4" w:space="0"/>
              <w:left w:val="single" w:color="000000" w:sz="4" w:space="0"/>
              <w:bottom w:val="single" w:color="000000" w:sz="4" w:space="0"/>
              <w:right w:val="single" w:color="000000" w:sz="4" w:space="0"/>
            </w:tcBorders>
            <w:vAlign w:val="center"/>
          </w:tcPr>
          <w:p w14:paraId="19117428">
            <w:pPr>
              <w:keepNext w:val="0"/>
              <w:keepLines w:val="0"/>
              <w:pageBreakBefore w:val="0"/>
              <w:kinsoku/>
              <w:wordWrap/>
              <w:overflowPunct/>
              <w:topLinePunct w:val="0"/>
              <w:autoSpaceDE/>
              <w:autoSpaceDN/>
              <w:bidi w:val="0"/>
              <w:spacing w:line="56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其他无效情形</w:t>
            </w:r>
          </w:p>
        </w:tc>
        <w:tc>
          <w:tcPr>
            <w:tcW w:w="5993" w:type="dxa"/>
            <w:tcBorders>
              <w:top w:val="single" w:color="000000" w:sz="4" w:space="0"/>
              <w:left w:val="single" w:color="000000" w:sz="4" w:space="0"/>
              <w:bottom w:val="single" w:color="000000" w:sz="4" w:space="0"/>
              <w:right w:val="single" w:color="000000" w:sz="4" w:space="0"/>
            </w:tcBorders>
            <w:vAlign w:val="center"/>
          </w:tcPr>
          <w:p w14:paraId="5B33F408">
            <w:pPr>
              <w:pStyle w:val="8"/>
              <w:widowControl w:val="0"/>
              <w:autoSpaceDE w:val="0"/>
              <w:spacing w:line="400" w:lineRule="exact"/>
              <w:ind w:left="0" w:leftChars="0" w:firstLine="0" w:firstLineChars="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（1）不同供应商的响应文件由同一单位或者个人编制；</w:t>
            </w:r>
          </w:p>
          <w:p w14:paraId="00330D02">
            <w:pPr>
              <w:pStyle w:val="8"/>
              <w:widowControl w:val="0"/>
              <w:autoSpaceDE w:val="0"/>
              <w:spacing w:line="400" w:lineRule="exact"/>
              <w:ind w:left="0" w:leftChars="0" w:firstLine="0" w:firstLineChars="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（2）不同供应商委托同一单位或者个人办理磋商事宜；</w:t>
            </w:r>
          </w:p>
          <w:p w14:paraId="77193731">
            <w:pPr>
              <w:pStyle w:val="8"/>
              <w:widowControl w:val="0"/>
              <w:autoSpaceDE w:val="0"/>
              <w:spacing w:line="400" w:lineRule="exact"/>
              <w:ind w:left="0" w:leftChars="0" w:firstLine="0" w:firstLineChars="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（3）不同供应商的响应文件载明的项目管理成员或者联系人员为同一人；</w:t>
            </w:r>
          </w:p>
          <w:p w14:paraId="65BEAADD">
            <w:pPr>
              <w:pStyle w:val="8"/>
              <w:widowControl w:val="0"/>
              <w:autoSpaceDE w:val="0"/>
              <w:spacing w:line="400" w:lineRule="exact"/>
              <w:ind w:left="0" w:leftChars="0" w:firstLine="0" w:firstLineChars="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（4）不同供应商的响应文件异常一致或者磋商报价呈规律性差异；</w:t>
            </w:r>
          </w:p>
          <w:p w14:paraId="55FFF1E1">
            <w:pPr>
              <w:pStyle w:val="8"/>
              <w:widowControl w:val="0"/>
              <w:autoSpaceDE w:val="0"/>
              <w:spacing w:line="400" w:lineRule="exact"/>
              <w:ind w:left="0" w:leftChars="0" w:firstLine="0" w:firstLineChars="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（5）不同供应商的响应文件相互混装；</w:t>
            </w:r>
          </w:p>
          <w:p w14:paraId="7B3ECD48">
            <w:pPr>
              <w:pStyle w:val="8"/>
              <w:widowControl w:val="0"/>
              <w:autoSpaceDE w:val="0"/>
              <w:spacing w:line="400" w:lineRule="exact"/>
              <w:ind w:left="0" w:leftChars="0" w:firstLine="0" w:firstLineChars="0"/>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（6）不同供应商的磋商保证金从同一单位或者个人的账户转出；</w:t>
            </w:r>
          </w:p>
          <w:p w14:paraId="08A94AC0">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auto"/>
                <w:kern w:val="0"/>
                <w:sz w:val="24"/>
                <w:szCs w:val="24"/>
                <w:highlight w:val="none"/>
              </w:rPr>
            </w:pPr>
            <w:r>
              <w:rPr>
                <w:rFonts w:hint="eastAsia" w:ascii="仿宋" w:hAnsi="仿宋" w:eastAsia="仿宋" w:cs="仿宋"/>
                <w:sz w:val="24"/>
                <w:szCs w:val="24"/>
                <w:highlight w:val="none"/>
              </w:rPr>
              <w:t>（7）法律、法规和竞争性磋商文件规定的其他无效情形。</w:t>
            </w:r>
          </w:p>
        </w:tc>
      </w:tr>
      <w:tr w14:paraId="44CE2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9144" w:type="dxa"/>
            <w:gridSpan w:val="4"/>
            <w:tcBorders>
              <w:top w:val="single" w:color="000000" w:sz="4" w:space="0"/>
              <w:left w:val="single" w:color="000000" w:sz="4" w:space="0"/>
              <w:bottom w:val="single" w:color="000000" w:sz="4" w:space="0"/>
              <w:right w:val="single" w:color="000000" w:sz="4" w:space="0"/>
            </w:tcBorders>
            <w:vAlign w:val="center"/>
          </w:tcPr>
          <w:p w14:paraId="17A52FCA">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上述符合性评审标准通过者，才能进入最终报价和综合评分。</w:t>
            </w:r>
          </w:p>
        </w:tc>
      </w:tr>
      <w:tr w14:paraId="5230D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265" w:type="dxa"/>
            <w:gridSpan w:val="2"/>
            <w:tcBorders>
              <w:top w:val="single" w:color="000000" w:sz="4" w:space="0"/>
              <w:left w:val="single" w:color="000000" w:sz="4" w:space="0"/>
              <w:bottom w:val="single" w:color="000000" w:sz="4" w:space="0"/>
              <w:right w:val="single" w:color="000000" w:sz="4" w:space="0"/>
            </w:tcBorders>
            <w:vAlign w:val="center"/>
          </w:tcPr>
          <w:p w14:paraId="2453F70C">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条款号</w:t>
            </w:r>
          </w:p>
        </w:tc>
        <w:tc>
          <w:tcPr>
            <w:tcW w:w="7879" w:type="dxa"/>
            <w:gridSpan w:val="2"/>
            <w:tcBorders>
              <w:top w:val="single" w:color="000000" w:sz="4" w:space="0"/>
              <w:left w:val="single" w:color="000000" w:sz="4" w:space="0"/>
              <w:bottom w:val="single" w:color="000000" w:sz="4" w:space="0"/>
              <w:right w:val="single" w:color="000000" w:sz="4" w:space="0"/>
            </w:tcBorders>
            <w:vAlign w:val="center"/>
          </w:tcPr>
          <w:p w14:paraId="0B2D12C9">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评分标准</w:t>
            </w:r>
          </w:p>
        </w:tc>
      </w:tr>
      <w:tr w14:paraId="19152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486" w:type="dxa"/>
            <w:vMerge w:val="restart"/>
            <w:tcBorders>
              <w:top w:val="single" w:color="000000" w:sz="4" w:space="0"/>
              <w:left w:val="single" w:color="000000" w:sz="4" w:space="0"/>
              <w:right w:val="single" w:color="000000" w:sz="4" w:space="0"/>
            </w:tcBorders>
            <w:vAlign w:val="center"/>
          </w:tcPr>
          <w:p w14:paraId="7E318BCC">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三</w:t>
            </w:r>
          </w:p>
        </w:tc>
        <w:tc>
          <w:tcPr>
            <w:tcW w:w="779" w:type="dxa"/>
            <w:vMerge w:val="restart"/>
            <w:tcBorders>
              <w:top w:val="single" w:color="000000" w:sz="4" w:space="0"/>
              <w:left w:val="single" w:color="000000" w:sz="4" w:space="0"/>
              <w:right w:val="single" w:color="000000" w:sz="4" w:space="0"/>
            </w:tcBorders>
            <w:vAlign w:val="center"/>
          </w:tcPr>
          <w:p w14:paraId="34434F4B">
            <w:pPr>
              <w:keepNext w:val="0"/>
              <w:keepLines w:val="0"/>
              <w:pageBreakBefore w:val="0"/>
              <w:widowControl/>
              <w:kinsoku/>
              <w:wordWrap/>
              <w:overflowPunct/>
              <w:topLinePunct w:val="0"/>
              <w:autoSpaceDE/>
              <w:autoSpaceDN/>
              <w:bidi w:val="0"/>
              <w:spacing w:line="560" w:lineRule="exact"/>
              <w:jc w:val="center"/>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综合评分</w:t>
            </w:r>
          </w:p>
          <w:p w14:paraId="7A82A8A8">
            <w:pPr>
              <w:keepNext w:val="0"/>
              <w:keepLines w:val="0"/>
              <w:pageBreakBefore w:val="0"/>
              <w:widowControl/>
              <w:kinsoku/>
              <w:wordWrap/>
              <w:overflowPunct/>
              <w:topLinePunct w:val="0"/>
              <w:autoSpaceDE/>
              <w:autoSpaceDN/>
              <w:bidi w:val="0"/>
              <w:spacing w:line="560" w:lineRule="exact"/>
              <w:ind w:right="-101" w:rightChars="-46"/>
              <w:jc w:val="both"/>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（100分）</w:t>
            </w:r>
          </w:p>
        </w:tc>
        <w:tc>
          <w:tcPr>
            <w:tcW w:w="7879" w:type="dxa"/>
            <w:gridSpan w:val="2"/>
            <w:tcBorders>
              <w:top w:val="single" w:color="000000" w:sz="4" w:space="0"/>
              <w:left w:val="single" w:color="000000" w:sz="4" w:space="0"/>
              <w:bottom w:val="single" w:color="000000" w:sz="4" w:space="0"/>
              <w:right w:val="single" w:color="000000" w:sz="4" w:space="0"/>
            </w:tcBorders>
            <w:vAlign w:val="center"/>
          </w:tcPr>
          <w:p w14:paraId="5FA85883">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（一）最终报价评分（满分</w:t>
            </w:r>
            <w:r>
              <w:rPr>
                <w:rFonts w:hint="eastAsia" w:ascii="仿宋" w:hAnsi="仿宋" w:eastAsia="仿宋" w:cs="仿宋"/>
                <w:color w:val="auto"/>
                <w:kern w:val="0"/>
                <w:sz w:val="24"/>
                <w:szCs w:val="24"/>
                <w:highlight w:val="none"/>
                <w:lang w:val="en-US" w:eastAsia="zh-CN"/>
              </w:rPr>
              <w:t>2</w:t>
            </w:r>
            <w:r>
              <w:rPr>
                <w:rFonts w:hint="eastAsia" w:ascii="仿宋" w:hAnsi="仿宋" w:eastAsia="仿宋" w:cs="仿宋"/>
                <w:color w:val="auto"/>
                <w:kern w:val="0"/>
                <w:sz w:val="24"/>
                <w:szCs w:val="24"/>
                <w:highlight w:val="none"/>
              </w:rPr>
              <w:t>0分）</w:t>
            </w:r>
          </w:p>
        </w:tc>
      </w:tr>
      <w:tr w14:paraId="5148F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486" w:type="dxa"/>
            <w:vMerge w:val="continue"/>
            <w:tcBorders>
              <w:left w:val="single" w:color="000000" w:sz="4" w:space="0"/>
              <w:right w:val="single" w:color="000000" w:sz="4" w:space="0"/>
            </w:tcBorders>
            <w:vAlign w:val="center"/>
          </w:tcPr>
          <w:p w14:paraId="4B7CECBF">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779" w:type="dxa"/>
            <w:vMerge w:val="continue"/>
            <w:tcBorders>
              <w:left w:val="single" w:color="000000" w:sz="4" w:space="0"/>
              <w:right w:val="single" w:color="000000" w:sz="4" w:space="0"/>
            </w:tcBorders>
            <w:textDirection w:val="tbRlV"/>
            <w:vAlign w:val="center"/>
          </w:tcPr>
          <w:p w14:paraId="1AA025FD">
            <w:pPr>
              <w:keepNext w:val="0"/>
              <w:keepLines w:val="0"/>
              <w:pageBreakBefore w:val="0"/>
              <w:widowControl/>
              <w:kinsoku/>
              <w:wordWrap/>
              <w:overflowPunct/>
              <w:topLinePunct w:val="0"/>
              <w:autoSpaceDE/>
              <w:autoSpaceDN/>
              <w:bidi w:val="0"/>
              <w:spacing w:line="560" w:lineRule="exact"/>
              <w:jc w:val="center"/>
              <w:textAlignment w:val="auto"/>
              <w:rPr>
                <w:rFonts w:hint="eastAsia" w:ascii="仿宋" w:hAnsi="仿宋" w:eastAsia="仿宋" w:cs="仿宋"/>
                <w:color w:val="auto"/>
                <w:kern w:val="0"/>
                <w:sz w:val="24"/>
                <w:szCs w:val="24"/>
                <w:highlight w:val="none"/>
              </w:rPr>
            </w:pPr>
          </w:p>
        </w:tc>
        <w:tc>
          <w:tcPr>
            <w:tcW w:w="7879" w:type="dxa"/>
            <w:gridSpan w:val="2"/>
            <w:tcBorders>
              <w:top w:val="single" w:color="000000" w:sz="4" w:space="0"/>
              <w:left w:val="single" w:color="000000" w:sz="4" w:space="0"/>
              <w:bottom w:val="single" w:color="000000" w:sz="4" w:space="0"/>
              <w:right w:val="single" w:color="000000" w:sz="4" w:space="0"/>
            </w:tcBorders>
            <w:vAlign w:val="center"/>
          </w:tcPr>
          <w:p w14:paraId="1EF16877">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eastAsia="zh-CN"/>
              </w:rPr>
              <w:t>二</w:t>
            </w: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val="en-US" w:eastAsia="zh-CN"/>
              </w:rPr>
              <w:t>对项目的理解、需求分析、需求响应（满分10分）</w:t>
            </w:r>
          </w:p>
        </w:tc>
      </w:tr>
      <w:tr w14:paraId="4547E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486" w:type="dxa"/>
            <w:vMerge w:val="continue"/>
            <w:tcBorders>
              <w:left w:val="single" w:color="000000" w:sz="4" w:space="0"/>
              <w:right w:val="single" w:color="000000" w:sz="4" w:space="0"/>
            </w:tcBorders>
            <w:vAlign w:val="center"/>
          </w:tcPr>
          <w:p w14:paraId="67609744">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779" w:type="dxa"/>
            <w:vMerge w:val="continue"/>
            <w:tcBorders>
              <w:left w:val="single" w:color="000000" w:sz="4" w:space="0"/>
              <w:right w:val="single" w:color="000000" w:sz="4" w:space="0"/>
            </w:tcBorders>
            <w:vAlign w:val="center"/>
          </w:tcPr>
          <w:p w14:paraId="3B25C1E8">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7879" w:type="dxa"/>
            <w:gridSpan w:val="2"/>
            <w:tcBorders>
              <w:top w:val="single" w:color="000000" w:sz="4" w:space="0"/>
              <w:left w:val="single" w:color="000000" w:sz="4" w:space="0"/>
              <w:bottom w:val="single" w:color="000000" w:sz="4" w:space="0"/>
              <w:right w:val="single" w:color="000000" w:sz="4" w:space="0"/>
            </w:tcBorders>
            <w:vAlign w:val="center"/>
          </w:tcPr>
          <w:p w14:paraId="7FF7398B">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w:t>
            </w:r>
            <w:r>
              <w:rPr>
                <w:rFonts w:hint="eastAsia" w:ascii="仿宋" w:hAnsi="仿宋" w:eastAsia="仿宋" w:cs="仿宋"/>
                <w:color w:val="auto"/>
                <w:kern w:val="0"/>
                <w:sz w:val="24"/>
                <w:szCs w:val="24"/>
                <w:highlight w:val="none"/>
                <w:lang w:eastAsia="zh-CN"/>
              </w:rPr>
              <w:t>三</w:t>
            </w:r>
            <w:r>
              <w:rPr>
                <w:rFonts w:hint="eastAsia" w:ascii="仿宋" w:hAnsi="仿宋" w:eastAsia="仿宋" w:cs="仿宋"/>
                <w:color w:val="auto"/>
                <w:kern w:val="0"/>
                <w:sz w:val="24"/>
                <w:szCs w:val="24"/>
                <w:highlight w:val="none"/>
              </w:rPr>
              <w:t>）项目目标控制的监理措施（满分</w:t>
            </w:r>
            <w:r>
              <w:rPr>
                <w:rFonts w:hint="eastAsia" w:ascii="仿宋" w:hAnsi="仿宋" w:eastAsia="仿宋" w:cs="仿宋"/>
                <w:color w:val="auto"/>
                <w:kern w:val="0"/>
                <w:sz w:val="24"/>
                <w:szCs w:val="24"/>
                <w:highlight w:val="none"/>
                <w:lang w:val="en-US" w:eastAsia="zh-CN"/>
              </w:rPr>
              <w:t>20</w:t>
            </w:r>
            <w:r>
              <w:rPr>
                <w:rFonts w:hint="eastAsia" w:ascii="仿宋" w:hAnsi="仿宋" w:eastAsia="仿宋" w:cs="仿宋"/>
                <w:color w:val="auto"/>
                <w:kern w:val="0"/>
                <w:sz w:val="24"/>
                <w:szCs w:val="24"/>
                <w:highlight w:val="none"/>
              </w:rPr>
              <w:t>分）</w:t>
            </w:r>
          </w:p>
        </w:tc>
      </w:tr>
      <w:tr w14:paraId="3E4F0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486" w:type="dxa"/>
            <w:vMerge w:val="continue"/>
            <w:tcBorders>
              <w:left w:val="single" w:color="000000" w:sz="4" w:space="0"/>
              <w:right w:val="single" w:color="000000" w:sz="4" w:space="0"/>
            </w:tcBorders>
            <w:vAlign w:val="center"/>
          </w:tcPr>
          <w:p w14:paraId="0FECD63F">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779" w:type="dxa"/>
            <w:vMerge w:val="continue"/>
            <w:tcBorders>
              <w:left w:val="single" w:color="000000" w:sz="4" w:space="0"/>
              <w:right w:val="single" w:color="000000" w:sz="4" w:space="0"/>
            </w:tcBorders>
            <w:vAlign w:val="center"/>
          </w:tcPr>
          <w:p w14:paraId="51651F30">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7879" w:type="dxa"/>
            <w:gridSpan w:val="2"/>
            <w:tcBorders>
              <w:top w:val="single" w:color="000000" w:sz="4" w:space="0"/>
              <w:left w:val="single" w:color="000000" w:sz="4" w:space="0"/>
              <w:bottom w:val="single" w:color="000000" w:sz="4" w:space="0"/>
              <w:right w:val="single" w:color="000000" w:sz="4" w:space="0"/>
            </w:tcBorders>
            <w:vAlign w:val="center"/>
          </w:tcPr>
          <w:p w14:paraId="18F25187">
            <w:pPr>
              <w:keepNext w:val="0"/>
              <w:keepLines w:val="0"/>
              <w:pageBreakBefore w:val="0"/>
              <w:numPr>
                <w:ilvl w:val="0"/>
                <w:numId w:val="2"/>
              </w:numPr>
              <w:kinsoku/>
              <w:wordWrap/>
              <w:overflowPunct/>
              <w:topLinePunct w:val="0"/>
              <w:autoSpaceDE/>
              <w:autoSpaceDN/>
              <w:bidi w:val="0"/>
              <w:spacing w:line="560" w:lineRule="exac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项目监理组织措施（满分</w:t>
            </w:r>
            <w:r>
              <w:rPr>
                <w:rFonts w:hint="eastAsia" w:ascii="仿宋" w:hAnsi="仿宋" w:eastAsia="仿宋" w:cs="仿宋"/>
                <w:color w:val="auto"/>
                <w:kern w:val="0"/>
                <w:sz w:val="24"/>
                <w:szCs w:val="24"/>
                <w:highlight w:val="none"/>
                <w:lang w:val="en-US" w:eastAsia="zh-CN"/>
              </w:rPr>
              <w:t>16</w:t>
            </w:r>
            <w:r>
              <w:rPr>
                <w:rFonts w:hint="eastAsia" w:ascii="仿宋" w:hAnsi="仿宋" w:eastAsia="仿宋" w:cs="仿宋"/>
                <w:color w:val="auto"/>
                <w:kern w:val="0"/>
                <w:sz w:val="24"/>
                <w:szCs w:val="24"/>
                <w:highlight w:val="none"/>
              </w:rPr>
              <w:t>分）</w:t>
            </w:r>
          </w:p>
        </w:tc>
      </w:tr>
      <w:tr w14:paraId="606D9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486" w:type="dxa"/>
            <w:vMerge w:val="continue"/>
            <w:tcBorders>
              <w:left w:val="single" w:color="000000" w:sz="4" w:space="0"/>
              <w:right w:val="single" w:color="000000" w:sz="4" w:space="0"/>
            </w:tcBorders>
            <w:vAlign w:val="center"/>
          </w:tcPr>
          <w:p w14:paraId="16A29767">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779" w:type="dxa"/>
            <w:vMerge w:val="continue"/>
            <w:tcBorders>
              <w:left w:val="single" w:color="000000" w:sz="4" w:space="0"/>
              <w:right w:val="single" w:color="000000" w:sz="4" w:space="0"/>
            </w:tcBorders>
            <w:vAlign w:val="center"/>
          </w:tcPr>
          <w:p w14:paraId="0689FDB7">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7879" w:type="dxa"/>
            <w:gridSpan w:val="2"/>
            <w:tcBorders>
              <w:top w:val="single" w:color="000000" w:sz="4" w:space="0"/>
              <w:left w:val="single" w:color="000000" w:sz="4" w:space="0"/>
              <w:bottom w:val="single" w:color="000000" w:sz="4" w:space="0"/>
              <w:right w:val="single" w:color="000000" w:sz="4" w:space="0"/>
            </w:tcBorders>
            <w:vAlign w:val="center"/>
          </w:tcPr>
          <w:p w14:paraId="641AADE6">
            <w:pPr>
              <w:keepNext w:val="0"/>
              <w:keepLines w:val="0"/>
              <w:pageBreakBefore w:val="0"/>
              <w:numPr>
                <w:ilvl w:val="0"/>
                <w:numId w:val="2"/>
              </w:numPr>
              <w:kinsoku/>
              <w:wordWrap/>
              <w:overflowPunct/>
              <w:topLinePunct w:val="0"/>
              <w:autoSpaceDE/>
              <w:autoSpaceDN/>
              <w:bidi w:val="0"/>
              <w:spacing w:line="560" w:lineRule="exact"/>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lang w:val="en-US" w:eastAsia="zh-CN"/>
              </w:rPr>
              <w:t>服务质量承诺及保证措施（满分14分）</w:t>
            </w:r>
          </w:p>
        </w:tc>
      </w:tr>
      <w:tr w14:paraId="49F25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6" w:type="dxa"/>
            <w:vMerge w:val="continue"/>
            <w:tcBorders>
              <w:left w:val="single" w:color="000000" w:sz="4" w:space="0"/>
              <w:right w:val="single" w:color="000000" w:sz="4" w:space="0"/>
            </w:tcBorders>
            <w:vAlign w:val="center"/>
          </w:tcPr>
          <w:p w14:paraId="7983F020">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779" w:type="dxa"/>
            <w:vMerge w:val="continue"/>
            <w:tcBorders>
              <w:left w:val="single" w:color="000000" w:sz="4" w:space="0"/>
              <w:right w:val="single" w:color="000000" w:sz="4" w:space="0"/>
            </w:tcBorders>
            <w:vAlign w:val="center"/>
          </w:tcPr>
          <w:p w14:paraId="63550337">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rPr>
            </w:pPr>
          </w:p>
        </w:tc>
        <w:tc>
          <w:tcPr>
            <w:tcW w:w="7879" w:type="dxa"/>
            <w:gridSpan w:val="2"/>
            <w:tcBorders>
              <w:top w:val="single" w:color="000000" w:sz="4" w:space="0"/>
              <w:left w:val="single" w:color="000000" w:sz="4" w:space="0"/>
              <w:bottom w:val="single" w:color="000000" w:sz="4" w:space="0"/>
              <w:right w:val="single" w:color="000000" w:sz="4" w:space="0"/>
            </w:tcBorders>
            <w:vAlign w:val="center"/>
          </w:tcPr>
          <w:p w14:paraId="5FD546AB">
            <w:pPr>
              <w:keepNext w:val="0"/>
              <w:keepLines w:val="0"/>
              <w:pageBreakBefore w:val="0"/>
              <w:numPr>
                <w:ilvl w:val="0"/>
                <w:numId w:val="3"/>
              </w:numPr>
              <w:kinsoku/>
              <w:wordWrap/>
              <w:overflowPunct/>
              <w:topLinePunct w:val="0"/>
              <w:autoSpaceDE/>
              <w:autoSpaceDN/>
              <w:bidi w:val="0"/>
              <w:spacing w:line="560" w:lineRule="exact"/>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保密措施及承诺（满分10分）</w:t>
            </w:r>
          </w:p>
        </w:tc>
      </w:tr>
      <w:tr w14:paraId="1B4DF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486" w:type="dxa"/>
            <w:vMerge w:val="continue"/>
            <w:tcBorders>
              <w:left w:val="single" w:color="000000" w:sz="4" w:space="0"/>
              <w:right w:val="single" w:color="000000" w:sz="4" w:space="0"/>
            </w:tcBorders>
            <w:vAlign w:val="center"/>
          </w:tcPr>
          <w:p w14:paraId="47F45AB4">
            <w:pPr>
              <w:pStyle w:val="33"/>
              <w:ind w:left="0" w:leftChars="0" w:firstLine="0" w:firstLineChars="0"/>
              <w:rPr>
                <w:rFonts w:hint="eastAsia" w:ascii="仿宋" w:hAnsi="仿宋" w:eastAsia="仿宋" w:cs="仿宋"/>
                <w:color w:val="auto"/>
                <w:highlight w:val="none"/>
              </w:rPr>
            </w:pPr>
          </w:p>
        </w:tc>
        <w:tc>
          <w:tcPr>
            <w:tcW w:w="779" w:type="dxa"/>
            <w:vMerge w:val="continue"/>
            <w:tcBorders>
              <w:left w:val="single" w:color="000000" w:sz="4" w:space="0"/>
              <w:right w:val="single" w:color="000000" w:sz="4" w:space="0"/>
            </w:tcBorders>
            <w:vAlign w:val="center"/>
          </w:tcPr>
          <w:p w14:paraId="082395DB">
            <w:pPr>
              <w:pStyle w:val="33"/>
              <w:ind w:left="0" w:leftChars="0" w:firstLine="0" w:firstLineChars="0"/>
              <w:rPr>
                <w:rFonts w:hint="eastAsia" w:ascii="仿宋" w:hAnsi="仿宋" w:eastAsia="仿宋" w:cs="仿宋"/>
                <w:color w:val="auto"/>
                <w:highlight w:val="none"/>
              </w:rPr>
            </w:pPr>
          </w:p>
        </w:tc>
        <w:tc>
          <w:tcPr>
            <w:tcW w:w="7879" w:type="dxa"/>
            <w:gridSpan w:val="2"/>
            <w:tcBorders>
              <w:top w:val="single" w:color="000000" w:sz="4" w:space="0"/>
              <w:left w:val="single" w:color="000000" w:sz="4" w:space="0"/>
              <w:bottom w:val="single" w:color="000000" w:sz="4" w:space="0"/>
              <w:right w:val="single" w:color="000000" w:sz="4" w:space="0"/>
            </w:tcBorders>
            <w:vAlign w:val="center"/>
          </w:tcPr>
          <w:p w14:paraId="14C1EB68">
            <w:pPr>
              <w:pStyle w:val="33"/>
              <w:numPr>
                <w:ilvl w:val="0"/>
                <w:numId w:val="3"/>
              </w:numPr>
              <w:ind w:left="0" w:leftChars="0" w:firstLine="0" w:firstLineChars="0"/>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rPr>
              <w:t>监理辅助设施及设备（满分5分）</w:t>
            </w:r>
          </w:p>
        </w:tc>
      </w:tr>
      <w:tr w14:paraId="3F3DC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486" w:type="dxa"/>
            <w:vMerge w:val="continue"/>
            <w:tcBorders>
              <w:left w:val="single" w:color="000000" w:sz="4" w:space="0"/>
              <w:right w:val="single" w:color="000000" w:sz="4" w:space="0"/>
            </w:tcBorders>
            <w:vAlign w:val="center"/>
          </w:tcPr>
          <w:p w14:paraId="02FAB594">
            <w:pPr>
              <w:pStyle w:val="33"/>
              <w:ind w:left="0" w:leftChars="0" w:firstLine="0" w:firstLineChars="0"/>
              <w:rPr>
                <w:rFonts w:hint="eastAsia" w:ascii="仿宋" w:hAnsi="仿宋" w:eastAsia="仿宋" w:cs="仿宋"/>
                <w:color w:val="auto"/>
                <w:kern w:val="0"/>
                <w:sz w:val="24"/>
                <w:szCs w:val="24"/>
                <w:highlight w:val="none"/>
                <w:lang w:val="en-US" w:eastAsia="zh-CN" w:bidi="ar-SA"/>
              </w:rPr>
            </w:pPr>
          </w:p>
        </w:tc>
        <w:tc>
          <w:tcPr>
            <w:tcW w:w="779" w:type="dxa"/>
            <w:vMerge w:val="continue"/>
            <w:tcBorders>
              <w:left w:val="single" w:color="000000" w:sz="4" w:space="0"/>
              <w:right w:val="single" w:color="000000" w:sz="4" w:space="0"/>
            </w:tcBorders>
            <w:vAlign w:val="center"/>
          </w:tcPr>
          <w:p w14:paraId="2811C2B4">
            <w:pPr>
              <w:pStyle w:val="33"/>
              <w:ind w:left="0" w:leftChars="0" w:firstLine="0" w:firstLineChars="0"/>
              <w:rPr>
                <w:rFonts w:hint="eastAsia" w:ascii="仿宋" w:hAnsi="仿宋" w:eastAsia="仿宋" w:cs="仿宋"/>
                <w:color w:val="auto"/>
                <w:kern w:val="0"/>
                <w:sz w:val="24"/>
                <w:szCs w:val="24"/>
                <w:highlight w:val="none"/>
                <w:lang w:val="en-US" w:eastAsia="zh-CN" w:bidi="ar-SA"/>
              </w:rPr>
            </w:pPr>
          </w:p>
        </w:tc>
        <w:tc>
          <w:tcPr>
            <w:tcW w:w="7879" w:type="dxa"/>
            <w:gridSpan w:val="2"/>
            <w:tcBorders>
              <w:top w:val="single" w:color="000000" w:sz="4" w:space="0"/>
              <w:left w:val="single" w:color="000000" w:sz="4" w:space="0"/>
              <w:bottom w:val="single" w:color="000000" w:sz="4" w:space="0"/>
              <w:right w:val="single" w:color="000000" w:sz="4" w:space="0"/>
            </w:tcBorders>
            <w:vAlign w:val="center"/>
          </w:tcPr>
          <w:p w14:paraId="5455284D">
            <w:pPr>
              <w:pStyle w:val="33"/>
              <w:numPr>
                <w:ilvl w:val="0"/>
                <w:numId w:val="0"/>
              </w:numPr>
              <w:ind w:leftChars="0"/>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（八）</w:t>
            </w:r>
            <w:r>
              <w:rPr>
                <w:rFonts w:hint="eastAsia" w:ascii="仿宋" w:hAnsi="仿宋" w:eastAsia="仿宋" w:cs="仿宋"/>
                <w:color w:val="auto"/>
                <w:kern w:val="0"/>
                <w:sz w:val="24"/>
                <w:szCs w:val="24"/>
                <w:highlight w:val="none"/>
                <w:lang w:val="en-US" w:eastAsia="zh-CN"/>
              </w:rPr>
              <w:t>业绩（满分5分）</w:t>
            </w:r>
          </w:p>
        </w:tc>
      </w:tr>
      <w:tr w14:paraId="19FBE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486" w:type="dxa"/>
            <w:tcBorders>
              <w:left w:val="single" w:color="000000" w:sz="4" w:space="0"/>
              <w:right w:val="single" w:color="000000" w:sz="4" w:space="0"/>
            </w:tcBorders>
            <w:vAlign w:val="center"/>
          </w:tcPr>
          <w:p w14:paraId="03C028FC">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四</w:t>
            </w:r>
          </w:p>
        </w:tc>
        <w:tc>
          <w:tcPr>
            <w:tcW w:w="779" w:type="dxa"/>
            <w:tcBorders>
              <w:left w:val="single" w:color="000000" w:sz="4" w:space="0"/>
              <w:right w:val="single" w:color="000000" w:sz="4" w:space="0"/>
            </w:tcBorders>
            <w:vAlign w:val="center"/>
          </w:tcPr>
          <w:p w14:paraId="19791FA6">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报价部分</w:t>
            </w:r>
          </w:p>
        </w:tc>
        <w:tc>
          <w:tcPr>
            <w:tcW w:w="1886" w:type="dxa"/>
            <w:tcBorders>
              <w:top w:val="single" w:color="000000" w:sz="4" w:space="0"/>
              <w:left w:val="single" w:color="000000" w:sz="4" w:space="0"/>
              <w:bottom w:val="single" w:color="000000" w:sz="4" w:space="0"/>
              <w:right w:val="single" w:color="000000" w:sz="4" w:space="0"/>
            </w:tcBorders>
            <w:vAlign w:val="center"/>
          </w:tcPr>
          <w:p w14:paraId="339EA8D4">
            <w:pPr>
              <w:keepNext w:val="0"/>
              <w:keepLines w:val="0"/>
              <w:pageBreakBefore w:val="0"/>
              <w:kinsoku/>
              <w:wordWrap/>
              <w:overflowPunct/>
              <w:topLinePunct w:val="0"/>
              <w:autoSpaceDE/>
              <w:autoSpaceDN/>
              <w:bidi w:val="0"/>
              <w:spacing w:line="560" w:lineRule="exact"/>
              <w:jc w:val="center"/>
              <w:textAlignment w:val="auto"/>
              <w:rPr>
                <w:rFonts w:hint="eastAsia" w:ascii="仿宋" w:hAnsi="仿宋" w:eastAsia="仿宋" w:cs="仿宋"/>
                <w:b/>
                <w:bCs/>
                <w:color w:val="auto"/>
                <w:kern w:val="0"/>
                <w:sz w:val="24"/>
                <w:szCs w:val="24"/>
                <w:highlight w:val="none"/>
                <w:lang w:val="en-US" w:eastAsia="zh-CN"/>
              </w:rPr>
            </w:pPr>
          </w:p>
          <w:p w14:paraId="5A4FF3AE">
            <w:pPr>
              <w:keepNext w:val="0"/>
              <w:keepLines w:val="0"/>
              <w:pageBreakBefore w:val="0"/>
              <w:kinsoku/>
              <w:wordWrap/>
              <w:overflowPunct/>
              <w:topLinePunct w:val="0"/>
              <w:autoSpaceDE/>
              <w:autoSpaceDN/>
              <w:bidi w:val="0"/>
              <w:spacing w:line="560" w:lineRule="exact"/>
              <w:jc w:val="center"/>
              <w:textAlignment w:val="auto"/>
              <w:rPr>
                <w:rFonts w:hint="eastAsia" w:ascii="仿宋" w:hAnsi="仿宋" w:eastAsia="仿宋" w:cs="仿宋"/>
                <w:b/>
                <w:bCs/>
                <w:color w:val="auto"/>
                <w:kern w:val="0"/>
                <w:sz w:val="24"/>
                <w:szCs w:val="24"/>
                <w:highlight w:val="none"/>
                <w:lang w:val="en-US" w:eastAsia="zh-CN"/>
              </w:rPr>
            </w:pPr>
          </w:p>
          <w:p w14:paraId="2132B5E8">
            <w:pPr>
              <w:keepNext w:val="0"/>
              <w:keepLines w:val="0"/>
              <w:pageBreakBefore w:val="0"/>
              <w:kinsoku/>
              <w:wordWrap/>
              <w:overflowPunct/>
              <w:topLinePunct w:val="0"/>
              <w:autoSpaceDE/>
              <w:autoSpaceDN/>
              <w:bidi w:val="0"/>
              <w:spacing w:line="56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最终报价评分（满分20分）</w:t>
            </w:r>
          </w:p>
        </w:tc>
        <w:tc>
          <w:tcPr>
            <w:tcW w:w="5993" w:type="dxa"/>
            <w:tcBorders>
              <w:top w:val="single" w:color="000000" w:sz="4" w:space="0"/>
              <w:left w:val="single" w:color="000000" w:sz="4" w:space="0"/>
              <w:bottom w:val="single" w:color="000000" w:sz="4" w:space="0"/>
              <w:right w:val="single" w:color="000000" w:sz="4" w:space="0"/>
            </w:tcBorders>
            <w:vAlign w:val="center"/>
          </w:tcPr>
          <w:p w14:paraId="656268C5">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最后磋商报价评分采用低价优先法计算，即满足磋商文件要求且最后磋商价格最低的报价为磋商基准价，满足磋商基准价得满分；其他供应商的报价得分按照下列公式计算：</w:t>
            </w:r>
          </w:p>
          <w:p w14:paraId="0A8C34E7">
            <w:pPr>
              <w:keepNext w:val="0"/>
              <w:keepLines w:val="0"/>
              <w:pageBreakBefore w:val="0"/>
              <w:kinsoku/>
              <w:wordWrap/>
              <w:overflowPunct/>
              <w:topLinePunct w:val="0"/>
              <w:autoSpaceDE/>
              <w:autoSpaceDN/>
              <w:bidi w:val="0"/>
              <w:spacing w:line="560" w:lineRule="exact"/>
              <w:textAlignment w:val="auto"/>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最后磋商报价得分=（磋商基准价/最后磋商报价）×20</w:t>
            </w:r>
          </w:p>
          <w:p w14:paraId="3C611DA0">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注：对小型和微型企业的价格给予10%的扣除，用扣除后的价格参与评审，须提供《中小企业声明函》。根据《政府采购促进中小企业发展管理办法》第四条“（三）在服务采购项目中，服务由中小企业承接，即提供服务的人员为中小企业依照《中华人民共和国劳动合同法》订立劳动合同的从业人员。”供应商对其提供的证明材料或书面声明的真实性负责，如有虚假，自行承担相应责任。</w:t>
            </w:r>
          </w:p>
          <w:p w14:paraId="077A74AE">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rPr>
              <w:t>监狱企业、残疾人福利性单位视为小微企业。</w:t>
            </w:r>
          </w:p>
        </w:tc>
      </w:tr>
      <w:tr w14:paraId="23E53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6" w:type="dxa"/>
            <w:vMerge w:val="restart"/>
            <w:tcBorders>
              <w:left w:val="single" w:color="000000" w:sz="4" w:space="0"/>
              <w:right w:val="single" w:color="000000" w:sz="4" w:space="0"/>
            </w:tcBorders>
            <w:vAlign w:val="center"/>
          </w:tcPr>
          <w:p w14:paraId="084410FF">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五</w:t>
            </w:r>
          </w:p>
        </w:tc>
        <w:tc>
          <w:tcPr>
            <w:tcW w:w="779" w:type="dxa"/>
            <w:vMerge w:val="restart"/>
            <w:tcBorders>
              <w:left w:val="single" w:color="000000" w:sz="4" w:space="0"/>
              <w:right w:val="single" w:color="000000" w:sz="4" w:space="0"/>
            </w:tcBorders>
            <w:vAlign w:val="center"/>
          </w:tcPr>
          <w:p w14:paraId="1C4FA577">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技术部分</w:t>
            </w:r>
          </w:p>
        </w:tc>
        <w:tc>
          <w:tcPr>
            <w:tcW w:w="1886" w:type="dxa"/>
            <w:tcBorders>
              <w:top w:val="single" w:color="000000" w:sz="4" w:space="0"/>
              <w:left w:val="single" w:color="000000" w:sz="4" w:space="0"/>
              <w:bottom w:val="single" w:color="000000" w:sz="4" w:space="0"/>
              <w:right w:val="single" w:color="000000" w:sz="4" w:space="0"/>
            </w:tcBorders>
            <w:vAlign w:val="center"/>
          </w:tcPr>
          <w:p w14:paraId="225C183D">
            <w:pPr>
              <w:autoSpaceDE w:val="0"/>
              <w:autoSpaceDN w:val="0"/>
              <w:adjustRightInd w:val="0"/>
              <w:spacing w:line="360" w:lineRule="auto"/>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对项目的理解、需求分析、需求响应</w:t>
            </w:r>
          </w:p>
          <w:p w14:paraId="304D8A9C">
            <w:pPr>
              <w:keepNext w:val="0"/>
              <w:keepLines w:val="0"/>
              <w:pageBreakBefore w:val="0"/>
              <w:kinsoku/>
              <w:wordWrap/>
              <w:overflowPunct/>
              <w:topLinePunct w:val="0"/>
              <w:autoSpaceDE/>
              <w:autoSpaceDN/>
              <w:bidi w:val="0"/>
              <w:spacing w:line="56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b/>
                <w:bCs/>
                <w:color w:val="auto"/>
                <w:sz w:val="24"/>
                <w:szCs w:val="24"/>
                <w:highlight w:val="none"/>
                <w:lang w:val="en-US" w:eastAsia="zh-CN"/>
              </w:rPr>
              <w:t>（满分10分）</w:t>
            </w:r>
          </w:p>
        </w:tc>
        <w:tc>
          <w:tcPr>
            <w:tcW w:w="5993" w:type="dxa"/>
            <w:tcBorders>
              <w:top w:val="single" w:color="000000" w:sz="4" w:space="0"/>
              <w:left w:val="single" w:color="000000" w:sz="4" w:space="0"/>
              <w:bottom w:val="single" w:color="000000" w:sz="4" w:space="0"/>
              <w:right w:val="single" w:color="000000" w:sz="4" w:space="0"/>
            </w:tcBorders>
            <w:vAlign w:val="center"/>
          </w:tcPr>
          <w:p w14:paraId="4AEF345A">
            <w:pPr>
              <w:pStyle w:val="8"/>
              <w:widowControl w:val="0"/>
              <w:autoSpaceDE w:val="0"/>
              <w:spacing w:line="400" w:lineRule="exact"/>
              <w:ind w:left="0" w:leftChars="0" w:firstLine="0"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第一个档次：充分理解项目定位与目标，需求分析全面深入，需求响应积极高效，得10分；</w:t>
            </w:r>
          </w:p>
          <w:p w14:paraId="3D3C85D8">
            <w:pPr>
              <w:pStyle w:val="8"/>
              <w:widowControl w:val="0"/>
              <w:autoSpaceDE w:val="0"/>
              <w:spacing w:line="400" w:lineRule="exact"/>
              <w:ind w:left="0" w:leftChars="0" w:firstLine="0"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第二个档次：基本掌握项目内容，基本完成需求分析，能够正常响应需求，得7分；</w:t>
            </w:r>
          </w:p>
          <w:p w14:paraId="73ED3C2A">
            <w:pPr>
              <w:pStyle w:val="8"/>
              <w:widowControl w:val="0"/>
              <w:autoSpaceDE w:val="0"/>
              <w:spacing w:line="400" w:lineRule="exact"/>
              <w:ind w:left="0" w:leftChars="0" w:firstLine="0" w:firstLineChars="0"/>
              <w:jc w:val="both"/>
              <w:rPr>
                <w:rFonts w:hint="default" w:ascii="仿宋" w:hAnsi="仿宋" w:eastAsia="仿宋" w:cs="仿宋"/>
                <w:color w:val="auto"/>
                <w:sz w:val="24"/>
                <w:szCs w:val="24"/>
                <w:highlight w:val="none"/>
                <w:lang w:val="en-US" w:eastAsia="zh-CN"/>
              </w:rPr>
            </w:pPr>
            <w:r>
              <w:rPr>
                <w:rFonts w:hint="eastAsia" w:ascii="仿宋" w:hAnsi="仿宋" w:eastAsia="仿宋" w:cs="仿宋"/>
                <w:sz w:val="24"/>
                <w:szCs w:val="24"/>
                <w:highlight w:val="none"/>
                <w:lang w:val="en-US" w:eastAsia="zh-CN"/>
              </w:rPr>
              <w:t>第三个档次：项目认知不足，需求分析深度欠缺，需求响应主动性、准确性不足，得3分。</w:t>
            </w:r>
          </w:p>
        </w:tc>
      </w:tr>
      <w:tr w14:paraId="4F21F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486" w:type="dxa"/>
            <w:vMerge w:val="continue"/>
            <w:tcBorders>
              <w:left w:val="single" w:color="000000" w:sz="4" w:space="0"/>
              <w:right w:val="single" w:color="000000" w:sz="4" w:space="0"/>
            </w:tcBorders>
            <w:vAlign w:val="center"/>
          </w:tcPr>
          <w:p w14:paraId="3948B1E8">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lang w:val="en-US" w:eastAsia="zh-CN"/>
              </w:rPr>
            </w:pPr>
          </w:p>
        </w:tc>
        <w:tc>
          <w:tcPr>
            <w:tcW w:w="779" w:type="dxa"/>
            <w:vMerge w:val="continue"/>
            <w:tcBorders>
              <w:left w:val="single" w:color="000000" w:sz="4" w:space="0"/>
              <w:right w:val="single" w:color="000000" w:sz="4" w:space="0"/>
            </w:tcBorders>
            <w:vAlign w:val="center"/>
          </w:tcPr>
          <w:p w14:paraId="38DC7B60">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lang w:val="en-US" w:eastAsia="zh-CN"/>
              </w:rPr>
            </w:pPr>
          </w:p>
        </w:tc>
        <w:tc>
          <w:tcPr>
            <w:tcW w:w="1886" w:type="dxa"/>
            <w:tcBorders>
              <w:top w:val="single" w:color="000000" w:sz="4" w:space="0"/>
              <w:left w:val="single" w:color="000000" w:sz="4" w:space="0"/>
              <w:bottom w:val="single" w:color="000000" w:sz="4" w:space="0"/>
              <w:right w:val="single" w:color="000000" w:sz="4" w:space="0"/>
            </w:tcBorders>
            <w:vAlign w:val="center"/>
          </w:tcPr>
          <w:p w14:paraId="51F8BE20">
            <w:pPr>
              <w:autoSpaceDE w:val="0"/>
              <w:autoSpaceDN w:val="0"/>
              <w:adjustRightInd w:val="0"/>
              <w:spacing w:line="360" w:lineRule="auto"/>
              <w:jc w:val="center"/>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项目目标控制的监理措施（满分20分）</w:t>
            </w:r>
          </w:p>
        </w:tc>
        <w:tc>
          <w:tcPr>
            <w:tcW w:w="5993" w:type="dxa"/>
            <w:tcBorders>
              <w:top w:val="single" w:color="000000" w:sz="4" w:space="0"/>
              <w:left w:val="single" w:color="000000" w:sz="4" w:space="0"/>
              <w:bottom w:val="single" w:color="000000" w:sz="4" w:space="0"/>
              <w:right w:val="single" w:color="000000" w:sz="4" w:space="0"/>
            </w:tcBorders>
            <w:vAlign w:val="center"/>
          </w:tcPr>
          <w:p w14:paraId="29604A0F">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第一</w:t>
            </w:r>
            <w:r>
              <w:rPr>
                <w:rFonts w:hint="eastAsia" w:ascii="仿宋" w:hAnsi="仿宋" w:eastAsia="仿宋" w:cs="仿宋"/>
                <w:color w:val="auto"/>
                <w:sz w:val="24"/>
                <w:szCs w:val="24"/>
                <w:highlight w:val="none"/>
                <w:lang w:val="en-US" w:eastAsia="zh-CN"/>
              </w:rPr>
              <w:t>个</w:t>
            </w:r>
            <w:r>
              <w:rPr>
                <w:rFonts w:hint="default" w:ascii="仿宋" w:hAnsi="仿宋" w:eastAsia="仿宋" w:cs="仿宋"/>
                <w:color w:val="auto"/>
                <w:sz w:val="24"/>
                <w:szCs w:val="24"/>
                <w:highlight w:val="none"/>
                <w:lang w:val="en-US" w:eastAsia="zh-CN"/>
              </w:rPr>
              <w:t>档次</w:t>
            </w:r>
            <w:r>
              <w:rPr>
                <w:rFonts w:hint="eastAsia" w:ascii="仿宋" w:hAnsi="仿宋" w:eastAsia="仿宋" w:cs="仿宋"/>
                <w:color w:val="auto"/>
                <w:sz w:val="24"/>
                <w:szCs w:val="24"/>
                <w:highlight w:val="none"/>
                <w:lang w:val="en-US" w:eastAsia="zh-CN"/>
              </w:rPr>
              <w:t>：</w:t>
            </w:r>
            <w:r>
              <w:rPr>
                <w:rFonts w:hint="default" w:ascii="仿宋" w:hAnsi="仿宋" w:eastAsia="仿宋" w:cs="仿宋"/>
                <w:color w:val="auto"/>
                <w:sz w:val="24"/>
                <w:szCs w:val="24"/>
                <w:highlight w:val="none"/>
                <w:lang w:val="en-US" w:eastAsia="zh-CN"/>
              </w:rPr>
              <w:t>质量控制监理措施完整详实、管控体系全面；进度控制监理措施节点清晰、划分精细、管控方案完善；造价监理措施完整全面、管控细则严谨；安全生产、环境保护和文明施工监理措施全覆盖、无短板；合同与信息管理监理措施科学合理、体系完整；组织协调监理措施完备、流程清晰、权责分明；项目合理化建议贴合项目实际、科学精准、内容详实、可落地性强，各项措施均优于常规完整要求，全面满足项目监理高标准管控需求</w:t>
            </w:r>
            <w:r>
              <w:rPr>
                <w:rFonts w:hint="eastAsia" w:ascii="仿宋" w:hAnsi="仿宋" w:eastAsia="仿宋" w:cs="仿宋"/>
                <w:color w:val="auto"/>
                <w:sz w:val="24"/>
                <w:szCs w:val="24"/>
                <w:highlight w:val="none"/>
                <w:lang w:val="en-US" w:eastAsia="zh-CN"/>
              </w:rPr>
              <w:t>，得20分；</w:t>
            </w:r>
          </w:p>
          <w:p w14:paraId="6185DEBB">
            <w:pPr>
              <w:keepNext w:val="0"/>
              <w:keepLines w:val="0"/>
              <w:pageBreakBefore w:val="0"/>
              <w:kinsoku/>
              <w:wordWrap/>
              <w:overflowPunct/>
              <w:topLinePunct w:val="0"/>
              <w:autoSpaceDE/>
              <w:autoSpaceDN/>
              <w:bidi w:val="0"/>
              <w:spacing w:line="560" w:lineRule="exact"/>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第二</w:t>
            </w:r>
            <w:r>
              <w:rPr>
                <w:rFonts w:hint="eastAsia" w:ascii="仿宋" w:hAnsi="仿宋" w:eastAsia="仿宋" w:cs="仿宋"/>
                <w:color w:val="auto"/>
                <w:sz w:val="24"/>
                <w:szCs w:val="24"/>
                <w:highlight w:val="none"/>
                <w:lang w:val="en-US" w:eastAsia="zh-CN"/>
              </w:rPr>
              <w:t>个</w:t>
            </w:r>
            <w:r>
              <w:rPr>
                <w:rFonts w:hint="default" w:ascii="仿宋" w:hAnsi="仿宋" w:eastAsia="仿宋" w:cs="仿宋"/>
                <w:color w:val="auto"/>
                <w:sz w:val="24"/>
                <w:szCs w:val="24"/>
                <w:highlight w:val="none"/>
                <w:lang w:val="en-US" w:eastAsia="zh-CN"/>
              </w:rPr>
              <w:t>档次</w:t>
            </w:r>
            <w:r>
              <w:rPr>
                <w:rFonts w:hint="eastAsia" w:ascii="仿宋" w:hAnsi="仿宋" w:eastAsia="仿宋" w:cs="仿宋"/>
                <w:color w:val="auto"/>
                <w:sz w:val="24"/>
                <w:szCs w:val="24"/>
                <w:highlight w:val="none"/>
                <w:lang w:val="en-US" w:eastAsia="zh-CN"/>
              </w:rPr>
              <w:t>：</w:t>
            </w:r>
            <w:r>
              <w:rPr>
                <w:rFonts w:hint="default" w:ascii="仿宋" w:hAnsi="仿宋" w:eastAsia="仿宋" w:cs="仿宋"/>
                <w:color w:val="auto"/>
                <w:sz w:val="24"/>
                <w:szCs w:val="24"/>
                <w:highlight w:val="none"/>
                <w:lang w:val="en-US" w:eastAsia="zh-CN"/>
              </w:rPr>
              <w:t>质量控制监理措施完整，进度控制监理措施节点明确且详细，造价监理措施完整，安全生产、环境保护和文明施工监理措施完整，合同与信息管理监理措施合理完整，组织协调的监理措施完整，针对项目合理化建议合理明确且详细</w:t>
            </w:r>
            <w:r>
              <w:rPr>
                <w:rFonts w:hint="eastAsia" w:ascii="仿宋" w:hAnsi="仿宋" w:eastAsia="仿宋" w:cs="仿宋"/>
                <w:color w:val="auto"/>
                <w:sz w:val="24"/>
                <w:szCs w:val="24"/>
                <w:highlight w:val="none"/>
                <w:lang w:val="en-US" w:eastAsia="zh-CN"/>
              </w:rPr>
              <w:t>,得15分；</w:t>
            </w:r>
          </w:p>
          <w:p w14:paraId="36CA76AB">
            <w:pPr>
              <w:keepNext w:val="0"/>
              <w:keepLines w:val="0"/>
              <w:pageBreakBefore w:val="0"/>
              <w:kinsoku/>
              <w:wordWrap/>
              <w:overflowPunct/>
              <w:topLinePunct w:val="0"/>
              <w:autoSpaceDE/>
              <w:autoSpaceDN/>
              <w:bidi w:val="0"/>
              <w:spacing w:line="560" w:lineRule="exact"/>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第三</w:t>
            </w:r>
            <w:r>
              <w:rPr>
                <w:rFonts w:hint="eastAsia" w:ascii="仿宋" w:hAnsi="仿宋" w:eastAsia="仿宋" w:cs="仿宋"/>
                <w:color w:val="auto"/>
                <w:sz w:val="24"/>
                <w:szCs w:val="24"/>
                <w:highlight w:val="none"/>
                <w:lang w:val="en-US" w:eastAsia="zh-CN"/>
              </w:rPr>
              <w:t>个</w:t>
            </w:r>
            <w:r>
              <w:rPr>
                <w:rFonts w:hint="default" w:ascii="仿宋" w:hAnsi="仿宋" w:eastAsia="仿宋" w:cs="仿宋"/>
                <w:color w:val="auto"/>
                <w:sz w:val="24"/>
                <w:szCs w:val="24"/>
                <w:highlight w:val="none"/>
                <w:lang w:val="en-US" w:eastAsia="zh-CN"/>
              </w:rPr>
              <w:t>档次</w:t>
            </w:r>
            <w:r>
              <w:rPr>
                <w:rFonts w:hint="eastAsia" w:ascii="仿宋" w:hAnsi="仿宋" w:eastAsia="仿宋" w:cs="仿宋"/>
                <w:color w:val="auto"/>
                <w:sz w:val="24"/>
                <w:szCs w:val="24"/>
                <w:highlight w:val="none"/>
                <w:lang w:val="en-US" w:eastAsia="zh-CN"/>
              </w:rPr>
              <w:t>：</w:t>
            </w:r>
            <w:r>
              <w:rPr>
                <w:rFonts w:hint="default" w:ascii="仿宋" w:hAnsi="仿宋" w:eastAsia="仿宋" w:cs="仿宋"/>
                <w:color w:val="auto"/>
                <w:sz w:val="24"/>
                <w:szCs w:val="24"/>
                <w:highlight w:val="none"/>
                <w:lang w:val="en-US" w:eastAsia="zh-CN"/>
              </w:rPr>
              <w:t>质量控制监理措施存在缺漏，进度控制监理措施节点明确但不详细，造价监理措施存在缺漏，安全生产、环境保护和文明施工监理措施存在缺漏，合同与信息管理监理措施合理存在缺漏，组织协调的监理措施存在缺漏，针对项目合理化建议合理明确但不详细</w:t>
            </w:r>
            <w:r>
              <w:rPr>
                <w:rFonts w:hint="eastAsia" w:ascii="仿宋" w:hAnsi="仿宋" w:eastAsia="仿宋" w:cs="仿宋"/>
                <w:color w:val="auto"/>
                <w:sz w:val="24"/>
                <w:szCs w:val="24"/>
                <w:highlight w:val="none"/>
                <w:lang w:val="en-US" w:eastAsia="zh-CN"/>
              </w:rPr>
              <w:t>，得10分；</w:t>
            </w:r>
          </w:p>
          <w:p w14:paraId="3D5BC8DF">
            <w:pPr>
              <w:keepNext w:val="0"/>
              <w:keepLines w:val="0"/>
              <w:pageBreakBefore w:val="0"/>
              <w:kinsoku/>
              <w:wordWrap/>
              <w:overflowPunct/>
              <w:topLinePunct w:val="0"/>
              <w:autoSpaceDE/>
              <w:autoSpaceDN/>
              <w:bidi w:val="0"/>
              <w:spacing w:line="560" w:lineRule="exact"/>
              <w:textAlignment w:val="auto"/>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第四</w:t>
            </w:r>
            <w:r>
              <w:rPr>
                <w:rFonts w:hint="eastAsia" w:ascii="仿宋" w:hAnsi="仿宋" w:eastAsia="仿宋" w:cs="仿宋"/>
                <w:color w:val="auto"/>
                <w:sz w:val="24"/>
                <w:szCs w:val="24"/>
                <w:highlight w:val="none"/>
                <w:lang w:val="en-US" w:eastAsia="zh-CN"/>
              </w:rPr>
              <w:t>个</w:t>
            </w:r>
            <w:r>
              <w:rPr>
                <w:rFonts w:hint="default" w:ascii="仿宋" w:hAnsi="仿宋" w:eastAsia="仿宋" w:cs="仿宋"/>
                <w:color w:val="auto"/>
                <w:sz w:val="24"/>
                <w:szCs w:val="24"/>
                <w:highlight w:val="none"/>
                <w:lang w:val="en-US" w:eastAsia="zh-CN"/>
              </w:rPr>
              <w:t>档次</w:t>
            </w:r>
            <w:r>
              <w:rPr>
                <w:rFonts w:hint="eastAsia" w:ascii="仿宋" w:hAnsi="仿宋" w:eastAsia="仿宋" w:cs="仿宋"/>
                <w:color w:val="auto"/>
                <w:sz w:val="24"/>
                <w:szCs w:val="24"/>
                <w:highlight w:val="none"/>
                <w:lang w:val="en-US" w:eastAsia="zh-CN"/>
              </w:rPr>
              <w:t>：</w:t>
            </w:r>
            <w:r>
              <w:rPr>
                <w:rFonts w:hint="default" w:ascii="仿宋" w:hAnsi="仿宋" w:eastAsia="仿宋" w:cs="仿宋"/>
                <w:color w:val="auto"/>
                <w:sz w:val="24"/>
                <w:szCs w:val="24"/>
                <w:highlight w:val="none"/>
                <w:lang w:val="en-US" w:eastAsia="zh-CN"/>
              </w:rPr>
              <w:t>质量控制监理措施不完整，进度控制监理措施节点不明确，造价监理措施不完整，安全生产、环境保护和文明施工监理措施不完整，合同与信息管理监理措施合理不完整，组织协调的监理措施不完整，针对项目合理化建议合理不明确</w:t>
            </w:r>
            <w:r>
              <w:rPr>
                <w:rFonts w:hint="eastAsia" w:ascii="仿宋" w:hAnsi="仿宋" w:eastAsia="仿宋" w:cs="仿宋"/>
                <w:color w:val="auto"/>
                <w:sz w:val="24"/>
                <w:szCs w:val="24"/>
                <w:highlight w:val="none"/>
                <w:lang w:val="en-US" w:eastAsia="zh-CN"/>
              </w:rPr>
              <w:t>，得5分；</w:t>
            </w:r>
          </w:p>
        </w:tc>
      </w:tr>
      <w:tr w14:paraId="6F937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486" w:type="dxa"/>
            <w:vMerge w:val="continue"/>
            <w:tcBorders>
              <w:left w:val="single" w:color="000000" w:sz="4" w:space="0"/>
              <w:right w:val="single" w:color="000000" w:sz="4" w:space="0"/>
            </w:tcBorders>
            <w:vAlign w:val="center"/>
          </w:tcPr>
          <w:p w14:paraId="3C3958B1">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lang w:val="en-US" w:eastAsia="zh-CN"/>
              </w:rPr>
            </w:pPr>
          </w:p>
        </w:tc>
        <w:tc>
          <w:tcPr>
            <w:tcW w:w="779" w:type="dxa"/>
            <w:vMerge w:val="continue"/>
            <w:tcBorders>
              <w:left w:val="single" w:color="000000" w:sz="4" w:space="0"/>
              <w:right w:val="single" w:color="000000" w:sz="4" w:space="0"/>
            </w:tcBorders>
            <w:vAlign w:val="center"/>
          </w:tcPr>
          <w:p w14:paraId="74381483">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lang w:val="en-US" w:eastAsia="zh-CN"/>
              </w:rPr>
            </w:pPr>
          </w:p>
        </w:tc>
        <w:tc>
          <w:tcPr>
            <w:tcW w:w="1886" w:type="dxa"/>
            <w:tcBorders>
              <w:top w:val="single" w:color="000000" w:sz="4" w:space="0"/>
              <w:left w:val="single" w:color="000000" w:sz="4" w:space="0"/>
              <w:bottom w:val="single" w:color="000000" w:sz="4" w:space="0"/>
              <w:right w:val="single" w:color="000000" w:sz="4" w:space="0"/>
            </w:tcBorders>
            <w:vAlign w:val="center"/>
          </w:tcPr>
          <w:p w14:paraId="2F6DAFC2">
            <w:pPr>
              <w:autoSpaceDE w:val="0"/>
              <w:autoSpaceDN w:val="0"/>
              <w:adjustRightInd w:val="0"/>
              <w:spacing w:line="360" w:lineRule="auto"/>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b/>
                <w:bCs/>
                <w:color w:val="auto"/>
                <w:sz w:val="24"/>
                <w:szCs w:val="24"/>
                <w:highlight w:val="none"/>
                <w:lang w:val="en-US" w:eastAsia="zh-CN"/>
              </w:rPr>
              <w:t>项目监理组织措施（满分16分）</w:t>
            </w:r>
          </w:p>
        </w:tc>
        <w:tc>
          <w:tcPr>
            <w:tcW w:w="5993" w:type="dxa"/>
            <w:tcBorders>
              <w:top w:val="single" w:color="000000" w:sz="4" w:space="0"/>
              <w:left w:val="single" w:color="000000" w:sz="4" w:space="0"/>
              <w:bottom w:val="single" w:color="000000" w:sz="4" w:space="0"/>
              <w:right w:val="single" w:color="000000" w:sz="4" w:space="0"/>
            </w:tcBorders>
            <w:vAlign w:val="center"/>
          </w:tcPr>
          <w:p w14:paraId="6266184A">
            <w:pPr>
              <w:pStyle w:val="4"/>
              <w:keepNext w:val="0"/>
              <w:keepLines w:val="0"/>
              <w:widowControl/>
              <w:suppressLineNumbers w:val="0"/>
              <w:jc w:val="left"/>
              <w:rPr>
                <w:rFonts w:hint="default" w:ascii="仿宋" w:hAnsi="仿宋" w:eastAsia="仿宋" w:cs="仿宋"/>
                <w:b w:val="0"/>
                <w:bCs w:val="0"/>
                <w:color w:val="auto"/>
                <w:kern w:val="0"/>
                <w:sz w:val="24"/>
                <w:szCs w:val="24"/>
                <w:highlight w:val="none"/>
                <w:lang w:val="en-US" w:eastAsia="zh-CN" w:bidi="ar-SA"/>
              </w:rPr>
            </w:pPr>
            <w:r>
              <w:rPr>
                <w:rFonts w:hint="default" w:ascii="仿宋" w:hAnsi="仿宋" w:eastAsia="仿宋" w:cs="仿宋"/>
                <w:b w:val="0"/>
                <w:bCs w:val="0"/>
                <w:color w:val="auto"/>
                <w:kern w:val="0"/>
                <w:sz w:val="24"/>
                <w:szCs w:val="24"/>
                <w:highlight w:val="none"/>
                <w:lang w:val="en-US" w:eastAsia="zh-CN" w:bidi="ar-SA"/>
              </w:rPr>
              <w:t>第一</w:t>
            </w:r>
            <w:r>
              <w:rPr>
                <w:rFonts w:hint="eastAsia" w:ascii="仿宋" w:hAnsi="仿宋" w:eastAsia="仿宋" w:cs="仿宋"/>
                <w:b w:val="0"/>
                <w:bCs w:val="0"/>
                <w:color w:val="auto"/>
                <w:kern w:val="0"/>
                <w:sz w:val="24"/>
                <w:szCs w:val="24"/>
                <w:highlight w:val="none"/>
                <w:lang w:val="en-US" w:eastAsia="zh-CN" w:bidi="ar-SA"/>
              </w:rPr>
              <w:t>个</w:t>
            </w:r>
            <w:r>
              <w:rPr>
                <w:rFonts w:hint="default" w:ascii="仿宋" w:hAnsi="仿宋" w:eastAsia="仿宋" w:cs="仿宋"/>
                <w:b w:val="0"/>
                <w:bCs w:val="0"/>
                <w:color w:val="auto"/>
                <w:kern w:val="0"/>
                <w:sz w:val="24"/>
                <w:szCs w:val="24"/>
                <w:highlight w:val="none"/>
                <w:lang w:val="en-US" w:eastAsia="zh-CN" w:bidi="ar-SA"/>
              </w:rPr>
              <w:t>档次</w:t>
            </w:r>
            <w:r>
              <w:rPr>
                <w:rFonts w:hint="eastAsia" w:ascii="仿宋" w:hAnsi="仿宋" w:eastAsia="仿宋" w:cs="仿宋"/>
                <w:b w:val="0"/>
                <w:bCs w:val="0"/>
                <w:color w:val="auto"/>
                <w:kern w:val="0"/>
                <w:sz w:val="24"/>
                <w:szCs w:val="24"/>
                <w:highlight w:val="none"/>
                <w:lang w:val="en-US" w:eastAsia="zh-CN" w:bidi="ar-SA"/>
              </w:rPr>
              <w:t>：</w:t>
            </w:r>
            <w:r>
              <w:rPr>
                <w:rFonts w:hint="default" w:ascii="仿宋" w:hAnsi="仿宋" w:eastAsia="仿宋" w:cs="仿宋"/>
                <w:b w:val="0"/>
                <w:bCs w:val="0"/>
                <w:color w:val="auto"/>
                <w:kern w:val="0"/>
                <w:sz w:val="24"/>
                <w:szCs w:val="24"/>
                <w:highlight w:val="none"/>
                <w:lang w:val="en-US" w:eastAsia="zh-CN" w:bidi="ar-SA"/>
              </w:rPr>
              <w:t>项目监理组织措施适配性、合理性极强，完全贴合本项目建设特点及管理需求；监理人员专业配套、年龄结构、技术职称配置科学合理、搭配均衡，完全满足全过程监理工作开展要求；监理机构岗位分工科学细致、全覆盖无空缺，岗位职责划分清晰、权责闭环、分工明确，组织体系完善合理</w:t>
            </w:r>
            <w:r>
              <w:rPr>
                <w:rFonts w:hint="eastAsia" w:ascii="仿宋" w:hAnsi="仿宋" w:eastAsia="仿宋" w:cs="仿宋"/>
                <w:b w:val="0"/>
                <w:bCs w:val="0"/>
                <w:color w:val="auto"/>
                <w:kern w:val="0"/>
                <w:sz w:val="24"/>
                <w:szCs w:val="24"/>
                <w:highlight w:val="none"/>
                <w:lang w:val="en-US" w:eastAsia="zh-CN" w:bidi="ar-SA"/>
              </w:rPr>
              <w:t>，得16分；</w:t>
            </w:r>
          </w:p>
          <w:p w14:paraId="33583808">
            <w:pPr>
              <w:pStyle w:val="4"/>
              <w:keepNext w:val="0"/>
              <w:keepLines w:val="0"/>
              <w:widowControl/>
              <w:suppressLineNumbers w:val="0"/>
              <w:jc w:val="left"/>
              <w:rPr>
                <w:rFonts w:hint="eastAsia" w:ascii="仿宋" w:hAnsi="仿宋" w:eastAsia="仿宋" w:cs="仿宋"/>
                <w:b w:val="0"/>
                <w:bCs w:val="0"/>
                <w:color w:val="auto"/>
                <w:kern w:val="0"/>
                <w:sz w:val="24"/>
                <w:szCs w:val="24"/>
                <w:highlight w:val="none"/>
                <w:lang w:val="en-US" w:eastAsia="zh-CN" w:bidi="ar-SA"/>
              </w:rPr>
            </w:pPr>
            <w:r>
              <w:rPr>
                <w:rFonts w:hint="default" w:ascii="仿宋" w:hAnsi="仿宋" w:eastAsia="仿宋" w:cs="仿宋"/>
                <w:b w:val="0"/>
                <w:bCs w:val="0"/>
                <w:color w:val="auto"/>
                <w:kern w:val="0"/>
                <w:sz w:val="24"/>
                <w:szCs w:val="24"/>
                <w:highlight w:val="none"/>
                <w:lang w:val="en-US" w:eastAsia="zh-CN" w:bidi="ar-SA"/>
              </w:rPr>
              <w:t>第二</w:t>
            </w:r>
            <w:r>
              <w:rPr>
                <w:rFonts w:hint="eastAsia" w:ascii="仿宋" w:hAnsi="仿宋" w:eastAsia="仿宋" w:cs="仿宋"/>
                <w:b w:val="0"/>
                <w:bCs w:val="0"/>
                <w:color w:val="auto"/>
                <w:kern w:val="0"/>
                <w:sz w:val="24"/>
                <w:szCs w:val="24"/>
                <w:highlight w:val="none"/>
                <w:lang w:val="en-US" w:eastAsia="zh-CN" w:bidi="ar-SA"/>
              </w:rPr>
              <w:t>个</w:t>
            </w:r>
            <w:r>
              <w:rPr>
                <w:rFonts w:hint="default" w:ascii="仿宋" w:hAnsi="仿宋" w:eastAsia="仿宋" w:cs="仿宋"/>
                <w:b w:val="0"/>
                <w:bCs w:val="0"/>
                <w:color w:val="auto"/>
                <w:kern w:val="0"/>
                <w:sz w:val="24"/>
                <w:szCs w:val="24"/>
                <w:highlight w:val="none"/>
                <w:lang w:val="en-US" w:eastAsia="zh-CN" w:bidi="ar-SA"/>
              </w:rPr>
              <w:t>档次</w:t>
            </w:r>
            <w:r>
              <w:rPr>
                <w:rFonts w:hint="eastAsia" w:ascii="仿宋" w:hAnsi="仿宋" w:eastAsia="仿宋" w:cs="仿宋"/>
                <w:b w:val="0"/>
                <w:bCs w:val="0"/>
                <w:color w:val="auto"/>
                <w:kern w:val="0"/>
                <w:sz w:val="24"/>
                <w:szCs w:val="24"/>
                <w:highlight w:val="none"/>
                <w:lang w:val="en-US" w:eastAsia="zh-CN" w:bidi="ar-SA"/>
              </w:rPr>
              <w:t>：</w:t>
            </w:r>
            <w:r>
              <w:rPr>
                <w:rFonts w:hint="default" w:ascii="仿宋" w:hAnsi="仿宋" w:eastAsia="仿宋" w:cs="仿宋"/>
                <w:b w:val="0"/>
                <w:bCs w:val="0"/>
                <w:color w:val="auto"/>
                <w:kern w:val="0"/>
                <w:sz w:val="24"/>
                <w:szCs w:val="24"/>
                <w:highlight w:val="none"/>
                <w:lang w:val="en-US" w:eastAsia="zh-CN" w:bidi="ar-SA"/>
              </w:rPr>
              <w:t>项目监理组织措施适配性、合理性良好，符合本项目需求；监理人员专业配套、年龄结构、技术职称配置完整、合理；监理机构岗位分工清晰，岗位职责明确、完整，可满足项目监理管理需要</w:t>
            </w:r>
            <w:r>
              <w:rPr>
                <w:rFonts w:hint="eastAsia" w:ascii="仿宋" w:hAnsi="仿宋" w:eastAsia="仿宋" w:cs="仿宋"/>
                <w:b w:val="0"/>
                <w:bCs w:val="0"/>
                <w:color w:val="auto"/>
                <w:kern w:val="0"/>
                <w:sz w:val="24"/>
                <w:szCs w:val="24"/>
                <w:highlight w:val="none"/>
                <w:lang w:val="en-US" w:eastAsia="zh-CN" w:bidi="ar-SA"/>
              </w:rPr>
              <w:t>，得12分；</w:t>
            </w:r>
          </w:p>
          <w:p w14:paraId="351A64EF">
            <w:pPr>
              <w:pStyle w:val="4"/>
              <w:keepNext w:val="0"/>
              <w:keepLines w:val="0"/>
              <w:widowControl/>
              <w:suppressLineNumbers w:val="0"/>
              <w:jc w:val="left"/>
              <w:rPr>
                <w:rFonts w:hint="default" w:ascii="仿宋" w:hAnsi="仿宋" w:eastAsia="仿宋" w:cs="仿宋"/>
                <w:b w:val="0"/>
                <w:bCs w:val="0"/>
                <w:color w:val="auto"/>
                <w:kern w:val="0"/>
                <w:sz w:val="24"/>
                <w:szCs w:val="24"/>
                <w:highlight w:val="none"/>
                <w:lang w:val="en-US" w:eastAsia="zh-CN" w:bidi="ar-SA"/>
              </w:rPr>
            </w:pPr>
            <w:r>
              <w:rPr>
                <w:rFonts w:hint="default" w:ascii="仿宋" w:hAnsi="仿宋" w:eastAsia="仿宋" w:cs="仿宋"/>
                <w:b w:val="0"/>
                <w:bCs w:val="0"/>
                <w:color w:val="auto"/>
                <w:kern w:val="0"/>
                <w:sz w:val="24"/>
                <w:szCs w:val="24"/>
                <w:highlight w:val="none"/>
                <w:lang w:val="en-US" w:eastAsia="zh-CN" w:bidi="ar-SA"/>
              </w:rPr>
              <w:t>第三</w:t>
            </w:r>
            <w:r>
              <w:rPr>
                <w:rFonts w:hint="eastAsia" w:ascii="仿宋" w:hAnsi="仿宋" w:eastAsia="仿宋" w:cs="仿宋"/>
                <w:b w:val="0"/>
                <w:bCs w:val="0"/>
                <w:color w:val="auto"/>
                <w:kern w:val="0"/>
                <w:sz w:val="24"/>
                <w:szCs w:val="24"/>
                <w:highlight w:val="none"/>
                <w:lang w:val="en-US" w:eastAsia="zh-CN" w:bidi="ar-SA"/>
              </w:rPr>
              <w:t>个</w:t>
            </w:r>
            <w:r>
              <w:rPr>
                <w:rFonts w:hint="default" w:ascii="仿宋" w:hAnsi="仿宋" w:eastAsia="仿宋" w:cs="仿宋"/>
                <w:b w:val="0"/>
                <w:bCs w:val="0"/>
                <w:color w:val="auto"/>
                <w:kern w:val="0"/>
                <w:sz w:val="24"/>
                <w:szCs w:val="24"/>
                <w:highlight w:val="none"/>
                <w:lang w:val="en-US" w:eastAsia="zh-CN" w:bidi="ar-SA"/>
              </w:rPr>
              <w:t>档次</w:t>
            </w:r>
            <w:r>
              <w:rPr>
                <w:rFonts w:hint="eastAsia" w:ascii="仿宋" w:hAnsi="仿宋" w:eastAsia="仿宋" w:cs="仿宋"/>
                <w:b w:val="0"/>
                <w:bCs w:val="0"/>
                <w:color w:val="auto"/>
                <w:kern w:val="0"/>
                <w:sz w:val="24"/>
                <w:szCs w:val="24"/>
                <w:highlight w:val="none"/>
                <w:lang w:val="en-US" w:eastAsia="zh-CN" w:bidi="ar-SA"/>
              </w:rPr>
              <w:t>：</w:t>
            </w:r>
            <w:r>
              <w:rPr>
                <w:rFonts w:hint="default" w:ascii="仿宋" w:hAnsi="仿宋" w:eastAsia="仿宋" w:cs="仿宋"/>
                <w:b w:val="0"/>
                <w:bCs w:val="0"/>
                <w:color w:val="auto"/>
                <w:kern w:val="0"/>
                <w:sz w:val="24"/>
                <w:szCs w:val="24"/>
                <w:highlight w:val="none"/>
                <w:lang w:val="en-US" w:eastAsia="zh-CN" w:bidi="ar-SA"/>
              </w:rPr>
              <w:t>项目监理组织措施整体适配、基本合理，但局部存在缺漏与不足；监理人员专业配套、年龄结构、技术职称配置存在部分不合理、缺漏问题；监理机构岗位分工、职责划分存在部分模糊、缺漏之处，完整性不足</w:t>
            </w:r>
            <w:r>
              <w:rPr>
                <w:rFonts w:hint="eastAsia" w:ascii="仿宋" w:hAnsi="仿宋" w:eastAsia="仿宋" w:cs="仿宋"/>
                <w:b w:val="0"/>
                <w:bCs w:val="0"/>
                <w:color w:val="auto"/>
                <w:kern w:val="0"/>
                <w:sz w:val="24"/>
                <w:szCs w:val="24"/>
                <w:highlight w:val="none"/>
                <w:lang w:val="en-US" w:eastAsia="zh-CN" w:bidi="ar-SA"/>
              </w:rPr>
              <w:t>，得8分；</w:t>
            </w:r>
          </w:p>
          <w:p w14:paraId="5FBA002F">
            <w:pPr>
              <w:pStyle w:val="4"/>
              <w:keepNext w:val="0"/>
              <w:keepLines w:val="0"/>
              <w:widowControl/>
              <w:suppressLineNumbers w:val="0"/>
              <w:jc w:val="left"/>
              <w:rPr>
                <w:rFonts w:hint="default" w:ascii="仿宋" w:hAnsi="仿宋" w:eastAsia="仿宋" w:cs="仿宋"/>
                <w:b/>
                <w:bCs/>
                <w:color w:val="auto"/>
                <w:sz w:val="24"/>
                <w:szCs w:val="24"/>
                <w:highlight w:val="none"/>
                <w:lang w:val="en-US" w:eastAsia="zh-CN"/>
              </w:rPr>
            </w:pPr>
            <w:r>
              <w:rPr>
                <w:rFonts w:hint="default" w:ascii="仿宋" w:hAnsi="仿宋" w:eastAsia="仿宋" w:cs="仿宋"/>
                <w:b w:val="0"/>
                <w:bCs w:val="0"/>
                <w:color w:val="auto"/>
                <w:kern w:val="0"/>
                <w:sz w:val="24"/>
                <w:szCs w:val="24"/>
                <w:highlight w:val="none"/>
                <w:lang w:val="en-US" w:eastAsia="zh-CN" w:bidi="ar-SA"/>
              </w:rPr>
              <w:t>第四</w:t>
            </w:r>
            <w:r>
              <w:rPr>
                <w:rFonts w:hint="eastAsia" w:ascii="仿宋" w:hAnsi="仿宋" w:eastAsia="仿宋" w:cs="仿宋"/>
                <w:b w:val="0"/>
                <w:bCs w:val="0"/>
                <w:color w:val="auto"/>
                <w:kern w:val="0"/>
                <w:sz w:val="24"/>
                <w:szCs w:val="24"/>
                <w:highlight w:val="none"/>
                <w:lang w:val="en-US" w:eastAsia="zh-CN" w:bidi="ar-SA"/>
              </w:rPr>
              <w:t>个</w:t>
            </w:r>
            <w:r>
              <w:rPr>
                <w:rFonts w:hint="default" w:ascii="仿宋" w:hAnsi="仿宋" w:eastAsia="仿宋" w:cs="仿宋"/>
                <w:b w:val="0"/>
                <w:bCs w:val="0"/>
                <w:color w:val="auto"/>
                <w:kern w:val="0"/>
                <w:sz w:val="24"/>
                <w:szCs w:val="24"/>
                <w:highlight w:val="none"/>
                <w:lang w:val="en-US" w:eastAsia="zh-CN" w:bidi="ar-SA"/>
              </w:rPr>
              <w:t>档次</w:t>
            </w:r>
            <w:r>
              <w:rPr>
                <w:rFonts w:hint="eastAsia" w:ascii="仿宋" w:hAnsi="仿宋" w:eastAsia="仿宋" w:cs="仿宋"/>
                <w:b w:val="0"/>
                <w:bCs w:val="0"/>
                <w:color w:val="auto"/>
                <w:kern w:val="0"/>
                <w:sz w:val="24"/>
                <w:szCs w:val="24"/>
                <w:highlight w:val="none"/>
                <w:lang w:val="en-US" w:eastAsia="zh-CN" w:bidi="ar-SA"/>
              </w:rPr>
              <w:t>：</w:t>
            </w:r>
            <w:r>
              <w:rPr>
                <w:rFonts w:hint="default" w:ascii="仿宋" w:hAnsi="仿宋" w:eastAsia="仿宋" w:cs="仿宋"/>
                <w:b w:val="0"/>
                <w:bCs w:val="0"/>
                <w:color w:val="auto"/>
                <w:kern w:val="0"/>
                <w:sz w:val="24"/>
                <w:szCs w:val="24"/>
                <w:highlight w:val="none"/>
                <w:lang w:val="en-US" w:eastAsia="zh-CN" w:bidi="ar-SA"/>
              </w:rPr>
              <w:t>项目监理组织措施适配性、合理性较差，难以满足本项目管理需求；监理人员专业配套、年龄结构、技术职称配置不合理、不完整，人员配置存在明显短板；监理机构岗位分工混乱、岗位职责不明确，整体体系不完整，无法有效支撑监理工作</w:t>
            </w:r>
            <w:r>
              <w:rPr>
                <w:rFonts w:hint="eastAsia" w:ascii="仿宋" w:hAnsi="仿宋" w:eastAsia="仿宋" w:cs="仿宋"/>
                <w:b w:val="0"/>
                <w:bCs w:val="0"/>
                <w:color w:val="auto"/>
                <w:kern w:val="0"/>
                <w:sz w:val="24"/>
                <w:szCs w:val="24"/>
                <w:highlight w:val="none"/>
                <w:lang w:val="en-US" w:eastAsia="zh-CN" w:bidi="ar-SA"/>
              </w:rPr>
              <w:t>；得4分。</w:t>
            </w:r>
          </w:p>
        </w:tc>
      </w:tr>
      <w:tr w14:paraId="08A66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8" w:hRule="atLeast"/>
          <w:jc w:val="center"/>
        </w:trPr>
        <w:tc>
          <w:tcPr>
            <w:tcW w:w="486" w:type="dxa"/>
            <w:vMerge w:val="continue"/>
            <w:tcBorders>
              <w:left w:val="single" w:color="000000" w:sz="4" w:space="0"/>
              <w:right w:val="single" w:color="000000" w:sz="4" w:space="0"/>
            </w:tcBorders>
            <w:vAlign w:val="center"/>
          </w:tcPr>
          <w:p w14:paraId="72AA450F">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lang w:val="en-US" w:eastAsia="zh-CN"/>
              </w:rPr>
            </w:pPr>
          </w:p>
        </w:tc>
        <w:tc>
          <w:tcPr>
            <w:tcW w:w="779" w:type="dxa"/>
            <w:vMerge w:val="continue"/>
            <w:tcBorders>
              <w:left w:val="single" w:color="000000" w:sz="4" w:space="0"/>
              <w:right w:val="single" w:color="000000" w:sz="4" w:space="0"/>
            </w:tcBorders>
            <w:vAlign w:val="center"/>
          </w:tcPr>
          <w:p w14:paraId="10476890">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lang w:val="en-US" w:eastAsia="zh-CN"/>
              </w:rPr>
            </w:pPr>
          </w:p>
        </w:tc>
        <w:tc>
          <w:tcPr>
            <w:tcW w:w="1886" w:type="dxa"/>
            <w:tcBorders>
              <w:top w:val="single" w:color="000000" w:sz="4" w:space="0"/>
              <w:left w:val="single" w:color="000000" w:sz="4" w:space="0"/>
              <w:bottom w:val="single" w:color="000000" w:sz="4" w:space="0"/>
              <w:right w:val="single" w:color="000000" w:sz="4" w:space="0"/>
            </w:tcBorders>
            <w:vAlign w:val="center"/>
          </w:tcPr>
          <w:p w14:paraId="3600F56D">
            <w:pPr>
              <w:keepNext w:val="0"/>
              <w:keepLines w:val="0"/>
              <w:pageBreakBefore w:val="0"/>
              <w:kinsoku/>
              <w:wordWrap/>
              <w:overflowPunct/>
              <w:topLinePunct w:val="0"/>
              <w:autoSpaceDE/>
              <w:autoSpaceDN/>
              <w:bidi w:val="0"/>
              <w:spacing w:line="560" w:lineRule="exact"/>
              <w:jc w:val="both"/>
              <w:textAlignment w:val="auto"/>
              <w:rPr>
                <w:rFonts w:hint="eastAsia" w:ascii="仿宋" w:hAnsi="仿宋" w:eastAsia="仿宋" w:cs="仿宋"/>
                <w:b/>
                <w:bCs/>
                <w:color w:val="auto"/>
                <w:kern w:val="0"/>
                <w:sz w:val="24"/>
                <w:szCs w:val="24"/>
                <w:highlight w:val="none"/>
                <w:lang w:val="en-US" w:eastAsia="zh-CN" w:bidi="ar-SA"/>
              </w:rPr>
            </w:pPr>
          </w:p>
          <w:p w14:paraId="53E5D06D">
            <w:pPr>
              <w:keepNext w:val="0"/>
              <w:keepLines w:val="0"/>
              <w:pageBreakBefore w:val="0"/>
              <w:kinsoku/>
              <w:wordWrap/>
              <w:overflowPunct/>
              <w:topLinePunct w:val="0"/>
              <w:autoSpaceDE/>
              <w:autoSpaceDN/>
              <w:bidi w:val="0"/>
              <w:spacing w:line="560" w:lineRule="exact"/>
              <w:jc w:val="center"/>
              <w:textAlignment w:val="auto"/>
              <w:rPr>
                <w:rFonts w:hint="eastAsia" w:ascii="仿宋" w:hAnsi="仿宋" w:eastAsia="仿宋" w:cs="仿宋"/>
                <w:b/>
                <w:bCs/>
                <w:color w:val="auto"/>
                <w:kern w:val="0"/>
                <w:sz w:val="24"/>
                <w:szCs w:val="24"/>
                <w:highlight w:val="none"/>
                <w:lang w:val="en-US" w:eastAsia="zh-CN" w:bidi="ar-SA"/>
              </w:rPr>
            </w:pPr>
          </w:p>
          <w:p w14:paraId="057EC4A5">
            <w:pPr>
              <w:keepNext w:val="0"/>
              <w:keepLines w:val="0"/>
              <w:pageBreakBefore w:val="0"/>
              <w:kinsoku/>
              <w:wordWrap/>
              <w:overflowPunct/>
              <w:topLinePunct w:val="0"/>
              <w:autoSpaceDE/>
              <w:autoSpaceDN/>
              <w:bidi w:val="0"/>
              <w:spacing w:line="560" w:lineRule="exact"/>
              <w:jc w:val="center"/>
              <w:textAlignment w:val="auto"/>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服务质量承诺及保证措施</w:t>
            </w:r>
          </w:p>
          <w:p w14:paraId="129E5F77">
            <w:pPr>
              <w:keepNext w:val="0"/>
              <w:keepLines w:val="0"/>
              <w:pageBreakBefore w:val="0"/>
              <w:kinsoku/>
              <w:wordWrap/>
              <w:overflowPunct/>
              <w:topLinePunct w:val="0"/>
              <w:autoSpaceDE/>
              <w:autoSpaceDN/>
              <w:bidi w:val="0"/>
              <w:spacing w:line="56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b/>
                <w:bCs/>
                <w:color w:val="auto"/>
                <w:kern w:val="0"/>
                <w:sz w:val="24"/>
                <w:szCs w:val="24"/>
                <w:highlight w:val="none"/>
                <w:lang w:val="en-US" w:eastAsia="zh-CN" w:bidi="ar-SA"/>
              </w:rPr>
              <w:t>（满分14分）</w:t>
            </w:r>
          </w:p>
        </w:tc>
        <w:tc>
          <w:tcPr>
            <w:tcW w:w="5993" w:type="dxa"/>
            <w:tcBorders>
              <w:top w:val="single" w:color="000000" w:sz="4" w:space="0"/>
              <w:left w:val="single" w:color="000000" w:sz="4" w:space="0"/>
              <w:bottom w:val="single" w:color="000000" w:sz="4" w:space="0"/>
              <w:right w:val="single" w:color="000000" w:sz="4" w:space="0"/>
            </w:tcBorders>
            <w:vAlign w:val="center"/>
          </w:tcPr>
          <w:p w14:paraId="260D8A79">
            <w:pPr>
              <w:numPr>
                <w:ilvl w:val="0"/>
                <w:numId w:val="0"/>
              </w:numPr>
              <w:autoSpaceDE w:val="0"/>
              <w:autoSpaceDN w:val="0"/>
              <w:adjustRightInd w:val="0"/>
              <w:spacing w:line="360" w:lineRule="auto"/>
              <w:ind w:left="0" w:leftChars="0" w:firstLine="0" w:firstLineChars="0"/>
              <w:jc w:val="both"/>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b/>
                <w:bCs/>
                <w:color w:val="auto"/>
                <w:kern w:val="0"/>
                <w:sz w:val="24"/>
                <w:szCs w:val="24"/>
                <w:highlight w:val="none"/>
                <w:lang w:val="en-US" w:eastAsia="zh-CN" w:bidi="ar-SA"/>
              </w:rPr>
              <w:t>包括但不限于：（1）针对项目的质量控制体系；（2）质量保证措施；（3）风险管控与安全防范措施；（4）违约责任及承诺等。</w:t>
            </w:r>
          </w:p>
          <w:p w14:paraId="52D03D6B">
            <w:pPr>
              <w:keepNext w:val="0"/>
              <w:keepLines w:val="0"/>
              <w:widowControl/>
              <w:suppressLineNumbers w:val="0"/>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第一个档次：质量体系完善规范，质保、风控安全措施详实针对性强，违约权责清晰、承诺标准高，全方位保障项目优质履约，得14分；</w:t>
            </w:r>
          </w:p>
          <w:p w14:paraId="137C9014">
            <w:pPr>
              <w:keepNext w:val="0"/>
              <w:keepLines w:val="0"/>
              <w:widowControl/>
              <w:suppressLineNumbers w:val="0"/>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第二个档次：具备完整的质量体系与管控、安全保障措施，违约承诺齐全，满足项目要求，但细节细化与专项针对性稍有不足，得11分；</w:t>
            </w:r>
          </w:p>
          <w:p w14:paraId="1FF6545B">
            <w:pPr>
              <w:keepNext w:val="0"/>
              <w:keepLines w:val="0"/>
              <w:widowControl/>
              <w:suppressLineNumbers w:val="0"/>
              <w:jc w:val="lef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第三个档次：基本搭建质量管控与安全风控框架，有基础履约承诺，内容无缺失，但措施笼统通用，落地性与约束力一般，得8分；</w:t>
            </w:r>
          </w:p>
          <w:p w14:paraId="04290312">
            <w:pPr>
              <w:keepNext w:val="0"/>
              <w:keepLines w:val="0"/>
              <w:widowControl/>
              <w:suppressLineNumbers w:val="0"/>
              <w:jc w:val="left"/>
              <w:rPr>
                <w:rFonts w:hint="eastAsia" w:ascii="仿宋" w:hAnsi="仿宋" w:eastAsia="仿宋" w:cs="仿宋"/>
                <w:b/>
                <w:bCs/>
                <w:color w:val="auto"/>
                <w:kern w:val="0"/>
                <w:sz w:val="24"/>
                <w:szCs w:val="24"/>
                <w:highlight w:val="none"/>
                <w:lang w:val="en-US" w:eastAsia="zh-CN" w:bidi="ar-SA"/>
              </w:rPr>
            </w:pPr>
            <w:r>
              <w:rPr>
                <w:rFonts w:hint="eastAsia" w:ascii="仿宋" w:hAnsi="仿宋" w:eastAsia="仿宋" w:cs="仿宋"/>
                <w:color w:val="auto"/>
                <w:sz w:val="24"/>
                <w:szCs w:val="24"/>
                <w:highlight w:val="none"/>
                <w:lang w:val="en-US" w:eastAsia="zh-CN"/>
              </w:rPr>
              <w:t>第四个档次：质量体系不完善，风控、安全保障措施缺失或空洞，违约及服务承诺残缺，无法保障项目服务质量，得4分。</w:t>
            </w:r>
          </w:p>
        </w:tc>
      </w:tr>
      <w:tr w14:paraId="76E60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5" w:hRule="atLeast"/>
          <w:jc w:val="center"/>
        </w:trPr>
        <w:tc>
          <w:tcPr>
            <w:tcW w:w="486" w:type="dxa"/>
            <w:vMerge w:val="continue"/>
            <w:tcBorders>
              <w:left w:val="single" w:color="000000" w:sz="4" w:space="0"/>
              <w:right w:val="single" w:color="000000" w:sz="4" w:space="0"/>
            </w:tcBorders>
            <w:vAlign w:val="center"/>
          </w:tcPr>
          <w:p w14:paraId="3EC8CD44">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lang w:val="en-US" w:eastAsia="zh-CN"/>
              </w:rPr>
            </w:pPr>
          </w:p>
        </w:tc>
        <w:tc>
          <w:tcPr>
            <w:tcW w:w="779" w:type="dxa"/>
            <w:vMerge w:val="continue"/>
            <w:tcBorders>
              <w:left w:val="single" w:color="000000" w:sz="4" w:space="0"/>
              <w:right w:val="single" w:color="000000" w:sz="4" w:space="0"/>
            </w:tcBorders>
            <w:vAlign w:val="center"/>
          </w:tcPr>
          <w:p w14:paraId="6C96E6AD">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lang w:val="en-US" w:eastAsia="zh-CN"/>
              </w:rPr>
            </w:pPr>
          </w:p>
        </w:tc>
        <w:tc>
          <w:tcPr>
            <w:tcW w:w="1886" w:type="dxa"/>
            <w:tcBorders>
              <w:top w:val="single" w:color="000000" w:sz="4" w:space="0"/>
              <w:left w:val="single" w:color="000000" w:sz="4" w:space="0"/>
              <w:bottom w:val="single" w:color="000000" w:sz="4" w:space="0"/>
              <w:right w:val="single" w:color="000000" w:sz="4" w:space="0"/>
            </w:tcBorders>
            <w:vAlign w:val="center"/>
          </w:tcPr>
          <w:p w14:paraId="72DBAED6">
            <w:pPr>
              <w:pStyle w:val="44"/>
              <w:numPr>
                <w:ilvl w:val="0"/>
                <w:numId w:val="0"/>
              </w:numPr>
              <w:snapToGrid w:val="0"/>
              <w:spacing w:line="360" w:lineRule="auto"/>
              <w:ind w:leftChars="0"/>
              <w:jc w:val="center"/>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保密措施及承诺</w:t>
            </w:r>
          </w:p>
          <w:p w14:paraId="632F5ECA">
            <w:pPr>
              <w:pStyle w:val="44"/>
              <w:numPr>
                <w:ilvl w:val="0"/>
                <w:numId w:val="0"/>
              </w:numPr>
              <w:snapToGrid w:val="0"/>
              <w:spacing w:line="360" w:lineRule="auto"/>
              <w:ind w:leftChars="0"/>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b/>
                <w:bCs w:val="0"/>
                <w:color w:val="auto"/>
                <w:sz w:val="24"/>
                <w:szCs w:val="24"/>
                <w:highlight w:val="none"/>
                <w:lang w:val="en-US" w:eastAsia="zh-CN"/>
              </w:rPr>
              <w:t>（满分10分）</w:t>
            </w:r>
          </w:p>
        </w:tc>
        <w:tc>
          <w:tcPr>
            <w:tcW w:w="5993" w:type="dxa"/>
            <w:tcBorders>
              <w:top w:val="single" w:color="000000" w:sz="4" w:space="0"/>
              <w:left w:val="single" w:color="000000" w:sz="4" w:space="0"/>
              <w:bottom w:val="single" w:color="000000" w:sz="4" w:space="0"/>
              <w:right w:val="single" w:color="000000" w:sz="4" w:space="0"/>
            </w:tcBorders>
            <w:vAlign w:val="center"/>
          </w:tcPr>
          <w:p w14:paraId="55B2D7B0">
            <w:pPr>
              <w:numPr>
                <w:ilvl w:val="0"/>
                <w:numId w:val="0"/>
              </w:numPr>
              <w:autoSpaceDE w:val="0"/>
              <w:autoSpaceDN w:val="0"/>
              <w:adjustRightInd w:val="0"/>
              <w:spacing w:line="360" w:lineRule="auto"/>
              <w:jc w:val="both"/>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包含但不限于：（1）针对项目的保密制度体系建设；（2）预防措施及方法（事前、事中、事后）；（3）违约责任及承诺等。</w:t>
            </w:r>
          </w:p>
          <w:p w14:paraId="5DD372E7">
            <w:pPr>
              <w:spacing w:after="0" w:line="360" w:lineRule="auto"/>
              <w:jc w:val="both"/>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第一个档次：保密体系健全规范，事前事中事后全流程防控措施详实精准，违约追责与保密承诺严谨完善、落地性强，得10分；</w:t>
            </w:r>
          </w:p>
          <w:p w14:paraId="072C5D48">
            <w:pPr>
              <w:spacing w:after="0" w:line="360" w:lineRule="auto"/>
              <w:jc w:val="both"/>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第二个档次：具备基础保密制度、防控措施及履约承诺，内容完整合规，但措施较常规，专项针对性一般，得7分；</w:t>
            </w:r>
          </w:p>
          <w:p w14:paraId="0CFA8918">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b/>
                <w:bCs/>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第三个档次：保密体系不完善，全流程防控措施空洞缺失，保密承诺及违约责任模糊，项目信息安全保障差，得3分。</w:t>
            </w:r>
          </w:p>
        </w:tc>
      </w:tr>
      <w:tr w14:paraId="32D50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486" w:type="dxa"/>
            <w:vMerge w:val="continue"/>
            <w:tcBorders>
              <w:left w:val="single" w:color="000000" w:sz="4" w:space="0"/>
              <w:right w:val="single" w:color="000000" w:sz="4" w:space="0"/>
            </w:tcBorders>
            <w:vAlign w:val="center"/>
          </w:tcPr>
          <w:p w14:paraId="28E3A43F">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lang w:val="en-US" w:eastAsia="zh-CN"/>
              </w:rPr>
            </w:pPr>
          </w:p>
        </w:tc>
        <w:tc>
          <w:tcPr>
            <w:tcW w:w="779" w:type="dxa"/>
            <w:vMerge w:val="continue"/>
            <w:tcBorders>
              <w:left w:val="single" w:color="000000" w:sz="4" w:space="0"/>
              <w:right w:val="single" w:color="000000" w:sz="4" w:space="0"/>
            </w:tcBorders>
            <w:vAlign w:val="center"/>
          </w:tcPr>
          <w:p w14:paraId="2E97A814">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lang w:val="en-US" w:eastAsia="zh-CN"/>
              </w:rPr>
            </w:pPr>
          </w:p>
        </w:tc>
        <w:tc>
          <w:tcPr>
            <w:tcW w:w="1886" w:type="dxa"/>
            <w:tcBorders>
              <w:top w:val="single" w:color="000000" w:sz="4" w:space="0"/>
              <w:left w:val="single" w:color="000000" w:sz="4" w:space="0"/>
              <w:bottom w:val="single" w:color="000000" w:sz="4" w:space="0"/>
              <w:right w:val="single" w:color="000000" w:sz="4" w:space="0"/>
            </w:tcBorders>
            <w:vAlign w:val="center"/>
          </w:tcPr>
          <w:p w14:paraId="3AD59CAD">
            <w:pPr>
              <w:pStyle w:val="44"/>
              <w:numPr>
                <w:ilvl w:val="0"/>
                <w:numId w:val="0"/>
              </w:numPr>
              <w:snapToGrid w:val="0"/>
              <w:spacing w:line="360" w:lineRule="auto"/>
              <w:ind w:leftChars="0"/>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b/>
                <w:bCs w:val="0"/>
                <w:color w:val="auto"/>
                <w:sz w:val="24"/>
                <w:szCs w:val="24"/>
                <w:highlight w:val="none"/>
                <w:lang w:val="en-US" w:eastAsia="zh-CN"/>
              </w:rPr>
              <w:t>监理辅助设施及设备（满分5分）</w:t>
            </w:r>
          </w:p>
        </w:tc>
        <w:tc>
          <w:tcPr>
            <w:tcW w:w="5993" w:type="dxa"/>
            <w:tcBorders>
              <w:top w:val="single" w:color="000000" w:sz="4" w:space="0"/>
              <w:left w:val="single" w:color="000000" w:sz="4" w:space="0"/>
              <w:bottom w:val="single" w:color="000000" w:sz="4" w:space="0"/>
              <w:right w:val="single" w:color="000000" w:sz="4" w:space="0"/>
            </w:tcBorders>
            <w:vAlign w:val="center"/>
          </w:tcPr>
          <w:p w14:paraId="32BCCD0A">
            <w:pPr>
              <w:spacing w:after="0" w:line="360" w:lineRule="auto"/>
              <w:jc w:val="both"/>
              <w:rPr>
                <w:rFonts w:hint="eastAsia" w:ascii="仿宋" w:hAnsi="仿宋" w:eastAsia="仿宋" w:cs="仿宋"/>
                <w:color w:val="auto"/>
                <w:kern w:val="0"/>
                <w:sz w:val="24"/>
                <w:szCs w:val="24"/>
                <w:highlight w:val="none"/>
                <w:lang w:val="zh-TW" w:eastAsia="zh-CN"/>
              </w:rPr>
            </w:pPr>
            <w:r>
              <w:rPr>
                <w:rFonts w:hint="eastAsia" w:ascii="仿宋" w:hAnsi="仿宋" w:eastAsia="仿宋" w:cs="仿宋"/>
                <w:color w:val="auto"/>
                <w:kern w:val="0"/>
                <w:sz w:val="24"/>
                <w:szCs w:val="24"/>
                <w:highlight w:val="none"/>
                <w:lang w:val="zh-TW" w:eastAsia="zh-TW"/>
              </w:rPr>
              <w:t>第一</w:t>
            </w:r>
            <w:r>
              <w:rPr>
                <w:rFonts w:hint="eastAsia" w:ascii="仿宋" w:hAnsi="仿宋" w:eastAsia="仿宋" w:cs="仿宋"/>
                <w:color w:val="auto"/>
                <w:kern w:val="0"/>
                <w:sz w:val="24"/>
                <w:szCs w:val="24"/>
                <w:highlight w:val="none"/>
                <w:lang w:val="en-US" w:eastAsia="zh-CN"/>
              </w:rPr>
              <w:t>个</w:t>
            </w:r>
            <w:r>
              <w:rPr>
                <w:rFonts w:hint="eastAsia" w:ascii="仿宋" w:hAnsi="仿宋" w:eastAsia="仿宋" w:cs="仿宋"/>
                <w:color w:val="auto"/>
                <w:kern w:val="0"/>
                <w:sz w:val="24"/>
                <w:szCs w:val="24"/>
                <w:highlight w:val="none"/>
                <w:lang w:val="zh-TW" w:eastAsia="zh-TW"/>
              </w:rPr>
              <w:t>档次：监理辅助设施及设备配置完整、齐全，能够有效支撑项目顺利开展的得</w:t>
            </w:r>
            <w:r>
              <w:rPr>
                <w:rFonts w:hint="eastAsia" w:ascii="仿宋" w:hAnsi="仿宋" w:eastAsia="仿宋" w:cs="仿宋"/>
                <w:color w:val="auto"/>
                <w:kern w:val="0"/>
                <w:sz w:val="24"/>
                <w:szCs w:val="24"/>
                <w:highlight w:val="none"/>
                <w:lang w:val="en-US" w:eastAsia="zh-CN"/>
              </w:rPr>
              <w:t>5</w:t>
            </w:r>
            <w:r>
              <w:rPr>
                <w:rFonts w:hint="eastAsia" w:ascii="仿宋" w:hAnsi="仿宋" w:eastAsia="仿宋" w:cs="仿宋"/>
                <w:color w:val="auto"/>
                <w:kern w:val="0"/>
                <w:sz w:val="24"/>
                <w:szCs w:val="24"/>
                <w:highlight w:val="none"/>
                <w:lang w:val="zh-TW" w:eastAsia="zh-CN"/>
              </w:rPr>
              <w:t>分；</w:t>
            </w:r>
          </w:p>
          <w:p w14:paraId="0B741498">
            <w:pPr>
              <w:spacing w:after="0" w:line="360" w:lineRule="auto"/>
              <w:jc w:val="both"/>
              <w:rPr>
                <w:rFonts w:hint="eastAsia" w:ascii="仿宋" w:hAnsi="仿宋" w:eastAsia="仿宋" w:cs="仿宋"/>
                <w:color w:val="auto"/>
                <w:kern w:val="0"/>
                <w:sz w:val="24"/>
                <w:szCs w:val="24"/>
                <w:highlight w:val="none"/>
                <w:lang w:val="zh-TW" w:eastAsia="zh-CN"/>
              </w:rPr>
            </w:pPr>
            <w:r>
              <w:rPr>
                <w:rFonts w:hint="eastAsia" w:ascii="仿宋" w:hAnsi="仿宋" w:eastAsia="仿宋" w:cs="仿宋"/>
                <w:color w:val="auto"/>
                <w:kern w:val="0"/>
                <w:sz w:val="24"/>
                <w:szCs w:val="24"/>
                <w:highlight w:val="none"/>
                <w:lang w:val="zh-TW" w:eastAsia="zh-TW"/>
              </w:rPr>
              <w:t>第二</w:t>
            </w:r>
            <w:r>
              <w:rPr>
                <w:rFonts w:hint="eastAsia" w:ascii="仿宋" w:hAnsi="仿宋" w:eastAsia="仿宋" w:cs="仿宋"/>
                <w:color w:val="auto"/>
                <w:kern w:val="0"/>
                <w:sz w:val="24"/>
                <w:szCs w:val="24"/>
                <w:highlight w:val="none"/>
                <w:lang w:val="en-US" w:eastAsia="zh-CN"/>
              </w:rPr>
              <w:t>个</w:t>
            </w:r>
            <w:r>
              <w:rPr>
                <w:rFonts w:hint="eastAsia" w:ascii="仿宋" w:hAnsi="仿宋" w:eastAsia="仿宋" w:cs="仿宋"/>
                <w:color w:val="auto"/>
                <w:kern w:val="0"/>
                <w:sz w:val="24"/>
                <w:szCs w:val="24"/>
                <w:highlight w:val="none"/>
                <w:lang w:val="zh-TW" w:eastAsia="zh-TW"/>
              </w:rPr>
              <w:t>档次：监理辅助设施及设备配置完整但存在缺漏，能够支撑项目开展的得</w:t>
            </w:r>
            <w:r>
              <w:rPr>
                <w:rFonts w:hint="eastAsia" w:ascii="仿宋" w:hAnsi="仿宋" w:eastAsia="仿宋" w:cs="仿宋"/>
                <w:color w:val="auto"/>
                <w:kern w:val="0"/>
                <w:sz w:val="24"/>
                <w:szCs w:val="24"/>
                <w:highlight w:val="none"/>
                <w:lang w:val="en-US" w:eastAsia="zh-CN"/>
              </w:rPr>
              <w:t>3</w:t>
            </w:r>
            <w:r>
              <w:rPr>
                <w:rFonts w:hint="eastAsia" w:ascii="仿宋" w:hAnsi="仿宋" w:eastAsia="仿宋" w:cs="仿宋"/>
                <w:color w:val="auto"/>
                <w:kern w:val="0"/>
                <w:sz w:val="24"/>
                <w:szCs w:val="24"/>
                <w:highlight w:val="none"/>
                <w:lang w:val="zh-TW" w:eastAsia="zh-CN"/>
              </w:rPr>
              <w:t>分；</w:t>
            </w:r>
          </w:p>
          <w:p w14:paraId="2EA3289E">
            <w:pPr>
              <w:spacing w:after="0" w:line="360" w:lineRule="auto"/>
              <w:jc w:val="both"/>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zh-TW" w:eastAsia="zh-TW"/>
              </w:rPr>
              <w:t>第三</w:t>
            </w:r>
            <w:r>
              <w:rPr>
                <w:rFonts w:hint="eastAsia" w:ascii="仿宋" w:hAnsi="仿宋" w:eastAsia="仿宋" w:cs="仿宋"/>
                <w:color w:val="auto"/>
                <w:kern w:val="0"/>
                <w:sz w:val="24"/>
                <w:szCs w:val="24"/>
                <w:highlight w:val="none"/>
                <w:lang w:val="en-US" w:eastAsia="zh-CN"/>
              </w:rPr>
              <w:t>个</w:t>
            </w:r>
            <w:r>
              <w:rPr>
                <w:rFonts w:hint="eastAsia" w:ascii="仿宋" w:hAnsi="仿宋" w:eastAsia="仿宋" w:cs="仿宋"/>
                <w:color w:val="auto"/>
                <w:kern w:val="0"/>
                <w:sz w:val="24"/>
                <w:szCs w:val="24"/>
                <w:highlight w:val="none"/>
                <w:lang w:val="zh-TW" w:eastAsia="zh-TW"/>
              </w:rPr>
              <w:t>档次：监理辅助设施及设备配置不完整，无法支撑项目开展的得</w:t>
            </w: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lang w:val="zh-TW" w:eastAsia="zh-CN"/>
              </w:rPr>
              <w:t>分；</w:t>
            </w:r>
          </w:p>
        </w:tc>
      </w:tr>
      <w:tr w14:paraId="710E2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486" w:type="dxa"/>
            <w:vMerge w:val="continue"/>
            <w:tcBorders>
              <w:left w:val="single" w:color="000000" w:sz="4" w:space="0"/>
              <w:right w:val="single" w:color="000000" w:sz="4" w:space="0"/>
            </w:tcBorders>
            <w:vAlign w:val="center"/>
          </w:tcPr>
          <w:p w14:paraId="39B2016D">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lang w:val="en-US" w:eastAsia="zh-CN"/>
              </w:rPr>
            </w:pPr>
          </w:p>
        </w:tc>
        <w:tc>
          <w:tcPr>
            <w:tcW w:w="779" w:type="dxa"/>
            <w:vMerge w:val="continue"/>
            <w:tcBorders>
              <w:left w:val="single" w:color="000000" w:sz="4" w:space="0"/>
              <w:right w:val="single" w:color="000000" w:sz="4" w:space="0"/>
            </w:tcBorders>
            <w:vAlign w:val="center"/>
          </w:tcPr>
          <w:p w14:paraId="664E55D3">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lang w:val="en-US" w:eastAsia="zh-CN"/>
              </w:rPr>
            </w:pPr>
          </w:p>
        </w:tc>
        <w:tc>
          <w:tcPr>
            <w:tcW w:w="1886" w:type="dxa"/>
            <w:tcBorders>
              <w:top w:val="single" w:color="000000" w:sz="4" w:space="0"/>
              <w:left w:val="single" w:color="000000" w:sz="4" w:space="0"/>
              <w:bottom w:val="single" w:color="000000" w:sz="4" w:space="0"/>
              <w:right w:val="single" w:color="000000" w:sz="4" w:space="0"/>
            </w:tcBorders>
            <w:vAlign w:val="center"/>
          </w:tcPr>
          <w:p w14:paraId="7EB64CC1">
            <w:pPr>
              <w:spacing w:after="0"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b/>
                <w:bCs w:val="0"/>
                <w:color w:val="auto"/>
                <w:kern w:val="0"/>
                <w:sz w:val="24"/>
                <w:szCs w:val="24"/>
                <w:highlight w:val="none"/>
                <w:lang w:val="en-US" w:eastAsia="zh-CN" w:bidi="ar-SA"/>
              </w:rPr>
              <w:t>业绩（满分5分）</w:t>
            </w:r>
          </w:p>
        </w:tc>
        <w:tc>
          <w:tcPr>
            <w:tcW w:w="5993" w:type="dxa"/>
            <w:tcBorders>
              <w:top w:val="single" w:color="000000" w:sz="4" w:space="0"/>
              <w:left w:val="single" w:color="000000" w:sz="4" w:space="0"/>
              <w:bottom w:val="single" w:color="000000" w:sz="4" w:space="0"/>
              <w:right w:val="single" w:color="000000" w:sz="4" w:space="0"/>
            </w:tcBorders>
            <w:vAlign w:val="center"/>
          </w:tcPr>
          <w:p w14:paraId="752296C5">
            <w:pPr>
              <w:spacing w:after="0" w:line="360" w:lineRule="auto"/>
              <w:jc w:val="both"/>
              <w:rPr>
                <w:rFonts w:hint="eastAsia" w:ascii="仿宋" w:hAnsi="仿宋" w:eastAsia="仿宋" w:cs="仿宋"/>
                <w:b/>
                <w:bCs/>
                <w:color w:val="auto"/>
                <w:sz w:val="24"/>
                <w:szCs w:val="24"/>
                <w:highlight w:val="none"/>
                <w:vertAlign w:val="baseline"/>
                <w:lang w:val="en-US" w:eastAsia="zh-CN"/>
              </w:rPr>
            </w:pPr>
            <w:r>
              <w:rPr>
                <w:rFonts w:hint="eastAsia" w:ascii="仿宋" w:hAnsi="仿宋" w:eastAsia="仿宋" w:cs="仿宋"/>
                <w:color w:val="auto"/>
                <w:kern w:val="0"/>
                <w:sz w:val="24"/>
                <w:szCs w:val="24"/>
                <w:highlight w:val="none"/>
                <w:lang w:val="en-US" w:eastAsia="zh-CN"/>
              </w:rPr>
              <w:t>每提供一个类似业绩得1分，满分5分</w:t>
            </w:r>
            <w:r>
              <w:rPr>
                <w:rFonts w:hint="eastAsia" w:ascii="仿宋" w:hAnsi="仿宋" w:eastAsia="仿宋" w:cs="仿宋"/>
                <w:color w:val="auto"/>
                <w:kern w:val="0"/>
                <w:sz w:val="24"/>
                <w:szCs w:val="24"/>
                <w:highlight w:val="none"/>
                <w:lang w:val="zh-TW" w:eastAsia="zh-CN"/>
              </w:rPr>
              <w:t>；</w:t>
            </w:r>
            <w:r>
              <w:rPr>
                <w:rFonts w:hint="eastAsia" w:ascii="仿宋" w:hAnsi="仿宋" w:eastAsia="仿宋" w:cs="仿宋"/>
                <w:color w:val="auto"/>
                <w:kern w:val="0"/>
                <w:sz w:val="24"/>
                <w:szCs w:val="24"/>
                <w:highlight w:val="none"/>
                <w:lang w:val="en-US" w:eastAsia="zh-CN"/>
              </w:rPr>
              <w:t>提供</w:t>
            </w:r>
            <w:r>
              <w:rPr>
                <w:rFonts w:hint="eastAsia" w:ascii="仿宋" w:hAnsi="仿宋" w:eastAsia="仿宋" w:cs="仿宋"/>
                <w:color w:val="auto"/>
                <w:kern w:val="0"/>
                <w:sz w:val="24"/>
                <w:szCs w:val="24"/>
                <w:highlight w:val="none"/>
                <w:lang w:val="zh-TW" w:eastAsia="zh-TW"/>
              </w:rPr>
              <w:t>合同协议书</w:t>
            </w:r>
            <w:r>
              <w:rPr>
                <w:rFonts w:hint="eastAsia" w:ascii="仿宋" w:hAnsi="仿宋" w:eastAsia="仿宋" w:cs="仿宋"/>
                <w:color w:val="auto"/>
                <w:kern w:val="0"/>
                <w:sz w:val="24"/>
                <w:szCs w:val="24"/>
                <w:highlight w:val="none"/>
                <w:lang w:val="en-US" w:eastAsia="zh-CN"/>
              </w:rPr>
              <w:t>或中标通知书或</w:t>
            </w:r>
            <w:r>
              <w:rPr>
                <w:rFonts w:hint="eastAsia" w:ascii="仿宋" w:hAnsi="仿宋" w:eastAsia="仿宋" w:cs="仿宋"/>
                <w:color w:val="auto"/>
                <w:kern w:val="0"/>
                <w:sz w:val="24"/>
                <w:szCs w:val="24"/>
                <w:highlight w:val="none"/>
                <w:lang w:val="zh-TW" w:eastAsia="zh-TW"/>
              </w:rPr>
              <w:t>工程接收证书(工程竣工验收证书)</w:t>
            </w:r>
            <w:r>
              <w:rPr>
                <w:rFonts w:hint="eastAsia" w:ascii="仿宋" w:hAnsi="仿宋" w:eastAsia="仿宋" w:cs="仿宋"/>
                <w:color w:val="auto"/>
                <w:kern w:val="0"/>
                <w:sz w:val="24"/>
                <w:szCs w:val="24"/>
                <w:highlight w:val="none"/>
                <w:lang w:val="en-US" w:eastAsia="zh-CN"/>
              </w:rPr>
              <w:t>或</w:t>
            </w:r>
            <w:r>
              <w:rPr>
                <w:rFonts w:hint="eastAsia" w:ascii="仿宋" w:hAnsi="仿宋" w:eastAsia="仿宋" w:cs="仿宋"/>
                <w:color w:val="auto"/>
                <w:kern w:val="0"/>
                <w:sz w:val="24"/>
                <w:szCs w:val="24"/>
                <w:highlight w:val="none"/>
                <w:lang w:val="zh-TW" w:eastAsia="zh-TW"/>
              </w:rPr>
              <w:t>竣工验收</w:t>
            </w:r>
            <w:r>
              <w:rPr>
                <w:rFonts w:hint="eastAsia" w:ascii="仿宋" w:hAnsi="仿宋" w:eastAsia="仿宋" w:cs="仿宋"/>
                <w:color w:val="auto"/>
                <w:kern w:val="0"/>
                <w:sz w:val="24"/>
                <w:szCs w:val="24"/>
                <w:highlight w:val="none"/>
                <w:lang w:val="en-US" w:eastAsia="zh-CN"/>
              </w:rPr>
              <w:t>等</w:t>
            </w:r>
            <w:r>
              <w:rPr>
                <w:rFonts w:hint="eastAsia" w:ascii="仿宋" w:hAnsi="仿宋" w:eastAsia="仿宋" w:cs="仿宋"/>
                <w:color w:val="auto"/>
                <w:kern w:val="0"/>
                <w:sz w:val="24"/>
                <w:szCs w:val="24"/>
                <w:highlight w:val="none"/>
                <w:lang w:val="zh-TW" w:eastAsia="zh-TW"/>
              </w:rPr>
              <w:t>证明材料，上述证明材料中须体现类似业绩内容及规模，否则不予认可。</w:t>
            </w:r>
          </w:p>
        </w:tc>
      </w:tr>
      <w:tr w14:paraId="271DD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0" w:hRule="atLeast"/>
          <w:jc w:val="center"/>
        </w:trPr>
        <w:tc>
          <w:tcPr>
            <w:tcW w:w="486" w:type="dxa"/>
            <w:tcBorders>
              <w:left w:val="single" w:color="000000" w:sz="4" w:space="0"/>
              <w:right w:val="single" w:color="000000" w:sz="4" w:space="0"/>
            </w:tcBorders>
            <w:vAlign w:val="center"/>
          </w:tcPr>
          <w:p w14:paraId="7BB84260">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六</w:t>
            </w:r>
          </w:p>
        </w:tc>
        <w:tc>
          <w:tcPr>
            <w:tcW w:w="779" w:type="dxa"/>
            <w:tcBorders>
              <w:left w:val="single" w:color="000000" w:sz="4" w:space="0"/>
              <w:right w:val="single" w:color="auto" w:sz="4" w:space="0"/>
            </w:tcBorders>
            <w:vAlign w:val="center"/>
          </w:tcPr>
          <w:p w14:paraId="2E1D1B8B">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b w:val="0"/>
                <w:bCs/>
                <w:color w:val="auto"/>
                <w:kern w:val="0"/>
                <w:sz w:val="24"/>
                <w:szCs w:val="24"/>
                <w:highlight w:val="none"/>
              </w:rPr>
            </w:pPr>
            <w:r>
              <w:rPr>
                <w:rFonts w:hint="eastAsia" w:ascii="仿宋" w:hAnsi="仿宋" w:eastAsia="仿宋" w:cs="仿宋"/>
                <w:b w:val="0"/>
                <w:bCs/>
                <w:color w:val="auto"/>
                <w:kern w:val="0"/>
                <w:sz w:val="24"/>
                <w:szCs w:val="24"/>
                <w:highlight w:val="none"/>
              </w:rPr>
              <w:t>定标说明</w:t>
            </w:r>
          </w:p>
        </w:tc>
        <w:tc>
          <w:tcPr>
            <w:tcW w:w="7879" w:type="dxa"/>
            <w:gridSpan w:val="2"/>
            <w:tcBorders>
              <w:top w:val="single" w:color="000000" w:sz="4" w:space="0"/>
              <w:left w:val="single" w:color="auto" w:sz="4" w:space="0"/>
              <w:right w:val="single" w:color="000000" w:sz="4" w:space="0"/>
            </w:tcBorders>
            <w:vAlign w:val="center"/>
          </w:tcPr>
          <w:p w14:paraId="72BCACD3">
            <w:pPr>
              <w:keepNext w:val="0"/>
              <w:keepLines w:val="0"/>
              <w:pageBreakBefore w:val="0"/>
              <w:widowControl/>
              <w:kinsoku/>
              <w:wordWrap/>
              <w:overflowPunct/>
              <w:topLinePunct w:val="0"/>
              <w:autoSpaceDE/>
              <w:autoSpaceDN/>
              <w:bidi w:val="0"/>
              <w:adjustRightInd w:val="0"/>
              <w:spacing w:line="56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1.</w:t>
            </w:r>
            <w:r>
              <w:rPr>
                <w:rFonts w:hint="eastAsia" w:ascii="仿宋" w:hAnsi="仿宋" w:eastAsia="仿宋" w:cs="仿宋"/>
                <w:color w:val="auto"/>
                <w:sz w:val="24"/>
                <w:szCs w:val="24"/>
                <w:highlight w:val="none"/>
              </w:rPr>
              <w:t>经磋商小组经过评审通过初审的供应商，由磋商小组采用综合评分法对供应商的磋商响应文件和</w:t>
            </w:r>
            <w:r>
              <w:rPr>
                <w:rFonts w:hint="eastAsia" w:ascii="仿宋" w:hAnsi="仿宋" w:eastAsia="仿宋" w:cs="仿宋"/>
                <w:color w:val="auto"/>
                <w:sz w:val="24"/>
                <w:szCs w:val="24"/>
                <w:highlight w:val="none"/>
                <w:lang w:eastAsia="zh-CN"/>
              </w:rPr>
              <w:t>最终</w:t>
            </w:r>
            <w:r>
              <w:rPr>
                <w:rFonts w:hint="eastAsia" w:ascii="仿宋" w:hAnsi="仿宋" w:eastAsia="仿宋" w:cs="仿宋"/>
                <w:color w:val="auto"/>
                <w:sz w:val="24"/>
                <w:szCs w:val="24"/>
                <w:highlight w:val="none"/>
              </w:rPr>
              <w:t>报价进行综合评分。</w:t>
            </w:r>
          </w:p>
          <w:p w14:paraId="01E6D4B6">
            <w:pPr>
              <w:keepNext w:val="0"/>
              <w:keepLines w:val="0"/>
              <w:pageBreakBefore w:val="0"/>
              <w:kinsoku/>
              <w:wordWrap/>
              <w:overflowPunct/>
              <w:topLinePunct w:val="0"/>
              <w:autoSpaceDE/>
              <w:autoSpaceDN/>
              <w:bidi w:val="0"/>
              <w:adjustRightInd w:val="0"/>
              <w:spacing w:line="560" w:lineRule="exact"/>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2.</w:t>
            </w:r>
            <w:r>
              <w:rPr>
                <w:rFonts w:hint="eastAsia" w:ascii="仿宋" w:hAnsi="仿宋" w:eastAsia="仿宋" w:cs="仿宋"/>
                <w:color w:val="auto"/>
                <w:sz w:val="24"/>
                <w:szCs w:val="24"/>
                <w:highlight w:val="none"/>
              </w:rPr>
              <w:t>磋商小组按磋商响应文件满足磋商文件全部实质性要求按综合评分得分由高到低的顺序推荐成交候选人。如出现供应商综合评分得分相同的，按供应商的</w:t>
            </w:r>
            <w:r>
              <w:rPr>
                <w:rFonts w:hint="eastAsia" w:ascii="仿宋" w:hAnsi="仿宋" w:eastAsia="仿宋" w:cs="仿宋"/>
                <w:color w:val="auto"/>
                <w:sz w:val="24"/>
                <w:szCs w:val="24"/>
                <w:highlight w:val="none"/>
                <w:lang w:eastAsia="zh-CN"/>
              </w:rPr>
              <w:t>最低</w:t>
            </w:r>
            <w:r>
              <w:rPr>
                <w:rFonts w:hint="eastAsia" w:ascii="仿宋" w:hAnsi="仿宋" w:eastAsia="仿宋" w:cs="仿宋"/>
                <w:color w:val="auto"/>
                <w:sz w:val="24"/>
                <w:szCs w:val="24"/>
                <w:highlight w:val="none"/>
              </w:rPr>
              <w:t>投标报价由低到高顺序推荐成交候选人，如出现供应商的最</w:t>
            </w:r>
            <w:r>
              <w:rPr>
                <w:rFonts w:hint="eastAsia" w:ascii="仿宋" w:hAnsi="仿宋" w:eastAsia="仿宋" w:cs="仿宋"/>
                <w:color w:val="auto"/>
                <w:sz w:val="24"/>
                <w:szCs w:val="24"/>
                <w:highlight w:val="none"/>
                <w:lang w:val="en-US" w:eastAsia="zh-CN"/>
              </w:rPr>
              <w:t>低</w:t>
            </w:r>
            <w:r>
              <w:rPr>
                <w:rFonts w:hint="eastAsia" w:ascii="仿宋" w:hAnsi="仿宋" w:eastAsia="仿宋" w:cs="仿宋"/>
                <w:color w:val="auto"/>
                <w:sz w:val="24"/>
                <w:szCs w:val="24"/>
                <w:highlight w:val="none"/>
              </w:rPr>
              <w:t>投标报价相同的，按技术部分得分由高到低顺序推荐成交候选人。</w:t>
            </w:r>
          </w:p>
        </w:tc>
      </w:tr>
      <w:bookmarkEnd w:id="107"/>
      <w:bookmarkEnd w:id="108"/>
      <w:bookmarkEnd w:id="109"/>
    </w:tbl>
    <w:p w14:paraId="1A921BAA">
      <w:pPr>
        <w:pStyle w:val="4"/>
        <w:keepNext w:val="0"/>
        <w:keepLines w:val="0"/>
        <w:pageBreakBefore w:val="0"/>
        <w:widowControl w:val="0"/>
        <w:kinsoku/>
        <w:wordWrap/>
        <w:overflowPunct/>
        <w:topLinePunct w:val="0"/>
        <w:autoSpaceDE/>
        <w:autoSpaceDN/>
        <w:bidi w:val="0"/>
        <w:adjustRightInd/>
        <w:snapToGrid/>
        <w:spacing w:before="120" w:beforeLines="50" w:after="120" w:afterLines="50" w:line="360" w:lineRule="auto"/>
        <w:textAlignment w:val="auto"/>
        <w:outlineLvl w:val="9"/>
        <w:rPr>
          <w:rFonts w:hint="eastAsia" w:ascii="仿宋" w:hAnsi="仿宋" w:eastAsia="仿宋" w:cs="仿宋"/>
          <w:b/>
          <w:bCs/>
          <w:color w:val="auto"/>
          <w:sz w:val="28"/>
          <w:szCs w:val="28"/>
          <w:highlight w:val="none"/>
          <w:lang w:val="en-US" w:eastAsia="zh-CN"/>
        </w:rPr>
      </w:pPr>
      <w:bookmarkStart w:id="110" w:name="_Toc86124094"/>
      <w:bookmarkStart w:id="111" w:name="_Toc337822266"/>
      <w:bookmarkStart w:id="112" w:name="_Toc28736"/>
      <w:bookmarkStart w:id="113" w:name="_Toc457317847"/>
      <w:bookmarkStart w:id="114" w:name="_Toc457310273"/>
      <w:bookmarkStart w:id="115" w:name="_Toc8540"/>
      <w:bookmarkStart w:id="116" w:name="_Toc422271228"/>
      <w:bookmarkStart w:id="117" w:name="_Toc9143"/>
      <w:bookmarkStart w:id="118" w:name="_Toc1692"/>
      <w:bookmarkStart w:id="119" w:name="_Toc379789648"/>
      <w:bookmarkStart w:id="120" w:name="_Toc19424"/>
      <w:bookmarkStart w:id="121" w:name="_Toc16919"/>
      <w:bookmarkStart w:id="122" w:name="_Toc517963435"/>
      <w:bookmarkStart w:id="123" w:name="_Toc4110"/>
      <w:bookmarkStart w:id="124" w:name="_Toc530733567"/>
      <w:r>
        <w:rPr>
          <w:rFonts w:hint="eastAsia" w:ascii="仿宋" w:hAnsi="仿宋" w:eastAsia="仿宋" w:cs="仿宋"/>
          <w:b/>
          <w:bCs/>
          <w:color w:val="auto"/>
          <w:sz w:val="28"/>
          <w:szCs w:val="28"/>
          <w:highlight w:val="none"/>
          <w:lang w:val="en-US" w:eastAsia="zh-CN"/>
        </w:rPr>
        <w:t xml:space="preserve">1. </w:t>
      </w:r>
      <w:bookmarkEnd w:id="110"/>
      <w:r>
        <w:rPr>
          <w:rFonts w:hint="eastAsia" w:ascii="仿宋" w:hAnsi="仿宋" w:eastAsia="仿宋" w:cs="仿宋"/>
          <w:b/>
          <w:bCs/>
          <w:color w:val="auto"/>
          <w:sz w:val="28"/>
          <w:szCs w:val="28"/>
          <w:highlight w:val="none"/>
          <w:lang w:val="en-US" w:eastAsia="zh-CN"/>
        </w:rPr>
        <w:t>评审方法</w:t>
      </w:r>
      <w:bookmarkEnd w:id="111"/>
      <w:bookmarkEnd w:id="112"/>
      <w:bookmarkEnd w:id="113"/>
      <w:bookmarkEnd w:id="114"/>
      <w:bookmarkEnd w:id="115"/>
      <w:bookmarkEnd w:id="116"/>
      <w:bookmarkEnd w:id="117"/>
      <w:bookmarkEnd w:id="118"/>
      <w:bookmarkEnd w:id="119"/>
    </w:p>
    <w:p w14:paraId="5167309E">
      <w:pPr>
        <w:pStyle w:val="3"/>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磋商小组根据磋商文件的规定及要求对供应商的磋商响应文件，进行</w:t>
      </w:r>
      <w:r>
        <w:rPr>
          <w:rFonts w:hint="eastAsia" w:ascii="仿宋" w:hAnsi="仿宋" w:eastAsia="仿宋" w:cs="仿宋"/>
          <w:b w:val="0"/>
          <w:bCs w:val="0"/>
          <w:color w:val="auto"/>
          <w:sz w:val="24"/>
          <w:szCs w:val="24"/>
          <w:highlight w:val="none"/>
          <w:lang w:val="en-US" w:eastAsia="zh-CN"/>
        </w:rPr>
        <w:t>资格性和符合性</w:t>
      </w:r>
      <w:r>
        <w:rPr>
          <w:rFonts w:hint="eastAsia" w:ascii="仿宋" w:hAnsi="仿宋" w:eastAsia="仿宋" w:cs="仿宋"/>
          <w:b w:val="0"/>
          <w:bCs w:val="0"/>
          <w:color w:val="auto"/>
          <w:sz w:val="24"/>
          <w:szCs w:val="24"/>
          <w:highlight w:val="none"/>
        </w:rPr>
        <w:t>评审，在全部满足磋商文件</w:t>
      </w:r>
      <w:r>
        <w:rPr>
          <w:rFonts w:hint="eastAsia" w:ascii="仿宋" w:hAnsi="仿宋" w:eastAsia="仿宋" w:cs="仿宋"/>
          <w:b w:val="0"/>
          <w:bCs w:val="0"/>
          <w:color w:val="auto"/>
          <w:sz w:val="24"/>
          <w:szCs w:val="24"/>
          <w:highlight w:val="none"/>
          <w:lang w:val="en-US" w:eastAsia="zh-CN"/>
        </w:rPr>
        <w:t>资格性和符合性</w:t>
      </w:r>
      <w:r>
        <w:rPr>
          <w:rFonts w:hint="eastAsia" w:ascii="仿宋" w:hAnsi="仿宋" w:eastAsia="仿宋" w:cs="仿宋"/>
          <w:b w:val="0"/>
          <w:bCs w:val="0"/>
          <w:color w:val="auto"/>
          <w:sz w:val="24"/>
          <w:szCs w:val="24"/>
          <w:highlight w:val="none"/>
        </w:rPr>
        <w:t>评审要求，质量和服务后，</w:t>
      </w:r>
      <w:bookmarkStart w:id="125" w:name="_Toc379789649"/>
      <w:r>
        <w:rPr>
          <w:rFonts w:hint="eastAsia" w:ascii="仿宋" w:hAnsi="仿宋" w:eastAsia="仿宋" w:cs="仿宋"/>
          <w:b w:val="0"/>
          <w:bCs w:val="0"/>
          <w:color w:val="auto"/>
          <w:sz w:val="24"/>
          <w:szCs w:val="24"/>
          <w:highlight w:val="none"/>
        </w:rPr>
        <w:t>由磋商小组采用综合评分法对各供应商的磋商响应文件进行综合评分。</w:t>
      </w:r>
    </w:p>
    <w:p w14:paraId="7FE8609D">
      <w:pPr>
        <w:pStyle w:val="3"/>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综合评分法，是指磋商响应文件满足磋商文件全部实质性要求且按评审因素的量化指标评审得分最高的供应商为成交候选供应商的评审方法。</w:t>
      </w:r>
      <w:bookmarkStart w:id="126" w:name="_Toc2457"/>
      <w:bookmarkStart w:id="127" w:name="_Toc457317848"/>
      <w:bookmarkStart w:id="128" w:name="_Toc457310274"/>
      <w:bookmarkStart w:id="129" w:name="_Toc422271229"/>
      <w:bookmarkStart w:id="130" w:name="_Toc689"/>
      <w:bookmarkStart w:id="131" w:name="_Toc13905"/>
      <w:bookmarkStart w:id="132" w:name="_Toc8671"/>
    </w:p>
    <w:p w14:paraId="192C14D5">
      <w:pPr>
        <w:pStyle w:val="3"/>
        <w:keepNext w:val="0"/>
        <w:keepLines w:val="0"/>
        <w:pageBreakBefore w:val="0"/>
        <w:widowControl w:val="0"/>
        <w:numPr>
          <w:ilvl w:val="0"/>
          <w:numId w:val="4"/>
        </w:numPr>
        <w:kinsoku/>
        <w:wordWrap/>
        <w:overflowPunct/>
        <w:topLinePunct w:val="0"/>
        <w:autoSpaceDE/>
        <w:autoSpaceDN/>
        <w:bidi w:val="0"/>
        <w:adjustRightInd/>
        <w:snapToGrid/>
        <w:spacing w:line="560" w:lineRule="exact"/>
        <w:ind w:left="0" w:leftChars="0" w:firstLine="480" w:firstLine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初步评审标准</w:t>
      </w:r>
      <w:bookmarkEnd w:id="125"/>
      <w:bookmarkEnd w:id="126"/>
      <w:bookmarkEnd w:id="127"/>
      <w:bookmarkEnd w:id="128"/>
      <w:bookmarkEnd w:id="129"/>
      <w:bookmarkEnd w:id="130"/>
      <w:bookmarkEnd w:id="131"/>
      <w:bookmarkEnd w:id="132"/>
    </w:p>
    <w:p w14:paraId="5C1196AF">
      <w:pPr>
        <w:pStyle w:val="3"/>
        <w:keepNext w:val="0"/>
        <w:keepLines w:val="0"/>
        <w:pageBreakBefore w:val="0"/>
        <w:widowControl w:val="0"/>
        <w:numPr>
          <w:ilvl w:val="1"/>
          <w:numId w:val="4"/>
        </w:numPr>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资格评审标准：依据法律法规和磋商文件的规定，对磋商响应文件中的资格证明等进行审查，以确定供应商是否具备磋商资格；见“评审</w:t>
      </w:r>
      <w:r>
        <w:rPr>
          <w:rFonts w:hint="eastAsia" w:ascii="仿宋" w:hAnsi="仿宋" w:eastAsia="仿宋" w:cs="仿宋"/>
          <w:b w:val="0"/>
          <w:bCs w:val="0"/>
          <w:color w:val="auto"/>
          <w:sz w:val="24"/>
          <w:szCs w:val="24"/>
          <w:highlight w:val="none"/>
          <w:lang w:val="en-US" w:eastAsia="zh-CN"/>
        </w:rPr>
        <w:t>办法</w:t>
      </w:r>
      <w:r>
        <w:rPr>
          <w:rFonts w:hint="eastAsia" w:ascii="仿宋" w:hAnsi="仿宋" w:eastAsia="仿宋" w:cs="仿宋"/>
          <w:b w:val="0"/>
          <w:bCs w:val="0"/>
          <w:color w:val="auto"/>
          <w:sz w:val="24"/>
          <w:szCs w:val="24"/>
          <w:highlight w:val="none"/>
        </w:rPr>
        <w:t>前附表”。</w:t>
      </w:r>
    </w:p>
    <w:p w14:paraId="609D8197">
      <w:pPr>
        <w:pStyle w:val="3"/>
        <w:keepNext w:val="0"/>
        <w:keepLines w:val="0"/>
        <w:pageBreakBefore w:val="0"/>
        <w:widowControl w:val="0"/>
        <w:numPr>
          <w:ilvl w:val="1"/>
          <w:numId w:val="4"/>
        </w:numPr>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符合性评审标准：依据磋商文件的规定对磋商响应文件进行审查，以确定是否对磋商文件的实质性要求做出响应；见“评审办法前附表”。</w:t>
      </w:r>
      <w:bookmarkStart w:id="133" w:name="_Toc6848"/>
      <w:bookmarkStart w:id="134" w:name="_Toc457317849"/>
      <w:bookmarkStart w:id="135" w:name="_Toc457310275"/>
      <w:bookmarkStart w:id="136" w:name="_Toc23394"/>
      <w:bookmarkStart w:id="137" w:name="_Toc17189"/>
      <w:bookmarkStart w:id="138" w:name="_Toc11991"/>
      <w:bookmarkStart w:id="139" w:name="_Toc426031644"/>
    </w:p>
    <w:p w14:paraId="1DCF8201">
      <w:pPr>
        <w:pStyle w:val="3"/>
        <w:keepNext w:val="0"/>
        <w:keepLines w:val="0"/>
        <w:pageBreakBefore w:val="0"/>
        <w:widowControl w:val="0"/>
        <w:numPr>
          <w:ilvl w:val="0"/>
          <w:numId w:val="4"/>
        </w:numPr>
        <w:kinsoku/>
        <w:wordWrap/>
        <w:overflowPunct/>
        <w:topLinePunct w:val="0"/>
        <w:autoSpaceDE/>
        <w:autoSpaceDN/>
        <w:bidi w:val="0"/>
        <w:adjustRightInd/>
        <w:snapToGrid/>
        <w:spacing w:line="560" w:lineRule="exact"/>
        <w:ind w:left="0" w:leftChars="0" w:firstLine="480" w:firstLine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综合评分标准</w:t>
      </w:r>
      <w:bookmarkEnd w:id="133"/>
      <w:bookmarkEnd w:id="134"/>
      <w:bookmarkEnd w:id="135"/>
      <w:bookmarkEnd w:id="136"/>
      <w:bookmarkEnd w:id="137"/>
      <w:bookmarkEnd w:id="138"/>
    </w:p>
    <w:p w14:paraId="5CE7B101">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jc w:val="both"/>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见“评审</w:t>
      </w:r>
      <w:r>
        <w:rPr>
          <w:rFonts w:hint="eastAsia" w:ascii="仿宋" w:hAnsi="仿宋" w:eastAsia="仿宋" w:cs="仿宋"/>
          <w:b w:val="0"/>
          <w:bCs w:val="0"/>
          <w:color w:val="auto"/>
          <w:sz w:val="24"/>
          <w:szCs w:val="24"/>
          <w:highlight w:val="none"/>
          <w:lang w:val="en-US" w:eastAsia="zh-CN"/>
        </w:rPr>
        <w:t>办法</w:t>
      </w:r>
      <w:r>
        <w:rPr>
          <w:rFonts w:hint="eastAsia" w:ascii="仿宋" w:hAnsi="仿宋" w:eastAsia="仿宋" w:cs="仿宋"/>
          <w:b w:val="0"/>
          <w:bCs w:val="0"/>
          <w:color w:val="auto"/>
          <w:sz w:val="24"/>
          <w:szCs w:val="24"/>
          <w:highlight w:val="none"/>
        </w:rPr>
        <w:t>前附表”。</w:t>
      </w:r>
      <w:bookmarkEnd w:id="139"/>
    </w:p>
    <w:p w14:paraId="18086476">
      <w:pPr>
        <w:pStyle w:val="3"/>
        <w:keepNext w:val="0"/>
        <w:keepLines w:val="0"/>
        <w:pageBreakBefore w:val="0"/>
        <w:widowControl w:val="0"/>
        <w:numPr>
          <w:ilvl w:val="0"/>
          <w:numId w:val="4"/>
        </w:numPr>
        <w:kinsoku/>
        <w:wordWrap/>
        <w:overflowPunct/>
        <w:topLinePunct w:val="0"/>
        <w:autoSpaceDE/>
        <w:autoSpaceDN/>
        <w:bidi w:val="0"/>
        <w:adjustRightInd/>
        <w:snapToGrid/>
        <w:spacing w:line="560" w:lineRule="exact"/>
        <w:ind w:left="0" w:leftChars="0" w:firstLine="480" w:firstLine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评审程序</w:t>
      </w:r>
    </w:p>
    <w:p w14:paraId="56B664D6">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4.1 初步评审</w:t>
      </w:r>
    </w:p>
    <w:p w14:paraId="2ECE50D9">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4.1.1磋商小组依据本章第一项、第二项规定的标准对磋商响应文件进行初步评审。有一项不符合评审标准的，不再参与磋商。</w:t>
      </w:r>
    </w:p>
    <w:p w14:paraId="2671DBDA">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4.1.2供应商有以下情形之一的，取消其磋商资格：</w:t>
      </w:r>
    </w:p>
    <w:p w14:paraId="3511B52C">
      <w:pPr>
        <w:pStyle w:val="3"/>
        <w:keepNext w:val="0"/>
        <w:keepLines w:val="0"/>
        <w:pageBreakBefore w:val="0"/>
        <w:widowControl w:val="0"/>
        <w:numPr>
          <w:ilvl w:val="0"/>
          <w:numId w:val="5"/>
        </w:numPr>
        <w:kinsoku/>
        <w:wordWrap/>
        <w:overflowPunct/>
        <w:topLinePunct w:val="0"/>
        <w:autoSpaceDE/>
        <w:autoSpaceDN/>
        <w:bidi w:val="0"/>
        <w:adjustRightInd/>
        <w:snapToGrid/>
        <w:spacing w:line="560" w:lineRule="exact"/>
        <w:ind w:left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串通报价或弄虚作假或有其他违法行为的；</w:t>
      </w:r>
    </w:p>
    <w:p w14:paraId="0B8F1EB3">
      <w:pPr>
        <w:pStyle w:val="3"/>
        <w:keepNext w:val="0"/>
        <w:keepLines w:val="0"/>
        <w:pageBreakBefore w:val="0"/>
        <w:widowControl w:val="0"/>
        <w:numPr>
          <w:ilvl w:val="0"/>
          <w:numId w:val="5"/>
        </w:numPr>
        <w:kinsoku/>
        <w:wordWrap/>
        <w:overflowPunct/>
        <w:topLinePunct w:val="0"/>
        <w:autoSpaceDE/>
        <w:autoSpaceDN/>
        <w:bidi w:val="0"/>
        <w:adjustRightInd/>
        <w:snapToGrid/>
        <w:spacing w:line="560" w:lineRule="exact"/>
        <w:ind w:left="440" w:leftChars="20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不按磋商小组要求澄清、说明或补正的。</w:t>
      </w:r>
    </w:p>
    <w:p w14:paraId="44E88B6A">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4.1.3 磋商响应文件如果出现计算或表达上的错误，修正错误的原则如下：</w:t>
      </w:r>
    </w:p>
    <w:p w14:paraId="49C89A8B">
      <w:pPr>
        <w:pStyle w:val="3"/>
        <w:keepNext w:val="0"/>
        <w:keepLines w:val="0"/>
        <w:pageBreakBefore w:val="0"/>
        <w:widowControl w:val="0"/>
        <w:numPr>
          <w:ilvl w:val="0"/>
          <w:numId w:val="6"/>
        </w:numPr>
        <w:kinsoku/>
        <w:wordWrap/>
        <w:overflowPunct/>
        <w:topLinePunct w:val="0"/>
        <w:autoSpaceDE/>
        <w:autoSpaceDN/>
        <w:bidi w:val="0"/>
        <w:adjustRightInd/>
        <w:snapToGrid/>
        <w:spacing w:line="560" w:lineRule="exact"/>
        <w:ind w:left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报价的大写金额和小写金额不一致的，以大写金额为准；</w:t>
      </w:r>
    </w:p>
    <w:p w14:paraId="12A63D65">
      <w:pPr>
        <w:pStyle w:val="3"/>
        <w:keepNext w:val="0"/>
        <w:keepLines w:val="0"/>
        <w:pageBreakBefore w:val="0"/>
        <w:widowControl w:val="0"/>
        <w:numPr>
          <w:ilvl w:val="0"/>
          <w:numId w:val="6"/>
        </w:numPr>
        <w:kinsoku/>
        <w:wordWrap/>
        <w:overflowPunct/>
        <w:topLinePunct w:val="0"/>
        <w:autoSpaceDE/>
        <w:autoSpaceDN/>
        <w:bidi w:val="0"/>
        <w:adjustRightInd/>
        <w:snapToGrid/>
        <w:spacing w:line="560" w:lineRule="exact"/>
        <w:ind w:left="440" w:leftChars="20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总价金额与按单价汇总金额不一致的，以单价金额计算结果为准；</w:t>
      </w:r>
    </w:p>
    <w:p w14:paraId="5E5FE4C4">
      <w:pPr>
        <w:pStyle w:val="3"/>
        <w:keepNext w:val="0"/>
        <w:keepLines w:val="0"/>
        <w:pageBreakBefore w:val="0"/>
        <w:widowControl w:val="0"/>
        <w:numPr>
          <w:ilvl w:val="0"/>
          <w:numId w:val="6"/>
        </w:numPr>
        <w:kinsoku/>
        <w:wordWrap/>
        <w:overflowPunct/>
        <w:topLinePunct w:val="0"/>
        <w:autoSpaceDE/>
        <w:autoSpaceDN/>
        <w:bidi w:val="0"/>
        <w:adjustRightInd/>
        <w:snapToGrid/>
        <w:spacing w:line="560" w:lineRule="exact"/>
        <w:ind w:left="440" w:leftChars="20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单价金额小数点有明显错位的，应以总价为准，并修改单价；</w:t>
      </w:r>
    </w:p>
    <w:p w14:paraId="726B4B94">
      <w:pPr>
        <w:pStyle w:val="3"/>
        <w:keepNext w:val="0"/>
        <w:keepLines w:val="0"/>
        <w:pageBreakBefore w:val="0"/>
        <w:widowControl w:val="0"/>
        <w:numPr>
          <w:ilvl w:val="0"/>
          <w:numId w:val="6"/>
        </w:numPr>
        <w:kinsoku/>
        <w:wordWrap/>
        <w:overflowPunct/>
        <w:topLinePunct w:val="0"/>
        <w:autoSpaceDE/>
        <w:autoSpaceDN/>
        <w:bidi w:val="0"/>
        <w:adjustRightInd/>
        <w:snapToGrid/>
        <w:spacing w:line="560" w:lineRule="exact"/>
        <w:ind w:left="440" w:leftChars="200" w:firstLine="0" w:firstLineChars="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对不同文字文本磋商响应文件的解释发生异议的，以中文文本为准。</w:t>
      </w:r>
    </w:p>
    <w:p w14:paraId="2A494DE2">
      <w:pPr>
        <w:pStyle w:val="3"/>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（5）按上述修正错误的原则及方法调整或修正磋商响应文件的报价，经供应商同意后，调整后的报价对供应商起约束作用。如果供应商不接受修正后的报价，则其申请将被拒绝并且其保证金也将被没收。</w:t>
      </w:r>
    </w:p>
    <w:p w14:paraId="03AD7355">
      <w:pPr>
        <w:pStyle w:val="3"/>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4.2 磋商、比较与评价</w:t>
      </w:r>
    </w:p>
    <w:p w14:paraId="61A7ADDE">
      <w:pPr>
        <w:pStyle w:val="3"/>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4.2.1磋商小组所有成员集中与通过初审的单一供应商分别进行磋商。在磋商中，磋商的任何一方不得透露与磋商有关的其他供应商的技术资料、价格、折扣和其他信息。</w:t>
      </w:r>
    </w:p>
    <w:p w14:paraId="7A900F27">
      <w:pPr>
        <w:pStyle w:val="3"/>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4.2.2磋商文件有实质性变动的，磋商小组将以书面形式通知所有参加磋商的供应商。但不得对涉及竞争的公平、公正性内容进行修改、变动。</w:t>
      </w:r>
    </w:p>
    <w:p w14:paraId="73DEB1E7">
      <w:pPr>
        <w:pStyle w:val="3"/>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4.2.3为有助于对磋商响应文件的详细审查、评价和比较，磋商小组可要求对供应商分别进行技术询问、澄清，有关要求和答复均在现场进行。</w:t>
      </w:r>
    </w:p>
    <w:p w14:paraId="04794EBC">
      <w:pPr>
        <w:pStyle w:val="3"/>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4.2.4磋商小组在对磋商响应文件的有效性、完整性和响应程度进行审查时，可以要求供应商对磋商响应文件中含义不明确、同类问题表述不一致或者有明显文字和计算错误的内容等作出必要的澄清、说明或者更正。供应商的澄清、说明或者更正不得超出磋商响应文件的范围或者改变磋商响应文件的实质性内容。磋商小组不接受供应商主动提出的澄清、说明或补正。</w:t>
      </w:r>
    </w:p>
    <w:p w14:paraId="4513E16D">
      <w:pPr>
        <w:pStyle w:val="3"/>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4.2.5供应商的书面澄清、说明和补正属于磋商响应文件的组成部分。</w:t>
      </w:r>
    </w:p>
    <w:p w14:paraId="1D733D29">
      <w:pPr>
        <w:pStyle w:val="3"/>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4.2.6磋商小组对供应商提交的澄清、说明或补正有疑问的，可以要求供应商进一步澄清、说明或补正，直至满足磋商小组的要求。</w:t>
      </w:r>
    </w:p>
    <w:p w14:paraId="66AFD0D8">
      <w:pPr>
        <w:pStyle w:val="3"/>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4.3 评审结果</w:t>
      </w:r>
    </w:p>
    <w:p w14:paraId="5D6FAA8A">
      <w:pPr>
        <w:keepNext w:val="0"/>
        <w:keepLines w:val="0"/>
        <w:pageBreakBefore w:val="0"/>
        <w:widowControl/>
        <w:kinsoku/>
        <w:wordWrap/>
        <w:overflowPunct/>
        <w:topLinePunct w:val="0"/>
        <w:autoSpaceDE/>
        <w:autoSpaceDN/>
        <w:bidi w:val="0"/>
        <w:adjustRightInd w:val="0"/>
        <w:snapToGrid w:val="0"/>
        <w:spacing w:line="560" w:lineRule="exact"/>
        <w:textAlignment w:val="auto"/>
        <w:rPr>
          <w:rFonts w:hint="eastAsia" w:ascii="仿宋" w:hAnsi="仿宋" w:eastAsia="仿宋" w:cs="仿宋"/>
          <w:color w:val="auto"/>
          <w:highlight w:val="none"/>
        </w:rPr>
      </w:pP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kern w:val="44"/>
          <w:sz w:val="24"/>
          <w:szCs w:val="24"/>
          <w:highlight w:val="none"/>
          <w:lang w:val="en-US" w:eastAsia="zh-CN" w:bidi="ar-SA"/>
        </w:rPr>
        <w:t>磋商小组按磋商响应文件满足磋商文件全部实质性要求按综合评分得分由高到低的顺序推荐成交候选人。如出现供应商综合评分得分相同的，按供应商的最低投标报价由低到高顺序推荐成交候选人，如出现供应商的最低投标报价相同的，按技术部分得分由高到低顺序推荐成交候选人，并编写评审报告。</w:t>
      </w:r>
      <w:r>
        <w:rPr>
          <w:rFonts w:hint="eastAsia" w:ascii="仿宋" w:hAnsi="仿宋" w:eastAsia="仿宋" w:cs="仿宋"/>
          <w:b/>
          <w:bCs/>
          <w:color w:val="auto"/>
          <w:sz w:val="30"/>
          <w:szCs w:val="30"/>
          <w:highlight w:val="none"/>
        </w:rPr>
        <w:br w:type="page"/>
      </w:r>
    </w:p>
    <w:p w14:paraId="608AB291">
      <w:pPr>
        <w:pStyle w:val="3"/>
        <w:bidi w:val="0"/>
        <w:jc w:val="center"/>
        <w:rPr>
          <w:rFonts w:hint="eastAsia" w:ascii="仿宋" w:hAnsi="仿宋" w:eastAsia="仿宋" w:cs="仿宋"/>
          <w:color w:val="auto"/>
          <w:highlight w:val="none"/>
        </w:rPr>
      </w:pPr>
      <w:bookmarkStart w:id="140" w:name="_Toc2486"/>
      <w:r>
        <w:rPr>
          <w:rFonts w:hint="eastAsia" w:ascii="仿宋" w:hAnsi="仿宋" w:eastAsia="仿宋" w:cs="仿宋"/>
          <w:color w:val="auto"/>
          <w:highlight w:val="none"/>
        </w:rPr>
        <w:t xml:space="preserve"> </w:t>
      </w:r>
      <w:r>
        <w:rPr>
          <w:rFonts w:hint="eastAsia" w:ascii="仿宋" w:hAnsi="仿宋" w:eastAsia="仿宋" w:cs="仿宋"/>
          <w:color w:val="auto"/>
          <w:highlight w:val="none"/>
          <w:lang w:val="en-US" w:eastAsia="zh-CN"/>
        </w:rPr>
        <w:t xml:space="preserve">第四章 </w:t>
      </w:r>
      <w:r>
        <w:rPr>
          <w:rFonts w:hint="eastAsia" w:ascii="仿宋" w:hAnsi="仿宋" w:eastAsia="仿宋" w:cs="仿宋"/>
          <w:color w:val="auto"/>
          <w:highlight w:val="none"/>
        </w:rPr>
        <w:t>合同条款及格式</w:t>
      </w:r>
      <w:bookmarkEnd w:id="120"/>
      <w:bookmarkEnd w:id="121"/>
      <w:bookmarkEnd w:id="122"/>
      <w:bookmarkEnd w:id="123"/>
      <w:bookmarkEnd w:id="124"/>
      <w:bookmarkEnd w:id="140"/>
    </w:p>
    <w:p w14:paraId="0831443E">
      <w:pPr>
        <w:jc w:val="center"/>
        <w:rPr>
          <w:rFonts w:hint="eastAsia" w:ascii="仿宋" w:hAnsi="仿宋" w:eastAsia="仿宋" w:cs="仿宋"/>
          <w:b/>
          <w:sz w:val="28"/>
          <w:szCs w:val="28"/>
          <w:highlight w:val="none"/>
        </w:rPr>
      </w:pPr>
      <w:r>
        <w:rPr>
          <w:rFonts w:hint="eastAsia" w:ascii="仿宋" w:hAnsi="仿宋" w:eastAsia="仿宋" w:cs="仿宋"/>
          <w:b/>
          <w:bCs/>
          <w:color w:val="auto"/>
          <w:sz w:val="24"/>
          <w:highlight w:val="none"/>
        </w:rPr>
        <w:t>（仅供参考，具体内容与实际签订合同为准）</w:t>
      </w:r>
      <w:bookmarkStart w:id="141" w:name="_Toc7411"/>
      <w:bookmarkStart w:id="142" w:name="_Toc22930"/>
      <w:bookmarkStart w:id="143" w:name="_Toc530733568"/>
      <w:bookmarkStart w:id="144" w:name="_Toc1437"/>
      <w:bookmarkStart w:id="145" w:name="_Toc70"/>
    </w:p>
    <w:p w14:paraId="150B5A2D">
      <w:pPr>
        <w:spacing w:line="360" w:lineRule="auto"/>
        <w:rPr>
          <w:rFonts w:hint="eastAsia" w:ascii="仿宋" w:hAnsi="仿宋" w:eastAsia="仿宋" w:cs="仿宋"/>
          <w:b/>
          <w:bCs/>
          <w:sz w:val="28"/>
          <w:szCs w:val="28"/>
          <w:highlight w:val="none"/>
        </w:rPr>
      </w:pPr>
      <w:r>
        <w:rPr>
          <w:rFonts w:hint="eastAsia" w:ascii="仿宋" w:hAnsi="仿宋" w:eastAsia="仿宋" w:cs="仿宋"/>
          <w:b/>
          <w:sz w:val="28"/>
          <w:szCs w:val="28"/>
          <w:highlight w:val="none"/>
        </w:rPr>
        <w:t>（ＧＦ－2012－0202）</w:t>
      </w:r>
    </w:p>
    <w:p w14:paraId="0C32E3E1">
      <w:pPr>
        <w:spacing w:line="360" w:lineRule="auto"/>
        <w:jc w:val="both"/>
        <w:rPr>
          <w:rFonts w:hint="eastAsia" w:ascii="仿宋" w:hAnsi="仿宋" w:eastAsia="仿宋" w:cs="仿宋"/>
          <w:b/>
          <w:bCs/>
          <w:sz w:val="44"/>
          <w:szCs w:val="44"/>
          <w:highlight w:val="none"/>
        </w:rPr>
      </w:pPr>
    </w:p>
    <w:p w14:paraId="3DB066DB">
      <w:pPr>
        <w:spacing w:line="360" w:lineRule="auto"/>
        <w:jc w:val="both"/>
        <w:rPr>
          <w:rFonts w:hint="eastAsia" w:ascii="仿宋" w:hAnsi="仿宋" w:eastAsia="仿宋" w:cs="仿宋"/>
          <w:b/>
          <w:bCs/>
          <w:sz w:val="44"/>
          <w:szCs w:val="44"/>
          <w:highlight w:val="none"/>
        </w:rPr>
      </w:pPr>
    </w:p>
    <w:p w14:paraId="46B31063">
      <w:pPr>
        <w:spacing w:line="360" w:lineRule="auto"/>
        <w:jc w:val="center"/>
        <w:rPr>
          <w:rFonts w:hint="eastAsia" w:ascii="仿宋" w:hAnsi="仿宋" w:eastAsia="仿宋" w:cs="仿宋"/>
          <w:b/>
          <w:bCs/>
          <w:sz w:val="44"/>
          <w:szCs w:val="44"/>
          <w:highlight w:val="none"/>
        </w:rPr>
      </w:pPr>
      <w:r>
        <w:rPr>
          <w:rFonts w:hint="eastAsia" w:ascii="仿宋" w:hAnsi="仿宋" w:eastAsia="仿宋" w:cs="仿宋"/>
          <w:b/>
          <w:bCs/>
          <w:sz w:val="44"/>
          <w:szCs w:val="44"/>
          <w:highlight w:val="none"/>
        </w:rPr>
        <w:t>建设工程监理合同</w:t>
      </w:r>
    </w:p>
    <w:p w14:paraId="4242F5F5">
      <w:pPr>
        <w:spacing w:line="360" w:lineRule="auto"/>
        <w:jc w:val="center"/>
        <w:rPr>
          <w:rFonts w:hint="eastAsia" w:ascii="仿宋" w:hAnsi="仿宋" w:eastAsia="仿宋" w:cs="仿宋"/>
          <w:b/>
          <w:bCs/>
          <w:sz w:val="22"/>
          <w:szCs w:val="22"/>
          <w:highlight w:val="none"/>
        </w:rPr>
      </w:pPr>
      <w:r>
        <w:rPr>
          <w:rFonts w:hint="eastAsia" w:ascii="仿宋" w:hAnsi="仿宋" w:eastAsia="仿宋" w:cs="仿宋"/>
          <w:b/>
          <w:bCs/>
          <w:sz w:val="44"/>
          <w:szCs w:val="44"/>
          <w:highlight w:val="none"/>
          <w:lang w:eastAsia="zh-CN"/>
        </w:rPr>
        <w:t>（</w:t>
      </w:r>
      <w:r>
        <w:rPr>
          <w:rFonts w:hint="eastAsia" w:ascii="仿宋" w:hAnsi="仿宋" w:eastAsia="仿宋" w:cs="仿宋"/>
          <w:b/>
          <w:bCs/>
          <w:sz w:val="44"/>
          <w:szCs w:val="44"/>
          <w:highlight w:val="none"/>
        </w:rPr>
        <w:t>示范文本</w:t>
      </w:r>
      <w:r>
        <w:rPr>
          <w:rFonts w:hint="eastAsia" w:ascii="仿宋" w:hAnsi="仿宋" w:eastAsia="仿宋" w:cs="仿宋"/>
          <w:b/>
          <w:bCs/>
          <w:sz w:val="44"/>
          <w:szCs w:val="44"/>
          <w:highlight w:val="none"/>
          <w:lang w:eastAsia="zh-CN"/>
        </w:rPr>
        <w:t>）</w:t>
      </w:r>
    </w:p>
    <w:p w14:paraId="7680A644">
      <w:pPr>
        <w:spacing w:line="360" w:lineRule="auto"/>
        <w:jc w:val="both"/>
        <w:rPr>
          <w:rFonts w:hint="eastAsia" w:ascii="仿宋" w:hAnsi="仿宋" w:eastAsia="仿宋" w:cs="仿宋"/>
          <w:b/>
          <w:bCs/>
          <w:sz w:val="22"/>
          <w:szCs w:val="22"/>
          <w:highlight w:val="none"/>
        </w:rPr>
      </w:pPr>
    </w:p>
    <w:p w14:paraId="080E32EA">
      <w:pPr>
        <w:spacing w:line="360" w:lineRule="auto"/>
        <w:jc w:val="both"/>
        <w:rPr>
          <w:rFonts w:hint="eastAsia" w:ascii="仿宋" w:hAnsi="仿宋" w:eastAsia="仿宋" w:cs="仿宋"/>
          <w:b/>
          <w:bCs/>
          <w:sz w:val="22"/>
          <w:szCs w:val="22"/>
          <w:highlight w:val="none"/>
        </w:rPr>
      </w:pPr>
    </w:p>
    <w:p w14:paraId="0FDDF902">
      <w:pPr>
        <w:spacing w:line="360" w:lineRule="auto"/>
        <w:rPr>
          <w:rFonts w:hint="eastAsia" w:ascii="仿宋" w:hAnsi="仿宋" w:eastAsia="仿宋" w:cs="仿宋"/>
          <w:b/>
          <w:bCs/>
          <w:sz w:val="22"/>
          <w:szCs w:val="22"/>
          <w:highlight w:val="none"/>
        </w:rPr>
      </w:pPr>
    </w:p>
    <w:p w14:paraId="703C54A8">
      <w:pPr>
        <w:spacing w:line="360" w:lineRule="auto"/>
        <w:rPr>
          <w:rFonts w:hint="eastAsia" w:ascii="仿宋" w:hAnsi="仿宋" w:eastAsia="仿宋" w:cs="仿宋"/>
          <w:b/>
          <w:bCs/>
          <w:sz w:val="22"/>
          <w:szCs w:val="22"/>
          <w:highlight w:val="none"/>
        </w:rPr>
      </w:pPr>
    </w:p>
    <w:p w14:paraId="36BFBB4B">
      <w:pPr>
        <w:spacing w:line="360" w:lineRule="auto"/>
        <w:rPr>
          <w:rFonts w:hint="eastAsia" w:ascii="仿宋" w:hAnsi="仿宋" w:eastAsia="仿宋" w:cs="仿宋"/>
          <w:b/>
          <w:bCs/>
          <w:sz w:val="22"/>
          <w:szCs w:val="22"/>
          <w:highlight w:val="none"/>
        </w:rPr>
      </w:pPr>
    </w:p>
    <w:p w14:paraId="22B1DDAF">
      <w:pPr>
        <w:spacing w:line="360" w:lineRule="auto"/>
        <w:jc w:val="center"/>
        <w:rPr>
          <w:rFonts w:hint="eastAsia" w:ascii="仿宋" w:hAnsi="仿宋" w:eastAsia="仿宋" w:cs="仿宋"/>
          <w:b/>
          <w:sz w:val="20"/>
          <w:szCs w:val="22"/>
          <w:highlight w:val="none"/>
        </w:rPr>
      </w:pPr>
      <w:r>
        <w:rPr>
          <w:rFonts w:hint="eastAsia" w:ascii="仿宋" w:hAnsi="仿宋" w:eastAsia="仿宋" w:cs="仿宋"/>
          <w:b/>
          <w:bCs/>
          <w:sz w:val="28"/>
          <w:szCs w:val="28"/>
          <w:highlight w:val="none"/>
        </w:rPr>
        <w:t xml:space="preserve">  住房和城乡建设部</w:t>
      </w:r>
    </w:p>
    <w:p w14:paraId="3D383078">
      <w:pPr>
        <w:spacing w:line="360" w:lineRule="auto"/>
        <w:jc w:val="center"/>
        <w:rPr>
          <w:rFonts w:hint="eastAsia" w:ascii="仿宋" w:hAnsi="仿宋" w:eastAsia="仿宋" w:cs="仿宋"/>
          <w:b/>
          <w:sz w:val="28"/>
          <w:szCs w:val="28"/>
          <w:highlight w:val="none"/>
        </w:rPr>
      </w:pPr>
      <w:r>
        <w:rPr>
          <w:rFonts w:hint="eastAsia" w:ascii="仿宋" w:hAnsi="仿宋" w:eastAsia="仿宋" w:cs="仿宋"/>
          <w:b/>
          <w:sz w:val="20"/>
          <w:szCs w:val="22"/>
          <w:highlight w:val="none"/>
        </w:rPr>
        <w:t xml:space="preserve">                                                          </w:t>
      </w:r>
      <w:r>
        <w:rPr>
          <w:rFonts w:hint="eastAsia" w:ascii="仿宋" w:hAnsi="仿宋" w:eastAsia="仿宋" w:cs="仿宋"/>
          <w:b/>
          <w:sz w:val="28"/>
          <w:szCs w:val="28"/>
          <w:highlight w:val="none"/>
        </w:rPr>
        <w:t>制定</w:t>
      </w:r>
    </w:p>
    <w:p w14:paraId="43A1FC19">
      <w:pPr>
        <w:spacing w:line="360" w:lineRule="auto"/>
        <w:jc w:val="center"/>
        <w:rPr>
          <w:rFonts w:hint="eastAsia" w:ascii="仿宋" w:hAnsi="仿宋" w:eastAsia="仿宋" w:cs="仿宋"/>
          <w:b/>
          <w:sz w:val="20"/>
          <w:szCs w:val="22"/>
          <w:highlight w:val="none"/>
        </w:rPr>
      </w:pPr>
      <w:r>
        <w:rPr>
          <w:rFonts w:hint="eastAsia" w:ascii="仿宋" w:hAnsi="仿宋" w:eastAsia="仿宋" w:cs="仿宋"/>
          <w:b/>
          <w:bCs/>
          <w:sz w:val="28"/>
          <w:szCs w:val="28"/>
          <w:highlight w:val="none"/>
        </w:rPr>
        <w:t xml:space="preserve">   国家工商行政管理总局</w:t>
      </w:r>
    </w:p>
    <w:p w14:paraId="41A4DEF3">
      <w:pPr>
        <w:spacing w:line="360" w:lineRule="auto"/>
        <w:jc w:val="center"/>
        <w:rPr>
          <w:rFonts w:hint="eastAsia" w:ascii="仿宋" w:hAnsi="仿宋" w:eastAsia="仿宋" w:cs="仿宋"/>
          <w:b/>
          <w:bCs/>
          <w:sz w:val="22"/>
          <w:szCs w:val="22"/>
          <w:highlight w:val="none"/>
        </w:rPr>
      </w:pPr>
    </w:p>
    <w:p w14:paraId="4B331B95">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 </w:t>
      </w:r>
    </w:p>
    <w:p w14:paraId="34FE3E0A">
      <w:pPr>
        <w:tabs>
          <w:tab w:val="left" w:pos="3120"/>
        </w:tabs>
        <w:spacing w:line="360" w:lineRule="auto"/>
        <w:ind w:firstLine="1446" w:firstLineChars="600"/>
        <w:rPr>
          <w:rFonts w:hint="eastAsia" w:ascii="仿宋" w:hAnsi="仿宋" w:eastAsia="仿宋" w:cs="仿宋"/>
          <w:b/>
          <w:bCs/>
          <w:sz w:val="24"/>
          <w:szCs w:val="24"/>
          <w:highlight w:val="none"/>
        </w:rPr>
      </w:pPr>
    </w:p>
    <w:p w14:paraId="441C7B8F">
      <w:pPr>
        <w:tabs>
          <w:tab w:val="left" w:pos="3120"/>
        </w:tabs>
        <w:spacing w:line="360" w:lineRule="auto"/>
        <w:rPr>
          <w:rFonts w:hint="eastAsia" w:ascii="仿宋" w:hAnsi="仿宋" w:eastAsia="仿宋" w:cs="仿宋"/>
          <w:b/>
          <w:bCs/>
          <w:sz w:val="24"/>
          <w:szCs w:val="24"/>
          <w:highlight w:val="none"/>
        </w:rPr>
      </w:pPr>
    </w:p>
    <w:p w14:paraId="24942EC4">
      <w:pPr>
        <w:tabs>
          <w:tab w:val="left" w:pos="3120"/>
        </w:tabs>
        <w:spacing w:line="360" w:lineRule="auto"/>
        <w:ind w:firstLine="1446" w:firstLineChars="600"/>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第一部分  协议书</w:t>
      </w:r>
    </w:p>
    <w:p w14:paraId="618A03B5">
      <w:pPr>
        <w:adjustRightInd w:val="0"/>
        <w:snapToGrid w:val="0"/>
        <w:spacing w:line="360" w:lineRule="auto"/>
        <w:ind w:firstLine="602" w:firstLineChars="250"/>
        <w:rPr>
          <w:rFonts w:hint="eastAsia" w:ascii="仿宋" w:hAnsi="仿宋" w:eastAsia="仿宋" w:cs="仿宋"/>
          <w:b/>
          <w:sz w:val="24"/>
          <w:szCs w:val="24"/>
          <w:highlight w:val="none"/>
        </w:rPr>
      </w:pPr>
    </w:p>
    <w:p w14:paraId="4FF1E378">
      <w:pPr>
        <w:adjustRightInd w:val="0"/>
        <w:snapToGrid w:val="0"/>
        <w:spacing w:line="360" w:lineRule="auto"/>
        <w:ind w:firstLine="482" w:firstLineChars="200"/>
        <w:rPr>
          <w:rFonts w:hint="eastAsia" w:ascii="仿宋" w:hAnsi="仿宋" w:eastAsia="仿宋" w:cs="仿宋"/>
          <w:b/>
          <w:sz w:val="24"/>
          <w:szCs w:val="24"/>
          <w:highlight w:val="none"/>
        </w:rPr>
      </w:pPr>
      <w:r>
        <w:rPr>
          <w:rFonts w:hint="eastAsia" w:ascii="仿宋" w:hAnsi="仿宋" w:eastAsia="仿宋" w:cs="仿宋"/>
          <w:b/>
          <w:sz w:val="24"/>
          <w:szCs w:val="24"/>
          <w:highlight w:val="none"/>
        </w:rPr>
        <w:t>委托人（全称）：</w:t>
      </w:r>
      <w:r>
        <w:rPr>
          <w:rFonts w:hint="eastAsia" w:ascii="仿宋" w:hAnsi="仿宋" w:eastAsia="仿宋" w:cs="仿宋"/>
          <w:b/>
          <w:sz w:val="24"/>
          <w:szCs w:val="24"/>
          <w:highlight w:val="none"/>
          <w:u w:val="single"/>
        </w:rPr>
        <w:t xml:space="preserve">                                      </w:t>
      </w:r>
    </w:p>
    <w:p w14:paraId="37B74499">
      <w:pPr>
        <w:adjustRightInd w:val="0"/>
        <w:snapToGrid w:val="0"/>
        <w:spacing w:line="360" w:lineRule="auto"/>
        <w:ind w:firstLine="482" w:firstLineChars="200"/>
        <w:rPr>
          <w:rFonts w:hint="eastAsia" w:ascii="仿宋" w:hAnsi="仿宋" w:eastAsia="仿宋" w:cs="仿宋"/>
          <w:sz w:val="24"/>
          <w:szCs w:val="24"/>
          <w:highlight w:val="none"/>
        </w:rPr>
      </w:pPr>
      <w:r>
        <w:rPr>
          <w:rFonts w:hint="eastAsia" w:ascii="仿宋" w:hAnsi="仿宋" w:eastAsia="仿宋" w:cs="仿宋"/>
          <w:b/>
          <w:sz w:val="24"/>
          <w:szCs w:val="24"/>
          <w:highlight w:val="none"/>
        </w:rPr>
        <w:t>监理人（全称）：</w:t>
      </w:r>
      <w:r>
        <w:rPr>
          <w:rFonts w:hint="eastAsia" w:ascii="仿宋" w:hAnsi="仿宋" w:eastAsia="仿宋" w:cs="仿宋"/>
          <w:b/>
          <w:sz w:val="24"/>
          <w:szCs w:val="24"/>
          <w:highlight w:val="none"/>
          <w:u w:val="single"/>
        </w:rPr>
        <w:t xml:space="preserve">                                   </w:t>
      </w:r>
      <w:r>
        <w:rPr>
          <w:rFonts w:hint="eastAsia" w:ascii="仿宋" w:hAnsi="仿宋" w:eastAsia="仿宋" w:cs="仿宋"/>
          <w:sz w:val="24"/>
          <w:szCs w:val="24"/>
          <w:highlight w:val="none"/>
          <w:u w:val="single"/>
        </w:rPr>
        <w:t xml:space="preserve">   </w:t>
      </w:r>
    </w:p>
    <w:p w14:paraId="197E915F">
      <w:pPr>
        <w:adjustRightInd w:val="0"/>
        <w:snapToGrid w:val="0"/>
        <w:spacing w:line="360" w:lineRule="auto"/>
        <w:ind w:firstLine="480" w:firstLine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根据《中华人民共和国合同法》、《中华人民共和国建筑法》及其他有关法律、法规，遵循平等、自愿、公平和诚信的原则，双方就下述工程委托监理与相关服务事项协商一致，订立本合同。</w:t>
      </w:r>
    </w:p>
    <w:p w14:paraId="1D46E23D">
      <w:pPr>
        <w:spacing w:line="360" w:lineRule="auto"/>
        <w:ind w:firstLine="477" w:firstLineChars="198"/>
        <w:outlineLvl w:val="0"/>
        <w:rPr>
          <w:rFonts w:hint="eastAsia" w:ascii="仿宋" w:hAnsi="仿宋" w:eastAsia="仿宋" w:cs="仿宋"/>
          <w:b/>
          <w:sz w:val="24"/>
          <w:szCs w:val="24"/>
          <w:highlight w:val="none"/>
        </w:rPr>
      </w:pPr>
      <w:r>
        <w:rPr>
          <w:rFonts w:hint="eastAsia" w:ascii="仿宋" w:hAnsi="仿宋" w:eastAsia="仿宋" w:cs="仿宋"/>
          <w:b/>
          <w:sz w:val="24"/>
          <w:szCs w:val="24"/>
          <w:highlight w:val="none"/>
        </w:rPr>
        <w:t>一、工程概况</w:t>
      </w:r>
    </w:p>
    <w:p w14:paraId="12D1DE05">
      <w:pPr>
        <w:adjustRightInd w:val="0"/>
        <w:snapToGrid w:val="0"/>
        <w:spacing w:line="360" w:lineRule="auto"/>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1. 工程名称：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31005622">
      <w:pPr>
        <w:adjustRightInd w:val="0"/>
        <w:snapToGrid w:val="0"/>
        <w:spacing w:line="360" w:lineRule="auto"/>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2. 工程地点：</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50B4F0EC">
      <w:pPr>
        <w:adjustRightInd w:val="0"/>
        <w:snapToGrid w:val="0"/>
        <w:spacing w:line="360" w:lineRule="auto"/>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3. 工程规模：</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26FE2703">
      <w:pPr>
        <w:adjustRightInd w:val="0"/>
        <w:snapToGrid w:val="0"/>
        <w:spacing w:line="360" w:lineRule="auto"/>
        <w:ind w:firstLine="475" w:firstLineChars="198"/>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4. 工程</w:t>
      </w:r>
      <w:r>
        <w:rPr>
          <w:rFonts w:hint="eastAsia" w:ascii="仿宋" w:hAnsi="仿宋" w:eastAsia="仿宋" w:cs="仿宋"/>
          <w:kern w:val="0"/>
          <w:sz w:val="24"/>
          <w:szCs w:val="24"/>
          <w:highlight w:val="none"/>
        </w:rPr>
        <w:t>概算投资额或建筑安装工程费</w:t>
      </w:r>
      <w:r>
        <w:rPr>
          <w:rFonts w:hint="eastAsia" w:ascii="仿宋" w:hAnsi="仿宋" w:eastAsia="仿宋" w:cs="仿宋"/>
          <w:sz w:val="24"/>
          <w:szCs w:val="24"/>
          <w:highlight w:val="none"/>
        </w:rPr>
        <w:t>：</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6A2996A2">
      <w:pPr>
        <w:spacing w:line="360" w:lineRule="auto"/>
        <w:ind w:firstLine="477" w:firstLineChars="198"/>
        <w:rPr>
          <w:rFonts w:hint="eastAsia" w:ascii="仿宋" w:hAnsi="仿宋" w:eastAsia="仿宋" w:cs="仿宋"/>
          <w:b/>
          <w:sz w:val="24"/>
          <w:szCs w:val="24"/>
          <w:highlight w:val="none"/>
        </w:rPr>
      </w:pPr>
      <w:r>
        <w:rPr>
          <w:rFonts w:hint="eastAsia" w:ascii="仿宋" w:hAnsi="仿宋" w:eastAsia="仿宋" w:cs="仿宋"/>
          <w:b/>
          <w:sz w:val="24"/>
          <w:szCs w:val="24"/>
          <w:highlight w:val="none"/>
        </w:rPr>
        <w:t>二、词语限定</w:t>
      </w:r>
    </w:p>
    <w:p w14:paraId="1D2D2914">
      <w:pPr>
        <w:adjustRightInd w:val="0"/>
        <w:snapToGrid w:val="0"/>
        <w:spacing w:line="360" w:lineRule="auto"/>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协议书中相关词语的含义与通用条件中的定义与解释相同。</w:t>
      </w:r>
    </w:p>
    <w:p w14:paraId="3A70F738">
      <w:pPr>
        <w:spacing w:line="360" w:lineRule="auto"/>
        <w:ind w:firstLine="477" w:firstLineChars="198"/>
        <w:outlineLvl w:val="0"/>
        <w:rPr>
          <w:rFonts w:hint="eastAsia" w:ascii="仿宋" w:hAnsi="仿宋" w:eastAsia="仿宋" w:cs="仿宋"/>
          <w:b/>
          <w:sz w:val="24"/>
          <w:szCs w:val="24"/>
          <w:highlight w:val="none"/>
        </w:rPr>
      </w:pPr>
      <w:r>
        <w:rPr>
          <w:rFonts w:hint="eastAsia" w:ascii="仿宋" w:hAnsi="仿宋" w:eastAsia="仿宋" w:cs="仿宋"/>
          <w:b/>
          <w:sz w:val="24"/>
          <w:szCs w:val="24"/>
          <w:highlight w:val="none"/>
        </w:rPr>
        <w:t>三、组成本合同的文件</w:t>
      </w:r>
    </w:p>
    <w:p w14:paraId="1EBAB786">
      <w:pPr>
        <w:adjustRightInd w:val="0"/>
        <w:snapToGrid w:val="0"/>
        <w:spacing w:line="360" w:lineRule="auto"/>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1. 协议书；</w:t>
      </w:r>
    </w:p>
    <w:p w14:paraId="793ED7BD">
      <w:pPr>
        <w:adjustRightInd w:val="0"/>
        <w:snapToGrid w:val="0"/>
        <w:spacing w:line="360" w:lineRule="auto"/>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2. 中标通知书（适用于招标工程）或委托书（适用于非招标工程）；</w:t>
      </w:r>
    </w:p>
    <w:p w14:paraId="2B3F1346">
      <w:pPr>
        <w:adjustRightInd w:val="0"/>
        <w:snapToGrid w:val="0"/>
        <w:spacing w:line="360" w:lineRule="auto"/>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3. 投标文件（适用于招标工程）或监理与相关服务建议书（适用于非招标工程）；</w:t>
      </w:r>
    </w:p>
    <w:p w14:paraId="38EE5BD7">
      <w:pPr>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4. 专用条件；</w:t>
      </w:r>
    </w:p>
    <w:p w14:paraId="0EF97F99">
      <w:pPr>
        <w:adjustRightInd w:val="0"/>
        <w:snapToGrid w:val="0"/>
        <w:spacing w:line="360" w:lineRule="auto"/>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5. 通用条件；</w:t>
      </w:r>
    </w:p>
    <w:p w14:paraId="05F30632">
      <w:pPr>
        <w:adjustRightInd w:val="0"/>
        <w:snapToGrid w:val="0"/>
        <w:spacing w:line="360" w:lineRule="auto"/>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6. 附录，即：</w:t>
      </w:r>
    </w:p>
    <w:p w14:paraId="70F329FF">
      <w:pPr>
        <w:adjustRightInd w:val="0"/>
        <w:snapToGrid w:val="0"/>
        <w:spacing w:line="360" w:lineRule="auto"/>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附录A  相关服务的范围和内容</w:t>
      </w:r>
    </w:p>
    <w:p w14:paraId="73813B74">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附录B  委托人派遣的人员和提供的</w:t>
      </w:r>
      <w:r>
        <w:rPr>
          <w:rFonts w:hint="eastAsia" w:ascii="仿宋" w:hAnsi="仿宋" w:eastAsia="仿宋" w:cs="仿宋"/>
          <w:bCs/>
          <w:sz w:val="24"/>
          <w:szCs w:val="24"/>
          <w:highlight w:val="none"/>
        </w:rPr>
        <w:t>房屋、资料</w:t>
      </w:r>
      <w:r>
        <w:rPr>
          <w:rFonts w:hint="eastAsia" w:ascii="仿宋" w:hAnsi="仿宋" w:eastAsia="仿宋" w:cs="仿宋"/>
          <w:sz w:val="24"/>
          <w:szCs w:val="24"/>
          <w:highlight w:val="none"/>
        </w:rPr>
        <w:t>、设备</w:t>
      </w:r>
    </w:p>
    <w:p w14:paraId="7E81E8F0">
      <w:pPr>
        <w:adjustRightInd w:val="0"/>
        <w:snapToGrid w:val="0"/>
        <w:spacing w:line="360" w:lineRule="auto"/>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本合同签订后，双方依法签订的补充协议也是本合同文件的组成部分。</w:t>
      </w:r>
    </w:p>
    <w:p w14:paraId="6BAF8D99">
      <w:pPr>
        <w:spacing w:line="360" w:lineRule="auto"/>
        <w:ind w:firstLine="477" w:firstLineChars="198"/>
        <w:outlineLvl w:val="0"/>
        <w:rPr>
          <w:rFonts w:hint="eastAsia" w:ascii="仿宋" w:hAnsi="仿宋" w:eastAsia="仿宋" w:cs="仿宋"/>
          <w:b/>
          <w:sz w:val="24"/>
          <w:szCs w:val="24"/>
          <w:highlight w:val="none"/>
        </w:rPr>
      </w:pPr>
      <w:r>
        <w:rPr>
          <w:rFonts w:hint="eastAsia" w:ascii="仿宋" w:hAnsi="仿宋" w:eastAsia="仿宋" w:cs="仿宋"/>
          <w:b/>
          <w:sz w:val="24"/>
          <w:szCs w:val="24"/>
          <w:highlight w:val="none"/>
        </w:rPr>
        <w:t>四、总监理工程师</w:t>
      </w:r>
    </w:p>
    <w:p w14:paraId="6DBB4AD1">
      <w:pPr>
        <w:adjustRightInd w:val="0"/>
        <w:snapToGrid w:val="0"/>
        <w:spacing w:line="360" w:lineRule="auto"/>
        <w:ind w:firstLine="475" w:firstLineChars="198"/>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总监理工程师姓名：</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，身份证号码：</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，注册号：</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w:t>
      </w:r>
    </w:p>
    <w:p w14:paraId="02050AAC">
      <w:pPr>
        <w:spacing w:line="360" w:lineRule="auto"/>
        <w:ind w:firstLine="477" w:firstLineChars="198"/>
        <w:outlineLvl w:val="0"/>
        <w:rPr>
          <w:rFonts w:hint="eastAsia" w:ascii="仿宋" w:hAnsi="仿宋" w:eastAsia="仿宋" w:cs="仿宋"/>
          <w:b/>
          <w:sz w:val="24"/>
          <w:szCs w:val="24"/>
          <w:highlight w:val="none"/>
        </w:rPr>
      </w:pPr>
      <w:r>
        <w:rPr>
          <w:rFonts w:hint="eastAsia" w:ascii="仿宋" w:hAnsi="仿宋" w:eastAsia="仿宋" w:cs="仿宋"/>
          <w:b/>
          <w:sz w:val="24"/>
          <w:szCs w:val="24"/>
          <w:highlight w:val="none"/>
        </w:rPr>
        <w:t>五、签约酬金</w:t>
      </w:r>
    </w:p>
    <w:p w14:paraId="11EC0737">
      <w:pPr>
        <w:adjustRightInd w:val="0"/>
        <w:snapToGrid w:val="0"/>
        <w:spacing w:line="360" w:lineRule="auto"/>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签约酬金（大写）：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w:t>
      </w:r>
    </w:p>
    <w:p w14:paraId="23656087">
      <w:pPr>
        <w:adjustRightInd w:val="0"/>
        <w:snapToGrid w:val="0"/>
        <w:spacing w:line="360" w:lineRule="auto"/>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包括：</w:t>
      </w:r>
    </w:p>
    <w:p w14:paraId="6A7A12C4">
      <w:pPr>
        <w:adjustRightInd w:val="0"/>
        <w:snapToGrid w:val="0"/>
        <w:spacing w:line="360" w:lineRule="auto"/>
        <w:ind w:firstLine="600" w:firstLineChars="250"/>
        <w:rPr>
          <w:rFonts w:hint="eastAsia" w:ascii="仿宋" w:hAnsi="仿宋" w:eastAsia="仿宋" w:cs="仿宋"/>
          <w:sz w:val="24"/>
          <w:szCs w:val="24"/>
          <w:highlight w:val="none"/>
        </w:rPr>
      </w:pPr>
      <w:r>
        <w:rPr>
          <w:rFonts w:hint="eastAsia" w:ascii="仿宋" w:hAnsi="仿宋" w:eastAsia="仿宋" w:cs="仿宋"/>
          <w:sz w:val="24"/>
          <w:szCs w:val="24"/>
          <w:highlight w:val="none"/>
        </w:rPr>
        <w:t>1. 监理酬金：</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79743F12">
      <w:pPr>
        <w:adjustRightInd w:val="0"/>
        <w:snapToGrid w:val="0"/>
        <w:spacing w:line="360" w:lineRule="auto"/>
        <w:ind w:firstLine="600" w:firstLineChars="250"/>
        <w:rPr>
          <w:rFonts w:hint="eastAsia" w:ascii="仿宋" w:hAnsi="仿宋" w:eastAsia="仿宋" w:cs="仿宋"/>
          <w:sz w:val="24"/>
          <w:szCs w:val="24"/>
          <w:highlight w:val="none"/>
        </w:rPr>
      </w:pPr>
      <w:r>
        <w:rPr>
          <w:rFonts w:hint="eastAsia" w:ascii="仿宋" w:hAnsi="仿宋" w:eastAsia="仿宋" w:cs="仿宋"/>
          <w:sz w:val="24"/>
          <w:szCs w:val="24"/>
          <w:highlight w:val="none"/>
        </w:rPr>
        <w:t>2. 相关服务酬金：</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13868198">
      <w:pPr>
        <w:adjustRightInd w:val="0"/>
        <w:snapToGrid w:val="0"/>
        <w:spacing w:line="360" w:lineRule="auto"/>
        <w:ind w:firstLine="600" w:firstLineChars="250"/>
        <w:rPr>
          <w:rFonts w:hint="eastAsia" w:ascii="仿宋" w:hAnsi="仿宋" w:eastAsia="仿宋" w:cs="仿宋"/>
          <w:sz w:val="24"/>
          <w:szCs w:val="24"/>
          <w:highlight w:val="none"/>
        </w:rPr>
      </w:pPr>
      <w:r>
        <w:rPr>
          <w:rFonts w:hint="eastAsia" w:ascii="仿宋" w:hAnsi="仿宋" w:eastAsia="仿宋" w:cs="仿宋"/>
          <w:sz w:val="24"/>
          <w:szCs w:val="24"/>
          <w:highlight w:val="none"/>
        </w:rPr>
        <w:t>其中：</w:t>
      </w:r>
    </w:p>
    <w:p w14:paraId="1B1F0061">
      <w:pPr>
        <w:adjustRightInd w:val="0"/>
        <w:snapToGrid w:val="0"/>
        <w:spacing w:line="360" w:lineRule="auto"/>
        <w:ind w:firstLine="960" w:firstLineChars="400"/>
        <w:rPr>
          <w:rFonts w:hint="eastAsia" w:ascii="仿宋" w:hAnsi="仿宋" w:eastAsia="仿宋" w:cs="仿宋"/>
          <w:sz w:val="24"/>
          <w:szCs w:val="24"/>
          <w:highlight w:val="none"/>
        </w:rPr>
      </w:pPr>
      <w:r>
        <w:rPr>
          <w:rFonts w:hint="eastAsia" w:ascii="仿宋" w:hAnsi="仿宋" w:eastAsia="仿宋" w:cs="仿宋"/>
          <w:kern w:val="0"/>
          <w:sz w:val="24"/>
          <w:szCs w:val="24"/>
          <w:highlight w:val="none"/>
        </w:rPr>
        <w:t>（1）勘察阶段服务</w:t>
      </w:r>
      <w:r>
        <w:rPr>
          <w:rFonts w:hint="eastAsia" w:ascii="仿宋" w:hAnsi="仿宋" w:eastAsia="仿宋" w:cs="仿宋"/>
          <w:sz w:val="24"/>
          <w:szCs w:val="24"/>
          <w:highlight w:val="none"/>
        </w:rPr>
        <w:t>酬金：</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07FC8D82">
      <w:pPr>
        <w:adjustRightInd w:val="0"/>
        <w:snapToGrid w:val="0"/>
        <w:spacing w:line="360" w:lineRule="auto"/>
        <w:ind w:firstLine="960" w:firstLineChars="400"/>
        <w:rPr>
          <w:rFonts w:hint="eastAsia" w:ascii="仿宋" w:hAnsi="仿宋" w:eastAsia="仿宋" w:cs="仿宋"/>
          <w:sz w:val="24"/>
          <w:szCs w:val="24"/>
          <w:highlight w:val="none"/>
        </w:rPr>
      </w:pPr>
      <w:r>
        <w:rPr>
          <w:rFonts w:hint="eastAsia" w:ascii="仿宋" w:hAnsi="仿宋" w:eastAsia="仿宋" w:cs="仿宋"/>
          <w:kern w:val="0"/>
          <w:sz w:val="24"/>
          <w:szCs w:val="24"/>
          <w:highlight w:val="none"/>
        </w:rPr>
        <w:t>（2）设计阶段服务</w:t>
      </w:r>
      <w:r>
        <w:rPr>
          <w:rFonts w:hint="eastAsia" w:ascii="仿宋" w:hAnsi="仿宋" w:eastAsia="仿宋" w:cs="仿宋"/>
          <w:sz w:val="24"/>
          <w:szCs w:val="24"/>
          <w:highlight w:val="none"/>
        </w:rPr>
        <w:t>酬金：</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178B05BF">
      <w:pPr>
        <w:adjustRightInd w:val="0"/>
        <w:snapToGrid w:val="0"/>
        <w:spacing w:line="360" w:lineRule="auto"/>
        <w:ind w:firstLine="960" w:firstLineChars="400"/>
        <w:rPr>
          <w:rFonts w:hint="eastAsia" w:ascii="仿宋" w:hAnsi="仿宋" w:eastAsia="仿宋" w:cs="仿宋"/>
          <w:sz w:val="24"/>
          <w:szCs w:val="24"/>
          <w:highlight w:val="none"/>
        </w:rPr>
      </w:pPr>
      <w:r>
        <w:rPr>
          <w:rFonts w:hint="eastAsia" w:ascii="仿宋" w:hAnsi="仿宋" w:eastAsia="仿宋" w:cs="仿宋"/>
          <w:kern w:val="0"/>
          <w:sz w:val="24"/>
          <w:szCs w:val="24"/>
          <w:highlight w:val="none"/>
        </w:rPr>
        <w:t>（3）保修阶段服务</w:t>
      </w:r>
      <w:r>
        <w:rPr>
          <w:rFonts w:hint="eastAsia" w:ascii="仿宋" w:hAnsi="仿宋" w:eastAsia="仿宋" w:cs="仿宋"/>
          <w:sz w:val="24"/>
          <w:szCs w:val="24"/>
          <w:highlight w:val="none"/>
        </w:rPr>
        <w:t>酬金：</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0BC70BD4">
      <w:pPr>
        <w:adjustRightInd w:val="0"/>
        <w:snapToGrid w:val="0"/>
        <w:spacing w:line="360" w:lineRule="auto"/>
        <w:ind w:firstLine="960" w:firstLineChars="400"/>
        <w:rPr>
          <w:rFonts w:hint="eastAsia" w:ascii="仿宋" w:hAnsi="仿宋" w:eastAsia="仿宋" w:cs="仿宋"/>
          <w:sz w:val="24"/>
          <w:szCs w:val="24"/>
          <w:highlight w:val="none"/>
        </w:rPr>
      </w:pPr>
      <w:r>
        <w:rPr>
          <w:rFonts w:hint="eastAsia" w:ascii="仿宋" w:hAnsi="仿宋" w:eastAsia="仿宋" w:cs="仿宋"/>
          <w:kern w:val="0"/>
          <w:sz w:val="24"/>
          <w:szCs w:val="24"/>
          <w:highlight w:val="none"/>
        </w:rPr>
        <w:t>（4）</w:t>
      </w:r>
      <w:r>
        <w:rPr>
          <w:rFonts w:hint="eastAsia" w:ascii="仿宋" w:hAnsi="仿宋" w:eastAsia="仿宋" w:cs="仿宋"/>
          <w:sz w:val="24"/>
          <w:szCs w:val="24"/>
          <w:highlight w:val="none"/>
        </w:rPr>
        <w:t>其他相关服务酬金：</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6A78C445">
      <w:pPr>
        <w:spacing w:line="360" w:lineRule="auto"/>
        <w:ind w:firstLine="477" w:firstLineChars="198"/>
        <w:outlineLvl w:val="0"/>
        <w:rPr>
          <w:rFonts w:hint="eastAsia" w:ascii="仿宋" w:hAnsi="仿宋" w:eastAsia="仿宋" w:cs="仿宋"/>
          <w:b/>
          <w:sz w:val="24"/>
          <w:szCs w:val="24"/>
          <w:highlight w:val="none"/>
        </w:rPr>
      </w:pPr>
      <w:r>
        <w:rPr>
          <w:rFonts w:hint="eastAsia" w:ascii="仿宋" w:hAnsi="仿宋" w:eastAsia="仿宋" w:cs="仿宋"/>
          <w:b/>
          <w:sz w:val="24"/>
          <w:szCs w:val="24"/>
          <w:highlight w:val="none"/>
        </w:rPr>
        <w:t>六、期限</w:t>
      </w:r>
    </w:p>
    <w:p w14:paraId="3D1F8C03">
      <w:pPr>
        <w:adjustRightInd w:val="0"/>
        <w:snapToGrid w:val="0"/>
        <w:spacing w:line="360" w:lineRule="auto"/>
        <w:ind w:firstLine="600" w:firstLineChars="250"/>
        <w:jc w:val="left"/>
        <w:rPr>
          <w:rFonts w:hint="eastAsia" w:ascii="仿宋" w:hAnsi="仿宋" w:eastAsia="仿宋" w:cs="仿宋"/>
          <w:sz w:val="24"/>
          <w:szCs w:val="24"/>
          <w:highlight w:val="none"/>
        </w:rPr>
      </w:pPr>
      <w:r>
        <w:rPr>
          <w:rFonts w:hint="eastAsia" w:ascii="仿宋" w:hAnsi="仿宋" w:eastAsia="仿宋" w:cs="仿宋"/>
          <w:kern w:val="0"/>
          <w:sz w:val="24"/>
          <w:szCs w:val="24"/>
          <w:highlight w:val="none"/>
        </w:rPr>
        <w:t xml:space="preserve">1. </w:t>
      </w:r>
      <w:r>
        <w:rPr>
          <w:rFonts w:hint="eastAsia" w:ascii="仿宋" w:hAnsi="仿宋" w:eastAsia="仿宋" w:cs="仿宋"/>
          <w:sz w:val="24"/>
          <w:szCs w:val="24"/>
          <w:highlight w:val="none"/>
        </w:rPr>
        <w:t>监理期限：</w:t>
      </w:r>
    </w:p>
    <w:p w14:paraId="5AB5FCBF">
      <w:pPr>
        <w:adjustRightInd w:val="0"/>
        <w:snapToGrid w:val="0"/>
        <w:spacing w:line="360" w:lineRule="auto"/>
        <w:ind w:firstLine="600" w:firstLineChars="250"/>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自</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日始，至</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日止。</w:t>
      </w:r>
    </w:p>
    <w:p w14:paraId="03E099B4">
      <w:pPr>
        <w:adjustRightInd w:val="0"/>
        <w:snapToGrid w:val="0"/>
        <w:spacing w:line="360" w:lineRule="auto"/>
        <w:ind w:firstLine="600" w:firstLineChars="250"/>
        <w:rPr>
          <w:rFonts w:hint="eastAsia" w:ascii="仿宋" w:hAnsi="仿宋" w:eastAsia="仿宋" w:cs="仿宋"/>
          <w:sz w:val="24"/>
          <w:szCs w:val="24"/>
          <w:highlight w:val="none"/>
        </w:rPr>
      </w:pPr>
      <w:r>
        <w:rPr>
          <w:rFonts w:hint="eastAsia" w:ascii="仿宋" w:hAnsi="仿宋" w:eastAsia="仿宋" w:cs="仿宋"/>
          <w:kern w:val="0"/>
          <w:sz w:val="24"/>
          <w:szCs w:val="24"/>
          <w:highlight w:val="none"/>
        </w:rPr>
        <w:t xml:space="preserve">2. </w:t>
      </w:r>
      <w:r>
        <w:rPr>
          <w:rFonts w:hint="eastAsia" w:ascii="仿宋" w:hAnsi="仿宋" w:eastAsia="仿宋" w:cs="仿宋"/>
          <w:sz w:val="24"/>
          <w:szCs w:val="24"/>
          <w:highlight w:val="none"/>
        </w:rPr>
        <w:t>相关服务期限：</w:t>
      </w:r>
    </w:p>
    <w:p w14:paraId="7D76414D">
      <w:pPr>
        <w:adjustRightInd w:val="0"/>
        <w:snapToGrid w:val="0"/>
        <w:spacing w:line="360" w:lineRule="auto"/>
        <w:ind w:firstLine="600" w:firstLineChars="250"/>
        <w:rPr>
          <w:rFonts w:hint="eastAsia" w:ascii="仿宋" w:hAnsi="仿宋" w:eastAsia="仿宋" w:cs="仿宋"/>
          <w:sz w:val="24"/>
          <w:szCs w:val="24"/>
          <w:highlight w:val="none"/>
        </w:rPr>
      </w:pPr>
      <w:r>
        <w:rPr>
          <w:rFonts w:hint="eastAsia" w:ascii="仿宋" w:hAnsi="仿宋" w:eastAsia="仿宋" w:cs="仿宋"/>
          <w:kern w:val="0"/>
          <w:sz w:val="24"/>
          <w:szCs w:val="24"/>
          <w:highlight w:val="none"/>
        </w:rPr>
        <w:t>（1）勘察阶段</w:t>
      </w:r>
      <w:r>
        <w:rPr>
          <w:rFonts w:hint="eastAsia" w:ascii="仿宋" w:hAnsi="仿宋" w:eastAsia="仿宋" w:cs="仿宋"/>
          <w:sz w:val="24"/>
          <w:szCs w:val="24"/>
          <w:highlight w:val="none"/>
        </w:rPr>
        <w:t>服务期限自</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日始，至</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日止。</w:t>
      </w:r>
    </w:p>
    <w:p w14:paraId="17D41674">
      <w:pPr>
        <w:adjustRightInd w:val="0"/>
        <w:snapToGrid w:val="0"/>
        <w:spacing w:line="360" w:lineRule="auto"/>
        <w:ind w:firstLine="600" w:firstLineChars="250"/>
        <w:rPr>
          <w:rFonts w:hint="eastAsia" w:ascii="仿宋" w:hAnsi="仿宋" w:eastAsia="仿宋" w:cs="仿宋"/>
          <w:sz w:val="24"/>
          <w:szCs w:val="24"/>
          <w:highlight w:val="none"/>
        </w:rPr>
      </w:pPr>
      <w:r>
        <w:rPr>
          <w:rFonts w:hint="eastAsia" w:ascii="仿宋" w:hAnsi="仿宋" w:eastAsia="仿宋" w:cs="仿宋"/>
          <w:kern w:val="0"/>
          <w:sz w:val="24"/>
          <w:szCs w:val="24"/>
          <w:highlight w:val="none"/>
        </w:rPr>
        <w:t>（2）设计阶段</w:t>
      </w:r>
      <w:r>
        <w:rPr>
          <w:rFonts w:hint="eastAsia" w:ascii="仿宋" w:hAnsi="仿宋" w:eastAsia="仿宋" w:cs="仿宋"/>
          <w:sz w:val="24"/>
          <w:szCs w:val="24"/>
          <w:highlight w:val="none"/>
        </w:rPr>
        <w:t>服务期限自</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日始，至</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日止。</w:t>
      </w:r>
    </w:p>
    <w:p w14:paraId="3F8680D1">
      <w:pPr>
        <w:adjustRightInd w:val="0"/>
        <w:snapToGrid w:val="0"/>
        <w:spacing w:line="360" w:lineRule="auto"/>
        <w:ind w:firstLine="600" w:firstLineChars="250"/>
        <w:rPr>
          <w:rFonts w:hint="eastAsia" w:ascii="仿宋" w:hAnsi="仿宋" w:eastAsia="仿宋" w:cs="仿宋"/>
          <w:sz w:val="24"/>
          <w:szCs w:val="24"/>
          <w:highlight w:val="none"/>
        </w:rPr>
      </w:pPr>
      <w:r>
        <w:rPr>
          <w:rFonts w:hint="eastAsia" w:ascii="仿宋" w:hAnsi="仿宋" w:eastAsia="仿宋" w:cs="仿宋"/>
          <w:kern w:val="0"/>
          <w:sz w:val="24"/>
          <w:szCs w:val="24"/>
          <w:highlight w:val="none"/>
        </w:rPr>
        <w:t>（3）保修阶段</w:t>
      </w:r>
      <w:r>
        <w:rPr>
          <w:rFonts w:hint="eastAsia" w:ascii="仿宋" w:hAnsi="仿宋" w:eastAsia="仿宋" w:cs="仿宋"/>
          <w:sz w:val="24"/>
          <w:szCs w:val="24"/>
          <w:highlight w:val="none"/>
        </w:rPr>
        <w:t>服务期限自</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日始，至</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日止。</w:t>
      </w:r>
    </w:p>
    <w:p w14:paraId="01FCAD96">
      <w:pPr>
        <w:adjustRightInd w:val="0"/>
        <w:snapToGrid w:val="0"/>
        <w:spacing w:line="360" w:lineRule="auto"/>
        <w:ind w:firstLine="600" w:firstLineChars="250"/>
        <w:rPr>
          <w:rFonts w:hint="eastAsia" w:ascii="仿宋" w:hAnsi="仿宋" w:eastAsia="仿宋" w:cs="仿宋"/>
          <w:sz w:val="24"/>
          <w:szCs w:val="24"/>
          <w:highlight w:val="none"/>
        </w:rPr>
      </w:pPr>
      <w:r>
        <w:rPr>
          <w:rFonts w:hint="eastAsia" w:ascii="仿宋" w:hAnsi="仿宋" w:eastAsia="仿宋" w:cs="仿宋"/>
          <w:kern w:val="0"/>
          <w:sz w:val="24"/>
          <w:szCs w:val="24"/>
          <w:highlight w:val="none"/>
        </w:rPr>
        <w:t>（4）</w:t>
      </w:r>
      <w:r>
        <w:rPr>
          <w:rFonts w:hint="eastAsia" w:ascii="仿宋" w:hAnsi="仿宋" w:eastAsia="仿宋" w:cs="仿宋"/>
          <w:sz w:val="24"/>
          <w:szCs w:val="24"/>
          <w:highlight w:val="none"/>
        </w:rPr>
        <w:t>其他相关服务期限自</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日始，至</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日止。</w:t>
      </w:r>
    </w:p>
    <w:p w14:paraId="463D21FF">
      <w:pPr>
        <w:spacing w:line="360" w:lineRule="auto"/>
        <w:ind w:firstLine="477" w:firstLineChars="198"/>
        <w:outlineLvl w:val="0"/>
        <w:rPr>
          <w:rFonts w:hint="eastAsia" w:ascii="仿宋" w:hAnsi="仿宋" w:eastAsia="仿宋" w:cs="仿宋"/>
          <w:b/>
          <w:sz w:val="24"/>
          <w:szCs w:val="24"/>
          <w:highlight w:val="none"/>
        </w:rPr>
      </w:pPr>
      <w:r>
        <w:rPr>
          <w:rFonts w:hint="eastAsia" w:ascii="仿宋" w:hAnsi="仿宋" w:eastAsia="仿宋" w:cs="仿宋"/>
          <w:b/>
          <w:sz w:val="24"/>
          <w:szCs w:val="24"/>
          <w:highlight w:val="none"/>
        </w:rPr>
        <w:t>七、双方承诺</w:t>
      </w:r>
    </w:p>
    <w:p w14:paraId="2F9D196C">
      <w:pPr>
        <w:spacing w:line="360" w:lineRule="auto"/>
        <w:ind w:firstLine="475" w:firstLineChars="198"/>
        <w:outlineLvl w:val="0"/>
        <w:rPr>
          <w:rFonts w:hint="eastAsia" w:ascii="仿宋" w:hAnsi="仿宋" w:eastAsia="仿宋" w:cs="仿宋"/>
          <w:b/>
          <w:sz w:val="24"/>
          <w:szCs w:val="24"/>
          <w:highlight w:val="none"/>
        </w:rPr>
      </w:pPr>
      <w:r>
        <w:rPr>
          <w:rFonts w:hint="eastAsia" w:ascii="仿宋" w:hAnsi="仿宋" w:eastAsia="仿宋" w:cs="仿宋"/>
          <w:sz w:val="24"/>
          <w:szCs w:val="24"/>
          <w:highlight w:val="none"/>
        </w:rPr>
        <w:t>1. 监理人向委托人承诺，按照本合同约定</w:t>
      </w:r>
      <w:r>
        <w:rPr>
          <w:rFonts w:hint="eastAsia" w:ascii="仿宋" w:hAnsi="仿宋" w:eastAsia="仿宋" w:cs="仿宋"/>
          <w:kern w:val="0"/>
          <w:sz w:val="24"/>
          <w:szCs w:val="24"/>
          <w:highlight w:val="none"/>
        </w:rPr>
        <w:t>提供</w:t>
      </w:r>
      <w:r>
        <w:rPr>
          <w:rFonts w:hint="eastAsia" w:ascii="仿宋" w:hAnsi="仿宋" w:eastAsia="仿宋" w:cs="仿宋"/>
          <w:sz w:val="24"/>
          <w:szCs w:val="24"/>
          <w:highlight w:val="none"/>
        </w:rPr>
        <w:t>监理与相关服务。</w:t>
      </w:r>
    </w:p>
    <w:p w14:paraId="680113D7">
      <w:pPr>
        <w:spacing w:line="360" w:lineRule="auto"/>
        <w:ind w:firstLine="475" w:firstLineChars="198"/>
        <w:outlineLvl w:val="0"/>
        <w:rPr>
          <w:rFonts w:hint="eastAsia" w:ascii="仿宋" w:hAnsi="仿宋" w:eastAsia="仿宋" w:cs="仿宋"/>
          <w:sz w:val="24"/>
          <w:szCs w:val="24"/>
          <w:highlight w:val="none"/>
        </w:rPr>
      </w:pPr>
      <w:r>
        <w:rPr>
          <w:rFonts w:hint="eastAsia" w:ascii="仿宋" w:hAnsi="仿宋" w:eastAsia="仿宋" w:cs="仿宋"/>
          <w:sz w:val="24"/>
          <w:szCs w:val="24"/>
          <w:highlight w:val="none"/>
        </w:rPr>
        <w:t>2. 委托人向监理人承诺，按照本合同约定派遣相应的人员，提供</w:t>
      </w:r>
      <w:r>
        <w:rPr>
          <w:rFonts w:hint="eastAsia" w:ascii="仿宋" w:hAnsi="仿宋" w:eastAsia="仿宋" w:cs="仿宋"/>
          <w:bCs/>
          <w:sz w:val="24"/>
          <w:szCs w:val="24"/>
          <w:highlight w:val="none"/>
        </w:rPr>
        <w:t>房屋、资料</w:t>
      </w:r>
      <w:r>
        <w:rPr>
          <w:rFonts w:hint="eastAsia" w:ascii="仿宋" w:hAnsi="仿宋" w:eastAsia="仿宋" w:cs="仿宋"/>
          <w:sz w:val="24"/>
          <w:szCs w:val="24"/>
          <w:highlight w:val="none"/>
        </w:rPr>
        <w:t>、设备，并按本合同约定支付酬金。</w:t>
      </w:r>
    </w:p>
    <w:p w14:paraId="65562511">
      <w:pPr>
        <w:spacing w:line="360" w:lineRule="auto"/>
        <w:ind w:firstLine="477" w:firstLineChars="198"/>
        <w:outlineLvl w:val="0"/>
        <w:rPr>
          <w:rFonts w:hint="eastAsia" w:ascii="仿宋" w:hAnsi="仿宋" w:eastAsia="仿宋" w:cs="仿宋"/>
          <w:b/>
          <w:sz w:val="24"/>
          <w:szCs w:val="24"/>
          <w:highlight w:val="none"/>
        </w:rPr>
      </w:pPr>
      <w:r>
        <w:rPr>
          <w:rFonts w:hint="eastAsia" w:ascii="仿宋" w:hAnsi="仿宋" w:eastAsia="仿宋" w:cs="仿宋"/>
          <w:b/>
          <w:sz w:val="24"/>
          <w:szCs w:val="24"/>
          <w:highlight w:val="none"/>
        </w:rPr>
        <w:t>八、合同订立</w:t>
      </w:r>
    </w:p>
    <w:p w14:paraId="15744069">
      <w:pPr>
        <w:adjustRightInd w:val="0"/>
        <w:snapToGrid w:val="0"/>
        <w:spacing w:line="360" w:lineRule="auto"/>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1. 订立时间：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14:paraId="1FEDFCCC">
      <w:pPr>
        <w:adjustRightInd w:val="0"/>
        <w:snapToGrid w:val="0"/>
        <w:spacing w:line="360" w:lineRule="auto"/>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2. 订立地点：</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6FBCFFA8">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 本合同一式</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份，具有同等法律效力，双方各执</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份。</w:t>
      </w:r>
    </w:p>
    <w:p w14:paraId="1BF30DA3">
      <w:pPr>
        <w:adjustRightInd w:val="0"/>
        <w:snapToGrid w:val="0"/>
        <w:spacing w:line="360" w:lineRule="auto"/>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委托人：</w:t>
      </w:r>
      <w:r>
        <w:rPr>
          <w:rFonts w:hint="eastAsia" w:ascii="仿宋" w:hAnsi="仿宋" w:eastAsia="仿宋" w:cs="仿宋"/>
          <w:sz w:val="24"/>
          <w:szCs w:val="24"/>
          <w:highlight w:val="none"/>
          <w:u w:val="single"/>
        </w:rPr>
        <w:t xml:space="preserve">   （盖章）     </w:t>
      </w:r>
      <w:r>
        <w:rPr>
          <w:rFonts w:hint="eastAsia" w:ascii="仿宋" w:hAnsi="仿宋" w:eastAsia="仿宋" w:cs="仿宋"/>
          <w:sz w:val="24"/>
          <w:szCs w:val="24"/>
          <w:highlight w:val="none"/>
        </w:rPr>
        <w:t xml:space="preserve">   监理人：</w:t>
      </w:r>
      <w:r>
        <w:rPr>
          <w:rFonts w:hint="eastAsia" w:ascii="仿宋" w:hAnsi="仿宋" w:eastAsia="仿宋" w:cs="仿宋"/>
          <w:sz w:val="24"/>
          <w:szCs w:val="24"/>
          <w:highlight w:val="none"/>
          <w:u w:val="single"/>
        </w:rPr>
        <w:t xml:space="preserve">   （盖章）    </w:t>
      </w:r>
    </w:p>
    <w:p w14:paraId="5647B232">
      <w:pPr>
        <w:adjustRightInd w:val="0"/>
        <w:snapToGrid w:val="0"/>
        <w:spacing w:line="360" w:lineRule="auto"/>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住所：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住所： </w:t>
      </w:r>
      <w:r>
        <w:rPr>
          <w:rFonts w:hint="eastAsia" w:ascii="仿宋" w:hAnsi="仿宋" w:eastAsia="仿宋" w:cs="仿宋"/>
          <w:sz w:val="24"/>
          <w:szCs w:val="24"/>
          <w:highlight w:val="none"/>
          <w:u w:val="single"/>
        </w:rPr>
        <w:t xml:space="preserve">                      </w:t>
      </w:r>
    </w:p>
    <w:p w14:paraId="43EBF1D1">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邮政编码：</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邮政编码：</w:t>
      </w:r>
      <w:r>
        <w:rPr>
          <w:rFonts w:hint="eastAsia" w:ascii="仿宋" w:hAnsi="仿宋" w:eastAsia="仿宋" w:cs="仿宋"/>
          <w:sz w:val="24"/>
          <w:szCs w:val="24"/>
          <w:highlight w:val="none"/>
          <w:u w:val="single"/>
        </w:rPr>
        <w:t xml:space="preserve">                  </w:t>
      </w:r>
    </w:p>
    <w:p w14:paraId="0F6C8BAA">
      <w:pPr>
        <w:adjustRightInd w:val="0"/>
        <w:snapToGrid w:val="0"/>
        <w:spacing w:line="360" w:lineRule="auto"/>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法定代表人或其授权       法定代表人或其授权</w:t>
      </w:r>
    </w:p>
    <w:p w14:paraId="1A271C99">
      <w:pPr>
        <w:adjustRightInd w:val="0"/>
        <w:snapToGrid w:val="0"/>
        <w:spacing w:line="360" w:lineRule="auto"/>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的代理人：</w:t>
      </w:r>
      <w:r>
        <w:rPr>
          <w:rFonts w:hint="eastAsia" w:ascii="仿宋" w:hAnsi="仿宋" w:eastAsia="仿宋" w:cs="仿宋"/>
          <w:sz w:val="24"/>
          <w:szCs w:val="24"/>
          <w:highlight w:val="none"/>
          <w:u w:val="single"/>
        </w:rPr>
        <w:t xml:space="preserve">（签字）      </w:t>
      </w:r>
      <w:r>
        <w:rPr>
          <w:rFonts w:hint="eastAsia" w:ascii="仿宋" w:hAnsi="仿宋" w:eastAsia="仿宋" w:cs="仿宋"/>
          <w:sz w:val="24"/>
          <w:szCs w:val="24"/>
          <w:highlight w:val="none"/>
        </w:rPr>
        <w:t xml:space="preserve">  的代理人：</w:t>
      </w:r>
      <w:r>
        <w:rPr>
          <w:rFonts w:hint="eastAsia" w:ascii="仿宋" w:hAnsi="仿宋" w:eastAsia="仿宋" w:cs="仿宋"/>
          <w:sz w:val="24"/>
          <w:szCs w:val="24"/>
          <w:highlight w:val="none"/>
          <w:u w:val="single"/>
        </w:rPr>
        <w:t xml:space="preserve">（签字）          </w:t>
      </w:r>
    </w:p>
    <w:p w14:paraId="7B790880">
      <w:pPr>
        <w:adjustRightInd w:val="0"/>
        <w:snapToGrid w:val="0"/>
        <w:spacing w:line="360" w:lineRule="auto"/>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开户银行：</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开户银行：</w:t>
      </w:r>
      <w:r>
        <w:rPr>
          <w:rFonts w:hint="eastAsia" w:ascii="仿宋" w:hAnsi="仿宋" w:eastAsia="仿宋" w:cs="仿宋"/>
          <w:sz w:val="24"/>
          <w:szCs w:val="24"/>
          <w:highlight w:val="none"/>
          <w:u w:val="single"/>
        </w:rPr>
        <w:t xml:space="preserve">                  </w:t>
      </w:r>
    </w:p>
    <w:p w14:paraId="113E28DF">
      <w:pPr>
        <w:adjustRightInd w:val="0"/>
        <w:snapToGrid w:val="0"/>
        <w:spacing w:line="360" w:lineRule="auto"/>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账号：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账号：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u w:val="single"/>
        </w:rPr>
        <w:t xml:space="preserve"> </w:t>
      </w:r>
    </w:p>
    <w:p w14:paraId="784837F3">
      <w:pPr>
        <w:adjustRightInd w:val="0"/>
        <w:snapToGrid w:val="0"/>
        <w:spacing w:line="360" w:lineRule="auto"/>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电话：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电话：</w:t>
      </w:r>
      <w:r>
        <w:rPr>
          <w:rFonts w:hint="eastAsia" w:ascii="仿宋" w:hAnsi="仿宋" w:eastAsia="仿宋" w:cs="仿宋"/>
          <w:sz w:val="24"/>
          <w:szCs w:val="24"/>
          <w:highlight w:val="none"/>
          <w:u w:val="single"/>
        </w:rPr>
        <w:t xml:space="preserve">                       </w:t>
      </w:r>
    </w:p>
    <w:p w14:paraId="0FA8102B">
      <w:pPr>
        <w:adjustRightInd w:val="0"/>
        <w:snapToGrid w:val="0"/>
        <w:spacing w:line="360" w:lineRule="auto"/>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传真：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传真：</w:t>
      </w:r>
      <w:r>
        <w:rPr>
          <w:rFonts w:hint="eastAsia" w:ascii="仿宋" w:hAnsi="仿宋" w:eastAsia="仿宋" w:cs="仿宋"/>
          <w:sz w:val="24"/>
          <w:szCs w:val="24"/>
          <w:highlight w:val="none"/>
          <w:u w:val="single"/>
        </w:rPr>
        <w:t xml:space="preserve">                       </w:t>
      </w:r>
    </w:p>
    <w:p w14:paraId="485FAF87">
      <w:pPr>
        <w:adjustRightInd w:val="0"/>
        <w:snapToGrid w:val="0"/>
        <w:spacing w:line="360" w:lineRule="auto"/>
        <w:ind w:firstLine="475" w:firstLineChars="198"/>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电子邮箱：</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电子邮箱：</w:t>
      </w:r>
      <w:r>
        <w:rPr>
          <w:rFonts w:hint="eastAsia" w:ascii="仿宋" w:hAnsi="仿宋" w:eastAsia="仿宋" w:cs="仿宋"/>
          <w:sz w:val="24"/>
          <w:szCs w:val="24"/>
          <w:highlight w:val="none"/>
          <w:u w:val="single"/>
        </w:rPr>
        <w:t xml:space="preserve">                  </w:t>
      </w:r>
    </w:p>
    <w:p w14:paraId="7D3ECA62">
      <w:pPr>
        <w:pageBreakBefore/>
        <w:spacing w:line="360" w:lineRule="auto"/>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第二部分  通用条件</w:t>
      </w:r>
    </w:p>
    <w:p w14:paraId="4CC6F061">
      <w:pPr>
        <w:spacing w:line="360" w:lineRule="auto"/>
        <w:jc w:val="center"/>
        <w:rPr>
          <w:rFonts w:hint="eastAsia" w:ascii="仿宋" w:hAnsi="仿宋" w:eastAsia="仿宋" w:cs="仿宋"/>
          <w:b/>
          <w:sz w:val="24"/>
          <w:szCs w:val="24"/>
          <w:highlight w:val="none"/>
        </w:rPr>
      </w:pPr>
    </w:p>
    <w:p w14:paraId="01F96DD4">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1. 定义与解释</w:t>
      </w:r>
    </w:p>
    <w:p w14:paraId="5AC30033">
      <w:pPr>
        <w:spacing w:line="360" w:lineRule="auto"/>
        <w:ind w:left="220" w:leftChars="100"/>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1.1 </w:t>
      </w:r>
      <w:r>
        <w:rPr>
          <w:rFonts w:hint="eastAsia" w:ascii="仿宋" w:hAnsi="仿宋" w:eastAsia="仿宋" w:cs="仿宋"/>
          <w:bCs/>
          <w:sz w:val="24"/>
          <w:szCs w:val="24"/>
          <w:highlight w:val="none"/>
        </w:rPr>
        <w:t>定义</w:t>
      </w:r>
    </w:p>
    <w:p w14:paraId="47080A8E">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除根据上下文另有其意义外，组成本合同的全部文件中的下列名词和用语应具有本款所赋予的含义：</w:t>
      </w:r>
    </w:p>
    <w:p w14:paraId="32854532">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1.1.1 “工程”是指按照本合同约定实施监理与相关服务的建设工程。</w:t>
      </w:r>
    </w:p>
    <w:p w14:paraId="11BA13F7">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1.1.2 “委托人”是指本合同中委托监理与相关服务的一方，及其合法的继承人或受让人。</w:t>
      </w:r>
    </w:p>
    <w:p w14:paraId="54DB1A32">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1.1.3 “监理人”是指本合同中提供监理与相关服务的一方，及其合法的继承人。</w:t>
      </w:r>
    </w:p>
    <w:p w14:paraId="3646F8B4">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1.1.4 “承包人”是指在工程范围内与委托人签订勘察、设计、施工等有关合同的当事人，及其合法的继承人。</w:t>
      </w:r>
    </w:p>
    <w:p w14:paraId="4AC6FEE3">
      <w:pPr>
        <w:pStyle w:val="11"/>
        <w:spacing w:line="360" w:lineRule="auto"/>
        <w:ind w:firstLine="570"/>
        <w:rPr>
          <w:rFonts w:hint="eastAsia" w:ascii="仿宋" w:hAnsi="仿宋" w:eastAsia="仿宋" w:cs="仿宋"/>
          <w:sz w:val="24"/>
          <w:szCs w:val="24"/>
          <w:highlight w:val="none"/>
        </w:rPr>
      </w:pPr>
      <w:r>
        <w:rPr>
          <w:rFonts w:hint="eastAsia" w:ascii="仿宋" w:hAnsi="仿宋" w:eastAsia="仿宋" w:cs="仿宋"/>
          <w:sz w:val="24"/>
          <w:szCs w:val="24"/>
          <w:highlight w:val="none"/>
        </w:rPr>
        <w:t>1.1.5 “监理”是指监理人受委托人的委托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p>
    <w:p w14:paraId="0701E2BF">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1.1.6 “相关服务”是指监理人受委托人的委托 ，按照本合同约定，在勘察、设计、保修等阶段提供的服务活动。</w:t>
      </w:r>
    </w:p>
    <w:p w14:paraId="7E1D5981">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1.1.7 “正常工作”指本合同订立时通用条件和专用条件中约定的监理人的</w:t>
      </w:r>
      <w:r>
        <w:rPr>
          <w:rFonts w:hint="eastAsia" w:ascii="仿宋" w:hAnsi="仿宋" w:eastAsia="仿宋" w:cs="仿宋"/>
          <w:color w:val="000000"/>
          <w:sz w:val="24"/>
          <w:szCs w:val="24"/>
          <w:highlight w:val="none"/>
        </w:rPr>
        <w:t>工作</w:t>
      </w:r>
      <w:r>
        <w:rPr>
          <w:rFonts w:hint="eastAsia" w:ascii="仿宋" w:hAnsi="仿宋" w:eastAsia="仿宋" w:cs="仿宋"/>
          <w:sz w:val="24"/>
          <w:szCs w:val="24"/>
          <w:highlight w:val="none"/>
        </w:rPr>
        <w:t>。</w:t>
      </w:r>
    </w:p>
    <w:p w14:paraId="6B37DB57">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1.1.8 “附加工作”是指本合同约定的正常工作以外监理人的工作。</w:t>
      </w:r>
    </w:p>
    <w:p w14:paraId="23F4F7D2">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1.1.9 “项目监理机构”是指监理人派驻工程负责履行本合同的组织机构。</w:t>
      </w:r>
    </w:p>
    <w:p w14:paraId="1028372B">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1.1.10 “总监理工程师”是指由监理人的法定代表人书面授权，全面负责履行本合同、主持项目监理机构工作的注册监理工程师。</w:t>
      </w:r>
    </w:p>
    <w:p w14:paraId="356EBFA8">
      <w:pPr>
        <w:adjustRightInd w:val="0"/>
        <w:snapToGrid w:val="0"/>
        <w:spacing w:line="360" w:lineRule="auto"/>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1.1.11 “酬金”是指监理人履行本合同义务，委托人按照本合同约定给付监理人的金额。</w:t>
      </w:r>
    </w:p>
    <w:p w14:paraId="7E5C93F5">
      <w:pPr>
        <w:adjustRightInd w:val="0"/>
        <w:snapToGrid w:val="0"/>
        <w:spacing w:line="360" w:lineRule="auto"/>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1.1.12 “正常工作</w:t>
      </w:r>
      <w:r>
        <w:rPr>
          <w:rFonts w:hint="eastAsia" w:ascii="仿宋" w:hAnsi="仿宋" w:eastAsia="仿宋" w:cs="仿宋"/>
          <w:kern w:val="0"/>
          <w:sz w:val="24"/>
          <w:szCs w:val="24"/>
          <w:highlight w:val="none"/>
        </w:rPr>
        <w:t>酬金”</w:t>
      </w:r>
      <w:r>
        <w:rPr>
          <w:rFonts w:hint="eastAsia" w:ascii="仿宋" w:hAnsi="仿宋" w:eastAsia="仿宋" w:cs="仿宋"/>
          <w:sz w:val="24"/>
          <w:szCs w:val="24"/>
          <w:highlight w:val="none"/>
        </w:rPr>
        <w:t>是指监理人完成正常工作，委托人应给付监理人并在协议书中载明的签约</w:t>
      </w:r>
      <w:r>
        <w:rPr>
          <w:rFonts w:hint="eastAsia" w:ascii="仿宋" w:hAnsi="仿宋" w:eastAsia="仿宋" w:cs="仿宋"/>
          <w:kern w:val="0"/>
          <w:sz w:val="24"/>
          <w:szCs w:val="24"/>
          <w:highlight w:val="none"/>
        </w:rPr>
        <w:t>酬金额</w:t>
      </w:r>
      <w:r>
        <w:rPr>
          <w:rFonts w:hint="eastAsia" w:ascii="仿宋" w:hAnsi="仿宋" w:eastAsia="仿宋" w:cs="仿宋"/>
          <w:sz w:val="24"/>
          <w:szCs w:val="24"/>
          <w:highlight w:val="none"/>
        </w:rPr>
        <w:t>。</w:t>
      </w:r>
    </w:p>
    <w:p w14:paraId="7202A2BD">
      <w:pPr>
        <w:adjustRightInd w:val="0"/>
        <w:snapToGrid w:val="0"/>
        <w:spacing w:line="360" w:lineRule="auto"/>
        <w:ind w:firstLine="475" w:firstLineChars="198"/>
        <w:rPr>
          <w:rFonts w:hint="eastAsia" w:ascii="仿宋" w:hAnsi="仿宋" w:eastAsia="仿宋" w:cs="仿宋"/>
          <w:sz w:val="24"/>
          <w:szCs w:val="24"/>
          <w:highlight w:val="none"/>
        </w:rPr>
      </w:pPr>
      <w:r>
        <w:rPr>
          <w:rFonts w:hint="eastAsia" w:ascii="仿宋" w:hAnsi="仿宋" w:eastAsia="仿宋" w:cs="仿宋"/>
          <w:sz w:val="24"/>
          <w:szCs w:val="24"/>
          <w:highlight w:val="none"/>
        </w:rPr>
        <w:t>1.1.13 “附加工作酬金”是指监理人完成附加工作，委托人应给付监理人的金额。</w:t>
      </w:r>
    </w:p>
    <w:p w14:paraId="1EAC8324">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1.1.14 “一方”是指委托人或监理人；“双方”是指委托人和监理人；“第三方”是指除委托人和监理人以外的有关方。</w:t>
      </w:r>
    </w:p>
    <w:p w14:paraId="4AE8A194">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1.1.15 “书面形式”是指合同书、信件和数据电文（包括电报、电传、传真、电子数据交换和电子邮件）等可以有形地表现所载内容的形式。</w:t>
      </w:r>
    </w:p>
    <w:p w14:paraId="781479B5">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1.1.16 “天”是指第一天零时至第二天零时的时间。</w:t>
      </w:r>
    </w:p>
    <w:p w14:paraId="337B2029">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1.1.17“月”是指按公历从一个月中任何一天开始的一个公历月时间。</w:t>
      </w:r>
    </w:p>
    <w:p w14:paraId="6A37409D">
      <w:pPr>
        <w:adjustRightInd w:val="0"/>
        <w:snapToGrid w:val="0"/>
        <w:spacing w:line="360" w:lineRule="auto"/>
        <w:ind w:firstLine="645"/>
        <w:rPr>
          <w:rFonts w:hint="eastAsia" w:ascii="仿宋" w:hAnsi="仿宋" w:eastAsia="仿宋" w:cs="仿宋"/>
          <w:sz w:val="24"/>
          <w:szCs w:val="24"/>
          <w:highlight w:val="none"/>
        </w:rPr>
      </w:pPr>
      <w:r>
        <w:rPr>
          <w:rFonts w:hint="eastAsia" w:ascii="仿宋" w:hAnsi="仿宋" w:eastAsia="仿宋" w:cs="仿宋"/>
          <w:sz w:val="24"/>
          <w:szCs w:val="24"/>
          <w:highlight w:val="none"/>
        </w:rPr>
        <w:t>1.1.18 “不可抗力”是指委托人和监理人在订立本合同时不可预见，在工程施工过程中不可避免发生并不能克服的自然灾害和社会性突发事件，如地震、海啸、瘟疫、水灾、骚乱、暴动、战争和专用条件约定的其他情形。</w:t>
      </w:r>
    </w:p>
    <w:p w14:paraId="408977CA">
      <w:pPr>
        <w:adjustRightInd w:val="0"/>
        <w:snapToGrid w:val="0"/>
        <w:spacing w:line="360" w:lineRule="auto"/>
        <w:ind w:left="220" w:leftChars="100"/>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1.2 </w:t>
      </w:r>
      <w:r>
        <w:rPr>
          <w:rFonts w:hint="eastAsia" w:ascii="仿宋" w:hAnsi="仿宋" w:eastAsia="仿宋" w:cs="仿宋"/>
          <w:sz w:val="24"/>
          <w:szCs w:val="24"/>
          <w:highlight w:val="none"/>
        </w:rPr>
        <w:t>解释</w:t>
      </w:r>
    </w:p>
    <w:p w14:paraId="6886DBDB">
      <w:pPr>
        <w:tabs>
          <w:tab w:val="left" w:pos="6140"/>
        </w:tabs>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1.2.1本合同使用中文书写、解释和说明。如专用条件约定使用两种及以上语言文字时，应以中文为准。</w:t>
      </w:r>
    </w:p>
    <w:p w14:paraId="4161A45A">
      <w:pPr>
        <w:tabs>
          <w:tab w:val="left" w:pos="6140"/>
        </w:tabs>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1.2.2 组成本合同的下列文件彼此应能相互解释、互为说明。除专用条件另有约定外，本合同文件的解释顺序如下：</w:t>
      </w:r>
    </w:p>
    <w:p w14:paraId="770ABA12">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（1）协议书；</w:t>
      </w:r>
    </w:p>
    <w:p w14:paraId="06D5D50B">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（2）中标通知书（适用于招标工程）或委托书（适用于非招标工程）；</w:t>
      </w:r>
    </w:p>
    <w:p w14:paraId="1024D37D">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（3）专用条件及附录A、附录B；</w:t>
      </w:r>
    </w:p>
    <w:p w14:paraId="30F75073">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（4）通用条件；</w:t>
      </w:r>
    </w:p>
    <w:p w14:paraId="2726F100">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（5）投标文件（适用于招标工程）或监理与相关服务建议书（适用于非招标工程）。</w:t>
      </w:r>
    </w:p>
    <w:p w14:paraId="324364F3">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双方签订的补充协议与其他文件发生矛盾或歧义时，属于同一类内容的文件，应以最新签署的为准。</w:t>
      </w:r>
    </w:p>
    <w:p w14:paraId="1E6BC3EF">
      <w:pPr>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2. 监理人的义务</w:t>
      </w:r>
    </w:p>
    <w:p w14:paraId="6A8E0D32">
      <w:pPr>
        <w:adjustRightInd w:val="0"/>
        <w:snapToGrid w:val="0"/>
        <w:spacing w:line="360" w:lineRule="auto"/>
        <w:ind w:left="220" w:leftChars="100"/>
        <w:rPr>
          <w:rFonts w:hint="eastAsia" w:ascii="仿宋" w:hAnsi="仿宋" w:eastAsia="仿宋" w:cs="仿宋"/>
          <w:bCs/>
          <w:sz w:val="24"/>
          <w:szCs w:val="24"/>
          <w:highlight w:val="none"/>
        </w:rPr>
      </w:pPr>
      <w:r>
        <w:rPr>
          <w:rFonts w:hint="eastAsia" w:ascii="仿宋" w:hAnsi="仿宋" w:eastAsia="仿宋" w:cs="仿宋"/>
          <w:sz w:val="24"/>
          <w:szCs w:val="24"/>
          <w:highlight w:val="none"/>
        </w:rPr>
        <w:t>2.1 监理的范围和工作内容</w:t>
      </w:r>
    </w:p>
    <w:p w14:paraId="05D1728D">
      <w:pPr>
        <w:adjustRightInd w:val="0"/>
        <w:snapToGrid w:val="0"/>
        <w:spacing w:line="360" w:lineRule="auto"/>
        <w:ind w:left="440" w:leftChars="200"/>
        <w:rPr>
          <w:rFonts w:hint="eastAsia" w:ascii="仿宋" w:hAnsi="仿宋" w:eastAsia="仿宋" w:cs="仿宋"/>
          <w:sz w:val="24"/>
          <w:szCs w:val="24"/>
          <w:highlight w:val="none"/>
        </w:rPr>
      </w:pPr>
      <w:r>
        <w:rPr>
          <w:rFonts w:hint="eastAsia" w:ascii="仿宋" w:hAnsi="仿宋" w:eastAsia="仿宋" w:cs="仿宋"/>
          <w:sz w:val="24"/>
          <w:szCs w:val="24"/>
          <w:highlight w:val="none"/>
        </w:rPr>
        <w:t>2.1.1 监理范围在专用条件中约定。</w:t>
      </w:r>
    </w:p>
    <w:p w14:paraId="1DE826D9">
      <w:pPr>
        <w:adjustRightInd w:val="0"/>
        <w:snapToGrid w:val="0"/>
        <w:spacing w:line="360" w:lineRule="auto"/>
        <w:ind w:left="440" w:leftChars="200"/>
        <w:rPr>
          <w:rFonts w:hint="eastAsia" w:ascii="仿宋" w:hAnsi="仿宋" w:eastAsia="仿宋" w:cs="仿宋"/>
          <w:sz w:val="24"/>
          <w:szCs w:val="24"/>
          <w:highlight w:val="none"/>
        </w:rPr>
      </w:pPr>
      <w:r>
        <w:rPr>
          <w:rFonts w:hint="eastAsia" w:ascii="仿宋" w:hAnsi="仿宋" w:eastAsia="仿宋" w:cs="仿宋"/>
          <w:sz w:val="24"/>
          <w:szCs w:val="24"/>
          <w:highlight w:val="none"/>
        </w:rPr>
        <w:t>2.1.2 除专用条件另有约定外，监理工作内容包括：</w:t>
      </w:r>
    </w:p>
    <w:p w14:paraId="7158A22C">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（1）收到工程设计文件后编制监理规划，并在第一次工地会议7天前报委托人。根据有关规定和监理工作需要，编制监理实施细则；</w:t>
      </w:r>
    </w:p>
    <w:p w14:paraId="7AC526DC">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（2）熟悉工程设计文件，并参加由委托人主持的图纸会审和设计交底会议；</w:t>
      </w:r>
    </w:p>
    <w:p w14:paraId="45225443">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（3）参加由委托人主持的第一次工地会议；主持监理例会并根据工程需要主持或参加专题会议；</w:t>
      </w:r>
    </w:p>
    <w:p w14:paraId="7CC658BF">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（4）审查施工承包人提交的施工组织设计，重点审查其中的质量安全技术措施、专项施工方案与工程建设强制性标准的符合性；</w:t>
      </w:r>
    </w:p>
    <w:p w14:paraId="062744A3">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（5）检查施工承包人工程质量、安全生产管理制度及组织机构和人员资格；</w:t>
      </w:r>
    </w:p>
    <w:p w14:paraId="52394FA1">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（6）检查施工承包人专职安全生产管理人员的配备情况；</w:t>
      </w:r>
    </w:p>
    <w:p w14:paraId="326DCB11">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（7）审查施工承包人提交的施工进度计划，核查承包人对施工进度计划的调整；</w:t>
      </w:r>
    </w:p>
    <w:p w14:paraId="00DF1B4D">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（8）检查施工承包人的试验室；</w:t>
      </w:r>
    </w:p>
    <w:p w14:paraId="5C9B1AB7">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（9）审核施工分包人资质条件；</w:t>
      </w:r>
    </w:p>
    <w:p w14:paraId="5B6812D1">
      <w:pPr>
        <w:keepNext w:val="0"/>
        <w:keepLines w:val="0"/>
        <w:pageBreakBefore w:val="0"/>
        <w:widowControl/>
        <w:kinsoku/>
        <w:wordWrap/>
        <w:overflowPunct/>
        <w:topLinePunct w:val="0"/>
        <w:autoSpaceDE/>
        <w:autoSpaceDN/>
        <w:bidi w:val="0"/>
        <w:adjustRightInd w:val="0"/>
        <w:snapToGrid w:val="0"/>
        <w:spacing w:after="0"/>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（10）查验施工承包人的施工测量放线成果；</w:t>
      </w:r>
    </w:p>
    <w:p w14:paraId="5DBBFEEB">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（11）审查工程开工条件，对条件具备的签发开工令；</w:t>
      </w:r>
    </w:p>
    <w:p w14:paraId="02C479D7">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（12）审查施工承包人报送的工程材料、构配件、设备质量证明文件的有效性和符合性，并按规定对用于工程的材料采取平行检验或见证取样方式进行抽检；</w:t>
      </w:r>
    </w:p>
    <w:p w14:paraId="444F6186">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（13）审核施工承包人提交的工程款支付申请，签发或出具工程款支付证书，并报委托人审核、批准；</w:t>
      </w:r>
    </w:p>
    <w:p w14:paraId="67157C62">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（14）在巡视、旁站和检验过程中，发现工程质量、施工安全存在事故隐患的，要求施工承包人整改并报委托人；</w:t>
      </w:r>
    </w:p>
    <w:p w14:paraId="61E02458">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（15）经委托人同意，签发工程暂停令和复工令；</w:t>
      </w:r>
    </w:p>
    <w:p w14:paraId="2A60C812">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（16）审查施工承包人提交的采用新材料、新工艺、新技术、新设备的论证材料及相关验收标准；</w:t>
      </w:r>
    </w:p>
    <w:p w14:paraId="4A77F6AA">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（17）验收隐蔽工程、分部分项工程；</w:t>
      </w:r>
    </w:p>
    <w:p w14:paraId="0AD0EDEB">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（18）审查施工承包人提交的工程变更申请，协调处理施工进度调整、费用索赔、合同争议等事项；</w:t>
      </w:r>
    </w:p>
    <w:p w14:paraId="13AD115A">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（19）审查施工承包人提交的竣工验收申请，编写工程质量评估报告；</w:t>
      </w:r>
    </w:p>
    <w:p w14:paraId="0964355B">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（20）参加工程竣工验收，签署竣工验收意见；</w:t>
      </w:r>
    </w:p>
    <w:p w14:paraId="6C824859">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（21）审查施工承包人提交的竣工结算申请并报委托人；</w:t>
      </w:r>
    </w:p>
    <w:p w14:paraId="23298F83">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（22）编制、整理工程监理归档文件并报委托人。</w:t>
      </w:r>
    </w:p>
    <w:p w14:paraId="7FE0E2ED">
      <w:pPr>
        <w:spacing w:line="360" w:lineRule="auto"/>
        <w:ind w:left="440" w:leftChars="200" w:firstLine="120" w:firstLineChars="50"/>
        <w:rPr>
          <w:rFonts w:hint="eastAsia" w:ascii="仿宋" w:hAnsi="仿宋" w:eastAsia="仿宋" w:cs="仿宋"/>
          <w:sz w:val="24"/>
          <w:szCs w:val="24"/>
          <w:highlight w:val="none"/>
        </w:rPr>
      </w:pPr>
      <w:r>
        <w:rPr>
          <w:rFonts w:hint="eastAsia" w:ascii="仿宋" w:hAnsi="仿宋" w:eastAsia="仿宋" w:cs="仿宋"/>
          <w:sz w:val="24"/>
          <w:szCs w:val="24"/>
          <w:highlight w:val="none"/>
        </w:rPr>
        <w:t>2.1.3 相关服务的范围和内容在附录A中约定。</w:t>
      </w:r>
    </w:p>
    <w:p w14:paraId="0ED448B2">
      <w:pPr>
        <w:spacing w:line="360" w:lineRule="auto"/>
        <w:ind w:firstLine="240" w:firstLineChars="100"/>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2.2 </w:t>
      </w:r>
      <w:r>
        <w:rPr>
          <w:rFonts w:hint="eastAsia" w:ascii="仿宋" w:hAnsi="仿宋" w:eastAsia="仿宋" w:cs="仿宋"/>
          <w:bCs/>
          <w:sz w:val="24"/>
          <w:szCs w:val="24"/>
          <w:highlight w:val="none"/>
        </w:rPr>
        <w:t>监理与相关服务依据</w:t>
      </w:r>
    </w:p>
    <w:p w14:paraId="727B2978">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2.2.1 监理依据包括：</w:t>
      </w:r>
    </w:p>
    <w:p w14:paraId="70AEB3CC">
      <w:pPr>
        <w:adjustRightInd w:val="0"/>
        <w:snapToGrid w:val="0"/>
        <w:spacing w:line="360" w:lineRule="auto"/>
        <w:ind w:firstLine="600" w:firstLineChars="250"/>
        <w:rPr>
          <w:rFonts w:hint="eastAsia" w:ascii="仿宋" w:hAnsi="仿宋" w:eastAsia="仿宋" w:cs="仿宋"/>
          <w:sz w:val="24"/>
          <w:szCs w:val="24"/>
          <w:highlight w:val="none"/>
        </w:rPr>
      </w:pPr>
      <w:r>
        <w:rPr>
          <w:rFonts w:hint="eastAsia" w:ascii="仿宋" w:hAnsi="仿宋" w:eastAsia="仿宋" w:cs="仿宋"/>
          <w:sz w:val="24"/>
          <w:szCs w:val="24"/>
          <w:highlight w:val="none"/>
        </w:rPr>
        <w:t>（1）适用的法律、行政法规及部门规章；</w:t>
      </w:r>
    </w:p>
    <w:p w14:paraId="1F5A421D">
      <w:pPr>
        <w:adjustRightInd w:val="0"/>
        <w:snapToGrid w:val="0"/>
        <w:spacing w:line="360" w:lineRule="auto"/>
        <w:ind w:firstLine="600" w:firstLineChars="250"/>
        <w:rPr>
          <w:rFonts w:hint="eastAsia" w:ascii="仿宋" w:hAnsi="仿宋" w:eastAsia="仿宋" w:cs="仿宋"/>
          <w:sz w:val="24"/>
          <w:szCs w:val="24"/>
          <w:highlight w:val="none"/>
        </w:rPr>
      </w:pPr>
      <w:r>
        <w:rPr>
          <w:rFonts w:hint="eastAsia" w:ascii="仿宋" w:hAnsi="仿宋" w:eastAsia="仿宋" w:cs="仿宋"/>
          <w:sz w:val="24"/>
          <w:szCs w:val="24"/>
          <w:highlight w:val="none"/>
        </w:rPr>
        <w:t>（2）与工程有关的标准；</w:t>
      </w:r>
    </w:p>
    <w:p w14:paraId="19549713">
      <w:pPr>
        <w:adjustRightInd w:val="0"/>
        <w:snapToGrid w:val="0"/>
        <w:spacing w:line="360" w:lineRule="auto"/>
        <w:ind w:firstLine="600" w:firstLineChars="250"/>
        <w:rPr>
          <w:rFonts w:hint="eastAsia" w:ascii="仿宋" w:hAnsi="仿宋" w:eastAsia="仿宋" w:cs="仿宋"/>
          <w:sz w:val="24"/>
          <w:szCs w:val="24"/>
          <w:highlight w:val="none"/>
        </w:rPr>
      </w:pPr>
      <w:r>
        <w:rPr>
          <w:rFonts w:hint="eastAsia" w:ascii="仿宋" w:hAnsi="仿宋" w:eastAsia="仿宋" w:cs="仿宋"/>
          <w:sz w:val="24"/>
          <w:szCs w:val="24"/>
          <w:highlight w:val="none"/>
        </w:rPr>
        <w:t>（3）工程设计及有关文件；</w:t>
      </w:r>
    </w:p>
    <w:p w14:paraId="6C9A73B8">
      <w:pPr>
        <w:adjustRightInd w:val="0"/>
        <w:snapToGrid w:val="0"/>
        <w:spacing w:line="360" w:lineRule="auto"/>
        <w:ind w:firstLine="600" w:firstLineChars="250"/>
        <w:rPr>
          <w:rFonts w:hint="eastAsia" w:ascii="仿宋" w:hAnsi="仿宋" w:eastAsia="仿宋" w:cs="仿宋"/>
          <w:sz w:val="24"/>
          <w:szCs w:val="24"/>
          <w:highlight w:val="none"/>
        </w:rPr>
      </w:pPr>
      <w:r>
        <w:rPr>
          <w:rFonts w:hint="eastAsia" w:ascii="仿宋" w:hAnsi="仿宋" w:eastAsia="仿宋" w:cs="仿宋"/>
          <w:sz w:val="24"/>
          <w:szCs w:val="24"/>
          <w:highlight w:val="none"/>
        </w:rPr>
        <w:t>（4）本合同及委托人与第三方签订的与实施工程有关的其他合同。</w:t>
      </w:r>
    </w:p>
    <w:p w14:paraId="4D356E61">
      <w:pPr>
        <w:spacing w:line="360" w:lineRule="auto"/>
        <w:ind w:left="220" w:leftChars="100" w:firstLine="480" w:firstLineChars="200"/>
        <w:rPr>
          <w:rFonts w:hint="eastAsia" w:ascii="仿宋" w:hAnsi="仿宋" w:eastAsia="仿宋" w:cs="仿宋"/>
          <w:bCs/>
          <w:sz w:val="24"/>
          <w:szCs w:val="24"/>
          <w:highlight w:val="none"/>
        </w:rPr>
      </w:pPr>
      <w:r>
        <w:rPr>
          <w:rFonts w:hint="eastAsia" w:ascii="仿宋" w:hAnsi="仿宋" w:eastAsia="仿宋" w:cs="仿宋"/>
          <w:bCs/>
          <w:sz w:val="24"/>
          <w:szCs w:val="24"/>
          <w:highlight w:val="none"/>
        </w:rPr>
        <w:t>双方根据工程的行业和地域特点，在专用条件中具体约定监理依据。</w:t>
      </w:r>
    </w:p>
    <w:p w14:paraId="4C91C1A6">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2.2.2 相关服务依据在专用条件中约定。</w:t>
      </w:r>
    </w:p>
    <w:p w14:paraId="4F05F29E">
      <w:pPr>
        <w:spacing w:line="360" w:lineRule="auto"/>
        <w:ind w:firstLine="240" w:firstLineChars="1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2.3 项目监理机构和人员</w:t>
      </w:r>
    </w:p>
    <w:p w14:paraId="49CE1DF0">
      <w:pPr>
        <w:adjustRightInd w:val="0"/>
        <w:snapToGrid w:val="0"/>
        <w:spacing w:line="360" w:lineRule="auto"/>
        <w:ind w:firstLine="645"/>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2.3.1 监理人应组建满足工作需要的项目监理机构，配备必要的检测设备。项目监理机构的主要人员应具有相应的资格条件。</w:t>
      </w:r>
    </w:p>
    <w:p w14:paraId="449E8446">
      <w:pPr>
        <w:adjustRightInd w:val="0"/>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2.3.2本合同履行过程中，总监理工程师及重要岗位监理人员应保持相对稳定，以保证监理工作正常进行。</w:t>
      </w:r>
    </w:p>
    <w:p w14:paraId="4B26A289">
      <w:pPr>
        <w:adjustRightInd w:val="0"/>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2.3.3监理人可根据工程进展和工作需要调整项目监理机构人员。监理人更换总监理工程师时，应提前7天向委托人书面报告，经委托人同意后方可更换；监理人更换项目监理机构其他监理人员，应以相当资格与能力的人员替换，并通知委托人。</w:t>
      </w:r>
    </w:p>
    <w:p w14:paraId="3345EB06">
      <w:pPr>
        <w:adjustRightInd w:val="0"/>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2.3.4 监理人应及时更换有下列情形之一的监理人员：</w:t>
      </w:r>
    </w:p>
    <w:p w14:paraId="2DC09E76">
      <w:pPr>
        <w:adjustRightInd w:val="0"/>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（1）严重过失行为的；</w:t>
      </w:r>
    </w:p>
    <w:p w14:paraId="13734965">
      <w:pPr>
        <w:adjustRightInd w:val="0"/>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（2）有违法行为不能履行职责的；</w:t>
      </w:r>
    </w:p>
    <w:p w14:paraId="317B61E4">
      <w:pPr>
        <w:adjustRightInd w:val="0"/>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（3）涉嫌犯罪的；</w:t>
      </w:r>
    </w:p>
    <w:p w14:paraId="43224C1E">
      <w:pPr>
        <w:adjustRightInd w:val="0"/>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（4）不能胜任岗位职责的；</w:t>
      </w:r>
    </w:p>
    <w:p w14:paraId="726218A8">
      <w:pPr>
        <w:adjustRightInd w:val="0"/>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（5）严重违反职业道德的；</w:t>
      </w:r>
    </w:p>
    <w:p w14:paraId="08AF0F9B">
      <w:pPr>
        <w:adjustRightInd w:val="0"/>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（6）专用条件约定的其他情形。</w:t>
      </w:r>
    </w:p>
    <w:p w14:paraId="13E160A5">
      <w:pPr>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2.3.5 委托人可要求监理人更换不能胜任本职工作的项目监理机构人员。</w:t>
      </w:r>
    </w:p>
    <w:p w14:paraId="7E41F671">
      <w:pPr>
        <w:spacing w:line="360" w:lineRule="auto"/>
        <w:ind w:left="220" w:leftChars="1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2.4 履行职责</w:t>
      </w:r>
    </w:p>
    <w:p w14:paraId="4148BD59">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kern w:val="0"/>
          <w:sz w:val="24"/>
          <w:szCs w:val="24"/>
          <w:highlight w:val="none"/>
        </w:rPr>
        <w:t>监理人应遵循职业道德准则和行为规范，严格按照法律法规、工程建设有关标准及本合同履行职责。</w:t>
      </w:r>
    </w:p>
    <w:p w14:paraId="14272AED">
      <w:pPr>
        <w:adjustRightInd w:val="0"/>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2.4.1 在监理与相关服务范围内，委托人和承包人提出的意见和要求，监理人应及时提出处置意见。当委托人与承包人之间发生合同争议时，监理人应协助委托人、承包人协商解决。</w:t>
      </w:r>
    </w:p>
    <w:p w14:paraId="47ACE568">
      <w:pPr>
        <w:adjustRightInd w:val="0"/>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2.4.2 当委托人与承包人之间的合同争议提交仲裁机构仲裁或人民法院审理时，监理人应提供必要的证明资料。</w:t>
      </w:r>
    </w:p>
    <w:p w14:paraId="4C234CB6">
      <w:pPr>
        <w:adjustRightInd w:val="0"/>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2.4.3 监理人应在专用条件约定的授权范围内，处理委托人与承包人所签订合同的变更事宜。如果变更超过授权范围，应以书面形式报委托人批准。</w:t>
      </w:r>
    </w:p>
    <w:p w14:paraId="1E701F2A">
      <w:pPr>
        <w:adjustRightInd w:val="0"/>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在紧急情况下，为了保护财产和人身安全，监理人所发出的指令未能事先报委托人批准时，应在发出指令后的24小时内以书面形式报委托人。</w:t>
      </w:r>
    </w:p>
    <w:p w14:paraId="0C446713">
      <w:pPr>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2.4.4 除专用条件另有约定外，监理人发现承包人的人员不能胜任本职工作的，有权要求承包人予以调换。</w:t>
      </w:r>
    </w:p>
    <w:p w14:paraId="311E362B">
      <w:pPr>
        <w:spacing w:line="360" w:lineRule="auto"/>
        <w:ind w:left="220" w:leftChars="1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2.5 提交报告</w:t>
      </w:r>
    </w:p>
    <w:p w14:paraId="220F5D10">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监理人应按专用条件约定的种类、时间和份数向委托人提交监理与相关服务的报告。</w:t>
      </w:r>
    </w:p>
    <w:p w14:paraId="5328C28E">
      <w:pPr>
        <w:spacing w:line="360" w:lineRule="auto"/>
        <w:ind w:left="220" w:leftChars="1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2.6 文件资料</w:t>
      </w:r>
    </w:p>
    <w:p w14:paraId="57ECF5BC">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kern w:val="0"/>
          <w:sz w:val="24"/>
          <w:szCs w:val="24"/>
          <w:highlight w:val="none"/>
        </w:rPr>
        <w:t>在本合同履行期内，监理人应在现场保留工作所用的图纸、报告及记录监理工</w:t>
      </w:r>
      <w:r>
        <w:rPr>
          <w:rFonts w:hint="eastAsia" w:ascii="仿宋" w:hAnsi="仿宋" w:eastAsia="仿宋" w:cs="仿宋"/>
          <w:sz w:val="24"/>
          <w:szCs w:val="24"/>
          <w:highlight w:val="none"/>
        </w:rPr>
        <w:t>作的相关文件。工程竣工后，应当按照档案管理规定将监理有关文件归档。</w:t>
      </w:r>
    </w:p>
    <w:p w14:paraId="22AE8D4A">
      <w:pPr>
        <w:spacing w:line="360" w:lineRule="auto"/>
        <w:ind w:left="220" w:leftChars="1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2.7 使用委托人的财产</w:t>
      </w:r>
    </w:p>
    <w:p w14:paraId="779C3BB1">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监理人无偿使用附录B中由委托人派遣的人员和提供的房屋、资料、设备。除专用条件另有约定外，委托人提供的房屋、设备属于委托人的财产，监理人应妥善使用和保管，在本合同终止时将这些房屋、设备的清单提交委托人，并按专用条件约定的时间和方式移交。</w:t>
      </w:r>
    </w:p>
    <w:p w14:paraId="10D748C9">
      <w:pPr>
        <w:spacing w:line="360" w:lineRule="auto"/>
        <w:rPr>
          <w:rFonts w:hint="eastAsia" w:ascii="仿宋" w:hAnsi="仿宋" w:eastAsia="仿宋" w:cs="仿宋"/>
          <w:b/>
          <w:kern w:val="0"/>
          <w:sz w:val="24"/>
          <w:szCs w:val="24"/>
          <w:highlight w:val="none"/>
        </w:rPr>
      </w:pPr>
      <w:r>
        <w:rPr>
          <w:rFonts w:hint="eastAsia" w:ascii="仿宋" w:hAnsi="仿宋" w:eastAsia="仿宋" w:cs="仿宋"/>
          <w:b/>
          <w:kern w:val="0"/>
          <w:sz w:val="24"/>
          <w:szCs w:val="24"/>
          <w:highlight w:val="none"/>
        </w:rPr>
        <w:t>3．委托人的义务</w:t>
      </w:r>
    </w:p>
    <w:p w14:paraId="2C626621">
      <w:pPr>
        <w:spacing w:line="360" w:lineRule="auto"/>
        <w:ind w:left="220" w:leftChars="1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3.1 告知</w:t>
      </w:r>
    </w:p>
    <w:p w14:paraId="4192F1CA">
      <w:pPr>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委托人应在委托人与承包人签订的合同中明确监理人、总监理工程师和授予项目监理机构的权限。如有变更，应及时通知承包人。</w:t>
      </w:r>
    </w:p>
    <w:p w14:paraId="31732CA3">
      <w:pPr>
        <w:spacing w:line="360" w:lineRule="auto"/>
        <w:ind w:left="220" w:leftChars="1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3.2 提供资料</w:t>
      </w:r>
    </w:p>
    <w:p w14:paraId="537179A0">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kern w:val="0"/>
          <w:sz w:val="24"/>
          <w:szCs w:val="24"/>
          <w:highlight w:val="none"/>
        </w:rPr>
        <w:t>委托人应按照附录B约定，</w:t>
      </w:r>
      <w:r>
        <w:rPr>
          <w:rFonts w:hint="eastAsia" w:ascii="仿宋" w:hAnsi="仿宋" w:eastAsia="仿宋" w:cs="仿宋"/>
          <w:color w:val="000000"/>
          <w:kern w:val="0"/>
          <w:sz w:val="24"/>
          <w:szCs w:val="24"/>
          <w:highlight w:val="none"/>
        </w:rPr>
        <w:t>无偿</w:t>
      </w:r>
      <w:r>
        <w:rPr>
          <w:rFonts w:hint="eastAsia" w:ascii="仿宋" w:hAnsi="仿宋" w:eastAsia="仿宋" w:cs="仿宋"/>
          <w:kern w:val="0"/>
          <w:sz w:val="24"/>
          <w:szCs w:val="24"/>
          <w:highlight w:val="none"/>
        </w:rPr>
        <w:t>向监理人提供工程有关的资料。</w:t>
      </w:r>
      <w:r>
        <w:rPr>
          <w:rFonts w:hint="eastAsia" w:ascii="仿宋" w:hAnsi="仿宋" w:eastAsia="仿宋" w:cs="仿宋"/>
          <w:sz w:val="24"/>
          <w:szCs w:val="24"/>
          <w:highlight w:val="none"/>
        </w:rPr>
        <w:t>在本合同履行过程中，委托人应及时向监理人提供最新的与工程有关的资料。</w:t>
      </w:r>
    </w:p>
    <w:p w14:paraId="2EAE4688">
      <w:pPr>
        <w:spacing w:line="360" w:lineRule="auto"/>
        <w:ind w:left="220" w:leftChars="1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3.3 提供工作条件</w:t>
      </w:r>
    </w:p>
    <w:p w14:paraId="054B43C9">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委托人应为监理人完成监理与相关服务提供必要的条件。</w:t>
      </w:r>
    </w:p>
    <w:p w14:paraId="1D24E1EE">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kern w:val="0"/>
          <w:sz w:val="24"/>
          <w:szCs w:val="24"/>
          <w:highlight w:val="none"/>
        </w:rPr>
        <w:t xml:space="preserve">3.3.1 </w:t>
      </w:r>
      <w:r>
        <w:rPr>
          <w:rFonts w:hint="eastAsia" w:ascii="仿宋" w:hAnsi="仿宋" w:eastAsia="仿宋" w:cs="仿宋"/>
          <w:sz w:val="24"/>
          <w:szCs w:val="24"/>
          <w:highlight w:val="none"/>
        </w:rPr>
        <w:t>委托人应按照附录B约定，派遣相应的人员，提供房屋、设备，供监理人</w:t>
      </w:r>
      <w:r>
        <w:rPr>
          <w:rFonts w:hint="eastAsia" w:ascii="仿宋" w:hAnsi="仿宋" w:eastAsia="仿宋" w:cs="仿宋"/>
          <w:kern w:val="0"/>
          <w:sz w:val="24"/>
          <w:szCs w:val="24"/>
          <w:highlight w:val="none"/>
        </w:rPr>
        <w:t>无偿</w:t>
      </w:r>
      <w:r>
        <w:rPr>
          <w:rFonts w:hint="eastAsia" w:ascii="仿宋" w:hAnsi="仿宋" w:eastAsia="仿宋" w:cs="仿宋"/>
          <w:sz w:val="24"/>
          <w:szCs w:val="24"/>
          <w:highlight w:val="none"/>
        </w:rPr>
        <w:t>使用。</w:t>
      </w:r>
    </w:p>
    <w:p w14:paraId="7B5739D0">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kern w:val="0"/>
          <w:sz w:val="24"/>
          <w:szCs w:val="24"/>
          <w:highlight w:val="none"/>
        </w:rPr>
        <w:t xml:space="preserve">3.3.2 </w:t>
      </w:r>
      <w:r>
        <w:rPr>
          <w:rFonts w:hint="eastAsia" w:ascii="仿宋" w:hAnsi="仿宋" w:eastAsia="仿宋" w:cs="仿宋"/>
          <w:sz w:val="24"/>
          <w:szCs w:val="24"/>
          <w:highlight w:val="none"/>
        </w:rPr>
        <w:t>委托人应负责协调工程建设中所有外部关系，为监理人履行本合同提供必要的外部条件。</w:t>
      </w:r>
    </w:p>
    <w:p w14:paraId="3D9F5BD5">
      <w:pPr>
        <w:snapToGrid w:val="0"/>
        <w:spacing w:line="360" w:lineRule="auto"/>
        <w:ind w:left="220" w:leftChars="1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3.4 委托人代表</w:t>
      </w:r>
    </w:p>
    <w:p w14:paraId="2BA803BC">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委托人应授权一名熟悉工程情况的代表，负责与监理人联系。委托人应在双方签订本合同后7天内，将委托人代表的姓名和职责书面告知监理人。当委托人更换委托人代表时，应提前7天通知监理人。</w:t>
      </w:r>
    </w:p>
    <w:p w14:paraId="7EEF33CD">
      <w:pPr>
        <w:snapToGrid w:val="0"/>
        <w:spacing w:line="360" w:lineRule="auto"/>
        <w:ind w:left="220" w:leftChars="1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3.5 委托人意见或要求</w:t>
      </w:r>
    </w:p>
    <w:p w14:paraId="128CC362">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在本合同约定的监理与相关服务工作范围内，委托人对承包人的任何意见或要求应通知监理人，由监理人向承包人发出相应指令。</w:t>
      </w:r>
    </w:p>
    <w:p w14:paraId="0C3E631A">
      <w:pPr>
        <w:snapToGrid w:val="0"/>
        <w:spacing w:line="360" w:lineRule="auto"/>
        <w:ind w:left="220" w:leftChars="1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3.6 答复</w:t>
      </w:r>
    </w:p>
    <w:p w14:paraId="79FC4559">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委托人应在专用条件约定的时间内，对监理人以书面形式提交并要求作出决定的事宜，给予书面答复。逾期未答复的，视为委托人认可。</w:t>
      </w:r>
    </w:p>
    <w:p w14:paraId="7C746299">
      <w:pPr>
        <w:snapToGrid w:val="0"/>
        <w:spacing w:line="360" w:lineRule="auto"/>
        <w:ind w:left="220" w:leftChars="1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3.7 支付</w:t>
      </w:r>
    </w:p>
    <w:p w14:paraId="65DDC90B">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委托人应按本合同约定，向监理人支付酬金。</w:t>
      </w:r>
    </w:p>
    <w:p w14:paraId="731F975B">
      <w:pPr>
        <w:snapToGrid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4. 违约责任</w:t>
      </w:r>
    </w:p>
    <w:p w14:paraId="4A40DA0F">
      <w:pPr>
        <w:spacing w:line="360" w:lineRule="auto"/>
        <w:ind w:left="220" w:leftChars="1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4.1 监理人的违约责任</w:t>
      </w:r>
    </w:p>
    <w:p w14:paraId="02F1A0F6">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kern w:val="0"/>
          <w:sz w:val="24"/>
          <w:szCs w:val="24"/>
          <w:highlight w:val="none"/>
        </w:rPr>
        <w:t>监理人未履行本合同义务的，应承担相应的责任。</w:t>
      </w:r>
    </w:p>
    <w:p w14:paraId="0A4E5246">
      <w:pPr>
        <w:adjustRightInd w:val="0"/>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4.1.1 因监理人违反本合同约定</w:t>
      </w:r>
      <w:r>
        <w:rPr>
          <w:rFonts w:hint="eastAsia" w:ascii="仿宋" w:hAnsi="仿宋" w:eastAsia="仿宋" w:cs="仿宋"/>
          <w:sz w:val="24"/>
          <w:szCs w:val="24"/>
          <w:highlight w:val="none"/>
        </w:rPr>
        <w:t>给委托人造成损失的，监理人应当赔偿委托人损失</w:t>
      </w:r>
      <w:r>
        <w:rPr>
          <w:rFonts w:hint="eastAsia" w:ascii="仿宋" w:hAnsi="仿宋" w:eastAsia="仿宋" w:cs="仿宋"/>
          <w:kern w:val="0"/>
          <w:sz w:val="24"/>
          <w:szCs w:val="24"/>
          <w:highlight w:val="none"/>
        </w:rPr>
        <w:t>。赔偿金额的确定方法在专用条件中约定。监理人承担部分赔偿责任的，其承担赔偿金额由双方协商确定。</w:t>
      </w:r>
    </w:p>
    <w:p w14:paraId="665C4D4B">
      <w:pPr>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4.1.2 监理人向委托人的索赔不成立时，监理人应赔偿委托人由此发生的费用。</w:t>
      </w:r>
    </w:p>
    <w:p w14:paraId="76C1703E">
      <w:pPr>
        <w:snapToGrid w:val="0"/>
        <w:spacing w:line="360" w:lineRule="auto"/>
        <w:ind w:firstLine="240" w:firstLineChars="1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4.2 委托人的违约责任</w:t>
      </w:r>
    </w:p>
    <w:p w14:paraId="0FB579A1">
      <w:pPr>
        <w:adjustRightInd w:val="0"/>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委托人未履行本合同义务的，应承担相应的责任。</w:t>
      </w:r>
    </w:p>
    <w:p w14:paraId="10EFCDAB">
      <w:pPr>
        <w:adjustRightInd w:val="0"/>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4.2.1 委托人违反本合同约定造成监理人损失的，委托人应予以赔偿。</w:t>
      </w:r>
    </w:p>
    <w:p w14:paraId="5D840FE9">
      <w:pPr>
        <w:adjustRightInd w:val="0"/>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4.2.2 委托人向监理人的索赔不成立时，应赔偿监理人由此引起的费用。</w:t>
      </w:r>
    </w:p>
    <w:p w14:paraId="0D858332">
      <w:pPr>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sz w:val="24"/>
          <w:szCs w:val="24"/>
          <w:highlight w:val="none"/>
        </w:rPr>
        <w:t xml:space="preserve">4.2.3 </w:t>
      </w:r>
      <w:r>
        <w:rPr>
          <w:rFonts w:hint="eastAsia" w:ascii="仿宋" w:hAnsi="仿宋" w:eastAsia="仿宋" w:cs="仿宋"/>
          <w:kern w:val="0"/>
          <w:sz w:val="24"/>
          <w:szCs w:val="24"/>
          <w:highlight w:val="none"/>
        </w:rPr>
        <w:t>委托人未能按期支付</w:t>
      </w:r>
      <w:r>
        <w:rPr>
          <w:rFonts w:hint="eastAsia" w:ascii="仿宋" w:hAnsi="仿宋" w:eastAsia="仿宋" w:cs="仿宋"/>
          <w:sz w:val="24"/>
          <w:szCs w:val="24"/>
          <w:highlight w:val="none"/>
        </w:rPr>
        <w:t>酬金</w:t>
      </w:r>
      <w:r>
        <w:rPr>
          <w:rFonts w:hint="eastAsia" w:ascii="仿宋" w:hAnsi="仿宋" w:eastAsia="仿宋" w:cs="仿宋"/>
          <w:kern w:val="0"/>
          <w:sz w:val="24"/>
          <w:szCs w:val="24"/>
          <w:highlight w:val="none"/>
        </w:rPr>
        <w:t>超过28天，应按专用条件约定支付逾期付款利息。</w:t>
      </w:r>
    </w:p>
    <w:p w14:paraId="5CE1E2C1">
      <w:pPr>
        <w:spacing w:line="360" w:lineRule="auto"/>
        <w:ind w:firstLine="240" w:firstLineChars="1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4.3 除外责任</w:t>
      </w:r>
    </w:p>
    <w:p w14:paraId="7FD70CC7">
      <w:pPr>
        <w:adjustRightInd w:val="0"/>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因非监理人的原因，且监理人无过错，发生工程质量事故、安全事故、工期延误等造成的损失，监理人不承担赔偿责任。</w:t>
      </w:r>
    </w:p>
    <w:p w14:paraId="66D7D9F5">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因不可抗力导致本合同全部或部分不能履行时，双方各自承担其因此而造成的损失、损害。</w:t>
      </w:r>
    </w:p>
    <w:p w14:paraId="465E719F">
      <w:pPr>
        <w:snapToGrid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5. 支付</w:t>
      </w:r>
    </w:p>
    <w:p w14:paraId="0F7A3846">
      <w:pPr>
        <w:snapToGrid w:val="0"/>
        <w:spacing w:line="360" w:lineRule="auto"/>
        <w:ind w:left="220" w:leftChars="100"/>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5.1 </w:t>
      </w:r>
      <w:r>
        <w:rPr>
          <w:rFonts w:hint="eastAsia" w:ascii="仿宋" w:hAnsi="仿宋" w:eastAsia="仿宋" w:cs="仿宋"/>
          <w:bCs/>
          <w:sz w:val="24"/>
          <w:szCs w:val="24"/>
          <w:highlight w:val="none"/>
        </w:rPr>
        <w:t>支付货币</w:t>
      </w:r>
    </w:p>
    <w:p w14:paraId="624E2F80">
      <w:pPr>
        <w:snapToGrid w:val="0"/>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sz w:val="24"/>
          <w:szCs w:val="24"/>
          <w:highlight w:val="none"/>
        </w:rPr>
        <w:t>除专用条件另有约定外，酬金均以人民币支付。涉及外币支付的，所采用的货币种类、比例和汇率在专用条件中约定。</w:t>
      </w:r>
    </w:p>
    <w:p w14:paraId="7D3A2167">
      <w:pPr>
        <w:snapToGrid w:val="0"/>
        <w:spacing w:line="360" w:lineRule="auto"/>
        <w:ind w:left="220" w:leftChars="100"/>
        <w:rPr>
          <w:rFonts w:hint="eastAsia" w:ascii="仿宋" w:hAnsi="仿宋" w:eastAsia="仿宋" w:cs="仿宋"/>
          <w:bCs/>
          <w:sz w:val="24"/>
          <w:szCs w:val="24"/>
          <w:highlight w:val="none"/>
        </w:rPr>
      </w:pPr>
      <w:r>
        <w:rPr>
          <w:rFonts w:hint="eastAsia" w:ascii="仿宋" w:hAnsi="仿宋" w:eastAsia="仿宋" w:cs="仿宋"/>
          <w:sz w:val="24"/>
          <w:szCs w:val="24"/>
          <w:highlight w:val="none"/>
        </w:rPr>
        <w:t>5.2 支付申请</w:t>
      </w:r>
    </w:p>
    <w:p w14:paraId="5107AFD6">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监理人应在本合同约定的每次应付款时间的7天前，向委托人提交支付申请书。支付申请书应当说明当期应付款总额，并列出当期应支付的款项及其金额。</w:t>
      </w:r>
    </w:p>
    <w:p w14:paraId="5552B6DD">
      <w:pPr>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5.3 支付酬金</w:t>
      </w:r>
    </w:p>
    <w:p w14:paraId="213A526C">
      <w:pPr>
        <w:snapToGrid w:val="0"/>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支付的酬金包括正常工作酬金、附加工作酬金、合理化建议奖励金额及费用。</w:t>
      </w:r>
    </w:p>
    <w:p w14:paraId="4A9FFCE5">
      <w:pPr>
        <w:snapToGrid w:val="0"/>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  5.4 </w:t>
      </w:r>
      <w:r>
        <w:rPr>
          <w:rFonts w:hint="eastAsia" w:ascii="仿宋" w:hAnsi="仿宋" w:eastAsia="仿宋" w:cs="仿宋"/>
          <w:bCs/>
          <w:sz w:val="24"/>
          <w:szCs w:val="24"/>
          <w:highlight w:val="none"/>
        </w:rPr>
        <w:t>有争议部分的付款</w:t>
      </w:r>
    </w:p>
    <w:p w14:paraId="41729FE4">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委托人对监理人提交的支付申请书有异议时，应当在收到监理人提交的支付申请书后7天内，以书面形式向监理人发出异议通知。无异议部分的款项应按期支付，有异议部分的款项按第7条约定办理。</w:t>
      </w:r>
    </w:p>
    <w:p w14:paraId="7D714CC7">
      <w:pPr>
        <w:snapToGrid w:val="0"/>
        <w:spacing w:line="360" w:lineRule="auto"/>
        <w:rPr>
          <w:rFonts w:hint="eastAsia" w:ascii="仿宋" w:hAnsi="仿宋" w:eastAsia="仿宋" w:cs="仿宋"/>
          <w:b/>
          <w:bCs/>
          <w:color w:val="FF0000"/>
          <w:sz w:val="24"/>
          <w:szCs w:val="24"/>
          <w:highlight w:val="none"/>
        </w:rPr>
      </w:pPr>
      <w:r>
        <w:rPr>
          <w:rFonts w:hint="eastAsia" w:ascii="仿宋" w:hAnsi="仿宋" w:eastAsia="仿宋" w:cs="仿宋"/>
          <w:b/>
          <w:bCs/>
          <w:sz w:val="24"/>
          <w:szCs w:val="24"/>
          <w:highlight w:val="none"/>
        </w:rPr>
        <w:t>6. 合同生效、变更、暂停、解除与终止</w:t>
      </w:r>
    </w:p>
    <w:p w14:paraId="6CD311D9">
      <w:pPr>
        <w:spacing w:line="360" w:lineRule="auto"/>
        <w:ind w:left="220" w:leftChars="100"/>
        <w:rPr>
          <w:rFonts w:hint="eastAsia" w:ascii="仿宋" w:hAnsi="仿宋" w:eastAsia="仿宋" w:cs="仿宋"/>
          <w:sz w:val="24"/>
          <w:szCs w:val="24"/>
          <w:highlight w:val="none"/>
        </w:rPr>
      </w:pPr>
      <w:r>
        <w:rPr>
          <w:rFonts w:hint="eastAsia" w:ascii="仿宋" w:hAnsi="仿宋" w:eastAsia="仿宋" w:cs="仿宋"/>
          <w:sz w:val="24"/>
          <w:szCs w:val="24"/>
          <w:highlight w:val="none"/>
        </w:rPr>
        <w:t>6.1生效</w:t>
      </w:r>
    </w:p>
    <w:p w14:paraId="55986849">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除法律另有规定或者专用条件另有约定外，委托人和监理人的法定代表人或其授权代理人在协议书上签字并盖单位章后本合同生效。</w:t>
      </w:r>
    </w:p>
    <w:p w14:paraId="41C94575">
      <w:pPr>
        <w:snapToGrid w:val="0"/>
        <w:spacing w:line="360" w:lineRule="auto"/>
        <w:ind w:left="220" w:leftChars="100"/>
        <w:rPr>
          <w:rFonts w:hint="eastAsia" w:ascii="仿宋" w:hAnsi="仿宋" w:eastAsia="仿宋" w:cs="仿宋"/>
          <w:bCs/>
          <w:sz w:val="24"/>
          <w:szCs w:val="24"/>
          <w:highlight w:val="none"/>
        </w:rPr>
      </w:pPr>
      <w:r>
        <w:rPr>
          <w:rFonts w:hint="eastAsia" w:ascii="仿宋" w:hAnsi="仿宋" w:eastAsia="仿宋" w:cs="仿宋"/>
          <w:sz w:val="24"/>
          <w:szCs w:val="24"/>
          <w:highlight w:val="none"/>
        </w:rPr>
        <w:t>6.2</w:t>
      </w:r>
      <w:r>
        <w:rPr>
          <w:rFonts w:hint="eastAsia" w:ascii="仿宋" w:hAnsi="仿宋" w:eastAsia="仿宋" w:cs="仿宋"/>
          <w:bCs/>
          <w:sz w:val="24"/>
          <w:szCs w:val="24"/>
          <w:highlight w:val="none"/>
        </w:rPr>
        <w:t>变更</w:t>
      </w:r>
    </w:p>
    <w:p w14:paraId="000377D8">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6.2.1 任何一方提出变更请求时，双方经协商一致后可进行变更。</w:t>
      </w:r>
    </w:p>
    <w:p w14:paraId="50F69B1D">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6.2.2除不可抗力外，因非监理人原因导致监理人履行合同期限延长、内容增加时，监理人应当将此情况与可能产生的影响及时通知委托人。增加的监理工作时间、工作内容应视为附加工作。附加工作酬金的确定方法在专用条件中约定。</w:t>
      </w:r>
    </w:p>
    <w:p w14:paraId="5EC8918A">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6.2.3合同生效后，如果实际情况发生变化使得监理人不能完成全部或部分工作时，监理人应立即通知委托人。除不可抗力外，其善后工作以及恢复服务的准备工作应为附加工作，附加工作酬金的确定方法在专用条件中约定。监理人用于恢复服务的准备时间不应超过28天。</w:t>
      </w:r>
    </w:p>
    <w:p w14:paraId="19329E0C">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6.2.4合同签订后，遇有与工程相关的法律法规、标准颁布或修订的，双方应遵照执行。由此引起监理与相关服务的范围、时间、酬金变化的，双方应通过协商进行相应调整。</w:t>
      </w:r>
    </w:p>
    <w:p w14:paraId="02FC59CB">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6.2.5 因非监理人原因造成工程概算投资额或建筑安装工程费增加时，正常工作酬金应作相应调整。调整方法在专用条件中约定。</w:t>
      </w:r>
    </w:p>
    <w:p w14:paraId="2942CC2F">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6.2.6 因工程规模、监理范围的变化导致监理人的正常工作量减少时，正常工作酬金应作相应调整。调整方法在专用条件中约定。</w:t>
      </w:r>
    </w:p>
    <w:p w14:paraId="50EE0106">
      <w:pPr>
        <w:snapToGrid w:val="0"/>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  6.3 暂停与</w:t>
      </w:r>
      <w:r>
        <w:rPr>
          <w:rFonts w:hint="eastAsia" w:ascii="仿宋" w:hAnsi="仿宋" w:eastAsia="仿宋" w:cs="仿宋"/>
          <w:bCs/>
          <w:sz w:val="24"/>
          <w:szCs w:val="24"/>
          <w:highlight w:val="none"/>
        </w:rPr>
        <w:t>解除</w:t>
      </w:r>
    </w:p>
    <w:p w14:paraId="45EBF648">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除双方协商一致可以解除本合同外，当一方无正当理由未履行本合同约定的义务时，另一方可以根据本合同约定暂停履行本合同直至解除本合同。</w:t>
      </w:r>
    </w:p>
    <w:p w14:paraId="6ABEC2B4">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6.3.1 在本合同有效期内，由于双方无法预见和控制的原因导致本合同全部或部分无法继续履行或继续履行已无意义，经双方协商一致，可以解除本合同或监理人的部分义务。在解除之前，监理人应作出合理安排，使开支减至最小。</w:t>
      </w:r>
    </w:p>
    <w:p w14:paraId="7770A8F6">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因解除本合同或解除监理人的部分义务导致监理人遭受的损失，除依法可以免除责任的情况外，应由委托人予以补偿，补偿金额由双方协商确定。</w:t>
      </w:r>
    </w:p>
    <w:p w14:paraId="26E657F9">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解除本合同的协议必须采取书面形式，协议未达成之前，本合同仍然有效。</w:t>
      </w:r>
    </w:p>
    <w:p w14:paraId="3F40BF01">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6.3.2 在本合同有效期内，因非监理人的原因导致工程施工全部或部分暂停，委托人可通知监理人要求暂停全部或部分工作。监理人应立即安排停止工作，并将开支减至最小。除不可抗力外，由此导致监理人遭受的损失应由委托人予以补偿。</w:t>
      </w:r>
    </w:p>
    <w:p w14:paraId="79EA1178">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暂停部分监理与相关服务时间超过182天，监理人可发出解除本合同约定的该部分义务的通知；暂停全部工作时间超过182天，监理人可发出解除本合同的通知，本合同自通知到达委托人时解除。委托人应将监理与相关服务</w:t>
      </w:r>
      <w:r>
        <w:rPr>
          <w:rFonts w:hint="eastAsia" w:ascii="仿宋" w:hAnsi="仿宋" w:eastAsia="仿宋" w:cs="仿宋"/>
          <w:kern w:val="0"/>
          <w:sz w:val="24"/>
          <w:szCs w:val="24"/>
          <w:highlight w:val="none"/>
        </w:rPr>
        <w:t>的</w:t>
      </w:r>
      <w:r>
        <w:rPr>
          <w:rFonts w:hint="eastAsia" w:ascii="仿宋" w:hAnsi="仿宋" w:eastAsia="仿宋" w:cs="仿宋"/>
          <w:sz w:val="24"/>
          <w:szCs w:val="24"/>
          <w:highlight w:val="none"/>
        </w:rPr>
        <w:t>酬金支付至本合同解除日，且应承担第4.2款约定的责任。</w:t>
      </w:r>
    </w:p>
    <w:p w14:paraId="6F590DBB">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6.3.3 当监理人无正当理由未履行本合同约定的义务时，委托人应通知监理人限期改正。若委托人在监理人接到通知后的7天内未收到监理人书面形式的合理解释，则可在7天内发出解除本合同的通知，自通知到达监理人时本合同解除。委托人应将监理与相关服务</w:t>
      </w:r>
      <w:r>
        <w:rPr>
          <w:rFonts w:hint="eastAsia" w:ascii="仿宋" w:hAnsi="仿宋" w:eastAsia="仿宋" w:cs="仿宋"/>
          <w:kern w:val="0"/>
          <w:sz w:val="24"/>
          <w:szCs w:val="24"/>
          <w:highlight w:val="none"/>
        </w:rPr>
        <w:t>的</w:t>
      </w:r>
      <w:r>
        <w:rPr>
          <w:rFonts w:hint="eastAsia" w:ascii="仿宋" w:hAnsi="仿宋" w:eastAsia="仿宋" w:cs="仿宋"/>
          <w:sz w:val="24"/>
          <w:szCs w:val="24"/>
          <w:highlight w:val="none"/>
        </w:rPr>
        <w:t>酬金支付至</w:t>
      </w:r>
      <w:r>
        <w:rPr>
          <w:rFonts w:hint="eastAsia" w:ascii="仿宋" w:hAnsi="仿宋" w:eastAsia="仿宋" w:cs="仿宋"/>
          <w:kern w:val="0"/>
          <w:sz w:val="24"/>
          <w:szCs w:val="24"/>
          <w:highlight w:val="none"/>
        </w:rPr>
        <w:t>限期改正通知到达监理人之日</w:t>
      </w:r>
      <w:r>
        <w:rPr>
          <w:rFonts w:hint="eastAsia" w:ascii="仿宋" w:hAnsi="仿宋" w:eastAsia="仿宋" w:cs="仿宋"/>
          <w:sz w:val="24"/>
          <w:szCs w:val="24"/>
          <w:highlight w:val="none"/>
        </w:rPr>
        <w:t>，但监理人应承担第4.1款约定的责任。</w:t>
      </w:r>
    </w:p>
    <w:p w14:paraId="3254B7D0">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6.3.4 监理人在专用条件5.3中约定的支付之日起28天后仍未收到委托人按本合同约定应付的款项，可向委托人发出催付通知。委托人接到通知14天后仍未支付或未提出监理人可以接受的延期支付安排，监理人可向委托人发出暂停工作的通知并可自行暂停全部或部分工作。暂停工作后14天内监理人仍未获得委托人应付酬金或委托人的合理答复，监理人可向委托人发出解除本合同的通知，自通知到达委托人时本合同解除。委托人应承担第4.2.3款约定的责任。</w:t>
      </w:r>
    </w:p>
    <w:p w14:paraId="6C1D49B4">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sz w:val="24"/>
          <w:szCs w:val="24"/>
          <w:highlight w:val="none"/>
        </w:rPr>
        <w:t>6.3.5 因不可抗力致使本合同部分或全部不能履行时，一方应立即通知另一方，可暂停或解除本合同。</w:t>
      </w:r>
    </w:p>
    <w:p w14:paraId="345841FF">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6.3.6 本合同解除后，本合同约定的有关结算、清理、争议解决方式的条件仍然有效。</w:t>
      </w:r>
    </w:p>
    <w:p w14:paraId="53265FE6">
      <w:pPr>
        <w:snapToGrid w:val="0"/>
        <w:spacing w:line="360" w:lineRule="auto"/>
        <w:ind w:left="220" w:leftChars="100"/>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6.4 </w:t>
      </w:r>
      <w:r>
        <w:rPr>
          <w:rFonts w:hint="eastAsia" w:ascii="仿宋" w:hAnsi="仿宋" w:eastAsia="仿宋" w:cs="仿宋"/>
          <w:bCs/>
          <w:sz w:val="24"/>
          <w:szCs w:val="24"/>
          <w:highlight w:val="none"/>
        </w:rPr>
        <w:t>终止</w:t>
      </w:r>
    </w:p>
    <w:p w14:paraId="08EA0E81">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以下条件全部满足时，本合同即告终止：</w:t>
      </w:r>
    </w:p>
    <w:p w14:paraId="262ECABA">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（1）监理人完成本合同约定的全部工作；</w:t>
      </w:r>
    </w:p>
    <w:p w14:paraId="2DAD5D4E">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（2）委托人与监理人结清并支付全部酬金。</w:t>
      </w:r>
    </w:p>
    <w:p w14:paraId="530FEB1C">
      <w:pPr>
        <w:snapToGrid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7. 争议解决</w:t>
      </w:r>
    </w:p>
    <w:p w14:paraId="7B53B1EE">
      <w:pPr>
        <w:snapToGrid w:val="0"/>
        <w:spacing w:line="360" w:lineRule="auto"/>
        <w:ind w:left="220" w:leftChars="100"/>
        <w:rPr>
          <w:rFonts w:hint="eastAsia" w:ascii="仿宋" w:hAnsi="仿宋" w:eastAsia="仿宋" w:cs="仿宋"/>
          <w:bCs/>
          <w:sz w:val="24"/>
          <w:szCs w:val="24"/>
          <w:highlight w:val="none"/>
        </w:rPr>
      </w:pPr>
      <w:r>
        <w:rPr>
          <w:rFonts w:hint="eastAsia" w:ascii="仿宋" w:hAnsi="仿宋" w:eastAsia="仿宋" w:cs="仿宋"/>
          <w:sz w:val="24"/>
          <w:szCs w:val="24"/>
          <w:highlight w:val="none"/>
        </w:rPr>
        <w:t>7.1</w:t>
      </w:r>
      <w:r>
        <w:rPr>
          <w:rFonts w:hint="eastAsia" w:ascii="仿宋" w:hAnsi="仿宋" w:eastAsia="仿宋" w:cs="仿宋"/>
          <w:bCs/>
          <w:sz w:val="24"/>
          <w:szCs w:val="24"/>
          <w:highlight w:val="none"/>
        </w:rPr>
        <w:t>协商</w:t>
      </w:r>
    </w:p>
    <w:p w14:paraId="02F0C9B4">
      <w:pPr>
        <w:snapToGrid w:val="0"/>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sz w:val="24"/>
          <w:szCs w:val="24"/>
          <w:highlight w:val="none"/>
        </w:rPr>
        <w:t>双方应本着诚信原则协商解决彼此间的争议。</w:t>
      </w:r>
    </w:p>
    <w:p w14:paraId="48D220B1">
      <w:pPr>
        <w:snapToGrid w:val="0"/>
        <w:spacing w:line="360" w:lineRule="auto"/>
        <w:ind w:left="220" w:leftChars="100"/>
        <w:rPr>
          <w:rFonts w:hint="eastAsia" w:ascii="仿宋" w:hAnsi="仿宋" w:eastAsia="仿宋" w:cs="仿宋"/>
          <w:bCs/>
          <w:sz w:val="24"/>
          <w:szCs w:val="24"/>
          <w:highlight w:val="none"/>
        </w:rPr>
      </w:pPr>
      <w:r>
        <w:rPr>
          <w:rFonts w:hint="eastAsia" w:ascii="仿宋" w:hAnsi="仿宋" w:eastAsia="仿宋" w:cs="仿宋"/>
          <w:sz w:val="24"/>
          <w:szCs w:val="24"/>
          <w:highlight w:val="none"/>
        </w:rPr>
        <w:t>7.2</w:t>
      </w:r>
      <w:r>
        <w:rPr>
          <w:rFonts w:hint="eastAsia" w:ascii="仿宋" w:hAnsi="仿宋" w:eastAsia="仿宋" w:cs="仿宋"/>
          <w:bCs/>
          <w:sz w:val="24"/>
          <w:szCs w:val="24"/>
          <w:highlight w:val="none"/>
        </w:rPr>
        <w:t>调解</w:t>
      </w:r>
    </w:p>
    <w:p w14:paraId="6F5B0322">
      <w:pPr>
        <w:snapToGrid w:val="0"/>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sz w:val="24"/>
          <w:szCs w:val="24"/>
          <w:highlight w:val="none"/>
        </w:rPr>
        <w:t>如果双方不能在14天内或双方商定的其他时间内解决本合同争议，可以将其提交给专用条件约定的或事后达成协议的调解人进行调解。</w:t>
      </w:r>
    </w:p>
    <w:p w14:paraId="1632D3AB">
      <w:pPr>
        <w:snapToGrid w:val="0"/>
        <w:spacing w:line="360" w:lineRule="auto"/>
        <w:ind w:left="220" w:leftChars="100"/>
        <w:rPr>
          <w:rFonts w:hint="eastAsia" w:ascii="仿宋" w:hAnsi="仿宋" w:eastAsia="仿宋" w:cs="仿宋"/>
          <w:bCs/>
          <w:sz w:val="24"/>
          <w:szCs w:val="24"/>
          <w:highlight w:val="none"/>
        </w:rPr>
      </w:pPr>
      <w:r>
        <w:rPr>
          <w:rFonts w:hint="eastAsia" w:ascii="仿宋" w:hAnsi="仿宋" w:eastAsia="仿宋" w:cs="仿宋"/>
          <w:sz w:val="24"/>
          <w:szCs w:val="24"/>
          <w:highlight w:val="none"/>
        </w:rPr>
        <w:t>7.3</w:t>
      </w:r>
      <w:r>
        <w:rPr>
          <w:rFonts w:hint="eastAsia" w:ascii="仿宋" w:hAnsi="仿宋" w:eastAsia="仿宋" w:cs="仿宋"/>
          <w:bCs/>
          <w:sz w:val="24"/>
          <w:szCs w:val="24"/>
          <w:highlight w:val="none"/>
        </w:rPr>
        <w:t>仲裁或诉讼</w:t>
      </w:r>
    </w:p>
    <w:p w14:paraId="5B29D4C2">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双方均有权不经调解直接向专用条件约定的仲裁机构申请仲裁或向有管辖权的人民法院提起诉讼。</w:t>
      </w:r>
    </w:p>
    <w:p w14:paraId="0437991E">
      <w:pPr>
        <w:snapToGrid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8. 其他</w:t>
      </w:r>
    </w:p>
    <w:p w14:paraId="7A97360C">
      <w:pPr>
        <w:spacing w:line="360" w:lineRule="auto"/>
        <w:ind w:left="220" w:leftChars="100"/>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8.1 </w:t>
      </w:r>
      <w:r>
        <w:rPr>
          <w:rFonts w:hint="eastAsia" w:ascii="仿宋" w:hAnsi="仿宋" w:eastAsia="仿宋" w:cs="仿宋"/>
          <w:bCs/>
          <w:sz w:val="24"/>
          <w:szCs w:val="24"/>
          <w:highlight w:val="none"/>
        </w:rPr>
        <w:t>外出考察费用</w:t>
      </w:r>
    </w:p>
    <w:p w14:paraId="1ADEAA10">
      <w:pPr>
        <w:snapToGrid w:val="0"/>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sz w:val="24"/>
          <w:szCs w:val="24"/>
          <w:highlight w:val="none"/>
        </w:rPr>
        <w:t>经委托人同意，监理人员外出考察发生的费用由委托人审核后支付。</w:t>
      </w:r>
    </w:p>
    <w:p w14:paraId="0C7D320C">
      <w:pPr>
        <w:snapToGrid w:val="0"/>
        <w:spacing w:line="360" w:lineRule="auto"/>
        <w:ind w:left="220" w:leftChars="100"/>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8.2 </w:t>
      </w:r>
      <w:r>
        <w:rPr>
          <w:rFonts w:hint="eastAsia" w:ascii="仿宋" w:hAnsi="仿宋" w:eastAsia="仿宋" w:cs="仿宋"/>
          <w:bCs/>
          <w:sz w:val="24"/>
          <w:szCs w:val="24"/>
          <w:highlight w:val="none"/>
        </w:rPr>
        <w:t>检测费用</w:t>
      </w:r>
    </w:p>
    <w:p w14:paraId="7B600844">
      <w:pPr>
        <w:snapToGrid w:val="0"/>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sz w:val="24"/>
          <w:szCs w:val="24"/>
          <w:highlight w:val="none"/>
        </w:rPr>
        <w:t>委托人要求监理人进行的材料和设备检测所发生的费用，由委托人支付，支付时间在专用条件中约定。</w:t>
      </w:r>
    </w:p>
    <w:p w14:paraId="3E34F161">
      <w:pPr>
        <w:snapToGrid w:val="0"/>
        <w:spacing w:line="360" w:lineRule="auto"/>
        <w:ind w:left="220" w:leftChars="100"/>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8.3 </w:t>
      </w:r>
      <w:r>
        <w:rPr>
          <w:rFonts w:hint="eastAsia" w:ascii="仿宋" w:hAnsi="仿宋" w:eastAsia="仿宋" w:cs="仿宋"/>
          <w:bCs/>
          <w:sz w:val="24"/>
          <w:szCs w:val="24"/>
          <w:highlight w:val="none"/>
        </w:rPr>
        <w:t>咨询费用</w:t>
      </w:r>
    </w:p>
    <w:p w14:paraId="5CA8D7F8">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经委托人同意，根据工程需要由监理人组织的相关咨询论证会以及聘请相关专家等发生的费用由委托人支付，支付时间在专用条件中约定。</w:t>
      </w:r>
    </w:p>
    <w:p w14:paraId="40C14DD1">
      <w:pPr>
        <w:snapToGrid w:val="0"/>
        <w:spacing w:line="360" w:lineRule="auto"/>
        <w:ind w:left="220" w:leftChars="100"/>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8.4 </w:t>
      </w:r>
      <w:r>
        <w:rPr>
          <w:rFonts w:hint="eastAsia" w:ascii="仿宋" w:hAnsi="仿宋" w:eastAsia="仿宋" w:cs="仿宋"/>
          <w:bCs/>
          <w:sz w:val="24"/>
          <w:szCs w:val="24"/>
          <w:highlight w:val="none"/>
        </w:rPr>
        <w:t>奖励</w:t>
      </w:r>
    </w:p>
    <w:p w14:paraId="20364AD0">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监理人在服务过程中提出的合理化建议，使委托人获得经济效益的，双方在专用条件中约定奖励金额的确定方法。奖励金额在合理化建议被采纳后，与最近一期的正常工作酬金同期支付。</w:t>
      </w:r>
    </w:p>
    <w:p w14:paraId="4357860D">
      <w:pPr>
        <w:snapToGrid w:val="0"/>
        <w:spacing w:line="360" w:lineRule="auto"/>
        <w:ind w:left="220" w:leftChars="100"/>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8.5 </w:t>
      </w:r>
      <w:r>
        <w:rPr>
          <w:rFonts w:hint="eastAsia" w:ascii="仿宋" w:hAnsi="仿宋" w:eastAsia="仿宋" w:cs="仿宋"/>
          <w:bCs/>
          <w:sz w:val="24"/>
          <w:szCs w:val="24"/>
          <w:highlight w:val="none"/>
        </w:rPr>
        <w:t>守法诚信</w:t>
      </w:r>
    </w:p>
    <w:p w14:paraId="3EFCA85D">
      <w:pPr>
        <w:snapToGrid w:val="0"/>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sz w:val="24"/>
          <w:szCs w:val="24"/>
          <w:highlight w:val="none"/>
        </w:rPr>
        <w:t>监理人及其工作人员不得从与实施工程有关的第三方处获得任何经济利益。</w:t>
      </w:r>
    </w:p>
    <w:p w14:paraId="62B6A680">
      <w:pPr>
        <w:snapToGrid w:val="0"/>
        <w:spacing w:line="360" w:lineRule="auto"/>
        <w:ind w:left="220" w:leftChars="100"/>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8.6 </w:t>
      </w:r>
      <w:r>
        <w:rPr>
          <w:rFonts w:hint="eastAsia" w:ascii="仿宋" w:hAnsi="仿宋" w:eastAsia="仿宋" w:cs="仿宋"/>
          <w:bCs/>
          <w:sz w:val="24"/>
          <w:szCs w:val="24"/>
          <w:highlight w:val="none"/>
        </w:rPr>
        <w:t>保密</w:t>
      </w:r>
    </w:p>
    <w:p w14:paraId="3572A7D7">
      <w:pPr>
        <w:snapToGrid w:val="0"/>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sz w:val="24"/>
          <w:szCs w:val="24"/>
          <w:highlight w:val="none"/>
        </w:rPr>
        <w:t>双方不得泄露对方申明的保密资料，亦不得泄露与实施工程有关的第三方所提供的保密资料，保密事项在专用条件中约定。</w:t>
      </w:r>
    </w:p>
    <w:p w14:paraId="125AD358">
      <w:pPr>
        <w:snapToGrid w:val="0"/>
        <w:spacing w:line="360" w:lineRule="auto"/>
        <w:ind w:left="220" w:leftChars="100"/>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8.7 </w:t>
      </w:r>
      <w:r>
        <w:rPr>
          <w:rFonts w:hint="eastAsia" w:ascii="仿宋" w:hAnsi="仿宋" w:eastAsia="仿宋" w:cs="仿宋"/>
          <w:bCs/>
          <w:sz w:val="24"/>
          <w:szCs w:val="24"/>
          <w:highlight w:val="none"/>
        </w:rPr>
        <w:t>通知</w:t>
      </w:r>
    </w:p>
    <w:p w14:paraId="329A15B0">
      <w:pPr>
        <w:snapToGrid w:val="0"/>
        <w:spacing w:line="360" w:lineRule="auto"/>
        <w:ind w:firstLine="480" w:firstLineChars="200"/>
        <w:rPr>
          <w:rFonts w:hint="eastAsia" w:ascii="仿宋" w:hAnsi="仿宋" w:eastAsia="仿宋" w:cs="仿宋"/>
          <w:bCs/>
          <w:sz w:val="24"/>
          <w:szCs w:val="24"/>
          <w:highlight w:val="none"/>
        </w:rPr>
      </w:pPr>
      <w:r>
        <w:rPr>
          <w:rFonts w:hint="eastAsia" w:ascii="仿宋" w:hAnsi="仿宋" w:eastAsia="仿宋" w:cs="仿宋"/>
          <w:sz w:val="24"/>
          <w:szCs w:val="24"/>
          <w:highlight w:val="none"/>
        </w:rPr>
        <w:t>本合同涉及的通知均应当采用书面形式，并在送达对方时生效，收件人应书面签收。</w:t>
      </w:r>
    </w:p>
    <w:p w14:paraId="4A8C27D0">
      <w:pPr>
        <w:snapToGrid w:val="0"/>
        <w:spacing w:line="360" w:lineRule="auto"/>
        <w:ind w:left="220" w:leftChars="100"/>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8.8 </w:t>
      </w:r>
      <w:r>
        <w:rPr>
          <w:rFonts w:hint="eastAsia" w:ascii="仿宋" w:hAnsi="仿宋" w:eastAsia="仿宋" w:cs="仿宋"/>
          <w:bCs/>
          <w:sz w:val="24"/>
          <w:szCs w:val="24"/>
          <w:highlight w:val="none"/>
        </w:rPr>
        <w:t>著作权</w:t>
      </w:r>
    </w:p>
    <w:p w14:paraId="2F0F868F">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监理人对其编制的文件拥有著作权。</w:t>
      </w:r>
    </w:p>
    <w:p w14:paraId="5C8AB449">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监理人可单独或与他人联合出版有关监理与相关服务的资料。除专用条件另有约定外，如果监理人在本合同履行期间及本合同终止后两年内出版涉及本工程的有关监理与相关服务的资料，应当征得委托人的同意。</w:t>
      </w:r>
    </w:p>
    <w:p w14:paraId="67398D1B">
      <w:pPr>
        <w:pageBreakBefore/>
        <w:spacing w:line="360" w:lineRule="auto"/>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第三部分  专用条件</w:t>
      </w:r>
    </w:p>
    <w:p w14:paraId="05FEC544">
      <w:pPr>
        <w:spacing w:line="360" w:lineRule="auto"/>
        <w:jc w:val="center"/>
        <w:rPr>
          <w:rFonts w:hint="eastAsia" w:ascii="仿宋" w:hAnsi="仿宋" w:eastAsia="仿宋" w:cs="仿宋"/>
          <w:b/>
          <w:sz w:val="24"/>
          <w:szCs w:val="24"/>
          <w:highlight w:val="none"/>
        </w:rPr>
      </w:pPr>
    </w:p>
    <w:p w14:paraId="3AF73E4B">
      <w:pPr>
        <w:adjustRightInd w:val="0"/>
        <w:snapToGrid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1. 定义与解释</w:t>
      </w:r>
    </w:p>
    <w:p w14:paraId="237E28DE">
      <w:pPr>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1.2  解释</w:t>
      </w:r>
    </w:p>
    <w:p w14:paraId="004AB354">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1.2.1 本合同文件除使用中文外，还可用</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67D96D19">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1.2.2 约定本合同文件的解释顺序为：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78A1F33F">
      <w:pPr>
        <w:adjustRightInd w:val="0"/>
        <w:snapToGrid w:val="0"/>
        <w:spacing w:line="360" w:lineRule="auto"/>
        <w:rPr>
          <w:rFonts w:hint="eastAsia" w:ascii="仿宋" w:hAnsi="仿宋" w:eastAsia="仿宋" w:cs="仿宋"/>
          <w:b/>
          <w:sz w:val="24"/>
          <w:szCs w:val="24"/>
          <w:highlight w:val="none"/>
        </w:rPr>
      </w:pPr>
      <w:r>
        <w:rPr>
          <w:rFonts w:hint="eastAsia" w:ascii="仿宋" w:hAnsi="仿宋" w:eastAsia="仿宋" w:cs="仿宋"/>
          <w:b/>
          <w:sz w:val="24"/>
          <w:szCs w:val="24"/>
          <w:highlight w:val="none"/>
        </w:rPr>
        <w:t>2. 监理人义务</w:t>
      </w:r>
    </w:p>
    <w:p w14:paraId="7FBDDD81">
      <w:pPr>
        <w:adjustRightInd w:val="0"/>
        <w:snapToGrid w:val="0"/>
        <w:spacing w:line="360" w:lineRule="auto"/>
        <w:ind w:firstLine="235" w:firstLineChars="98"/>
        <w:rPr>
          <w:rFonts w:hint="eastAsia" w:ascii="仿宋" w:hAnsi="仿宋" w:eastAsia="仿宋" w:cs="仿宋"/>
          <w:sz w:val="24"/>
          <w:szCs w:val="24"/>
          <w:highlight w:val="none"/>
        </w:rPr>
      </w:pPr>
      <w:r>
        <w:rPr>
          <w:rFonts w:hint="eastAsia" w:ascii="仿宋" w:hAnsi="仿宋" w:eastAsia="仿宋" w:cs="仿宋"/>
          <w:sz w:val="24"/>
          <w:szCs w:val="24"/>
          <w:highlight w:val="none"/>
        </w:rPr>
        <w:t>2.1 监理的范围和</w:t>
      </w:r>
      <w:r>
        <w:rPr>
          <w:rFonts w:hint="eastAsia" w:ascii="仿宋" w:hAnsi="仿宋" w:eastAsia="仿宋" w:cs="仿宋"/>
          <w:bCs/>
          <w:sz w:val="24"/>
          <w:szCs w:val="24"/>
          <w:highlight w:val="none"/>
        </w:rPr>
        <w:t>内容</w:t>
      </w:r>
    </w:p>
    <w:p w14:paraId="601B1203">
      <w:pPr>
        <w:adjustRightInd w:val="0"/>
        <w:snapToGrid w:val="0"/>
        <w:spacing w:line="360" w:lineRule="auto"/>
        <w:ind w:firstLine="480" w:firstLine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2.1.1 监理范围包括：</w:t>
      </w:r>
      <w:r>
        <w:rPr>
          <w:rFonts w:hint="eastAsia" w:ascii="仿宋" w:hAnsi="仿宋" w:eastAsia="仿宋" w:cs="仿宋"/>
          <w:sz w:val="24"/>
          <w:szCs w:val="24"/>
          <w:highlight w:val="none"/>
          <w:u w:val="single"/>
        </w:rPr>
        <w:t xml:space="preserve">                                  </w:t>
      </w:r>
    </w:p>
    <w:p w14:paraId="1933CC3F">
      <w:pPr>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115142AC">
      <w:pPr>
        <w:adjustRightInd w:val="0"/>
        <w:snapToGrid w:val="0"/>
        <w:spacing w:line="360" w:lineRule="auto"/>
        <w:ind w:firstLine="480" w:firstLine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2.1.2 监理工作内容还包括：</w:t>
      </w:r>
      <w:r>
        <w:rPr>
          <w:rFonts w:hint="eastAsia" w:ascii="仿宋" w:hAnsi="仿宋" w:eastAsia="仿宋" w:cs="仿宋"/>
          <w:sz w:val="24"/>
          <w:szCs w:val="24"/>
          <w:highlight w:val="none"/>
          <w:u w:val="single"/>
        </w:rPr>
        <w:t xml:space="preserve">                     </w:t>
      </w:r>
    </w:p>
    <w:p w14:paraId="1FC04851">
      <w:pPr>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307B5521">
      <w:pPr>
        <w:spacing w:line="360" w:lineRule="auto"/>
        <w:ind w:firstLine="235" w:firstLineChars="98"/>
        <w:rPr>
          <w:rFonts w:hint="eastAsia" w:ascii="仿宋" w:hAnsi="仿宋" w:eastAsia="仿宋" w:cs="仿宋"/>
          <w:sz w:val="24"/>
          <w:szCs w:val="24"/>
          <w:highlight w:val="none"/>
        </w:rPr>
      </w:pPr>
      <w:r>
        <w:rPr>
          <w:rFonts w:hint="eastAsia" w:ascii="仿宋" w:hAnsi="仿宋" w:eastAsia="仿宋" w:cs="仿宋"/>
          <w:sz w:val="24"/>
          <w:szCs w:val="24"/>
          <w:highlight w:val="none"/>
        </w:rPr>
        <w:t>2.2 监理与相关服务依据</w:t>
      </w:r>
    </w:p>
    <w:p w14:paraId="1295DB6F">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2.2.1 监理依据包括：</w:t>
      </w:r>
      <w:r>
        <w:rPr>
          <w:rFonts w:hint="eastAsia" w:ascii="仿宋" w:hAnsi="仿宋" w:eastAsia="仿宋" w:cs="仿宋"/>
          <w:sz w:val="24"/>
          <w:szCs w:val="24"/>
          <w:highlight w:val="none"/>
          <w:u w:val="single"/>
        </w:rPr>
        <w:t xml:space="preserve">                          </w:t>
      </w:r>
    </w:p>
    <w:p w14:paraId="7C078009">
      <w:pPr>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160F67A3">
      <w:pPr>
        <w:adjustRightInd w:val="0"/>
        <w:snapToGrid w:val="0"/>
        <w:spacing w:line="360" w:lineRule="auto"/>
        <w:ind w:firstLine="480" w:firstLineChars="200"/>
        <w:rPr>
          <w:rFonts w:hint="eastAsia" w:ascii="仿宋" w:hAnsi="仿宋" w:eastAsia="仿宋" w:cs="仿宋"/>
          <w:dstrike/>
          <w:sz w:val="24"/>
          <w:szCs w:val="24"/>
          <w:highlight w:val="none"/>
        </w:rPr>
      </w:pPr>
      <w:r>
        <w:rPr>
          <w:rFonts w:hint="eastAsia" w:ascii="仿宋" w:hAnsi="仿宋" w:eastAsia="仿宋" w:cs="仿宋"/>
          <w:sz w:val="24"/>
          <w:szCs w:val="24"/>
          <w:highlight w:val="none"/>
        </w:rPr>
        <w:t>2.2.2 相关服务依据包括：</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139BC528">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2.3</w:t>
      </w:r>
      <w:r>
        <w:rPr>
          <w:rFonts w:hint="eastAsia" w:ascii="仿宋" w:hAnsi="仿宋" w:eastAsia="仿宋" w:cs="仿宋"/>
          <w:kern w:val="0"/>
          <w:sz w:val="24"/>
          <w:szCs w:val="24"/>
          <w:highlight w:val="none"/>
        </w:rPr>
        <w:t>项目监理机构和人员</w:t>
      </w:r>
    </w:p>
    <w:p w14:paraId="7E35A1D1">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2.3.4 </w:t>
      </w:r>
      <w:r>
        <w:rPr>
          <w:rFonts w:hint="eastAsia" w:ascii="仿宋" w:hAnsi="仿宋" w:eastAsia="仿宋" w:cs="仿宋"/>
          <w:kern w:val="0"/>
          <w:sz w:val="24"/>
          <w:szCs w:val="24"/>
          <w:highlight w:val="none"/>
        </w:rPr>
        <w:t>更换监理人员的其他情形：</w:t>
      </w: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w:t>
      </w:r>
    </w:p>
    <w:p w14:paraId="2E72CA47">
      <w:pPr>
        <w:spacing w:line="360" w:lineRule="auto"/>
        <w:ind w:firstLine="235" w:firstLineChars="98"/>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2.4 </w:t>
      </w:r>
      <w:r>
        <w:rPr>
          <w:rFonts w:hint="eastAsia" w:ascii="仿宋" w:hAnsi="仿宋" w:eastAsia="仿宋" w:cs="仿宋"/>
          <w:kern w:val="0"/>
          <w:sz w:val="24"/>
          <w:szCs w:val="24"/>
          <w:highlight w:val="none"/>
        </w:rPr>
        <w:t>履行职责</w:t>
      </w:r>
    </w:p>
    <w:p w14:paraId="2D97FDF9">
      <w:pPr>
        <w:adjustRightInd w:val="0"/>
        <w:snapToGrid w:val="0"/>
        <w:spacing w:line="360" w:lineRule="auto"/>
        <w:ind w:firstLine="480" w:firstLine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2.4.3 对监理人的授权范围：</w:t>
      </w:r>
      <w:r>
        <w:rPr>
          <w:rFonts w:hint="eastAsia" w:ascii="仿宋" w:hAnsi="仿宋" w:eastAsia="仿宋" w:cs="仿宋"/>
          <w:sz w:val="24"/>
          <w:szCs w:val="24"/>
          <w:highlight w:val="none"/>
          <w:u w:val="single"/>
        </w:rPr>
        <w:t xml:space="preserve">                     </w:t>
      </w:r>
    </w:p>
    <w:p w14:paraId="22F580C5">
      <w:pPr>
        <w:adjustRightInd w:val="0"/>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6B99B716">
      <w:pPr>
        <w:adjustRightInd w:val="0"/>
        <w:snapToGrid w:val="0"/>
        <w:spacing w:line="360" w:lineRule="auto"/>
        <w:ind w:firstLine="480" w:firstLineChars="200"/>
        <w:outlineLvl w:val="0"/>
        <w:rPr>
          <w:rFonts w:hint="eastAsia" w:ascii="仿宋" w:hAnsi="仿宋" w:eastAsia="仿宋" w:cs="仿宋"/>
          <w:sz w:val="24"/>
          <w:szCs w:val="24"/>
          <w:highlight w:val="none"/>
        </w:rPr>
      </w:pPr>
      <w:r>
        <w:rPr>
          <w:rFonts w:hint="eastAsia" w:ascii="仿宋" w:hAnsi="仿宋" w:eastAsia="仿宋" w:cs="仿宋"/>
          <w:sz w:val="24"/>
          <w:szCs w:val="24"/>
          <w:highlight w:val="none"/>
        </w:rPr>
        <w:t>在涉及工程延期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天内和（或）金额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万元内的变更，监理人不需请示委托人即可向承包人发布变更通知。</w:t>
      </w:r>
    </w:p>
    <w:p w14:paraId="786AE163">
      <w:pPr>
        <w:adjustRightInd w:val="0"/>
        <w:snapToGrid w:val="0"/>
        <w:spacing w:line="360" w:lineRule="auto"/>
        <w:ind w:firstLine="360" w:firstLineChars="150"/>
        <w:rPr>
          <w:rFonts w:hint="eastAsia" w:ascii="仿宋" w:hAnsi="仿宋" w:eastAsia="仿宋" w:cs="仿宋"/>
          <w:sz w:val="24"/>
          <w:szCs w:val="24"/>
          <w:highlight w:val="none"/>
        </w:rPr>
      </w:pPr>
      <w:r>
        <w:rPr>
          <w:rFonts w:hint="eastAsia" w:ascii="仿宋" w:hAnsi="仿宋" w:eastAsia="仿宋" w:cs="仿宋"/>
          <w:kern w:val="0"/>
          <w:sz w:val="24"/>
          <w:szCs w:val="24"/>
          <w:highlight w:val="none"/>
        </w:rPr>
        <w:t>2.4.4 监理人有权要求承包人调换其人员</w:t>
      </w:r>
      <w:r>
        <w:rPr>
          <w:rFonts w:hint="eastAsia" w:ascii="仿宋" w:hAnsi="仿宋" w:eastAsia="仿宋" w:cs="仿宋"/>
          <w:sz w:val="24"/>
          <w:szCs w:val="24"/>
          <w:highlight w:val="none"/>
        </w:rPr>
        <w:t>的限制条件：</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1FB11E35">
      <w:pPr>
        <w:adjustRightInd w:val="0"/>
        <w:snapToGrid w:val="0"/>
        <w:spacing w:line="360" w:lineRule="auto"/>
        <w:ind w:firstLine="120" w:firstLineChars="50"/>
        <w:rPr>
          <w:rFonts w:hint="eastAsia" w:ascii="仿宋" w:hAnsi="仿宋" w:eastAsia="仿宋" w:cs="仿宋"/>
          <w:sz w:val="24"/>
          <w:szCs w:val="24"/>
          <w:highlight w:val="none"/>
        </w:rPr>
      </w:pPr>
      <w:r>
        <w:rPr>
          <w:rFonts w:hint="eastAsia" w:ascii="仿宋" w:hAnsi="仿宋" w:eastAsia="仿宋" w:cs="仿宋"/>
          <w:kern w:val="0"/>
          <w:sz w:val="24"/>
          <w:szCs w:val="24"/>
          <w:highlight w:val="none"/>
        </w:rPr>
        <w:t xml:space="preserve">2.5 </w:t>
      </w:r>
      <w:r>
        <w:rPr>
          <w:rFonts w:hint="eastAsia" w:ascii="仿宋" w:hAnsi="仿宋" w:eastAsia="仿宋" w:cs="仿宋"/>
          <w:sz w:val="24"/>
          <w:szCs w:val="24"/>
          <w:highlight w:val="none"/>
        </w:rPr>
        <w:t>提交</w:t>
      </w:r>
      <w:r>
        <w:rPr>
          <w:rFonts w:hint="eastAsia" w:ascii="仿宋" w:hAnsi="仿宋" w:eastAsia="仿宋" w:cs="仿宋"/>
          <w:kern w:val="0"/>
          <w:sz w:val="24"/>
          <w:szCs w:val="24"/>
          <w:highlight w:val="none"/>
        </w:rPr>
        <w:t>报告</w:t>
      </w:r>
    </w:p>
    <w:p w14:paraId="1AFD077D">
      <w:pPr>
        <w:adjustRightInd w:val="0"/>
        <w:snapToGrid w:val="0"/>
        <w:spacing w:line="360" w:lineRule="auto"/>
        <w:ind w:firstLine="525"/>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监理人应提交报告的种类(</w:t>
      </w:r>
      <w:r>
        <w:rPr>
          <w:rFonts w:hint="eastAsia" w:ascii="仿宋" w:hAnsi="仿宋" w:eastAsia="仿宋" w:cs="仿宋"/>
          <w:kern w:val="0"/>
          <w:sz w:val="24"/>
          <w:szCs w:val="24"/>
          <w:highlight w:val="none"/>
        </w:rPr>
        <w:t>包括监理规划、监理月报及约定的专项报告)</w:t>
      </w:r>
      <w:r>
        <w:rPr>
          <w:rFonts w:hint="eastAsia" w:ascii="仿宋" w:hAnsi="仿宋" w:eastAsia="仿宋" w:cs="仿宋"/>
          <w:sz w:val="24"/>
          <w:szCs w:val="24"/>
          <w:highlight w:val="none"/>
        </w:rPr>
        <w:t>、时间和份数</w:t>
      </w:r>
      <w:r>
        <w:rPr>
          <w:rFonts w:hint="eastAsia" w:ascii="仿宋" w:hAnsi="仿宋" w:eastAsia="仿宋" w:cs="仿宋"/>
          <w:kern w:val="0"/>
          <w:sz w:val="24"/>
          <w:szCs w:val="24"/>
          <w:highlight w:val="none"/>
        </w:rPr>
        <w:t>：</w:t>
      </w:r>
      <w:r>
        <w:rPr>
          <w:rFonts w:hint="eastAsia" w:ascii="仿宋" w:hAnsi="仿宋" w:eastAsia="仿宋" w:cs="仿宋"/>
          <w:sz w:val="24"/>
          <w:szCs w:val="24"/>
          <w:highlight w:val="none"/>
          <w:u w:val="single"/>
        </w:rPr>
        <w:t xml:space="preserve">                                 </w:t>
      </w:r>
    </w:p>
    <w:p w14:paraId="67E724D8">
      <w:pPr>
        <w:adjustRightInd w:val="0"/>
        <w:snapToGrid w:val="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                                                                     </w:t>
      </w:r>
    </w:p>
    <w:p w14:paraId="6AE425B3">
      <w:pPr>
        <w:adjustRightInd w:val="0"/>
        <w:snapToGrid w:val="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525DC3FB">
      <w:pPr>
        <w:spacing w:line="360" w:lineRule="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 2.7 使用委托人的财产</w:t>
      </w:r>
    </w:p>
    <w:p w14:paraId="016325A6">
      <w:pPr>
        <w:spacing w:line="360" w:lineRule="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 xml:space="preserve">     </w:t>
      </w:r>
      <w:r>
        <w:rPr>
          <w:rFonts w:hint="eastAsia" w:ascii="仿宋" w:hAnsi="仿宋" w:eastAsia="仿宋" w:cs="仿宋"/>
          <w:sz w:val="24"/>
          <w:szCs w:val="24"/>
          <w:highlight w:val="none"/>
        </w:rPr>
        <w:t>附录B中由委托人无偿提供的房屋、设备的所有权属于：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0A2C69EA">
      <w:pPr>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sz w:val="24"/>
          <w:szCs w:val="24"/>
          <w:highlight w:val="none"/>
        </w:rPr>
        <w:t>监理人应在本合同终止后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天内移交委托人无偿提供的房屋、设备，移交的时间和方式为：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7C22BCD3">
      <w:pPr>
        <w:adjustRightInd w:val="0"/>
        <w:snapToGrid w:val="0"/>
        <w:spacing w:line="360" w:lineRule="auto"/>
        <w:rPr>
          <w:rFonts w:hint="eastAsia" w:ascii="仿宋" w:hAnsi="仿宋" w:eastAsia="仿宋" w:cs="仿宋"/>
          <w:b/>
          <w:sz w:val="24"/>
          <w:szCs w:val="24"/>
          <w:highlight w:val="none"/>
        </w:rPr>
      </w:pPr>
      <w:r>
        <w:rPr>
          <w:rFonts w:hint="eastAsia" w:ascii="仿宋" w:hAnsi="仿宋" w:eastAsia="仿宋" w:cs="仿宋"/>
          <w:b/>
          <w:kern w:val="0"/>
          <w:sz w:val="24"/>
          <w:szCs w:val="24"/>
          <w:highlight w:val="none"/>
        </w:rPr>
        <w:t xml:space="preserve">3. 委托人义务  </w:t>
      </w:r>
    </w:p>
    <w:p w14:paraId="1B081D43">
      <w:pPr>
        <w:snapToGrid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r>
        <w:rPr>
          <w:rFonts w:hint="eastAsia" w:ascii="仿宋" w:hAnsi="仿宋" w:eastAsia="仿宋" w:cs="仿宋"/>
          <w:kern w:val="0"/>
          <w:sz w:val="24"/>
          <w:szCs w:val="24"/>
          <w:highlight w:val="none"/>
        </w:rPr>
        <w:t>3.4 委托人代表</w:t>
      </w:r>
    </w:p>
    <w:p w14:paraId="4112E6ED">
      <w:pPr>
        <w:adjustRightInd w:val="0"/>
        <w:snapToGrid w:val="0"/>
        <w:spacing w:line="360" w:lineRule="auto"/>
        <w:ind w:firstLine="480" w:firstLine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委托人代表为：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1BFC0BC5">
      <w:pPr>
        <w:adjustRightInd w:val="0"/>
        <w:snapToGrid w:val="0"/>
        <w:spacing w:line="360" w:lineRule="auto"/>
        <w:ind w:firstLine="235" w:firstLineChars="98"/>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3.6 答复</w:t>
      </w:r>
    </w:p>
    <w:p w14:paraId="281A0F18">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委托人同意在</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天内，对监理人书面提交并要求做出决定的事宜给予书面答复。</w:t>
      </w:r>
    </w:p>
    <w:p w14:paraId="328A93C5">
      <w:pPr>
        <w:snapToGrid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4. 违约责任</w:t>
      </w:r>
    </w:p>
    <w:p w14:paraId="676E7483">
      <w:pPr>
        <w:spacing w:line="360" w:lineRule="auto"/>
        <w:ind w:left="220" w:leftChars="1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4.1 监理人的违约责任</w:t>
      </w:r>
    </w:p>
    <w:p w14:paraId="7930FAE0">
      <w:pPr>
        <w:adjustRightInd w:val="0"/>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4.1.1监理人赔偿金额按下列方法确定：</w:t>
      </w:r>
    </w:p>
    <w:p w14:paraId="0FF34CD4">
      <w:pPr>
        <w:adjustRightInd w:val="0"/>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sz w:val="24"/>
          <w:szCs w:val="24"/>
          <w:highlight w:val="none"/>
        </w:rPr>
        <w:t>赔偿金＝直接经济损失×正常工作酬金÷工程概算</w:t>
      </w:r>
      <w:r>
        <w:rPr>
          <w:rFonts w:hint="eastAsia" w:ascii="仿宋" w:hAnsi="仿宋" w:eastAsia="仿宋" w:cs="仿宋"/>
          <w:kern w:val="0"/>
          <w:sz w:val="24"/>
          <w:szCs w:val="24"/>
          <w:highlight w:val="none"/>
        </w:rPr>
        <w:t>投资额（或建筑安装工程费）</w:t>
      </w:r>
    </w:p>
    <w:p w14:paraId="65E169C6">
      <w:pPr>
        <w:snapToGrid w:val="0"/>
        <w:spacing w:line="360" w:lineRule="auto"/>
        <w:ind w:firstLine="240" w:firstLineChars="1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4.2 委托人的违约责任</w:t>
      </w:r>
    </w:p>
    <w:p w14:paraId="5B4F9405">
      <w:pPr>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sz w:val="24"/>
          <w:szCs w:val="24"/>
          <w:highlight w:val="none"/>
        </w:rPr>
        <w:t>4.2.3 委托人</w:t>
      </w:r>
      <w:r>
        <w:rPr>
          <w:rFonts w:hint="eastAsia" w:ascii="仿宋" w:hAnsi="仿宋" w:eastAsia="仿宋" w:cs="仿宋"/>
          <w:kern w:val="0"/>
          <w:sz w:val="24"/>
          <w:szCs w:val="24"/>
          <w:highlight w:val="none"/>
        </w:rPr>
        <w:t>逾期付款利息按下列方法确定：</w:t>
      </w:r>
    </w:p>
    <w:p w14:paraId="53B08516">
      <w:pPr>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逾期付款利息＝当期应付款总额×银行同期贷款利率×拖延支付天数</w:t>
      </w:r>
    </w:p>
    <w:p w14:paraId="5F827ECC">
      <w:pPr>
        <w:snapToGrid w:val="0"/>
        <w:spacing w:line="360" w:lineRule="auto"/>
        <w:rPr>
          <w:rFonts w:hint="eastAsia" w:ascii="仿宋" w:hAnsi="仿宋" w:eastAsia="仿宋" w:cs="仿宋"/>
          <w:b/>
          <w:sz w:val="24"/>
          <w:szCs w:val="24"/>
          <w:highlight w:val="none"/>
        </w:rPr>
      </w:pPr>
      <w:r>
        <w:rPr>
          <w:rFonts w:hint="eastAsia" w:ascii="仿宋" w:hAnsi="仿宋" w:eastAsia="仿宋" w:cs="仿宋"/>
          <w:b/>
          <w:bCs/>
          <w:sz w:val="24"/>
          <w:szCs w:val="24"/>
          <w:highlight w:val="none"/>
        </w:rPr>
        <w:t>5. 支付</w:t>
      </w:r>
    </w:p>
    <w:p w14:paraId="4B1C635E">
      <w:pPr>
        <w:snapToGrid w:val="0"/>
        <w:spacing w:line="360" w:lineRule="auto"/>
        <w:rPr>
          <w:rFonts w:hint="eastAsia" w:ascii="仿宋" w:hAnsi="仿宋" w:eastAsia="仿宋" w:cs="仿宋"/>
          <w:bCs/>
          <w:sz w:val="24"/>
          <w:szCs w:val="24"/>
          <w:highlight w:val="none"/>
        </w:rPr>
      </w:pPr>
      <w:r>
        <w:rPr>
          <w:rFonts w:hint="eastAsia" w:ascii="仿宋" w:hAnsi="仿宋" w:eastAsia="仿宋" w:cs="仿宋"/>
          <w:sz w:val="24"/>
          <w:szCs w:val="24"/>
          <w:highlight w:val="none"/>
        </w:rPr>
        <w:t xml:space="preserve">  5.1 </w:t>
      </w:r>
      <w:r>
        <w:rPr>
          <w:rFonts w:hint="eastAsia" w:ascii="仿宋" w:hAnsi="仿宋" w:eastAsia="仿宋" w:cs="仿宋"/>
          <w:bCs/>
          <w:sz w:val="24"/>
          <w:szCs w:val="24"/>
          <w:highlight w:val="none"/>
        </w:rPr>
        <w:t>支付货币</w:t>
      </w:r>
    </w:p>
    <w:p w14:paraId="19E7CCF5">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币种为：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，比例为：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，汇率为：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p>
    <w:p w14:paraId="5D1B9BBD">
      <w:pPr>
        <w:snapToGrid w:val="0"/>
        <w:spacing w:line="360" w:lineRule="auto"/>
        <w:ind w:firstLine="240" w:firstLineChars="1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5.3 支付酬金</w:t>
      </w:r>
    </w:p>
    <w:p w14:paraId="6BA2FEBA">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正常工作</w:t>
      </w:r>
      <w:r>
        <w:rPr>
          <w:rFonts w:hint="eastAsia" w:ascii="仿宋" w:hAnsi="仿宋" w:eastAsia="仿宋" w:cs="仿宋"/>
          <w:sz w:val="24"/>
          <w:szCs w:val="24"/>
          <w:highlight w:val="none"/>
        </w:rPr>
        <w:t>酬金的</w:t>
      </w:r>
      <w:r>
        <w:rPr>
          <w:rFonts w:hint="eastAsia" w:ascii="仿宋" w:hAnsi="仿宋" w:eastAsia="仿宋" w:cs="仿宋"/>
          <w:kern w:val="0"/>
          <w:sz w:val="24"/>
          <w:szCs w:val="24"/>
          <w:highlight w:val="none"/>
        </w:rPr>
        <w:t>支付</w:t>
      </w:r>
      <w:r>
        <w:rPr>
          <w:rFonts w:hint="eastAsia" w:ascii="仿宋" w:hAnsi="仿宋" w:eastAsia="仿宋" w:cs="仿宋"/>
          <w:sz w:val="24"/>
          <w:szCs w:val="24"/>
          <w:highlight w:val="none"/>
        </w:rPr>
        <w:t>：</w:t>
      </w:r>
    </w:p>
    <w:tbl>
      <w:tblPr>
        <w:tblStyle w:val="23"/>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9"/>
        <w:gridCol w:w="2127"/>
        <w:gridCol w:w="1559"/>
        <w:gridCol w:w="2835"/>
      </w:tblGrid>
      <w:tr w14:paraId="54CA0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559" w:type="dxa"/>
            <w:noWrap w:val="0"/>
            <w:vAlign w:val="center"/>
          </w:tcPr>
          <w:p w14:paraId="2CF114FF">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支付次数</w:t>
            </w:r>
          </w:p>
        </w:tc>
        <w:tc>
          <w:tcPr>
            <w:tcW w:w="2127" w:type="dxa"/>
            <w:noWrap w:val="0"/>
            <w:vAlign w:val="center"/>
          </w:tcPr>
          <w:p w14:paraId="50C1C233">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支付时间</w:t>
            </w:r>
          </w:p>
        </w:tc>
        <w:tc>
          <w:tcPr>
            <w:tcW w:w="1559" w:type="dxa"/>
            <w:noWrap w:val="0"/>
            <w:vAlign w:val="top"/>
          </w:tcPr>
          <w:p w14:paraId="485EC1F9">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支付比例</w:t>
            </w:r>
          </w:p>
        </w:tc>
        <w:tc>
          <w:tcPr>
            <w:tcW w:w="2835" w:type="dxa"/>
            <w:noWrap w:val="0"/>
            <w:vAlign w:val="center"/>
          </w:tcPr>
          <w:p w14:paraId="00F9D807">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支付金额（万元）</w:t>
            </w:r>
          </w:p>
        </w:tc>
      </w:tr>
      <w:tr w14:paraId="4CC8C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559" w:type="dxa"/>
            <w:noWrap w:val="0"/>
            <w:vAlign w:val="top"/>
          </w:tcPr>
          <w:p w14:paraId="708FDA7D">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首付款</w:t>
            </w:r>
          </w:p>
        </w:tc>
        <w:tc>
          <w:tcPr>
            <w:tcW w:w="2127" w:type="dxa"/>
            <w:noWrap w:val="0"/>
            <w:vAlign w:val="top"/>
          </w:tcPr>
          <w:p w14:paraId="10C035A6">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本合同签订后7天内</w:t>
            </w:r>
          </w:p>
        </w:tc>
        <w:tc>
          <w:tcPr>
            <w:tcW w:w="1559" w:type="dxa"/>
            <w:noWrap w:val="0"/>
            <w:vAlign w:val="top"/>
          </w:tcPr>
          <w:p w14:paraId="2C27E888">
            <w:pPr>
              <w:spacing w:line="360" w:lineRule="auto"/>
              <w:rPr>
                <w:rFonts w:hint="eastAsia" w:ascii="仿宋" w:hAnsi="仿宋" w:eastAsia="仿宋" w:cs="仿宋"/>
                <w:sz w:val="24"/>
                <w:szCs w:val="24"/>
                <w:highlight w:val="none"/>
              </w:rPr>
            </w:pPr>
          </w:p>
        </w:tc>
        <w:tc>
          <w:tcPr>
            <w:tcW w:w="2835" w:type="dxa"/>
            <w:noWrap w:val="0"/>
            <w:vAlign w:val="top"/>
          </w:tcPr>
          <w:p w14:paraId="22A0A058">
            <w:pPr>
              <w:spacing w:line="360" w:lineRule="auto"/>
              <w:rPr>
                <w:rFonts w:hint="eastAsia" w:ascii="仿宋" w:hAnsi="仿宋" w:eastAsia="仿宋" w:cs="仿宋"/>
                <w:sz w:val="24"/>
                <w:szCs w:val="24"/>
                <w:highlight w:val="none"/>
              </w:rPr>
            </w:pPr>
          </w:p>
        </w:tc>
      </w:tr>
      <w:tr w14:paraId="0C107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559" w:type="dxa"/>
            <w:noWrap w:val="0"/>
            <w:vAlign w:val="top"/>
          </w:tcPr>
          <w:p w14:paraId="31EE13F9">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第二次付款</w:t>
            </w:r>
          </w:p>
        </w:tc>
        <w:tc>
          <w:tcPr>
            <w:tcW w:w="2127" w:type="dxa"/>
            <w:noWrap w:val="0"/>
            <w:vAlign w:val="top"/>
          </w:tcPr>
          <w:p w14:paraId="033CCC97">
            <w:pPr>
              <w:spacing w:line="360" w:lineRule="auto"/>
              <w:ind w:firstLine="360" w:firstLineChars="150"/>
              <w:rPr>
                <w:rFonts w:hint="eastAsia" w:ascii="仿宋" w:hAnsi="仿宋" w:eastAsia="仿宋" w:cs="仿宋"/>
                <w:sz w:val="24"/>
                <w:szCs w:val="24"/>
                <w:highlight w:val="none"/>
              </w:rPr>
            </w:pPr>
          </w:p>
        </w:tc>
        <w:tc>
          <w:tcPr>
            <w:tcW w:w="1559" w:type="dxa"/>
            <w:noWrap w:val="0"/>
            <w:vAlign w:val="top"/>
          </w:tcPr>
          <w:p w14:paraId="45A41FD3">
            <w:pPr>
              <w:spacing w:line="360" w:lineRule="auto"/>
              <w:rPr>
                <w:rFonts w:hint="eastAsia" w:ascii="仿宋" w:hAnsi="仿宋" w:eastAsia="仿宋" w:cs="仿宋"/>
                <w:sz w:val="24"/>
                <w:szCs w:val="24"/>
                <w:highlight w:val="none"/>
              </w:rPr>
            </w:pPr>
          </w:p>
        </w:tc>
        <w:tc>
          <w:tcPr>
            <w:tcW w:w="2835" w:type="dxa"/>
            <w:noWrap w:val="0"/>
            <w:vAlign w:val="top"/>
          </w:tcPr>
          <w:p w14:paraId="327C9481">
            <w:pPr>
              <w:spacing w:line="360" w:lineRule="auto"/>
              <w:ind w:firstLine="840" w:firstLineChars="350"/>
              <w:rPr>
                <w:rFonts w:hint="eastAsia" w:ascii="仿宋" w:hAnsi="仿宋" w:eastAsia="仿宋" w:cs="仿宋"/>
                <w:sz w:val="24"/>
                <w:szCs w:val="24"/>
                <w:highlight w:val="none"/>
              </w:rPr>
            </w:pPr>
          </w:p>
        </w:tc>
      </w:tr>
      <w:tr w14:paraId="7DE99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559" w:type="dxa"/>
            <w:noWrap w:val="0"/>
            <w:vAlign w:val="top"/>
          </w:tcPr>
          <w:p w14:paraId="525C799D">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第三次付款</w:t>
            </w:r>
          </w:p>
        </w:tc>
        <w:tc>
          <w:tcPr>
            <w:tcW w:w="2127" w:type="dxa"/>
            <w:noWrap w:val="0"/>
            <w:vAlign w:val="top"/>
          </w:tcPr>
          <w:p w14:paraId="69156ED2">
            <w:pPr>
              <w:spacing w:line="360" w:lineRule="auto"/>
              <w:ind w:firstLine="360" w:firstLineChars="150"/>
              <w:rPr>
                <w:rFonts w:hint="eastAsia" w:ascii="仿宋" w:hAnsi="仿宋" w:eastAsia="仿宋" w:cs="仿宋"/>
                <w:sz w:val="24"/>
                <w:szCs w:val="24"/>
                <w:highlight w:val="none"/>
              </w:rPr>
            </w:pPr>
          </w:p>
        </w:tc>
        <w:tc>
          <w:tcPr>
            <w:tcW w:w="1559" w:type="dxa"/>
            <w:noWrap w:val="0"/>
            <w:vAlign w:val="top"/>
          </w:tcPr>
          <w:p w14:paraId="223BC43B">
            <w:pPr>
              <w:spacing w:line="360" w:lineRule="auto"/>
              <w:rPr>
                <w:rFonts w:hint="eastAsia" w:ascii="仿宋" w:hAnsi="仿宋" w:eastAsia="仿宋" w:cs="仿宋"/>
                <w:sz w:val="24"/>
                <w:szCs w:val="24"/>
                <w:highlight w:val="none"/>
              </w:rPr>
            </w:pPr>
          </w:p>
        </w:tc>
        <w:tc>
          <w:tcPr>
            <w:tcW w:w="2835" w:type="dxa"/>
            <w:noWrap w:val="0"/>
            <w:vAlign w:val="top"/>
          </w:tcPr>
          <w:p w14:paraId="4C2B5B50">
            <w:pPr>
              <w:spacing w:line="360" w:lineRule="auto"/>
              <w:rPr>
                <w:rFonts w:hint="eastAsia" w:ascii="仿宋" w:hAnsi="仿宋" w:eastAsia="仿宋" w:cs="仿宋"/>
                <w:sz w:val="24"/>
                <w:szCs w:val="24"/>
                <w:highlight w:val="none"/>
              </w:rPr>
            </w:pPr>
          </w:p>
        </w:tc>
      </w:tr>
      <w:tr w14:paraId="1412A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559" w:type="dxa"/>
            <w:noWrap w:val="0"/>
            <w:vAlign w:val="top"/>
          </w:tcPr>
          <w:p w14:paraId="58DA19D7">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w:t>
            </w:r>
          </w:p>
        </w:tc>
        <w:tc>
          <w:tcPr>
            <w:tcW w:w="2127" w:type="dxa"/>
            <w:noWrap w:val="0"/>
            <w:vAlign w:val="top"/>
          </w:tcPr>
          <w:p w14:paraId="125CB194">
            <w:pPr>
              <w:spacing w:line="360" w:lineRule="auto"/>
              <w:rPr>
                <w:rFonts w:hint="eastAsia" w:ascii="仿宋" w:hAnsi="仿宋" w:eastAsia="仿宋" w:cs="仿宋"/>
                <w:sz w:val="24"/>
                <w:szCs w:val="24"/>
                <w:highlight w:val="none"/>
              </w:rPr>
            </w:pPr>
          </w:p>
        </w:tc>
        <w:tc>
          <w:tcPr>
            <w:tcW w:w="1559" w:type="dxa"/>
            <w:noWrap w:val="0"/>
            <w:vAlign w:val="top"/>
          </w:tcPr>
          <w:p w14:paraId="7C553B1F">
            <w:pPr>
              <w:spacing w:line="360" w:lineRule="auto"/>
              <w:rPr>
                <w:rFonts w:hint="eastAsia" w:ascii="仿宋" w:hAnsi="仿宋" w:eastAsia="仿宋" w:cs="仿宋"/>
                <w:sz w:val="24"/>
                <w:szCs w:val="24"/>
                <w:highlight w:val="none"/>
              </w:rPr>
            </w:pPr>
          </w:p>
        </w:tc>
        <w:tc>
          <w:tcPr>
            <w:tcW w:w="2835" w:type="dxa"/>
            <w:noWrap w:val="0"/>
            <w:vAlign w:val="top"/>
          </w:tcPr>
          <w:p w14:paraId="70DD1E19">
            <w:pPr>
              <w:spacing w:line="360" w:lineRule="auto"/>
              <w:rPr>
                <w:rFonts w:hint="eastAsia" w:ascii="仿宋" w:hAnsi="仿宋" w:eastAsia="仿宋" w:cs="仿宋"/>
                <w:sz w:val="24"/>
                <w:szCs w:val="24"/>
                <w:highlight w:val="none"/>
              </w:rPr>
            </w:pPr>
          </w:p>
        </w:tc>
      </w:tr>
      <w:tr w14:paraId="49A9B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559" w:type="dxa"/>
            <w:noWrap w:val="0"/>
            <w:vAlign w:val="top"/>
          </w:tcPr>
          <w:p w14:paraId="06FEAD90">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最后付款</w:t>
            </w:r>
          </w:p>
        </w:tc>
        <w:tc>
          <w:tcPr>
            <w:tcW w:w="2127" w:type="dxa"/>
            <w:noWrap w:val="0"/>
            <w:vAlign w:val="top"/>
          </w:tcPr>
          <w:p w14:paraId="3E7F7C70">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监理与相关服务期届满14天内</w:t>
            </w:r>
          </w:p>
        </w:tc>
        <w:tc>
          <w:tcPr>
            <w:tcW w:w="1559" w:type="dxa"/>
            <w:noWrap w:val="0"/>
            <w:vAlign w:val="top"/>
          </w:tcPr>
          <w:p w14:paraId="372963A9">
            <w:pPr>
              <w:spacing w:line="360" w:lineRule="auto"/>
              <w:jc w:val="center"/>
              <w:rPr>
                <w:rFonts w:hint="eastAsia" w:ascii="仿宋" w:hAnsi="仿宋" w:eastAsia="仿宋" w:cs="仿宋"/>
                <w:sz w:val="24"/>
                <w:szCs w:val="24"/>
                <w:highlight w:val="none"/>
              </w:rPr>
            </w:pPr>
          </w:p>
        </w:tc>
        <w:tc>
          <w:tcPr>
            <w:tcW w:w="2835" w:type="dxa"/>
            <w:noWrap w:val="0"/>
            <w:vAlign w:val="top"/>
          </w:tcPr>
          <w:p w14:paraId="5E32D89B">
            <w:pPr>
              <w:spacing w:line="360" w:lineRule="auto"/>
              <w:jc w:val="center"/>
              <w:rPr>
                <w:rFonts w:hint="eastAsia" w:ascii="仿宋" w:hAnsi="仿宋" w:eastAsia="仿宋" w:cs="仿宋"/>
                <w:sz w:val="24"/>
                <w:szCs w:val="24"/>
                <w:highlight w:val="none"/>
              </w:rPr>
            </w:pPr>
          </w:p>
        </w:tc>
      </w:tr>
    </w:tbl>
    <w:p w14:paraId="46669DDE">
      <w:pPr>
        <w:snapToGrid w:val="0"/>
        <w:spacing w:line="360" w:lineRule="auto"/>
        <w:ind w:firstLine="480" w:firstLine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 xml:space="preserve"> </w:t>
      </w:r>
    </w:p>
    <w:p w14:paraId="374540B9">
      <w:pPr>
        <w:snapToGrid w:val="0"/>
        <w:spacing w:line="360" w:lineRule="auto"/>
        <w:rPr>
          <w:rFonts w:hint="eastAsia" w:ascii="仿宋" w:hAnsi="仿宋" w:eastAsia="仿宋" w:cs="仿宋"/>
          <w:b/>
          <w:bCs/>
          <w:color w:val="FF0000"/>
          <w:sz w:val="24"/>
          <w:szCs w:val="24"/>
          <w:highlight w:val="none"/>
        </w:rPr>
      </w:pPr>
      <w:r>
        <w:rPr>
          <w:rFonts w:hint="eastAsia" w:ascii="仿宋" w:hAnsi="仿宋" w:eastAsia="仿宋" w:cs="仿宋"/>
          <w:bCs/>
          <w:sz w:val="24"/>
          <w:szCs w:val="24"/>
          <w:highlight w:val="none"/>
        </w:rPr>
        <w:t>6</w:t>
      </w:r>
      <w:r>
        <w:rPr>
          <w:rFonts w:hint="eastAsia" w:ascii="仿宋" w:hAnsi="仿宋" w:eastAsia="仿宋" w:cs="仿宋"/>
          <w:b/>
          <w:bCs/>
          <w:sz w:val="24"/>
          <w:szCs w:val="24"/>
          <w:highlight w:val="none"/>
        </w:rPr>
        <w:t>. 合同生效、变更、暂停、解除与终止</w:t>
      </w:r>
    </w:p>
    <w:p w14:paraId="10B2C57A">
      <w:pPr>
        <w:adjustRightInd w:val="0"/>
        <w:snapToGrid w:val="0"/>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6.1 生效</w:t>
      </w:r>
    </w:p>
    <w:p w14:paraId="3BE5E1EC">
      <w:pPr>
        <w:adjustRightInd w:val="0"/>
        <w:snapToGrid w:val="0"/>
        <w:spacing w:line="360" w:lineRule="auto"/>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本合同生效条件：</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067287D7">
      <w:pPr>
        <w:adjustRightInd w:val="0"/>
        <w:snapToGrid w:val="0"/>
        <w:spacing w:line="360" w:lineRule="auto"/>
        <w:ind w:firstLine="235" w:firstLineChars="98"/>
        <w:rPr>
          <w:rFonts w:hint="eastAsia" w:ascii="仿宋" w:hAnsi="仿宋" w:eastAsia="仿宋" w:cs="仿宋"/>
          <w:sz w:val="24"/>
          <w:szCs w:val="24"/>
          <w:highlight w:val="none"/>
        </w:rPr>
      </w:pPr>
      <w:r>
        <w:rPr>
          <w:rFonts w:hint="eastAsia" w:ascii="仿宋" w:hAnsi="仿宋" w:eastAsia="仿宋" w:cs="仿宋"/>
          <w:sz w:val="24"/>
          <w:szCs w:val="24"/>
          <w:highlight w:val="none"/>
        </w:rPr>
        <w:t>6.2 变更</w:t>
      </w:r>
    </w:p>
    <w:p w14:paraId="0FEBC020">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6.2.2 除不可抗力外， 因非监理人原因导致本合同期限延长时，附加工作酬金按下列方法确定：</w:t>
      </w:r>
    </w:p>
    <w:p w14:paraId="2F320A89">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附加工作</w:t>
      </w:r>
      <w:r>
        <w:rPr>
          <w:rFonts w:hint="eastAsia" w:ascii="仿宋" w:hAnsi="仿宋" w:eastAsia="仿宋" w:cs="仿宋"/>
          <w:sz w:val="24"/>
          <w:szCs w:val="24"/>
          <w:highlight w:val="none"/>
        </w:rPr>
        <w:t>酬金</w:t>
      </w:r>
      <w:r>
        <w:rPr>
          <w:rFonts w:hint="eastAsia" w:ascii="仿宋" w:hAnsi="仿宋" w:eastAsia="仿宋" w:cs="仿宋"/>
          <w:kern w:val="0"/>
          <w:sz w:val="24"/>
          <w:szCs w:val="24"/>
          <w:highlight w:val="none"/>
        </w:rPr>
        <w:t>=</w:t>
      </w:r>
      <w:r>
        <w:rPr>
          <w:rFonts w:hint="eastAsia" w:ascii="仿宋" w:hAnsi="仿宋" w:eastAsia="仿宋" w:cs="仿宋"/>
          <w:sz w:val="24"/>
          <w:szCs w:val="24"/>
          <w:highlight w:val="none"/>
        </w:rPr>
        <w:t>本合同期限延长</w:t>
      </w:r>
      <w:r>
        <w:rPr>
          <w:rFonts w:hint="eastAsia" w:ascii="仿宋" w:hAnsi="仿宋" w:eastAsia="仿宋" w:cs="仿宋"/>
          <w:kern w:val="0"/>
          <w:sz w:val="24"/>
          <w:szCs w:val="24"/>
          <w:highlight w:val="none"/>
        </w:rPr>
        <w:t>时间（天）×正常工作酬金÷</w:t>
      </w:r>
      <w:r>
        <w:rPr>
          <w:rFonts w:hint="eastAsia" w:ascii="仿宋" w:hAnsi="仿宋" w:eastAsia="仿宋" w:cs="仿宋"/>
          <w:sz w:val="24"/>
          <w:szCs w:val="24"/>
          <w:highlight w:val="none"/>
        </w:rPr>
        <w:t>协议书约定的监理与相关服务期限</w:t>
      </w:r>
      <w:r>
        <w:rPr>
          <w:rFonts w:hint="eastAsia" w:ascii="仿宋" w:hAnsi="仿宋" w:eastAsia="仿宋" w:cs="仿宋"/>
          <w:kern w:val="0"/>
          <w:sz w:val="24"/>
          <w:szCs w:val="24"/>
          <w:highlight w:val="none"/>
        </w:rPr>
        <w:t>（天）</w:t>
      </w:r>
    </w:p>
    <w:p w14:paraId="13C778C0">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6.2.3附加工作酬金按下列方法确定：</w:t>
      </w:r>
    </w:p>
    <w:p w14:paraId="1FBDBDD7">
      <w:pPr>
        <w:snapToGrid w:val="0"/>
        <w:spacing w:line="360" w:lineRule="auto"/>
        <w:ind w:firstLine="480" w:firstLineChars="2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附加工作</w:t>
      </w:r>
      <w:r>
        <w:rPr>
          <w:rFonts w:hint="eastAsia" w:ascii="仿宋" w:hAnsi="仿宋" w:eastAsia="仿宋" w:cs="仿宋"/>
          <w:sz w:val="24"/>
          <w:szCs w:val="24"/>
          <w:highlight w:val="none"/>
        </w:rPr>
        <w:t>酬金</w:t>
      </w:r>
      <w:r>
        <w:rPr>
          <w:rFonts w:hint="eastAsia" w:ascii="仿宋" w:hAnsi="仿宋" w:eastAsia="仿宋" w:cs="仿宋"/>
          <w:kern w:val="0"/>
          <w:sz w:val="24"/>
          <w:szCs w:val="24"/>
          <w:highlight w:val="none"/>
        </w:rPr>
        <w:t>=善后工作及恢复服务的准备工作时间（天）×正常工作酬金÷</w:t>
      </w:r>
      <w:r>
        <w:rPr>
          <w:rFonts w:hint="eastAsia" w:ascii="仿宋" w:hAnsi="仿宋" w:eastAsia="仿宋" w:cs="仿宋"/>
          <w:sz w:val="24"/>
          <w:szCs w:val="24"/>
          <w:highlight w:val="none"/>
        </w:rPr>
        <w:t>协议书约定的监理与相关服务期限</w:t>
      </w:r>
      <w:r>
        <w:rPr>
          <w:rFonts w:hint="eastAsia" w:ascii="仿宋" w:hAnsi="仿宋" w:eastAsia="仿宋" w:cs="仿宋"/>
          <w:kern w:val="0"/>
          <w:sz w:val="24"/>
          <w:szCs w:val="24"/>
          <w:highlight w:val="none"/>
        </w:rPr>
        <w:t>（天）</w:t>
      </w:r>
    </w:p>
    <w:p w14:paraId="74476035">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6.2.5 正常工作酬金增加额按下列方法确定： </w:t>
      </w:r>
    </w:p>
    <w:p w14:paraId="57B5D48F">
      <w:pPr>
        <w:adjustRightInd w:val="0"/>
        <w:snapToGrid w:val="0"/>
        <w:spacing w:line="360" w:lineRule="auto"/>
        <w:ind w:firstLine="480"/>
        <w:rPr>
          <w:rFonts w:hint="eastAsia" w:ascii="仿宋" w:hAnsi="仿宋" w:eastAsia="仿宋" w:cs="仿宋"/>
          <w:kern w:val="0"/>
          <w:sz w:val="24"/>
          <w:szCs w:val="24"/>
          <w:highlight w:val="none"/>
        </w:rPr>
      </w:pPr>
      <w:r>
        <w:rPr>
          <w:rFonts w:hint="eastAsia" w:ascii="仿宋" w:hAnsi="仿宋" w:eastAsia="仿宋" w:cs="仿宋"/>
          <w:sz w:val="24"/>
          <w:szCs w:val="24"/>
          <w:highlight w:val="none"/>
        </w:rPr>
        <w:t>正常工作酬金增加额</w:t>
      </w:r>
      <w:r>
        <w:rPr>
          <w:rFonts w:hint="eastAsia" w:ascii="仿宋" w:hAnsi="仿宋" w:eastAsia="仿宋" w:cs="仿宋"/>
          <w:kern w:val="0"/>
          <w:sz w:val="24"/>
          <w:szCs w:val="24"/>
          <w:highlight w:val="none"/>
        </w:rPr>
        <w:t>=工程投资额</w:t>
      </w:r>
      <w:r>
        <w:rPr>
          <w:rFonts w:hint="eastAsia" w:ascii="仿宋" w:hAnsi="仿宋" w:eastAsia="仿宋" w:cs="仿宋"/>
          <w:sz w:val="24"/>
          <w:szCs w:val="24"/>
          <w:highlight w:val="none"/>
        </w:rPr>
        <w:t>或建筑安装工程费</w:t>
      </w:r>
      <w:r>
        <w:rPr>
          <w:rFonts w:hint="eastAsia" w:ascii="仿宋" w:hAnsi="仿宋" w:eastAsia="仿宋" w:cs="仿宋"/>
          <w:kern w:val="0"/>
          <w:sz w:val="24"/>
          <w:szCs w:val="24"/>
          <w:highlight w:val="none"/>
        </w:rPr>
        <w:t>增加额×正常工作酬金÷工程概算投资额（或建筑安装工程费）</w:t>
      </w:r>
    </w:p>
    <w:p w14:paraId="12858CA9">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6.2.6 因工程规模、监理范围的变化导致监理人的正常工作量减少时，按减少工作量的比例从协议书约定的正常工作酬金中扣减相同比例的酬金。</w:t>
      </w:r>
    </w:p>
    <w:p w14:paraId="1BACD2AF">
      <w:pPr>
        <w:snapToGrid w:val="0"/>
        <w:spacing w:line="360" w:lineRule="auto"/>
        <w:rPr>
          <w:rFonts w:hint="eastAsia" w:ascii="仿宋" w:hAnsi="仿宋" w:eastAsia="仿宋" w:cs="仿宋"/>
          <w:b/>
          <w:sz w:val="24"/>
          <w:szCs w:val="24"/>
          <w:highlight w:val="none"/>
        </w:rPr>
      </w:pPr>
      <w:r>
        <w:rPr>
          <w:rFonts w:hint="eastAsia" w:ascii="仿宋" w:hAnsi="仿宋" w:eastAsia="仿宋" w:cs="仿宋"/>
          <w:b/>
          <w:bCs/>
          <w:sz w:val="24"/>
          <w:szCs w:val="24"/>
          <w:highlight w:val="none"/>
        </w:rPr>
        <w:t>7. 争议解决</w:t>
      </w:r>
    </w:p>
    <w:p w14:paraId="220D9844">
      <w:pPr>
        <w:snapToGrid w:val="0"/>
        <w:spacing w:line="360" w:lineRule="auto"/>
        <w:ind w:firstLine="235" w:firstLineChars="98"/>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7.2 </w:t>
      </w:r>
      <w:r>
        <w:rPr>
          <w:rFonts w:hint="eastAsia" w:ascii="仿宋" w:hAnsi="仿宋" w:eastAsia="仿宋" w:cs="仿宋"/>
          <w:bCs/>
          <w:sz w:val="24"/>
          <w:szCs w:val="24"/>
          <w:highlight w:val="none"/>
        </w:rPr>
        <w:t>调解</w:t>
      </w:r>
    </w:p>
    <w:p w14:paraId="2A9FEF42">
      <w:pPr>
        <w:snapToGrid w:val="0"/>
        <w:spacing w:line="360" w:lineRule="auto"/>
        <w:ind w:firstLine="470" w:firstLineChars="196"/>
        <w:rPr>
          <w:rFonts w:hint="eastAsia" w:ascii="仿宋" w:hAnsi="仿宋" w:eastAsia="仿宋" w:cs="仿宋"/>
          <w:sz w:val="24"/>
          <w:szCs w:val="24"/>
          <w:highlight w:val="none"/>
        </w:rPr>
      </w:pPr>
      <w:r>
        <w:rPr>
          <w:rFonts w:hint="eastAsia" w:ascii="仿宋" w:hAnsi="仿宋" w:eastAsia="仿宋" w:cs="仿宋"/>
          <w:sz w:val="24"/>
          <w:szCs w:val="24"/>
          <w:highlight w:val="none"/>
        </w:rPr>
        <w:t>本合同争议进行调解时，可提交</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进行调解。</w:t>
      </w:r>
    </w:p>
    <w:p w14:paraId="5111B3B6">
      <w:pPr>
        <w:snapToGrid w:val="0"/>
        <w:spacing w:line="360" w:lineRule="auto"/>
        <w:ind w:firstLine="235" w:firstLineChars="98"/>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7.3 </w:t>
      </w:r>
      <w:r>
        <w:rPr>
          <w:rFonts w:hint="eastAsia" w:ascii="仿宋" w:hAnsi="仿宋" w:eastAsia="仿宋" w:cs="仿宋"/>
          <w:bCs/>
          <w:sz w:val="24"/>
          <w:szCs w:val="24"/>
          <w:highlight w:val="none"/>
        </w:rPr>
        <w:t>仲裁或诉讼</w:t>
      </w:r>
    </w:p>
    <w:p w14:paraId="189EAB28">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合同争议的最终解决方式为下列第</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种方式：</w:t>
      </w:r>
    </w:p>
    <w:p w14:paraId="17219463">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（1）提请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仲裁委员会进行仲裁。</w:t>
      </w:r>
    </w:p>
    <w:p w14:paraId="6258869E">
      <w:pPr>
        <w:adjustRightInd w:val="0"/>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（2）向</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人民法院提起诉讼。</w:t>
      </w:r>
    </w:p>
    <w:p w14:paraId="4E549147">
      <w:pPr>
        <w:adjustRightInd w:val="0"/>
        <w:snapToGrid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8. 其他</w:t>
      </w:r>
    </w:p>
    <w:p w14:paraId="49BB8E9C">
      <w:pPr>
        <w:adjustRightInd w:val="0"/>
        <w:snapToGrid w:val="0"/>
        <w:spacing w:line="360" w:lineRule="auto"/>
        <w:rPr>
          <w:rFonts w:hint="eastAsia" w:ascii="仿宋" w:hAnsi="仿宋" w:eastAsia="仿宋" w:cs="仿宋"/>
          <w:bCs/>
          <w:sz w:val="24"/>
          <w:szCs w:val="24"/>
          <w:highlight w:val="none"/>
        </w:rPr>
      </w:pPr>
      <w:r>
        <w:rPr>
          <w:rFonts w:hint="eastAsia" w:ascii="仿宋" w:hAnsi="仿宋" w:eastAsia="仿宋" w:cs="仿宋"/>
          <w:b/>
          <w:bCs/>
          <w:sz w:val="24"/>
          <w:szCs w:val="24"/>
          <w:highlight w:val="none"/>
        </w:rPr>
        <w:t xml:space="preserve">  </w:t>
      </w:r>
      <w:r>
        <w:rPr>
          <w:rFonts w:hint="eastAsia" w:ascii="仿宋" w:hAnsi="仿宋" w:eastAsia="仿宋" w:cs="仿宋"/>
          <w:bCs/>
          <w:sz w:val="24"/>
          <w:szCs w:val="24"/>
          <w:highlight w:val="none"/>
        </w:rPr>
        <w:t>8.2 检测费用</w:t>
      </w:r>
    </w:p>
    <w:p w14:paraId="0AE8EAC8">
      <w:pPr>
        <w:adjustRightInd w:val="0"/>
        <w:snapToGrid w:val="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委托人应在检测工作完成后</w:t>
      </w:r>
      <w:r>
        <w:rPr>
          <w:rFonts w:hint="eastAsia" w:ascii="仿宋" w:hAnsi="仿宋" w:eastAsia="仿宋" w:cs="仿宋"/>
          <w:sz w:val="24"/>
          <w:szCs w:val="24"/>
          <w:highlight w:val="none"/>
          <w:u w:val="single"/>
        </w:rPr>
        <w:t xml:space="preserve">     </w:t>
      </w:r>
      <w:r>
        <w:rPr>
          <w:rFonts w:hint="eastAsia" w:ascii="仿宋" w:hAnsi="仿宋" w:eastAsia="仿宋" w:cs="仿宋"/>
          <w:bCs/>
          <w:sz w:val="24"/>
          <w:szCs w:val="24"/>
          <w:highlight w:val="none"/>
        </w:rPr>
        <w:t>天内支付检测费用。</w:t>
      </w:r>
    </w:p>
    <w:p w14:paraId="4A77DACC">
      <w:pPr>
        <w:adjustRightInd w:val="0"/>
        <w:snapToGrid w:val="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8.3 咨询费用</w:t>
      </w:r>
    </w:p>
    <w:p w14:paraId="64F62D83">
      <w:pPr>
        <w:adjustRightInd w:val="0"/>
        <w:snapToGrid w:val="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    委托人应在咨询工作完成后</w:t>
      </w:r>
      <w:r>
        <w:rPr>
          <w:rFonts w:hint="eastAsia" w:ascii="仿宋" w:hAnsi="仿宋" w:eastAsia="仿宋" w:cs="仿宋"/>
          <w:sz w:val="24"/>
          <w:szCs w:val="24"/>
          <w:highlight w:val="none"/>
          <w:u w:val="single"/>
        </w:rPr>
        <w:t xml:space="preserve">     </w:t>
      </w:r>
      <w:r>
        <w:rPr>
          <w:rFonts w:hint="eastAsia" w:ascii="仿宋" w:hAnsi="仿宋" w:eastAsia="仿宋" w:cs="仿宋"/>
          <w:bCs/>
          <w:sz w:val="24"/>
          <w:szCs w:val="24"/>
          <w:highlight w:val="none"/>
        </w:rPr>
        <w:t>天内支付咨询费用。</w:t>
      </w:r>
    </w:p>
    <w:p w14:paraId="3CD1A516">
      <w:pPr>
        <w:snapToGrid w:val="0"/>
        <w:spacing w:line="360" w:lineRule="auto"/>
        <w:ind w:firstLine="235" w:firstLineChars="98"/>
        <w:rPr>
          <w:rFonts w:hint="eastAsia" w:ascii="仿宋" w:hAnsi="仿宋" w:eastAsia="仿宋" w:cs="仿宋"/>
          <w:sz w:val="24"/>
          <w:szCs w:val="24"/>
          <w:highlight w:val="none"/>
        </w:rPr>
      </w:pPr>
      <w:r>
        <w:rPr>
          <w:rFonts w:hint="eastAsia" w:ascii="仿宋" w:hAnsi="仿宋" w:eastAsia="仿宋" w:cs="仿宋"/>
          <w:sz w:val="24"/>
          <w:szCs w:val="24"/>
          <w:highlight w:val="none"/>
        </w:rPr>
        <w:t>8.4 奖励</w:t>
      </w:r>
    </w:p>
    <w:p w14:paraId="4C463B79">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合理化建议的奖励金额按下列方法确定为：</w:t>
      </w:r>
    </w:p>
    <w:p w14:paraId="79BF7A7A">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奖励金额＝工程投资节省额×奖励金额的比率；</w:t>
      </w:r>
    </w:p>
    <w:p w14:paraId="6DE8CC95">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奖励金额的比率为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68F5F764">
      <w:pPr>
        <w:adjustRightInd w:val="0"/>
        <w:snapToGrid w:val="0"/>
        <w:spacing w:line="360" w:lineRule="auto"/>
        <w:ind w:firstLine="235" w:firstLineChars="98"/>
        <w:rPr>
          <w:rFonts w:hint="eastAsia" w:ascii="仿宋" w:hAnsi="仿宋" w:eastAsia="仿宋" w:cs="仿宋"/>
          <w:sz w:val="24"/>
          <w:szCs w:val="24"/>
          <w:highlight w:val="none"/>
        </w:rPr>
      </w:pPr>
      <w:r>
        <w:rPr>
          <w:rFonts w:hint="eastAsia" w:ascii="仿宋" w:hAnsi="仿宋" w:eastAsia="仿宋" w:cs="仿宋"/>
          <w:sz w:val="24"/>
          <w:szCs w:val="24"/>
          <w:highlight w:val="none"/>
        </w:rPr>
        <w:t>8.6 保密</w:t>
      </w:r>
    </w:p>
    <w:p w14:paraId="4427393B">
      <w:pPr>
        <w:adjustRightInd w:val="0"/>
        <w:snapToGrid w:val="0"/>
        <w:spacing w:line="360" w:lineRule="auto"/>
        <w:ind w:firstLine="480" w:firstLine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委托人申明的保密事项和期限：</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5D0F827B">
      <w:pPr>
        <w:adjustRightInd w:val="0"/>
        <w:snapToGrid w:val="0"/>
        <w:spacing w:line="360" w:lineRule="auto"/>
        <w:ind w:firstLine="480" w:firstLine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监理人申明的保密事项和期限：</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6F75C04B">
      <w:pPr>
        <w:adjustRightInd w:val="0"/>
        <w:snapToGrid w:val="0"/>
        <w:spacing w:line="360" w:lineRule="auto"/>
        <w:ind w:firstLine="480" w:firstLineChars="200"/>
        <w:rPr>
          <w:rFonts w:hint="eastAsia" w:ascii="仿宋" w:hAnsi="仿宋" w:eastAsia="仿宋" w:cs="仿宋"/>
          <w:sz w:val="24"/>
          <w:szCs w:val="24"/>
          <w:highlight w:val="none"/>
          <w:u w:val="single"/>
        </w:rPr>
      </w:pPr>
      <w:r>
        <w:rPr>
          <w:rFonts w:hint="eastAsia" w:ascii="仿宋" w:hAnsi="仿宋" w:eastAsia="仿宋" w:cs="仿宋"/>
          <w:sz w:val="24"/>
          <w:szCs w:val="24"/>
          <w:highlight w:val="none"/>
        </w:rPr>
        <w:t>第三方申明的保密事项和期限：</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380C6F68">
      <w:pPr>
        <w:snapToGrid w:val="0"/>
        <w:spacing w:line="360" w:lineRule="auto"/>
        <w:ind w:firstLine="235" w:firstLineChars="98"/>
        <w:rPr>
          <w:rFonts w:hint="eastAsia" w:ascii="仿宋" w:hAnsi="仿宋" w:eastAsia="仿宋" w:cs="仿宋"/>
          <w:bCs/>
          <w:sz w:val="24"/>
          <w:szCs w:val="24"/>
          <w:highlight w:val="none"/>
        </w:rPr>
      </w:pPr>
      <w:r>
        <w:rPr>
          <w:rFonts w:hint="eastAsia" w:ascii="仿宋" w:hAnsi="仿宋" w:eastAsia="仿宋" w:cs="仿宋"/>
          <w:sz w:val="24"/>
          <w:szCs w:val="24"/>
          <w:highlight w:val="none"/>
        </w:rPr>
        <w:t>8.8</w:t>
      </w:r>
      <w:r>
        <w:rPr>
          <w:rFonts w:hint="eastAsia" w:ascii="仿宋" w:hAnsi="仿宋" w:eastAsia="仿宋" w:cs="仿宋"/>
          <w:bCs/>
          <w:sz w:val="24"/>
          <w:szCs w:val="24"/>
          <w:highlight w:val="none"/>
        </w:rPr>
        <w:t>著作权</w:t>
      </w:r>
    </w:p>
    <w:p w14:paraId="25EA4738">
      <w:pPr>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监理人在本合同履行期间及本合同终止后两年内出版涉及本工程的有关监理与相关服务的资料的限制条件：</w:t>
      </w:r>
    </w:p>
    <w:p w14:paraId="3E2A6208">
      <w:pPr>
        <w:adjustRightInd w:val="0"/>
        <w:snapToGrid w:val="0"/>
        <w:spacing w:before="156" w:beforeLines="50" w:after="156" w:afterLines="50"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                                                     </w:t>
      </w:r>
    </w:p>
    <w:p w14:paraId="412E7CB1">
      <w:pPr>
        <w:adjustRightInd w:val="0"/>
        <w:snapToGrid w:val="0"/>
        <w:spacing w:before="156" w:beforeLines="50" w:after="156" w:afterLines="5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705C230E">
      <w:pPr>
        <w:adjustRightInd w:val="0"/>
        <w:snapToGrid w:val="0"/>
        <w:spacing w:before="156" w:beforeLines="50" w:after="156" w:afterLines="50" w:line="36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9. 补充条款</w:t>
      </w:r>
    </w:p>
    <w:p w14:paraId="4CCCFA6E">
      <w:pPr>
        <w:adjustRightInd w:val="0"/>
        <w:snapToGrid w:val="0"/>
        <w:spacing w:before="156" w:beforeLines="50" w:after="156" w:afterLines="50"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                                                     </w:t>
      </w:r>
    </w:p>
    <w:p w14:paraId="6DBE83B1">
      <w:pPr>
        <w:adjustRightInd w:val="0"/>
        <w:snapToGrid w:val="0"/>
        <w:spacing w:before="156" w:beforeLines="50" w:after="156" w:afterLines="50"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4B642C6E">
      <w:pPr>
        <w:pageBreakBefore/>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附录A  相关服务的范围和内容</w:t>
      </w:r>
    </w:p>
    <w:p w14:paraId="33913B99">
      <w:pPr>
        <w:snapToGrid w:val="0"/>
        <w:spacing w:before="156" w:beforeLines="50" w:after="156" w:afterLines="50" w:line="360" w:lineRule="auto"/>
        <w:ind w:firstLine="960" w:firstLineChars="4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A-1 勘察阶段：</w:t>
      </w:r>
      <w:r>
        <w:rPr>
          <w:rFonts w:hint="eastAsia" w:ascii="仿宋" w:hAnsi="仿宋" w:eastAsia="仿宋" w:cs="仿宋"/>
          <w:sz w:val="24"/>
          <w:szCs w:val="24"/>
          <w:highlight w:val="none"/>
          <w:u w:val="single"/>
        </w:rPr>
        <w:t xml:space="preserve">                                        </w:t>
      </w:r>
    </w:p>
    <w:p w14:paraId="6F4F361D">
      <w:pPr>
        <w:snapToGrid w:val="0"/>
        <w:spacing w:before="156" w:beforeLines="50" w:after="156" w:afterLines="50" w:line="360" w:lineRule="auto"/>
        <w:ind w:firstLine="480" w:firstLineChars="200"/>
        <w:rPr>
          <w:rFonts w:hint="eastAsia" w:ascii="仿宋" w:hAnsi="仿宋" w:eastAsia="仿宋" w:cs="仿宋"/>
          <w:sz w:val="24"/>
          <w:szCs w:val="24"/>
          <w:highlight w:val="none"/>
        </w:rPr>
      </w:pPr>
      <w:r>
        <w:rPr>
          <w:rFonts w:hint="eastAsia" w:ascii="仿宋" w:hAnsi="仿宋" w:eastAsia="仿宋" w:cs="仿宋"/>
          <w:kern w:val="0"/>
          <w:sz w:val="24"/>
          <w:szCs w:val="24"/>
          <w:highlight w:val="none"/>
          <w:u w:val="single"/>
        </w:rPr>
        <w:t xml:space="preserve">                                              </w:t>
      </w:r>
      <w:r>
        <w:rPr>
          <w:rFonts w:hint="eastAsia" w:ascii="仿宋" w:hAnsi="仿宋" w:eastAsia="仿宋" w:cs="仿宋"/>
          <w:kern w:val="0"/>
          <w:sz w:val="24"/>
          <w:szCs w:val="24"/>
          <w:highlight w:val="none"/>
        </w:rPr>
        <w:t>。</w:t>
      </w:r>
    </w:p>
    <w:p w14:paraId="0F7AC5CA">
      <w:pPr>
        <w:snapToGrid w:val="0"/>
        <w:spacing w:before="156" w:beforeLines="50" w:after="156" w:afterLines="50" w:line="360" w:lineRule="auto"/>
        <w:ind w:firstLine="960" w:firstLineChars="4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A-2 设计阶段：</w:t>
      </w:r>
      <w:r>
        <w:rPr>
          <w:rFonts w:hint="eastAsia" w:ascii="仿宋" w:hAnsi="仿宋" w:eastAsia="仿宋" w:cs="仿宋"/>
          <w:sz w:val="24"/>
          <w:szCs w:val="24"/>
          <w:highlight w:val="none"/>
          <w:u w:val="single"/>
        </w:rPr>
        <w:t xml:space="preserve">                                </w:t>
      </w:r>
    </w:p>
    <w:p w14:paraId="3B2AA677">
      <w:pPr>
        <w:snapToGrid w:val="0"/>
        <w:spacing w:before="156" w:beforeLines="50" w:after="156" w:afterLines="50"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1976EDCD">
      <w:pPr>
        <w:snapToGrid w:val="0"/>
        <w:spacing w:before="156" w:beforeLines="50" w:after="156" w:afterLines="50" w:line="360" w:lineRule="auto"/>
        <w:ind w:firstLine="960" w:firstLineChars="400"/>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A-3 保修阶段：</w:t>
      </w:r>
      <w:r>
        <w:rPr>
          <w:rFonts w:hint="eastAsia" w:ascii="仿宋" w:hAnsi="仿宋" w:eastAsia="仿宋" w:cs="仿宋"/>
          <w:sz w:val="24"/>
          <w:szCs w:val="24"/>
          <w:highlight w:val="none"/>
          <w:u w:val="single"/>
        </w:rPr>
        <w:t xml:space="preserve">                                                      </w:t>
      </w:r>
    </w:p>
    <w:p w14:paraId="7CF1E1DE">
      <w:pPr>
        <w:snapToGrid w:val="0"/>
        <w:spacing w:before="156" w:beforeLines="50" w:after="156" w:afterLines="50"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18A957D5">
      <w:pPr>
        <w:snapToGrid w:val="0"/>
        <w:spacing w:before="156" w:beforeLines="50" w:after="156" w:afterLines="50" w:line="360" w:lineRule="auto"/>
        <w:ind w:firstLine="960" w:firstLineChars="400"/>
        <w:rPr>
          <w:rFonts w:hint="eastAsia" w:ascii="仿宋" w:hAnsi="仿宋" w:eastAsia="仿宋" w:cs="仿宋"/>
          <w:sz w:val="24"/>
          <w:szCs w:val="24"/>
          <w:highlight w:val="none"/>
          <w:u w:val="single"/>
        </w:rPr>
      </w:pPr>
      <w:r>
        <w:rPr>
          <w:rFonts w:hint="eastAsia" w:ascii="仿宋" w:hAnsi="仿宋" w:eastAsia="仿宋" w:cs="仿宋"/>
          <w:kern w:val="0"/>
          <w:sz w:val="24"/>
          <w:szCs w:val="24"/>
          <w:highlight w:val="none"/>
        </w:rPr>
        <w:t xml:space="preserve">A-4 </w:t>
      </w:r>
      <w:r>
        <w:rPr>
          <w:rFonts w:hint="eastAsia" w:ascii="仿宋" w:hAnsi="仿宋" w:eastAsia="仿宋" w:cs="仿宋"/>
          <w:sz w:val="24"/>
          <w:szCs w:val="24"/>
          <w:highlight w:val="none"/>
        </w:rPr>
        <w:t>其他（专业技术咨询、外部协调工作等）：</w:t>
      </w:r>
      <w:r>
        <w:rPr>
          <w:rFonts w:hint="eastAsia" w:ascii="仿宋" w:hAnsi="仿宋" w:eastAsia="仿宋" w:cs="仿宋"/>
          <w:sz w:val="24"/>
          <w:szCs w:val="24"/>
          <w:highlight w:val="none"/>
          <w:u w:val="single"/>
        </w:rPr>
        <w:t xml:space="preserve">   </w:t>
      </w:r>
    </w:p>
    <w:p w14:paraId="688CFC83">
      <w:pPr>
        <w:snapToGrid w:val="0"/>
        <w:spacing w:before="156" w:beforeLines="50" w:after="156" w:afterLines="50"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w:t>
      </w:r>
    </w:p>
    <w:p w14:paraId="7EE1FC20">
      <w:pPr>
        <w:snapToGrid w:val="0"/>
        <w:spacing w:before="156" w:beforeLines="50" w:after="156" w:afterLines="50" w:line="360" w:lineRule="auto"/>
        <w:ind w:firstLine="480" w:firstLineChars="200"/>
        <w:rPr>
          <w:rFonts w:hint="eastAsia" w:ascii="仿宋" w:hAnsi="仿宋" w:eastAsia="仿宋" w:cs="仿宋"/>
          <w:sz w:val="24"/>
          <w:szCs w:val="24"/>
          <w:highlight w:val="none"/>
        </w:rPr>
      </w:pPr>
    </w:p>
    <w:p w14:paraId="6CA2613D">
      <w:pPr>
        <w:spacing w:line="360" w:lineRule="auto"/>
        <w:rPr>
          <w:rFonts w:hint="eastAsia" w:ascii="仿宋" w:hAnsi="仿宋" w:eastAsia="仿宋" w:cs="仿宋"/>
          <w:bCs/>
          <w:sz w:val="24"/>
          <w:szCs w:val="24"/>
          <w:highlight w:val="none"/>
        </w:rPr>
      </w:pPr>
    </w:p>
    <w:p w14:paraId="52DBD962">
      <w:pPr>
        <w:pageBreakBefore/>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附录B  委托人派遣的人员和提供的房屋、资料、设备</w:t>
      </w:r>
    </w:p>
    <w:p w14:paraId="5F4D851E">
      <w:pPr>
        <w:spacing w:before="156" w:beforeLines="50" w:line="360" w:lineRule="auto"/>
        <w:rPr>
          <w:rFonts w:hint="eastAsia" w:ascii="仿宋" w:hAnsi="仿宋" w:eastAsia="仿宋" w:cs="仿宋"/>
          <w:b/>
          <w:kern w:val="0"/>
          <w:sz w:val="24"/>
          <w:szCs w:val="24"/>
          <w:highlight w:val="none"/>
        </w:rPr>
      </w:pPr>
      <w:r>
        <w:rPr>
          <w:rFonts w:hint="eastAsia" w:ascii="仿宋" w:hAnsi="仿宋" w:eastAsia="仿宋" w:cs="仿宋"/>
          <w:b/>
          <w:kern w:val="0"/>
          <w:sz w:val="24"/>
          <w:szCs w:val="24"/>
          <w:highlight w:val="none"/>
        </w:rPr>
        <w:t>B-1  委托人派遣的人员</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8"/>
        <w:gridCol w:w="1770"/>
        <w:gridCol w:w="2130"/>
        <w:gridCol w:w="1860"/>
      </w:tblGrid>
      <w:tr w14:paraId="6DD2D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808" w:type="dxa"/>
            <w:noWrap w:val="0"/>
            <w:vAlign w:val="top"/>
          </w:tcPr>
          <w:p w14:paraId="35E39CC5">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名称</w:t>
            </w:r>
          </w:p>
        </w:tc>
        <w:tc>
          <w:tcPr>
            <w:tcW w:w="1770" w:type="dxa"/>
            <w:noWrap w:val="0"/>
            <w:vAlign w:val="top"/>
          </w:tcPr>
          <w:p w14:paraId="73D122E2">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数量</w:t>
            </w:r>
          </w:p>
        </w:tc>
        <w:tc>
          <w:tcPr>
            <w:tcW w:w="2130" w:type="dxa"/>
            <w:noWrap w:val="0"/>
            <w:vAlign w:val="top"/>
          </w:tcPr>
          <w:p w14:paraId="276669A1">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工作要求</w:t>
            </w:r>
          </w:p>
        </w:tc>
        <w:tc>
          <w:tcPr>
            <w:tcW w:w="1860" w:type="dxa"/>
            <w:noWrap w:val="0"/>
            <w:vAlign w:val="top"/>
          </w:tcPr>
          <w:p w14:paraId="43C31C14">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提供时间</w:t>
            </w:r>
          </w:p>
        </w:tc>
      </w:tr>
      <w:tr w14:paraId="7701B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808" w:type="dxa"/>
            <w:noWrap w:val="0"/>
            <w:vAlign w:val="top"/>
          </w:tcPr>
          <w:p w14:paraId="03F9AD88">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工程技术人员 </w:t>
            </w:r>
          </w:p>
        </w:tc>
        <w:tc>
          <w:tcPr>
            <w:tcW w:w="1770" w:type="dxa"/>
            <w:noWrap w:val="0"/>
            <w:vAlign w:val="top"/>
          </w:tcPr>
          <w:p w14:paraId="50278B7C">
            <w:pPr>
              <w:spacing w:line="360" w:lineRule="auto"/>
              <w:rPr>
                <w:rFonts w:hint="eastAsia" w:ascii="仿宋" w:hAnsi="仿宋" w:eastAsia="仿宋" w:cs="仿宋"/>
                <w:sz w:val="24"/>
                <w:szCs w:val="24"/>
                <w:highlight w:val="none"/>
              </w:rPr>
            </w:pPr>
          </w:p>
        </w:tc>
        <w:tc>
          <w:tcPr>
            <w:tcW w:w="2130" w:type="dxa"/>
            <w:noWrap w:val="0"/>
            <w:vAlign w:val="top"/>
          </w:tcPr>
          <w:p w14:paraId="1C58A3F2">
            <w:pPr>
              <w:spacing w:line="360" w:lineRule="auto"/>
              <w:rPr>
                <w:rFonts w:hint="eastAsia" w:ascii="仿宋" w:hAnsi="仿宋" w:eastAsia="仿宋" w:cs="仿宋"/>
                <w:sz w:val="24"/>
                <w:szCs w:val="24"/>
                <w:highlight w:val="none"/>
              </w:rPr>
            </w:pPr>
          </w:p>
        </w:tc>
        <w:tc>
          <w:tcPr>
            <w:tcW w:w="1860" w:type="dxa"/>
            <w:noWrap w:val="0"/>
            <w:vAlign w:val="top"/>
          </w:tcPr>
          <w:p w14:paraId="1A9E134B">
            <w:pPr>
              <w:spacing w:line="360" w:lineRule="auto"/>
              <w:rPr>
                <w:rFonts w:hint="eastAsia" w:ascii="仿宋" w:hAnsi="仿宋" w:eastAsia="仿宋" w:cs="仿宋"/>
                <w:sz w:val="24"/>
                <w:szCs w:val="24"/>
                <w:highlight w:val="none"/>
              </w:rPr>
            </w:pPr>
          </w:p>
        </w:tc>
      </w:tr>
      <w:tr w14:paraId="7FAD9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808" w:type="dxa"/>
            <w:noWrap w:val="0"/>
            <w:vAlign w:val="top"/>
          </w:tcPr>
          <w:p w14:paraId="67FDBE7E">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 辅助工作人员</w:t>
            </w:r>
          </w:p>
        </w:tc>
        <w:tc>
          <w:tcPr>
            <w:tcW w:w="1770" w:type="dxa"/>
            <w:noWrap w:val="0"/>
            <w:vAlign w:val="top"/>
          </w:tcPr>
          <w:p w14:paraId="357502B0">
            <w:pPr>
              <w:spacing w:line="360" w:lineRule="auto"/>
              <w:rPr>
                <w:rFonts w:hint="eastAsia" w:ascii="仿宋" w:hAnsi="仿宋" w:eastAsia="仿宋" w:cs="仿宋"/>
                <w:sz w:val="24"/>
                <w:szCs w:val="24"/>
                <w:highlight w:val="none"/>
              </w:rPr>
            </w:pPr>
          </w:p>
        </w:tc>
        <w:tc>
          <w:tcPr>
            <w:tcW w:w="2130" w:type="dxa"/>
            <w:noWrap w:val="0"/>
            <w:vAlign w:val="top"/>
          </w:tcPr>
          <w:p w14:paraId="7EBE6BB6">
            <w:pPr>
              <w:spacing w:line="360" w:lineRule="auto"/>
              <w:rPr>
                <w:rFonts w:hint="eastAsia" w:ascii="仿宋" w:hAnsi="仿宋" w:eastAsia="仿宋" w:cs="仿宋"/>
                <w:sz w:val="24"/>
                <w:szCs w:val="24"/>
                <w:highlight w:val="none"/>
              </w:rPr>
            </w:pPr>
          </w:p>
        </w:tc>
        <w:tc>
          <w:tcPr>
            <w:tcW w:w="1860" w:type="dxa"/>
            <w:noWrap w:val="0"/>
            <w:vAlign w:val="top"/>
          </w:tcPr>
          <w:p w14:paraId="1E9DD061">
            <w:pPr>
              <w:spacing w:line="360" w:lineRule="auto"/>
              <w:rPr>
                <w:rFonts w:hint="eastAsia" w:ascii="仿宋" w:hAnsi="仿宋" w:eastAsia="仿宋" w:cs="仿宋"/>
                <w:sz w:val="24"/>
                <w:szCs w:val="24"/>
                <w:highlight w:val="none"/>
              </w:rPr>
            </w:pPr>
          </w:p>
        </w:tc>
      </w:tr>
      <w:tr w14:paraId="72830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808" w:type="dxa"/>
            <w:noWrap w:val="0"/>
            <w:vAlign w:val="top"/>
          </w:tcPr>
          <w:p w14:paraId="4710F77A">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 其他人员</w:t>
            </w:r>
          </w:p>
        </w:tc>
        <w:tc>
          <w:tcPr>
            <w:tcW w:w="1770" w:type="dxa"/>
            <w:noWrap w:val="0"/>
            <w:vAlign w:val="top"/>
          </w:tcPr>
          <w:p w14:paraId="5FCA30D0">
            <w:pPr>
              <w:spacing w:line="360" w:lineRule="auto"/>
              <w:rPr>
                <w:rFonts w:hint="eastAsia" w:ascii="仿宋" w:hAnsi="仿宋" w:eastAsia="仿宋" w:cs="仿宋"/>
                <w:sz w:val="24"/>
                <w:szCs w:val="24"/>
                <w:highlight w:val="none"/>
              </w:rPr>
            </w:pPr>
          </w:p>
        </w:tc>
        <w:tc>
          <w:tcPr>
            <w:tcW w:w="2130" w:type="dxa"/>
            <w:noWrap w:val="0"/>
            <w:vAlign w:val="top"/>
          </w:tcPr>
          <w:p w14:paraId="3B8509C3">
            <w:pPr>
              <w:spacing w:line="360" w:lineRule="auto"/>
              <w:rPr>
                <w:rFonts w:hint="eastAsia" w:ascii="仿宋" w:hAnsi="仿宋" w:eastAsia="仿宋" w:cs="仿宋"/>
                <w:sz w:val="24"/>
                <w:szCs w:val="24"/>
                <w:highlight w:val="none"/>
              </w:rPr>
            </w:pPr>
          </w:p>
        </w:tc>
        <w:tc>
          <w:tcPr>
            <w:tcW w:w="1860" w:type="dxa"/>
            <w:noWrap w:val="0"/>
            <w:vAlign w:val="top"/>
          </w:tcPr>
          <w:p w14:paraId="01E020E0">
            <w:pPr>
              <w:spacing w:line="360" w:lineRule="auto"/>
              <w:rPr>
                <w:rFonts w:hint="eastAsia" w:ascii="仿宋" w:hAnsi="仿宋" w:eastAsia="仿宋" w:cs="仿宋"/>
                <w:sz w:val="24"/>
                <w:szCs w:val="24"/>
                <w:highlight w:val="none"/>
              </w:rPr>
            </w:pPr>
          </w:p>
        </w:tc>
      </w:tr>
      <w:tr w14:paraId="7B2E8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808" w:type="dxa"/>
            <w:noWrap w:val="0"/>
            <w:vAlign w:val="top"/>
          </w:tcPr>
          <w:p w14:paraId="66184E1B">
            <w:pPr>
              <w:spacing w:line="360" w:lineRule="auto"/>
              <w:rPr>
                <w:rFonts w:hint="eastAsia" w:ascii="仿宋" w:hAnsi="仿宋" w:eastAsia="仿宋" w:cs="仿宋"/>
                <w:sz w:val="24"/>
                <w:szCs w:val="24"/>
                <w:highlight w:val="none"/>
              </w:rPr>
            </w:pPr>
          </w:p>
        </w:tc>
        <w:tc>
          <w:tcPr>
            <w:tcW w:w="1770" w:type="dxa"/>
            <w:noWrap w:val="0"/>
            <w:vAlign w:val="top"/>
          </w:tcPr>
          <w:p w14:paraId="35D1E780">
            <w:pPr>
              <w:spacing w:line="360" w:lineRule="auto"/>
              <w:rPr>
                <w:rFonts w:hint="eastAsia" w:ascii="仿宋" w:hAnsi="仿宋" w:eastAsia="仿宋" w:cs="仿宋"/>
                <w:sz w:val="24"/>
                <w:szCs w:val="24"/>
                <w:highlight w:val="none"/>
              </w:rPr>
            </w:pPr>
          </w:p>
        </w:tc>
        <w:tc>
          <w:tcPr>
            <w:tcW w:w="2130" w:type="dxa"/>
            <w:noWrap w:val="0"/>
            <w:vAlign w:val="top"/>
          </w:tcPr>
          <w:p w14:paraId="6CAFA133">
            <w:pPr>
              <w:spacing w:line="360" w:lineRule="auto"/>
              <w:rPr>
                <w:rFonts w:hint="eastAsia" w:ascii="仿宋" w:hAnsi="仿宋" w:eastAsia="仿宋" w:cs="仿宋"/>
                <w:sz w:val="24"/>
                <w:szCs w:val="24"/>
                <w:highlight w:val="none"/>
              </w:rPr>
            </w:pPr>
          </w:p>
        </w:tc>
        <w:tc>
          <w:tcPr>
            <w:tcW w:w="1860" w:type="dxa"/>
            <w:noWrap w:val="0"/>
            <w:vAlign w:val="top"/>
          </w:tcPr>
          <w:p w14:paraId="667F2DA0">
            <w:pPr>
              <w:spacing w:line="360" w:lineRule="auto"/>
              <w:rPr>
                <w:rFonts w:hint="eastAsia" w:ascii="仿宋" w:hAnsi="仿宋" w:eastAsia="仿宋" w:cs="仿宋"/>
                <w:sz w:val="24"/>
                <w:szCs w:val="24"/>
                <w:highlight w:val="none"/>
              </w:rPr>
            </w:pPr>
          </w:p>
        </w:tc>
      </w:tr>
    </w:tbl>
    <w:p w14:paraId="494FEA7F">
      <w:pPr>
        <w:spacing w:before="156" w:beforeLines="50" w:line="360" w:lineRule="auto"/>
        <w:outlineLvl w:val="0"/>
        <w:rPr>
          <w:rFonts w:hint="eastAsia" w:ascii="仿宋" w:hAnsi="仿宋" w:eastAsia="仿宋" w:cs="仿宋"/>
          <w:b/>
          <w:kern w:val="0"/>
          <w:sz w:val="24"/>
          <w:szCs w:val="24"/>
          <w:highlight w:val="none"/>
        </w:rPr>
      </w:pPr>
      <w:r>
        <w:rPr>
          <w:rFonts w:hint="eastAsia" w:ascii="仿宋" w:hAnsi="仿宋" w:eastAsia="仿宋" w:cs="仿宋"/>
          <w:b/>
          <w:kern w:val="0"/>
          <w:sz w:val="24"/>
          <w:szCs w:val="24"/>
          <w:highlight w:val="none"/>
        </w:rPr>
        <w:t>B-2  委托人提供的房屋</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8"/>
        <w:gridCol w:w="2130"/>
        <w:gridCol w:w="2130"/>
        <w:gridCol w:w="1860"/>
      </w:tblGrid>
      <w:tr w14:paraId="46D99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448" w:type="dxa"/>
            <w:noWrap w:val="0"/>
            <w:vAlign w:val="top"/>
          </w:tcPr>
          <w:p w14:paraId="3E0462C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名称</w:t>
            </w:r>
          </w:p>
        </w:tc>
        <w:tc>
          <w:tcPr>
            <w:tcW w:w="2130" w:type="dxa"/>
            <w:noWrap w:val="0"/>
            <w:vAlign w:val="top"/>
          </w:tcPr>
          <w:p w14:paraId="547042A9">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数量</w:t>
            </w:r>
          </w:p>
        </w:tc>
        <w:tc>
          <w:tcPr>
            <w:tcW w:w="2130" w:type="dxa"/>
            <w:noWrap w:val="0"/>
            <w:vAlign w:val="top"/>
          </w:tcPr>
          <w:p w14:paraId="24C1188A">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面积</w:t>
            </w:r>
          </w:p>
        </w:tc>
        <w:tc>
          <w:tcPr>
            <w:tcW w:w="1860" w:type="dxa"/>
            <w:noWrap w:val="0"/>
            <w:vAlign w:val="top"/>
          </w:tcPr>
          <w:p w14:paraId="12AD677F">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提供时间</w:t>
            </w:r>
          </w:p>
        </w:tc>
      </w:tr>
      <w:tr w14:paraId="10DB8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448" w:type="dxa"/>
            <w:noWrap w:val="0"/>
            <w:vAlign w:val="top"/>
          </w:tcPr>
          <w:p w14:paraId="0E7EBC74">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 办公用房</w:t>
            </w:r>
          </w:p>
        </w:tc>
        <w:tc>
          <w:tcPr>
            <w:tcW w:w="2130" w:type="dxa"/>
            <w:noWrap w:val="0"/>
            <w:vAlign w:val="top"/>
          </w:tcPr>
          <w:p w14:paraId="105A3FAA">
            <w:pPr>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tc>
        <w:tc>
          <w:tcPr>
            <w:tcW w:w="2130" w:type="dxa"/>
            <w:noWrap w:val="0"/>
            <w:vAlign w:val="top"/>
          </w:tcPr>
          <w:p w14:paraId="7C45F734">
            <w:pPr>
              <w:spacing w:line="360" w:lineRule="auto"/>
              <w:ind w:firstLine="240" w:firstLineChars="10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tc>
        <w:tc>
          <w:tcPr>
            <w:tcW w:w="1860" w:type="dxa"/>
            <w:noWrap w:val="0"/>
            <w:vAlign w:val="top"/>
          </w:tcPr>
          <w:p w14:paraId="3F3C25EB">
            <w:pPr>
              <w:spacing w:line="360" w:lineRule="auto"/>
              <w:rPr>
                <w:rFonts w:hint="eastAsia" w:ascii="仿宋" w:hAnsi="仿宋" w:eastAsia="仿宋" w:cs="仿宋"/>
                <w:sz w:val="24"/>
                <w:szCs w:val="24"/>
                <w:highlight w:val="none"/>
              </w:rPr>
            </w:pPr>
          </w:p>
        </w:tc>
      </w:tr>
      <w:tr w14:paraId="79E74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448" w:type="dxa"/>
            <w:noWrap w:val="0"/>
            <w:vAlign w:val="top"/>
          </w:tcPr>
          <w:p w14:paraId="7BF60C6E">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 生活用房</w:t>
            </w:r>
          </w:p>
        </w:tc>
        <w:tc>
          <w:tcPr>
            <w:tcW w:w="2130" w:type="dxa"/>
            <w:noWrap w:val="0"/>
            <w:vAlign w:val="top"/>
          </w:tcPr>
          <w:p w14:paraId="62FD0BEE">
            <w:pPr>
              <w:spacing w:line="360" w:lineRule="auto"/>
              <w:rPr>
                <w:rFonts w:hint="eastAsia" w:ascii="仿宋" w:hAnsi="仿宋" w:eastAsia="仿宋" w:cs="仿宋"/>
                <w:sz w:val="24"/>
                <w:szCs w:val="24"/>
                <w:highlight w:val="none"/>
              </w:rPr>
            </w:pPr>
          </w:p>
        </w:tc>
        <w:tc>
          <w:tcPr>
            <w:tcW w:w="2130" w:type="dxa"/>
            <w:noWrap w:val="0"/>
            <w:vAlign w:val="top"/>
          </w:tcPr>
          <w:p w14:paraId="3B8AD149">
            <w:pPr>
              <w:spacing w:line="360" w:lineRule="auto"/>
              <w:rPr>
                <w:rFonts w:hint="eastAsia" w:ascii="仿宋" w:hAnsi="仿宋" w:eastAsia="仿宋" w:cs="仿宋"/>
                <w:sz w:val="24"/>
                <w:szCs w:val="24"/>
                <w:highlight w:val="none"/>
              </w:rPr>
            </w:pPr>
          </w:p>
        </w:tc>
        <w:tc>
          <w:tcPr>
            <w:tcW w:w="1860" w:type="dxa"/>
            <w:noWrap w:val="0"/>
            <w:vAlign w:val="top"/>
          </w:tcPr>
          <w:p w14:paraId="22054CEE">
            <w:pPr>
              <w:spacing w:line="360" w:lineRule="auto"/>
              <w:rPr>
                <w:rFonts w:hint="eastAsia" w:ascii="仿宋" w:hAnsi="仿宋" w:eastAsia="仿宋" w:cs="仿宋"/>
                <w:sz w:val="24"/>
                <w:szCs w:val="24"/>
                <w:highlight w:val="none"/>
              </w:rPr>
            </w:pPr>
          </w:p>
        </w:tc>
      </w:tr>
      <w:tr w14:paraId="259FA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448" w:type="dxa"/>
            <w:noWrap w:val="0"/>
            <w:vAlign w:val="top"/>
          </w:tcPr>
          <w:p w14:paraId="0A95C4C1">
            <w:pPr>
              <w:spacing w:line="360" w:lineRule="auto"/>
              <w:rPr>
                <w:rFonts w:hint="eastAsia" w:ascii="仿宋" w:hAnsi="仿宋" w:eastAsia="仿宋" w:cs="仿宋"/>
                <w:dstrike/>
                <w:sz w:val="24"/>
                <w:szCs w:val="24"/>
                <w:highlight w:val="none"/>
              </w:rPr>
            </w:pPr>
            <w:r>
              <w:rPr>
                <w:rFonts w:hint="eastAsia" w:ascii="仿宋" w:hAnsi="仿宋" w:eastAsia="仿宋" w:cs="仿宋"/>
                <w:sz w:val="24"/>
                <w:szCs w:val="24"/>
                <w:highlight w:val="none"/>
              </w:rPr>
              <w:t>3. 试验用房</w:t>
            </w:r>
          </w:p>
        </w:tc>
        <w:tc>
          <w:tcPr>
            <w:tcW w:w="2130" w:type="dxa"/>
            <w:noWrap w:val="0"/>
            <w:vAlign w:val="top"/>
          </w:tcPr>
          <w:p w14:paraId="0934F230">
            <w:pPr>
              <w:spacing w:line="360" w:lineRule="auto"/>
              <w:rPr>
                <w:rFonts w:hint="eastAsia" w:ascii="仿宋" w:hAnsi="仿宋" w:eastAsia="仿宋" w:cs="仿宋"/>
                <w:sz w:val="24"/>
                <w:szCs w:val="24"/>
                <w:highlight w:val="none"/>
              </w:rPr>
            </w:pPr>
          </w:p>
        </w:tc>
        <w:tc>
          <w:tcPr>
            <w:tcW w:w="2130" w:type="dxa"/>
            <w:noWrap w:val="0"/>
            <w:vAlign w:val="top"/>
          </w:tcPr>
          <w:p w14:paraId="465D57EC">
            <w:pPr>
              <w:spacing w:line="360" w:lineRule="auto"/>
              <w:rPr>
                <w:rFonts w:hint="eastAsia" w:ascii="仿宋" w:hAnsi="仿宋" w:eastAsia="仿宋" w:cs="仿宋"/>
                <w:sz w:val="24"/>
                <w:szCs w:val="24"/>
                <w:highlight w:val="none"/>
              </w:rPr>
            </w:pPr>
          </w:p>
        </w:tc>
        <w:tc>
          <w:tcPr>
            <w:tcW w:w="1860" w:type="dxa"/>
            <w:noWrap w:val="0"/>
            <w:vAlign w:val="top"/>
          </w:tcPr>
          <w:p w14:paraId="7FD54D4C">
            <w:pPr>
              <w:spacing w:line="360" w:lineRule="auto"/>
              <w:rPr>
                <w:rFonts w:hint="eastAsia" w:ascii="仿宋" w:hAnsi="仿宋" w:eastAsia="仿宋" w:cs="仿宋"/>
                <w:sz w:val="24"/>
                <w:szCs w:val="24"/>
                <w:highlight w:val="none"/>
              </w:rPr>
            </w:pPr>
          </w:p>
        </w:tc>
      </w:tr>
      <w:tr w14:paraId="0881D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448" w:type="dxa"/>
            <w:noWrap w:val="0"/>
            <w:vAlign w:val="top"/>
          </w:tcPr>
          <w:p w14:paraId="1AF2BAF9">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 样品用房</w:t>
            </w:r>
          </w:p>
        </w:tc>
        <w:tc>
          <w:tcPr>
            <w:tcW w:w="2130" w:type="dxa"/>
            <w:noWrap w:val="0"/>
            <w:vAlign w:val="top"/>
          </w:tcPr>
          <w:p w14:paraId="0A25EBFC">
            <w:pPr>
              <w:spacing w:line="360" w:lineRule="auto"/>
              <w:rPr>
                <w:rFonts w:hint="eastAsia" w:ascii="仿宋" w:hAnsi="仿宋" w:eastAsia="仿宋" w:cs="仿宋"/>
                <w:sz w:val="24"/>
                <w:szCs w:val="24"/>
                <w:highlight w:val="none"/>
              </w:rPr>
            </w:pPr>
          </w:p>
        </w:tc>
        <w:tc>
          <w:tcPr>
            <w:tcW w:w="2130" w:type="dxa"/>
            <w:noWrap w:val="0"/>
            <w:vAlign w:val="top"/>
          </w:tcPr>
          <w:p w14:paraId="0C3A95D8">
            <w:pPr>
              <w:spacing w:line="360" w:lineRule="auto"/>
              <w:rPr>
                <w:rFonts w:hint="eastAsia" w:ascii="仿宋" w:hAnsi="仿宋" w:eastAsia="仿宋" w:cs="仿宋"/>
                <w:sz w:val="24"/>
                <w:szCs w:val="24"/>
                <w:highlight w:val="none"/>
              </w:rPr>
            </w:pPr>
          </w:p>
        </w:tc>
        <w:tc>
          <w:tcPr>
            <w:tcW w:w="1860" w:type="dxa"/>
            <w:noWrap w:val="0"/>
            <w:vAlign w:val="top"/>
          </w:tcPr>
          <w:p w14:paraId="25BCCAC9">
            <w:pPr>
              <w:spacing w:line="360" w:lineRule="auto"/>
              <w:rPr>
                <w:rFonts w:hint="eastAsia" w:ascii="仿宋" w:hAnsi="仿宋" w:eastAsia="仿宋" w:cs="仿宋"/>
                <w:sz w:val="24"/>
                <w:szCs w:val="24"/>
                <w:highlight w:val="none"/>
              </w:rPr>
            </w:pPr>
          </w:p>
        </w:tc>
      </w:tr>
      <w:tr w14:paraId="269D9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448" w:type="dxa"/>
            <w:noWrap w:val="0"/>
            <w:vAlign w:val="top"/>
          </w:tcPr>
          <w:p w14:paraId="50D548B1">
            <w:pPr>
              <w:spacing w:line="360" w:lineRule="auto"/>
              <w:rPr>
                <w:rFonts w:hint="eastAsia" w:ascii="仿宋" w:hAnsi="仿宋" w:eastAsia="仿宋" w:cs="仿宋"/>
                <w:sz w:val="24"/>
                <w:szCs w:val="24"/>
                <w:highlight w:val="none"/>
              </w:rPr>
            </w:pPr>
          </w:p>
        </w:tc>
        <w:tc>
          <w:tcPr>
            <w:tcW w:w="2130" w:type="dxa"/>
            <w:noWrap w:val="0"/>
            <w:vAlign w:val="top"/>
          </w:tcPr>
          <w:p w14:paraId="58D518CD">
            <w:pPr>
              <w:spacing w:line="360" w:lineRule="auto"/>
              <w:rPr>
                <w:rFonts w:hint="eastAsia" w:ascii="仿宋" w:hAnsi="仿宋" w:eastAsia="仿宋" w:cs="仿宋"/>
                <w:sz w:val="24"/>
                <w:szCs w:val="24"/>
                <w:highlight w:val="none"/>
              </w:rPr>
            </w:pPr>
          </w:p>
        </w:tc>
        <w:tc>
          <w:tcPr>
            <w:tcW w:w="2130" w:type="dxa"/>
            <w:noWrap w:val="0"/>
            <w:vAlign w:val="top"/>
          </w:tcPr>
          <w:p w14:paraId="521E1036">
            <w:pPr>
              <w:spacing w:line="360" w:lineRule="auto"/>
              <w:rPr>
                <w:rFonts w:hint="eastAsia" w:ascii="仿宋" w:hAnsi="仿宋" w:eastAsia="仿宋" w:cs="仿宋"/>
                <w:sz w:val="24"/>
                <w:szCs w:val="24"/>
                <w:highlight w:val="none"/>
              </w:rPr>
            </w:pPr>
          </w:p>
        </w:tc>
        <w:tc>
          <w:tcPr>
            <w:tcW w:w="1860" w:type="dxa"/>
            <w:noWrap w:val="0"/>
            <w:vAlign w:val="top"/>
          </w:tcPr>
          <w:p w14:paraId="36BEB870">
            <w:pPr>
              <w:spacing w:line="360" w:lineRule="auto"/>
              <w:rPr>
                <w:rFonts w:hint="eastAsia" w:ascii="仿宋" w:hAnsi="仿宋" w:eastAsia="仿宋" w:cs="仿宋"/>
                <w:sz w:val="24"/>
                <w:szCs w:val="24"/>
                <w:highlight w:val="none"/>
              </w:rPr>
            </w:pPr>
          </w:p>
        </w:tc>
      </w:tr>
      <w:tr w14:paraId="1659F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448" w:type="dxa"/>
            <w:noWrap w:val="0"/>
            <w:vAlign w:val="top"/>
          </w:tcPr>
          <w:p w14:paraId="40F30C9D">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用餐及其他生活条件</w:t>
            </w:r>
          </w:p>
        </w:tc>
        <w:tc>
          <w:tcPr>
            <w:tcW w:w="6120" w:type="dxa"/>
            <w:gridSpan w:val="3"/>
            <w:noWrap w:val="0"/>
            <w:vAlign w:val="top"/>
          </w:tcPr>
          <w:p w14:paraId="07257F79">
            <w:pPr>
              <w:spacing w:line="360" w:lineRule="auto"/>
              <w:rPr>
                <w:rFonts w:hint="eastAsia" w:ascii="仿宋" w:hAnsi="仿宋" w:eastAsia="仿宋" w:cs="仿宋"/>
                <w:sz w:val="24"/>
                <w:szCs w:val="24"/>
                <w:highlight w:val="none"/>
              </w:rPr>
            </w:pPr>
          </w:p>
        </w:tc>
      </w:tr>
    </w:tbl>
    <w:p w14:paraId="567F287B">
      <w:pPr>
        <w:spacing w:before="156" w:beforeLines="50" w:line="360" w:lineRule="auto"/>
        <w:outlineLvl w:val="0"/>
        <w:rPr>
          <w:rFonts w:hint="eastAsia" w:ascii="仿宋" w:hAnsi="仿宋" w:eastAsia="仿宋" w:cs="仿宋"/>
          <w:b/>
          <w:kern w:val="0"/>
          <w:sz w:val="24"/>
          <w:szCs w:val="24"/>
          <w:highlight w:val="none"/>
        </w:rPr>
      </w:pPr>
    </w:p>
    <w:p w14:paraId="2D2BE73F">
      <w:pPr>
        <w:spacing w:before="156" w:beforeLines="50" w:line="360" w:lineRule="auto"/>
        <w:outlineLvl w:val="0"/>
        <w:rPr>
          <w:rFonts w:hint="eastAsia" w:ascii="仿宋" w:hAnsi="仿宋" w:eastAsia="仿宋" w:cs="仿宋"/>
          <w:b/>
          <w:kern w:val="0"/>
          <w:sz w:val="24"/>
          <w:szCs w:val="24"/>
          <w:highlight w:val="none"/>
        </w:rPr>
      </w:pPr>
      <w:r>
        <w:rPr>
          <w:rFonts w:hint="eastAsia" w:ascii="仿宋" w:hAnsi="仿宋" w:eastAsia="仿宋" w:cs="仿宋"/>
          <w:b/>
          <w:kern w:val="0"/>
          <w:sz w:val="24"/>
          <w:szCs w:val="24"/>
          <w:highlight w:val="none"/>
        </w:rPr>
        <w:t>B-3  委托人提供的资料</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2"/>
        <w:gridCol w:w="1491"/>
        <w:gridCol w:w="2147"/>
        <w:gridCol w:w="2082"/>
      </w:tblGrid>
      <w:tr w14:paraId="6C8BA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802" w:type="dxa"/>
            <w:noWrap w:val="0"/>
            <w:vAlign w:val="top"/>
          </w:tcPr>
          <w:p w14:paraId="2E158CEC">
            <w:pPr>
              <w:spacing w:line="360" w:lineRule="auto"/>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名称</w:t>
            </w:r>
          </w:p>
        </w:tc>
        <w:tc>
          <w:tcPr>
            <w:tcW w:w="1491" w:type="dxa"/>
            <w:noWrap w:val="0"/>
            <w:vAlign w:val="top"/>
          </w:tcPr>
          <w:p w14:paraId="50A882B7">
            <w:pPr>
              <w:spacing w:line="360" w:lineRule="auto"/>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份数</w:t>
            </w:r>
          </w:p>
        </w:tc>
        <w:tc>
          <w:tcPr>
            <w:tcW w:w="2147" w:type="dxa"/>
            <w:noWrap w:val="0"/>
            <w:vAlign w:val="top"/>
          </w:tcPr>
          <w:p w14:paraId="2335AB2A">
            <w:pPr>
              <w:spacing w:line="360" w:lineRule="auto"/>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提供时间</w:t>
            </w:r>
          </w:p>
        </w:tc>
        <w:tc>
          <w:tcPr>
            <w:tcW w:w="2082" w:type="dxa"/>
            <w:noWrap w:val="0"/>
            <w:vAlign w:val="top"/>
          </w:tcPr>
          <w:p w14:paraId="1D6D1C98">
            <w:pPr>
              <w:spacing w:line="360" w:lineRule="auto"/>
              <w:jc w:val="center"/>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备注</w:t>
            </w:r>
          </w:p>
        </w:tc>
      </w:tr>
      <w:tr w14:paraId="0D390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802" w:type="dxa"/>
            <w:noWrap w:val="0"/>
            <w:vAlign w:val="top"/>
          </w:tcPr>
          <w:p w14:paraId="6EE019DF">
            <w:pPr>
              <w:spacing w:line="360" w:lineRule="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1. 工程立项文件</w:t>
            </w:r>
          </w:p>
        </w:tc>
        <w:tc>
          <w:tcPr>
            <w:tcW w:w="1491" w:type="dxa"/>
            <w:noWrap w:val="0"/>
            <w:vAlign w:val="top"/>
          </w:tcPr>
          <w:p w14:paraId="74FCFAF2">
            <w:pPr>
              <w:spacing w:line="360" w:lineRule="auto"/>
              <w:rPr>
                <w:rFonts w:hint="eastAsia" w:ascii="仿宋" w:hAnsi="仿宋" w:eastAsia="仿宋" w:cs="仿宋"/>
                <w:kern w:val="0"/>
                <w:sz w:val="24"/>
                <w:szCs w:val="24"/>
                <w:highlight w:val="none"/>
              </w:rPr>
            </w:pPr>
          </w:p>
        </w:tc>
        <w:tc>
          <w:tcPr>
            <w:tcW w:w="2147" w:type="dxa"/>
            <w:noWrap w:val="0"/>
            <w:vAlign w:val="top"/>
          </w:tcPr>
          <w:p w14:paraId="2E1F17F8">
            <w:pPr>
              <w:spacing w:line="360" w:lineRule="auto"/>
              <w:rPr>
                <w:rFonts w:hint="eastAsia" w:ascii="仿宋" w:hAnsi="仿宋" w:eastAsia="仿宋" w:cs="仿宋"/>
                <w:kern w:val="0"/>
                <w:sz w:val="24"/>
                <w:szCs w:val="24"/>
                <w:highlight w:val="none"/>
              </w:rPr>
            </w:pPr>
          </w:p>
        </w:tc>
        <w:tc>
          <w:tcPr>
            <w:tcW w:w="2082" w:type="dxa"/>
            <w:noWrap w:val="0"/>
            <w:vAlign w:val="top"/>
          </w:tcPr>
          <w:p w14:paraId="27B1239E">
            <w:pPr>
              <w:spacing w:line="360" w:lineRule="auto"/>
              <w:rPr>
                <w:rFonts w:hint="eastAsia" w:ascii="仿宋" w:hAnsi="仿宋" w:eastAsia="仿宋" w:cs="仿宋"/>
                <w:kern w:val="0"/>
                <w:sz w:val="24"/>
                <w:szCs w:val="24"/>
                <w:highlight w:val="none"/>
              </w:rPr>
            </w:pPr>
          </w:p>
        </w:tc>
      </w:tr>
      <w:tr w14:paraId="5A40A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802" w:type="dxa"/>
            <w:noWrap w:val="0"/>
            <w:vAlign w:val="top"/>
          </w:tcPr>
          <w:p w14:paraId="1751EF4A">
            <w:pPr>
              <w:spacing w:line="360" w:lineRule="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2. 工程勘察文件</w:t>
            </w:r>
          </w:p>
        </w:tc>
        <w:tc>
          <w:tcPr>
            <w:tcW w:w="1491" w:type="dxa"/>
            <w:noWrap w:val="0"/>
            <w:vAlign w:val="top"/>
          </w:tcPr>
          <w:p w14:paraId="45B6968C">
            <w:pPr>
              <w:spacing w:line="360" w:lineRule="auto"/>
              <w:rPr>
                <w:rFonts w:hint="eastAsia" w:ascii="仿宋" w:hAnsi="仿宋" w:eastAsia="仿宋" w:cs="仿宋"/>
                <w:kern w:val="0"/>
                <w:sz w:val="24"/>
                <w:szCs w:val="24"/>
                <w:highlight w:val="none"/>
              </w:rPr>
            </w:pPr>
          </w:p>
        </w:tc>
        <w:tc>
          <w:tcPr>
            <w:tcW w:w="2147" w:type="dxa"/>
            <w:noWrap w:val="0"/>
            <w:vAlign w:val="top"/>
          </w:tcPr>
          <w:p w14:paraId="63108CDC">
            <w:pPr>
              <w:spacing w:line="360" w:lineRule="auto"/>
              <w:rPr>
                <w:rFonts w:hint="eastAsia" w:ascii="仿宋" w:hAnsi="仿宋" w:eastAsia="仿宋" w:cs="仿宋"/>
                <w:kern w:val="0"/>
                <w:sz w:val="24"/>
                <w:szCs w:val="24"/>
                <w:highlight w:val="none"/>
              </w:rPr>
            </w:pPr>
          </w:p>
        </w:tc>
        <w:tc>
          <w:tcPr>
            <w:tcW w:w="2082" w:type="dxa"/>
            <w:noWrap w:val="0"/>
            <w:vAlign w:val="top"/>
          </w:tcPr>
          <w:p w14:paraId="4BD0641F">
            <w:pPr>
              <w:spacing w:line="360" w:lineRule="auto"/>
              <w:rPr>
                <w:rFonts w:hint="eastAsia" w:ascii="仿宋" w:hAnsi="仿宋" w:eastAsia="仿宋" w:cs="仿宋"/>
                <w:kern w:val="0"/>
                <w:sz w:val="24"/>
                <w:szCs w:val="24"/>
                <w:highlight w:val="none"/>
              </w:rPr>
            </w:pPr>
          </w:p>
        </w:tc>
      </w:tr>
      <w:tr w14:paraId="2EB5A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802" w:type="dxa"/>
            <w:noWrap w:val="0"/>
            <w:vAlign w:val="top"/>
          </w:tcPr>
          <w:p w14:paraId="30D6C3F5">
            <w:pPr>
              <w:spacing w:line="360" w:lineRule="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3. 工程设计及施工图纸</w:t>
            </w:r>
          </w:p>
        </w:tc>
        <w:tc>
          <w:tcPr>
            <w:tcW w:w="1491" w:type="dxa"/>
            <w:noWrap w:val="0"/>
            <w:vAlign w:val="top"/>
          </w:tcPr>
          <w:p w14:paraId="7C8CF837">
            <w:pPr>
              <w:spacing w:line="360" w:lineRule="auto"/>
              <w:rPr>
                <w:rFonts w:hint="eastAsia" w:ascii="仿宋" w:hAnsi="仿宋" w:eastAsia="仿宋" w:cs="仿宋"/>
                <w:kern w:val="0"/>
                <w:sz w:val="24"/>
                <w:szCs w:val="24"/>
                <w:highlight w:val="none"/>
              </w:rPr>
            </w:pPr>
          </w:p>
        </w:tc>
        <w:tc>
          <w:tcPr>
            <w:tcW w:w="2147" w:type="dxa"/>
            <w:noWrap w:val="0"/>
            <w:vAlign w:val="top"/>
          </w:tcPr>
          <w:p w14:paraId="4D671F4C">
            <w:pPr>
              <w:spacing w:line="360" w:lineRule="auto"/>
              <w:rPr>
                <w:rFonts w:hint="eastAsia" w:ascii="仿宋" w:hAnsi="仿宋" w:eastAsia="仿宋" w:cs="仿宋"/>
                <w:kern w:val="0"/>
                <w:sz w:val="24"/>
                <w:szCs w:val="24"/>
                <w:highlight w:val="none"/>
              </w:rPr>
            </w:pPr>
          </w:p>
        </w:tc>
        <w:tc>
          <w:tcPr>
            <w:tcW w:w="2082" w:type="dxa"/>
            <w:noWrap w:val="0"/>
            <w:vAlign w:val="top"/>
          </w:tcPr>
          <w:p w14:paraId="58BD10F8">
            <w:pPr>
              <w:spacing w:line="360" w:lineRule="auto"/>
              <w:rPr>
                <w:rFonts w:hint="eastAsia" w:ascii="仿宋" w:hAnsi="仿宋" w:eastAsia="仿宋" w:cs="仿宋"/>
                <w:kern w:val="0"/>
                <w:sz w:val="24"/>
                <w:szCs w:val="24"/>
                <w:highlight w:val="none"/>
              </w:rPr>
            </w:pPr>
          </w:p>
        </w:tc>
      </w:tr>
      <w:tr w14:paraId="036CE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802" w:type="dxa"/>
            <w:noWrap w:val="0"/>
            <w:vAlign w:val="top"/>
          </w:tcPr>
          <w:p w14:paraId="2EFDA244">
            <w:pPr>
              <w:spacing w:line="360" w:lineRule="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4. 工程承包合同及其他相关合同</w:t>
            </w:r>
          </w:p>
        </w:tc>
        <w:tc>
          <w:tcPr>
            <w:tcW w:w="1491" w:type="dxa"/>
            <w:noWrap w:val="0"/>
            <w:vAlign w:val="top"/>
          </w:tcPr>
          <w:p w14:paraId="48131E76">
            <w:pPr>
              <w:spacing w:line="360" w:lineRule="auto"/>
              <w:rPr>
                <w:rFonts w:hint="eastAsia" w:ascii="仿宋" w:hAnsi="仿宋" w:eastAsia="仿宋" w:cs="仿宋"/>
                <w:kern w:val="0"/>
                <w:sz w:val="24"/>
                <w:szCs w:val="24"/>
                <w:highlight w:val="none"/>
              </w:rPr>
            </w:pPr>
          </w:p>
        </w:tc>
        <w:tc>
          <w:tcPr>
            <w:tcW w:w="2147" w:type="dxa"/>
            <w:noWrap w:val="0"/>
            <w:vAlign w:val="top"/>
          </w:tcPr>
          <w:p w14:paraId="42482931">
            <w:pPr>
              <w:spacing w:line="360" w:lineRule="auto"/>
              <w:rPr>
                <w:rFonts w:hint="eastAsia" w:ascii="仿宋" w:hAnsi="仿宋" w:eastAsia="仿宋" w:cs="仿宋"/>
                <w:kern w:val="0"/>
                <w:sz w:val="24"/>
                <w:szCs w:val="24"/>
                <w:highlight w:val="none"/>
              </w:rPr>
            </w:pPr>
          </w:p>
        </w:tc>
        <w:tc>
          <w:tcPr>
            <w:tcW w:w="2082" w:type="dxa"/>
            <w:noWrap w:val="0"/>
            <w:vAlign w:val="top"/>
          </w:tcPr>
          <w:p w14:paraId="1EC80E05">
            <w:pPr>
              <w:spacing w:line="360" w:lineRule="auto"/>
              <w:rPr>
                <w:rFonts w:hint="eastAsia" w:ascii="仿宋" w:hAnsi="仿宋" w:eastAsia="仿宋" w:cs="仿宋"/>
                <w:kern w:val="0"/>
                <w:sz w:val="24"/>
                <w:szCs w:val="24"/>
                <w:highlight w:val="none"/>
              </w:rPr>
            </w:pPr>
          </w:p>
        </w:tc>
      </w:tr>
      <w:tr w14:paraId="6C74B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802" w:type="dxa"/>
            <w:noWrap w:val="0"/>
            <w:vAlign w:val="top"/>
          </w:tcPr>
          <w:p w14:paraId="10BF78BC">
            <w:pPr>
              <w:spacing w:line="360" w:lineRule="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5. 施工许可文件</w:t>
            </w:r>
          </w:p>
        </w:tc>
        <w:tc>
          <w:tcPr>
            <w:tcW w:w="1491" w:type="dxa"/>
            <w:noWrap w:val="0"/>
            <w:vAlign w:val="top"/>
          </w:tcPr>
          <w:p w14:paraId="29B2E52F">
            <w:pPr>
              <w:spacing w:line="360" w:lineRule="auto"/>
              <w:rPr>
                <w:rFonts w:hint="eastAsia" w:ascii="仿宋" w:hAnsi="仿宋" w:eastAsia="仿宋" w:cs="仿宋"/>
                <w:kern w:val="0"/>
                <w:sz w:val="24"/>
                <w:szCs w:val="24"/>
                <w:highlight w:val="none"/>
              </w:rPr>
            </w:pPr>
          </w:p>
        </w:tc>
        <w:tc>
          <w:tcPr>
            <w:tcW w:w="2147" w:type="dxa"/>
            <w:noWrap w:val="0"/>
            <w:vAlign w:val="top"/>
          </w:tcPr>
          <w:p w14:paraId="522FAF8C">
            <w:pPr>
              <w:spacing w:line="360" w:lineRule="auto"/>
              <w:rPr>
                <w:rFonts w:hint="eastAsia" w:ascii="仿宋" w:hAnsi="仿宋" w:eastAsia="仿宋" w:cs="仿宋"/>
                <w:kern w:val="0"/>
                <w:sz w:val="24"/>
                <w:szCs w:val="24"/>
                <w:highlight w:val="none"/>
              </w:rPr>
            </w:pPr>
          </w:p>
        </w:tc>
        <w:tc>
          <w:tcPr>
            <w:tcW w:w="2082" w:type="dxa"/>
            <w:noWrap w:val="0"/>
            <w:vAlign w:val="top"/>
          </w:tcPr>
          <w:p w14:paraId="6ECA622C">
            <w:pPr>
              <w:spacing w:line="360" w:lineRule="auto"/>
              <w:rPr>
                <w:rFonts w:hint="eastAsia" w:ascii="仿宋" w:hAnsi="仿宋" w:eastAsia="仿宋" w:cs="仿宋"/>
                <w:kern w:val="0"/>
                <w:sz w:val="24"/>
                <w:szCs w:val="24"/>
                <w:highlight w:val="none"/>
              </w:rPr>
            </w:pPr>
          </w:p>
        </w:tc>
      </w:tr>
      <w:tr w14:paraId="314E9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802" w:type="dxa"/>
            <w:noWrap w:val="0"/>
            <w:vAlign w:val="top"/>
          </w:tcPr>
          <w:p w14:paraId="4B008FDF">
            <w:pPr>
              <w:spacing w:line="360" w:lineRule="auto"/>
              <w:rPr>
                <w:rFonts w:hint="eastAsia" w:ascii="仿宋" w:hAnsi="仿宋" w:eastAsia="仿宋" w:cs="仿宋"/>
                <w:kern w:val="0"/>
                <w:sz w:val="24"/>
                <w:szCs w:val="24"/>
                <w:highlight w:val="none"/>
              </w:rPr>
            </w:pPr>
            <w:r>
              <w:rPr>
                <w:rFonts w:hint="eastAsia" w:ascii="仿宋" w:hAnsi="仿宋" w:eastAsia="仿宋" w:cs="仿宋"/>
                <w:kern w:val="0"/>
                <w:sz w:val="24"/>
                <w:szCs w:val="24"/>
                <w:highlight w:val="none"/>
              </w:rPr>
              <w:t>6. 其他文件</w:t>
            </w:r>
          </w:p>
        </w:tc>
        <w:tc>
          <w:tcPr>
            <w:tcW w:w="1491" w:type="dxa"/>
            <w:noWrap w:val="0"/>
            <w:vAlign w:val="top"/>
          </w:tcPr>
          <w:p w14:paraId="7E7A1060">
            <w:pPr>
              <w:spacing w:line="360" w:lineRule="auto"/>
              <w:rPr>
                <w:rFonts w:hint="eastAsia" w:ascii="仿宋" w:hAnsi="仿宋" w:eastAsia="仿宋" w:cs="仿宋"/>
                <w:kern w:val="0"/>
                <w:sz w:val="24"/>
                <w:szCs w:val="24"/>
                <w:highlight w:val="none"/>
              </w:rPr>
            </w:pPr>
          </w:p>
        </w:tc>
        <w:tc>
          <w:tcPr>
            <w:tcW w:w="2147" w:type="dxa"/>
            <w:noWrap w:val="0"/>
            <w:vAlign w:val="top"/>
          </w:tcPr>
          <w:p w14:paraId="6782862D">
            <w:pPr>
              <w:spacing w:line="360" w:lineRule="auto"/>
              <w:rPr>
                <w:rFonts w:hint="eastAsia" w:ascii="仿宋" w:hAnsi="仿宋" w:eastAsia="仿宋" w:cs="仿宋"/>
                <w:kern w:val="0"/>
                <w:sz w:val="24"/>
                <w:szCs w:val="24"/>
                <w:highlight w:val="none"/>
              </w:rPr>
            </w:pPr>
          </w:p>
        </w:tc>
        <w:tc>
          <w:tcPr>
            <w:tcW w:w="2082" w:type="dxa"/>
            <w:noWrap w:val="0"/>
            <w:vAlign w:val="top"/>
          </w:tcPr>
          <w:p w14:paraId="514F8FA6">
            <w:pPr>
              <w:spacing w:line="360" w:lineRule="auto"/>
              <w:rPr>
                <w:rFonts w:hint="eastAsia" w:ascii="仿宋" w:hAnsi="仿宋" w:eastAsia="仿宋" w:cs="仿宋"/>
                <w:kern w:val="0"/>
                <w:sz w:val="24"/>
                <w:szCs w:val="24"/>
                <w:highlight w:val="none"/>
              </w:rPr>
            </w:pPr>
          </w:p>
        </w:tc>
      </w:tr>
      <w:tr w14:paraId="30AC2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802" w:type="dxa"/>
            <w:noWrap w:val="0"/>
            <w:vAlign w:val="top"/>
          </w:tcPr>
          <w:p w14:paraId="324CBFD3">
            <w:pPr>
              <w:spacing w:line="360" w:lineRule="auto"/>
              <w:rPr>
                <w:rFonts w:hint="eastAsia" w:ascii="仿宋" w:hAnsi="仿宋" w:eastAsia="仿宋" w:cs="仿宋"/>
                <w:kern w:val="0"/>
                <w:sz w:val="24"/>
                <w:szCs w:val="24"/>
                <w:highlight w:val="none"/>
              </w:rPr>
            </w:pPr>
          </w:p>
        </w:tc>
        <w:tc>
          <w:tcPr>
            <w:tcW w:w="1491" w:type="dxa"/>
            <w:noWrap w:val="0"/>
            <w:vAlign w:val="top"/>
          </w:tcPr>
          <w:p w14:paraId="29E42226">
            <w:pPr>
              <w:spacing w:line="360" w:lineRule="auto"/>
              <w:rPr>
                <w:rFonts w:hint="eastAsia" w:ascii="仿宋" w:hAnsi="仿宋" w:eastAsia="仿宋" w:cs="仿宋"/>
                <w:kern w:val="0"/>
                <w:sz w:val="24"/>
                <w:szCs w:val="24"/>
                <w:highlight w:val="none"/>
              </w:rPr>
            </w:pPr>
          </w:p>
        </w:tc>
        <w:tc>
          <w:tcPr>
            <w:tcW w:w="2147" w:type="dxa"/>
            <w:noWrap w:val="0"/>
            <w:vAlign w:val="top"/>
          </w:tcPr>
          <w:p w14:paraId="72625B14">
            <w:pPr>
              <w:spacing w:line="360" w:lineRule="auto"/>
              <w:rPr>
                <w:rFonts w:hint="eastAsia" w:ascii="仿宋" w:hAnsi="仿宋" w:eastAsia="仿宋" w:cs="仿宋"/>
                <w:kern w:val="0"/>
                <w:sz w:val="24"/>
                <w:szCs w:val="24"/>
                <w:highlight w:val="none"/>
              </w:rPr>
            </w:pPr>
          </w:p>
        </w:tc>
        <w:tc>
          <w:tcPr>
            <w:tcW w:w="2082" w:type="dxa"/>
            <w:noWrap w:val="0"/>
            <w:vAlign w:val="top"/>
          </w:tcPr>
          <w:p w14:paraId="73AC8EE5">
            <w:pPr>
              <w:spacing w:line="360" w:lineRule="auto"/>
              <w:rPr>
                <w:rFonts w:hint="eastAsia" w:ascii="仿宋" w:hAnsi="仿宋" w:eastAsia="仿宋" w:cs="仿宋"/>
                <w:kern w:val="0"/>
                <w:sz w:val="24"/>
                <w:szCs w:val="24"/>
                <w:highlight w:val="none"/>
              </w:rPr>
            </w:pPr>
          </w:p>
        </w:tc>
      </w:tr>
    </w:tbl>
    <w:p w14:paraId="7069B644">
      <w:pPr>
        <w:spacing w:before="156" w:beforeLines="50" w:line="360" w:lineRule="auto"/>
        <w:rPr>
          <w:rFonts w:hint="eastAsia" w:ascii="仿宋" w:hAnsi="仿宋" w:eastAsia="仿宋" w:cs="仿宋"/>
          <w:b/>
          <w:kern w:val="0"/>
          <w:sz w:val="24"/>
          <w:szCs w:val="24"/>
          <w:highlight w:val="none"/>
        </w:rPr>
      </w:pPr>
      <w:r>
        <w:rPr>
          <w:rFonts w:hint="eastAsia" w:ascii="仿宋" w:hAnsi="仿宋" w:eastAsia="仿宋" w:cs="仿宋"/>
          <w:b/>
          <w:kern w:val="0"/>
          <w:sz w:val="24"/>
          <w:szCs w:val="24"/>
          <w:highlight w:val="none"/>
        </w:rPr>
        <w:t>B-4 委托人提供的设备</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88"/>
        <w:gridCol w:w="1590"/>
        <w:gridCol w:w="2130"/>
        <w:gridCol w:w="1860"/>
      </w:tblGrid>
      <w:tr w14:paraId="651A7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988" w:type="dxa"/>
            <w:noWrap w:val="0"/>
            <w:vAlign w:val="top"/>
          </w:tcPr>
          <w:p w14:paraId="16F689CC">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名称</w:t>
            </w:r>
          </w:p>
        </w:tc>
        <w:tc>
          <w:tcPr>
            <w:tcW w:w="1590" w:type="dxa"/>
            <w:noWrap w:val="0"/>
            <w:vAlign w:val="top"/>
          </w:tcPr>
          <w:p w14:paraId="16FD5767">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数量</w:t>
            </w:r>
          </w:p>
        </w:tc>
        <w:tc>
          <w:tcPr>
            <w:tcW w:w="2130" w:type="dxa"/>
            <w:noWrap w:val="0"/>
            <w:vAlign w:val="top"/>
          </w:tcPr>
          <w:p w14:paraId="1404365A">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型号与规格</w:t>
            </w:r>
          </w:p>
        </w:tc>
        <w:tc>
          <w:tcPr>
            <w:tcW w:w="1860" w:type="dxa"/>
            <w:noWrap w:val="0"/>
            <w:vAlign w:val="top"/>
          </w:tcPr>
          <w:p w14:paraId="723A4567">
            <w:pPr>
              <w:spacing w:line="360"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提供时间</w:t>
            </w:r>
          </w:p>
        </w:tc>
      </w:tr>
      <w:tr w14:paraId="07248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988" w:type="dxa"/>
            <w:noWrap w:val="0"/>
            <w:vAlign w:val="top"/>
          </w:tcPr>
          <w:p w14:paraId="1F892652">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1. 通讯设备</w:t>
            </w:r>
          </w:p>
        </w:tc>
        <w:tc>
          <w:tcPr>
            <w:tcW w:w="1590" w:type="dxa"/>
            <w:noWrap w:val="0"/>
            <w:vAlign w:val="top"/>
          </w:tcPr>
          <w:p w14:paraId="376F88CF">
            <w:pPr>
              <w:spacing w:line="360" w:lineRule="auto"/>
              <w:rPr>
                <w:rFonts w:hint="eastAsia" w:ascii="仿宋" w:hAnsi="仿宋" w:eastAsia="仿宋" w:cs="仿宋"/>
                <w:sz w:val="24"/>
                <w:szCs w:val="24"/>
                <w:highlight w:val="none"/>
              </w:rPr>
            </w:pPr>
          </w:p>
        </w:tc>
        <w:tc>
          <w:tcPr>
            <w:tcW w:w="2130" w:type="dxa"/>
            <w:noWrap w:val="0"/>
            <w:vAlign w:val="top"/>
          </w:tcPr>
          <w:p w14:paraId="6016EFA3">
            <w:pPr>
              <w:spacing w:line="360" w:lineRule="auto"/>
              <w:rPr>
                <w:rFonts w:hint="eastAsia" w:ascii="仿宋" w:hAnsi="仿宋" w:eastAsia="仿宋" w:cs="仿宋"/>
                <w:sz w:val="24"/>
                <w:szCs w:val="24"/>
                <w:highlight w:val="none"/>
              </w:rPr>
            </w:pPr>
          </w:p>
        </w:tc>
        <w:tc>
          <w:tcPr>
            <w:tcW w:w="1860" w:type="dxa"/>
            <w:noWrap w:val="0"/>
            <w:vAlign w:val="top"/>
          </w:tcPr>
          <w:p w14:paraId="7A9C322B">
            <w:pPr>
              <w:spacing w:line="360" w:lineRule="auto"/>
              <w:rPr>
                <w:rFonts w:hint="eastAsia" w:ascii="仿宋" w:hAnsi="仿宋" w:eastAsia="仿宋" w:cs="仿宋"/>
                <w:sz w:val="24"/>
                <w:szCs w:val="24"/>
                <w:highlight w:val="none"/>
              </w:rPr>
            </w:pPr>
          </w:p>
        </w:tc>
      </w:tr>
      <w:tr w14:paraId="46716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988" w:type="dxa"/>
            <w:noWrap w:val="0"/>
            <w:vAlign w:val="top"/>
          </w:tcPr>
          <w:p w14:paraId="5D560C58">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2. 办公设备</w:t>
            </w:r>
          </w:p>
        </w:tc>
        <w:tc>
          <w:tcPr>
            <w:tcW w:w="1590" w:type="dxa"/>
            <w:noWrap w:val="0"/>
            <w:vAlign w:val="top"/>
          </w:tcPr>
          <w:p w14:paraId="3901DA84">
            <w:pPr>
              <w:spacing w:line="360" w:lineRule="auto"/>
              <w:rPr>
                <w:rFonts w:hint="eastAsia" w:ascii="仿宋" w:hAnsi="仿宋" w:eastAsia="仿宋" w:cs="仿宋"/>
                <w:sz w:val="24"/>
                <w:szCs w:val="24"/>
                <w:highlight w:val="none"/>
              </w:rPr>
            </w:pPr>
          </w:p>
        </w:tc>
        <w:tc>
          <w:tcPr>
            <w:tcW w:w="2130" w:type="dxa"/>
            <w:noWrap w:val="0"/>
            <w:vAlign w:val="top"/>
          </w:tcPr>
          <w:p w14:paraId="3D5EFA30">
            <w:pPr>
              <w:spacing w:line="360" w:lineRule="auto"/>
              <w:rPr>
                <w:rFonts w:hint="eastAsia" w:ascii="仿宋" w:hAnsi="仿宋" w:eastAsia="仿宋" w:cs="仿宋"/>
                <w:sz w:val="24"/>
                <w:szCs w:val="24"/>
                <w:highlight w:val="none"/>
              </w:rPr>
            </w:pPr>
          </w:p>
        </w:tc>
        <w:tc>
          <w:tcPr>
            <w:tcW w:w="1860" w:type="dxa"/>
            <w:noWrap w:val="0"/>
            <w:vAlign w:val="top"/>
          </w:tcPr>
          <w:p w14:paraId="5579D0D0">
            <w:pPr>
              <w:spacing w:line="360" w:lineRule="auto"/>
              <w:rPr>
                <w:rFonts w:hint="eastAsia" w:ascii="仿宋" w:hAnsi="仿宋" w:eastAsia="仿宋" w:cs="仿宋"/>
                <w:sz w:val="24"/>
                <w:szCs w:val="24"/>
                <w:highlight w:val="none"/>
              </w:rPr>
            </w:pPr>
          </w:p>
        </w:tc>
      </w:tr>
      <w:tr w14:paraId="0F36C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988" w:type="dxa"/>
            <w:noWrap w:val="0"/>
            <w:vAlign w:val="top"/>
          </w:tcPr>
          <w:p w14:paraId="5B410879">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3. 交通工具</w:t>
            </w:r>
          </w:p>
        </w:tc>
        <w:tc>
          <w:tcPr>
            <w:tcW w:w="1590" w:type="dxa"/>
            <w:noWrap w:val="0"/>
            <w:vAlign w:val="top"/>
          </w:tcPr>
          <w:p w14:paraId="47C1F451">
            <w:pPr>
              <w:spacing w:line="360" w:lineRule="auto"/>
              <w:rPr>
                <w:rFonts w:hint="eastAsia" w:ascii="仿宋" w:hAnsi="仿宋" w:eastAsia="仿宋" w:cs="仿宋"/>
                <w:sz w:val="24"/>
                <w:szCs w:val="24"/>
                <w:highlight w:val="none"/>
              </w:rPr>
            </w:pPr>
          </w:p>
        </w:tc>
        <w:tc>
          <w:tcPr>
            <w:tcW w:w="2130" w:type="dxa"/>
            <w:noWrap w:val="0"/>
            <w:vAlign w:val="top"/>
          </w:tcPr>
          <w:p w14:paraId="4DB6A055">
            <w:pPr>
              <w:spacing w:line="360" w:lineRule="auto"/>
              <w:rPr>
                <w:rFonts w:hint="eastAsia" w:ascii="仿宋" w:hAnsi="仿宋" w:eastAsia="仿宋" w:cs="仿宋"/>
                <w:sz w:val="24"/>
                <w:szCs w:val="24"/>
                <w:highlight w:val="none"/>
              </w:rPr>
            </w:pPr>
          </w:p>
        </w:tc>
        <w:tc>
          <w:tcPr>
            <w:tcW w:w="1860" w:type="dxa"/>
            <w:noWrap w:val="0"/>
            <w:vAlign w:val="top"/>
          </w:tcPr>
          <w:p w14:paraId="0E1E2346">
            <w:pPr>
              <w:spacing w:line="360" w:lineRule="auto"/>
              <w:rPr>
                <w:rFonts w:hint="eastAsia" w:ascii="仿宋" w:hAnsi="仿宋" w:eastAsia="仿宋" w:cs="仿宋"/>
                <w:sz w:val="24"/>
                <w:szCs w:val="24"/>
                <w:highlight w:val="none"/>
              </w:rPr>
            </w:pPr>
          </w:p>
        </w:tc>
      </w:tr>
      <w:tr w14:paraId="30548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988" w:type="dxa"/>
            <w:noWrap w:val="0"/>
            <w:vAlign w:val="top"/>
          </w:tcPr>
          <w:p w14:paraId="7AA0D1E4">
            <w:pPr>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4. 检测和试验设备</w:t>
            </w:r>
          </w:p>
        </w:tc>
        <w:tc>
          <w:tcPr>
            <w:tcW w:w="1590" w:type="dxa"/>
            <w:noWrap w:val="0"/>
            <w:vAlign w:val="top"/>
          </w:tcPr>
          <w:p w14:paraId="13CAC824">
            <w:pPr>
              <w:spacing w:line="360" w:lineRule="auto"/>
              <w:rPr>
                <w:rFonts w:hint="eastAsia" w:ascii="仿宋" w:hAnsi="仿宋" w:eastAsia="仿宋" w:cs="仿宋"/>
                <w:sz w:val="24"/>
                <w:szCs w:val="24"/>
                <w:highlight w:val="none"/>
              </w:rPr>
            </w:pPr>
          </w:p>
        </w:tc>
        <w:tc>
          <w:tcPr>
            <w:tcW w:w="2130" w:type="dxa"/>
            <w:noWrap w:val="0"/>
            <w:vAlign w:val="top"/>
          </w:tcPr>
          <w:p w14:paraId="7C2B2C38">
            <w:pPr>
              <w:spacing w:line="360" w:lineRule="auto"/>
              <w:rPr>
                <w:rFonts w:hint="eastAsia" w:ascii="仿宋" w:hAnsi="仿宋" w:eastAsia="仿宋" w:cs="仿宋"/>
                <w:sz w:val="24"/>
                <w:szCs w:val="24"/>
                <w:highlight w:val="none"/>
              </w:rPr>
            </w:pPr>
          </w:p>
        </w:tc>
        <w:tc>
          <w:tcPr>
            <w:tcW w:w="1860" w:type="dxa"/>
            <w:noWrap w:val="0"/>
            <w:vAlign w:val="top"/>
          </w:tcPr>
          <w:p w14:paraId="3CB328AB">
            <w:pPr>
              <w:spacing w:line="360" w:lineRule="auto"/>
              <w:rPr>
                <w:rFonts w:hint="eastAsia" w:ascii="仿宋" w:hAnsi="仿宋" w:eastAsia="仿宋" w:cs="仿宋"/>
                <w:sz w:val="24"/>
                <w:szCs w:val="24"/>
                <w:highlight w:val="none"/>
              </w:rPr>
            </w:pPr>
          </w:p>
        </w:tc>
      </w:tr>
      <w:tr w14:paraId="1F60F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2988" w:type="dxa"/>
            <w:noWrap w:val="0"/>
            <w:vAlign w:val="top"/>
          </w:tcPr>
          <w:p w14:paraId="0C93E9A7">
            <w:pPr>
              <w:spacing w:line="360" w:lineRule="auto"/>
              <w:rPr>
                <w:rFonts w:hint="eastAsia" w:ascii="仿宋" w:hAnsi="仿宋" w:eastAsia="仿宋" w:cs="仿宋"/>
                <w:sz w:val="24"/>
                <w:szCs w:val="24"/>
                <w:highlight w:val="none"/>
              </w:rPr>
            </w:pPr>
          </w:p>
        </w:tc>
        <w:tc>
          <w:tcPr>
            <w:tcW w:w="1590" w:type="dxa"/>
            <w:noWrap w:val="0"/>
            <w:vAlign w:val="top"/>
          </w:tcPr>
          <w:p w14:paraId="4F3DD6A1">
            <w:pPr>
              <w:spacing w:line="360" w:lineRule="auto"/>
              <w:rPr>
                <w:rFonts w:hint="eastAsia" w:ascii="仿宋" w:hAnsi="仿宋" w:eastAsia="仿宋" w:cs="仿宋"/>
                <w:sz w:val="24"/>
                <w:szCs w:val="24"/>
                <w:highlight w:val="none"/>
              </w:rPr>
            </w:pPr>
          </w:p>
        </w:tc>
        <w:tc>
          <w:tcPr>
            <w:tcW w:w="2130" w:type="dxa"/>
            <w:noWrap w:val="0"/>
            <w:vAlign w:val="top"/>
          </w:tcPr>
          <w:p w14:paraId="7D871B6B">
            <w:pPr>
              <w:spacing w:line="360" w:lineRule="auto"/>
              <w:rPr>
                <w:rFonts w:hint="eastAsia" w:ascii="仿宋" w:hAnsi="仿宋" w:eastAsia="仿宋" w:cs="仿宋"/>
                <w:sz w:val="24"/>
                <w:szCs w:val="24"/>
                <w:highlight w:val="none"/>
              </w:rPr>
            </w:pPr>
          </w:p>
        </w:tc>
        <w:tc>
          <w:tcPr>
            <w:tcW w:w="1860" w:type="dxa"/>
            <w:noWrap w:val="0"/>
            <w:vAlign w:val="top"/>
          </w:tcPr>
          <w:p w14:paraId="3A3E2104">
            <w:pPr>
              <w:spacing w:line="360" w:lineRule="auto"/>
              <w:rPr>
                <w:rFonts w:hint="eastAsia" w:ascii="仿宋" w:hAnsi="仿宋" w:eastAsia="仿宋" w:cs="仿宋"/>
                <w:sz w:val="24"/>
                <w:szCs w:val="24"/>
                <w:highlight w:val="none"/>
              </w:rPr>
            </w:pPr>
          </w:p>
        </w:tc>
      </w:tr>
    </w:tbl>
    <w:p w14:paraId="3F7CABAE">
      <w:pPr>
        <w:spacing w:line="360" w:lineRule="auto"/>
        <w:rPr>
          <w:rFonts w:hint="eastAsia" w:ascii="仿宋" w:hAnsi="仿宋" w:eastAsia="仿宋" w:cs="仿宋"/>
          <w:sz w:val="24"/>
          <w:szCs w:val="24"/>
          <w:highlight w:val="none"/>
        </w:rPr>
      </w:pPr>
    </w:p>
    <w:p w14:paraId="6501BF3E">
      <w:pPr>
        <w:rPr>
          <w:rFonts w:hint="eastAsia" w:ascii="仿宋" w:hAnsi="仿宋" w:eastAsia="仿宋" w:cs="仿宋"/>
          <w:sz w:val="24"/>
          <w:szCs w:val="24"/>
          <w:highlight w:val="none"/>
        </w:rPr>
      </w:pPr>
    </w:p>
    <w:p w14:paraId="0836E35D">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r>
    </w:p>
    <w:p w14:paraId="4C3DE425">
      <w:pPr>
        <w:pStyle w:val="3"/>
        <w:bidi w:val="0"/>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第五章 </w:t>
      </w:r>
      <w:bookmarkEnd w:id="141"/>
      <w:bookmarkEnd w:id="142"/>
      <w:r>
        <w:rPr>
          <w:rFonts w:hint="eastAsia" w:ascii="仿宋" w:hAnsi="仿宋" w:eastAsia="仿宋" w:cs="仿宋"/>
          <w:color w:val="auto"/>
          <w:highlight w:val="none"/>
          <w:lang w:val="en-US" w:eastAsia="zh-CN"/>
        </w:rPr>
        <w:t>项目需求</w:t>
      </w:r>
    </w:p>
    <w:p w14:paraId="66FF29FC">
      <w:pPr>
        <w:keepNext w:val="0"/>
        <w:keepLines w:val="0"/>
        <w:pageBreakBefore w:val="0"/>
        <w:widowControl/>
        <w:kinsoku w:val="0"/>
        <w:wordWrap/>
        <w:overflowPunct/>
        <w:topLinePunct w:val="0"/>
        <w:autoSpaceDE w:val="0"/>
        <w:autoSpaceDN w:val="0"/>
        <w:bidi w:val="0"/>
        <w:adjustRightInd w:val="0"/>
        <w:snapToGrid w:val="0"/>
        <w:spacing w:after="0" w:line="520" w:lineRule="exact"/>
        <w:ind w:left="0" w:firstLine="506" w:firstLineChars="200"/>
        <w:textAlignment w:val="baseline"/>
        <w:outlineLvl w:val="2"/>
        <w:rPr>
          <w:rFonts w:hint="default" w:ascii="仿宋" w:hAnsi="仿宋" w:eastAsia="仿宋" w:cs="仿宋"/>
          <w:b/>
          <w:bCs/>
          <w:spacing w:val="6"/>
          <w:sz w:val="24"/>
          <w:szCs w:val="24"/>
          <w:highlight w:val="none"/>
          <w:lang w:val="en-US" w:eastAsia="zh-CN"/>
        </w:rPr>
      </w:pPr>
      <w:r>
        <w:rPr>
          <w:rFonts w:hint="eastAsia" w:ascii="仿宋" w:hAnsi="仿宋" w:eastAsia="仿宋" w:cs="仿宋"/>
          <w:b/>
          <w:bCs/>
          <w:spacing w:val="6"/>
          <w:sz w:val="24"/>
          <w:szCs w:val="24"/>
          <w:highlight w:val="none"/>
          <w:lang w:val="en-US" w:eastAsia="zh-CN"/>
        </w:rPr>
        <w:t>一、项目概况</w:t>
      </w:r>
    </w:p>
    <w:p w14:paraId="55DA7583">
      <w:pPr>
        <w:pageBreakBefore w:val="0"/>
        <w:widowControl w:val="0"/>
        <w:kinsoku/>
        <w:wordWrap/>
        <w:overflowPunct/>
        <w:topLinePunct w:val="0"/>
        <w:autoSpaceDE/>
        <w:autoSpaceDN/>
        <w:bidi w:val="0"/>
        <w:snapToGrid w:val="0"/>
        <w:spacing w:beforeAutospacing="0" w:after="0" w:afterAutospacing="0" w:line="520" w:lineRule="exact"/>
        <w:ind w:firstLine="482" w:firstLineChars="200"/>
        <w:textAlignment w:val="auto"/>
        <w:rPr>
          <w:rFonts w:hint="eastAsia" w:ascii="仿宋" w:hAnsi="仿宋" w:eastAsia="仿宋" w:cs="仿宋"/>
          <w:caps w:val="0"/>
          <w:smallCaps w:val="0"/>
          <w:color w:val="auto"/>
          <w:spacing w:val="0"/>
          <w:kern w:val="0"/>
          <w:sz w:val="24"/>
          <w:szCs w:val="24"/>
          <w:highlight w:val="none"/>
          <w:lang w:val="en-US" w:eastAsia="zh-CN"/>
        </w:rPr>
      </w:pPr>
      <w:r>
        <w:rPr>
          <w:rFonts w:hint="eastAsia" w:ascii="仿宋" w:hAnsi="仿宋" w:eastAsia="仿宋" w:cs="仿宋"/>
          <w:b/>
          <w:bCs/>
          <w:caps w:val="0"/>
          <w:smallCaps w:val="0"/>
          <w:color w:val="auto"/>
          <w:spacing w:val="0"/>
          <w:sz w:val="24"/>
          <w:szCs w:val="24"/>
          <w:highlight w:val="none"/>
          <w:lang w:val="en-US" w:eastAsia="zh-CN"/>
        </w:rPr>
        <w:t>1.</w:t>
      </w:r>
      <w:r>
        <w:rPr>
          <w:rFonts w:hint="eastAsia" w:ascii="仿宋" w:hAnsi="仿宋" w:eastAsia="仿宋" w:cs="仿宋"/>
          <w:b/>
          <w:bCs/>
          <w:caps w:val="0"/>
          <w:smallCaps w:val="0"/>
          <w:color w:val="auto"/>
          <w:spacing w:val="0"/>
          <w:sz w:val="24"/>
          <w:szCs w:val="24"/>
          <w:highlight w:val="none"/>
        </w:rPr>
        <w:t>建设地点</w:t>
      </w:r>
      <w:r>
        <w:rPr>
          <w:rFonts w:hint="eastAsia" w:ascii="仿宋" w:hAnsi="仿宋" w:eastAsia="仿宋" w:cs="仿宋"/>
          <w:b/>
          <w:bCs/>
          <w:caps w:val="0"/>
          <w:smallCaps w:val="0"/>
          <w:color w:val="auto"/>
          <w:spacing w:val="0"/>
          <w:sz w:val="24"/>
          <w:szCs w:val="24"/>
          <w:highlight w:val="none"/>
          <w:lang w:eastAsia="zh-CN"/>
        </w:rPr>
        <w:t>：</w:t>
      </w:r>
      <w:r>
        <w:rPr>
          <w:rFonts w:hint="eastAsia" w:ascii="仿宋" w:hAnsi="仿宋" w:eastAsia="仿宋" w:cs="仿宋"/>
          <w:caps w:val="0"/>
          <w:smallCaps w:val="0"/>
          <w:color w:val="auto"/>
          <w:spacing w:val="0"/>
          <w:sz w:val="24"/>
          <w:szCs w:val="24"/>
          <w:highlight w:val="none"/>
          <w:lang w:val="en-US" w:eastAsia="zh-CN"/>
        </w:rPr>
        <w:t>云南省文山州富宁县人民医院院内</w:t>
      </w:r>
    </w:p>
    <w:p w14:paraId="1994A4FD">
      <w:pPr>
        <w:pageBreakBefore w:val="0"/>
        <w:widowControl w:val="0"/>
        <w:kinsoku/>
        <w:wordWrap/>
        <w:overflowPunct/>
        <w:topLinePunct w:val="0"/>
        <w:autoSpaceDE/>
        <w:autoSpaceDN/>
        <w:bidi w:val="0"/>
        <w:spacing w:beforeAutospacing="0" w:after="0" w:afterAutospacing="0" w:line="520" w:lineRule="exact"/>
        <w:ind w:firstLine="482" w:firstLineChars="200"/>
        <w:jc w:val="both"/>
        <w:textAlignment w:val="auto"/>
        <w:rPr>
          <w:rFonts w:hint="eastAsia" w:ascii="仿宋" w:hAnsi="仿宋" w:eastAsia="仿宋" w:cs="仿宋"/>
          <w:caps w:val="0"/>
          <w:smallCaps w:val="0"/>
          <w:color w:val="auto"/>
          <w:spacing w:val="0"/>
          <w:sz w:val="24"/>
          <w:szCs w:val="24"/>
          <w:highlight w:val="none"/>
          <w:u w:val="none"/>
          <w:lang w:val="en-US" w:eastAsia="zh-CN"/>
        </w:rPr>
      </w:pPr>
      <w:r>
        <w:rPr>
          <w:rFonts w:hint="eastAsia" w:ascii="仿宋" w:hAnsi="仿宋" w:eastAsia="仿宋" w:cs="仿宋"/>
          <w:b/>
          <w:bCs/>
          <w:caps w:val="0"/>
          <w:smallCaps w:val="0"/>
          <w:color w:val="auto"/>
          <w:spacing w:val="0"/>
          <w:sz w:val="24"/>
          <w:szCs w:val="24"/>
          <w:highlight w:val="none"/>
          <w:lang w:val="en-US" w:eastAsia="zh-CN"/>
        </w:rPr>
        <w:t>2.</w:t>
      </w:r>
      <w:r>
        <w:rPr>
          <w:rFonts w:hint="eastAsia" w:ascii="仿宋" w:hAnsi="仿宋" w:eastAsia="仿宋" w:cs="仿宋"/>
          <w:b/>
          <w:bCs/>
          <w:caps w:val="0"/>
          <w:smallCaps w:val="0"/>
          <w:color w:val="auto"/>
          <w:spacing w:val="0"/>
          <w:sz w:val="24"/>
          <w:szCs w:val="24"/>
          <w:highlight w:val="none"/>
        </w:rPr>
        <w:t>建设规模及内容</w:t>
      </w:r>
      <w:r>
        <w:rPr>
          <w:rFonts w:hint="eastAsia" w:ascii="仿宋" w:hAnsi="仿宋" w:eastAsia="仿宋" w:cs="仿宋"/>
          <w:b/>
          <w:bCs/>
          <w:caps w:val="0"/>
          <w:smallCaps w:val="0"/>
          <w:color w:val="auto"/>
          <w:spacing w:val="0"/>
          <w:sz w:val="24"/>
          <w:szCs w:val="24"/>
          <w:highlight w:val="none"/>
          <w:lang w:eastAsia="zh-CN"/>
        </w:rPr>
        <w:t>：</w:t>
      </w:r>
      <w:r>
        <w:rPr>
          <w:rFonts w:hint="eastAsia" w:ascii="仿宋" w:hAnsi="仿宋" w:eastAsia="仿宋" w:cs="仿宋"/>
          <w:b w:val="0"/>
          <w:bCs w:val="0"/>
          <w:caps w:val="0"/>
          <w:smallCaps w:val="0"/>
          <w:color w:val="auto"/>
          <w:spacing w:val="0"/>
          <w:sz w:val="24"/>
          <w:szCs w:val="24"/>
          <w:highlight w:val="none"/>
          <w:lang w:val="en-US" w:eastAsia="zh-CN"/>
        </w:rPr>
        <w:t>总建筑面积19443.18平方米，建设住院楼业务用房、辅助设施及设备，其中3#住院综合楼地上9层，消防水泵房柴油发电机房地上一层地下一层。</w:t>
      </w:r>
    </w:p>
    <w:p w14:paraId="3211FD9B">
      <w:pPr>
        <w:pStyle w:val="4"/>
        <w:keepNext/>
        <w:keepLines/>
        <w:pageBreakBefore w:val="0"/>
        <w:widowControl w:val="0"/>
        <w:numPr>
          <w:ilvl w:val="0"/>
          <w:numId w:val="0"/>
        </w:numPr>
        <w:kinsoku/>
        <w:wordWrap/>
        <w:overflowPunct/>
        <w:topLinePunct w:val="0"/>
        <w:autoSpaceDE/>
        <w:autoSpaceDN/>
        <w:bidi w:val="0"/>
        <w:adjustRightInd/>
        <w:snapToGrid/>
        <w:spacing w:before="0" w:after="0" w:line="520" w:lineRule="exact"/>
        <w:ind w:leftChars="0" w:firstLine="482" w:firstLineChars="200"/>
        <w:textAlignment w:val="auto"/>
        <w:rPr>
          <w:rFonts w:hint="eastAsia" w:ascii="仿宋" w:hAnsi="仿宋" w:eastAsia="仿宋" w:cs="仿宋"/>
          <w:b w:val="0"/>
          <w:bCs w:val="0"/>
          <w:caps w:val="0"/>
          <w:smallCaps w:val="0"/>
          <w:color w:val="auto"/>
          <w:spacing w:val="0"/>
          <w:kern w:val="0"/>
          <w:sz w:val="24"/>
          <w:szCs w:val="24"/>
          <w:highlight w:val="none"/>
          <w:lang w:val="en-US" w:eastAsia="zh-CN" w:bidi="ar-SA"/>
        </w:rPr>
      </w:pPr>
      <w:r>
        <w:rPr>
          <w:rFonts w:hint="eastAsia" w:ascii="仿宋" w:hAnsi="仿宋" w:eastAsia="仿宋" w:cs="仿宋"/>
          <w:b/>
          <w:bCs/>
          <w:caps w:val="0"/>
          <w:smallCaps w:val="0"/>
          <w:color w:val="auto"/>
          <w:spacing w:val="0"/>
          <w:kern w:val="0"/>
          <w:sz w:val="24"/>
          <w:szCs w:val="24"/>
          <w:highlight w:val="none"/>
          <w:lang w:val="en-US" w:eastAsia="zh-CN" w:bidi="ar-SA"/>
        </w:rPr>
        <w:t>3.采购需求：</w:t>
      </w:r>
      <w:r>
        <w:rPr>
          <w:rFonts w:hint="eastAsia" w:ascii="仿宋" w:hAnsi="仿宋" w:eastAsia="仿宋" w:cs="仿宋"/>
          <w:b w:val="0"/>
          <w:bCs w:val="0"/>
          <w:caps w:val="0"/>
          <w:smallCaps w:val="0"/>
          <w:color w:val="auto"/>
          <w:spacing w:val="0"/>
          <w:kern w:val="0"/>
          <w:sz w:val="24"/>
          <w:szCs w:val="24"/>
          <w:highlight w:val="none"/>
          <w:lang w:val="en-US" w:eastAsia="zh-CN" w:bidi="ar-SA"/>
        </w:rPr>
        <w:t>富宁县人民医院提标扩能建设项目施工准备阶段、施工阶段和保修阶段（包括缺陷责任期内）的全过程监理服务（监理服务期具体为自监理合同签订之日起至缺陷责任期满止，工程延期监理费用不调整），包括但不限于工程项目的全部施工、竣工合格、验收移交、缺陷责任期满为止的全过程监理服务。建设工程项目施工阶段的质量、进度、费用控制管理和安全、合同、信息等方面协调管理服务（包括对业主委托的工程质量检测单位检测方案、检测内容、检测费用的审核）。</w:t>
      </w:r>
    </w:p>
    <w:p w14:paraId="67522DCB">
      <w:pPr>
        <w:pStyle w:val="3"/>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outlineLvl w:val="9"/>
        <w:rPr>
          <w:rFonts w:hint="eastAsia" w:ascii="仿宋" w:hAnsi="仿宋" w:eastAsia="仿宋" w:cs="仿宋"/>
          <w:b w:val="0"/>
          <w:bCs w:val="0"/>
          <w:caps w:val="0"/>
          <w:smallCaps w:val="0"/>
          <w:color w:val="auto"/>
          <w:spacing w:val="0"/>
          <w:kern w:val="0"/>
          <w:sz w:val="24"/>
          <w:szCs w:val="24"/>
          <w:highlight w:val="none"/>
          <w:lang w:val="en-US" w:eastAsia="zh-CN" w:bidi="ar-SA"/>
        </w:rPr>
      </w:pPr>
      <w:r>
        <w:rPr>
          <w:rFonts w:hint="eastAsia" w:ascii="仿宋" w:hAnsi="仿宋" w:eastAsia="仿宋" w:cs="仿宋"/>
          <w:b/>
          <w:bCs/>
          <w:caps w:val="0"/>
          <w:smallCaps w:val="0"/>
          <w:color w:val="auto"/>
          <w:spacing w:val="0"/>
          <w:kern w:val="0"/>
          <w:sz w:val="24"/>
          <w:szCs w:val="24"/>
          <w:highlight w:val="none"/>
          <w:lang w:val="en-US" w:eastAsia="zh-CN" w:bidi="ar-SA"/>
        </w:rPr>
        <w:t>4.服务标准：</w:t>
      </w:r>
      <w:r>
        <w:rPr>
          <w:rFonts w:hint="eastAsia" w:ascii="仿宋" w:hAnsi="仿宋" w:eastAsia="仿宋" w:cs="仿宋"/>
          <w:b w:val="0"/>
          <w:bCs w:val="0"/>
          <w:color w:val="auto"/>
          <w:kern w:val="2"/>
          <w:sz w:val="24"/>
          <w:szCs w:val="24"/>
          <w:highlight w:val="none"/>
          <w:u w:val="none"/>
          <w:lang w:val="en-US" w:eastAsia="zh-CN" w:bidi="ar-SA"/>
        </w:rPr>
        <w:t>严格执行《建设工程监理规范》(GB/T50319-2013)、《建设工程质量管理条例》、《建筑工程施工质量验收统一标准》</w:t>
      </w:r>
      <w:r>
        <w:rPr>
          <w:rFonts w:hint="eastAsia" w:ascii="仿宋" w:hAnsi="仿宋" w:eastAsia="仿宋" w:cs="仿宋"/>
          <w:b w:val="0"/>
          <w:bCs w:val="0"/>
          <w:caps w:val="0"/>
          <w:smallCaps w:val="0"/>
          <w:color w:val="auto"/>
          <w:spacing w:val="0"/>
          <w:kern w:val="0"/>
          <w:sz w:val="24"/>
          <w:szCs w:val="24"/>
          <w:highlight w:val="none"/>
          <w:lang w:val="en-US" w:eastAsia="zh-CN" w:bidi="ar-SA"/>
        </w:rPr>
        <w:t>（GB 50300-2013）</w:t>
      </w:r>
      <w:r>
        <w:rPr>
          <w:rFonts w:hint="eastAsia" w:ascii="仿宋" w:hAnsi="仿宋" w:eastAsia="仿宋" w:cs="仿宋"/>
          <w:b w:val="0"/>
          <w:bCs w:val="0"/>
          <w:color w:val="auto"/>
          <w:kern w:val="2"/>
          <w:sz w:val="24"/>
          <w:szCs w:val="24"/>
          <w:highlight w:val="none"/>
          <w:u w:val="none"/>
          <w:lang w:val="en-US" w:eastAsia="zh-CN" w:bidi="ar-SA"/>
        </w:rPr>
        <w:t>、《综合医院建筑设计标准》和国家现行工程建设强制性标准，符合国家、相关行业现行的有关规范及标准，认真、全面履行《监理合同》及监理服务承诺。</w:t>
      </w:r>
    </w:p>
    <w:p w14:paraId="3492DB39">
      <w:pPr>
        <w:pStyle w:val="5"/>
        <w:ind w:firstLine="482" w:firstLineChars="200"/>
        <w:rPr>
          <w:rFonts w:hint="eastAsia" w:ascii="仿宋" w:hAnsi="仿宋" w:eastAsia="仿宋" w:cs="仿宋"/>
          <w:b w:val="0"/>
          <w:bCs w:val="0"/>
          <w:caps w:val="0"/>
          <w:smallCaps w:val="0"/>
          <w:color w:val="auto"/>
          <w:spacing w:val="0"/>
          <w:kern w:val="0"/>
          <w:sz w:val="24"/>
          <w:szCs w:val="24"/>
          <w:highlight w:val="none"/>
          <w:lang w:val="en-US" w:eastAsia="zh-CN" w:bidi="ar-SA"/>
        </w:rPr>
      </w:pPr>
      <w:r>
        <w:rPr>
          <w:rFonts w:hint="eastAsia" w:ascii="仿宋" w:hAnsi="仿宋" w:eastAsia="仿宋" w:cs="仿宋"/>
          <w:b/>
          <w:bCs/>
          <w:caps w:val="0"/>
          <w:smallCaps w:val="0"/>
          <w:color w:val="auto"/>
          <w:spacing w:val="0"/>
          <w:kern w:val="0"/>
          <w:sz w:val="24"/>
          <w:szCs w:val="24"/>
          <w:highlight w:val="none"/>
          <w:lang w:val="en-US" w:eastAsia="zh-CN" w:bidi="ar-SA"/>
        </w:rPr>
        <w:t>5.合同履行期限：</w:t>
      </w:r>
      <w:r>
        <w:rPr>
          <w:rFonts w:hint="eastAsia" w:ascii="仿宋" w:hAnsi="仿宋" w:eastAsia="仿宋" w:cs="仿宋"/>
          <w:b w:val="0"/>
          <w:bCs w:val="0"/>
          <w:caps w:val="0"/>
          <w:smallCaps w:val="0"/>
          <w:color w:val="auto"/>
          <w:spacing w:val="0"/>
          <w:kern w:val="0"/>
          <w:sz w:val="24"/>
          <w:szCs w:val="24"/>
          <w:highlight w:val="none"/>
          <w:lang w:val="en-US" w:eastAsia="zh-CN" w:bidi="ar-SA"/>
        </w:rPr>
        <w:t>730日历天（按采购人总体建设计划及施工合同约定工期执行）。</w:t>
      </w:r>
    </w:p>
    <w:p w14:paraId="180E3C4F">
      <w:pPr>
        <w:keepNext w:val="0"/>
        <w:keepLines w:val="0"/>
        <w:pageBreakBefore w:val="0"/>
        <w:widowControl/>
        <w:kinsoku w:val="0"/>
        <w:wordWrap/>
        <w:overflowPunct/>
        <w:topLinePunct w:val="0"/>
        <w:autoSpaceDE w:val="0"/>
        <w:autoSpaceDN w:val="0"/>
        <w:bidi w:val="0"/>
        <w:adjustRightInd w:val="0"/>
        <w:snapToGrid w:val="0"/>
        <w:spacing w:after="0" w:line="520" w:lineRule="exact"/>
        <w:ind w:left="0" w:firstLine="506" w:firstLineChars="200"/>
        <w:textAlignment w:val="baseline"/>
        <w:outlineLvl w:val="2"/>
        <w:rPr>
          <w:rFonts w:hint="eastAsia" w:ascii="仿宋" w:hAnsi="仿宋" w:eastAsia="仿宋" w:cs="仿宋"/>
          <w:b/>
          <w:bCs/>
          <w:spacing w:val="6"/>
          <w:sz w:val="24"/>
          <w:szCs w:val="24"/>
          <w:highlight w:val="none"/>
          <w:lang w:val="en-US" w:eastAsia="zh-CN"/>
        </w:rPr>
      </w:pPr>
      <w:r>
        <w:rPr>
          <w:rFonts w:hint="eastAsia" w:ascii="仿宋" w:hAnsi="仿宋" w:eastAsia="仿宋" w:cs="仿宋"/>
          <w:b/>
          <w:bCs/>
          <w:spacing w:val="6"/>
          <w:sz w:val="24"/>
          <w:szCs w:val="24"/>
          <w:highlight w:val="none"/>
          <w:lang w:val="en-US" w:eastAsia="zh-CN"/>
        </w:rPr>
        <w:t>二、监理服务范围及内容</w:t>
      </w:r>
    </w:p>
    <w:p w14:paraId="2BE2F54D">
      <w:pPr>
        <w:keepNext w:val="0"/>
        <w:keepLines w:val="0"/>
        <w:pageBreakBefore w:val="0"/>
        <w:widowControl/>
        <w:kinsoku w:val="0"/>
        <w:wordWrap/>
        <w:overflowPunct/>
        <w:topLinePunct w:val="0"/>
        <w:autoSpaceDE w:val="0"/>
        <w:autoSpaceDN w:val="0"/>
        <w:bidi w:val="0"/>
        <w:adjustRightInd w:val="0"/>
        <w:snapToGrid w:val="0"/>
        <w:spacing w:after="0" w:line="520" w:lineRule="exact"/>
        <w:ind w:left="0" w:firstLine="510" w:firstLineChars="200"/>
        <w:textAlignment w:val="baseline"/>
        <w:rPr>
          <w:rFonts w:hint="eastAsia" w:ascii="仿宋" w:hAnsi="仿宋" w:eastAsia="仿宋" w:cs="仿宋"/>
          <w:b/>
          <w:bCs/>
          <w:spacing w:val="7"/>
          <w:sz w:val="24"/>
          <w:szCs w:val="24"/>
          <w:highlight w:val="none"/>
          <w:lang w:val="en-US" w:eastAsia="zh-CN"/>
        </w:rPr>
      </w:pPr>
      <w:r>
        <w:rPr>
          <w:rFonts w:hint="eastAsia" w:ascii="仿宋" w:hAnsi="仿宋" w:eastAsia="仿宋" w:cs="仿宋"/>
          <w:b/>
          <w:bCs/>
          <w:spacing w:val="7"/>
          <w:sz w:val="24"/>
          <w:szCs w:val="24"/>
          <w:highlight w:val="none"/>
          <w:lang w:val="en-US" w:eastAsia="zh-CN"/>
        </w:rPr>
        <w:t>1.服务范围：</w:t>
      </w:r>
    </w:p>
    <w:p w14:paraId="0A0C91EE">
      <w:pPr>
        <w:keepNext w:val="0"/>
        <w:keepLines w:val="0"/>
        <w:pageBreakBefore w:val="0"/>
        <w:widowControl/>
        <w:kinsoku w:val="0"/>
        <w:wordWrap/>
        <w:overflowPunct/>
        <w:topLinePunct w:val="0"/>
        <w:autoSpaceDE w:val="0"/>
        <w:autoSpaceDN w:val="0"/>
        <w:bidi w:val="0"/>
        <w:adjustRightInd w:val="0"/>
        <w:snapToGrid w:val="0"/>
        <w:spacing w:after="0" w:line="520" w:lineRule="exact"/>
        <w:ind w:left="0" w:firstLine="508" w:firstLineChars="200"/>
        <w:textAlignment w:val="baseline"/>
        <w:rPr>
          <w:rFonts w:hint="eastAsia" w:ascii="仿宋" w:hAnsi="仿宋" w:eastAsia="仿宋" w:cs="仿宋"/>
          <w:spacing w:val="7"/>
          <w:sz w:val="24"/>
          <w:szCs w:val="24"/>
          <w:highlight w:val="none"/>
          <w:lang w:val="en-US" w:eastAsia="zh-CN"/>
        </w:rPr>
      </w:pPr>
      <w:r>
        <w:rPr>
          <w:rFonts w:hint="eastAsia" w:ascii="仿宋" w:hAnsi="仿宋" w:eastAsia="仿宋" w:cs="仿宋"/>
          <w:spacing w:val="7"/>
          <w:sz w:val="24"/>
          <w:szCs w:val="24"/>
          <w:highlight w:val="none"/>
          <w:lang w:val="en-US" w:eastAsia="zh-CN"/>
        </w:rPr>
        <w:t>富宁县人民医院提标扩能建设项目施工图范围内全部工程全过程监理，包含但不限于：</w:t>
      </w:r>
    </w:p>
    <w:p w14:paraId="50D41352">
      <w:pPr>
        <w:keepNext w:val="0"/>
        <w:keepLines w:val="0"/>
        <w:pageBreakBefore w:val="0"/>
        <w:widowControl/>
        <w:kinsoku w:val="0"/>
        <w:wordWrap/>
        <w:overflowPunct/>
        <w:topLinePunct w:val="0"/>
        <w:autoSpaceDE w:val="0"/>
        <w:autoSpaceDN w:val="0"/>
        <w:bidi w:val="0"/>
        <w:adjustRightInd w:val="0"/>
        <w:snapToGrid w:val="0"/>
        <w:spacing w:after="0" w:line="520" w:lineRule="exact"/>
        <w:ind w:left="0" w:firstLine="508" w:firstLineChars="200"/>
        <w:textAlignment w:val="baseline"/>
        <w:rPr>
          <w:rFonts w:hint="eastAsia" w:ascii="仿宋" w:hAnsi="仿宋" w:eastAsia="仿宋" w:cs="仿宋"/>
          <w:spacing w:val="7"/>
          <w:sz w:val="24"/>
          <w:szCs w:val="24"/>
          <w:highlight w:val="none"/>
          <w:lang w:val="en-US" w:eastAsia="zh-CN"/>
        </w:rPr>
      </w:pPr>
      <w:r>
        <w:rPr>
          <w:rFonts w:hint="eastAsia" w:ascii="仿宋" w:hAnsi="仿宋" w:eastAsia="仿宋" w:cs="仿宋"/>
          <w:spacing w:val="7"/>
          <w:sz w:val="24"/>
          <w:szCs w:val="24"/>
          <w:highlight w:val="none"/>
          <w:lang w:val="en-US" w:eastAsia="zh-CN"/>
        </w:rPr>
        <w:t>1.1  9层住院楼土建、主体、二次结构、内外装饰、屋面工程；</w:t>
      </w:r>
    </w:p>
    <w:p w14:paraId="26B9E804">
      <w:pPr>
        <w:keepNext w:val="0"/>
        <w:keepLines w:val="0"/>
        <w:pageBreakBefore w:val="0"/>
        <w:widowControl/>
        <w:kinsoku w:val="0"/>
        <w:wordWrap/>
        <w:overflowPunct/>
        <w:topLinePunct w:val="0"/>
        <w:autoSpaceDE w:val="0"/>
        <w:autoSpaceDN w:val="0"/>
        <w:bidi w:val="0"/>
        <w:adjustRightInd w:val="0"/>
        <w:snapToGrid w:val="0"/>
        <w:spacing w:after="0" w:line="520" w:lineRule="exact"/>
        <w:ind w:left="0" w:firstLine="508" w:firstLineChars="200"/>
        <w:textAlignment w:val="baseline"/>
        <w:rPr>
          <w:rFonts w:hint="eastAsia" w:ascii="仿宋" w:hAnsi="仿宋" w:eastAsia="仿宋" w:cs="仿宋"/>
          <w:spacing w:val="7"/>
          <w:sz w:val="24"/>
          <w:szCs w:val="24"/>
          <w:highlight w:val="none"/>
          <w:lang w:val="en-US" w:eastAsia="zh-CN"/>
        </w:rPr>
      </w:pPr>
      <w:r>
        <w:rPr>
          <w:rFonts w:hint="eastAsia" w:ascii="仿宋" w:hAnsi="仿宋" w:eastAsia="仿宋" w:cs="仿宋"/>
          <w:spacing w:val="7"/>
          <w:sz w:val="24"/>
          <w:szCs w:val="24"/>
          <w:highlight w:val="none"/>
          <w:lang w:val="en-US" w:eastAsia="zh-CN"/>
        </w:rPr>
        <w:t>1.2  机电安装：给排水、电气、消防、通风空调、医用专项管线、智能化预留预埋；</w:t>
      </w:r>
    </w:p>
    <w:p w14:paraId="4D1BADF7">
      <w:pPr>
        <w:keepNext w:val="0"/>
        <w:keepLines w:val="0"/>
        <w:pageBreakBefore w:val="0"/>
        <w:widowControl/>
        <w:kinsoku w:val="0"/>
        <w:wordWrap/>
        <w:overflowPunct/>
        <w:topLinePunct w:val="0"/>
        <w:autoSpaceDE w:val="0"/>
        <w:autoSpaceDN w:val="0"/>
        <w:bidi w:val="0"/>
        <w:adjustRightInd w:val="0"/>
        <w:snapToGrid w:val="0"/>
        <w:spacing w:after="0" w:line="520" w:lineRule="exact"/>
        <w:ind w:left="0" w:firstLine="508" w:firstLineChars="200"/>
        <w:textAlignment w:val="baseline"/>
        <w:rPr>
          <w:rFonts w:hint="eastAsia" w:ascii="仿宋" w:hAnsi="仿宋" w:eastAsia="仿宋" w:cs="仿宋"/>
          <w:spacing w:val="7"/>
          <w:sz w:val="24"/>
          <w:szCs w:val="24"/>
          <w:highlight w:val="none"/>
          <w:lang w:val="en-US" w:eastAsia="zh-CN"/>
        </w:rPr>
      </w:pPr>
      <w:r>
        <w:rPr>
          <w:rFonts w:hint="eastAsia" w:ascii="仿宋" w:hAnsi="仿宋" w:eastAsia="仿宋" w:cs="仿宋"/>
          <w:spacing w:val="7"/>
          <w:sz w:val="24"/>
          <w:szCs w:val="24"/>
          <w:highlight w:val="none"/>
          <w:lang w:val="en-US" w:eastAsia="zh-CN"/>
        </w:rPr>
        <w:t>1.3  地下消防水池、泵房配套构筑物；</w:t>
      </w:r>
    </w:p>
    <w:p w14:paraId="2AD784A2">
      <w:pPr>
        <w:keepNext w:val="0"/>
        <w:keepLines w:val="0"/>
        <w:pageBreakBefore w:val="0"/>
        <w:widowControl/>
        <w:kinsoku w:val="0"/>
        <w:wordWrap/>
        <w:overflowPunct/>
        <w:topLinePunct w:val="0"/>
        <w:autoSpaceDE w:val="0"/>
        <w:autoSpaceDN w:val="0"/>
        <w:bidi w:val="0"/>
        <w:adjustRightInd w:val="0"/>
        <w:snapToGrid w:val="0"/>
        <w:spacing w:after="0" w:line="520" w:lineRule="exact"/>
        <w:ind w:left="0" w:firstLine="508" w:firstLineChars="200"/>
        <w:textAlignment w:val="baseline"/>
        <w:rPr>
          <w:rFonts w:hint="eastAsia" w:ascii="仿宋" w:hAnsi="仿宋" w:eastAsia="仿宋" w:cs="仿宋"/>
          <w:spacing w:val="7"/>
          <w:sz w:val="24"/>
          <w:szCs w:val="24"/>
          <w:highlight w:val="none"/>
          <w:lang w:val="en-US" w:eastAsia="zh-CN"/>
        </w:rPr>
      </w:pPr>
      <w:r>
        <w:rPr>
          <w:rFonts w:hint="eastAsia" w:ascii="仿宋" w:hAnsi="仿宋" w:eastAsia="仿宋" w:cs="仿宋"/>
          <w:spacing w:val="7"/>
          <w:sz w:val="24"/>
          <w:szCs w:val="24"/>
          <w:highlight w:val="none"/>
          <w:lang w:val="en-US" w:eastAsia="zh-CN"/>
        </w:rPr>
        <w:t>1.4  室外工程：室外管网、道路、围墙、绿化、附属用房、场地硬化等；</w:t>
      </w:r>
    </w:p>
    <w:p w14:paraId="43533AC4">
      <w:pPr>
        <w:keepNext w:val="0"/>
        <w:keepLines w:val="0"/>
        <w:pageBreakBefore w:val="0"/>
        <w:widowControl/>
        <w:kinsoku w:val="0"/>
        <w:wordWrap/>
        <w:overflowPunct/>
        <w:topLinePunct w:val="0"/>
        <w:autoSpaceDE w:val="0"/>
        <w:autoSpaceDN w:val="0"/>
        <w:bidi w:val="0"/>
        <w:adjustRightInd w:val="0"/>
        <w:snapToGrid w:val="0"/>
        <w:spacing w:after="0" w:line="520" w:lineRule="exact"/>
        <w:ind w:left="0" w:firstLine="508" w:firstLineChars="200"/>
        <w:textAlignment w:val="baseline"/>
        <w:rPr>
          <w:rFonts w:hint="eastAsia" w:ascii="仿宋" w:hAnsi="仿宋" w:eastAsia="仿宋" w:cs="仿宋"/>
          <w:spacing w:val="7"/>
          <w:sz w:val="24"/>
          <w:szCs w:val="24"/>
          <w:highlight w:val="none"/>
          <w:lang w:val="en-US" w:eastAsia="zh-CN"/>
        </w:rPr>
      </w:pPr>
      <w:r>
        <w:rPr>
          <w:rFonts w:hint="eastAsia" w:ascii="仿宋" w:hAnsi="仿宋" w:eastAsia="仿宋" w:cs="仿宋"/>
          <w:spacing w:val="7"/>
          <w:sz w:val="24"/>
          <w:szCs w:val="24"/>
          <w:highlight w:val="none"/>
          <w:lang w:val="en-US" w:eastAsia="zh-CN"/>
        </w:rPr>
        <w:t>1.5  图纸变更、签证、零星工程、专项分包工程、设备安装配合、竣工验收、移交、缺陷责任期保修监理全过程服务。</w:t>
      </w:r>
    </w:p>
    <w:p w14:paraId="02D4265C">
      <w:pPr>
        <w:keepNext w:val="0"/>
        <w:keepLines w:val="0"/>
        <w:pageBreakBefore w:val="0"/>
        <w:widowControl/>
        <w:kinsoku w:val="0"/>
        <w:wordWrap/>
        <w:overflowPunct/>
        <w:topLinePunct w:val="0"/>
        <w:autoSpaceDE w:val="0"/>
        <w:autoSpaceDN w:val="0"/>
        <w:bidi w:val="0"/>
        <w:adjustRightInd w:val="0"/>
        <w:snapToGrid w:val="0"/>
        <w:spacing w:after="0" w:line="520" w:lineRule="exact"/>
        <w:ind w:left="0" w:firstLine="510" w:firstLineChars="200"/>
        <w:textAlignment w:val="baseline"/>
        <w:rPr>
          <w:rFonts w:hint="eastAsia" w:ascii="仿宋" w:hAnsi="仿宋" w:eastAsia="仿宋" w:cs="仿宋"/>
          <w:b/>
          <w:bCs/>
          <w:spacing w:val="7"/>
          <w:sz w:val="24"/>
          <w:szCs w:val="24"/>
          <w:highlight w:val="none"/>
          <w:lang w:val="en-US" w:eastAsia="zh-CN"/>
        </w:rPr>
      </w:pPr>
      <w:r>
        <w:rPr>
          <w:rFonts w:hint="eastAsia" w:ascii="仿宋" w:hAnsi="仿宋" w:eastAsia="仿宋" w:cs="仿宋"/>
          <w:b/>
          <w:bCs/>
          <w:spacing w:val="7"/>
          <w:sz w:val="24"/>
          <w:szCs w:val="24"/>
          <w:highlight w:val="none"/>
          <w:lang w:val="en-US" w:eastAsia="zh-CN"/>
        </w:rPr>
        <w:t>2.工作内容</w:t>
      </w:r>
    </w:p>
    <w:p w14:paraId="7A043593">
      <w:pPr>
        <w:keepNext w:val="0"/>
        <w:keepLines w:val="0"/>
        <w:pageBreakBefore w:val="0"/>
        <w:widowControl/>
        <w:kinsoku w:val="0"/>
        <w:wordWrap/>
        <w:overflowPunct/>
        <w:topLinePunct w:val="0"/>
        <w:autoSpaceDE w:val="0"/>
        <w:autoSpaceDN w:val="0"/>
        <w:bidi w:val="0"/>
        <w:adjustRightInd w:val="0"/>
        <w:snapToGrid w:val="0"/>
        <w:spacing w:after="0" w:line="520" w:lineRule="exact"/>
        <w:ind w:left="0" w:firstLine="508" w:firstLineChars="200"/>
        <w:textAlignment w:val="baseline"/>
        <w:rPr>
          <w:rFonts w:hint="eastAsia" w:ascii="仿宋" w:hAnsi="仿宋" w:eastAsia="仿宋" w:cs="仿宋"/>
          <w:spacing w:val="7"/>
          <w:sz w:val="24"/>
          <w:szCs w:val="24"/>
          <w:highlight w:val="none"/>
          <w:lang w:val="en-US" w:eastAsia="zh-CN"/>
        </w:rPr>
      </w:pPr>
      <w:r>
        <w:rPr>
          <w:rFonts w:hint="eastAsia" w:ascii="仿宋" w:hAnsi="仿宋" w:eastAsia="仿宋" w:cs="仿宋"/>
          <w:spacing w:val="7"/>
          <w:sz w:val="24"/>
          <w:szCs w:val="24"/>
          <w:highlight w:val="none"/>
          <w:lang w:val="en-US" w:eastAsia="zh-CN"/>
        </w:rPr>
        <w:t>2.1 施工准备阶段：图纸会审、施工组织设计 / 专项方案审核、开工条件核查、施工单位资质、人员、设备、材料进场审查；</w:t>
      </w:r>
    </w:p>
    <w:p w14:paraId="051C117B">
      <w:pPr>
        <w:keepNext w:val="0"/>
        <w:keepLines w:val="0"/>
        <w:pageBreakBefore w:val="0"/>
        <w:widowControl/>
        <w:kinsoku w:val="0"/>
        <w:wordWrap/>
        <w:overflowPunct/>
        <w:topLinePunct w:val="0"/>
        <w:autoSpaceDE w:val="0"/>
        <w:autoSpaceDN w:val="0"/>
        <w:bidi w:val="0"/>
        <w:adjustRightInd w:val="0"/>
        <w:snapToGrid w:val="0"/>
        <w:spacing w:after="0" w:line="520" w:lineRule="exact"/>
        <w:ind w:left="0" w:firstLine="508" w:firstLineChars="200"/>
        <w:textAlignment w:val="baseline"/>
        <w:rPr>
          <w:rFonts w:hint="eastAsia" w:ascii="仿宋" w:hAnsi="仿宋" w:eastAsia="仿宋" w:cs="仿宋"/>
          <w:spacing w:val="7"/>
          <w:sz w:val="24"/>
          <w:szCs w:val="24"/>
          <w:highlight w:val="none"/>
          <w:lang w:val="en-US" w:eastAsia="zh-CN"/>
        </w:rPr>
      </w:pPr>
      <w:r>
        <w:rPr>
          <w:rFonts w:hint="eastAsia" w:ascii="仿宋" w:hAnsi="仿宋" w:eastAsia="仿宋" w:cs="仿宋"/>
          <w:spacing w:val="7"/>
          <w:sz w:val="24"/>
          <w:szCs w:val="24"/>
          <w:highlight w:val="none"/>
          <w:lang w:val="en-US" w:eastAsia="zh-CN"/>
        </w:rPr>
        <w:t>2.2 施工阶段：质量控制、进度控制、投资控制、安全生产文明施工监理、合同管理、信息管理、协调参建各方关系；</w:t>
      </w:r>
    </w:p>
    <w:p w14:paraId="3AA4858C">
      <w:pPr>
        <w:keepNext w:val="0"/>
        <w:keepLines w:val="0"/>
        <w:pageBreakBefore w:val="0"/>
        <w:widowControl/>
        <w:kinsoku w:val="0"/>
        <w:wordWrap/>
        <w:overflowPunct/>
        <w:topLinePunct w:val="0"/>
        <w:autoSpaceDE w:val="0"/>
        <w:autoSpaceDN w:val="0"/>
        <w:bidi w:val="0"/>
        <w:adjustRightInd w:val="0"/>
        <w:snapToGrid w:val="0"/>
        <w:spacing w:after="0" w:line="520" w:lineRule="exact"/>
        <w:ind w:left="0" w:firstLine="508" w:firstLineChars="200"/>
        <w:textAlignment w:val="baseline"/>
        <w:rPr>
          <w:rFonts w:hint="eastAsia" w:ascii="仿宋" w:hAnsi="仿宋" w:eastAsia="仿宋" w:cs="仿宋"/>
          <w:spacing w:val="7"/>
          <w:sz w:val="24"/>
          <w:szCs w:val="24"/>
          <w:highlight w:val="none"/>
          <w:lang w:val="en-US" w:eastAsia="zh-CN"/>
        </w:rPr>
      </w:pPr>
      <w:r>
        <w:rPr>
          <w:rFonts w:hint="eastAsia" w:ascii="仿宋" w:hAnsi="仿宋" w:eastAsia="仿宋" w:cs="仿宋"/>
          <w:spacing w:val="7"/>
          <w:sz w:val="24"/>
          <w:szCs w:val="24"/>
          <w:highlight w:val="none"/>
          <w:lang w:val="en-US" w:eastAsia="zh-CN"/>
        </w:rPr>
        <w:t>2.3 关键工序、隐蔽工程、危大工程旁站监理，消防、医用专项工程重点管控；</w:t>
      </w:r>
    </w:p>
    <w:p w14:paraId="4652AEE5">
      <w:pPr>
        <w:keepNext w:val="0"/>
        <w:keepLines w:val="0"/>
        <w:pageBreakBefore w:val="0"/>
        <w:widowControl/>
        <w:kinsoku w:val="0"/>
        <w:wordWrap/>
        <w:overflowPunct/>
        <w:topLinePunct w:val="0"/>
        <w:autoSpaceDE w:val="0"/>
        <w:autoSpaceDN w:val="0"/>
        <w:bidi w:val="0"/>
        <w:adjustRightInd w:val="0"/>
        <w:snapToGrid w:val="0"/>
        <w:spacing w:after="0" w:line="520" w:lineRule="exact"/>
        <w:ind w:left="0" w:firstLine="508" w:firstLineChars="200"/>
        <w:textAlignment w:val="baseline"/>
        <w:rPr>
          <w:rFonts w:hint="eastAsia" w:ascii="仿宋" w:hAnsi="仿宋" w:eastAsia="仿宋" w:cs="仿宋"/>
          <w:spacing w:val="7"/>
          <w:sz w:val="24"/>
          <w:szCs w:val="24"/>
          <w:highlight w:val="none"/>
          <w:lang w:val="en-US" w:eastAsia="zh-CN"/>
        </w:rPr>
      </w:pPr>
      <w:r>
        <w:rPr>
          <w:rFonts w:hint="eastAsia" w:ascii="仿宋" w:hAnsi="仿宋" w:eastAsia="仿宋" w:cs="仿宋"/>
          <w:spacing w:val="7"/>
          <w:sz w:val="24"/>
          <w:szCs w:val="24"/>
          <w:highlight w:val="none"/>
          <w:lang w:val="en-US" w:eastAsia="zh-CN"/>
        </w:rPr>
        <w:t>2.4 变更签证审核、工程量复核、工程款支付审核；</w:t>
      </w:r>
    </w:p>
    <w:p w14:paraId="29D8C5CA">
      <w:pPr>
        <w:keepNext w:val="0"/>
        <w:keepLines w:val="0"/>
        <w:pageBreakBefore w:val="0"/>
        <w:widowControl/>
        <w:kinsoku w:val="0"/>
        <w:wordWrap/>
        <w:overflowPunct/>
        <w:topLinePunct w:val="0"/>
        <w:autoSpaceDE w:val="0"/>
        <w:autoSpaceDN w:val="0"/>
        <w:bidi w:val="0"/>
        <w:adjustRightInd w:val="0"/>
        <w:snapToGrid w:val="0"/>
        <w:spacing w:after="0" w:line="520" w:lineRule="exact"/>
        <w:ind w:left="0" w:firstLine="508" w:firstLineChars="200"/>
        <w:textAlignment w:val="baseline"/>
        <w:rPr>
          <w:rFonts w:hint="eastAsia" w:ascii="仿宋" w:hAnsi="仿宋" w:eastAsia="仿宋" w:cs="仿宋"/>
          <w:spacing w:val="7"/>
          <w:sz w:val="24"/>
          <w:szCs w:val="24"/>
          <w:highlight w:val="none"/>
          <w:lang w:val="en-US" w:eastAsia="zh-CN"/>
        </w:rPr>
      </w:pPr>
      <w:r>
        <w:rPr>
          <w:rFonts w:hint="eastAsia" w:ascii="仿宋" w:hAnsi="仿宋" w:eastAsia="仿宋" w:cs="仿宋"/>
          <w:spacing w:val="7"/>
          <w:sz w:val="24"/>
          <w:szCs w:val="24"/>
          <w:highlight w:val="none"/>
          <w:lang w:val="en-US" w:eastAsia="zh-CN"/>
        </w:rPr>
        <w:t>2.5 竣工验收阶段：分部分项验收、预验收、竣工验收备案配合；</w:t>
      </w:r>
    </w:p>
    <w:p w14:paraId="5596D95F">
      <w:pPr>
        <w:keepNext w:val="0"/>
        <w:keepLines w:val="0"/>
        <w:pageBreakBefore w:val="0"/>
        <w:widowControl/>
        <w:kinsoku w:val="0"/>
        <w:wordWrap/>
        <w:overflowPunct/>
        <w:topLinePunct w:val="0"/>
        <w:autoSpaceDE w:val="0"/>
        <w:autoSpaceDN w:val="0"/>
        <w:bidi w:val="0"/>
        <w:adjustRightInd w:val="0"/>
        <w:snapToGrid w:val="0"/>
        <w:spacing w:after="0" w:line="520" w:lineRule="exact"/>
        <w:ind w:left="0" w:firstLine="508" w:firstLineChars="200"/>
        <w:textAlignment w:val="baseline"/>
        <w:rPr>
          <w:rFonts w:hint="eastAsia" w:ascii="仿宋" w:hAnsi="仿宋" w:eastAsia="仿宋" w:cs="仿宋"/>
          <w:spacing w:val="7"/>
          <w:sz w:val="24"/>
          <w:szCs w:val="24"/>
          <w:highlight w:val="none"/>
          <w:lang w:val="en-US" w:eastAsia="zh-CN"/>
        </w:rPr>
      </w:pPr>
      <w:r>
        <w:rPr>
          <w:rFonts w:hint="eastAsia" w:ascii="仿宋" w:hAnsi="仿宋" w:eastAsia="仿宋" w:cs="仿宋"/>
          <w:spacing w:val="7"/>
          <w:sz w:val="24"/>
          <w:szCs w:val="24"/>
          <w:highlight w:val="none"/>
          <w:lang w:val="en-US" w:eastAsia="zh-CN"/>
        </w:rPr>
        <w:t>2.6 缺陷责任期阶段：定期巡查、质量缺陷整改监理、保修回访、收尾资料完善。</w:t>
      </w:r>
    </w:p>
    <w:p w14:paraId="2591703C">
      <w:pPr>
        <w:keepNext w:val="0"/>
        <w:keepLines w:val="0"/>
        <w:pageBreakBefore w:val="0"/>
        <w:widowControl/>
        <w:kinsoku w:val="0"/>
        <w:wordWrap/>
        <w:overflowPunct/>
        <w:topLinePunct w:val="0"/>
        <w:autoSpaceDE w:val="0"/>
        <w:autoSpaceDN w:val="0"/>
        <w:bidi w:val="0"/>
        <w:adjustRightInd w:val="0"/>
        <w:snapToGrid w:val="0"/>
        <w:spacing w:after="0" w:line="520" w:lineRule="exact"/>
        <w:ind w:left="0" w:firstLine="506" w:firstLineChars="200"/>
        <w:textAlignment w:val="baseline"/>
        <w:outlineLvl w:val="2"/>
        <w:rPr>
          <w:rFonts w:hint="eastAsia" w:ascii="仿宋" w:hAnsi="仿宋" w:eastAsia="仿宋" w:cs="仿宋"/>
          <w:b/>
          <w:bCs/>
          <w:spacing w:val="6"/>
          <w:sz w:val="24"/>
          <w:szCs w:val="24"/>
          <w:highlight w:val="none"/>
          <w:lang w:val="en-US" w:eastAsia="zh-CN"/>
        </w:rPr>
      </w:pPr>
      <w:r>
        <w:rPr>
          <w:rFonts w:hint="eastAsia" w:ascii="仿宋" w:hAnsi="仿宋" w:eastAsia="仿宋" w:cs="仿宋"/>
          <w:b/>
          <w:bCs/>
          <w:spacing w:val="6"/>
          <w:sz w:val="24"/>
          <w:szCs w:val="24"/>
          <w:highlight w:val="none"/>
          <w:lang w:val="en-US" w:eastAsia="zh-CN"/>
        </w:rPr>
        <w:t>三、</w:t>
      </w:r>
      <w:r>
        <w:rPr>
          <w:rFonts w:hint="eastAsia" w:ascii="仿宋" w:hAnsi="仿宋" w:eastAsia="仿宋" w:cs="仿宋"/>
          <w:b/>
          <w:bCs/>
          <w:color w:val="auto"/>
          <w:spacing w:val="6"/>
          <w:sz w:val="24"/>
          <w:szCs w:val="24"/>
          <w:highlight w:val="none"/>
          <w:lang w:val="en-US" w:eastAsia="zh-CN"/>
        </w:rPr>
        <w:t>服务工作要求</w:t>
      </w:r>
    </w:p>
    <w:p w14:paraId="1043E89B">
      <w:pPr>
        <w:keepNext w:val="0"/>
        <w:keepLines w:val="0"/>
        <w:pageBreakBefore w:val="0"/>
        <w:widowControl/>
        <w:kinsoku w:val="0"/>
        <w:wordWrap/>
        <w:overflowPunct/>
        <w:topLinePunct w:val="0"/>
        <w:autoSpaceDE w:val="0"/>
        <w:autoSpaceDN w:val="0"/>
        <w:bidi w:val="0"/>
        <w:adjustRightInd w:val="0"/>
        <w:snapToGrid w:val="0"/>
        <w:spacing w:after="0" w:line="520" w:lineRule="exact"/>
        <w:ind w:left="0" w:firstLine="508" w:firstLineChars="200"/>
        <w:textAlignment w:val="baseline"/>
        <w:rPr>
          <w:rFonts w:hint="eastAsia" w:ascii="仿宋" w:hAnsi="仿宋" w:eastAsia="仿宋" w:cs="仿宋"/>
          <w:spacing w:val="7"/>
          <w:sz w:val="24"/>
          <w:szCs w:val="24"/>
          <w:highlight w:val="none"/>
          <w:lang w:val="en-US" w:eastAsia="zh-CN"/>
        </w:rPr>
      </w:pPr>
      <w:r>
        <w:rPr>
          <w:rFonts w:hint="eastAsia" w:ascii="仿宋" w:hAnsi="仿宋" w:eastAsia="仿宋" w:cs="仿宋"/>
          <w:spacing w:val="7"/>
          <w:sz w:val="24"/>
          <w:szCs w:val="24"/>
          <w:highlight w:val="none"/>
          <w:lang w:val="en-US" w:eastAsia="zh-CN"/>
        </w:rPr>
        <w:t>1.对深基坑、模板支撑、脚手架、起重机械、消防专项工程等危大工程实行专项审查 + 全过程旁站；</w:t>
      </w:r>
    </w:p>
    <w:p w14:paraId="74A99C90">
      <w:pPr>
        <w:keepNext w:val="0"/>
        <w:keepLines w:val="0"/>
        <w:pageBreakBefore w:val="0"/>
        <w:widowControl/>
        <w:kinsoku w:val="0"/>
        <w:wordWrap/>
        <w:overflowPunct/>
        <w:topLinePunct w:val="0"/>
        <w:autoSpaceDE w:val="0"/>
        <w:autoSpaceDN w:val="0"/>
        <w:bidi w:val="0"/>
        <w:adjustRightInd w:val="0"/>
        <w:snapToGrid w:val="0"/>
        <w:spacing w:after="0" w:line="520" w:lineRule="exact"/>
        <w:ind w:left="0" w:firstLine="508" w:firstLineChars="200"/>
        <w:textAlignment w:val="baseline"/>
        <w:rPr>
          <w:rFonts w:hint="eastAsia" w:ascii="仿宋" w:hAnsi="仿宋" w:eastAsia="仿宋" w:cs="仿宋"/>
          <w:spacing w:val="7"/>
          <w:sz w:val="24"/>
          <w:szCs w:val="24"/>
          <w:highlight w:val="none"/>
          <w:lang w:val="en-US" w:eastAsia="zh-CN"/>
        </w:rPr>
      </w:pPr>
      <w:r>
        <w:rPr>
          <w:rFonts w:hint="eastAsia" w:ascii="仿宋" w:hAnsi="仿宋" w:eastAsia="仿宋" w:cs="仿宋"/>
          <w:spacing w:val="7"/>
          <w:sz w:val="24"/>
          <w:szCs w:val="24"/>
          <w:highlight w:val="none"/>
          <w:lang w:val="en-US" w:eastAsia="zh-CN"/>
        </w:rPr>
        <w:t>2.建立每日巡查、每周例会、每月监理月报制度，及时上报质量、安全、进度问题；</w:t>
      </w:r>
    </w:p>
    <w:p w14:paraId="48264A96">
      <w:pPr>
        <w:keepNext w:val="0"/>
        <w:keepLines w:val="0"/>
        <w:pageBreakBefore w:val="0"/>
        <w:widowControl/>
        <w:kinsoku w:val="0"/>
        <w:wordWrap/>
        <w:overflowPunct/>
        <w:topLinePunct w:val="0"/>
        <w:autoSpaceDE w:val="0"/>
        <w:autoSpaceDN w:val="0"/>
        <w:bidi w:val="0"/>
        <w:adjustRightInd w:val="0"/>
        <w:snapToGrid w:val="0"/>
        <w:spacing w:after="0" w:line="520" w:lineRule="exact"/>
        <w:ind w:left="0" w:firstLine="508" w:firstLineChars="200"/>
        <w:textAlignment w:val="baseline"/>
        <w:rPr>
          <w:rFonts w:hint="eastAsia" w:ascii="仿宋" w:hAnsi="仿宋" w:eastAsia="仿宋" w:cs="仿宋"/>
          <w:spacing w:val="7"/>
          <w:sz w:val="24"/>
          <w:szCs w:val="24"/>
          <w:highlight w:val="none"/>
          <w:lang w:val="en-US" w:eastAsia="zh-CN"/>
        </w:rPr>
      </w:pPr>
      <w:r>
        <w:rPr>
          <w:rFonts w:hint="eastAsia" w:ascii="仿宋" w:hAnsi="仿宋" w:eastAsia="仿宋" w:cs="仿宋"/>
          <w:spacing w:val="7"/>
          <w:sz w:val="24"/>
          <w:szCs w:val="24"/>
          <w:highlight w:val="none"/>
          <w:lang w:val="en-US" w:eastAsia="zh-CN"/>
        </w:rPr>
        <w:t>3.严格管控材料设备进场验收，杜绝不合格材料用于工程；</w:t>
      </w:r>
    </w:p>
    <w:p w14:paraId="3E500A6F">
      <w:pPr>
        <w:keepNext w:val="0"/>
        <w:keepLines w:val="0"/>
        <w:pageBreakBefore w:val="0"/>
        <w:widowControl/>
        <w:kinsoku w:val="0"/>
        <w:wordWrap/>
        <w:overflowPunct/>
        <w:topLinePunct w:val="0"/>
        <w:autoSpaceDE w:val="0"/>
        <w:autoSpaceDN w:val="0"/>
        <w:bidi w:val="0"/>
        <w:adjustRightInd w:val="0"/>
        <w:snapToGrid w:val="0"/>
        <w:spacing w:after="0" w:line="520" w:lineRule="exact"/>
        <w:ind w:left="0" w:firstLine="508" w:firstLineChars="200"/>
        <w:textAlignment w:val="baseline"/>
        <w:rPr>
          <w:rFonts w:hint="eastAsia" w:ascii="仿宋" w:hAnsi="仿宋" w:eastAsia="仿宋" w:cs="仿宋"/>
          <w:spacing w:val="7"/>
          <w:sz w:val="24"/>
          <w:szCs w:val="24"/>
          <w:highlight w:val="none"/>
          <w:lang w:val="en-US" w:eastAsia="zh-CN"/>
        </w:rPr>
      </w:pPr>
      <w:r>
        <w:rPr>
          <w:rFonts w:hint="eastAsia" w:ascii="仿宋" w:hAnsi="仿宋" w:eastAsia="仿宋" w:cs="仿宋"/>
          <w:spacing w:val="7"/>
          <w:sz w:val="24"/>
          <w:szCs w:val="24"/>
          <w:highlight w:val="none"/>
          <w:lang w:val="en-US" w:eastAsia="zh-CN"/>
        </w:rPr>
        <w:t>4.配合卫健、住建、消防等主管部门检查、验收、专项督导工作；</w:t>
      </w:r>
    </w:p>
    <w:p w14:paraId="3C9D0807">
      <w:pPr>
        <w:keepNext w:val="0"/>
        <w:keepLines w:val="0"/>
        <w:pageBreakBefore w:val="0"/>
        <w:widowControl/>
        <w:kinsoku w:val="0"/>
        <w:wordWrap/>
        <w:overflowPunct/>
        <w:topLinePunct w:val="0"/>
        <w:autoSpaceDE w:val="0"/>
        <w:autoSpaceDN w:val="0"/>
        <w:bidi w:val="0"/>
        <w:adjustRightInd w:val="0"/>
        <w:snapToGrid w:val="0"/>
        <w:spacing w:after="0" w:line="520" w:lineRule="exact"/>
        <w:ind w:left="0" w:firstLine="508" w:firstLineChars="200"/>
        <w:textAlignment w:val="baseline"/>
        <w:rPr>
          <w:rFonts w:hint="eastAsia" w:ascii="仿宋" w:hAnsi="仿宋" w:eastAsia="仿宋" w:cs="仿宋"/>
          <w:spacing w:val="7"/>
          <w:sz w:val="24"/>
          <w:szCs w:val="24"/>
          <w:highlight w:val="none"/>
          <w:lang w:val="en-US" w:eastAsia="zh-CN"/>
        </w:rPr>
      </w:pPr>
      <w:r>
        <w:rPr>
          <w:rFonts w:hint="eastAsia" w:ascii="仿宋" w:hAnsi="仿宋" w:eastAsia="仿宋" w:cs="仿宋"/>
          <w:spacing w:val="7"/>
          <w:sz w:val="24"/>
          <w:szCs w:val="24"/>
          <w:highlight w:val="none"/>
          <w:lang w:val="en-US" w:eastAsia="zh-CN"/>
        </w:rPr>
        <w:t>5.监理资料同步收集、真实完整，竣工后完整移交全套监理档案资料。</w:t>
      </w:r>
    </w:p>
    <w:p w14:paraId="1E2B3FF8">
      <w:pPr>
        <w:keepNext w:val="0"/>
        <w:keepLines w:val="0"/>
        <w:pageBreakBefore w:val="0"/>
        <w:widowControl/>
        <w:kinsoku w:val="0"/>
        <w:wordWrap/>
        <w:overflowPunct/>
        <w:topLinePunct w:val="0"/>
        <w:autoSpaceDE w:val="0"/>
        <w:autoSpaceDN w:val="0"/>
        <w:bidi w:val="0"/>
        <w:adjustRightInd w:val="0"/>
        <w:snapToGrid w:val="0"/>
        <w:spacing w:after="0" w:line="520" w:lineRule="exact"/>
        <w:ind w:left="0" w:firstLine="506" w:firstLineChars="200"/>
        <w:textAlignment w:val="baseline"/>
        <w:outlineLvl w:val="2"/>
        <w:rPr>
          <w:rFonts w:hint="eastAsia" w:ascii="仿宋" w:hAnsi="仿宋" w:eastAsia="仿宋" w:cs="仿宋"/>
          <w:b/>
          <w:bCs/>
          <w:spacing w:val="6"/>
          <w:sz w:val="24"/>
          <w:szCs w:val="24"/>
          <w:highlight w:val="none"/>
          <w:lang w:val="en-US" w:eastAsia="zh-CN"/>
        </w:rPr>
      </w:pPr>
      <w:r>
        <w:rPr>
          <w:rFonts w:hint="eastAsia" w:ascii="仿宋" w:hAnsi="仿宋" w:eastAsia="仿宋" w:cs="仿宋"/>
          <w:b/>
          <w:bCs/>
          <w:spacing w:val="6"/>
          <w:sz w:val="24"/>
          <w:szCs w:val="24"/>
          <w:highlight w:val="none"/>
          <w:lang w:val="en-US" w:eastAsia="zh-CN"/>
        </w:rPr>
        <w:t>三、监理人员要求</w:t>
      </w:r>
    </w:p>
    <w:p w14:paraId="59F5CC06">
      <w:pPr>
        <w:keepNext w:val="0"/>
        <w:keepLines w:val="0"/>
        <w:pageBreakBefore w:val="0"/>
        <w:widowControl/>
        <w:kinsoku w:val="0"/>
        <w:wordWrap/>
        <w:overflowPunct/>
        <w:topLinePunct w:val="0"/>
        <w:autoSpaceDE w:val="0"/>
        <w:autoSpaceDN w:val="0"/>
        <w:bidi w:val="0"/>
        <w:adjustRightInd w:val="0"/>
        <w:snapToGrid w:val="0"/>
        <w:spacing w:after="0" w:line="520" w:lineRule="exact"/>
        <w:ind w:left="0" w:firstLine="508" w:firstLineChars="200"/>
        <w:textAlignment w:val="baseline"/>
        <w:rPr>
          <w:rFonts w:hint="eastAsia" w:ascii="仿宋" w:hAnsi="仿宋" w:eastAsia="仿宋" w:cs="仿宋"/>
          <w:sz w:val="24"/>
          <w:szCs w:val="24"/>
          <w:highlight w:val="none"/>
        </w:rPr>
      </w:pPr>
      <w:r>
        <w:rPr>
          <w:rFonts w:hint="eastAsia" w:ascii="仿宋" w:hAnsi="仿宋" w:eastAsia="仿宋" w:cs="仿宋"/>
          <w:spacing w:val="7"/>
          <w:sz w:val="24"/>
          <w:szCs w:val="24"/>
          <w:highlight w:val="none"/>
          <w:lang w:val="en-US" w:eastAsia="zh-CN"/>
        </w:rPr>
        <w:t>拟投入项目团队人员全部落实到位，项目施工准备阶段及项目施工过程中能及时响应采购人现场服务及其他要求，保证项目顺利完工及完成验收工作。</w:t>
      </w:r>
    </w:p>
    <w:p w14:paraId="665CFB47">
      <w:pPr>
        <w:keepNext w:val="0"/>
        <w:keepLines w:val="0"/>
        <w:pageBreakBefore w:val="0"/>
        <w:widowControl/>
        <w:kinsoku w:val="0"/>
        <w:wordWrap/>
        <w:overflowPunct/>
        <w:topLinePunct w:val="0"/>
        <w:autoSpaceDE w:val="0"/>
        <w:autoSpaceDN w:val="0"/>
        <w:bidi w:val="0"/>
        <w:adjustRightInd w:val="0"/>
        <w:snapToGrid w:val="0"/>
        <w:spacing w:after="0" w:line="520" w:lineRule="exact"/>
        <w:ind w:left="0" w:firstLine="510" w:firstLineChars="200"/>
        <w:textAlignment w:val="baseline"/>
        <w:outlineLvl w:val="2"/>
        <w:rPr>
          <w:rFonts w:hint="eastAsia" w:ascii="仿宋" w:hAnsi="仿宋" w:eastAsia="仿宋" w:cs="仿宋"/>
          <w:sz w:val="24"/>
          <w:szCs w:val="24"/>
          <w:highlight w:val="none"/>
        </w:rPr>
      </w:pPr>
      <w:r>
        <w:rPr>
          <w:rFonts w:hint="eastAsia" w:ascii="仿宋" w:hAnsi="仿宋" w:eastAsia="仿宋" w:cs="仿宋"/>
          <w:b/>
          <w:bCs/>
          <w:spacing w:val="7"/>
          <w:sz w:val="24"/>
          <w:szCs w:val="24"/>
          <w:highlight w:val="none"/>
          <w:lang w:val="en-US" w:eastAsia="zh-CN"/>
        </w:rPr>
        <w:t>四、</w:t>
      </w:r>
      <w:r>
        <w:rPr>
          <w:rFonts w:hint="eastAsia" w:ascii="仿宋" w:hAnsi="仿宋" w:eastAsia="仿宋" w:cs="仿宋"/>
          <w:b/>
          <w:bCs/>
          <w:spacing w:val="7"/>
          <w:sz w:val="24"/>
          <w:szCs w:val="24"/>
          <w:highlight w:val="none"/>
        </w:rPr>
        <w:t>监理机构应向</w:t>
      </w:r>
      <w:r>
        <w:rPr>
          <w:rFonts w:hint="eastAsia" w:ascii="仿宋" w:hAnsi="仿宋" w:eastAsia="仿宋" w:cs="仿宋"/>
          <w:b/>
          <w:bCs/>
          <w:spacing w:val="7"/>
          <w:sz w:val="24"/>
          <w:szCs w:val="24"/>
          <w:highlight w:val="none"/>
          <w:lang w:val="en-US" w:eastAsia="zh-CN"/>
        </w:rPr>
        <w:t>采购</w:t>
      </w:r>
      <w:r>
        <w:rPr>
          <w:rFonts w:hint="eastAsia" w:ascii="仿宋" w:hAnsi="仿宋" w:eastAsia="仿宋" w:cs="仿宋"/>
          <w:b/>
          <w:bCs/>
          <w:spacing w:val="7"/>
          <w:sz w:val="24"/>
          <w:szCs w:val="24"/>
          <w:highlight w:val="none"/>
        </w:rPr>
        <w:t>人提供的信息和文件</w:t>
      </w:r>
    </w:p>
    <w:p w14:paraId="0A89B7F0">
      <w:pPr>
        <w:keepNext w:val="0"/>
        <w:keepLines w:val="0"/>
        <w:pageBreakBefore w:val="0"/>
        <w:widowControl/>
        <w:kinsoku w:val="0"/>
        <w:wordWrap/>
        <w:overflowPunct/>
        <w:topLinePunct w:val="0"/>
        <w:autoSpaceDE w:val="0"/>
        <w:autoSpaceDN w:val="0"/>
        <w:bidi w:val="0"/>
        <w:adjustRightInd w:val="0"/>
        <w:snapToGrid w:val="0"/>
        <w:spacing w:after="0" w:line="520" w:lineRule="exact"/>
        <w:ind w:left="0" w:firstLine="510" w:firstLineChars="200"/>
        <w:textAlignment w:val="baseline"/>
        <w:rPr>
          <w:rFonts w:hint="eastAsia" w:ascii="仿宋" w:hAnsi="仿宋" w:eastAsia="仿宋" w:cs="仿宋"/>
          <w:sz w:val="24"/>
          <w:szCs w:val="24"/>
          <w:highlight w:val="none"/>
        </w:rPr>
      </w:pPr>
      <w:r>
        <w:rPr>
          <w:rFonts w:hint="eastAsia" w:ascii="仿宋" w:hAnsi="仿宋" w:eastAsia="仿宋" w:cs="仿宋"/>
          <w:b/>
          <w:bCs/>
          <w:spacing w:val="7"/>
          <w:sz w:val="24"/>
          <w:szCs w:val="24"/>
          <w:highlight w:val="none"/>
        </w:rPr>
        <w:t>（一）定期的信息文件</w:t>
      </w:r>
      <w:r>
        <w:rPr>
          <w:rFonts w:hint="eastAsia" w:ascii="仿宋" w:hAnsi="仿宋" w:eastAsia="仿宋" w:cs="仿宋"/>
          <w:spacing w:val="7"/>
          <w:sz w:val="24"/>
          <w:szCs w:val="24"/>
          <w:highlight w:val="none"/>
        </w:rPr>
        <w:t xml:space="preserve"> </w:t>
      </w:r>
      <w:r>
        <w:rPr>
          <w:rFonts w:hint="eastAsia" w:ascii="仿宋" w:hAnsi="仿宋" w:eastAsia="仿宋" w:cs="仿宋"/>
          <w:b/>
          <w:bCs/>
          <w:spacing w:val="7"/>
          <w:sz w:val="24"/>
          <w:szCs w:val="24"/>
          <w:highlight w:val="none"/>
        </w:rPr>
        <w:t>─</w:t>
      </w:r>
      <w:r>
        <w:rPr>
          <w:rFonts w:hint="eastAsia" w:ascii="仿宋" w:hAnsi="仿宋" w:eastAsia="仿宋" w:cs="仿宋"/>
          <w:spacing w:val="7"/>
          <w:sz w:val="24"/>
          <w:szCs w:val="24"/>
          <w:highlight w:val="none"/>
        </w:rPr>
        <w:t xml:space="preserve"> </w:t>
      </w:r>
      <w:r>
        <w:rPr>
          <w:rFonts w:hint="eastAsia" w:ascii="仿宋" w:hAnsi="仿宋" w:eastAsia="仿宋" w:cs="仿宋"/>
          <w:b/>
          <w:bCs/>
          <w:spacing w:val="7"/>
          <w:sz w:val="24"/>
          <w:szCs w:val="24"/>
          <w:highlight w:val="none"/>
        </w:rPr>
        <w:t>监理月报</w:t>
      </w:r>
    </w:p>
    <w:p w14:paraId="7DB4A351">
      <w:pPr>
        <w:keepNext w:val="0"/>
        <w:keepLines w:val="0"/>
        <w:pageBreakBefore w:val="0"/>
        <w:widowControl/>
        <w:kinsoku w:val="0"/>
        <w:wordWrap/>
        <w:overflowPunct/>
        <w:topLinePunct w:val="0"/>
        <w:autoSpaceDE w:val="0"/>
        <w:autoSpaceDN w:val="0"/>
        <w:bidi w:val="0"/>
        <w:adjustRightInd w:val="0"/>
        <w:snapToGrid w:val="0"/>
        <w:spacing w:after="0" w:line="520" w:lineRule="exact"/>
        <w:ind w:left="0" w:firstLine="508" w:firstLineChars="200"/>
        <w:jc w:val="left"/>
        <w:textAlignment w:val="baseline"/>
        <w:rPr>
          <w:rFonts w:hint="eastAsia" w:ascii="仿宋" w:hAnsi="仿宋" w:eastAsia="仿宋" w:cs="仿宋"/>
          <w:sz w:val="24"/>
          <w:szCs w:val="24"/>
          <w:highlight w:val="none"/>
        </w:rPr>
      </w:pPr>
      <w:r>
        <w:rPr>
          <w:rFonts w:hint="eastAsia" w:ascii="仿宋" w:hAnsi="仿宋" w:eastAsia="仿宋" w:cs="仿宋"/>
          <w:spacing w:val="7"/>
          <w:sz w:val="24"/>
          <w:szCs w:val="24"/>
          <w:highlight w:val="none"/>
        </w:rPr>
        <w:t>监理月报的主要内容：</w:t>
      </w:r>
    </w:p>
    <w:p w14:paraId="39B9EE92">
      <w:pPr>
        <w:keepNext w:val="0"/>
        <w:keepLines w:val="0"/>
        <w:pageBreakBefore w:val="0"/>
        <w:widowControl/>
        <w:kinsoku w:val="0"/>
        <w:wordWrap/>
        <w:overflowPunct/>
        <w:topLinePunct w:val="0"/>
        <w:autoSpaceDE w:val="0"/>
        <w:autoSpaceDN w:val="0"/>
        <w:bidi w:val="0"/>
        <w:adjustRightInd w:val="0"/>
        <w:snapToGrid w:val="0"/>
        <w:spacing w:after="0" w:line="520" w:lineRule="exact"/>
        <w:ind w:firstLine="512" w:firstLineChars="200"/>
        <w:jc w:val="left"/>
        <w:textAlignment w:val="baseline"/>
        <w:rPr>
          <w:rFonts w:hint="eastAsia" w:ascii="仿宋" w:hAnsi="仿宋" w:eastAsia="仿宋" w:cs="仿宋"/>
          <w:sz w:val="24"/>
          <w:szCs w:val="24"/>
          <w:highlight w:val="none"/>
        </w:rPr>
      </w:pPr>
      <w:r>
        <w:rPr>
          <w:rFonts w:hint="eastAsia" w:ascii="仿宋" w:hAnsi="仿宋" w:eastAsia="仿宋" w:cs="仿宋"/>
          <w:spacing w:val="8"/>
          <w:sz w:val="24"/>
          <w:szCs w:val="24"/>
          <w:highlight w:val="none"/>
          <w:lang w:eastAsia="zh-CN"/>
        </w:rPr>
        <w:t>1.</w:t>
      </w:r>
      <w:r>
        <w:rPr>
          <w:rFonts w:hint="eastAsia" w:ascii="仿宋" w:hAnsi="仿宋" w:eastAsia="仿宋" w:cs="仿宋"/>
          <w:spacing w:val="8"/>
          <w:sz w:val="24"/>
          <w:szCs w:val="24"/>
          <w:highlight w:val="none"/>
        </w:rPr>
        <w:t>项目概述：包括项目位置、项目主要特征及合同情况简介。</w:t>
      </w:r>
    </w:p>
    <w:p w14:paraId="7DA1699D">
      <w:pPr>
        <w:keepNext w:val="0"/>
        <w:keepLines w:val="0"/>
        <w:pageBreakBefore w:val="0"/>
        <w:widowControl/>
        <w:kinsoku w:val="0"/>
        <w:wordWrap/>
        <w:overflowPunct/>
        <w:topLinePunct w:val="0"/>
        <w:autoSpaceDE w:val="0"/>
        <w:autoSpaceDN w:val="0"/>
        <w:bidi w:val="0"/>
        <w:adjustRightInd w:val="0"/>
        <w:snapToGrid w:val="0"/>
        <w:spacing w:after="0" w:line="520" w:lineRule="exact"/>
        <w:ind w:firstLine="500" w:firstLineChars="200"/>
        <w:jc w:val="left"/>
        <w:textAlignment w:val="baseline"/>
        <w:rPr>
          <w:rFonts w:hint="eastAsia" w:ascii="仿宋" w:hAnsi="仿宋" w:eastAsia="仿宋" w:cs="仿宋"/>
          <w:sz w:val="24"/>
          <w:szCs w:val="24"/>
          <w:highlight w:val="none"/>
        </w:rPr>
      </w:pPr>
      <w:r>
        <w:rPr>
          <w:rFonts w:hint="eastAsia" w:ascii="仿宋" w:hAnsi="仿宋" w:eastAsia="仿宋" w:cs="仿宋"/>
          <w:spacing w:val="5"/>
          <w:sz w:val="24"/>
          <w:szCs w:val="24"/>
          <w:highlight w:val="none"/>
          <w:lang w:eastAsia="zh-CN"/>
        </w:rPr>
        <w:t>2.</w:t>
      </w:r>
      <w:r>
        <w:rPr>
          <w:rFonts w:hint="eastAsia" w:ascii="仿宋" w:hAnsi="仿宋" w:eastAsia="仿宋" w:cs="仿宋"/>
          <w:spacing w:val="5"/>
          <w:sz w:val="24"/>
          <w:szCs w:val="24"/>
          <w:highlight w:val="none"/>
        </w:rPr>
        <w:t>大事记。</w:t>
      </w:r>
    </w:p>
    <w:p w14:paraId="13B88E6C">
      <w:pPr>
        <w:keepNext w:val="0"/>
        <w:keepLines w:val="0"/>
        <w:pageBreakBefore w:val="0"/>
        <w:widowControl/>
        <w:kinsoku w:val="0"/>
        <w:wordWrap/>
        <w:overflowPunct/>
        <w:topLinePunct w:val="0"/>
        <w:autoSpaceDE w:val="0"/>
        <w:autoSpaceDN w:val="0"/>
        <w:bidi w:val="0"/>
        <w:adjustRightInd w:val="0"/>
        <w:snapToGrid w:val="0"/>
        <w:spacing w:after="0" w:line="520" w:lineRule="exact"/>
        <w:ind w:firstLine="508" w:firstLineChars="200"/>
        <w:jc w:val="left"/>
        <w:textAlignment w:val="baseline"/>
        <w:rPr>
          <w:rFonts w:hint="eastAsia" w:ascii="仿宋" w:hAnsi="仿宋" w:eastAsia="仿宋" w:cs="仿宋"/>
          <w:sz w:val="24"/>
          <w:szCs w:val="24"/>
          <w:highlight w:val="none"/>
        </w:rPr>
      </w:pPr>
      <w:r>
        <w:rPr>
          <w:rFonts w:hint="eastAsia" w:ascii="仿宋" w:hAnsi="仿宋" w:eastAsia="仿宋" w:cs="仿宋"/>
          <w:spacing w:val="7"/>
          <w:sz w:val="24"/>
          <w:szCs w:val="24"/>
          <w:highlight w:val="none"/>
          <w:lang w:eastAsia="zh-CN"/>
        </w:rPr>
        <w:t>3.</w:t>
      </w:r>
      <w:r>
        <w:rPr>
          <w:rFonts w:hint="eastAsia" w:ascii="仿宋" w:hAnsi="仿宋" w:eastAsia="仿宋" w:cs="仿宋"/>
          <w:spacing w:val="7"/>
          <w:sz w:val="24"/>
          <w:szCs w:val="24"/>
          <w:highlight w:val="none"/>
        </w:rPr>
        <w:t>工程进度与形象面貌。</w:t>
      </w:r>
    </w:p>
    <w:p w14:paraId="4B7761FC">
      <w:pPr>
        <w:keepNext w:val="0"/>
        <w:keepLines w:val="0"/>
        <w:pageBreakBefore w:val="0"/>
        <w:widowControl/>
        <w:kinsoku w:val="0"/>
        <w:wordWrap/>
        <w:overflowPunct/>
        <w:topLinePunct w:val="0"/>
        <w:autoSpaceDE w:val="0"/>
        <w:autoSpaceDN w:val="0"/>
        <w:bidi w:val="0"/>
        <w:adjustRightInd w:val="0"/>
        <w:snapToGrid w:val="0"/>
        <w:spacing w:after="0" w:line="520" w:lineRule="exact"/>
        <w:ind w:firstLine="508" w:firstLineChars="200"/>
        <w:jc w:val="left"/>
        <w:textAlignment w:val="baseline"/>
        <w:rPr>
          <w:rFonts w:hint="eastAsia" w:ascii="仿宋" w:hAnsi="仿宋" w:eastAsia="仿宋" w:cs="仿宋"/>
          <w:sz w:val="24"/>
          <w:szCs w:val="24"/>
          <w:highlight w:val="none"/>
        </w:rPr>
      </w:pPr>
      <w:r>
        <w:rPr>
          <w:rFonts w:hint="eastAsia" w:ascii="仿宋" w:hAnsi="仿宋" w:eastAsia="仿宋" w:cs="仿宋"/>
          <w:spacing w:val="7"/>
          <w:sz w:val="24"/>
          <w:szCs w:val="24"/>
          <w:highlight w:val="none"/>
          <w:lang w:eastAsia="zh-CN"/>
        </w:rPr>
        <w:t>4.</w:t>
      </w:r>
      <w:r>
        <w:rPr>
          <w:rFonts w:hint="eastAsia" w:ascii="仿宋" w:hAnsi="仿宋" w:eastAsia="仿宋" w:cs="仿宋"/>
          <w:spacing w:val="7"/>
          <w:sz w:val="24"/>
          <w:szCs w:val="24"/>
          <w:highlight w:val="none"/>
        </w:rPr>
        <w:t>资金到位和使用情况。</w:t>
      </w:r>
    </w:p>
    <w:p w14:paraId="4B22BEC9">
      <w:pPr>
        <w:keepNext w:val="0"/>
        <w:keepLines w:val="0"/>
        <w:pageBreakBefore w:val="0"/>
        <w:widowControl/>
        <w:kinsoku w:val="0"/>
        <w:wordWrap/>
        <w:overflowPunct/>
        <w:topLinePunct w:val="0"/>
        <w:autoSpaceDE w:val="0"/>
        <w:autoSpaceDN w:val="0"/>
        <w:bidi w:val="0"/>
        <w:adjustRightInd w:val="0"/>
        <w:snapToGrid w:val="0"/>
        <w:spacing w:after="0" w:line="520" w:lineRule="exact"/>
        <w:ind w:firstLine="516" w:firstLineChars="200"/>
        <w:jc w:val="left"/>
        <w:textAlignment w:val="baseline"/>
        <w:rPr>
          <w:rFonts w:hint="eastAsia" w:ascii="仿宋" w:hAnsi="仿宋" w:eastAsia="仿宋" w:cs="仿宋"/>
          <w:sz w:val="24"/>
          <w:szCs w:val="24"/>
          <w:highlight w:val="none"/>
        </w:rPr>
      </w:pPr>
      <w:r>
        <w:rPr>
          <w:rFonts w:hint="eastAsia" w:ascii="仿宋" w:hAnsi="仿宋" w:eastAsia="仿宋" w:cs="仿宋"/>
          <w:spacing w:val="9"/>
          <w:sz w:val="24"/>
          <w:szCs w:val="24"/>
          <w:highlight w:val="none"/>
          <w:lang w:eastAsia="zh-CN"/>
        </w:rPr>
        <w:t>5.</w:t>
      </w:r>
      <w:r>
        <w:rPr>
          <w:rFonts w:hint="eastAsia" w:ascii="仿宋" w:hAnsi="仿宋" w:eastAsia="仿宋" w:cs="仿宋"/>
          <w:spacing w:val="9"/>
          <w:sz w:val="24"/>
          <w:szCs w:val="24"/>
          <w:highlight w:val="none"/>
        </w:rPr>
        <w:t>质量控制：包括质量评定、质量分析、质量事故处理等</w:t>
      </w:r>
      <w:r>
        <w:rPr>
          <w:rFonts w:hint="eastAsia" w:ascii="仿宋" w:hAnsi="仿宋" w:eastAsia="仿宋" w:cs="仿宋"/>
          <w:spacing w:val="8"/>
          <w:sz w:val="24"/>
          <w:szCs w:val="24"/>
          <w:highlight w:val="none"/>
        </w:rPr>
        <w:t>情况。</w:t>
      </w:r>
    </w:p>
    <w:p w14:paraId="37D4B047">
      <w:pPr>
        <w:keepNext w:val="0"/>
        <w:keepLines w:val="0"/>
        <w:pageBreakBefore w:val="0"/>
        <w:widowControl/>
        <w:kinsoku w:val="0"/>
        <w:wordWrap/>
        <w:overflowPunct/>
        <w:topLinePunct w:val="0"/>
        <w:autoSpaceDE w:val="0"/>
        <w:autoSpaceDN w:val="0"/>
        <w:bidi w:val="0"/>
        <w:adjustRightInd w:val="0"/>
        <w:snapToGrid w:val="0"/>
        <w:spacing w:after="0" w:line="520" w:lineRule="exact"/>
        <w:ind w:firstLine="512" w:firstLineChars="200"/>
        <w:jc w:val="left"/>
        <w:textAlignment w:val="baseline"/>
        <w:rPr>
          <w:rFonts w:hint="eastAsia" w:ascii="仿宋" w:hAnsi="仿宋" w:eastAsia="仿宋" w:cs="仿宋"/>
          <w:sz w:val="24"/>
          <w:szCs w:val="24"/>
          <w:highlight w:val="none"/>
        </w:rPr>
      </w:pPr>
      <w:r>
        <w:rPr>
          <w:rFonts w:hint="eastAsia" w:ascii="仿宋" w:hAnsi="仿宋" w:eastAsia="仿宋" w:cs="仿宋"/>
          <w:spacing w:val="8"/>
          <w:sz w:val="24"/>
          <w:szCs w:val="24"/>
          <w:highlight w:val="none"/>
          <w:lang w:eastAsia="zh-CN"/>
        </w:rPr>
        <w:t>6.</w:t>
      </w:r>
      <w:r>
        <w:rPr>
          <w:rFonts w:hint="eastAsia" w:ascii="仿宋" w:hAnsi="仿宋" w:eastAsia="仿宋" w:cs="仿宋"/>
          <w:spacing w:val="8"/>
          <w:sz w:val="24"/>
          <w:szCs w:val="24"/>
          <w:highlight w:val="none"/>
        </w:rPr>
        <w:t>合同执行情况：包括合同变更、索赔和违约等。</w:t>
      </w:r>
    </w:p>
    <w:p w14:paraId="751B05C0">
      <w:pPr>
        <w:keepNext w:val="0"/>
        <w:keepLines w:val="0"/>
        <w:pageBreakBefore w:val="0"/>
        <w:widowControl/>
        <w:kinsoku w:val="0"/>
        <w:wordWrap/>
        <w:overflowPunct/>
        <w:topLinePunct w:val="0"/>
        <w:autoSpaceDE w:val="0"/>
        <w:autoSpaceDN w:val="0"/>
        <w:bidi w:val="0"/>
        <w:adjustRightInd w:val="0"/>
        <w:snapToGrid w:val="0"/>
        <w:spacing w:after="0" w:line="520" w:lineRule="exact"/>
        <w:ind w:firstLine="512" w:firstLineChars="200"/>
        <w:jc w:val="left"/>
        <w:textAlignment w:val="baseline"/>
        <w:rPr>
          <w:rFonts w:hint="eastAsia" w:ascii="仿宋" w:hAnsi="仿宋" w:eastAsia="仿宋" w:cs="仿宋"/>
          <w:sz w:val="24"/>
          <w:szCs w:val="24"/>
          <w:highlight w:val="none"/>
        </w:rPr>
      </w:pPr>
      <w:r>
        <w:rPr>
          <w:rFonts w:hint="eastAsia" w:ascii="仿宋" w:hAnsi="仿宋" w:eastAsia="仿宋" w:cs="仿宋"/>
          <w:spacing w:val="8"/>
          <w:sz w:val="24"/>
          <w:szCs w:val="24"/>
          <w:highlight w:val="none"/>
          <w:lang w:eastAsia="zh-CN"/>
        </w:rPr>
        <w:t>7.</w:t>
      </w:r>
      <w:r>
        <w:rPr>
          <w:rFonts w:hint="eastAsia" w:ascii="仿宋" w:hAnsi="仿宋" w:eastAsia="仿宋" w:cs="仿宋"/>
          <w:spacing w:val="8"/>
          <w:sz w:val="24"/>
          <w:szCs w:val="24"/>
          <w:highlight w:val="none"/>
        </w:rPr>
        <w:t>现场会议和往来信函：包括会议记录、往来信函。</w:t>
      </w:r>
    </w:p>
    <w:p w14:paraId="28D35820">
      <w:pPr>
        <w:keepNext w:val="0"/>
        <w:keepLines w:val="0"/>
        <w:pageBreakBefore w:val="0"/>
        <w:widowControl/>
        <w:kinsoku w:val="0"/>
        <w:wordWrap/>
        <w:overflowPunct/>
        <w:topLinePunct w:val="0"/>
        <w:autoSpaceDE w:val="0"/>
        <w:autoSpaceDN w:val="0"/>
        <w:bidi w:val="0"/>
        <w:adjustRightInd w:val="0"/>
        <w:snapToGrid w:val="0"/>
        <w:spacing w:after="0" w:line="520" w:lineRule="exact"/>
        <w:ind w:firstLine="508" w:firstLineChars="200"/>
        <w:jc w:val="left"/>
        <w:textAlignment w:val="baseline"/>
        <w:rPr>
          <w:rFonts w:hint="eastAsia" w:ascii="仿宋" w:hAnsi="仿宋" w:eastAsia="仿宋" w:cs="仿宋"/>
          <w:sz w:val="24"/>
          <w:szCs w:val="24"/>
          <w:highlight w:val="none"/>
        </w:rPr>
      </w:pPr>
      <w:r>
        <w:rPr>
          <w:rFonts w:hint="eastAsia" w:ascii="仿宋" w:hAnsi="仿宋" w:eastAsia="仿宋" w:cs="仿宋"/>
          <w:spacing w:val="7"/>
          <w:sz w:val="24"/>
          <w:szCs w:val="24"/>
          <w:highlight w:val="none"/>
          <w:lang w:eastAsia="zh-CN"/>
        </w:rPr>
        <w:t>8.</w:t>
      </w:r>
      <w:r>
        <w:rPr>
          <w:rFonts w:hint="eastAsia" w:ascii="仿宋" w:hAnsi="仿宋" w:eastAsia="仿宋" w:cs="仿宋"/>
          <w:spacing w:val="7"/>
          <w:sz w:val="24"/>
          <w:szCs w:val="24"/>
          <w:highlight w:val="none"/>
        </w:rPr>
        <w:t>监理工作：包括监理组织框图、资源投入、重要监理活动、图纸审</w:t>
      </w:r>
      <w:r>
        <w:rPr>
          <w:rFonts w:hint="eastAsia" w:ascii="仿宋" w:hAnsi="仿宋" w:eastAsia="仿宋" w:cs="仿宋"/>
          <w:spacing w:val="6"/>
          <w:sz w:val="24"/>
          <w:szCs w:val="24"/>
          <w:highlight w:val="none"/>
        </w:rPr>
        <w:t>查、发放、技术方案审查、</w:t>
      </w:r>
      <w:r>
        <w:rPr>
          <w:rFonts w:hint="eastAsia" w:ascii="仿宋" w:hAnsi="仿宋" w:eastAsia="仿宋" w:cs="仿宋"/>
          <w:sz w:val="24"/>
          <w:szCs w:val="24"/>
          <w:highlight w:val="none"/>
        </w:rPr>
        <w:t xml:space="preserve"> </w:t>
      </w:r>
      <w:r>
        <w:rPr>
          <w:rFonts w:hint="eastAsia" w:ascii="仿宋" w:hAnsi="仿宋" w:eastAsia="仿宋" w:cs="仿宋"/>
          <w:spacing w:val="8"/>
          <w:sz w:val="24"/>
          <w:szCs w:val="24"/>
          <w:highlight w:val="none"/>
        </w:rPr>
        <w:t>工程需要解决的问题和其他事项。</w:t>
      </w:r>
    </w:p>
    <w:p w14:paraId="0C936D5F">
      <w:pPr>
        <w:keepNext w:val="0"/>
        <w:keepLines w:val="0"/>
        <w:pageBreakBefore w:val="0"/>
        <w:widowControl/>
        <w:kinsoku w:val="0"/>
        <w:wordWrap/>
        <w:overflowPunct/>
        <w:topLinePunct w:val="0"/>
        <w:autoSpaceDE w:val="0"/>
        <w:autoSpaceDN w:val="0"/>
        <w:bidi w:val="0"/>
        <w:adjustRightInd w:val="0"/>
        <w:snapToGrid w:val="0"/>
        <w:spacing w:after="0" w:line="520" w:lineRule="exact"/>
        <w:ind w:firstLine="516" w:firstLineChars="200"/>
        <w:jc w:val="left"/>
        <w:textAlignment w:val="baseline"/>
        <w:rPr>
          <w:rFonts w:hint="eastAsia" w:ascii="仿宋" w:hAnsi="仿宋" w:eastAsia="仿宋" w:cs="仿宋"/>
          <w:sz w:val="24"/>
          <w:szCs w:val="24"/>
          <w:highlight w:val="none"/>
        </w:rPr>
      </w:pPr>
      <w:r>
        <w:rPr>
          <w:rFonts w:hint="eastAsia" w:ascii="仿宋" w:hAnsi="仿宋" w:eastAsia="仿宋" w:cs="仿宋"/>
          <w:spacing w:val="9"/>
          <w:sz w:val="24"/>
          <w:szCs w:val="24"/>
          <w:highlight w:val="none"/>
          <w:lang w:eastAsia="zh-CN"/>
        </w:rPr>
        <w:t>9.</w:t>
      </w:r>
      <w:r>
        <w:rPr>
          <w:rFonts w:hint="eastAsia" w:ascii="仿宋" w:hAnsi="仿宋" w:eastAsia="仿宋" w:cs="仿宋"/>
          <w:spacing w:val="9"/>
          <w:sz w:val="24"/>
          <w:szCs w:val="24"/>
          <w:highlight w:val="none"/>
        </w:rPr>
        <w:t>施工情况：包括劳动力的动态、投入的设备、组织管理和存在的问题。</w:t>
      </w:r>
    </w:p>
    <w:p w14:paraId="1D584440">
      <w:pPr>
        <w:keepNext w:val="0"/>
        <w:keepLines w:val="0"/>
        <w:pageBreakBefore w:val="0"/>
        <w:widowControl/>
        <w:kinsoku w:val="0"/>
        <w:wordWrap/>
        <w:overflowPunct/>
        <w:topLinePunct w:val="0"/>
        <w:autoSpaceDE w:val="0"/>
        <w:autoSpaceDN w:val="0"/>
        <w:bidi w:val="0"/>
        <w:adjustRightInd w:val="0"/>
        <w:snapToGrid w:val="0"/>
        <w:spacing w:after="0" w:line="520" w:lineRule="exact"/>
        <w:ind w:firstLine="500" w:firstLineChars="200"/>
        <w:jc w:val="left"/>
        <w:textAlignment w:val="baseline"/>
        <w:rPr>
          <w:rFonts w:hint="eastAsia" w:ascii="仿宋" w:hAnsi="仿宋" w:eastAsia="仿宋" w:cs="仿宋"/>
          <w:sz w:val="24"/>
          <w:szCs w:val="24"/>
          <w:highlight w:val="none"/>
        </w:rPr>
      </w:pPr>
      <w:r>
        <w:rPr>
          <w:rFonts w:hint="eastAsia" w:ascii="仿宋" w:hAnsi="仿宋" w:eastAsia="仿宋" w:cs="仿宋"/>
          <w:spacing w:val="5"/>
          <w:sz w:val="24"/>
          <w:szCs w:val="24"/>
          <w:highlight w:val="none"/>
          <w:lang w:eastAsia="zh-CN"/>
        </w:rPr>
        <w:t>10.</w:t>
      </w:r>
      <w:r>
        <w:rPr>
          <w:rFonts w:hint="eastAsia" w:ascii="仿宋" w:hAnsi="仿宋" w:eastAsia="仿宋" w:cs="仿宋"/>
          <w:spacing w:val="5"/>
          <w:sz w:val="24"/>
          <w:szCs w:val="24"/>
          <w:highlight w:val="none"/>
        </w:rPr>
        <w:t>安全和环境保护。</w:t>
      </w:r>
    </w:p>
    <w:p w14:paraId="1F3A71F2">
      <w:pPr>
        <w:keepNext w:val="0"/>
        <w:keepLines w:val="0"/>
        <w:pageBreakBefore w:val="0"/>
        <w:widowControl/>
        <w:kinsoku w:val="0"/>
        <w:wordWrap/>
        <w:overflowPunct/>
        <w:topLinePunct w:val="0"/>
        <w:autoSpaceDE w:val="0"/>
        <w:autoSpaceDN w:val="0"/>
        <w:bidi w:val="0"/>
        <w:adjustRightInd w:val="0"/>
        <w:snapToGrid w:val="0"/>
        <w:spacing w:after="0" w:line="520" w:lineRule="exact"/>
        <w:ind w:firstLine="500" w:firstLineChars="200"/>
        <w:jc w:val="left"/>
        <w:textAlignment w:val="baseline"/>
        <w:rPr>
          <w:rFonts w:hint="eastAsia" w:ascii="仿宋" w:hAnsi="仿宋" w:eastAsia="仿宋" w:cs="仿宋"/>
          <w:sz w:val="24"/>
          <w:szCs w:val="24"/>
          <w:highlight w:val="none"/>
        </w:rPr>
      </w:pPr>
      <w:r>
        <w:rPr>
          <w:rFonts w:hint="eastAsia" w:ascii="仿宋" w:hAnsi="仿宋" w:eastAsia="仿宋" w:cs="仿宋"/>
          <w:spacing w:val="5"/>
          <w:sz w:val="24"/>
          <w:szCs w:val="24"/>
          <w:highlight w:val="none"/>
          <w:lang w:eastAsia="zh-CN"/>
        </w:rPr>
        <w:t>11.</w:t>
      </w:r>
      <w:r>
        <w:rPr>
          <w:rFonts w:hint="eastAsia" w:ascii="仿宋" w:hAnsi="仿宋" w:eastAsia="仿宋" w:cs="仿宋"/>
          <w:spacing w:val="5"/>
          <w:sz w:val="24"/>
          <w:szCs w:val="24"/>
          <w:highlight w:val="none"/>
        </w:rPr>
        <w:t>进度款支付情况。</w:t>
      </w:r>
    </w:p>
    <w:p w14:paraId="4CA7BBDB">
      <w:pPr>
        <w:keepNext w:val="0"/>
        <w:keepLines w:val="0"/>
        <w:pageBreakBefore w:val="0"/>
        <w:widowControl/>
        <w:kinsoku w:val="0"/>
        <w:wordWrap/>
        <w:overflowPunct/>
        <w:topLinePunct w:val="0"/>
        <w:autoSpaceDE w:val="0"/>
        <w:autoSpaceDN w:val="0"/>
        <w:bidi w:val="0"/>
        <w:adjustRightInd w:val="0"/>
        <w:snapToGrid w:val="0"/>
        <w:spacing w:after="0" w:line="520" w:lineRule="exact"/>
        <w:ind w:firstLine="500" w:firstLineChars="200"/>
        <w:jc w:val="left"/>
        <w:textAlignment w:val="baseline"/>
        <w:rPr>
          <w:rFonts w:hint="eastAsia" w:ascii="仿宋" w:hAnsi="仿宋" w:eastAsia="仿宋" w:cs="仿宋"/>
          <w:sz w:val="24"/>
          <w:szCs w:val="24"/>
          <w:highlight w:val="none"/>
        </w:rPr>
      </w:pPr>
      <w:r>
        <w:rPr>
          <w:rFonts w:hint="eastAsia" w:ascii="仿宋" w:hAnsi="仿宋" w:eastAsia="仿宋" w:cs="仿宋"/>
          <w:spacing w:val="5"/>
          <w:sz w:val="24"/>
          <w:szCs w:val="24"/>
          <w:highlight w:val="none"/>
          <w:lang w:eastAsia="zh-CN"/>
        </w:rPr>
        <w:t>12.</w:t>
      </w:r>
      <w:r>
        <w:rPr>
          <w:rFonts w:hint="eastAsia" w:ascii="仿宋" w:hAnsi="仿宋" w:eastAsia="仿宋" w:cs="仿宋"/>
          <w:spacing w:val="5"/>
          <w:sz w:val="24"/>
          <w:szCs w:val="24"/>
          <w:highlight w:val="none"/>
        </w:rPr>
        <w:t>工程进展图片。</w:t>
      </w:r>
    </w:p>
    <w:p w14:paraId="487267F9">
      <w:pPr>
        <w:keepNext w:val="0"/>
        <w:keepLines w:val="0"/>
        <w:pageBreakBefore w:val="0"/>
        <w:widowControl/>
        <w:kinsoku w:val="0"/>
        <w:wordWrap/>
        <w:overflowPunct/>
        <w:topLinePunct w:val="0"/>
        <w:autoSpaceDE w:val="0"/>
        <w:autoSpaceDN w:val="0"/>
        <w:bidi w:val="0"/>
        <w:adjustRightInd w:val="0"/>
        <w:snapToGrid w:val="0"/>
        <w:spacing w:after="0" w:line="520" w:lineRule="exact"/>
        <w:ind w:firstLine="510" w:firstLineChars="200"/>
        <w:jc w:val="left"/>
        <w:textAlignment w:val="baseline"/>
        <w:rPr>
          <w:rFonts w:hint="eastAsia" w:ascii="仿宋" w:hAnsi="仿宋" w:eastAsia="仿宋" w:cs="仿宋"/>
          <w:sz w:val="24"/>
          <w:szCs w:val="24"/>
          <w:highlight w:val="none"/>
        </w:rPr>
      </w:pPr>
      <w:r>
        <w:rPr>
          <w:rFonts w:hint="eastAsia" w:ascii="仿宋" w:hAnsi="仿宋" w:eastAsia="仿宋" w:cs="仿宋"/>
          <w:b/>
          <w:bCs/>
          <w:spacing w:val="7"/>
          <w:sz w:val="24"/>
          <w:szCs w:val="24"/>
          <w:highlight w:val="none"/>
        </w:rPr>
        <w:t>（二）不定期的监理工作报告</w:t>
      </w:r>
    </w:p>
    <w:p w14:paraId="7C24F371">
      <w:pPr>
        <w:keepNext w:val="0"/>
        <w:keepLines w:val="0"/>
        <w:pageBreakBefore w:val="0"/>
        <w:widowControl/>
        <w:kinsoku w:val="0"/>
        <w:wordWrap/>
        <w:overflowPunct/>
        <w:topLinePunct w:val="0"/>
        <w:autoSpaceDE w:val="0"/>
        <w:autoSpaceDN w:val="0"/>
        <w:bidi w:val="0"/>
        <w:adjustRightInd w:val="0"/>
        <w:snapToGrid w:val="0"/>
        <w:spacing w:after="0" w:line="520" w:lineRule="exact"/>
        <w:ind w:firstLine="508" w:firstLineChars="200"/>
        <w:jc w:val="left"/>
        <w:textAlignment w:val="baseline"/>
        <w:rPr>
          <w:rFonts w:hint="eastAsia" w:ascii="仿宋" w:hAnsi="仿宋" w:eastAsia="仿宋" w:cs="仿宋"/>
          <w:sz w:val="24"/>
          <w:szCs w:val="24"/>
          <w:highlight w:val="none"/>
        </w:rPr>
      </w:pPr>
      <w:r>
        <w:rPr>
          <w:rFonts w:hint="eastAsia" w:ascii="仿宋" w:hAnsi="仿宋" w:eastAsia="仿宋" w:cs="仿宋"/>
          <w:spacing w:val="7"/>
          <w:sz w:val="24"/>
          <w:szCs w:val="24"/>
          <w:highlight w:val="none"/>
          <w:lang w:eastAsia="zh-CN"/>
        </w:rPr>
        <w:t>1.</w:t>
      </w:r>
      <w:r>
        <w:rPr>
          <w:rFonts w:hint="eastAsia" w:ascii="仿宋" w:hAnsi="仿宋" w:eastAsia="仿宋" w:cs="仿宋"/>
          <w:spacing w:val="7"/>
          <w:sz w:val="24"/>
          <w:szCs w:val="24"/>
          <w:highlight w:val="none"/>
        </w:rPr>
        <w:t>关于工程优化设计、工程变更的建议。</w:t>
      </w:r>
    </w:p>
    <w:p w14:paraId="17B01FBE">
      <w:pPr>
        <w:keepNext w:val="0"/>
        <w:keepLines w:val="0"/>
        <w:pageBreakBefore w:val="0"/>
        <w:widowControl/>
        <w:kinsoku w:val="0"/>
        <w:wordWrap/>
        <w:overflowPunct/>
        <w:topLinePunct w:val="0"/>
        <w:autoSpaceDE w:val="0"/>
        <w:autoSpaceDN w:val="0"/>
        <w:bidi w:val="0"/>
        <w:adjustRightInd w:val="0"/>
        <w:snapToGrid w:val="0"/>
        <w:spacing w:after="0" w:line="520" w:lineRule="exact"/>
        <w:ind w:firstLine="516" w:firstLineChars="200"/>
        <w:jc w:val="left"/>
        <w:textAlignment w:val="baseline"/>
        <w:rPr>
          <w:rFonts w:hint="eastAsia" w:ascii="仿宋" w:hAnsi="仿宋" w:eastAsia="仿宋" w:cs="仿宋"/>
          <w:sz w:val="24"/>
          <w:szCs w:val="24"/>
          <w:highlight w:val="none"/>
        </w:rPr>
      </w:pPr>
      <w:r>
        <w:rPr>
          <w:rFonts w:hint="eastAsia" w:ascii="仿宋" w:hAnsi="仿宋" w:eastAsia="仿宋" w:cs="仿宋"/>
          <w:spacing w:val="9"/>
          <w:sz w:val="24"/>
          <w:szCs w:val="24"/>
          <w:highlight w:val="none"/>
          <w:lang w:eastAsia="zh-CN"/>
        </w:rPr>
        <w:t>2.</w:t>
      </w:r>
      <w:r>
        <w:rPr>
          <w:rFonts w:hint="eastAsia" w:ascii="仿宋" w:hAnsi="仿宋" w:eastAsia="仿宋" w:cs="仿宋"/>
          <w:spacing w:val="9"/>
          <w:sz w:val="24"/>
          <w:szCs w:val="24"/>
          <w:highlight w:val="none"/>
        </w:rPr>
        <w:t>投资情况分析预测及资金、资源的合理配置和投入的</w:t>
      </w:r>
      <w:r>
        <w:rPr>
          <w:rFonts w:hint="eastAsia" w:ascii="仿宋" w:hAnsi="仿宋" w:eastAsia="仿宋" w:cs="仿宋"/>
          <w:spacing w:val="8"/>
          <w:sz w:val="24"/>
          <w:szCs w:val="24"/>
          <w:highlight w:val="none"/>
        </w:rPr>
        <w:t>建议。</w:t>
      </w:r>
    </w:p>
    <w:p w14:paraId="38053D73">
      <w:pPr>
        <w:keepNext w:val="0"/>
        <w:keepLines w:val="0"/>
        <w:pageBreakBefore w:val="0"/>
        <w:widowControl/>
        <w:kinsoku w:val="0"/>
        <w:wordWrap/>
        <w:overflowPunct/>
        <w:topLinePunct w:val="0"/>
        <w:autoSpaceDE w:val="0"/>
        <w:autoSpaceDN w:val="0"/>
        <w:bidi w:val="0"/>
        <w:adjustRightInd w:val="0"/>
        <w:snapToGrid w:val="0"/>
        <w:spacing w:after="0" w:line="520" w:lineRule="exact"/>
        <w:ind w:firstLine="508" w:firstLineChars="200"/>
        <w:jc w:val="left"/>
        <w:textAlignment w:val="baseline"/>
        <w:rPr>
          <w:rFonts w:hint="eastAsia" w:ascii="仿宋" w:hAnsi="仿宋" w:eastAsia="仿宋" w:cs="仿宋"/>
          <w:sz w:val="24"/>
          <w:szCs w:val="24"/>
          <w:highlight w:val="none"/>
        </w:rPr>
      </w:pPr>
      <w:r>
        <w:rPr>
          <w:rFonts w:hint="eastAsia" w:ascii="仿宋" w:hAnsi="仿宋" w:eastAsia="仿宋" w:cs="仿宋"/>
          <w:spacing w:val="7"/>
          <w:sz w:val="24"/>
          <w:szCs w:val="24"/>
          <w:highlight w:val="none"/>
          <w:lang w:eastAsia="zh-CN"/>
        </w:rPr>
        <w:t>3.</w:t>
      </w:r>
      <w:r>
        <w:rPr>
          <w:rFonts w:hint="eastAsia" w:ascii="仿宋" w:hAnsi="仿宋" w:eastAsia="仿宋" w:cs="仿宋"/>
          <w:spacing w:val="7"/>
          <w:sz w:val="24"/>
          <w:szCs w:val="24"/>
          <w:highlight w:val="none"/>
        </w:rPr>
        <w:t>工程进度预测分析报告。</w:t>
      </w:r>
    </w:p>
    <w:p w14:paraId="7171BF8A">
      <w:pPr>
        <w:keepNext w:val="0"/>
        <w:keepLines w:val="0"/>
        <w:pageBreakBefore w:val="0"/>
        <w:widowControl/>
        <w:kinsoku w:val="0"/>
        <w:wordWrap/>
        <w:overflowPunct/>
        <w:topLinePunct w:val="0"/>
        <w:autoSpaceDE w:val="0"/>
        <w:autoSpaceDN w:val="0"/>
        <w:bidi w:val="0"/>
        <w:adjustRightInd w:val="0"/>
        <w:snapToGrid w:val="0"/>
        <w:spacing w:after="0" w:line="520" w:lineRule="exact"/>
        <w:ind w:firstLine="482" w:firstLineChars="200"/>
        <w:jc w:val="left"/>
        <w:textAlignment w:val="baseline"/>
        <w:rPr>
          <w:rFonts w:hint="eastAsia" w:ascii="仿宋" w:hAnsi="仿宋" w:eastAsia="仿宋" w:cs="仿宋"/>
          <w:sz w:val="24"/>
          <w:szCs w:val="24"/>
          <w:highlight w:val="none"/>
        </w:rPr>
      </w:pPr>
      <w:r>
        <w:rPr>
          <w:rFonts w:hint="eastAsia" w:ascii="仿宋" w:hAnsi="仿宋" w:eastAsia="仿宋" w:cs="仿宋"/>
          <w:b/>
          <w:bCs/>
          <w:sz w:val="24"/>
          <w:szCs w:val="24"/>
          <w:highlight w:val="none"/>
        </w:rPr>
        <w:t>（三）</w:t>
      </w:r>
      <w:r>
        <w:rPr>
          <w:rFonts w:hint="eastAsia" w:ascii="仿宋" w:hAnsi="仿宋" w:eastAsia="仿宋" w:cs="仿宋"/>
          <w:spacing w:val="-43"/>
          <w:sz w:val="24"/>
          <w:szCs w:val="24"/>
          <w:highlight w:val="none"/>
        </w:rPr>
        <w:t xml:space="preserve"> </w:t>
      </w:r>
      <w:r>
        <w:rPr>
          <w:rFonts w:hint="eastAsia" w:ascii="仿宋" w:hAnsi="仿宋" w:eastAsia="仿宋" w:cs="仿宋"/>
          <w:b/>
          <w:bCs/>
          <w:sz w:val="24"/>
          <w:szCs w:val="24"/>
          <w:highlight w:val="none"/>
        </w:rPr>
        <w:t>日常监理文件</w:t>
      </w:r>
    </w:p>
    <w:p w14:paraId="160B2BB1">
      <w:pPr>
        <w:keepNext w:val="0"/>
        <w:keepLines w:val="0"/>
        <w:pageBreakBefore w:val="0"/>
        <w:widowControl/>
        <w:kinsoku w:val="0"/>
        <w:wordWrap/>
        <w:overflowPunct/>
        <w:topLinePunct w:val="0"/>
        <w:autoSpaceDE w:val="0"/>
        <w:autoSpaceDN w:val="0"/>
        <w:bidi w:val="0"/>
        <w:adjustRightInd w:val="0"/>
        <w:snapToGrid w:val="0"/>
        <w:spacing w:after="0" w:line="520" w:lineRule="exact"/>
        <w:ind w:firstLine="504" w:firstLineChars="200"/>
        <w:jc w:val="left"/>
        <w:textAlignment w:val="baseline"/>
        <w:rPr>
          <w:rFonts w:hint="eastAsia" w:ascii="仿宋" w:hAnsi="仿宋" w:eastAsia="仿宋" w:cs="仿宋"/>
          <w:sz w:val="24"/>
          <w:szCs w:val="24"/>
          <w:highlight w:val="none"/>
        </w:rPr>
      </w:pPr>
      <w:r>
        <w:rPr>
          <w:rFonts w:hint="eastAsia" w:ascii="仿宋" w:hAnsi="仿宋" w:eastAsia="仿宋" w:cs="仿宋"/>
          <w:spacing w:val="6"/>
          <w:sz w:val="24"/>
          <w:szCs w:val="24"/>
          <w:highlight w:val="none"/>
          <w:lang w:eastAsia="zh-CN"/>
        </w:rPr>
        <w:t>1.</w:t>
      </w:r>
      <w:r>
        <w:rPr>
          <w:rFonts w:hint="eastAsia" w:ascii="仿宋" w:hAnsi="仿宋" w:eastAsia="仿宋" w:cs="仿宋"/>
          <w:spacing w:val="6"/>
          <w:sz w:val="24"/>
          <w:szCs w:val="24"/>
          <w:highlight w:val="none"/>
        </w:rPr>
        <w:t>监理日记及施工大事记。</w:t>
      </w:r>
    </w:p>
    <w:p w14:paraId="7FD79388">
      <w:pPr>
        <w:keepNext w:val="0"/>
        <w:keepLines w:val="0"/>
        <w:pageBreakBefore w:val="0"/>
        <w:widowControl/>
        <w:kinsoku w:val="0"/>
        <w:wordWrap/>
        <w:overflowPunct/>
        <w:topLinePunct w:val="0"/>
        <w:autoSpaceDE w:val="0"/>
        <w:autoSpaceDN w:val="0"/>
        <w:bidi w:val="0"/>
        <w:adjustRightInd w:val="0"/>
        <w:snapToGrid w:val="0"/>
        <w:spacing w:after="0" w:line="520" w:lineRule="exact"/>
        <w:ind w:firstLine="508" w:firstLineChars="200"/>
        <w:jc w:val="left"/>
        <w:textAlignment w:val="baseline"/>
        <w:rPr>
          <w:rFonts w:hint="eastAsia" w:ascii="仿宋" w:hAnsi="仿宋" w:eastAsia="仿宋" w:cs="仿宋"/>
          <w:sz w:val="24"/>
          <w:szCs w:val="24"/>
          <w:highlight w:val="none"/>
        </w:rPr>
      </w:pPr>
      <w:r>
        <w:rPr>
          <w:rFonts w:hint="eastAsia" w:ascii="仿宋" w:hAnsi="仿宋" w:eastAsia="仿宋" w:cs="仿宋"/>
          <w:spacing w:val="7"/>
          <w:sz w:val="24"/>
          <w:szCs w:val="24"/>
          <w:highlight w:val="none"/>
          <w:lang w:eastAsia="zh-CN"/>
        </w:rPr>
        <w:t>2.</w:t>
      </w:r>
      <w:r>
        <w:rPr>
          <w:rFonts w:hint="eastAsia" w:ascii="仿宋" w:hAnsi="仿宋" w:eastAsia="仿宋" w:cs="仿宋"/>
          <w:spacing w:val="7"/>
          <w:sz w:val="24"/>
          <w:szCs w:val="24"/>
          <w:highlight w:val="none"/>
        </w:rPr>
        <w:t>施工计划批复文件。</w:t>
      </w:r>
    </w:p>
    <w:p w14:paraId="69BCDDD9">
      <w:pPr>
        <w:keepNext w:val="0"/>
        <w:keepLines w:val="0"/>
        <w:pageBreakBefore w:val="0"/>
        <w:widowControl/>
        <w:kinsoku w:val="0"/>
        <w:wordWrap/>
        <w:overflowPunct/>
        <w:topLinePunct w:val="0"/>
        <w:autoSpaceDE w:val="0"/>
        <w:autoSpaceDN w:val="0"/>
        <w:bidi w:val="0"/>
        <w:adjustRightInd w:val="0"/>
        <w:snapToGrid w:val="0"/>
        <w:spacing w:after="0" w:line="520" w:lineRule="exact"/>
        <w:ind w:firstLine="508" w:firstLineChars="200"/>
        <w:jc w:val="left"/>
        <w:textAlignment w:val="baseline"/>
        <w:rPr>
          <w:rFonts w:hint="eastAsia" w:ascii="仿宋" w:hAnsi="仿宋" w:eastAsia="仿宋" w:cs="仿宋"/>
          <w:sz w:val="24"/>
          <w:szCs w:val="24"/>
          <w:highlight w:val="none"/>
        </w:rPr>
      </w:pPr>
      <w:r>
        <w:rPr>
          <w:rFonts w:hint="eastAsia" w:ascii="仿宋" w:hAnsi="仿宋" w:eastAsia="仿宋" w:cs="仿宋"/>
          <w:spacing w:val="7"/>
          <w:sz w:val="24"/>
          <w:szCs w:val="24"/>
          <w:highlight w:val="none"/>
          <w:lang w:eastAsia="zh-CN"/>
        </w:rPr>
        <w:t>3.</w:t>
      </w:r>
      <w:r>
        <w:rPr>
          <w:rFonts w:hint="eastAsia" w:ascii="仿宋" w:hAnsi="仿宋" w:eastAsia="仿宋" w:cs="仿宋"/>
          <w:spacing w:val="7"/>
          <w:sz w:val="24"/>
          <w:szCs w:val="24"/>
          <w:highlight w:val="none"/>
        </w:rPr>
        <w:t>施工措施批复文件。</w:t>
      </w:r>
    </w:p>
    <w:p w14:paraId="15AC4FAA">
      <w:pPr>
        <w:keepNext w:val="0"/>
        <w:keepLines w:val="0"/>
        <w:pageBreakBefore w:val="0"/>
        <w:widowControl/>
        <w:kinsoku w:val="0"/>
        <w:wordWrap/>
        <w:overflowPunct/>
        <w:topLinePunct w:val="0"/>
        <w:autoSpaceDE w:val="0"/>
        <w:autoSpaceDN w:val="0"/>
        <w:bidi w:val="0"/>
        <w:adjustRightInd w:val="0"/>
        <w:snapToGrid w:val="0"/>
        <w:spacing w:after="0" w:line="520" w:lineRule="exact"/>
        <w:ind w:firstLine="512" w:firstLineChars="200"/>
        <w:jc w:val="left"/>
        <w:textAlignment w:val="baseline"/>
        <w:rPr>
          <w:rFonts w:hint="eastAsia" w:ascii="仿宋" w:hAnsi="仿宋" w:eastAsia="仿宋" w:cs="仿宋"/>
          <w:sz w:val="24"/>
          <w:szCs w:val="24"/>
          <w:highlight w:val="none"/>
        </w:rPr>
      </w:pPr>
      <w:r>
        <w:rPr>
          <w:rFonts w:hint="eastAsia" w:ascii="仿宋" w:hAnsi="仿宋" w:eastAsia="仿宋" w:cs="仿宋"/>
          <w:spacing w:val="8"/>
          <w:sz w:val="24"/>
          <w:szCs w:val="24"/>
          <w:highlight w:val="none"/>
          <w:lang w:eastAsia="zh-CN"/>
        </w:rPr>
        <w:t>4.</w:t>
      </w:r>
      <w:r>
        <w:rPr>
          <w:rFonts w:hint="eastAsia" w:ascii="仿宋" w:hAnsi="仿宋" w:eastAsia="仿宋" w:cs="仿宋"/>
          <w:spacing w:val="8"/>
          <w:sz w:val="24"/>
          <w:szCs w:val="24"/>
          <w:highlight w:val="none"/>
        </w:rPr>
        <w:t>施工进度调整批复文件。</w:t>
      </w:r>
    </w:p>
    <w:p w14:paraId="603A8B8A">
      <w:pPr>
        <w:keepNext w:val="0"/>
        <w:keepLines w:val="0"/>
        <w:pageBreakBefore w:val="0"/>
        <w:widowControl/>
        <w:kinsoku w:val="0"/>
        <w:wordWrap/>
        <w:overflowPunct/>
        <w:topLinePunct w:val="0"/>
        <w:autoSpaceDE w:val="0"/>
        <w:autoSpaceDN w:val="0"/>
        <w:bidi w:val="0"/>
        <w:adjustRightInd w:val="0"/>
        <w:snapToGrid w:val="0"/>
        <w:spacing w:after="0" w:line="520" w:lineRule="exact"/>
        <w:ind w:firstLine="508" w:firstLineChars="200"/>
        <w:jc w:val="left"/>
        <w:textAlignment w:val="baseline"/>
        <w:rPr>
          <w:rFonts w:hint="eastAsia" w:ascii="仿宋" w:hAnsi="仿宋" w:eastAsia="仿宋" w:cs="仿宋"/>
          <w:sz w:val="24"/>
          <w:szCs w:val="24"/>
          <w:highlight w:val="none"/>
        </w:rPr>
      </w:pPr>
      <w:r>
        <w:rPr>
          <w:rFonts w:hint="eastAsia" w:ascii="仿宋" w:hAnsi="仿宋" w:eastAsia="仿宋" w:cs="仿宋"/>
          <w:spacing w:val="7"/>
          <w:sz w:val="24"/>
          <w:szCs w:val="24"/>
          <w:highlight w:val="none"/>
          <w:lang w:eastAsia="zh-CN"/>
        </w:rPr>
        <w:t>5.</w:t>
      </w:r>
      <w:r>
        <w:rPr>
          <w:rFonts w:hint="eastAsia" w:ascii="仿宋" w:hAnsi="仿宋" w:eastAsia="仿宋" w:cs="仿宋"/>
          <w:spacing w:val="7"/>
          <w:sz w:val="24"/>
          <w:szCs w:val="24"/>
          <w:highlight w:val="none"/>
        </w:rPr>
        <w:t>进度款支付确认文件。</w:t>
      </w:r>
    </w:p>
    <w:p w14:paraId="20BA8526">
      <w:pPr>
        <w:keepNext w:val="0"/>
        <w:keepLines w:val="0"/>
        <w:pageBreakBefore w:val="0"/>
        <w:widowControl/>
        <w:kinsoku w:val="0"/>
        <w:wordWrap/>
        <w:overflowPunct/>
        <w:topLinePunct w:val="0"/>
        <w:autoSpaceDE w:val="0"/>
        <w:autoSpaceDN w:val="0"/>
        <w:bidi w:val="0"/>
        <w:adjustRightInd w:val="0"/>
        <w:snapToGrid w:val="0"/>
        <w:spacing w:after="0" w:line="520" w:lineRule="exact"/>
        <w:ind w:firstLine="512" w:firstLineChars="200"/>
        <w:jc w:val="left"/>
        <w:textAlignment w:val="baseline"/>
        <w:rPr>
          <w:rFonts w:hint="eastAsia" w:ascii="仿宋" w:hAnsi="仿宋" w:eastAsia="仿宋" w:cs="仿宋"/>
          <w:sz w:val="24"/>
          <w:szCs w:val="24"/>
          <w:highlight w:val="none"/>
        </w:rPr>
      </w:pPr>
      <w:r>
        <w:rPr>
          <w:rFonts w:hint="eastAsia" w:ascii="仿宋" w:hAnsi="仿宋" w:eastAsia="仿宋" w:cs="仿宋"/>
          <w:spacing w:val="8"/>
          <w:sz w:val="24"/>
          <w:szCs w:val="24"/>
          <w:highlight w:val="none"/>
          <w:lang w:eastAsia="zh-CN"/>
        </w:rPr>
        <w:t>6.</w:t>
      </w:r>
      <w:r>
        <w:rPr>
          <w:rFonts w:hint="eastAsia" w:ascii="仿宋" w:hAnsi="仿宋" w:eastAsia="仿宋" w:cs="仿宋"/>
          <w:spacing w:val="8"/>
          <w:sz w:val="24"/>
          <w:szCs w:val="24"/>
          <w:highlight w:val="none"/>
        </w:rPr>
        <w:t>索赔受理、调查及处理文件。</w:t>
      </w:r>
    </w:p>
    <w:p w14:paraId="7B021A1D">
      <w:pPr>
        <w:keepNext w:val="0"/>
        <w:keepLines w:val="0"/>
        <w:pageBreakBefore w:val="0"/>
        <w:widowControl/>
        <w:kinsoku w:val="0"/>
        <w:wordWrap/>
        <w:overflowPunct/>
        <w:topLinePunct w:val="0"/>
        <w:autoSpaceDE w:val="0"/>
        <w:autoSpaceDN w:val="0"/>
        <w:bidi w:val="0"/>
        <w:adjustRightInd w:val="0"/>
        <w:snapToGrid w:val="0"/>
        <w:spacing w:after="0" w:line="520" w:lineRule="exact"/>
        <w:ind w:firstLine="508" w:firstLineChars="200"/>
        <w:jc w:val="left"/>
        <w:textAlignment w:val="baseline"/>
        <w:rPr>
          <w:rFonts w:hint="eastAsia" w:ascii="仿宋" w:hAnsi="仿宋" w:eastAsia="仿宋" w:cs="仿宋"/>
          <w:sz w:val="24"/>
          <w:szCs w:val="24"/>
          <w:highlight w:val="none"/>
        </w:rPr>
      </w:pPr>
      <w:r>
        <w:rPr>
          <w:rFonts w:hint="eastAsia" w:ascii="仿宋" w:hAnsi="仿宋" w:eastAsia="仿宋" w:cs="仿宋"/>
          <w:spacing w:val="7"/>
          <w:sz w:val="24"/>
          <w:szCs w:val="24"/>
          <w:highlight w:val="none"/>
          <w:lang w:eastAsia="zh-CN"/>
        </w:rPr>
        <w:t>7.</w:t>
      </w:r>
      <w:r>
        <w:rPr>
          <w:rFonts w:hint="eastAsia" w:ascii="仿宋" w:hAnsi="仿宋" w:eastAsia="仿宋" w:cs="仿宋"/>
          <w:spacing w:val="7"/>
          <w:sz w:val="24"/>
          <w:szCs w:val="24"/>
          <w:highlight w:val="none"/>
        </w:rPr>
        <w:t>监理协调会议纪要文件。</w:t>
      </w:r>
    </w:p>
    <w:p w14:paraId="43596ADF">
      <w:pPr>
        <w:keepNext w:val="0"/>
        <w:keepLines w:val="0"/>
        <w:pageBreakBefore w:val="0"/>
        <w:widowControl/>
        <w:kinsoku w:val="0"/>
        <w:wordWrap/>
        <w:overflowPunct/>
        <w:topLinePunct w:val="0"/>
        <w:autoSpaceDE w:val="0"/>
        <w:autoSpaceDN w:val="0"/>
        <w:bidi w:val="0"/>
        <w:adjustRightInd w:val="0"/>
        <w:snapToGrid w:val="0"/>
        <w:spacing w:after="0" w:line="520" w:lineRule="exact"/>
        <w:ind w:firstLine="508" w:firstLineChars="200"/>
        <w:jc w:val="left"/>
        <w:textAlignment w:val="baseline"/>
        <w:rPr>
          <w:rFonts w:hint="eastAsia" w:ascii="仿宋" w:hAnsi="仿宋" w:eastAsia="仿宋" w:cs="仿宋"/>
          <w:sz w:val="24"/>
          <w:szCs w:val="24"/>
          <w:highlight w:val="none"/>
        </w:rPr>
      </w:pPr>
      <w:r>
        <w:rPr>
          <w:rFonts w:hint="eastAsia" w:ascii="仿宋" w:hAnsi="仿宋" w:eastAsia="仿宋" w:cs="仿宋"/>
          <w:spacing w:val="7"/>
          <w:sz w:val="24"/>
          <w:szCs w:val="24"/>
          <w:highlight w:val="none"/>
          <w:lang w:eastAsia="zh-CN"/>
        </w:rPr>
        <w:t>8.</w:t>
      </w:r>
      <w:r>
        <w:rPr>
          <w:rFonts w:hint="eastAsia" w:ascii="仿宋" w:hAnsi="仿宋" w:eastAsia="仿宋" w:cs="仿宋"/>
          <w:spacing w:val="7"/>
          <w:sz w:val="24"/>
          <w:szCs w:val="24"/>
          <w:highlight w:val="none"/>
        </w:rPr>
        <w:t>其他监理业务往来文件。</w:t>
      </w:r>
    </w:p>
    <w:bookmarkEnd w:id="8"/>
    <w:bookmarkEnd w:id="9"/>
    <w:bookmarkEnd w:id="13"/>
    <w:bookmarkEnd w:id="14"/>
    <w:bookmarkEnd w:id="98"/>
    <w:bookmarkEnd w:id="99"/>
    <w:bookmarkEnd w:id="100"/>
    <w:bookmarkEnd w:id="101"/>
    <w:bookmarkEnd w:id="102"/>
    <w:bookmarkEnd w:id="143"/>
    <w:bookmarkEnd w:id="144"/>
    <w:bookmarkEnd w:id="145"/>
    <w:p w14:paraId="211705D9">
      <w:pPr>
        <w:rPr>
          <w:rFonts w:hint="eastAsia" w:ascii="仿宋" w:hAnsi="仿宋" w:eastAsia="仿宋" w:cs="仿宋"/>
          <w:color w:val="auto"/>
          <w:highlight w:val="none"/>
          <w:lang w:val="en-US" w:eastAsia="zh-CN"/>
        </w:rPr>
      </w:pPr>
      <w:bookmarkStart w:id="146" w:name="_Toc10806"/>
    </w:p>
    <w:p w14:paraId="7C4E2970">
      <w:pPr>
        <w:pStyle w:val="3"/>
        <w:bidi w:val="0"/>
        <w:jc w:val="cente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第六章 竞争性磋商响应文件</w:t>
      </w:r>
      <w:bookmarkEnd w:id="146"/>
    </w:p>
    <w:p w14:paraId="2F629CDA">
      <w:pPr>
        <w:pageBreakBefore w:val="0"/>
        <w:widowControl w:val="0"/>
        <w:kinsoku/>
        <w:wordWrap/>
        <w:overflowPunct/>
        <w:topLinePunct w:val="0"/>
        <w:bidi w:val="0"/>
        <w:spacing w:after="200" w:line="560" w:lineRule="exact"/>
        <w:jc w:val="left"/>
        <w:rPr>
          <w:rFonts w:hint="eastAsia" w:ascii="仿宋" w:hAnsi="仿宋" w:eastAsia="仿宋" w:cs="仿宋"/>
          <w:color w:val="auto"/>
          <w:kern w:val="2"/>
          <w:sz w:val="24"/>
          <w:szCs w:val="24"/>
          <w:highlight w:val="none"/>
        </w:rPr>
      </w:pPr>
    </w:p>
    <w:p w14:paraId="09790D5C">
      <w:pPr>
        <w:pageBreakBefore w:val="0"/>
        <w:widowControl w:val="0"/>
        <w:kinsoku/>
        <w:wordWrap/>
        <w:overflowPunct/>
        <w:topLinePunct w:val="0"/>
        <w:bidi w:val="0"/>
        <w:spacing w:after="200" w:line="560" w:lineRule="exact"/>
        <w:jc w:val="center"/>
        <w:outlineLvl w:val="0"/>
        <w:rPr>
          <w:rFonts w:hint="eastAsia" w:ascii="仿宋" w:hAnsi="仿宋" w:eastAsia="仿宋" w:cs="仿宋"/>
          <w:b/>
          <w:color w:val="auto"/>
          <w:kern w:val="2"/>
          <w:sz w:val="32"/>
          <w:szCs w:val="32"/>
          <w:highlight w:val="none"/>
          <w:u w:val="single"/>
        </w:rPr>
      </w:pPr>
      <w:r>
        <w:rPr>
          <w:rFonts w:hint="eastAsia" w:ascii="仿宋" w:hAnsi="仿宋" w:eastAsia="仿宋" w:cs="仿宋"/>
          <w:b/>
          <w:color w:val="auto"/>
          <w:kern w:val="2"/>
          <w:sz w:val="32"/>
          <w:szCs w:val="32"/>
          <w:highlight w:val="none"/>
          <w:u w:val="single"/>
        </w:rPr>
        <w:t xml:space="preserve">        </w:t>
      </w:r>
      <w:bookmarkStart w:id="147" w:name="_Toc31040"/>
      <w:bookmarkStart w:id="148" w:name="_Toc11652_WPSOffice_Level2"/>
      <w:bookmarkStart w:id="149" w:name="_Toc24654"/>
      <w:bookmarkStart w:id="150" w:name="_Toc589"/>
      <w:bookmarkStart w:id="151" w:name="_Toc26756"/>
      <w:bookmarkStart w:id="152" w:name="_Toc7757_WPSOffice_Level1"/>
      <w:r>
        <w:rPr>
          <w:rFonts w:hint="eastAsia" w:ascii="仿宋" w:hAnsi="仿宋" w:eastAsia="仿宋" w:cs="仿宋"/>
          <w:b/>
          <w:color w:val="auto"/>
          <w:kern w:val="2"/>
          <w:sz w:val="32"/>
          <w:szCs w:val="32"/>
          <w:highlight w:val="none"/>
          <w:u w:val="single"/>
        </w:rPr>
        <w:t>（项目名称）</w:t>
      </w:r>
      <w:bookmarkEnd w:id="147"/>
      <w:bookmarkEnd w:id="148"/>
      <w:bookmarkEnd w:id="149"/>
      <w:bookmarkEnd w:id="150"/>
      <w:bookmarkEnd w:id="151"/>
      <w:bookmarkEnd w:id="152"/>
      <w:r>
        <w:rPr>
          <w:rFonts w:hint="eastAsia" w:ascii="仿宋" w:hAnsi="仿宋" w:eastAsia="仿宋" w:cs="仿宋"/>
          <w:b/>
          <w:color w:val="auto"/>
          <w:kern w:val="2"/>
          <w:sz w:val="32"/>
          <w:szCs w:val="32"/>
          <w:highlight w:val="none"/>
          <w:u w:val="single"/>
        </w:rPr>
        <w:t xml:space="preserve"> </w:t>
      </w:r>
      <w:r>
        <w:rPr>
          <w:rFonts w:hint="eastAsia" w:ascii="仿宋" w:hAnsi="仿宋" w:eastAsia="仿宋" w:cs="仿宋"/>
          <w:b/>
          <w:color w:val="auto"/>
          <w:kern w:val="2"/>
          <w:sz w:val="32"/>
          <w:szCs w:val="32"/>
          <w:highlight w:val="none"/>
          <w:u w:val="single"/>
          <w:lang w:val="en-US" w:eastAsia="zh-CN"/>
        </w:rPr>
        <w:t>（标项  ）</w:t>
      </w:r>
      <w:r>
        <w:rPr>
          <w:rFonts w:hint="eastAsia" w:ascii="仿宋" w:hAnsi="仿宋" w:eastAsia="仿宋" w:cs="仿宋"/>
          <w:b/>
          <w:color w:val="auto"/>
          <w:kern w:val="2"/>
          <w:sz w:val="32"/>
          <w:szCs w:val="32"/>
          <w:highlight w:val="none"/>
          <w:u w:val="single"/>
        </w:rPr>
        <w:t xml:space="preserve">    </w:t>
      </w:r>
    </w:p>
    <w:p w14:paraId="20569D03">
      <w:pPr>
        <w:pageBreakBefore w:val="0"/>
        <w:widowControl w:val="0"/>
        <w:kinsoku/>
        <w:wordWrap/>
        <w:overflowPunct/>
        <w:topLinePunct w:val="0"/>
        <w:bidi w:val="0"/>
        <w:spacing w:after="200" w:line="560" w:lineRule="exact"/>
        <w:jc w:val="center"/>
        <w:rPr>
          <w:rFonts w:hint="eastAsia" w:ascii="仿宋" w:hAnsi="仿宋" w:eastAsia="仿宋" w:cs="仿宋"/>
          <w:color w:val="auto"/>
          <w:kern w:val="2"/>
          <w:sz w:val="24"/>
          <w:szCs w:val="24"/>
          <w:highlight w:val="none"/>
        </w:rPr>
      </w:pPr>
    </w:p>
    <w:p w14:paraId="7E3BEE49">
      <w:pPr>
        <w:pageBreakBefore w:val="0"/>
        <w:widowControl w:val="0"/>
        <w:kinsoku/>
        <w:wordWrap/>
        <w:overflowPunct/>
        <w:topLinePunct w:val="0"/>
        <w:bidi w:val="0"/>
        <w:spacing w:after="200" w:line="560" w:lineRule="exact"/>
        <w:jc w:val="both"/>
        <w:rPr>
          <w:rFonts w:hint="eastAsia" w:ascii="仿宋" w:hAnsi="仿宋" w:eastAsia="仿宋" w:cs="仿宋"/>
          <w:color w:val="auto"/>
          <w:kern w:val="2"/>
          <w:sz w:val="24"/>
          <w:szCs w:val="24"/>
          <w:highlight w:val="none"/>
        </w:rPr>
      </w:pPr>
    </w:p>
    <w:p w14:paraId="73DDFE40">
      <w:pPr>
        <w:pageBreakBefore w:val="0"/>
        <w:widowControl w:val="0"/>
        <w:kinsoku/>
        <w:wordWrap/>
        <w:overflowPunct/>
        <w:topLinePunct w:val="0"/>
        <w:bidi w:val="0"/>
        <w:spacing w:after="200" w:line="560" w:lineRule="exact"/>
        <w:jc w:val="center"/>
        <w:rPr>
          <w:rFonts w:hint="eastAsia" w:ascii="仿宋" w:hAnsi="仿宋" w:eastAsia="仿宋" w:cs="仿宋"/>
          <w:color w:val="auto"/>
          <w:kern w:val="2"/>
          <w:sz w:val="24"/>
          <w:szCs w:val="24"/>
          <w:highlight w:val="none"/>
        </w:rPr>
      </w:pPr>
    </w:p>
    <w:p w14:paraId="556E24EE">
      <w:pPr>
        <w:pageBreakBefore w:val="0"/>
        <w:widowControl w:val="0"/>
        <w:kinsoku/>
        <w:wordWrap/>
        <w:overflowPunct/>
        <w:topLinePunct w:val="0"/>
        <w:autoSpaceDE w:val="0"/>
        <w:autoSpaceDN w:val="0"/>
        <w:bidi w:val="0"/>
        <w:adjustRightInd w:val="0"/>
        <w:spacing w:after="200" w:line="560" w:lineRule="exact"/>
        <w:jc w:val="center"/>
        <w:outlineLvl w:val="1"/>
        <w:rPr>
          <w:rFonts w:hint="eastAsia" w:ascii="仿宋" w:hAnsi="仿宋" w:eastAsia="仿宋" w:cs="仿宋"/>
          <w:b/>
          <w:color w:val="auto"/>
          <w:kern w:val="0"/>
          <w:sz w:val="52"/>
          <w:szCs w:val="52"/>
          <w:highlight w:val="none"/>
          <w:lang w:val="en-US" w:eastAsia="zh-CN" w:bidi="ar-SA"/>
        </w:rPr>
      </w:pPr>
      <w:bookmarkStart w:id="153" w:name="_Toc13457"/>
      <w:bookmarkStart w:id="154" w:name="_Toc1171_WPSOffice_Level2"/>
      <w:r>
        <w:rPr>
          <w:rFonts w:hint="eastAsia" w:ascii="仿宋" w:hAnsi="仿宋" w:eastAsia="仿宋" w:cs="仿宋"/>
          <w:b/>
          <w:color w:val="auto"/>
          <w:kern w:val="0"/>
          <w:sz w:val="52"/>
          <w:szCs w:val="52"/>
          <w:highlight w:val="none"/>
          <w:lang w:val="en-US" w:eastAsia="zh-CN" w:bidi="ar-SA"/>
        </w:rPr>
        <w:t>竞争性磋商响应文件</w:t>
      </w:r>
      <w:bookmarkEnd w:id="153"/>
      <w:bookmarkEnd w:id="154"/>
    </w:p>
    <w:p w14:paraId="1B452077">
      <w:pPr>
        <w:pageBreakBefore w:val="0"/>
        <w:widowControl w:val="0"/>
        <w:kinsoku/>
        <w:wordWrap/>
        <w:overflowPunct/>
        <w:topLinePunct w:val="0"/>
        <w:bidi w:val="0"/>
        <w:spacing w:after="200" w:line="560" w:lineRule="exact"/>
        <w:jc w:val="both"/>
        <w:rPr>
          <w:rFonts w:hint="eastAsia" w:ascii="仿宋" w:hAnsi="仿宋" w:eastAsia="仿宋" w:cs="仿宋"/>
          <w:color w:val="auto"/>
          <w:kern w:val="2"/>
          <w:sz w:val="24"/>
          <w:szCs w:val="24"/>
          <w:highlight w:val="none"/>
        </w:rPr>
      </w:pPr>
    </w:p>
    <w:p w14:paraId="5F9B46EC">
      <w:pPr>
        <w:spacing w:line="360" w:lineRule="auto"/>
        <w:jc w:val="center"/>
        <w:rPr>
          <w:rFonts w:hint="default" w:ascii="仿宋" w:hAnsi="仿宋" w:eastAsia="仿宋" w:cs="仿宋"/>
          <w:color w:val="auto"/>
          <w:sz w:val="28"/>
          <w:szCs w:val="28"/>
          <w:highlight w:val="none"/>
          <w:lang w:val="en-US" w:eastAsia="zh-CN"/>
        </w:rPr>
      </w:pPr>
    </w:p>
    <w:p w14:paraId="10AA3C37">
      <w:pPr>
        <w:spacing w:line="360" w:lineRule="auto"/>
        <w:ind w:firstLine="2800" w:firstLineChars="1000"/>
        <w:jc w:val="both"/>
        <w:rPr>
          <w:rFonts w:hint="eastAsia" w:ascii="仿宋" w:hAnsi="仿宋" w:eastAsia="仿宋" w:cs="仿宋"/>
          <w:color w:val="auto"/>
          <w:sz w:val="32"/>
          <w:szCs w:val="32"/>
          <w:highlight w:val="none"/>
        </w:rPr>
      </w:pPr>
      <w:r>
        <w:rPr>
          <w:rFonts w:hint="eastAsia" w:ascii="仿宋" w:hAnsi="仿宋" w:eastAsia="仿宋" w:cs="仿宋"/>
          <w:color w:val="auto"/>
          <w:sz w:val="28"/>
          <w:szCs w:val="28"/>
          <w:highlight w:val="none"/>
          <w:lang w:val="en-US" w:eastAsia="zh-CN"/>
        </w:rPr>
        <w:t>项目</w:t>
      </w:r>
      <w:r>
        <w:rPr>
          <w:rFonts w:hint="eastAsia" w:ascii="仿宋" w:hAnsi="仿宋" w:eastAsia="仿宋" w:cs="仿宋"/>
          <w:color w:val="auto"/>
          <w:sz w:val="28"/>
          <w:szCs w:val="28"/>
          <w:highlight w:val="none"/>
        </w:rPr>
        <w:t>编号：</w:t>
      </w:r>
    </w:p>
    <w:p w14:paraId="1B3ACEAD">
      <w:pPr>
        <w:spacing w:line="360" w:lineRule="auto"/>
        <w:ind w:firstLine="316" w:firstLineChars="150"/>
        <w:rPr>
          <w:rFonts w:hint="eastAsia" w:ascii="仿宋" w:hAnsi="仿宋" w:eastAsia="仿宋" w:cs="仿宋"/>
          <w:b/>
          <w:color w:val="auto"/>
          <w:kern w:val="2"/>
          <w:sz w:val="21"/>
          <w:szCs w:val="21"/>
          <w:highlight w:val="none"/>
        </w:rPr>
      </w:pPr>
    </w:p>
    <w:p w14:paraId="45B837FA">
      <w:pPr>
        <w:spacing w:line="360" w:lineRule="auto"/>
        <w:rPr>
          <w:rFonts w:hint="eastAsia" w:ascii="仿宋" w:hAnsi="仿宋" w:eastAsia="仿宋" w:cs="仿宋"/>
          <w:bCs/>
          <w:color w:val="auto"/>
          <w:szCs w:val="21"/>
          <w:highlight w:val="none"/>
        </w:rPr>
      </w:pPr>
    </w:p>
    <w:p w14:paraId="4D80A94F">
      <w:pPr>
        <w:spacing w:line="360" w:lineRule="auto"/>
        <w:ind w:firstLine="330" w:firstLineChars="150"/>
        <w:rPr>
          <w:rFonts w:hint="eastAsia" w:ascii="仿宋" w:hAnsi="仿宋" w:eastAsia="仿宋" w:cs="仿宋"/>
          <w:bCs/>
          <w:color w:val="auto"/>
          <w:szCs w:val="21"/>
          <w:highlight w:val="none"/>
        </w:rPr>
      </w:pPr>
    </w:p>
    <w:p w14:paraId="77B4664A">
      <w:pPr>
        <w:spacing w:after="0" w:line="360" w:lineRule="auto"/>
        <w:ind w:firstLine="480" w:firstLineChars="200"/>
        <w:rPr>
          <w:rFonts w:hint="eastAsia" w:ascii="仿宋" w:hAnsi="仿宋" w:eastAsia="仿宋" w:cs="仿宋"/>
          <w:color w:val="auto"/>
          <w:sz w:val="28"/>
          <w:szCs w:val="28"/>
          <w:highlight w:val="none"/>
          <w:u w:val="singl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（盖</w:t>
      </w:r>
      <w:r>
        <w:rPr>
          <w:rFonts w:hint="eastAsia" w:ascii="仿宋" w:hAnsi="仿宋" w:eastAsia="仿宋" w:cs="仿宋"/>
          <w:color w:val="auto"/>
          <w:sz w:val="28"/>
          <w:szCs w:val="28"/>
          <w:highlight w:val="none"/>
          <w:u w:val="single"/>
          <w:lang w:eastAsia="zh-CN"/>
        </w:rPr>
        <w:t>单位</w:t>
      </w:r>
      <w:r>
        <w:rPr>
          <w:rFonts w:hint="eastAsia" w:ascii="仿宋" w:hAnsi="仿宋" w:eastAsia="仿宋" w:cs="仿宋"/>
          <w:color w:val="auto"/>
          <w:sz w:val="28"/>
          <w:szCs w:val="28"/>
          <w:highlight w:val="none"/>
          <w:u w:val="single"/>
        </w:rPr>
        <w:t>章）</w:t>
      </w:r>
    </w:p>
    <w:p w14:paraId="3617373B">
      <w:pPr>
        <w:spacing w:after="0" w:line="360" w:lineRule="auto"/>
        <w:ind w:firstLine="560" w:firstLineChars="200"/>
        <w:rPr>
          <w:rFonts w:hint="eastAsia" w:ascii="仿宋" w:hAnsi="仿宋" w:eastAsia="仿宋" w:cs="仿宋"/>
          <w:color w:val="auto"/>
          <w:sz w:val="28"/>
          <w:szCs w:val="28"/>
          <w:highlight w:val="none"/>
        </w:rPr>
      </w:pPr>
    </w:p>
    <w:p w14:paraId="3127F3C8">
      <w:pPr>
        <w:spacing w:after="0" w:line="360" w:lineRule="auto"/>
        <w:ind w:firstLine="560" w:firstLineChars="20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法定代表人或其委托代理人：</w:t>
      </w:r>
      <w:r>
        <w:rPr>
          <w:rFonts w:hint="eastAsia" w:ascii="仿宋" w:hAnsi="仿宋" w:eastAsia="仿宋" w:cs="仿宋"/>
          <w:color w:val="auto"/>
          <w:sz w:val="28"/>
          <w:szCs w:val="28"/>
          <w:highlight w:val="none"/>
          <w:u w:val="single"/>
        </w:rPr>
        <w:t xml:space="preserve">             （盖章或签字）</w:t>
      </w:r>
    </w:p>
    <w:p w14:paraId="2BEA0C9C">
      <w:pPr>
        <w:spacing w:after="0" w:line="360" w:lineRule="auto"/>
        <w:ind w:firstLine="560" w:firstLineChars="200"/>
        <w:rPr>
          <w:rFonts w:hint="eastAsia" w:ascii="仿宋" w:hAnsi="仿宋" w:eastAsia="仿宋" w:cs="仿宋"/>
          <w:color w:val="auto"/>
          <w:sz w:val="28"/>
          <w:szCs w:val="28"/>
          <w:highlight w:val="none"/>
        </w:rPr>
      </w:pPr>
    </w:p>
    <w:p w14:paraId="1C19D5C8">
      <w:pPr>
        <w:spacing w:after="0" w:line="360" w:lineRule="auto"/>
        <w:ind w:firstLine="560" w:firstLineChars="20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 </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月 </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rPr>
        <w:br w:type="page"/>
      </w:r>
      <w:bookmarkStart w:id="155" w:name="_Toc531966063"/>
      <w:bookmarkStart w:id="156" w:name="_Toc13299"/>
      <w:bookmarkStart w:id="157" w:name="_Toc525741713"/>
      <w:bookmarkStart w:id="158" w:name="_Toc536534332"/>
      <w:bookmarkStart w:id="159" w:name="_Toc536534062"/>
      <w:r>
        <w:rPr>
          <w:rFonts w:hint="eastAsia" w:ascii="仿宋" w:hAnsi="仿宋" w:eastAsia="仿宋" w:cs="仿宋"/>
          <w:color w:val="auto"/>
          <w:sz w:val="28"/>
          <w:szCs w:val="28"/>
          <w:highlight w:val="none"/>
        </w:rPr>
        <w:t>目        录</w:t>
      </w:r>
      <w:bookmarkEnd w:id="155"/>
      <w:bookmarkEnd w:id="156"/>
      <w:bookmarkEnd w:id="157"/>
      <w:bookmarkEnd w:id="158"/>
      <w:bookmarkEnd w:id="159"/>
    </w:p>
    <w:p w14:paraId="66EC171A">
      <w:pPr>
        <w:keepNext w:val="0"/>
        <w:keepLines w:val="0"/>
        <w:pageBreakBefore w:val="0"/>
        <w:widowControl/>
        <w:kinsoku/>
        <w:wordWrap/>
        <w:overflowPunct/>
        <w:topLinePunct w:val="0"/>
        <w:autoSpaceDE/>
        <w:autoSpaceDN/>
        <w:bidi w:val="0"/>
        <w:adjustRightInd w:val="0"/>
        <w:snapToGrid w:val="0"/>
        <w:spacing w:after="0" w:line="56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1.磋商函</w:t>
      </w:r>
    </w:p>
    <w:p w14:paraId="17021770">
      <w:pPr>
        <w:keepNext w:val="0"/>
        <w:keepLines w:val="0"/>
        <w:pageBreakBefore w:val="0"/>
        <w:widowControl/>
        <w:kinsoku/>
        <w:wordWrap/>
        <w:overflowPunct/>
        <w:topLinePunct w:val="0"/>
        <w:autoSpaceDE/>
        <w:autoSpaceDN/>
        <w:bidi w:val="0"/>
        <w:adjustRightInd w:val="0"/>
        <w:snapToGrid w:val="0"/>
        <w:spacing w:after="0" w:line="56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2.磋商报价一览表</w:t>
      </w:r>
    </w:p>
    <w:p w14:paraId="7C5983E2">
      <w:pPr>
        <w:keepNext w:val="0"/>
        <w:keepLines w:val="0"/>
        <w:pageBreakBefore w:val="0"/>
        <w:widowControl/>
        <w:kinsoku/>
        <w:wordWrap/>
        <w:overflowPunct/>
        <w:topLinePunct w:val="0"/>
        <w:autoSpaceDE/>
        <w:autoSpaceDN/>
        <w:bidi w:val="0"/>
        <w:adjustRightInd w:val="0"/>
        <w:snapToGrid w:val="0"/>
        <w:spacing w:after="0" w:line="56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3.法定代表人身份证明书</w:t>
      </w:r>
    </w:p>
    <w:p w14:paraId="72D8E949">
      <w:pPr>
        <w:keepNext w:val="0"/>
        <w:keepLines w:val="0"/>
        <w:pageBreakBefore w:val="0"/>
        <w:widowControl/>
        <w:kinsoku/>
        <w:wordWrap/>
        <w:overflowPunct/>
        <w:topLinePunct w:val="0"/>
        <w:autoSpaceDE/>
        <w:autoSpaceDN/>
        <w:bidi w:val="0"/>
        <w:adjustRightInd w:val="0"/>
        <w:snapToGrid w:val="0"/>
        <w:spacing w:after="0" w:line="56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4.授权委托书</w:t>
      </w:r>
    </w:p>
    <w:p w14:paraId="57F84294">
      <w:pPr>
        <w:keepNext w:val="0"/>
        <w:keepLines w:val="0"/>
        <w:pageBreakBefore w:val="0"/>
        <w:widowControl/>
        <w:kinsoku/>
        <w:wordWrap/>
        <w:overflowPunct/>
        <w:topLinePunct w:val="0"/>
        <w:autoSpaceDE/>
        <w:autoSpaceDN/>
        <w:bidi w:val="0"/>
        <w:adjustRightInd w:val="0"/>
        <w:snapToGrid w:val="0"/>
        <w:spacing w:after="0" w:line="560" w:lineRule="exact"/>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.资格审查资料</w:t>
      </w:r>
    </w:p>
    <w:p w14:paraId="6FA1E510">
      <w:pPr>
        <w:keepNext w:val="0"/>
        <w:keepLines w:val="0"/>
        <w:pageBreakBefore w:val="0"/>
        <w:widowControl/>
        <w:kinsoku/>
        <w:wordWrap/>
        <w:overflowPunct/>
        <w:topLinePunct w:val="0"/>
        <w:autoSpaceDE/>
        <w:autoSpaceDN/>
        <w:bidi w:val="0"/>
        <w:adjustRightInd w:val="0"/>
        <w:snapToGrid w:val="0"/>
        <w:spacing w:after="0"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技术部分</w:t>
      </w:r>
    </w:p>
    <w:p w14:paraId="0C7AA3BC">
      <w:pPr>
        <w:keepNext w:val="0"/>
        <w:keepLines w:val="0"/>
        <w:pageBreakBefore w:val="0"/>
        <w:widowControl/>
        <w:kinsoku/>
        <w:wordWrap/>
        <w:overflowPunct/>
        <w:topLinePunct w:val="0"/>
        <w:autoSpaceDE/>
        <w:autoSpaceDN/>
        <w:bidi w:val="0"/>
        <w:adjustRightInd w:val="0"/>
        <w:snapToGrid w:val="0"/>
        <w:spacing w:after="0" w:line="56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7.供应商认为需要提交的其他资料或竞争性磋商文件要求提交的其他资料</w:t>
      </w:r>
    </w:p>
    <w:p w14:paraId="7A3E0424">
      <w:pPr>
        <w:keepNext w:val="0"/>
        <w:keepLines w:val="0"/>
        <w:pageBreakBefore w:val="0"/>
        <w:widowControl/>
        <w:kinsoku/>
        <w:wordWrap/>
        <w:overflowPunct/>
        <w:topLinePunct w:val="0"/>
        <w:autoSpaceDE/>
        <w:autoSpaceDN/>
        <w:bidi w:val="0"/>
        <w:adjustRightInd w:val="0"/>
        <w:snapToGrid w:val="0"/>
        <w:spacing w:after="0" w:line="56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8.中小企业、残疾人福利性单位、监狱企业证明文件</w:t>
      </w:r>
    </w:p>
    <w:p w14:paraId="7F21B711">
      <w:pPr>
        <w:spacing w:after="0" w:line="360" w:lineRule="auto"/>
        <w:rPr>
          <w:rFonts w:hint="eastAsia" w:ascii="仿宋" w:hAnsi="仿宋" w:eastAsia="仿宋" w:cs="仿宋"/>
          <w:color w:val="auto"/>
          <w:sz w:val="28"/>
          <w:szCs w:val="28"/>
          <w:highlight w:val="none"/>
        </w:rPr>
      </w:pPr>
    </w:p>
    <w:p w14:paraId="6626E0A9">
      <w:pPr>
        <w:pStyle w:val="5"/>
        <w:numPr>
          <w:ilvl w:val="0"/>
          <w:numId w:val="7"/>
        </w:numPr>
        <w:spacing w:line="360" w:lineRule="auto"/>
        <w:ind w:left="720" w:leftChars="0" w:hanging="720" w:firstLineChars="0"/>
        <w:jc w:val="center"/>
        <w:outlineLvl w:val="0"/>
        <w:rPr>
          <w:rFonts w:hint="eastAsia" w:ascii="仿宋" w:hAnsi="仿宋" w:eastAsia="仿宋" w:cs="仿宋"/>
          <w:color w:val="auto"/>
          <w:sz w:val="28"/>
          <w:szCs w:val="28"/>
          <w:highlight w:val="none"/>
        </w:rPr>
      </w:pPr>
      <w:bookmarkStart w:id="160" w:name="_Toc11914"/>
      <w:bookmarkStart w:id="161" w:name="_Toc377657823"/>
      <w:bookmarkStart w:id="162" w:name="_Toc470531294"/>
      <w:bookmarkStart w:id="163" w:name="_Toc377657518"/>
      <w:bookmarkStart w:id="164" w:name="_Toc377657302"/>
      <w:bookmarkStart w:id="165" w:name="_Toc536534333"/>
      <w:bookmarkStart w:id="166" w:name="_Toc201460598"/>
      <w:bookmarkStart w:id="167" w:name="_Toc531966064"/>
      <w:bookmarkStart w:id="168" w:name="_Toc536534063"/>
      <w:bookmarkStart w:id="169" w:name="_Toc377657375"/>
      <w:bookmarkStart w:id="170" w:name="_Toc377657104"/>
      <w:bookmarkStart w:id="171" w:name="_Toc377658032"/>
      <w:bookmarkStart w:id="172" w:name="_Toc377657234"/>
      <w:r>
        <w:rPr>
          <w:rFonts w:hint="eastAsia" w:ascii="仿宋" w:hAnsi="仿宋" w:eastAsia="仿宋" w:cs="仿宋"/>
          <w:color w:val="auto"/>
          <w:sz w:val="28"/>
          <w:szCs w:val="28"/>
          <w:highlight w:val="none"/>
        </w:rPr>
        <w:br w:type="page"/>
      </w:r>
      <w:bookmarkStart w:id="173" w:name="_Toc29136"/>
      <w:r>
        <w:rPr>
          <w:rFonts w:hint="eastAsia" w:ascii="仿宋" w:hAnsi="仿宋" w:eastAsia="仿宋" w:cs="仿宋"/>
          <w:color w:val="auto"/>
          <w:sz w:val="28"/>
          <w:szCs w:val="28"/>
          <w:highlight w:val="none"/>
        </w:rPr>
        <w:t>磋商函</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p w14:paraId="4874F86B">
      <w:pPr>
        <w:keepNext w:val="0"/>
        <w:keepLines w:val="0"/>
        <w:pageBreakBefore w:val="0"/>
        <w:widowControl w:val="0"/>
        <w:kinsoku/>
        <w:wordWrap/>
        <w:overflowPunct/>
        <w:topLinePunct w:val="0"/>
        <w:bidi w:val="0"/>
        <w:snapToGrid/>
        <w:spacing w:after="0" w:line="500" w:lineRule="exact"/>
        <w:ind w:firstLine="482" w:firstLineChars="200"/>
        <w:jc w:val="both"/>
        <w:textAlignment w:val="auto"/>
        <w:rPr>
          <w:rFonts w:hint="eastAsia" w:ascii="仿宋" w:hAnsi="仿宋" w:eastAsia="仿宋" w:cs="仿宋"/>
          <w:b/>
          <w:bCs/>
          <w:color w:val="auto"/>
          <w:kern w:val="2"/>
          <w:sz w:val="24"/>
          <w:szCs w:val="24"/>
          <w:highlight w:val="none"/>
          <w:u w:val="single"/>
        </w:rPr>
      </w:pPr>
      <w:bookmarkStart w:id="174" w:name="_Toc531966065"/>
      <w:r>
        <w:rPr>
          <w:rFonts w:hint="eastAsia" w:ascii="仿宋" w:hAnsi="仿宋" w:eastAsia="仿宋" w:cs="仿宋"/>
          <w:b/>
          <w:bCs/>
          <w:color w:val="auto"/>
          <w:kern w:val="2"/>
          <w:sz w:val="24"/>
          <w:szCs w:val="24"/>
          <w:highlight w:val="none"/>
        </w:rPr>
        <w:t>致</w:t>
      </w:r>
      <w:r>
        <w:rPr>
          <w:rFonts w:hint="eastAsia" w:ascii="仿宋" w:hAnsi="仿宋" w:eastAsia="仿宋" w:cs="仿宋"/>
          <w:b/>
          <w:bCs/>
          <w:color w:val="auto"/>
          <w:kern w:val="2"/>
          <w:sz w:val="24"/>
          <w:szCs w:val="24"/>
          <w:highlight w:val="none"/>
          <w:lang w:eastAsia="zh-CN"/>
        </w:rPr>
        <w:t>：</w:t>
      </w:r>
      <w:r>
        <w:rPr>
          <w:rFonts w:hint="eastAsia" w:ascii="仿宋" w:hAnsi="仿宋" w:eastAsia="仿宋" w:cs="仿宋"/>
          <w:b/>
          <w:bCs/>
          <w:color w:val="auto"/>
          <w:kern w:val="2"/>
          <w:sz w:val="24"/>
          <w:szCs w:val="24"/>
          <w:highlight w:val="none"/>
          <w:u w:val="single"/>
        </w:rPr>
        <w:t>采购人名称</w:t>
      </w:r>
    </w:p>
    <w:p w14:paraId="6431EB93">
      <w:pPr>
        <w:keepNext w:val="0"/>
        <w:keepLines w:val="0"/>
        <w:pageBreakBefore w:val="0"/>
        <w:widowControl w:val="0"/>
        <w:kinsoku/>
        <w:wordWrap/>
        <w:overflowPunct/>
        <w:topLinePunct w:val="0"/>
        <w:bidi w:val="0"/>
        <w:snapToGrid/>
        <w:spacing w:after="0" w:line="500" w:lineRule="exact"/>
        <w:ind w:firstLine="480" w:firstLineChars="200"/>
        <w:jc w:val="both"/>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根据贵方项目编号为</w:t>
      </w:r>
      <w:r>
        <w:rPr>
          <w:rFonts w:hint="eastAsia" w:ascii="仿宋" w:hAnsi="仿宋" w:eastAsia="仿宋" w:cs="仿宋"/>
          <w:color w:val="auto"/>
          <w:kern w:val="2"/>
          <w:sz w:val="24"/>
          <w:szCs w:val="24"/>
          <w:highlight w:val="none"/>
          <w:u w:val="single"/>
        </w:rPr>
        <w:t>（项目编号）</w:t>
      </w:r>
      <w:r>
        <w:rPr>
          <w:rFonts w:hint="eastAsia" w:ascii="仿宋" w:hAnsi="仿宋" w:eastAsia="仿宋" w:cs="仿宋"/>
          <w:color w:val="auto"/>
          <w:kern w:val="2"/>
          <w:sz w:val="24"/>
          <w:szCs w:val="24"/>
          <w:highlight w:val="none"/>
        </w:rPr>
        <w:t>的</w:t>
      </w:r>
      <w:r>
        <w:rPr>
          <w:rFonts w:hint="eastAsia" w:ascii="仿宋" w:hAnsi="仿宋" w:eastAsia="仿宋" w:cs="仿宋"/>
          <w:color w:val="auto"/>
          <w:kern w:val="2"/>
          <w:sz w:val="24"/>
          <w:szCs w:val="24"/>
          <w:highlight w:val="none"/>
          <w:u w:val="single"/>
        </w:rPr>
        <w:t>（项目名称 ）</w:t>
      </w:r>
      <w:r>
        <w:rPr>
          <w:rFonts w:hint="eastAsia" w:ascii="仿宋" w:hAnsi="仿宋" w:eastAsia="仿宋" w:cs="仿宋"/>
          <w:color w:val="auto"/>
          <w:kern w:val="2"/>
          <w:sz w:val="24"/>
          <w:szCs w:val="24"/>
          <w:highlight w:val="none"/>
        </w:rPr>
        <w:t>的《竞争性磋商文件》，遵照《中华人民共和国政府采购法》等有关规定，经研究《竞争性磋商文件》的投标须知、合同条款、基础资料</w:t>
      </w:r>
      <w:r>
        <w:rPr>
          <w:rFonts w:hint="eastAsia" w:ascii="仿宋" w:hAnsi="仿宋" w:eastAsia="仿宋" w:cs="仿宋"/>
          <w:color w:val="auto"/>
          <w:kern w:val="2"/>
          <w:sz w:val="24"/>
          <w:szCs w:val="24"/>
          <w:highlight w:val="none"/>
          <w:lang w:eastAsia="zh-CN"/>
        </w:rPr>
        <w:t>及其他有关文件</w:t>
      </w:r>
      <w:r>
        <w:rPr>
          <w:rFonts w:hint="eastAsia" w:ascii="仿宋" w:hAnsi="仿宋" w:eastAsia="仿宋" w:cs="仿宋"/>
          <w:color w:val="auto"/>
          <w:kern w:val="2"/>
          <w:sz w:val="24"/>
          <w:szCs w:val="24"/>
          <w:highlight w:val="none"/>
        </w:rPr>
        <w:t>资料后提交本项目响应文件。</w:t>
      </w:r>
    </w:p>
    <w:p w14:paraId="4D59BA44">
      <w:pPr>
        <w:keepNext w:val="0"/>
        <w:keepLines w:val="0"/>
        <w:pageBreakBefore w:val="0"/>
        <w:widowControl w:val="0"/>
        <w:kinsoku/>
        <w:wordWrap/>
        <w:overflowPunct/>
        <w:topLinePunct w:val="0"/>
        <w:bidi w:val="0"/>
        <w:snapToGrid/>
        <w:spacing w:after="0" w:line="500" w:lineRule="exact"/>
        <w:ind w:firstLine="480" w:firstLineChars="200"/>
        <w:jc w:val="lef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在此，我公司郑重承诺：</w:t>
      </w:r>
    </w:p>
    <w:p w14:paraId="58D4F811">
      <w:pPr>
        <w:keepNext w:val="0"/>
        <w:keepLines w:val="0"/>
        <w:pageBreakBefore w:val="0"/>
        <w:widowControl w:val="0"/>
        <w:kinsoku/>
        <w:wordWrap/>
        <w:overflowPunct/>
        <w:topLinePunct w:val="0"/>
        <w:bidi w:val="0"/>
        <w:snapToGrid/>
        <w:spacing w:after="0" w:line="500" w:lineRule="exact"/>
        <w:ind w:firstLine="480" w:firstLineChars="200"/>
        <w:jc w:val="left"/>
        <w:textAlignment w:val="auto"/>
        <w:rPr>
          <w:rFonts w:hint="eastAsia" w:ascii="仿宋" w:hAnsi="仿宋" w:eastAsia="仿宋" w:cs="仿宋"/>
          <w:bCs/>
          <w:color w:val="auto"/>
          <w:kern w:val="2"/>
          <w:sz w:val="24"/>
          <w:szCs w:val="24"/>
          <w:highlight w:val="none"/>
        </w:rPr>
      </w:pPr>
      <w:r>
        <w:rPr>
          <w:rFonts w:hint="eastAsia" w:ascii="仿宋" w:hAnsi="仿宋" w:eastAsia="仿宋" w:cs="仿宋"/>
          <w:color w:val="auto"/>
          <w:kern w:val="0"/>
          <w:sz w:val="24"/>
          <w:szCs w:val="24"/>
          <w:highlight w:val="none"/>
          <w:lang w:val="en-US" w:eastAsia="zh-CN"/>
        </w:rPr>
        <w:t>1.</w:t>
      </w:r>
      <w:r>
        <w:rPr>
          <w:rFonts w:hint="eastAsia" w:ascii="仿宋" w:hAnsi="仿宋" w:eastAsia="仿宋" w:cs="仿宋"/>
          <w:color w:val="auto"/>
          <w:kern w:val="0"/>
          <w:sz w:val="24"/>
          <w:szCs w:val="24"/>
          <w:highlight w:val="none"/>
        </w:rPr>
        <w:t>我方愿意以</w:t>
      </w: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元</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lang w:val="en-US" w:eastAsia="zh-CN"/>
        </w:rPr>
        <w:t>大写：人民币</w:t>
      </w:r>
      <w:r>
        <w:rPr>
          <w:rFonts w:hint="eastAsia" w:ascii="仿宋" w:hAnsi="仿宋" w:eastAsia="仿宋" w:cs="仿宋"/>
          <w:color w:val="auto"/>
          <w:kern w:val="2"/>
          <w:sz w:val="24"/>
          <w:szCs w:val="24"/>
          <w:highlight w:val="none"/>
          <w:u w:val="single"/>
          <w:lang w:val="en-US" w:eastAsia="zh-CN"/>
        </w:rPr>
        <w:t xml:space="preserve">         </w:t>
      </w:r>
      <w:r>
        <w:rPr>
          <w:rFonts w:hint="eastAsia" w:ascii="仿宋" w:hAnsi="仿宋" w:eastAsia="仿宋" w:cs="仿宋"/>
          <w:color w:val="auto"/>
          <w:kern w:val="2"/>
          <w:sz w:val="24"/>
          <w:szCs w:val="24"/>
          <w:highlight w:val="none"/>
          <w:u w:val="none"/>
          <w:lang w:val="en-US" w:eastAsia="zh-CN"/>
        </w:rPr>
        <w:t>）</w:t>
      </w:r>
      <w:r>
        <w:rPr>
          <w:rFonts w:hint="eastAsia" w:ascii="仿宋" w:hAnsi="仿宋" w:eastAsia="仿宋" w:cs="仿宋"/>
          <w:color w:val="auto"/>
          <w:kern w:val="2"/>
          <w:sz w:val="24"/>
          <w:szCs w:val="24"/>
          <w:highlight w:val="none"/>
        </w:rPr>
        <w:t>作为我公司的首轮磋商报价（以最终磋商报价为准），保证按竞争性磋商文件的规定和响应文件的承诺，完成</w:t>
      </w:r>
      <w:r>
        <w:rPr>
          <w:rFonts w:hint="eastAsia" w:ascii="仿宋" w:hAnsi="仿宋" w:eastAsia="仿宋" w:cs="仿宋"/>
          <w:color w:val="auto"/>
          <w:kern w:val="2"/>
          <w:sz w:val="24"/>
          <w:szCs w:val="24"/>
          <w:highlight w:val="none"/>
          <w:lang w:val="en-US" w:eastAsia="zh-CN"/>
        </w:rPr>
        <w:t>富宁县人民医院提标扩能项目监理服务采购项目</w:t>
      </w:r>
      <w:r>
        <w:rPr>
          <w:rFonts w:hint="eastAsia" w:ascii="仿宋" w:hAnsi="仿宋" w:eastAsia="仿宋" w:cs="仿宋"/>
          <w:bCs/>
          <w:color w:val="auto"/>
          <w:kern w:val="2"/>
          <w:sz w:val="24"/>
          <w:szCs w:val="24"/>
          <w:highlight w:val="none"/>
        </w:rPr>
        <w:t>工作。</w:t>
      </w:r>
    </w:p>
    <w:p w14:paraId="0CAF96C1">
      <w:pPr>
        <w:keepNext w:val="0"/>
        <w:keepLines w:val="0"/>
        <w:pageBreakBefore w:val="0"/>
        <w:widowControl w:val="0"/>
        <w:kinsoku/>
        <w:wordWrap/>
        <w:overflowPunct/>
        <w:topLinePunct w:val="0"/>
        <w:bidi w:val="0"/>
        <w:snapToGrid/>
        <w:spacing w:after="0" w:line="500" w:lineRule="exact"/>
        <w:ind w:firstLine="480" w:firstLineChars="200"/>
        <w:jc w:val="lef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2.我方承诺我们的磋商报价为我公司完成本项目的真实报价。</w:t>
      </w:r>
    </w:p>
    <w:p w14:paraId="691EA0C5">
      <w:pPr>
        <w:keepNext w:val="0"/>
        <w:keepLines w:val="0"/>
        <w:pageBreakBefore w:val="0"/>
        <w:widowControl w:val="0"/>
        <w:kinsoku/>
        <w:wordWrap/>
        <w:overflowPunct/>
        <w:topLinePunct w:val="0"/>
        <w:bidi w:val="0"/>
        <w:snapToGrid/>
        <w:spacing w:after="0" w:line="500" w:lineRule="exact"/>
        <w:ind w:firstLine="480" w:firstLineChars="200"/>
        <w:jc w:val="lef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3.</w:t>
      </w:r>
      <w:r>
        <w:rPr>
          <w:rFonts w:hint="eastAsia" w:ascii="仿宋" w:hAnsi="仿宋" w:eastAsia="仿宋" w:cs="仿宋"/>
          <w:color w:val="auto"/>
          <w:kern w:val="2"/>
          <w:sz w:val="24"/>
          <w:szCs w:val="24"/>
          <w:highlight w:val="none"/>
          <w:lang w:eastAsia="zh-CN"/>
        </w:rPr>
        <w:t>合同履行期限</w:t>
      </w: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 xml:space="preserve"> 。</w:t>
      </w:r>
    </w:p>
    <w:p w14:paraId="0FD43B80">
      <w:pPr>
        <w:keepNext w:val="0"/>
        <w:keepLines w:val="0"/>
        <w:pageBreakBefore w:val="0"/>
        <w:widowControl w:val="0"/>
        <w:kinsoku/>
        <w:wordWrap/>
        <w:overflowPunct/>
        <w:topLinePunct w:val="0"/>
        <w:bidi w:val="0"/>
        <w:snapToGrid/>
        <w:spacing w:after="0" w:line="500" w:lineRule="exact"/>
        <w:ind w:firstLine="480" w:firstLineChars="200"/>
        <w:jc w:val="lef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4</w:t>
      </w: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lang w:eastAsia="zh-CN"/>
        </w:rPr>
        <w:t>服务</w:t>
      </w:r>
      <w:r>
        <w:rPr>
          <w:rFonts w:hint="eastAsia" w:ascii="仿宋" w:hAnsi="仿宋" w:eastAsia="仿宋" w:cs="仿宋"/>
          <w:color w:val="auto"/>
          <w:kern w:val="2"/>
          <w:sz w:val="24"/>
          <w:szCs w:val="24"/>
          <w:highlight w:val="none"/>
          <w:lang w:val="en-US" w:eastAsia="zh-CN"/>
        </w:rPr>
        <w:t>要求</w:t>
      </w: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 xml:space="preserve"> 。</w:t>
      </w:r>
    </w:p>
    <w:p w14:paraId="2088A0BF">
      <w:pPr>
        <w:keepNext w:val="0"/>
        <w:keepLines w:val="0"/>
        <w:pageBreakBefore w:val="0"/>
        <w:widowControl w:val="0"/>
        <w:kinsoku/>
        <w:wordWrap/>
        <w:overflowPunct/>
        <w:topLinePunct w:val="0"/>
        <w:bidi w:val="0"/>
        <w:snapToGrid/>
        <w:spacing w:after="0" w:line="500" w:lineRule="exact"/>
        <w:ind w:firstLine="480" w:firstLineChars="200"/>
        <w:jc w:val="lef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5</w:t>
      </w:r>
      <w:r>
        <w:rPr>
          <w:rFonts w:hint="eastAsia" w:ascii="仿宋" w:hAnsi="仿宋" w:eastAsia="仿宋" w:cs="仿宋"/>
          <w:color w:val="auto"/>
          <w:kern w:val="2"/>
          <w:sz w:val="24"/>
          <w:szCs w:val="24"/>
          <w:highlight w:val="none"/>
        </w:rPr>
        <w:t>.我方已详细阅读《竞争性磋商文件》，包括修改文件（如有时）及有关附件，我们完全理解并同意放弃对这方面有不明及误解的权力。</w:t>
      </w:r>
    </w:p>
    <w:p w14:paraId="2E078B95">
      <w:pPr>
        <w:keepNext w:val="0"/>
        <w:keepLines w:val="0"/>
        <w:pageBreakBefore w:val="0"/>
        <w:widowControl w:val="0"/>
        <w:kinsoku/>
        <w:wordWrap/>
        <w:overflowPunct/>
        <w:topLinePunct w:val="0"/>
        <w:bidi w:val="0"/>
        <w:snapToGrid/>
        <w:spacing w:after="0" w:line="500" w:lineRule="exact"/>
        <w:ind w:firstLine="480" w:firstLineChars="200"/>
        <w:jc w:val="lef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6</w:t>
      </w:r>
      <w:r>
        <w:rPr>
          <w:rFonts w:hint="eastAsia" w:ascii="仿宋" w:hAnsi="仿宋" w:eastAsia="仿宋" w:cs="仿宋"/>
          <w:color w:val="auto"/>
          <w:kern w:val="2"/>
          <w:sz w:val="24"/>
          <w:szCs w:val="24"/>
          <w:highlight w:val="none"/>
        </w:rPr>
        <w:t>.本投标有效期为自开标日起</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个日历天，我方同意所提交的响应文件在《竞争性磋商文件》的《投标须知前附表》中规定的投标有效期内有效，在此期间内如果中标，我方将受此约束。</w:t>
      </w:r>
    </w:p>
    <w:p w14:paraId="74DDC333">
      <w:pPr>
        <w:keepNext w:val="0"/>
        <w:keepLines w:val="0"/>
        <w:pageBreakBefore w:val="0"/>
        <w:widowControl w:val="0"/>
        <w:kinsoku/>
        <w:wordWrap/>
        <w:overflowPunct/>
        <w:topLinePunct w:val="0"/>
        <w:bidi w:val="0"/>
        <w:snapToGrid/>
        <w:spacing w:after="0" w:line="500" w:lineRule="exact"/>
        <w:ind w:firstLine="480" w:firstLineChars="200"/>
        <w:jc w:val="lef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7</w:t>
      </w:r>
      <w:r>
        <w:rPr>
          <w:rFonts w:hint="eastAsia" w:ascii="仿宋" w:hAnsi="仿宋" w:eastAsia="仿宋" w:cs="仿宋"/>
          <w:color w:val="auto"/>
          <w:kern w:val="2"/>
          <w:sz w:val="24"/>
          <w:szCs w:val="24"/>
          <w:highlight w:val="none"/>
        </w:rPr>
        <w:t>.如我方响应文件被接受，我方承诺：</w:t>
      </w:r>
    </w:p>
    <w:p w14:paraId="4B501715">
      <w:pPr>
        <w:keepNext w:val="0"/>
        <w:keepLines w:val="0"/>
        <w:pageBreakBefore w:val="0"/>
        <w:widowControl w:val="0"/>
        <w:kinsoku/>
        <w:wordWrap/>
        <w:overflowPunct/>
        <w:topLinePunct w:val="0"/>
        <w:bidi w:val="0"/>
        <w:snapToGrid/>
        <w:spacing w:after="0" w:line="500" w:lineRule="exact"/>
        <w:ind w:firstLine="480" w:firstLineChars="200"/>
        <w:jc w:val="lef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（1）在收到成交通知书后，在成交通知书规定的期限内与你方签订合同；</w:t>
      </w:r>
    </w:p>
    <w:p w14:paraId="047E5C3D">
      <w:pPr>
        <w:keepNext w:val="0"/>
        <w:keepLines w:val="0"/>
        <w:pageBreakBefore w:val="0"/>
        <w:widowControl w:val="0"/>
        <w:kinsoku/>
        <w:wordWrap/>
        <w:overflowPunct/>
        <w:topLinePunct w:val="0"/>
        <w:bidi w:val="0"/>
        <w:snapToGrid/>
        <w:spacing w:after="0" w:line="500" w:lineRule="exact"/>
        <w:ind w:firstLine="480" w:firstLineChars="200"/>
        <w:jc w:val="lef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（2）在签订合同时不向你方提出附加条件；</w:t>
      </w:r>
    </w:p>
    <w:p w14:paraId="1D93FA4B">
      <w:pPr>
        <w:keepNext w:val="0"/>
        <w:keepLines w:val="0"/>
        <w:pageBreakBefore w:val="0"/>
        <w:widowControl w:val="0"/>
        <w:kinsoku/>
        <w:wordWrap/>
        <w:overflowPunct/>
        <w:topLinePunct w:val="0"/>
        <w:bidi w:val="0"/>
        <w:snapToGrid/>
        <w:spacing w:after="0" w:line="500" w:lineRule="exact"/>
        <w:ind w:firstLine="480" w:firstLineChars="200"/>
        <w:jc w:val="lef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（3）我方将保证忠实地执行双方所</w:t>
      </w:r>
      <w:r>
        <w:rPr>
          <w:rFonts w:hint="eastAsia" w:ascii="仿宋" w:hAnsi="仿宋" w:eastAsia="仿宋" w:cs="仿宋"/>
          <w:color w:val="auto"/>
          <w:kern w:val="2"/>
          <w:sz w:val="24"/>
          <w:szCs w:val="24"/>
          <w:highlight w:val="none"/>
          <w:lang w:eastAsia="zh-CN"/>
        </w:rPr>
        <w:t>签订</w:t>
      </w:r>
      <w:r>
        <w:rPr>
          <w:rFonts w:hint="eastAsia" w:ascii="仿宋" w:hAnsi="仿宋" w:eastAsia="仿宋" w:cs="仿宋"/>
          <w:color w:val="auto"/>
          <w:kern w:val="2"/>
          <w:sz w:val="24"/>
          <w:szCs w:val="24"/>
          <w:highlight w:val="none"/>
        </w:rPr>
        <w:t>的采购合同</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保证在</w:t>
      </w:r>
      <w:r>
        <w:rPr>
          <w:rFonts w:hint="eastAsia" w:ascii="仿宋" w:hAnsi="仿宋" w:eastAsia="仿宋" w:cs="仿宋"/>
          <w:color w:val="auto"/>
          <w:kern w:val="2"/>
          <w:sz w:val="24"/>
          <w:szCs w:val="24"/>
          <w:highlight w:val="none"/>
          <w:lang w:eastAsia="zh-CN"/>
        </w:rPr>
        <w:t>合同履行期限内</w:t>
      </w:r>
      <w:r>
        <w:rPr>
          <w:rFonts w:hint="eastAsia" w:ascii="仿宋" w:hAnsi="仿宋" w:eastAsia="仿宋" w:cs="仿宋"/>
          <w:color w:val="auto"/>
          <w:kern w:val="2"/>
          <w:sz w:val="24"/>
          <w:szCs w:val="24"/>
          <w:highlight w:val="none"/>
        </w:rPr>
        <w:t>严格按照响应文件及采购人的需求，完成</w:t>
      </w:r>
      <w:r>
        <w:rPr>
          <w:rFonts w:hint="eastAsia" w:ascii="仿宋" w:hAnsi="仿宋" w:eastAsia="仿宋" w:cs="仿宋"/>
          <w:color w:val="auto"/>
          <w:kern w:val="2"/>
          <w:sz w:val="24"/>
          <w:szCs w:val="24"/>
          <w:highlight w:val="none"/>
          <w:lang w:val="en-US" w:eastAsia="zh-CN"/>
        </w:rPr>
        <w:t>富宁县人民医院提标扩能项目监理服务采购项目</w:t>
      </w:r>
      <w:r>
        <w:rPr>
          <w:rFonts w:hint="eastAsia" w:ascii="仿宋" w:hAnsi="仿宋" w:eastAsia="仿宋" w:cs="仿宋"/>
          <w:bCs/>
          <w:color w:val="auto"/>
          <w:kern w:val="2"/>
          <w:sz w:val="24"/>
          <w:szCs w:val="24"/>
          <w:highlight w:val="none"/>
        </w:rPr>
        <w:t>工作。</w:t>
      </w:r>
    </w:p>
    <w:p w14:paraId="228719A7">
      <w:pPr>
        <w:keepNext w:val="0"/>
        <w:keepLines w:val="0"/>
        <w:pageBreakBefore w:val="0"/>
        <w:widowControl w:val="0"/>
        <w:kinsoku/>
        <w:wordWrap/>
        <w:overflowPunct/>
        <w:topLinePunct w:val="0"/>
        <w:bidi w:val="0"/>
        <w:snapToGrid/>
        <w:spacing w:after="0" w:line="500" w:lineRule="exact"/>
        <w:ind w:firstLine="480" w:firstLineChars="200"/>
        <w:jc w:val="lef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lang w:val="en-US" w:eastAsia="zh-CN"/>
        </w:rPr>
        <w:t>8</w:t>
      </w: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（其他补充说明）。</w:t>
      </w:r>
    </w:p>
    <w:p w14:paraId="76F1D0C6">
      <w:pPr>
        <w:keepNext w:val="0"/>
        <w:keepLines w:val="0"/>
        <w:pageBreakBefore w:val="0"/>
        <w:widowControl w:val="0"/>
        <w:kinsoku/>
        <w:wordWrap/>
        <w:overflowPunct/>
        <w:topLinePunct w:val="0"/>
        <w:autoSpaceDE w:val="0"/>
        <w:autoSpaceDN w:val="0"/>
        <w:bidi w:val="0"/>
        <w:adjustRightInd w:val="0"/>
        <w:snapToGrid/>
        <w:spacing w:after="0" w:line="500" w:lineRule="exact"/>
        <w:ind w:firstLine="480" w:firstLineChars="200"/>
        <w:jc w:val="left"/>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与本次磋商有关的正式通讯地址为：</w:t>
      </w:r>
    </w:p>
    <w:p w14:paraId="5684AA20">
      <w:pPr>
        <w:keepNext w:val="0"/>
        <w:keepLines w:val="0"/>
        <w:pageBreakBefore w:val="0"/>
        <w:widowControl w:val="0"/>
        <w:kinsoku/>
        <w:wordWrap/>
        <w:overflowPunct/>
        <w:topLinePunct w:val="0"/>
        <w:autoSpaceDE w:val="0"/>
        <w:autoSpaceDN w:val="0"/>
        <w:bidi w:val="0"/>
        <w:adjustRightInd w:val="0"/>
        <w:snapToGrid/>
        <w:spacing w:after="0" w:line="500" w:lineRule="exact"/>
        <w:ind w:firstLine="480" w:firstLineChars="200"/>
        <w:jc w:val="left"/>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地址：</w:t>
      </w:r>
      <w:r>
        <w:rPr>
          <w:rFonts w:hint="eastAsia" w:ascii="仿宋" w:hAnsi="仿宋" w:eastAsia="仿宋" w:cs="仿宋"/>
          <w:color w:val="auto"/>
          <w:kern w:val="0"/>
          <w:sz w:val="24"/>
          <w:szCs w:val="24"/>
          <w:highlight w:val="none"/>
          <w:u w:val="single"/>
          <w:lang w:val="en-US" w:eastAsia="zh-CN" w:bidi="ar-SA"/>
        </w:rPr>
        <w:t xml:space="preserve">                              </w:t>
      </w:r>
      <w:r>
        <w:rPr>
          <w:rFonts w:hint="eastAsia" w:ascii="仿宋" w:hAnsi="仿宋" w:eastAsia="仿宋" w:cs="仿宋"/>
          <w:color w:val="auto"/>
          <w:kern w:val="0"/>
          <w:sz w:val="24"/>
          <w:szCs w:val="24"/>
          <w:highlight w:val="none"/>
          <w:lang w:val="en-US" w:eastAsia="zh-CN" w:bidi="ar-SA"/>
        </w:rPr>
        <w:t xml:space="preserve">   邮政编码：</w:t>
      </w:r>
      <w:r>
        <w:rPr>
          <w:rFonts w:hint="eastAsia" w:ascii="仿宋" w:hAnsi="仿宋" w:eastAsia="仿宋" w:cs="仿宋"/>
          <w:color w:val="auto"/>
          <w:kern w:val="0"/>
          <w:sz w:val="24"/>
          <w:szCs w:val="24"/>
          <w:highlight w:val="none"/>
          <w:u w:val="single"/>
          <w:lang w:val="en-US" w:eastAsia="zh-CN" w:bidi="ar-SA"/>
        </w:rPr>
        <w:t xml:space="preserve">             </w:t>
      </w:r>
    </w:p>
    <w:p w14:paraId="306DBDD2">
      <w:pPr>
        <w:keepNext w:val="0"/>
        <w:keepLines w:val="0"/>
        <w:pageBreakBefore w:val="0"/>
        <w:widowControl w:val="0"/>
        <w:kinsoku/>
        <w:wordWrap/>
        <w:overflowPunct/>
        <w:topLinePunct w:val="0"/>
        <w:autoSpaceDE w:val="0"/>
        <w:autoSpaceDN w:val="0"/>
        <w:bidi w:val="0"/>
        <w:adjustRightInd w:val="0"/>
        <w:snapToGrid/>
        <w:spacing w:after="0" w:line="500" w:lineRule="exact"/>
        <w:ind w:firstLine="480" w:firstLineChars="200"/>
        <w:jc w:val="left"/>
        <w:textAlignment w:val="auto"/>
        <w:rPr>
          <w:rFonts w:hint="eastAsia" w:ascii="仿宋" w:hAnsi="仿宋" w:eastAsia="仿宋" w:cs="仿宋"/>
          <w:color w:val="auto"/>
          <w:kern w:val="0"/>
          <w:sz w:val="24"/>
          <w:szCs w:val="24"/>
          <w:highlight w:val="none"/>
          <w:lang w:val="en-US" w:eastAsia="zh-CN" w:bidi="ar-SA"/>
        </w:rPr>
      </w:pPr>
      <w:r>
        <w:rPr>
          <w:rFonts w:hint="eastAsia" w:ascii="仿宋" w:hAnsi="仿宋" w:eastAsia="仿宋" w:cs="仿宋"/>
          <w:color w:val="auto"/>
          <w:kern w:val="0"/>
          <w:sz w:val="24"/>
          <w:szCs w:val="24"/>
          <w:highlight w:val="none"/>
          <w:lang w:val="en-US" w:eastAsia="zh-CN" w:bidi="ar-SA"/>
        </w:rPr>
        <w:t>电话：</w:t>
      </w:r>
      <w:r>
        <w:rPr>
          <w:rFonts w:hint="eastAsia" w:ascii="仿宋" w:hAnsi="仿宋" w:eastAsia="仿宋" w:cs="仿宋"/>
          <w:color w:val="auto"/>
          <w:kern w:val="0"/>
          <w:sz w:val="24"/>
          <w:szCs w:val="24"/>
          <w:highlight w:val="none"/>
          <w:u w:val="single"/>
          <w:lang w:val="en-US" w:eastAsia="zh-CN" w:bidi="ar-SA"/>
        </w:rPr>
        <w:t xml:space="preserve">                             </w:t>
      </w:r>
      <w:r>
        <w:rPr>
          <w:rFonts w:hint="eastAsia" w:ascii="仿宋" w:hAnsi="仿宋" w:eastAsia="仿宋" w:cs="仿宋"/>
          <w:color w:val="auto"/>
          <w:kern w:val="0"/>
          <w:sz w:val="24"/>
          <w:szCs w:val="24"/>
          <w:highlight w:val="none"/>
          <w:lang w:val="en-US" w:eastAsia="zh-CN" w:bidi="ar-SA"/>
        </w:rPr>
        <w:t xml:space="preserve">  帐    号：</w:t>
      </w:r>
      <w:r>
        <w:rPr>
          <w:rFonts w:hint="eastAsia" w:ascii="仿宋" w:hAnsi="仿宋" w:eastAsia="仿宋" w:cs="仿宋"/>
          <w:color w:val="auto"/>
          <w:kern w:val="0"/>
          <w:sz w:val="24"/>
          <w:szCs w:val="24"/>
          <w:highlight w:val="none"/>
          <w:u w:val="single"/>
          <w:lang w:val="en-US" w:eastAsia="zh-CN" w:bidi="ar-SA"/>
        </w:rPr>
        <w:t xml:space="preserve">               </w:t>
      </w:r>
      <w:r>
        <w:rPr>
          <w:rFonts w:hint="eastAsia" w:ascii="仿宋" w:hAnsi="仿宋" w:eastAsia="仿宋" w:cs="仿宋"/>
          <w:color w:val="auto"/>
          <w:kern w:val="0"/>
          <w:sz w:val="24"/>
          <w:szCs w:val="24"/>
          <w:highlight w:val="none"/>
          <w:lang w:val="en-US" w:eastAsia="zh-CN" w:bidi="ar-SA"/>
        </w:rPr>
        <w:t xml:space="preserve"> </w:t>
      </w:r>
    </w:p>
    <w:p w14:paraId="021445B8">
      <w:pPr>
        <w:keepNext w:val="0"/>
        <w:keepLines w:val="0"/>
        <w:pageBreakBefore w:val="0"/>
        <w:widowControl w:val="0"/>
        <w:kinsoku/>
        <w:wordWrap/>
        <w:overflowPunct/>
        <w:topLinePunct w:val="0"/>
        <w:autoSpaceDE w:val="0"/>
        <w:autoSpaceDN w:val="0"/>
        <w:bidi w:val="0"/>
        <w:adjustRightInd w:val="0"/>
        <w:snapToGrid/>
        <w:spacing w:after="0" w:line="500" w:lineRule="exact"/>
        <w:ind w:firstLine="480" w:firstLineChars="200"/>
        <w:jc w:val="left"/>
        <w:textAlignment w:val="auto"/>
        <w:rPr>
          <w:rFonts w:hint="eastAsia" w:ascii="仿宋" w:hAnsi="仿宋" w:eastAsia="仿宋" w:cs="仿宋"/>
          <w:color w:val="auto"/>
          <w:kern w:val="0"/>
          <w:sz w:val="24"/>
          <w:szCs w:val="24"/>
          <w:highlight w:val="none"/>
          <w:u w:val="single"/>
          <w:lang w:val="en-US" w:eastAsia="zh-CN" w:bidi="ar-SA"/>
        </w:rPr>
      </w:pPr>
      <w:r>
        <w:rPr>
          <w:rFonts w:hint="eastAsia" w:ascii="仿宋" w:hAnsi="仿宋" w:eastAsia="仿宋" w:cs="仿宋"/>
          <w:color w:val="auto"/>
          <w:kern w:val="0"/>
          <w:sz w:val="24"/>
          <w:szCs w:val="24"/>
          <w:highlight w:val="none"/>
          <w:lang w:val="en-US" w:eastAsia="zh-CN" w:bidi="ar-SA"/>
        </w:rPr>
        <w:t>开户名称：</w:t>
      </w:r>
      <w:r>
        <w:rPr>
          <w:rFonts w:hint="eastAsia" w:ascii="仿宋" w:hAnsi="仿宋" w:eastAsia="仿宋" w:cs="仿宋"/>
          <w:color w:val="auto"/>
          <w:kern w:val="0"/>
          <w:sz w:val="24"/>
          <w:szCs w:val="24"/>
          <w:highlight w:val="none"/>
          <w:u w:val="single"/>
          <w:lang w:val="en-US" w:eastAsia="zh-CN" w:bidi="ar-SA"/>
        </w:rPr>
        <w:t xml:space="preserve">                       </w:t>
      </w:r>
      <w:r>
        <w:rPr>
          <w:rFonts w:hint="eastAsia" w:ascii="仿宋" w:hAnsi="仿宋" w:eastAsia="仿宋" w:cs="仿宋"/>
          <w:color w:val="auto"/>
          <w:kern w:val="0"/>
          <w:sz w:val="24"/>
          <w:szCs w:val="24"/>
          <w:highlight w:val="none"/>
          <w:lang w:val="en-US" w:eastAsia="zh-CN" w:bidi="ar-SA"/>
        </w:rPr>
        <w:t xml:space="preserve"> 开户银行：</w:t>
      </w:r>
      <w:r>
        <w:rPr>
          <w:rFonts w:hint="eastAsia" w:ascii="仿宋" w:hAnsi="仿宋" w:eastAsia="仿宋" w:cs="仿宋"/>
          <w:color w:val="auto"/>
          <w:kern w:val="0"/>
          <w:sz w:val="24"/>
          <w:szCs w:val="24"/>
          <w:highlight w:val="none"/>
          <w:u w:val="single"/>
          <w:lang w:val="en-US" w:eastAsia="zh-CN" w:bidi="ar-SA"/>
        </w:rPr>
        <w:t xml:space="preserve">                    </w:t>
      </w:r>
    </w:p>
    <w:p w14:paraId="4F7A7679">
      <w:pPr>
        <w:keepNext w:val="0"/>
        <w:keepLines w:val="0"/>
        <w:pageBreakBefore w:val="0"/>
        <w:widowControl w:val="0"/>
        <w:kinsoku/>
        <w:wordWrap/>
        <w:overflowPunct/>
        <w:topLinePunct w:val="0"/>
        <w:bidi w:val="0"/>
        <w:snapToGrid/>
        <w:spacing w:after="0" w:line="500" w:lineRule="exact"/>
        <w:ind w:firstLine="480" w:firstLineChars="200"/>
        <w:jc w:val="left"/>
        <w:textAlignment w:val="auto"/>
        <w:rPr>
          <w:rFonts w:hint="eastAsia" w:ascii="仿宋" w:hAnsi="仿宋" w:eastAsia="仿宋" w:cs="仿宋"/>
          <w:color w:val="auto"/>
          <w:kern w:val="2"/>
          <w:sz w:val="24"/>
          <w:szCs w:val="24"/>
          <w:highlight w:val="none"/>
          <w:lang w:eastAsia="zh-CN"/>
        </w:rPr>
      </w:pPr>
      <w:r>
        <w:rPr>
          <w:rFonts w:hint="eastAsia" w:ascii="仿宋" w:hAnsi="仿宋" w:eastAsia="仿宋" w:cs="仿宋"/>
          <w:color w:val="auto"/>
          <w:kern w:val="2"/>
          <w:sz w:val="24"/>
          <w:szCs w:val="24"/>
          <w:highlight w:val="none"/>
        </w:rPr>
        <w:t>供应商（</w:t>
      </w:r>
      <w:r>
        <w:rPr>
          <w:rFonts w:hint="eastAsia" w:ascii="仿宋" w:hAnsi="仿宋" w:eastAsia="仿宋" w:cs="仿宋"/>
          <w:color w:val="auto"/>
          <w:kern w:val="2"/>
          <w:sz w:val="24"/>
          <w:szCs w:val="24"/>
          <w:highlight w:val="none"/>
          <w:lang w:val="en-US" w:eastAsia="zh-CN"/>
        </w:rPr>
        <w:t>盖单位公章</w:t>
      </w: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lang w:eastAsia="zh-CN"/>
        </w:rPr>
        <w:t>：</w:t>
      </w:r>
      <w:r>
        <w:rPr>
          <w:rFonts w:hint="eastAsia" w:ascii="仿宋" w:hAnsi="仿宋" w:eastAsia="仿宋" w:cs="仿宋"/>
          <w:color w:val="auto"/>
          <w:kern w:val="2"/>
          <w:sz w:val="24"/>
          <w:szCs w:val="24"/>
          <w:highlight w:val="none"/>
        </w:rPr>
        <w:t xml:space="preserve"> </w:t>
      </w:r>
      <w:r>
        <w:rPr>
          <w:rFonts w:hint="eastAsia" w:ascii="仿宋" w:hAnsi="仿宋" w:eastAsia="仿宋" w:cs="仿宋"/>
          <w:color w:val="auto"/>
          <w:kern w:val="2"/>
          <w:sz w:val="24"/>
          <w:szCs w:val="24"/>
          <w:highlight w:val="none"/>
          <w:u w:val="single"/>
        </w:rPr>
        <w:t xml:space="preserve">                                     </w:t>
      </w:r>
    </w:p>
    <w:p w14:paraId="278E0F0A">
      <w:pPr>
        <w:keepNext w:val="0"/>
        <w:keepLines w:val="0"/>
        <w:pageBreakBefore w:val="0"/>
        <w:widowControl w:val="0"/>
        <w:kinsoku/>
        <w:wordWrap/>
        <w:overflowPunct/>
        <w:topLinePunct w:val="0"/>
        <w:bidi w:val="0"/>
        <w:snapToGrid/>
        <w:spacing w:after="0" w:line="500" w:lineRule="exact"/>
        <w:ind w:firstLine="480" w:firstLineChars="200"/>
        <w:jc w:val="left"/>
        <w:textAlignment w:val="auto"/>
        <w:rPr>
          <w:rFonts w:hint="eastAsia" w:ascii="仿宋" w:hAnsi="仿宋" w:eastAsia="仿宋" w:cs="仿宋"/>
          <w:color w:val="auto"/>
          <w:kern w:val="2"/>
          <w:sz w:val="24"/>
          <w:szCs w:val="24"/>
          <w:highlight w:val="none"/>
          <w:u w:val="single"/>
          <w:lang w:eastAsia="zh-CN"/>
        </w:rPr>
      </w:pPr>
      <w:r>
        <w:rPr>
          <w:rFonts w:hint="eastAsia" w:ascii="仿宋" w:hAnsi="仿宋" w:eastAsia="仿宋" w:cs="仿宋"/>
          <w:color w:val="auto"/>
          <w:kern w:val="2"/>
          <w:sz w:val="24"/>
          <w:szCs w:val="24"/>
          <w:highlight w:val="none"/>
        </w:rPr>
        <w:t>法定代表人或委托代理人（</w:t>
      </w:r>
      <w:r>
        <w:rPr>
          <w:rFonts w:hint="eastAsia" w:ascii="仿宋" w:hAnsi="仿宋" w:eastAsia="仿宋" w:cs="仿宋"/>
          <w:color w:val="auto"/>
          <w:kern w:val="2"/>
          <w:sz w:val="24"/>
          <w:szCs w:val="24"/>
          <w:highlight w:val="none"/>
          <w:lang w:val="en-US" w:eastAsia="zh-CN"/>
        </w:rPr>
        <w:t>签字或盖章</w:t>
      </w:r>
      <w:r>
        <w:rPr>
          <w:rFonts w:hint="eastAsia" w:ascii="仿宋" w:hAnsi="仿宋" w:eastAsia="仿宋" w:cs="仿宋"/>
          <w:color w:val="auto"/>
          <w:kern w:val="2"/>
          <w:sz w:val="24"/>
          <w:szCs w:val="24"/>
          <w:highlight w:val="none"/>
        </w:rPr>
        <w:t>）：</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lang w:val="en-US" w:eastAsia="zh-CN"/>
        </w:rPr>
        <w:t xml:space="preserve"> </w:t>
      </w:r>
    </w:p>
    <w:p w14:paraId="1862B315">
      <w:pPr>
        <w:keepNext w:val="0"/>
        <w:keepLines w:val="0"/>
        <w:pageBreakBefore w:val="0"/>
        <w:widowControl w:val="0"/>
        <w:kinsoku/>
        <w:wordWrap/>
        <w:overflowPunct/>
        <w:topLinePunct w:val="0"/>
        <w:bidi w:val="0"/>
        <w:snapToGrid/>
        <w:spacing w:after="0" w:line="500" w:lineRule="exact"/>
        <w:ind w:firstLine="480" w:firstLineChars="200"/>
        <w:jc w:val="lef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日期：</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年</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月</w:t>
      </w:r>
      <w:r>
        <w:rPr>
          <w:rFonts w:hint="eastAsia" w:ascii="仿宋" w:hAnsi="仿宋" w:eastAsia="仿宋" w:cs="仿宋"/>
          <w:color w:val="auto"/>
          <w:kern w:val="2"/>
          <w:sz w:val="24"/>
          <w:szCs w:val="24"/>
          <w:highlight w:val="none"/>
          <w:u w:val="single"/>
        </w:rPr>
        <w:t xml:space="preserve">    </w:t>
      </w:r>
      <w:r>
        <w:rPr>
          <w:rFonts w:hint="eastAsia" w:ascii="仿宋" w:hAnsi="仿宋" w:eastAsia="仿宋" w:cs="仿宋"/>
          <w:color w:val="auto"/>
          <w:kern w:val="2"/>
          <w:sz w:val="24"/>
          <w:szCs w:val="24"/>
          <w:highlight w:val="none"/>
        </w:rPr>
        <w:t>日</w:t>
      </w:r>
    </w:p>
    <w:p w14:paraId="49BBA787">
      <w:pPr>
        <w:keepNext w:val="0"/>
        <w:keepLines w:val="0"/>
        <w:pageBreakBefore w:val="0"/>
        <w:widowControl w:val="0"/>
        <w:kinsoku/>
        <w:wordWrap/>
        <w:overflowPunct/>
        <w:topLinePunct w:val="0"/>
        <w:autoSpaceDE/>
        <w:autoSpaceDN/>
        <w:bidi w:val="0"/>
        <w:adjustRightInd/>
        <w:snapToGrid/>
        <w:spacing w:line="320" w:lineRule="exact"/>
        <w:ind w:firstLine="482" w:firstLineChars="200"/>
        <w:jc w:val="left"/>
        <w:textAlignment w:val="auto"/>
        <w:rPr>
          <w:rFonts w:hint="eastAsia" w:ascii="仿宋" w:hAnsi="仿宋" w:eastAsia="仿宋" w:cs="仿宋"/>
          <w:color w:val="auto"/>
          <w:sz w:val="24"/>
          <w:highlight w:val="none"/>
          <w:u w:val="single"/>
        </w:rPr>
      </w:pPr>
      <w:r>
        <w:rPr>
          <w:rFonts w:hint="eastAsia" w:ascii="仿宋" w:hAnsi="仿宋" w:eastAsia="仿宋" w:cs="仿宋"/>
          <w:b/>
          <w:color w:val="auto"/>
          <w:sz w:val="24"/>
          <w:highlight w:val="none"/>
        </w:rPr>
        <w:t>说明：★1. 未填写本表格的供应商将不能通过符合性审查。</w:t>
      </w:r>
    </w:p>
    <w:p w14:paraId="36224DBB">
      <w:pPr>
        <w:pStyle w:val="2"/>
        <w:keepNext w:val="0"/>
        <w:keepLines w:val="0"/>
        <w:pageBreakBefore w:val="0"/>
        <w:widowControl w:val="0"/>
        <w:kinsoku/>
        <w:wordWrap/>
        <w:overflowPunct/>
        <w:topLinePunct w:val="0"/>
        <w:bidi w:val="0"/>
        <w:snapToGrid/>
        <w:ind w:firstLine="482" w:firstLineChars="200"/>
        <w:textAlignment w:val="auto"/>
        <w:rPr>
          <w:rFonts w:hint="eastAsia" w:ascii="仿宋" w:hAnsi="仿宋" w:eastAsia="仿宋" w:cs="仿宋"/>
          <w:color w:val="auto"/>
          <w:highlight w:val="none"/>
          <w:lang w:eastAsia="zh-CN"/>
        </w:rPr>
      </w:pPr>
      <w:r>
        <w:rPr>
          <w:rFonts w:hint="eastAsia" w:ascii="仿宋" w:hAnsi="仿宋" w:eastAsia="仿宋" w:cs="仿宋"/>
          <w:b/>
          <w:color w:val="auto"/>
          <w:sz w:val="24"/>
          <w:highlight w:val="none"/>
        </w:rPr>
        <w:t xml:space="preserve">   </w:t>
      </w:r>
      <w:r>
        <w:rPr>
          <w:rFonts w:hint="eastAsia" w:ascii="仿宋" w:hAnsi="仿宋" w:eastAsia="仿宋" w:cs="仿宋"/>
          <w:b/>
          <w:color w:val="auto"/>
          <w:sz w:val="24"/>
          <w:highlight w:val="none"/>
          <w:lang w:val="en-US" w:eastAsia="zh-CN"/>
        </w:rPr>
        <w:t xml:space="preserve">    </w:t>
      </w:r>
      <w:r>
        <w:rPr>
          <w:rFonts w:hint="eastAsia" w:ascii="仿宋" w:hAnsi="仿宋" w:eastAsia="仿宋" w:cs="仿宋"/>
          <w:b/>
          <w:color w:val="auto"/>
          <w:sz w:val="24"/>
          <w:highlight w:val="none"/>
        </w:rPr>
        <w:t>2.本</w:t>
      </w:r>
      <w:r>
        <w:rPr>
          <w:rFonts w:hint="eastAsia" w:ascii="仿宋" w:hAnsi="仿宋" w:eastAsia="仿宋" w:cs="仿宋"/>
          <w:b/>
          <w:color w:val="auto"/>
          <w:sz w:val="24"/>
          <w:highlight w:val="none"/>
          <w:lang w:val="en-US" w:eastAsia="zh-CN"/>
        </w:rPr>
        <w:t>磋商</w:t>
      </w:r>
      <w:r>
        <w:rPr>
          <w:rFonts w:hint="eastAsia" w:ascii="仿宋" w:hAnsi="仿宋" w:eastAsia="仿宋" w:cs="仿宋"/>
          <w:b/>
          <w:color w:val="auto"/>
          <w:sz w:val="24"/>
          <w:highlight w:val="none"/>
        </w:rPr>
        <w:t>函内容不得擅自修改</w:t>
      </w:r>
      <w:r>
        <w:rPr>
          <w:rFonts w:hint="eastAsia" w:ascii="仿宋" w:hAnsi="仿宋" w:eastAsia="仿宋" w:cs="仿宋"/>
          <w:b/>
          <w:color w:val="auto"/>
          <w:sz w:val="24"/>
          <w:highlight w:val="none"/>
          <w:lang w:eastAsia="zh-CN"/>
        </w:rPr>
        <w:t>。</w:t>
      </w:r>
    </w:p>
    <w:p w14:paraId="36FB1364">
      <w:pPr>
        <w:keepNext w:val="0"/>
        <w:keepLines w:val="0"/>
        <w:pageBreakBefore w:val="0"/>
        <w:widowControl w:val="0"/>
        <w:kinsoku/>
        <w:wordWrap/>
        <w:overflowPunct/>
        <w:topLinePunct w:val="0"/>
        <w:bidi w:val="0"/>
        <w:snapToGrid/>
        <w:spacing w:after="0" w:line="500" w:lineRule="exact"/>
        <w:ind w:firstLine="440" w:firstLineChars="200"/>
        <w:textAlignment w:val="auto"/>
        <w:rPr>
          <w:rFonts w:hint="eastAsia" w:ascii="仿宋" w:hAnsi="仿宋" w:eastAsia="仿宋" w:cs="仿宋"/>
          <w:color w:val="auto"/>
          <w:highlight w:val="none"/>
        </w:rPr>
        <w:sectPr>
          <w:footerReference r:id="rId13" w:type="first"/>
          <w:headerReference r:id="rId11" w:type="default"/>
          <w:footerReference r:id="rId12" w:type="default"/>
          <w:pgSz w:w="11906" w:h="16838"/>
          <w:pgMar w:top="1440" w:right="1423" w:bottom="1440" w:left="1423" w:header="567" w:footer="397" w:gutter="0"/>
          <w:pgBorders>
            <w:top w:val="none" w:sz="0" w:space="0"/>
            <w:left w:val="none" w:sz="0" w:space="0"/>
            <w:bottom w:val="none" w:sz="0" w:space="0"/>
            <w:right w:val="none" w:sz="0" w:space="0"/>
          </w:pgBorders>
          <w:pgNumType w:fmt="decimal"/>
          <w:cols w:space="720" w:num="1"/>
          <w:titlePg/>
          <w:rtlGutter w:val="0"/>
          <w:docGrid w:type="lines" w:linePitch="312" w:charSpace="0"/>
        </w:sectPr>
      </w:pPr>
    </w:p>
    <w:p w14:paraId="1D390DED">
      <w:pPr>
        <w:adjustRightInd/>
        <w:snapToGrid/>
        <w:spacing w:after="0" w:line="360" w:lineRule="auto"/>
        <w:jc w:val="center"/>
        <w:outlineLvl w:val="0"/>
        <w:rPr>
          <w:rFonts w:hint="eastAsia" w:ascii="仿宋" w:hAnsi="仿宋" w:eastAsia="仿宋" w:cs="仿宋"/>
          <w:color w:val="auto"/>
          <w:sz w:val="28"/>
          <w:szCs w:val="28"/>
          <w:highlight w:val="none"/>
        </w:rPr>
      </w:pPr>
      <w:bookmarkStart w:id="175" w:name="_Toc31394"/>
      <w:bookmarkStart w:id="176" w:name="_Toc16354"/>
      <w:r>
        <w:rPr>
          <w:rFonts w:hint="eastAsia" w:ascii="仿宋" w:hAnsi="仿宋" w:eastAsia="仿宋" w:cs="仿宋"/>
          <w:b/>
          <w:color w:val="auto"/>
          <w:sz w:val="28"/>
          <w:szCs w:val="28"/>
          <w:highlight w:val="none"/>
          <w:lang w:eastAsia="zh-CN"/>
        </w:rPr>
        <w:t>二、磋商报价一览表</w:t>
      </w:r>
      <w:bookmarkEnd w:id="174"/>
      <w:bookmarkEnd w:id="175"/>
      <w:bookmarkEnd w:id="176"/>
    </w:p>
    <w:p w14:paraId="614D517D">
      <w:pPr>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项目名称：</w:t>
      </w:r>
    </w:p>
    <w:p w14:paraId="31CB6006">
      <w:pPr>
        <w:spacing w:line="360" w:lineRule="auto"/>
        <w:rPr>
          <w:rFonts w:hint="eastAsia" w:ascii="仿宋" w:hAnsi="仿宋" w:eastAsia="仿宋" w:cs="仿宋"/>
          <w:bCs/>
          <w:color w:val="auto"/>
          <w:szCs w:val="21"/>
          <w:highlight w:val="none"/>
          <w:lang w:eastAsia="zh-CN"/>
        </w:rPr>
      </w:pPr>
      <w:r>
        <w:rPr>
          <w:rFonts w:hint="eastAsia" w:ascii="仿宋" w:hAnsi="仿宋" w:eastAsia="仿宋" w:cs="仿宋"/>
          <w:bCs/>
          <w:color w:val="auto"/>
          <w:sz w:val="24"/>
          <w:szCs w:val="24"/>
          <w:highlight w:val="none"/>
        </w:rPr>
        <w:t>项目编号：</w:t>
      </w:r>
    </w:p>
    <w:tbl>
      <w:tblPr>
        <w:tblStyle w:val="23"/>
        <w:tblW w:w="88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765"/>
        <w:gridCol w:w="6097"/>
      </w:tblGrid>
      <w:tr w14:paraId="27B1F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938" w:type="dxa"/>
            <w:noWrap w:val="0"/>
            <w:vAlign w:val="center"/>
          </w:tcPr>
          <w:p w14:paraId="50B52B82">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序号</w:t>
            </w:r>
          </w:p>
        </w:tc>
        <w:tc>
          <w:tcPr>
            <w:tcW w:w="7862" w:type="dxa"/>
            <w:gridSpan w:val="2"/>
            <w:noWrap w:val="0"/>
            <w:vAlign w:val="center"/>
          </w:tcPr>
          <w:p w14:paraId="07FB200D">
            <w:pPr>
              <w:spacing w:line="360" w:lineRule="auto"/>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内容</w:t>
            </w:r>
          </w:p>
        </w:tc>
      </w:tr>
      <w:tr w14:paraId="66F3C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trPr>
        <w:tc>
          <w:tcPr>
            <w:tcW w:w="938" w:type="dxa"/>
            <w:vMerge w:val="restart"/>
            <w:noWrap w:val="0"/>
            <w:vAlign w:val="center"/>
          </w:tcPr>
          <w:p w14:paraId="09979A31">
            <w:pPr>
              <w:spacing w:line="360"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w:t>
            </w:r>
          </w:p>
        </w:tc>
        <w:tc>
          <w:tcPr>
            <w:tcW w:w="1765" w:type="dxa"/>
            <w:vMerge w:val="restart"/>
            <w:noWrap w:val="0"/>
            <w:vAlign w:val="center"/>
          </w:tcPr>
          <w:p w14:paraId="15B9F6EA">
            <w:pPr>
              <w:spacing w:line="360"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磋商报价</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元）</w:t>
            </w:r>
          </w:p>
        </w:tc>
        <w:tc>
          <w:tcPr>
            <w:tcW w:w="6097" w:type="dxa"/>
            <w:noWrap w:val="0"/>
            <w:vAlign w:val="center"/>
          </w:tcPr>
          <w:p w14:paraId="578CB67E">
            <w:pPr>
              <w:spacing w:line="360" w:lineRule="auto"/>
              <w:jc w:val="both"/>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大写</w:t>
            </w:r>
            <w:r>
              <w:rPr>
                <w:rFonts w:hint="eastAsia" w:ascii="仿宋" w:hAnsi="仿宋" w:eastAsia="仿宋" w:cs="仿宋"/>
                <w:color w:val="auto"/>
                <w:szCs w:val="21"/>
                <w:highlight w:val="none"/>
                <w:lang w:eastAsia="zh-CN"/>
              </w:rPr>
              <w:t>：</w:t>
            </w:r>
          </w:p>
        </w:tc>
      </w:tr>
      <w:tr w14:paraId="5F270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trPr>
        <w:tc>
          <w:tcPr>
            <w:tcW w:w="938" w:type="dxa"/>
            <w:vMerge w:val="continue"/>
            <w:noWrap w:val="0"/>
            <w:vAlign w:val="center"/>
          </w:tcPr>
          <w:p w14:paraId="6C6E9562">
            <w:pPr>
              <w:spacing w:line="360" w:lineRule="auto"/>
              <w:jc w:val="center"/>
              <w:rPr>
                <w:rFonts w:hint="eastAsia" w:ascii="仿宋" w:hAnsi="仿宋" w:eastAsia="仿宋" w:cs="仿宋"/>
                <w:color w:val="auto"/>
                <w:szCs w:val="21"/>
                <w:highlight w:val="none"/>
              </w:rPr>
            </w:pPr>
          </w:p>
        </w:tc>
        <w:tc>
          <w:tcPr>
            <w:tcW w:w="1765" w:type="dxa"/>
            <w:vMerge w:val="continue"/>
            <w:noWrap w:val="0"/>
            <w:vAlign w:val="center"/>
          </w:tcPr>
          <w:p w14:paraId="401131A7">
            <w:pPr>
              <w:spacing w:line="360" w:lineRule="auto"/>
              <w:jc w:val="center"/>
              <w:rPr>
                <w:rFonts w:hint="eastAsia" w:ascii="仿宋" w:hAnsi="仿宋" w:eastAsia="仿宋" w:cs="仿宋"/>
                <w:color w:val="auto"/>
                <w:szCs w:val="21"/>
                <w:highlight w:val="none"/>
              </w:rPr>
            </w:pPr>
          </w:p>
        </w:tc>
        <w:tc>
          <w:tcPr>
            <w:tcW w:w="6097" w:type="dxa"/>
            <w:noWrap w:val="0"/>
            <w:vAlign w:val="center"/>
          </w:tcPr>
          <w:p w14:paraId="7E448EFE">
            <w:pPr>
              <w:spacing w:line="360" w:lineRule="auto"/>
              <w:jc w:val="both"/>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rPr>
              <w:t>小写</w:t>
            </w:r>
            <w:r>
              <w:rPr>
                <w:rFonts w:hint="eastAsia" w:ascii="仿宋" w:hAnsi="仿宋" w:eastAsia="仿宋" w:cs="仿宋"/>
                <w:color w:val="auto"/>
                <w:szCs w:val="21"/>
                <w:highlight w:val="none"/>
                <w:lang w:eastAsia="zh-CN"/>
              </w:rPr>
              <w:t>：</w:t>
            </w:r>
          </w:p>
        </w:tc>
      </w:tr>
      <w:tr w14:paraId="3257C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 w:hRule="atLeast"/>
        </w:trPr>
        <w:tc>
          <w:tcPr>
            <w:tcW w:w="938" w:type="dxa"/>
            <w:noWrap w:val="0"/>
            <w:vAlign w:val="center"/>
          </w:tcPr>
          <w:p w14:paraId="682F5783">
            <w:pPr>
              <w:spacing w:line="360"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w:t>
            </w:r>
          </w:p>
        </w:tc>
        <w:tc>
          <w:tcPr>
            <w:tcW w:w="1765" w:type="dxa"/>
            <w:noWrap w:val="0"/>
            <w:vAlign w:val="center"/>
          </w:tcPr>
          <w:p w14:paraId="15870253">
            <w:pPr>
              <w:spacing w:line="360" w:lineRule="auto"/>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合同履行期限</w:t>
            </w:r>
          </w:p>
        </w:tc>
        <w:tc>
          <w:tcPr>
            <w:tcW w:w="6097" w:type="dxa"/>
            <w:noWrap w:val="0"/>
            <w:vAlign w:val="center"/>
          </w:tcPr>
          <w:p w14:paraId="4E3A130F">
            <w:pPr>
              <w:spacing w:line="360" w:lineRule="auto"/>
              <w:jc w:val="center"/>
              <w:rPr>
                <w:rFonts w:hint="eastAsia" w:ascii="仿宋" w:hAnsi="仿宋" w:eastAsia="仿宋" w:cs="仿宋"/>
                <w:color w:val="auto"/>
                <w:szCs w:val="21"/>
                <w:highlight w:val="none"/>
              </w:rPr>
            </w:pPr>
          </w:p>
        </w:tc>
      </w:tr>
      <w:tr w14:paraId="1D1A3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938" w:type="dxa"/>
            <w:noWrap w:val="0"/>
            <w:vAlign w:val="center"/>
          </w:tcPr>
          <w:p w14:paraId="1BA0386C">
            <w:pPr>
              <w:spacing w:line="360"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3</w:t>
            </w:r>
          </w:p>
        </w:tc>
        <w:tc>
          <w:tcPr>
            <w:tcW w:w="1765" w:type="dxa"/>
            <w:noWrap w:val="0"/>
            <w:vAlign w:val="center"/>
          </w:tcPr>
          <w:p w14:paraId="25D14612">
            <w:pPr>
              <w:spacing w:line="360"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服务标准</w:t>
            </w:r>
          </w:p>
        </w:tc>
        <w:tc>
          <w:tcPr>
            <w:tcW w:w="6097" w:type="dxa"/>
            <w:noWrap w:val="0"/>
            <w:vAlign w:val="center"/>
          </w:tcPr>
          <w:p w14:paraId="760DDEE7">
            <w:pPr>
              <w:spacing w:line="360" w:lineRule="auto"/>
              <w:jc w:val="center"/>
              <w:rPr>
                <w:rFonts w:hint="eastAsia" w:ascii="仿宋" w:hAnsi="仿宋" w:eastAsia="仿宋" w:cs="仿宋"/>
                <w:color w:val="auto"/>
                <w:szCs w:val="21"/>
                <w:highlight w:val="none"/>
              </w:rPr>
            </w:pPr>
          </w:p>
        </w:tc>
      </w:tr>
      <w:tr w14:paraId="319B3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938" w:type="dxa"/>
            <w:noWrap w:val="0"/>
            <w:vAlign w:val="center"/>
          </w:tcPr>
          <w:p w14:paraId="67262531">
            <w:pPr>
              <w:spacing w:line="360" w:lineRule="auto"/>
              <w:jc w:val="center"/>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4</w:t>
            </w:r>
          </w:p>
        </w:tc>
        <w:tc>
          <w:tcPr>
            <w:tcW w:w="1765" w:type="dxa"/>
            <w:noWrap w:val="0"/>
            <w:vAlign w:val="center"/>
          </w:tcPr>
          <w:p w14:paraId="462A7EFD">
            <w:pPr>
              <w:spacing w:line="360" w:lineRule="auto"/>
              <w:jc w:val="center"/>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eastAsia="zh-CN"/>
              </w:rPr>
              <w:t>备注</w:t>
            </w:r>
          </w:p>
        </w:tc>
        <w:tc>
          <w:tcPr>
            <w:tcW w:w="6097" w:type="dxa"/>
            <w:noWrap w:val="0"/>
            <w:vAlign w:val="center"/>
          </w:tcPr>
          <w:p w14:paraId="2A699547">
            <w:pPr>
              <w:spacing w:line="360" w:lineRule="auto"/>
              <w:jc w:val="center"/>
              <w:rPr>
                <w:rFonts w:hint="eastAsia" w:ascii="仿宋" w:hAnsi="仿宋" w:eastAsia="仿宋" w:cs="仿宋"/>
                <w:color w:val="auto"/>
                <w:szCs w:val="21"/>
                <w:highlight w:val="none"/>
              </w:rPr>
            </w:pPr>
          </w:p>
        </w:tc>
      </w:tr>
      <w:tr w14:paraId="64F08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9" w:hRule="atLeast"/>
        </w:trPr>
        <w:tc>
          <w:tcPr>
            <w:tcW w:w="8800" w:type="dxa"/>
            <w:gridSpan w:val="3"/>
            <w:noWrap w:val="0"/>
            <w:vAlign w:val="center"/>
          </w:tcPr>
          <w:p w14:paraId="17B5720B">
            <w:pPr>
              <w:spacing w:line="360" w:lineRule="auto"/>
              <w:rPr>
                <w:rFonts w:hint="eastAsia" w:ascii="仿宋" w:hAnsi="仿宋" w:eastAsia="仿宋" w:cs="仿宋"/>
                <w:color w:val="auto"/>
                <w:szCs w:val="21"/>
                <w:highlight w:val="none"/>
              </w:rPr>
            </w:pPr>
          </w:p>
          <w:p w14:paraId="3655324E">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供应商（盖</w:t>
            </w:r>
            <w:r>
              <w:rPr>
                <w:rFonts w:hint="eastAsia" w:ascii="仿宋" w:hAnsi="仿宋" w:eastAsia="仿宋" w:cs="仿宋"/>
                <w:color w:val="auto"/>
                <w:szCs w:val="21"/>
                <w:highlight w:val="none"/>
                <w:lang w:eastAsia="zh-CN"/>
              </w:rPr>
              <w:t>单位</w:t>
            </w:r>
            <w:r>
              <w:rPr>
                <w:rFonts w:hint="eastAsia" w:ascii="仿宋" w:hAnsi="仿宋" w:eastAsia="仿宋" w:cs="仿宋"/>
                <w:color w:val="auto"/>
                <w:szCs w:val="21"/>
                <w:highlight w:val="none"/>
              </w:rPr>
              <w:t xml:space="preserve">章）：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w:t>
            </w:r>
          </w:p>
          <w:p w14:paraId="05451B69">
            <w:pPr>
              <w:spacing w:line="360" w:lineRule="auto"/>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lang w:eastAsia="zh-CN"/>
              </w:rPr>
              <w:t>法定代表人或其委托代理人</w:t>
            </w:r>
            <w:r>
              <w:rPr>
                <w:rFonts w:hint="eastAsia" w:ascii="仿宋" w:hAnsi="仿宋" w:eastAsia="仿宋" w:cs="仿宋"/>
                <w:color w:val="auto"/>
                <w:szCs w:val="21"/>
                <w:highlight w:val="none"/>
              </w:rPr>
              <w:t>（盖章或签字）：</w:t>
            </w:r>
            <w:r>
              <w:rPr>
                <w:rFonts w:hint="eastAsia" w:ascii="仿宋" w:hAnsi="仿宋" w:eastAsia="仿宋" w:cs="仿宋"/>
                <w:color w:val="auto"/>
                <w:szCs w:val="21"/>
                <w:highlight w:val="none"/>
                <w:u w:val="single"/>
              </w:rPr>
              <w:t xml:space="preserve">                                    </w:t>
            </w:r>
          </w:p>
          <w:p w14:paraId="7DB8FBE0">
            <w:pPr>
              <w:spacing w:line="36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  期：</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年</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月 </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日</w:t>
            </w:r>
          </w:p>
        </w:tc>
      </w:tr>
    </w:tbl>
    <w:p w14:paraId="30DA9C24">
      <w:pPr>
        <w:rPr>
          <w:rFonts w:hint="eastAsia" w:ascii="仿宋" w:hAnsi="仿宋" w:eastAsia="仿宋" w:cs="仿宋"/>
          <w:color w:val="auto"/>
          <w:sz w:val="28"/>
          <w:szCs w:val="28"/>
          <w:highlight w:val="none"/>
          <w:lang w:eastAsia="zh-CN"/>
        </w:rPr>
      </w:pPr>
      <w:bookmarkStart w:id="177" w:name="_Toc531966067"/>
      <w:bookmarkStart w:id="178" w:name="_Toc470531298"/>
      <w:bookmarkStart w:id="179" w:name="_Toc32673"/>
      <w:r>
        <w:rPr>
          <w:rFonts w:hint="eastAsia" w:ascii="仿宋" w:hAnsi="仿宋" w:eastAsia="仿宋" w:cs="仿宋"/>
          <w:color w:val="auto"/>
          <w:sz w:val="28"/>
          <w:szCs w:val="28"/>
          <w:highlight w:val="none"/>
          <w:lang w:eastAsia="zh-CN"/>
        </w:rPr>
        <w:br w:type="page"/>
      </w:r>
    </w:p>
    <w:p w14:paraId="09E50FA3">
      <w:pPr>
        <w:pStyle w:val="5"/>
        <w:spacing w:line="360" w:lineRule="auto"/>
        <w:jc w:val="center"/>
        <w:outlineLvl w:val="0"/>
        <w:rPr>
          <w:rFonts w:hint="eastAsia" w:ascii="仿宋" w:hAnsi="仿宋" w:eastAsia="仿宋" w:cs="仿宋"/>
          <w:color w:val="auto"/>
          <w:sz w:val="28"/>
          <w:szCs w:val="28"/>
          <w:highlight w:val="none"/>
        </w:rPr>
      </w:pPr>
      <w:bookmarkStart w:id="180" w:name="_Toc12989"/>
      <w:r>
        <w:rPr>
          <w:rFonts w:hint="eastAsia" w:ascii="仿宋" w:hAnsi="仿宋" w:eastAsia="仿宋" w:cs="仿宋"/>
          <w:color w:val="auto"/>
          <w:sz w:val="28"/>
          <w:szCs w:val="28"/>
          <w:highlight w:val="none"/>
        </w:rPr>
        <w:t>三、法定代表人身份证明</w:t>
      </w:r>
      <w:bookmarkEnd w:id="177"/>
      <w:bookmarkEnd w:id="178"/>
      <w:r>
        <w:rPr>
          <w:rFonts w:hint="eastAsia" w:ascii="仿宋" w:hAnsi="仿宋" w:eastAsia="仿宋" w:cs="仿宋"/>
          <w:color w:val="auto"/>
          <w:sz w:val="28"/>
          <w:szCs w:val="28"/>
          <w:highlight w:val="none"/>
        </w:rPr>
        <w:t>书</w:t>
      </w:r>
      <w:bookmarkEnd w:id="179"/>
      <w:bookmarkEnd w:id="180"/>
    </w:p>
    <w:p w14:paraId="6B308534">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0A9CC23C">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单位性质：</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3579AB9C">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u w:val="single"/>
        </w:rPr>
        <w:t xml:space="preserve">                                   </w:t>
      </w:r>
    </w:p>
    <w:p w14:paraId="36E30479">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成立时间：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日</w:t>
      </w:r>
    </w:p>
    <w:p w14:paraId="11123E4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经营期限：</w:t>
      </w:r>
      <w:r>
        <w:rPr>
          <w:rFonts w:hint="eastAsia" w:ascii="仿宋" w:hAnsi="仿宋" w:eastAsia="仿宋" w:cs="仿宋"/>
          <w:color w:val="auto"/>
          <w:sz w:val="24"/>
          <w:szCs w:val="24"/>
          <w:highlight w:val="none"/>
          <w:u w:val="single"/>
        </w:rPr>
        <w:t xml:space="preserve">                               </w:t>
      </w:r>
    </w:p>
    <w:p w14:paraId="77EF8A89">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性别：</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年龄：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职务：</w:t>
      </w:r>
      <w:r>
        <w:rPr>
          <w:rFonts w:hint="eastAsia" w:ascii="仿宋" w:hAnsi="仿宋" w:eastAsia="仿宋" w:cs="仿宋"/>
          <w:color w:val="auto"/>
          <w:sz w:val="24"/>
          <w:szCs w:val="24"/>
          <w:highlight w:val="none"/>
          <w:u w:val="single"/>
        </w:rPr>
        <w:t xml:space="preserve">        </w:t>
      </w:r>
    </w:p>
    <w:p w14:paraId="4BCC7EFB">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系</w:t>
      </w:r>
      <w:r>
        <w:rPr>
          <w:rFonts w:hint="eastAsia" w:ascii="仿宋" w:hAnsi="仿宋" w:eastAsia="仿宋" w:cs="仿宋"/>
          <w:color w:val="auto"/>
          <w:sz w:val="24"/>
          <w:szCs w:val="24"/>
          <w:highlight w:val="none"/>
          <w:u w:val="single"/>
        </w:rPr>
        <w:t xml:space="preserve">   （供应商全称）  </w:t>
      </w:r>
      <w:r>
        <w:rPr>
          <w:rFonts w:hint="eastAsia" w:ascii="仿宋" w:hAnsi="仿宋" w:eastAsia="仿宋" w:cs="仿宋"/>
          <w:color w:val="auto"/>
          <w:sz w:val="24"/>
          <w:szCs w:val="24"/>
          <w:highlight w:val="none"/>
        </w:rPr>
        <w:t>的法定代表人。</w:t>
      </w:r>
    </w:p>
    <w:p w14:paraId="69CA48C7">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特此证明。</w:t>
      </w:r>
    </w:p>
    <w:p w14:paraId="1D86DEF2">
      <w:pPr>
        <w:spacing w:line="360" w:lineRule="auto"/>
        <w:ind w:firstLine="480" w:firstLineChars="200"/>
        <w:outlineLvl w:val="0"/>
        <w:rPr>
          <w:rFonts w:hint="eastAsia" w:ascii="仿宋" w:hAnsi="仿宋" w:eastAsia="仿宋" w:cs="仿宋"/>
          <w:color w:val="auto"/>
          <w:sz w:val="24"/>
          <w:szCs w:val="24"/>
          <w:highlight w:val="none"/>
        </w:rPr>
      </w:pPr>
      <w:bookmarkStart w:id="181" w:name="_Toc8167"/>
      <w:r>
        <w:rPr>
          <w:rFonts w:hint="eastAsia" w:ascii="仿宋" w:hAnsi="仿宋" w:eastAsia="仿宋" w:cs="仿宋"/>
          <w:color w:val="auto"/>
          <w:sz w:val="24"/>
          <w:szCs w:val="24"/>
          <w:highlight w:val="none"/>
        </w:rPr>
        <w:t>附：法定代表人身份证明</w:t>
      </w:r>
      <w:bookmarkEnd w:id="181"/>
    </w:p>
    <w:tbl>
      <w:tblPr>
        <w:tblStyle w:val="23"/>
        <w:tblW w:w="764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ayout w:type="fixed"/>
        <w:tblCellMar>
          <w:top w:w="0" w:type="dxa"/>
          <w:left w:w="108" w:type="dxa"/>
          <w:bottom w:w="0" w:type="dxa"/>
          <w:right w:w="108" w:type="dxa"/>
        </w:tblCellMar>
      </w:tblPr>
      <w:tblGrid>
        <w:gridCol w:w="7640"/>
      </w:tblGrid>
      <w:tr w14:paraId="2FDA3E76">
        <w:tblPrEx>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CellMar>
            <w:top w:w="0" w:type="dxa"/>
            <w:left w:w="108" w:type="dxa"/>
            <w:bottom w:w="0" w:type="dxa"/>
            <w:right w:w="108" w:type="dxa"/>
          </w:tblCellMar>
        </w:tblPrEx>
        <w:trPr>
          <w:trHeight w:val="2825" w:hRule="atLeast"/>
          <w:jc w:val="center"/>
        </w:trPr>
        <w:tc>
          <w:tcPr>
            <w:tcW w:w="7640" w:type="dxa"/>
            <w:noWrap w:val="0"/>
            <w:vAlign w:val="top"/>
          </w:tcPr>
          <w:p w14:paraId="60110154">
            <w:pPr>
              <w:pStyle w:val="19"/>
              <w:adjustRightInd w:val="0"/>
              <w:snapToGrid w:val="0"/>
              <w:spacing w:before="0" w:beforeAutospacing="0" w:after="0" w:afterAutospacing="0" w:line="360" w:lineRule="auto"/>
              <w:jc w:val="center"/>
              <w:outlineLvl w:val="0"/>
              <w:rPr>
                <w:rFonts w:hint="eastAsia" w:ascii="仿宋" w:hAnsi="仿宋" w:eastAsia="仿宋" w:cs="仿宋"/>
                <w:color w:val="auto"/>
                <w:highlight w:val="none"/>
              </w:rPr>
            </w:pPr>
            <w:bookmarkStart w:id="182" w:name="_Toc12398"/>
            <w:r>
              <w:rPr>
                <w:rFonts w:hint="eastAsia" w:ascii="仿宋" w:hAnsi="仿宋" w:eastAsia="仿宋" w:cs="仿宋"/>
                <w:color w:val="auto"/>
                <w:highlight w:val="none"/>
              </w:rPr>
              <w:t>法定代表人身份证复印件</w:t>
            </w:r>
            <w:bookmarkEnd w:id="182"/>
          </w:p>
        </w:tc>
      </w:tr>
    </w:tbl>
    <w:p w14:paraId="69900A31">
      <w:pPr>
        <w:spacing w:line="360" w:lineRule="auto"/>
        <w:rPr>
          <w:rFonts w:hint="eastAsia" w:ascii="仿宋" w:hAnsi="仿宋" w:eastAsia="仿宋" w:cs="仿宋"/>
          <w:color w:val="auto"/>
          <w:sz w:val="24"/>
          <w:szCs w:val="24"/>
          <w:highlight w:val="none"/>
        </w:rPr>
      </w:pPr>
    </w:p>
    <w:p w14:paraId="2191E316">
      <w:pPr>
        <w:spacing w:line="360" w:lineRule="auto"/>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供应商</w:t>
      </w:r>
      <w:r>
        <w:rPr>
          <w:rFonts w:hint="eastAsia" w:ascii="仿宋" w:hAnsi="仿宋" w:eastAsia="仿宋" w:cs="仿宋"/>
          <w:color w:val="auto"/>
          <w:sz w:val="24"/>
          <w:szCs w:val="24"/>
          <w:highlight w:val="none"/>
          <w:u w:val="none"/>
        </w:rPr>
        <w:t>（全称）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（盖单位章） </w:t>
      </w:r>
    </w:p>
    <w:p w14:paraId="55A1C086">
      <w:pPr>
        <w:spacing w:line="360" w:lineRule="auto"/>
        <w:jc w:val="right"/>
        <w:rPr>
          <w:rFonts w:hint="eastAsia" w:ascii="仿宋" w:hAnsi="仿宋" w:eastAsia="仿宋" w:cs="仿宋"/>
          <w:color w:val="auto"/>
          <w:sz w:val="28"/>
          <w:szCs w:val="28"/>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bookmarkStart w:id="183" w:name="_Toc236827508"/>
      <w:bookmarkStart w:id="184" w:name="_Toc144974861"/>
      <w:bookmarkStart w:id="185" w:name="_Toc152042581"/>
      <w:bookmarkStart w:id="186" w:name="_Toc152045792"/>
      <w:r>
        <w:rPr>
          <w:rFonts w:hint="eastAsia" w:ascii="仿宋" w:hAnsi="仿宋" w:eastAsia="仿宋" w:cs="仿宋"/>
          <w:color w:val="auto"/>
          <w:sz w:val="24"/>
          <w:szCs w:val="24"/>
          <w:highlight w:val="none"/>
        </w:rPr>
        <w:t xml:space="preserve">           </w:t>
      </w:r>
      <w:bookmarkEnd w:id="183"/>
      <w:bookmarkEnd w:id="184"/>
      <w:bookmarkEnd w:id="185"/>
      <w:bookmarkEnd w:id="186"/>
      <w:bookmarkStart w:id="187" w:name="_Toc531966068"/>
      <w:bookmarkStart w:id="188" w:name="_Toc3432"/>
      <w:bookmarkStart w:id="189" w:name="_Toc470531299"/>
    </w:p>
    <w:p w14:paraId="34DADD2C">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1C7BA0F6">
      <w:pPr>
        <w:pStyle w:val="5"/>
        <w:spacing w:line="360" w:lineRule="auto"/>
        <w:jc w:val="center"/>
        <w:outlineLvl w:val="0"/>
        <w:rPr>
          <w:rFonts w:hint="eastAsia" w:ascii="仿宋" w:hAnsi="仿宋" w:eastAsia="仿宋" w:cs="仿宋"/>
          <w:color w:val="auto"/>
          <w:sz w:val="28"/>
          <w:szCs w:val="28"/>
          <w:highlight w:val="none"/>
        </w:rPr>
      </w:pPr>
      <w:bookmarkStart w:id="190" w:name="_Toc15156"/>
      <w:r>
        <w:rPr>
          <w:rFonts w:hint="eastAsia" w:ascii="仿宋" w:hAnsi="仿宋" w:eastAsia="仿宋" w:cs="仿宋"/>
          <w:color w:val="auto"/>
          <w:sz w:val="28"/>
          <w:szCs w:val="28"/>
          <w:highlight w:val="none"/>
        </w:rPr>
        <w:t>四、授权委托书</w:t>
      </w:r>
      <w:bookmarkEnd w:id="187"/>
      <w:bookmarkEnd w:id="188"/>
      <w:bookmarkEnd w:id="189"/>
      <w:bookmarkEnd w:id="190"/>
    </w:p>
    <w:p w14:paraId="79ACF2B9">
      <w:pPr>
        <w:topLinePunct/>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本人</w:t>
      </w:r>
      <w:r>
        <w:rPr>
          <w:rFonts w:hint="eastAsia" w:ascii="仿宋" w:hAnsi="仿宋" w:eastAsia="仿宋" w:cs="仿宋"/>
          <w:color w:val="auto"/>
          <w:sz w:val="24"/>
          <w:szCs w:val="24"/>
          <w:highlight w:val="none"/>
          <w:u w:val="single"/>
        </w:rPr>
        <w:t xml:space="preserve">  （姓名）  </w:t>
      </w:r>
      <w:r>
        <w:rPr>
          <w:rFonts w:hint="eastAsia" w:ascii="仿宋" w:hAnsi="仿宋" w:eastAsia="仿宋" w:cs="仿宋"/>
          <w:color w:val="auto"/>
          <w:sz w:val="24"/>
          <w:szCs w:val="24"/>
          <w:highlight w:val="none"/>
        </w:rPr>
        <w:t>系</w:t>
      </w:r>
      <w:r>
        <w:rPr>
          <w:rFonts w:hint="eastAsia" w:ascii="仿宋" w:hAnsi="仿宋" w:eastAsia="仿宋" w:cs="仿宋"/>
          <w:color w:val="auto"/>
          <w:sz w:val="24"/>
          <w:szCs w:val="24"/>
          <w:highlight w:val="none"/>
          <w:u w:val="single"/>
        </w:rPr>
        <w:t xml:space="preserve"> （供应商全称） </w:t>
      </w:r>
      <w:r>
        <w:rPr>
          <w:rFonts w:hint="eastAsia" w:ascii="仿宋" w:hAnsi="仿宋" w:eastAsia="仿宋" w:cs="仿宋"/>
          <w:color w:val="auto"/>
          <w:sz w:val="24"/>
          <w:szCs w:val="24"/>
          <w:highlight w:val="none"/>
        </w:rPr>
        <w:t>的法定代表人，现委托</w:t>
      </w:r>
      <w:r>
        <w:rPr>
          <w:rFonts w:hint="eastAsia" w:ascii="仿宋" w:hAnsi="仿宋" w:eastAsia="仿宋" w:cs="仿宋"/>
          <w:color w:val="auto"/>
          <w:sz w:val="24"/>
          <w:szCs w:val="24"/>
          <w:highlight w:val="none"/>
          <w:u w:val="single"/>
        </w:rPr>
        <w:t xml:space="preserve">   （姓名）   </w:t>
      </w:r>
      <w:r>
        <w:rPr>
          <w:rFonts w:hint="eastAsia" w:ascii="仿宋" w:hAnsi="仿宋" w:eastAsia="仿宋" w:cs="仿宋"/>
          <w:color w:val="auto"/>
          <w:sz w:val="24"/>
          <w:szCs w:val="24"/>
          <w:highlight w:val="none"/>
        </w:rPr>
        <w:t>为我方代理人。代理人根据授权，以我方名义签署、澄清、说明、补正、递交、撤回、修改</w:t>
      </w:r>
      <w:r>
        <w:rPr>
          <w:rFonts w:hint="eastAsia" w:ascii="仿宋" w:hAnsi="仿宋" w:eastAsia="仿宋" w:cs="仿宋"/>
          <w:color w:val="auto"/>
          <w:sz w:val="24"/>
          <w:szCs w:val="24"/>
          <w:highlight w:val="none"/>
          <w:u w:val="single"/>
        </w:rPr>
        <w:t xml:space="preserve">           （项目名称）</w:t>
      </w:r>
      <w:r>
        <w:rPr>
          <w:rFonts w:hint="eastAsia" w:ascii="仿宋" w:hAnsi="仿宋" w:eastAsia="仿宋" w:cs="仿宋"/>
          <w:color w:val="auto"/>
          <w:sz w:val="24"/>
          <w:szCs w:val="24"/>
          <w:highlight w:val="none"/>
        </w:rPr>
        <w:t>磋商响应文件、签订合同和处理有关事宜，其法律后果由我方承担。</w:t>
      </w:r>
    </w:p>
    <w:p w14:paraId="3F5DA20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委托期限：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4C50420E">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代理人无转委托权。</w:t>
      </w:r>
    </w:p>
    <w:p w14:paraId="61A8D768">
      <w:pPr>
        <w:spacing w:line="360" w:lineRule="auto"/>
        <w:ind w:firstLine="480" w:firstLineChars="200"/>
        <w:outlineLvl w:val="0"/>
        <w:rPr>
          <w:rFonts w:hint="eastAsia" w:ascii="仿宋" w:hAnsi="仿宋" w:eastAsia="仿宋" w:cs="仿宋"/>
          <w:color w:val="auto"/>
          <w:sz w:val="24"/>
          <w:szCs w:val="24"/>
          <w:highlight w:val="none"/>
        </w:rPr>
      </w:pPr>
      <w:bookmarkStart w:id="191" w:name="_Toc22652"/>
      <w:r>
        <w:rPr>
          <w:rFonts w:hint="eastAsia" w:ascii="仿宋" w:hAnsi="仿宋" w:eastAsia="仿宋" w:cs="仿宋"/>
          <w:color w:val="auto"/>
          <w:sz w:val="24"/>
          <w:szCs w:val="24"/>
          <w:highlight w:val="none"/>
        </w:rPr>
        <w:t>附：被授权人身份证明</w:t>
      </w:r>
      <w:bookmarkEnd w:id="191"/>
    </w:p>
    <w:tbl>
      <w:tblPr>
        <w:tblStyle w:val="23"/>
        <w:tblW w:w="796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ayout w:type="fixed"/>
        <w:tblCellMar>
          <w:top w:w="0" w:type="dxa"/>
          <w:left w:w="108" w:type="dxa"/>
          <w:bottom w:w="0" w:type="dxa"/>
          <w:right w:w="108" w:type="dxa"/>
        </w:tblCellMar>
      </w:tblPr>
      <w:tblGrid>
        <w:gridCol w:w="7960"/>
      </w:tblGrid>
      <w:tr w14:paraId="296D61D7">
        <w:tblPrEx>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CellMar>
            <w:top w:w="0" w:type="dxa"/>
            <w:left w:w="108" w:type="dxa"/>
            <w:bottom w:w="0" w:type="dxa"/>
            <w:right w:w="108" w:type="dxa"/>
          </w:tblCellMar>
        </w:tblPrEx>
        <w:trPr>
          <w:trHeight w:val="2974" w:hRule="atLeast"/>
          <w:jc w:val="center"/>
        </w:trPr>
        <w:tc>
          <w:tcPr>
            <w:tcW w:w="7960" w:type="dxa"/>
            <w:noWrap w:val="0"/>
            <w:vAlign w:val="top"/>
          </w:tcPr>
          <w:p w14:paraId="71532EF3">
            <w:pPr>
              <w:pStyle w:val="19"/>
              <w:adjustRightInd w:val="0"/>
              <w:snapToGrid w:val="0"/>
              <w:spacing w:before="0" w:beforeAutospacing="0" w:after="0" w:afterAutospacing="0"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t>委托代理人身份证复印件</w:t>
            </w:r>
          </w:p>
        </w:tc>
      </w:tr>
    </w:tbl>
    <w:p w14:paraId="5CA49BB3">
      <w:pPr>
        <w:spacing w:line="360" w:lineRule="auto"/>
        <w:ind w:firstLine="2640" w:firstLineChars="1100"/>
        <w:rPr>
          <w:rFonts w:hint="eastAsia" w:ascii="仿宋" w:hAnsi="仿宋" w:eastAsia="仿宋" w:cs="仿宋"/>
          <w:color w:val="auto"/>
          <w:sz w:val="24"/>
          <w:szCs w:val="24"/>
          <w:highlight w:val="none"/>
        </w:rPr>
      </w:pPr>
    </w:p>
    <w:p w14:paraId="11ACC247">
      <w:pPr>
        <w:spacing w:line="360" w:lineRule="auto"/>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none"/>
        </w:rPr>
        <w:t>供应商（全称）</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（盖单位章）            </w:t>
      </w:r>
    </w:p>
    <w:p w14:paraId="2C57EA5B">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w:t>
      </w:r>
      <w:r>
        <w:rPr>
          <w:rFonts w:hint="eastAsia" w:ascii="仿宋" w:hAnsi="仿宋" w:eastAsia="仿宋" w:cs="仿宋"/>
          <w:color w:val="auto"/>
          <w:sz w:val="24"/>
          <w:szCs w:val="24"/>
          <w:highlight w:val="none"/>
          <w:u w:val="single"/>
        </w:rPr>
        <w:t xml:space="preserve">              （签名）            </w:t>
      </w:r>
    </w:p>
    <w:p w14:paraId="275A76E2">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身份证号码：</w:t>
      </w:r>
      <w:r>
        <w:rPr>
          <w:rFonts w:hint="eastAsia" w:ascii="仿宋" w:hAnsi="仿宋" w:eastAsia="仿宋" w:cs="仿宋"/>
          <w:color w:val="auto"/>
          <w:sz w:val="24"/>
          <w:szCs w:val="24"/>
          <w:highlight w:val="none"/>
          <w:u w:val="single"/>
        </w:rPr>
        <w:t xml:space="preserve">                                     </w:t>
      </w:r>
    </w:p>
    <w:p w14:paraId="5CD2603A">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委托代理人：</w:t>
      </w:r>
      <w:r>
        <w:rPr>
          <w:rFonts w:hint="eastAsia" w:ascii="仿宋" w:hAnsi="仿宋" w:eastAsia="仿宋" w:cs="仿宋"/>
          <w:color w:val="auto"/>
          <w:sz w:val="24"/>
          <w:szCs w:val="24"/>
          <w:highlight w:val="none"/>
          <w:u w:val="single"/>
        </w:rPr>
        <w:t xml:space="preserve">                （签名）          </w:t>
      </w:r>
    </w:p>
    <w:p w14:paraId="581DFAF8">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身份证号码：</w:t>
      </w:r>
      <w:r>
        <w:rPr>
          <w:rFonts w:hint="eastAsia" w:ascii="仿宋" w:hAnsi="仿宋" w:eastAsia="仿宋" w:cs="仿宋"/>
          <w:color w:val="auto"/>
          <w:sz w:val="24"/>
          <w:szCs w:val="24"/>
          <w:highlight w:val="none"/>
          <w:u w:val="single"/>
        </w:rPr>
        <w:t xml:space="preserve">                                      </w:t>
      </w:r>
    </w:p>
    <w:p w14:paraId="42A3AE3C">
      <w:pPr>
        <w:spacing w:line="360" w:lineRule="auto"/>
        <w:ind w:firstLine="5640" w:firstLineChars="23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23C72F96">
      <w:pPr>
        <w:spacing w:line="360" w:lineRule="auto"/>
        <w:rPr>
          <w:rFonts w:hint="eastAsia" w:ascii="仿宋" w:hAnsi="仿宋" w:eastAsia="仿宋" w:cs="仿宋"/>
          <w:color w:val="auto"/>
          <w:sz w:val="28"/>
          <w:szCs w:val="28"/>
          <w:highlight w:val="none"/>
        </w:rPr>
      </w:pPr>
      <w:bookmarkStart w:id="192" w:name="_Toc470531300"/>
      <w:bookmarkStart w:id="193" w:name="_Toc531966069"/>
    </w:p>
    <w:bookmarkEnd w:id="192"/>
    <w:bookmarkEnd w:id="193"/>
    <w:p w14:paraId="10B5C970">
      <w:pPr>
        <w:spacing w:line="360" w:lineRule="auto"/>
        <w:rPr>
          <w:rFonts w:hint="eastAsia" w:ascii="仿宋" w:hAnsi="仿宋" w:eastAsia="仿宋" w:cs="仿宋"/>
          <w:b/>
          <w:caps/>
          <w:color w:val="auto"/>
          <w:sz w:val="24"/>
          <w:szCs w:val="24"/>
          <w:highlight w:val="none"/>
        </w:rPr>
      </w:pPr>
    </w:p>
    <w:p w14:paraId="7F93B17E">
      <w:pPr>
        <w:pStyle w:val="5"/>
        <w:bidi w:val="0"/>
        <w:spacing w:line="360" w:lineRule="auto"/>
        <w:jc w:val="center"/>
        <w:outlineLvl w:val="0"/>
        <w:rPr>
          <w:rFonts w:hint="eastAsia" w:ascii="仿宋" w:hAnsi="仿宋" w:eastAsia="仿宋" w:cs="仿宋"/>
          <w:color w:val="auto"/>
          <w:sz w:val="28"/>
          <w:szCs w:val="36"/>
          <w:highlight w:val="none"/>
        </w:rPr>
      </w:pPr>
      <w:bookmarkStart w:id="194" w:name="_Toc26357"/>
      <w:bookmarkStart w:id="195" w:name="_Toc12232"/>
      <w:bookmarkStart w:id="196" w:name="_Toc470531312"/>
      <w:r>
        <w:rPr>
          <w:rFonts w:hint="eastAsia" w:ascii="仿宋" w:hAnsi="仿宋" w:eastAsia="仿宋" w:cs="仿宋"/>
          <w:color w:val="auto"/>
          <w:sz w:val="32"/>
          <w:szCs w:val="32"/>
          <w:highlight w:val="none"/>
          <w:lang w:val="en-US" w:eastAsia="zh-CN"/>
        </w:rPr>
        <w:t>五、</w:t>
      </w:r>
      <w:bookmarkEnd w:id="194"/>
      <w:bookmarkStart w:id="197" w:name="_Toc31580"/>
      <w:r>
        <w:rPr>
          <w:rFonts w:hint="eastAsia" w:ascii="仿宋" w:hAnsi="仿宋" w:eastAsia="仿宋" w:cs="仿宋"/>
          <w:color w:val="auto"/>
          <w:sz w:val="28"/>
          <w:szCs w:val="36"/>
          <w:highlight w:val="none"/>
        </w:rPr>
        <w:t>资格审查资料</w:t>
      </w:r>
      <w:bookmarkEnd w:id="195"/>
      <w:bookmarkEnd w:id="197"/>
    </w:p>
    <w:p w14:paraId="6AB8C13F">
      <w:pPr>
        <w:pStyle w:val="3"/>
        <w:spacing w:line="360" w:lineRule="auto"/>
        <w:jc w:val="center"/>
        <w:outlineLvl w:val="1"/>
        <w:rPr>
          <w:rFonts w:hint="eastAsia" w:ascii="仿宋" w:hAnsi="仿宋" w:eastAsia="仿宋" w:cs="仿宋"/>
          <w:color w:val="auto"/>
          <w:sz w:val="24"/>
          <w:szCs w:val="24"/>
          <w:highlight w:val="none"/>
        </w:rPr>
      </w:pPr>
      <w:bookmarkStart w:id="198" w:name="_Toc30500"/>
      <w:bookmarkStart w:id="199" w:name="_Toc531966072"/>
      <w:bookmarkStart w:id="200" w:name="_Toc234382978"/>
      <w:bookmarkStart w:id="201" w:name="_Toc3600"/>
      <w:bookmarkStart w:id="202" w:name="_Toc9383"/>
      <w:bookmarkStart w:id="203" w:name="_Toc536534341"/>
      <w:bookmarkStart w:id="204" w:name="_Toc536534071"/>
      <w:bookmarkStart w:id="205" w:name="_Toc28966"/>
      <w:bookmarkStart w:id="206" w:name="_Toc14766"/>
      <w:r>
        <w:rPr>
          <w:rFonts w:hint="eastAsia" w:ascii="仿宋" w:hAnsi="仿宋" w:eastAsia="仿宋" w:cs="仿宋"/>
          <w:color w:val="auto"/>
          <w:sz w:val="24"/>
          <w:szCs w:val="24"/>
          <w:highlight w:val="none"/>
        </w:rPr>
        <w:t>（一）</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基本情况表</w:t>
      </w:r>
      <w:bookmarkEnd w:id="198"/>
      <w:bookmarkEnd w:id="199"/>
      <w:bookmarkEnd w:id="200"/>
      <w:bookmarkEnd w:id="201"/>
      <w:bookmarkEnd w:id="202"/>
      <w:bookmarkEnd w:id="203"/>
      <w:bookmarkEnd w:id="204"/>
      <w:bookmarkEnd w:id="205"/>
      <w:bookmarkEnd w:id="206"/>
    </w:p>
    <w:tbl>
      <w:tblPr>
        <w:tblStyle w:val="23"/>
        <w:tblpPr w:leftFromText="180" w:rightFromText="180" w:vertAnchor="text" w:horzAnchor="page" w:tblpX="912" w:tblpY="201"/>
        <w:tblW w:w="98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3"/>
        <w:gridCol w:w="3153"/>
        <w:gridCol w:w="1009"/>
        <w:gridCol w:w="1701"/>
        <w:gridCol w:w="1615"/>
      </w:tblGrid>
      <w:tr w14:paraId="02047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2373" w:type="dxa"/>
            <w:noWrap w:val="0"/>
            <w:vAlign w:val="center"/>
          </w:tcPr>
          <w:p w14:paraId="698681CA">
            <w:pPr>
              <w:pStyle w:val="11"/>
              <w:spacing w:line="360" w:lineRule="auto"/>
              <w:jc w:val="center"/>
              <w:rPr>
                <w:rFonts w:hint="eastAsia" w:ascii="仿宋" w:hAnsi="仿宋" w:eastAsia="仿宋" w:cs="仿宋"/>
                <w:color w:val="auto"/>
                <w:sz w:val="24"/>
                <w:szCs w:val="24"/>
                <w:highlight w:val="none"/>
              </w:rPr>
            </w:pPr>
            <w:bookmarkStart w:id="207" w:name="_Toc301186278"/>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名称：</w:t>
            </w:r>
          </w:p>
        </w:tc>
        <w:tc>
          <w:tcPr>
            <w:tcW w:w="7478" w:type="dxa"/>
            <w:gridSpan w:val="4"/>
            <w:noWrap w:val="0"/>
            <w:vAlign w:val="top"/>
          </w:tcPr>
          <w:p w14:paraId="7D218727">
            <w:pPr>
              <w:pStyle w:val="11"/>
              <w:spacing w:line="360" w:lineRule="auto"/>
              <w:jc w:val="center"/>
              <w:rPr>
                <w:rFonts w:hint="eastAsia" w:ascii="仿宋" w:hAnsi="仿宋" w:eastAsia="仿宋" w:cs="仿宋"/>
                <w:color w:val="auto"/>
                <w:sz w:val="24"/>
                <w:szCs w:val="24"/>
                <w:highlight w:val="none"/>
              </w:rPr>
            </w:pPr>
          </w:p>
        </w:tc>
      </w:tr>
      <w:tr w14:paraId="2A8B3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2373" w:type="dxa"/>
            <w:noWrap w:val="0"/>
            <w:vAlign w:val="center"/>
          </w:tcPr>
          <w:p w14:paraId="6DAE0935">
            <w:pPr>
              <w:pStyle w:val="11"/>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统一社会信用代码：</w:t>
            </w:r>
          </w:p>
        </w:tc>
        <w:tc>
          <w:tcPr>
            <w:tcW w:w="7478" w:type="dxa"/>
            <w:gridSpan w:val="4"/>
            <w:noWrap w:val="0"/>
            <w:vAlign w:val="top"/>
          </w:tcPr>
          <w:p w14:paraId="12042C99">
            <w:pPr>
              <w:pStyle w:val="11"/>
              <w:spacing w:line="360" w:lineRule="auto"/>
              <w:jc w:val="center"/>
              <w:rPr>
                <w:rFonts w:hint="eastAsia" w:ascii="仿宋" w:hAnsi="仿宋" w:eastAsia="仿宋" w:cs="仿宋"/>
                <w:color w:val="auto"/>
                <w:sz w:val="24"/>
                <w:szCs w:val="24"/>
                <w:highlight w:val="none"/>
              </w:rPr>
            </w:pPr>
          </w:p>
        </w:tc>
      </w:tr>
      <w:tr w14:paraId="74611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2373" w:type="dxa"/>
            <w:noWrap w:val="0"/>
            <w:vAlign w:val="center"/>
          </w:tcPr>
          <w:p w14:paraId="35B76CB6">
            <w:pPr>
              <w:pStyle w:val="11"/>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法定代表人姓名：</w:t>
            </w:r>
          </w:p>
        </w:tc>
        <w:tc>
          <w:tcPr>
            <w:tcW w:w="7478" w:type="dxa"/>
            <w:gridSpan w:val="4"/>
            <w:noWrap w:val="0"/>
            <w:vAlign w:val="top"/>
          </w:tcPr>
          <w:p w14:paraId="5B6699F5">
            <w:pPr>
              <w:pStyle w:val="11"/>
              <w:spacing w:line="360" w:lineRule="auto"/>
              <w:jc w:val="center"/>
              <w:rPr>
                <w:rFonts w:hint="eastAsia" w:ascii="仿宋" w:hAnsi="仿宋" w:eastAsia="仿宋" w:cs="仿宋"/>
                <w:color w:val="auto"/>
                <w:sz w:val="24"/>
                <w:szCs w:val="24"/>
                <w:highlight w:val="none"/>
              </w:rPr>
            </w:pPr>
          </w:p>
        </w:tc>
      </w:tr>
      <w:tr w14:paraId="3546C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2373" w:type="dxa"/>
            <w:noWrap w:val="0"/>
            <w:vAlign w:val="center"/>
          </w:tcPr>
          <w:p w14:paraId="52B5729D">
            <w:pPr>
              <w:pStyle w:val="11"/>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开户银行：</w:t>
            </w:r>
          </w:p>
        </w:tc>
        <w:tc>
          <w:tcPr>
            <w:tcW w:w="3153" w:type="dxa"/>
            <w:noWrap w:val="0"/>
            <w:vAlign w:val="top"/>
          </w:tcPr>
          <w:p w14:paraId="73C7461D">
            <w:pPr>
              <w:pStyle w:val="11"/>
              <w:spacing w:line="360" w:lineRule="auto"/>
              <w:jc w:val="center"/>
              <w:rPr>
                <w:rFonts w:hint="eastAsia" w:ascii="仿宋" w:hAnsi="仿宋" w:eastAsia="仿宋" w:cs="仿宋"/>
                <w:color w:val="auto"/>
                <w:sz w:val="24"/>
                <w:szCs w:val="24"/>
                <w:highlight w:val="none"/>
              </w:rPr>
            </w:pPr>
          </w:p>
        </w:tc>
        <w:tc>
          <w:tcPr>
            <w:tcW w:w="1009" w:type="dxa"/>
            <w:noWrap w:val="0"/>
            <w:vAlign w:val="center"/>
          </w:tcPr>
          <w:p w14:paraId="43F7D6C7">
            <w:pPr>
              <w:pStyle w:val="11"/>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账号：</w:t>
            </w:r>
          </w:p>
        </w:tc>
        <w:tc>
          <w:tcPr>
            <w:tcW w:w="3316" w:type="dxa"/>
            <w:gridSpan w:val="2"/>
            <w:noWrap w:val="0"/>
            <w:vAlign w:val="top"/>
          </w:tcPr>
          <w:p w14:paraId="457854CD">
            <w:pPr>
              <w:pStyle w:val="11"/>
              <w:spacing w:line="360" w:lineRule="auto"/>
              <w:jc w:val="center"/>
              <w:rPr>
                <w:rFonts w:hint="eastAsia" w:ascii="仿宋" w:hAnsi="仿宋" w:eastAsia="仿宋" w:cs="仿宋"/>
                <w:color w:val="auto"/>
                <w:sz w:val="24"/>
                <w:szCs w:val="24"/>
                <w:highlight w:val="none"/>
              </w:rPr>
            </w:pPr>
          </w:p>
        </w:tc>
      </w:tr>
      <w:tr w14:paraId="3F494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2373" w:type="dxa"/>
            <w:noWrap w:val="0"/>
            <w:vAlign w:val="center"/>
          </w:tcPr>
          <w:p w14:paraId="527A5801">
            <w:pPr>
              <w:pStyle w:val="11"/>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注册资金： </w:t>
            </w:r>
          </w:p>
        </w:tc>
        <w:tc>
          <w:tcPr>
            <w:tcW w:w="3153" w:type="dxa"/>
            <w:noWrap w:val="0"/>
            <w:vAlign w:val="top"/>
          </w:tcPr>
          <w:p w14:paraId="344F9B62">
            <w:pPr>
              <w:pStyle w:val="11"/>
              <w:spacing w:line="360" w:lineRule="auto"/>
              <w:jc w:val="center"/>
              <w:rPr>
                <w:rFonts w:hint="eastAsia" w:ascii="仿宋" w:hAnsi="仿宋" w:eastAsia="仿宋" w:cs="仿宋"/>
                <w:color w:val="auto"/>
                <w:sz w:val="24"/>
                <w:szCs w:val="24"/>
                <w:highlight w:val="none"/>
              </w:rPr>
            </w:pPr>
          </w:p>
        </w:tc>
        <w:tc>
          <w:tcPr>
            <w:tcW w:w="2710" w:type="dxa"/>
            <w:gridSpan w:val="2"/>
            <w:noWrap w:val="0"/>
            <w:vAlign w:val="center"/>
          </w:tcPr>
          <w:p w14:paraId="68DEB9CA">
            <w:pPr>
              <w:pStyle w:val="11"/>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邮政编码：</w:t>
            </w:r>
          </w:p>
        </w:tc>
        <w:tc>
          <w:tcPr>
            <w:tcW w:w="1615" w:type="dxa"/>
            <w:noWrap w:val="0"/>
            <w:vAlign w:val="top"/>
          </w:tcPr>
          <w:p w14:paraId="313ADF9A">
            <w:pPr>
              <w:pStyle w:val="11"/>
              <w:spacing w:line="360" w:lineRule="auto"/>
              <w:jc w:val="center"/>
              <w:rPr>
                <w:rFonts w:hint="eastAsia" w:ascii="仿宋" w:hAnsi="仿宋" w:eastAsia="仿宋" w:cs="仿宋"/>
                <w:color w:val="auto"/>
                <w:sz w:val="24"/>
                <w:szCs w:val="24"/>
                <w:highlight w:val="none"/>
              </w:rPr>
            </w:pPr>
          </w:p>
        </w:tc>
      </w:tr>
      <w:tr w14:paraId="0FE81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2373" w:type="dxa"/>
            <w:noWrap w:val="0"/>
            <w:vAlign w:val="center"/>
          </w:tcPr>
          <w:p w14:paraId="1E76633B">
            <w:pPr>
              <w:pStyle w:val="11"/>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公司成立日期： </w:t>
            </w:r>
          </w:p>
        </w:tc>
        <w:tc>
          <w:tcPr>
            <w:tcW w:w="3153" w:type="dxa"/>
            <w:noWrap w:val="0"/>
            <w:vAlign w:val="top"/>
          </w:tcPr>
          <w:p w14:paraId="50DAA260">
            <w:pPr>
              <w:pStyle w:val="11"/>
              <w:spacing w:line="360" w:lineRule="auto"/>
              <w:jc w:val="center"/>
              <w:rPr>
                <w:rFonts w:hint="eastAsia" w:ascii="仿宋" w:hAnsi="仿宋" w:eastAsia="仿宋" w:cs="仿宋"/>
                <w:color w:val="auto"/>
                <w:sz w:val="24"/>
                <w:szCs w:val="24"/>
                <w:highlight w:val="none"/>
              </w:rPr>
            </w:pPr>
          </w:p>
        </w:tc>
        <w:tc>
          <w:tcPr>
            <w:tcW w:w="2710" w:type="dxa"/>
            <w:gridSpan w:val="2"/>
            <w:noWrap w:val="0"/>
            <w:vAlign w:val="center"/>
          </w:tcPr>
          <w:p w14:paraId="6E210446">
            <w:pPr>
              <w:pStyle w:val="11"/>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企业网站网址（如有）：</w:t>
            </w:r>
          </w:p>
        </w:tc>
        <w:tc>
          <w:tcPr>
            <w:tcW w:w="1615" w:type="dxa"/>
            <w:noWrap w:val="0"/>
            <w:vAlign w:val="top"/>
          </w:tcPr>
          <w:p w14:paraId="7B321C2C">
            <w:pPr>
              <w:pStyle w:val="11"/>
              <w:spacing w:line="360" w:lineRule="auto"/>
              <w:jc w:val="center"/>
              <w:rPr>
                <w:rFonts w:hint="eastAsia" w:ascii="仿宋" w:hAnsi="仿宋" w:eastAsia="仿宋" w:cs="仿宋"/>
                <w:color w:val="auto"/>
                <w:sz w:val="24"/>
                <w:szCs w:val="24"/>
                <w:highlight w:val="none"/>
              </w:rPr>
            </w:pPr>
          </w:p>
        </w:tc>
      </w:tr>
      <w:tr w14:paraId="58C68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2373" w:type="dxa"/>
            <w:noWrap w:val="0"/>
            <w:vAlign w:val="center"/>
          </w:tcPr>
          <w:p w14:paraId="261D0044">
            <w:pPr>
              <w:pStyle w:val="11"/>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企业电话：</w:t>
            </w:r>
          </w:p>
        </w:tc>
        <w:tc>
          <w:tcPr>
            <w:tcW w:w="3153" w:type="dxa"/>
            <w:noWrap w:val="0"/>
            <w:vAlign w:val="top"/>
          </w:tcPr>
          <w:p w14:paraId="4D411AF2">
            <w:pPr>
              <w:pStyle w:val="11"/>
              <w:spacing w:line="360" w:lineRule="auto"/>
              <w:jc w:val="center"/>
              <w:rPr>
                <w:rFonts w:hint="eastAsia" w:ascii="仿宋" w:hAnsi="仿宋" w:eastAsia="仿宋" w:cs="仿宋"/>
                <w:color w:val="auto"/>
                <w:sz w:val="24"/>
                <w:szCs w:val="24"/>
                <w:highlight w:val="none"/>
              </w:rPr>
            </w:pPr>
          </w:p>
        </w:tc>
        <w:tc>
          <w:tcPr>
            <w:tcW w:w="2710" w:type="dxa"/>
            <w:gridSpan w:val="2"/>
            <w:noWrap w:val="0"/>
            <w:vAlign w:val="center"/>
          </w:tcPr>
          <w:p w14:paraId="25C3FF0F">
            <w:pPr>
              <w:pStyle w:val="11"/>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通讯地址：</w:t>
            </w:r>
          </w:p>
        </w:tc>
        <w:tc>
          <w:tcPr>
            <w:tcW w:w="1615" w:type="dxa"/>
            <w:noWrap w:val="0"/>
            <w:vAlign w:val="top"/>
          </w:tcPr>
          <w:p w14:paraId="01215870">
            <w:pPr>
              <w:pStyle w:val="11"/>
              <w:spacing w:line="360" w:lineRule="auto"/>
              <w:jc w:val="center"/>
              <w:rPr>
                <w:rFonts w:hint="eastAsia" w:ascii="仿宋" w:hAnsi="仿宋" w:eastAsia="仿宋" w:cs="仿宋"/>
                <w:color w:val="auto"/>
                <w:sz w:val="24"/>
                <w:szCs w:val="24"/>
                <w:highlight w:val="none"/>
              </w:rPr>
            </w:pPr>
          </w:p>
        </w:tc>
      </w:tr>
      <w:tr w14:paraId="22790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trPr>
        <w:tc>
          <w:tcPr>
            <w:tcW w:w="2373" w:type="dxa"/>
            <w:noWrap w:val="0"/>
            <w:vAlign w:val="center"/>
          </w:tcPr>
          <w:p w14:paraId="1E90B210">
            <w:pPr>
              <w:pStyle w:val="11"/>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公司简介：</w:t>
            </w:r>
          </w:p>
        </w:tc>
        <w:tc>
          <w:tcPr>
            <w:tcW w:w="7478" w:type="dxa"/>
            <w:gridSpan w:val="4"/>
            <w:noWrap w:val="0"/>
            <w:vAlign w:val="top"/>
          </w:tcPr>
          <w:p w14:paraId="6F857E80">
            <w:pPr>
              <w:pStyle w:val="11"/>
              <w:spacing w:line="360" w:lineRule="auto"/>
              <w:jc w:val="center"/>
              <w:rPr>
                <w:rFonts w:hint="eastAsia" w:ascii="仿宋" w:hAnsi="仿宋" w:eastAsia="仿宋" w:cs="仿宋"/>
                <w:color w:val="auto"/>
                <w:sz w:val="24"/>
                <w:szCs w:val="24"/>
                <w:highlight w:val="none"/>
              </w:rPr>
            </w:pPr>
          </w:p>
        </w:tc>
      </w:tr>
      <w:tr w14:paraId="50350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6" w:hRule="atLeast"/>
        </w:trPr>
        <w:tc>
          <w:tcPr>
            <w:tcW w:w="2373" w:type="dxa"/>
            <w:noWrap w:val="0"/>
            <w:vAlign w:val="center"/>
          </w:tcPr>
          <w:p w14:paraId="47AFEBEC">
            <w:pPr>
              <w:pStyle w:val="11"/>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经营范围：</w:t>
            </w:r>
          </w:p>
        </w:tc>
        <w:tc>
          <w:tcPr>
            <w:tcW w:w="7478" w:type="dxa"/>
            <w:gridSpan w:val="4"/>
            <w:noWrap w:val="0"/>
            <w:vAlign w:val="top"/>
          </w:tcPr>
          <w:p w14:paraId="62D09C9F">
            <w:pPr>
              <w:pStyle w:val="11"/>
              <w:spacing w:line="360" w:lineRule="auto"/>
              <w:jc w:val="center"/>
              <w:rPr>
                <w:rFonts w:hint="eastAsia" w:ascii="仿宋" w:hAnsi="仿宋" w:eastAsia="仿宋" w:cs="仿宋"/>
                <w:color w:val="auto"/>
                <w:sz w:val="24"/>
                <w:szCs w:val="24"/>
                <w:highlight w:val="none"/>
              </w:rPr>
            </w:pPr>
          </w:p>
        </w:tc>
      </w:tr>
      <w:tr w14:paraId="2868A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373" w:type="dxa"/>
            <w:noWrap w:val="0"/>
            <w:vAlign w:val="center"/>
          </w:tcPr>
          <w:p w14:paraId="30C3C1AB">
            <w:pPr>
              <w:pStyle w:val="11"/>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其他说明：</w:t>
            </w:r>
          </w:p>
        </w:tc>
        <w:tc>
          <w:tcPr>
            <w:tcW w:w="7478" w:type="dxa"/>
            <w:gridSpan w:val="4"/>
            <w:noWrap w:val="0"/>
            <w:vAlign w:val="top"/>
          </w:tcPr>
          <w:p w14:paraId="33115A4E">
            <w:pPr>
              <w:pStyle w:val="11"/>
              <w:spacing w:line="360" w:lineRule="auto"/>
              <w:jc w:val="center"/>
              <w:rPr>
                <w:rFonts w:hint="eastAsia" w:ascii="仿宋" w:hAnsi="仿宋" w:eastAsia="仿宋" w:cs="仿宋"/>
                <w:color w:val="auto"/>
                <w:sz w:val="24"/>
                <w:szCs w:val="24"/>
                <w:highlight w:val="none"/>
              </w:rPr>
            </w:pPr>
          </w:p>
        </w:tc>
      </w:tr>
      <w:bookmarkEnd w:id="207"/>
    </w:tbl>
    <w:p w14:paraId="565F31D8">
      <w:pPr>
        <w:spacing w:line="360" w:lineRule="auto"/>
        <w:rPr>
          <w:rFonts w:hint="eastAsia" w:ascii="仿宋" w:hAnsi="仿宋" w:eastAsia="仿宋" w:cs="仿宋"/>
          <w:b/>
          <w:color w:val="auto"/>
          <w:sz w:val="24"/>
          <w:szCs w:val="24"/>
          <w:highlight w:val="none"/>
        </w:rPr>
      </w:pPr>
      <w:bookmarkStart w:id="208" w:name="_Toc234382979"/>
      <w:r>
        <w:rPr>
          <w:rFonts w:hint="eastAsia" w:ascii="仿宋" w:hAnsi="仿宋" w:eastAsia="仿宋" w:cs="仿宋"/>
          <w:b/>
          <w:caps/>
          <w:color w:val="auto"/>
          <w:sz w:val="24"/>
          <w:szCs w:val="24"/>
          <w:highlight w:val="none"/>
        </w:rPr>
        <w:t>注：本表</w:t>
      </w:r>
      <w:r>
        <w:rPr>
          <w:rFonts w:hint="eastAsia" w:ascii="仿宋" w:hAnsi="仿宋" w:eastAsia="仿宋" w:cs="仿宋"/>
          <w:b/>
          <w:caps/>
          <w:color w:val="auto"/>
          <w:sz w:val="24"/>
          <w:szCs w:val="24"/>
          <w:highlight w:val="none"/>
          <w:lang w:eastAsia="zh-CN"/>
        </w:rPr>
        <w:t>后</w:t>
      </w:r>
      <w:r>
        <w:rPr>
          <w:rFonts w:hint="eastAsia" w:ascii="仿宋" w:hAnsi="仿宋" w:eastAsia="仿宋" w:cs="仿宋"/>
          <w:b/>
          <w:caps/>
          <w:color w:val="auto"/>
          <w:sz w:val="24"/>
          <w:szCs w:val="24"/>
          <w:highlight w:val="none"/>
        </w:rPr>
        <w:t>应附</w:t>
      </w:r>
      <w:r>
        <w:rPr>
          <w:rFonts w:hint="eastAsia" w:ascii="仿宋" w:hAnsi="仿宋" w:eastAsia="仿宋" w:cs="仿宋"/>
          <w:b/>
          <w:caps/>
          <w:color w:val="auto"/>
          <w:sz w:val="24"/>
          <w:szCs w:val="24"/>
          <w:highlight w:val="none"/>
          <w:lang w:eastAsia="zh-CN"/>
        </w:rPr>
        <w:t>供应商</w:t>
      </w:r>
      <w:r>
        <w:rPr>
          <w:rFonts w:hint="eastAsia" w:ascii="仿宋" w:hAnsi="仿宋" w:eastAsia="仿宋" w:cs="仿宋"/>
          <w:b/>
          <w:caps/>
          <w:color w:val="auto"/>
          <w:sz w:val="24"/>
          <w:szCs w:val="24"/>
          <w:highlight w:val="none"/>
        </w:rPr>
        <w:t>有效的营业执照复印件并加盖</w:t>
      </w:r>
      <w:r>
        <w:rPr>
          <w:rFonts w:hint="eastAsia" w:ascii="仿宋" w:hAnsi="仿宋" w:eastAsia="仿宋" w:cs="仿宋"/>
          <w:b/>
          <w:caps/>
          <w:color w:val="auto"/>
          <w:sz w:val="24"/>
          <w:szCs w:val="24"/>
          <w:highlight w:val="none"/>
          <w:lang w:eastAsia="zh-CN"/>
        </w:rPr>
        <w:t>供应商</w:t>
      </w:r>
      <w:r>
        <w:rPr>
          <w:rFonts w:hint="eastAsia" w:ascii="仿宋" w:hAnsi="仿宋" w:eastAsia="仿宋" w:cs="仿宋"/>
          <w:b/>
          <w:caps/>
          <w:color w:val="auto"/>
          <w:sz w:val="24"/>
          <w:szCs w:val="24"/>
          <w:highlight w:val="none"/>
        </w:rPr>
        <w:t>公章。</w:t>
      </w:r>
    </w:p>
    <w:bookmarkEnd w:id="208"/>
    <w:p w14:paraId="588F070C">
      <w:pPr>
        <w:spacing w:line="360" w:lineRule="auto"/>
        <w:jc w:val="left"/>
        <w:rPr>
          <w:rFonts w:hint="eastAsia" w:ascii="仿宋" w:hAnsi="仿宋" w:eastAsia="仿宋" w:cs="仿宋"/>
          <w:color w:val="auto"/>
          <w:szCs w:val="21"/>
          <w:highlight w:val="none"/>
        </w:rPr>
      </w:pPr>
    </w:p>
    <w:p w14:paraId="3FE0DF1D">
      <w:pPr>
        <w:spacing w:line="360" w:lineRule="auto"/>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供应商（盖</w:t>
      </w:r>
      <w:r>
        <w:rPr>
          <w:rFonts w:hint="eastAsia" w:ascii="仿宋" w:hAnsi="仿宋" w:eastAsia="仿宋" w:cs="仿宋"/>
          <w:color w:val="auto"/>
          <w:sz w:val="24"/>
          <w:szCs w:val="24"/>
          <w:highlight w:val="none"/>
          <w:lang w:eastAsia="zh-CN"/>
        </w:rPr>
        <w:t>单位</w:t>
      </w:r>
      <w:r>
        <w:rPr>
          <w:rFonts w:hint="eastAsia" w:ascii="仿宋" w:hAnsi="仿宋" w:eastAsia="仿宋" w:cs="仿宋"/>
          <w:color w:val="auto"/>
          <w:sz w:val="24"/>
          <w:szCs w:val="24"/>
          <w:highlight w:val="none"/>
        </w:rPr>
        <w:t xml:space="preserve">章）：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1E80B192">
      <w:pPr>
        <w:spacing w:line="360" w:lineRule="auto"/>
        <w:jc w:val="lef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lang w:eastAsia="zh-CN"/>
        </w:rPr>
        <w:t>法定代表人或其委托代理人</w:t>
      </w:r>
      <w:r>
        <w:rPr>
          <w:rFonts w:hint="eastAsia" w:ascii="仿宋" w:hAnsi="仿宋" w:eastAsia="仿宋" w:cs="仿宋"/>
          <w:color w:val="auto"/>
          <w:sz w:val="24"/>
          <w:szCs w:val="24"/>
          <w:highlight w:val="none"/>
        </w:rPr>
        <w:t>（盖章或签字）：</w:t>
      </w:r>
      <w:r>
        <w:rPr>
          <w:rFonts w:hint="eastAsia" w:ascii="仿宋" w:hAnsi="仿宋" w:eastAsia="仿宋" w:cs="仿宋"/>
          <w:color w:val="auto"/>
          <w:sz w:val="24"/>
          <w:szCs w:val="24"/>
          <w:highlight w:val="none"/>
          <w:u w:val="single"/>
        </w:rPr>
        <w:t xml:space="preserve">                               </w:t>
      </w:r>
    </w:p>
    <w:p w14:paraId="46A8FF8D">
      <w:pPr>
        <w:spacing w:line="360" w:lineRule="auto"/>
        <w:jc w:val="lef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月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日</w:t>
      </w:r>
    </w:p>
    <w:p w14:paraId="25D130BA">
      <w:pPr>
        <w:rPr>
          <w:rFonts w:hint="eastAsia" w:ascii="仿宋" w:hAnsi="仿宋" w:eastAsia="仿宋" w:cs="仿宋"/>
          <w:b/>
          <w:bCs/>
          <w:color w:val="auto"/>
          <w:sz w:val="28"/>
          <w:szCs w:val="28"/>
          <w:highlight w:val="none"/>
          <w:lang w:eastAsia="zh-CN"/>
        </w:rPr>
      </w:pPr>
      <w:bookmarkStart w:id="209" w:name="_Toc32050"/>
      <w:bookmarkStart w:id="210" w:name="_Toc15718"/>
      <w:r>
        <w:rPr>
          <w:rFonts w:hint="eastAsia" w:ascii="仿宋" w:hAnsi="仿宋" w:eastAsia="仿宋" w:cs="仿宋"/>
          <w:b/>
          <w:bCs/>
          <w:color w:val="auto"/>
          <w:sz w:val="28"/>
          <w:szCs w:val="28"/>
          <w:highlight w:val="none"/>
          <w:lang w:eastAsia="zh-CN"/>
        </w:rPr>
        <w:br w:type="page"/>
      </w:r>
    </w:p>
    <w:p w14:paraId="6466FD56">
      <w:pPr>
        <w:jc w:val="center"/>
        <w:outlineLvl w:val="1"/>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二</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资格审查资料</w:t>
      </w:r>
      <w:bookmarkEnd w:id="209"/>
    </w:p>
    <w:p w14:paraId="3E84A2E9">
      <w:pPr>
        <w:jc w:val="center"/>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w:t>
      </w:r>
      <w:r>
        <w:rPr>
          <w:rFonts w:hint="eastAsia" w:ascii="仿宋" w:hAnsi="仿宋" w:eastAsia="仿宋" w:cs="仿宋"/>
          <w:b w:val="0"/>
          <w:bCs w:val="0"/>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eastAsia="zh-CN"/>
        </w:rPr>
        <w:t>根据“</w:t>
      </w:r>
      <w:r>
        <w:rPr>
          <w:rFonts w:hint="eastAsia" w:ascii="仿宋" w:hAnsi="仿宋" w:eastAsia="仿宋" w:cs="仿宋"/>
          <w:b w:val="0"/>
          <w:bCs w:val="0"/>
          <w:color w:val="auto"/>
          <w:sz w:val="24"/>
          <w:szCs w:val="24"/>
          <w:highlight w:val="none"/>
          <w:lang w:val="en-US" w:eastAsia="zh-CN"/>
        </w:rPr>
        <w:t xml:space="preserve">第三章 </w:t>
      </w:r>
      <w:r>
        <w:rPr>
          <w:rFonts w:hint="eastAsia" w:ascii="仿宋" w:hAnsi="仿宋" w:eastAsia="仿宋" w:cs="仿宋"/>
          <w:b w:val="0"/>
          <w:bCs w:val="0"/>
          <w:color w:val="auto"/>
          <w:sz w:val="24"/>
          <w:szCs w:val="24"/>
          <w:highlight w:val="none"/>
          <w:lang w:eastAsia="zh-CN"/>
        </w:rPr>
        <w:t>评审办法</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lang w:eastAsia="zh-CN"/>
        </w:rPr>
        <w:t>评审</w:t>
      </w:r>
      <w:r>
        <w:rPr>
          <w:rFonts w:hint="eastAsia" w:ascii="仿宋" w:hAnsi="仿宋" w:eastAsia="仿宋" w:cs="仿宋"/>
          <w:b w:val="0"/>
          <w:bCs w:val="0"/>
          <w:color w:val="auto"/>
          <w:sz w:val="24"/>
          <w:szCs w:val="24"/>
          <w:highlight w:val="none"/>
          <w:lang w:val="en-US" w:eastAsia="zh-CN"/>
        </w:rPr>
        <w:t>办法</w:t>
      </w:r>
      <w:r>
        <w:rPr>
          <w:rFonts w:hint="eastAsia" w:ascii="仿宋" w:hAnsi="仿宋" w:eastAsia="仿宋" w:cs="仿宋"/>
          <w:b w:val="0"/>
          <w:bCs w:val="0"/>
          <w:color w:val="auto"/>
          <w:sz w:val="24"/>
          <w:szCs w:val="24"/>
          <w:highlight w:val="none"/>
          <w:lang w:eastAsia="zh-CN"/>
        </w:rPr>
        <w:t>前附表</w:t>
      </w:r>
      <w:r>
        <w:rPr>
          <w:rFonts w:hint="eastAsia" w:ascii="仿宋" w:hAnsi="仿宋" w:eastAsia="仿宋" w:cs="仿宋"/>
          <w:b w:val="0"/>
          <w:bCs w:val="0"/>
          <w:color w:val="auto"/>
          <w:sz w:val="24"/>
          <w:szCs w:val="24"/>
          <w:highlight w:val="none"/>
          <w:lang w:val="en-US" w:eastAsia="zh-CN"/>
        </w:rPr>
        <w:t xml:space="preserve"> 资格性评审标准</w:t>
      </w:r>
      <w:r>
        <w:rPr>
          <w:rFonts w:hint="eastAsia" w:ascii="仿宋" w:hAnsi="仿宋" w:eastAsia="仿宋" w:cs="仿宋"/>
          <w:b w:val="0"/>
          <w:bCs w:val="0"/>
          <w:color w:val="auto"/>
          <w:sz w:val="24"/>
          <w:szCs w:val="24"/>
          <w:highlight w:val="none"/>
          <w:lang w:eastAsia="zh-CN"/>
        </w:rPr>
        <w:t>”要求的</w:t>
      </w:r>
      <w:r>
        <w:rPr>
          <w:rFonts w:hint="eastAsia" w:ascii="仿宋" w:hAnsi="仿宋" w:eastAsia="仿宋" w:cs="仿宋"/>
          <w:b w:val="0"/>
          <w:bCs w:val="0"/>
          <w:color w:val="auto"/>
          <w:sz w:val="24"/>
          <w:szCs w:val="24"/>
          <w:highlight w:val="none"/>
          <w:lang w:val="en-US" w:eastAsia="zh-CN"/>
        </w:rPr>
        <w:t>内容</w:t>
      </w:r>
      <w:r>
        <w:rPr>
          <w:rFonts w:hint="eastAsia" w:ascii="仿宋" w:hAnsi="仿宋" w:eastAsia="仿宋" w:cs="仿宋"/>
          <w:b w:val="0"/>
          <w:bCs w:val="0"/>
          <w:color w:val="auto"/>
          <w:sz w:val="24"/>
          <w:szCs w:val="24"/>
          <w:highlight w:val="none"/>
          <w:lang w:eastAsia="zh-CN"/>
        </w:rPr>
        <w:t>自行提供，格式自拟）</w:t>
      </w:r>
    </w:p>
    <w:p w14:paraId="4670B616">
      <w:pPr>
        <w:rPr>
          <w:rFonts w:hint="eastAsia" w:ascii="仿宋" w:hAnsi="仿宋" w:eastAsia="仿宋" w:cs="仿宋"/>
          <w:color w:val="auto"/>
          <w:sz w:val="28"/>
          <w:szCs w:val="28"/>
          <w:highlight w:val="none"/>
          <w:lang w:val="en-US" w:eastAsia="zh-CN"/>
        </w:rPr>
      </w:pPr>
    </w:p>
    <w:p w14:paraId="5D6ED94F">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6330FB34">
      <w:pPr>
        <w:pStyle w:val="5"/>
        <w:spacing w:line="360" w:lineRule="auto"/>
        <w:jc w:val="center"/>
        <w:outlineLvl w:val="0"/>
        <w:rPr>
          <w:rFonts w:hint="eastAsia" w:ascii="仿宋" w:hAnsi="仿宋" w:eastAsia="仿宋" w:cs="仿宋"/>
          <w:color w:val="auto"/>
          <w:sz w:val="28"/>
          <w:szCs w:val="28"/>
          <w:highlight w:val="none"/>
          <w:lang w:val="en-US" w:eastAsia="zh-CN"/>
        </w:rPr>
      </w:pPr>
      <w:bookmarkStart w:id="211" w:name="_Toc6092"/>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rPr>
        <w:t>、</w:t>
      </w:r>
      <w:bookmarkEnd w:id="210"/>
      <w:r>
        <w:rPr>
          <w:rFonts w:hint="eastAsia" w:ascii="仿宋" w:hAnsi="仿宋" w:eastAsia="仿宋" w:cs="仿宋"/>
          <w:color w:val="auto"/>
          <w:sz w:val="28"/>
          <w:szCs w:val="28"/>
          <w:highlight w:val="none"/>
          <w:lang w:val="en-US" w:eastAsia="zh-CN"/>
        </w:rPr>
        <w:t>技术部分</w:t>
      </w:r>
      <w:bookmarkEnd w:id="211"/>
    </w:p>
    <w:bookmarkEnd w:id="196"/>
    <w:p w14:paraId="377473FD">
      <w:pPr>
        <w:pStyle w:val="34"/>
        <w:spacing w:line="360" w:lineRule="auto"/>
        <w:rPr>
          <w:rFonts w:hint="eastAsia" w:ascii="仿宋" w:hAnsi="仿宋" w:eastAsia="仿宋" w:cs="仿宋"/>
          <w:b/>
          <w:color w:val="auto"/>
          <w:kern w:val="2"/>
          <w:sz w:val="24"/>
          <w:szCs w:val="24"/>
          <w:highlight w:val="none"/>
        </w:rPr>
      </w:pPr>
    </w:p>
    <w:p w14:paraId="2FF4C5E4">
      <w:pPr>
        <w:pStyle w:val="34"/>
        <w:spacing w:line="360" w:lineRule="auto"/>
        <w:ind w:left="0" w:leftChars="0" w:firstLine="0" w:firstLineChars="0"/>
        <w:rPr>
          <w:rFonts w:hint="eastAsia" w:ascii="仿宋" w:hAnsi="仿宋" w:eastAsia="仿宋" w:cs="仿宋"/>
          <w:b/>
          <w:color w:val="auto"/>
          <w:kern w:val="2"/>
          <w:sz w:val="24"/>
          <w:szCs w:val="24"/>
          <w:highlight w:val="none"/>
          <w:lang w:val="en-US" w:eastAsia="zh-CN"/>
        </w:rPr>
      </w:pPr>
      <w:r>
        <w:rPr>
          <w:rFonts w:hint="eastAsia" w:ascii="仿宋" w:hAnsi="仿宋" w:eastAsia="仿宋" w:cs="仿宋"/>
          <w:b/>
          <w:color w:val="auto"/>
          <w:kern w:val="2"/>
          <w:sz w:val="24"/>
          <w:szCs w:val="24"/>
          <w:highlight w:val="none"/>
          <w:lang w:val="en-US" w:eastAsia="zh-CN"/>
        </w:rPr>
        <w:t xml:space="preserve">注：供应商按照竞争性磋商文件的内容及评审办法的要求自行编制，格式自拟。 </w:t>
      </w:r>
    </w:p>
    <w:p w14:paraId="398D25DD">
      <w:pPr>
        <w:pStyle w:val="34"/>
        <w:spacing w:line="360" w:lineRule="auto"/>
        <w:rPr>
          <w:rFonts w:hint="eastAsia" w:ascii="仿宋" w:hAnsi="仿宋" w:eastAsia="仿宋" w:cs="仿宋"/>
          <w:b/>
          <w:color w:val="auto"/>
          <w:kern w:val="2"/>
          <w:sz w:val="24"/>
          <w:szCs w:val="24"/>
          <w:highlight w:val="none"/>
        </w:rPr>
      </w:pPr>
    </w:p>
    <w:p w14:paraId="4C204886">
      <w:pPr>
        <w:pStyle w:val="34"/>
        <w:spacing w:line="360" w:lineRule="auto"/>
        <w:rPr>
          <w:rFonts w:hint="eastAsia" w:ascii="仿宋" w:hAnsi="仿宋" w:eastAsia="仿宋" w:cs="仿宋"/>
          <w:b/>
          <w:color w:val="auto"/>
          <w:kern w:val="2"/>
          <w:sz w:val="24"/>
          <w:szCs w:val="24"/>
          <w:highlight w:val="none"/>
        </w:rPr>
      </w:pPr>
    </w:p>
    <w:p w14:paraId="6CBDE7EC">
      <w:pPr>
        <w:pStyle w:val="34"/>
        <w:spacing w:line="360" w:lineRule="auto"/>
        <w:rPr>
          <w:rFonts w:hint="eastAsia" w:ascii="仿宋" w:hAnsi="仿宋" w:eastAsia="仿宋" w:cs="仿宋"/>
          <w:b/>
          <w:color w:val="auto"/>
          <w:kern w:val="2"/>
          <w:sz w:val="24"/>
          <w:szCs w:val="24"/>
          <w:highlight w:val="none"/>
        </w:rPr>
      </w:pPr>
    </w:p>
    <w:p w14:paraId="635A55BE">
      <w:pPr>
        <w:pStyle w:val="34"/>
        <w:spacing w:line="360" w:lineRule="auto"/>
        <w:rPr>
          <w:rFonts w:hint="eastAsia" w:ascii="仿宋" w:hAnsi="仿宋" w:eastAsia="仿宋" w:cs="仿宋"/>
          <w:b/>
          <w:color w:val="auto"/>
          <w:kern w:val="2"/>
          <w:sz w:val="24"/>
          <w:szCs w:val="24"/>
          <w:highlight w:val="none"/>
        </w:rPr>
      </w:pPr>
    </w:p>
    <w:p w14:paraId="01C1E143">
      <w:pPr>
        <w:pStyle w:val="34"/>
        <w:spacing w:line="360" w:lineRule="auto"/>
        <w:rPr>
          <w:rFonts w:hint="eastAsia" w:ascii="仿宋" w:hAnsi="仿宋" w:eastAsia="仿宋" w:cs="仿宋"/>
          <w:b/>
          <w:color w:val="auto"/>
          <w:kern w:val="2"/>
          <w:sz w:val="24"/>
          <w:szCs w:val="24"/>
          <w:highlight w:val="none"/>
        </w:rPr>
      </w:pPr>
    </w:p>
    <w:p w14:paraId="065C2EA1">
      <w:pPr>
        <w:pStyle w:val="34"/>
        <w:spacing w:line="360" w:lineRule="auto"/>
        <w:rPr>
          <w:rFonts w:hint="eastAsia" w:ascii="仿宋" w:hAnsi="仿宋" w:eastAsia="仿宋" w:cs="仿宋"/>
          <w:b/>
          <w:color w:val="auto"/>
          <w:kern w:val="2"/>
          <w:sz w:val="24"/>
          <w:szCs w:val="24"/>
          <w:highlight w:val="none"/>
        </w:rPr>
      </w:pPr>
    </w:p>
    <w:p w14:paraId="4CA3F43D">
      <w:pPr>
        <w:pStyle w:val="34"/>
        <w:spacing w:line="360" w:lineRule="auto"/>
        <w:rPr>
          <w:rFonts w:hint="eastAsia" w:ascii="仿宋" w:hAnsi="仿宋" w:eastAsia="仿宋" w:cs="仿宋"/>
          <w:b/>
          <w:color w:val="auto"/>
          <w:kern w:val="2"/>
          <w:sz w:val="24"/>
          <w:szCs w:val="24"/>
          <w:highlight w:val="none"/>
        </w:rPr>
      </w:pPr>
    </w:p>
    <w:p w14:paraId="236E7AD8">
      <w:pPr>
        <w:pStyle w:val="34"/>
        <w:spacing w:line="360" w:lineRule="auto"/>
        <w:rPr>
          <w:rFonts w:hint="eastAsia" w:ascii="仿宋" w:hAnsi="仿宋" w:eastAsia="仿宋" w:cs="仿宋"/>
          <w:b/>
          <w:color w:val="auto"/>
          <w:kern w:val="2"/>
          <w:sz w:val="24"/>
          <w:szCs w:val="24"/>
          <w:highlight w:val="none"/>
        </w:rPr>
      </w:pPr>
    </w:p>
    <w:p w14:paraId="44351926">
      <w:pPr>
        <w:pStyle w:val="34"/>
        <w:spacing w:line="360" w:lineRule="auto"/>
        <w:rPr>
          <w:rFonts w:hint="eastAsia" w:ascii="仿宋" w:hAnsi="仿宋" w:eastAsia="仿宋" w:cs="仿宋"/>
          <w:b/>
          <w:color w:val="auto"/>
          <w:kern w:val="2"/>
          <w:sz w:val="24"/>
          <w:szCs w:val="24"/>
          <w:highlight w:val="none"/>
        </w:rPr>
      </w:pPr>
    </w:p>
    <w:p w14:paraId="2D1B8DA5">
      <w:pPr>
        <w:spacing w:line="360" w:lineRule="auto"/>
        <w:jc w:val="center"/>
        <w:outlineLvl w:val="0"/>
        <w:rPr>
          <w:rFonts w:hint="eastAsia" w:ascii="仿宋" w:hAnsi="仿宋" w:eastAsia="仿宋" w:cs="仿宋"/>
          <w:b/>
          <w:color w:val="auto"/>
          <w:kern w:val="2"/>
          <w:sz w:val="28"/>
          <w:szCs w:val="28"/>
          <w:highlight w:val="none"/>
          <w:lang w:val="en-US" w:eastAsia="zh-CN"/>
        </w:rPr>
      </w:pPr>
      <w:bookmarkStart w:id="212" w:name="_Toc15932"/>
    </w:p>
    <w:p w14:paraId="3B53BD91">
      <w:pPr>
        <w:spacing w:line="360" w:lineRule="auto"/>
        <w:jc w:val="center"/>
        <w:outlineLvl w:val="0"/>
        <w:rPr>
          <w:rFonts w:hint="eastAsia" w:ascii="仿宋" w:hAnsi="仿宋" w:eastAsia="仿宋" w:cs="仿宋"/>
          <w:b/>
          <w:color w:val="auto"/>
          <w:kern w:val="2"/>
          <w:sz w:val="28"/>
          <w:szCs w:val="28"/>
          <w:highlight w:val="none"/>
          <w:lang w:val="en-US" w:eastAsia="zh-CN"/>
        </w:rPr>
      </w:pPr>
      <w:r>
        <w:rPr>
          <w:rFonts w:hint="eastAsia" w:ascii="仿宋" w:hAnsi="仿宋" w:eastAsia="仿宋" w:cs="仿宋"/>
          <w:b/>
          <w:color w:val="auto"/>
          <w:kern w:val="2"/>
          <w:sz w:val="28"/>
          <w:szCs w:val="28"/>
          <w:highlight w:val="none"/>
          <w:lang w:val="en-US" w:eastAsia="zh-CN"/>
        </w:rPr>
        <w:br w:type="textWrapping"/>
      </w:r>
    </w:p>
    <w:p w14:paraId="21977553">
      <w:pPr>
        <w:spacing w:line="360" w:lineRule="auto"/>
        <w:jc w:val="center"/>
        <w:outlineLvl w:val="0"/>
        <w:rPr>
          <w:rFonts w:hint="eastAsia" w:ascii="仿宋" w:hAnsi="仿宋" w:eastAsia="仿宋" w:cs="仿宋"/>
          <w:b/>
          <w:color w:val="auto"/>
          <w:kern w:val="2"/>
          <w:sz w:val="28"/>
          <w:szCs w:val="28"/>
          <w:highlight w:val="none"/>
          <w:lang w:val="en-US" w:eastAsia="zh-CN"/>
        </w:rPr>
      </w:pPr>
    </w:p>
    <w:p w14:paraId="1F8CD80B">
      <w:pPr>
        <w:spacing w:line="360" w:lineRule="auto"/>
        <w:jc w:val="center"/>
        <w:outlineLvl w:val="0"/>
        <w:rPr>
          <w:rFonts w:hint="eastAsia" w:ascii="仿宋" w:hAnsi="仿宋" w:eastAsia="仿宋" w:cs="仿宋"/>
          <w:b/>
          <w:color w:val="auto"/>
          <w:kern w:val="2"/>
          <w:sz w:val="28"/>
          <w:szCs w:val="28"/>
          <w:highlight w:val="none"/>
          <w:lang w:val="en-US" w:eastAsia="zh-CN"/>
        </w:rPr>
      </w:pPr>
    </w:p>
    <w:p w14:paraId="28586FFB">
      <w:pPr>
        <w:spacing w:line="360" w:lineRule="auto"/>
        <w:jc w:val="center"/>
        <w:outlineLvl w:val="0"/>
        <w:rPr>
          <w:rFonts w:hint="eastAsia" w:ascii="仿宋" w:hAnsi="仿宋" w:eastAsia="仿宋" w:cs="仿宋"/>
          <w:b/>
          <w:color w:val="auto"/>
          <w:kern w:val="2"/>
          <w:sz w:val="28"/>
          <w:szCs w:val="28"/>
          <w:highlight w:val="none"/>
          <w:lang w:val="en-US" w:eastAsia="zh-CN"/>
        </w:rPr>
      </w:pPr>
    </w:p>
    <w:p w14:paraId="576B12A5">
      <w:pPr>
        <w:spacing w:line="360" w:lineRule="auto"/>
        <w:jc w:val="center"/>
        <w:outlineLvl w:val="0"/>
        <w:rPr>
          <w:rFonts w:hint="eastAsia" w:ascii="仿宋" w:hAnsi="仿宋" w:eastAsia="仿宋" w:cs="仿宋"/>
          <w:b/>
          <w:color w:val="auto"/>
          <w:kern w:val="2"/>
          <w:sz w:val="28"/>
          <w:szCs w:val="28"/>
          <w:highlight w:val="none"/>
          <w:lang w:val="en-US" w:eastAsia="zh-CN"/>
        </w:rPr>
      </w:pPr>
    </w:p>
    <w:p w14:paraId="3E221BED">
      <w:pPr>
        <w:spacing w:line="360" w:lineRule="auto"/>
        <w:jc w:val="center"/>
        <w:outlineLvl w:val="0"/>
        <w:rPr>
          <w:rFonts w:hint="eastAsia" w:ascii="仿宋" w:hAnsi="仿宋" w:eastAsia="仿宋" w:cs="仿宋"/>
          <w:b/>
          <w:color w:val="auto"/>
          <w:kern w:val="2"/>
          <w:sz w:val="28"/>
          <w:szCs w:val="28"/>
          <w:highlight w:val="none"/>
          <w:lang w:val="en-US" w:eastAsia="zh-CN"/>
        </w:rPr>
      </w:pPr>
    </w:p>
    <w:p w14:paraId="089C920A">
      <w:pPr>
        <w:spacing w:line="360" w:lineRule="auto"/>
        <w:jc w:val="center"/>
        <w:outlineLvl w:val="0"/>
        <w:rPr>
          <w:rFonts w:hint="eastAsia" w:ascii="仿宋" w:hAnsi="仿宋" w:eastAsia="仿宋" w:cs="仿宋"/>
          <w:b/>
          <w:color w:val="auto"/>
          <w:kern w:val="2"/>
          <w:sz w:val="28"/>
          <w:szCs w:val="28"/>
          <w:highlight w:val="none"/>
          <w:lang w:val="en-US" w:eastAsia="zh-CN"/>
        </w:rPr>
      </w:pPr>
      <w:r>
        <w:rPr>
          <w:rFonts w:hint="eastAsia" w:ascii="仿宋" w:hAnsi="仿宋" w:eastAsia="仿宋" w:cs="仿宋"/>
          <w:b/>
          <w:color w:val="auto"/>
          <w:kern w:val="2"/>
          <w:sz w:val="28"/>
          <w:szCs w:val="28"/>
          <w:highlight w:val="none"/>
          <w:lang w:val="en-US" w:eastAsia="zh-CN"/>
        </w:rPr>
        <w:t>七、供应商认为需要提交的其他资料或竞争性磋商文件要求提交的其他资料</w:t>
      </w:r>
      <w:bookmarkEnd w:id="212"/>
    </w:p>
    <w:p w14:paraId="59D0C3F6">
      <w:pPr>
        <w:pStyle w:val="34"/>
        <w:spacing w:line="360" w:lineRule="auto"/>
        <w:rPr>
          <w:rFonts w:hint="eastAsia" w:ascii="仿宋" w:hAnsi="仿宋" w:eastAsia="仿宋" w:cs="仿宋"/>
          <w:b/>
          <w:color w:val="auto"/>
          <w:kern w:val="2"/>
          <w:sz w:val="24"/>
          <w:szCs w:val="24"/>
          <w:highlight w:val="none"/>
        </w:rPr>
      </w:pPr>
    </w:p>
    <w:p w14:paraId="632396D1">
      <w:pPr>
        <w:widowControl w:val="0"/>
        <w:spacing w:after="200" w:line="276" w:lineRule="auto"/>
        <w:jc w:val="center"/>
        <w:rPr>
          <w:rFonts w:hint="eastAsia" w:ascii="仿宋" w:hAnsi="仿宋" w:eastAsia="仿宋" w:cs="仿宋"/>
          <w:b/>
          <w:bCs/>
          <w:color w:val="auto"/>
          <w:kern w:val="2"/>
          <w:sz w:val="24"/>
          <w:szCs w:val="24"/>
          <w:highlight w:val="none"/>
          <w:lang w:eastAsia="zh-CN"/>
        </w:rPr>
      </w:pPr>
      <w:r>
        <w:rPr>
          <w:rFonts w:hint="eastAsia" w:ascii="仿宋" w:hAnsi="仿宋" w:eastAsia="仿宋" w:cs="仿宋"/>
          <w:b/>
          <w:bCs/>
          <w:color w:val="auto"/>
          <w:kern w:val="2"/>
          <w:sz w:val="24"/>
          <w:szCs w:val="24"/>
          <w:highlight w:val="none"/>
          <w:lang w:eastAsia="zh-CN"/>
        </w:rPr>
        <w:t>（格式及内容由供应商自拟）</w:t>
      </w:r>
    </w:p>
    <w:p w14:paraId="69E9B098">
      <w:pPr>
        <w:pStyle w:val="34"/>
        <w:spacing w:line="360" w:lineRule="auto"/>
        <w:rPr>
          <w:rFonts w:hint="eastAsia" w:ascii="仿宋" w:hAnsi="仿宋" w:eastAsia="仿宋" w:cs="仿宋"/>
          <w:b/>
          <w:color w:val="auto"/>
          <w:kern w:val="2"/>
          <w:sz w:val="24"/>
          <w:szCs w:val="24"/>
          <w:highlight w:val="none"/>
        </w:rPr>
      </w:pPr>
    </w:p>
    <w:p w14:paraId="6BAD46F9">
      <w:pPr>
        <w:rPr>
          <w:rFonts w:hint="eastAsia" w:ascii="仿宋" w:hAnsi="仿宋" w:eastAsia="仿宋" w:cs="仿宋"/>
          <w:b/>
          <w:color w:val="auto"/>
          <w:kern w:val="2"/>
          <w:sz w:val="24"/>
          <w:szCs w:val="24"/>
          <w:highlight w:val="none"/>
          <w:lang w:eastAsia="zh-CN"/>
        </w:rPr>
      </w:pPr>
      <w:r>
        <w:rPr>
          <w:rFonts w:hint="eastAsia" w:ascii="仿宋" w:hAnsi="仿宋" w:eastAsia="仿宋" w:cs="仿宋"/>
          <w:b/>
          <w:color w:val="auto"/>
          <w:kern w:val="2"/>
          <w:sz w:val="24"/>
          <w:szCs w:val="24"/>
          <w:highlight w:val="none"/>
          <w:lang w:eastAsia="zh-CN"/>
        </w:rPr>
        <w:br w:type="page"/>
      </w:r>
    </w:p>
    <w:p w14:paraId="52E94B9F">
      <w:pPr>
        <w:pStyle w:val="3"/>
        <w:numPr>
          <w:ilvl w:val="0"/>
          <w:numId w:val="8"/>
        </w:numPr>
        <w:bidi w:val="0"/>
        <w:jc w:val="center"/>
        <w:rPr>
          <w:rFonts w:hint="eastAsia" w:ascii="仿宋" w:hAnsi="仿宋" w:eastAsia="仿宋" w:cs="仿宋"/>
          <w:color w:val="auto"/>
          <w:sz w:val="28"/>
          <w:szCs w:val="28"/>
          <w:highlight w:val="none"/>
          <w:lang w:val="en-US" w:eastAsia="zh-CN"/>
        </w:rPr>
      </w:pPr>
      <w:bookmarkStart w:id="213" w:name="_Toc32616"/>
      <w:bookmarkStart w:id="214" w:name="_Hlk512677492"/>
      <w:bookmarkStart w:id="215" w:name="_Toc10731"/>
      <w:bookmarkStart w:id="216" w:name="_Toc25602"/>
      <w:bookmarkStart w:id="217" w:name="_Toc23664"/>
      <w:bookmarkStart w:id="218" w:name="_Toc531966079"/>
      <w:bookmarkStart w:id="219" w:name="_Toc234382990"/>
      <w:r>
        <w:rPr>
          <w:rFonts w:hint="eastAsia" w:ascii="仿宋" w:hAnsi="仿宋" w:eastAsia="仿宋" w:cs="仿宋"/>
          <w:color w:val="auto"/>
          <w:sz w:val="28"/>
          <w:szCs w:val="28"/>
          <w:highlight w:val="none"/>
          <w:lang w:val="en-US" w:eastAsia="zh-CN"/>
        </w:rPr>
        <w:t>中小企业、残疾人福利性单位、监狱企业证明文件</w:t>
      </w:r>
      <w:bookmarkEnd w:id="213"/>
    </w:p>
    <w:p w14:paraId="02C6F0C1">
      <w:pPr>
        <w:pStyle w:val="4"/>
        <w:numPr>
          <w:ilvl w:val="0"/>
          <w:numId w:val="0"/>
        </w:numPr>
        <w:tabs>
          <w:tab w:val="left" w:pos="600"/>
        </w:tabs>
        <w:jc w:val="center"/>
        <w:rPr>
          <w:rFonts w:hint="eastAsia" w:ascii="仿宋" w:hAnsi="仿宋" w:eastAsia="仿宋" w:cs="仿宋"/>
          <w:color w:val="auto"/>
          <w:sz w:val="28"/>
          <w:szCs w:val="28"/>
          <w:highlight w:val="none"/>
        </w:rPr>
      </w:pPr>
      <w:bookmarkStart w:id="220" w:name="_Toc6367"/>
      <w:r>
        <w:rPr>
          <w:rFonts w:hint="eastAsia" w:ascii="仿宋" w:hAnsi="仿宋" w:eastAsia="仿宋" w:cs="仿宋"/>
          <w:color w:val="auto"/>
          <w:sz w:val="28"/>
          <w:szCs w:val="28"/>
          <w:highlight w:val="none"/>
        </w:rPr>
        <w:t>《中小企业声明函》</w:t>
      </w:r>
      <w:bookmarkEnd w:id="220"/>
    </w:p>
    <w:p w14:paraId="7DD0EA1D">
      <w:pPr>
        <w:numPr>
          <w:ilvl w:val="0"/>
          <w:numId w:val="0"/>
        </w:numPr>
        <w:rPr>
          <w:rFonts w:hint="eastAsia" w:ascii="仿宋" w:hAnsi="仿宋" w:eastAsia="仿宋" w:cs="仿宋"/>
          <w:color w:val="auto"/>
          <w:sz w:val="24"/>
          <w:szCs w:val="24"/>
          <w:highlight w:val="none"/>
          <w:lang w:val="en-US" w:eastAsia="zh-CN"/>
        </w:rPr>
      </w:pPr>
    </w:p>
    <w:p w14:paraId="299C0C54">
      <w:pPr>
        <w:widowControl w:val="0"/>
        <w:adjustRightInd/>
        <w:snapToGrid/>
        <w:spacing w:after="0" w:line="360" w:lineRule="auto"/>
        <w:ind w:firstLine="504" w:firstLineChars="200"/>
        <w:jc w:val="both"/>
        <w:rPr>
          <w:rFonts w:hint="eastAsia" w:ascii="仿宋" w:hAnsi="仿宋" w:eastAsia="仿宋" w:cs="仿宋"/>
          <w:color w:val="auto"/>
          <w:spacing w:val="6"/>
          <w:kern w:val="2"/>
          <w:sz w:val="24"/>
          <w:szCs w:val="24"/>
          <w:highlight w:val="none"/>
        </w:rPr>
      </w:pPr>
      <w:r>
        <w:rPr>
          <w:rFonts w:hint="eastAsia" w:ascii="仿宋" w:hAnsi="仿宋" w:eastAsia="仿宋" w:cs="仿宋"/>
          <w:color w:val="auto"/>
          <w:spacing w:val="6"/>
          <w:kern w:val="2"/>
          <w:sz w:val="24"/>
          <w:szCs w:val="24"/>
          <w:highlight w:val="none"/>
        </w:rPr>
        <w:t>本公司（联合体）郑重声明，根据《政府采购促进中小企业发展管理办法》</w:t>
      </w:r>
      <w:r>
        <w:rPr>
          <w:rFonts w:hint="eastAsia" w:ascii="仿宋" w:hAnsi="仿宋" w:eastAsia="仿宋" w:cs="仿宋"/>
          <w:color w:val="auto"/>
          <w:spacing w:val="6"/>
          <w:kern w:val="2"/>
          <w:sz w:val="24"/>
          <w:szCs w:val="24"/>
          <w:highlight w:val="none"/>
          <w:lang w:eastAsia="zh-CN"/>
        </w:rPr>
        <w:t>（</w:t>
      </w:r>
      <w:r>
        <w:rPr>
          <w:rFonts w:hint="eastAsia" w:ascii="仿宋" w:hAnsi="仿宋" w:eastAsia="仿宋" w:cs="仿宋"/>
          <w:color w:val="auto"/>
          <w:spacing w:val="6"/>
          <w:kern w:val="2"/>
          <w:sz w:val="24"/>
          <w:szCs w:val="24"/>
          <w:highlight w:val="none"/>
        </w:rPr>
        <w:t>财库〔2020〕46号</w:t>
      </w:r>
      <w:r>
        <w:rPr>
          <w:rFonts w:hint="eastAsia" w:ascii="仿宋" w:hAnsi="仿宋" w:eastAsia="仿宋" w:cs="仿宋"/>
          <w:color w:val="auto"/>
          <w:spacing w:val="6"/>
          <w:kern w:val="2"/>
          <w:sz w:val="24"/>
          <w:szCs w:val="24"/>
          <w:highlight w:val="none"/>
          <w:lang w:eastAsia="zh-CN"/>
        </w:rPr>
        <w:t>）</w:t>
      </w:r>
      <w:r>
        <w:rPr>
          <w:rFonts w:hint="eastAsia" w:ascii="仿宋" w:hAnsi="仿宋" w:eastAsia="仿宋" w:cs="仿宋"/>
          <w:color w:val="auto"/>
          <w:spacing w:val="6"/>
          <w:kern w:val="2"/>
          <w:sz w:val="24"/>
          <w:szCs w:val="24"/>
          <w:highlight w:val="none"/>
        </w:rPr>
        <w:t>的规定，本公司（联合体）参加</w:t>
      </w:r>
      <w:r>
        <w:rPr>
          <w:rFonts w:hint="eastAsia" w:ascii="仿宋" w:hAnsi="仿宋" w:eastAsia="仿宋" w:cs="仿宋"/>
          <w:color w:val="auto"/>
          <w:spacing w:val="6"/>
          <w:kern w:val="2"/>
          <w:sz w:val="24"/>
          <w:szCs w:val="24"/>
          <w:highlight w:val="none"/>
          <w:u w:val="single"/>
        </w:rPr>
        <w:t xml:space="preserve"> （单位名称）</w:t>
      </w:r>
      <w:r>
        <w:rPr>
          <w:rFonts w:hint="eastAsia" w:ascii="仿宋" w:hAnsi="仿宋" w:eastAsia="仿宋" w:cs="仿宋"/>
          <w:color w:val="auto"/>
          <w:spacing w:val="6"/>
          <w:kern w:val="2"/>
          <w:sz w:val="24"/>
          <w:szCs w:val="24"/>
          <w:highlight w:val="none"/>
        </w:rPr>
        <w:t>的</w:t>
      </w:r>
      <w:r>
        <w:rPr>
          <w:rFonts w:hint="eastAsia" w:ascii="仿宋" w:hAnsi="仿宋" w:eastAsia="仿宋" w:cs="仿宋"/>
          <w:color w:val="auto"/>
          <w:spacing w:val="6"/>
          <w:kern w:val="2"/>
          <w:sz w:val="24"/>
          <w:szCs w:val="24"/>
          <w:highlight w:val="none"/>
          <w:u w:val="single"/>
        </w:rPr>
        <w:t xml:space="preserve"> （项目名称）</w:t>
      </w:r>
      <w:r>
        <w:rPr>
          <w:rFonts w:hint="eastAsia" w:ascii="仿宋" w:hAnsi="仿宋" w:eastAsia="仿宋" w:cs="仿宋"/>
          <w:color w:val="auto"/>
          <w:spacing w:val="6"/>
          <w:kern w:val="2"/>
          <w:sz w:val="24"/>
          <w:szCs w:val="24"/>
          <w:highlight w:val="none"/>
        </w:rPr>
        <w:t>采购活动，服务全部由符合政策要求的中小企业承接。相关企业（含联合体中的中小企业、签订分包意向协议的中小企业）的具体情况如下：</w:t>
      </w:r>
    </w:p>
    <w:p w14:paraId="25982C6D">
      <w:pPr>
        <w:widowControl w:val="0"/>
        <w:adjustRightInd/>
        <w:snapToGrid/>
        <w:spacing w:after="0" w:line="360" w:lineRule="auto"/>
        <w:ind w:firstLine="504" w:firstLineChars="200"/>
        <w:jc w:val="both"/>
        <w:rPr>
          <w:rFonts w:hint="eastAsia" w:ascii="仿宋" w:hAnsi="仿宋" w:eastAsia="仿宋" w:cs="仿宋"/>
          <w:color w:val="auto"/>
          <w:spacing w:val="6"/>
          <w:kern w:val="2"/>
          <w:sz w:val="24"/>
          <w:szCs w:val="24"/>
          <w:highlight w:val="none"/>
        </w:rPr>
      </w:pPr>
      <w:r>
        <w:rPr>
          <w:rFonts w:hint="eastAsia" w:ascii="仿宋" w:hAnsi="仿宋" w:eastAsia="仿宋" w:cs="仿宋"/>
          <w:color w:val="auto"/>
          <w:spacing w:val="6"/>
          <w:kern w:val="2"/>
          <w:sz w:val="24"/>
          <w:szCs w:val="24"/>
          <w:highlight w:val="none"/>
        </w:rPr>
        <w:t>1.</w:t>
      </w:r>
      <w:r>
        <w:rPr>
          <w:rFonts w:hint="eastAsia" w:ascii="仿宋" w:hAnsi="仿宋" w:eastAsia="仿宋" w:cs="仿宋"/>
          <w:color w:val="auto"/>
          <w:spacing w:val="6"/>
          <w:kern w:val="2"/>
          <w:sz w:val="24"/>
          <w:szCs w:val="24"/>
          <w:highlight w:val="none"/>
          <w:u w:val="single"/>
        </w:rPr>
        <w:t xml:space="preserve"> （标的名称）</w:t>
      </w:r>
      <w:r>
        <w:rPr>
          <w:rFonts w:hint="eastAsia" w:ascii="仿宋" w:hAnsi="仿宋" w:eastAsia="仿宋" w:cs="仿宋"/>
          <w:color w:val="auto"/>
          <w:spacing w:val="6"/>
          <w:kern w:val="2"/>
          <w:sz w:val="24"/>
          <w:szCs w:val="24"/>
          <w:highlight w:val="none"/>
        </w:rPr>
        <w:t>，属于</w:t>
      </w:r>
      <w:r>
        <w:rPr>
          <w:rFonts w:hint="eastAsia" w:ascii="仿宋" w:hAnsi="仿宋" w:eastAsia="仿宋" w:cs="仿宋"/>
          <w:color w:val="auto"/>
          <w:spacing w:val="6"/>
          <w:kern w:val="2"/>
          <w:sz w:val="24"/>
          <w:szCs w:val="24"/>
          <w:highlight w:val="none"/>
          <w:u w:val="single"/>
        </w:rPr>
        <w:t xml:space="preserve"> （</w:t>
      </w:r>
      <w:r>
        <w:rPr>
          <w:rFonts w:hint="eastAsia" w:ascii="仿宋" w:hAnsi="仿宋" w:eastAsia="仿宋" w:cs="仿宋"/>
          <w:color w:val="auto"/>
          <w:spacing w:val="6"/>
          <w:kern w:val="2"/>
          <w:sz w:val="24"/>
          <w:szCs w:val="24"/>
          <w:highlight w:val="none"/>
          <w:u w:val="single"/>
          <w:lang w:eastAsia="zh-CN"/>
        </w:rPr>
        <w:t>磋商文件</w:t>
      </w:r>
      <w:r>
        <w:rPr>
          <w:rFonts w:hint="eastAsia" w:ascii="仿宋" w:hAnsi="仿宋" w:eastAsia="仿宋" w:cs="仿宋"/>
          <w:color w:val="auto"/>
          <w:spacing w:val="6"/>
          <w:kern w:val="2"/>
          <w:sz w:val="24"/>
          <w:szCs w:val="24"/>
          <w:highlight w:val="none"/>
          <w:u w:val="single"/>
        </w:rPr>
        <w:t>中明确的所属行业）行业</w:t>
      </w:r>
      <w:r>
        <w:rPr>
          <w:rFonts w:hint="eastAsia" w:ascii="仿宋" w:hAnsi="仿宋" w:eastAsia="仿宋" w:cs="仿宋"/>
          <w:color w:val="auto"/>
          <w:spacing w:val="6"/>
          <w:kern w:val="2"/>
          <w:sz w:val="24"/>
          <w:szCs w:val="24"/>
          <w:highlight w:val="none"/>
        </w:rPr>
        <w:t>；承接企业为</w:t>
      </w:r>
      <w:r>
        <w:rPr>
          <w:rFonts w:hint="eastAsia" w:ascii="仿宋" w:hAnsi="仿宋" w:eastAsia="仿宋" w:cs="仿宋"/>
          <w:color w:val="auto"/>
          <w:spacing w:val="6"/>
          <w:kern w:val="2"/>
          <w:sz w:val="24"/>
          <w:szCs w:val="24"/>
          <w:highlight w:val="none"/>
          <w:u w:val="single"/>
        </w:rPr>
        <w:t xml:space="preserve"> （企业名称）</w:t>
      </w:r>
      <w:r>
        <w:rPr>
          <w:rFonts w:hint="eastAsia" w:ascii="仿宋" w:hAnsi="仿宋" w:eastAsia="仿宋" w:cs="仿宋"/>
          <w:color w:val="auto"/>
          <w:spacing w:val="6"/>
          <w:kern w:val="2"/>
          <w:sz w:val="24"/>
          <w:szCs w:val="24"/>
          <w:highlight w:val="none"/>
        </w:rPr>
        <w:t>，从业人员</w:t>
      </w:r>
      <w:r>
        <w:rPr>
          <w:rFonts w:hint="eastAsia" w:ascii="仿宋" w:hAnsi="仿宋" w:eastAsia="仿宋" w:cs="仿宋"/>
          <w:color w:val="auto"/>
          <w:spacing w:val="6"/>
          <w:kern w:val="2"/>
          <w:sz w:val="24"/>
          <w:szCs w:val="24"/>
          <w:highlight w:val="none"/>
          <w:u w:val="single"/>
        </w:rPr>
        <w:t xml:space="preserve">   </w:t>
      </w:r>
      <w:r>
        <w:rPr>
          <w:rFonts w:hint="eastAsia" w:ascii="仿宋" w:hAnsi="仿宋" w:eastAsia="仿宋" w:cs="仿宋"/>
          <w:color w:val="auto"/>
          <w:spacing w:val="6"/>
          <w:kern w:val="2"/>
          <w:sz w:val="24"/>
          <w:szCs w:val="24"/>
          <w:highlight w:val="none"/>
        </w:rPr>
        <w:t>人，营业收入为</w:t>
      </w:r>
      <w:r>
        <w:rPr>
          <w:rFonts w:hint="eastAsia" w:ascii="仿宋" w:hAnsi="仿宋" w:eastAsia="仿宋" w:cs="仿宋"/>
          <w:color w:val="auto"/>
          <w:spacing w:val="6"/>
          <w:kern w:val="2"/>
          <w:sz w:val="24"/>
          <w:szCs w:val="24"/>
          <w:highlight w:val="none"/>
          <w:u w:val="single"/>
        </w:rPr>
        <w:t xml:space="preserve">    </w:t>
      </w:r>
      <w:r>
        <w:rPr>
          <w:rFonts w:hint="eastAsia" w:ascii="仿宋" w:hAnsi="仿宋" w:eastAsia="仿宋" w:cs="仿宋"/>
          <w:color w:val="auto"/>
          <w:spacing w:val="6"/>
          <w:kern w:val="2"/>
          <w:sz w:val="24"/>
          <w:szCs w:val="24"/>
          <w:highlight w:val="none"/>
        </w:rPr>
        <w:t>万元，资产总额为</w:t>
      </w:r>
      <w:r>
        <w:rPr>
          <w:rFonts w:hint="eastAsia" w:ascii="仿宋" w:hAnsi="仿宋" w:eastAsia="仿宋" w:cs="仿宋"/>
          <w:color w:val="auto"/>
          <w:spacing w:val="6"/>
          <w:kern w:val="2"/>
          <w:sz w:val="24"/>
          <w:szCs w:val="24"/>
          <w:highlight w:val="none"/>
          <w:u w:val="single"/>
        </w:rPr>
        <w:t xml:space="preserve">    </w:t>
      </w:r>
      <w:r>
        <w:rPr>
          <w:rFonts w:hint="eastAsia" w:ascii="仿宋" w:hAnsi="仿宋" w:eastAsia="仿宋" w:cs="仿宋"/>
          <w:color w:val="auto"/>
          <w:spacing w:val="6"/>
          <w:kern w:val="2"/>
          <w:sz w:val="24"/>
          <w:szCs w:val="24"/>
          <w:highlight w:val="none"/>
        </w:rPr>
        <w:t>万元，属于</w:t>
      </w:r>
      <w:r>
        <w:rPr>
          <w:rFonts w:hint="eastAsia" w:ascii="仿宋" w:hAnsi="仿宋" w:eastAsia="仿宋" w:cs="仿宋"/>
          <w:color w:val="auto"/>
          <w:spacing w:val="6"/>
          <w:kern w:val="2"/>
          <w:sz w:val="24"/>
          <w:szCs w:val="24"/>
          <w:highlight w:val="none"/>
          <w:u w:val="single"/>
        </w:rPr>
        <w:t>（中型企业、小型企业、微型企业）</w:t>
      </w:r>
      <w:r>
        <w:rPr>
          <w:rFonts w:hint="eastAsia" w:ascii="仿宋" w:hAnsi="仿宋" w:eastAsia="仿宋" w:cs="仿宋"/>
          <w:color w:val="auto"/>
          <w:spacing w:val="6"/>
          <w:kern w:val="2"/>
          <w:sz w:val="24"/>
          <w:szCs w:val="24"/>
          <w:highlight w:val="none"/>
        </w:rPr>
        <w:t>；</w:t>
      </w:r>
    </w:p>
    <w:p w14:paraId="55C6AEA9">
      <w:pPr>
        <w:widowControl w:val="0"/>
        <w:adjustRightInd/>
        <w:snapToGrid/>
        <w:spacing w:after="0" w:line="360" w:lineRule="auto"/>
        <w:ind w:firstLine="504" w:firstLineChars="200"/>
        <w:jc w:val="both"/>
        <w:rPr>
          <w:rFonts w:hint="eastAsia" w:ascii="仿宋" w:hAnsi="仿宋" w:eastAsia="仿宋" w:cs="仿宋"/>
          <w:color w:val="auto"/>
          <w:spacing w:val="6"/>
          <w:kern w:val="2"/>
          <w:sz w:val="24"/>
          <w:szCs w:val="24"/>
          <w:highlight w:val="none"/>
        </w:rPr>
      </w:pPr>
      <w:r>
        <w:rPr>
          <w:rFonts w:hint="eastAsia" w:ascii="仿宋" w:hAnsi="仿宋" w:eastAsia="仿宋" w:cs="仿宋"/>
          <w:color w:val="auto"/>
          <w:spacing w:val="6"/>
          <w:kern w:val="2"/>
          <w:sz w:val="24"/>
          <w:szCs w:val="24"/>
          <w:highlight w:val="none"/>
        </w:rPr>
        <w:t>2.</w:t>
      </w:r>
      <w:r>
        <w:rPr>
          <w:rFonts w:hint="eastAsia" w:ascii="仿宋" w:hAnsi="仿宋" w:eastAsia="仿宋" w:cs="仿宋"/>
          <w:color w:val="auto"/>
          <w:spacing w:val="6"/>
          <w:kern w:val="2"/>
          <w:sz w:val="24"/>
          <w:szCs w:val="24"/>
          <w:highlight w:val="none"/>
          <w:u w:val="single"/>
        </w:rPr>
        <w:t xml:space="preserve"> （标的名称）</w:t>
      </w:r>
      <w:r>
        <w:rPr>
          <w:rFonts w:hint="eastAsia" w:ascii="仿宋" w:hAnsi="仿宋" w:eastAsia="仿宋" w:cs="仿宋"/>
          <w:color w:val="auto"/>
          <w:spacing w:val="6"/>
          <w:kern w:val="2"/>
          <w:sz w:val="24"/>
          <w:szCs w:val="24"/>
          <w:highlight w:val="none"/>
        </w:rPr>
        <w:t>，属于</w:t>
      </w:r>
      <w:r>
        <w:rPr>
          <w:rFonts w:hint="eastAsia" w:ascii="仿宋" w:hAnsi="仿宋" w:eastAsia="仿宋" w:cs="仿宋"/>
          <w:color w:val="auto"/>
          <w:spacing w:val="6"/>
          <w:kern w:val="2"/>
          <w:sz w:val="24"/>
          <w:szCs w:val="24"/>
          <w:highlight w:val="none"/>
          <w:u w:val="single"/>
        </w:rPr>
        <w:t xml:space="preserve"> （</w:t>
      </w:r>
      <w:r>
        <w:rPr>
          <w:rFonts w:hint="eastAsia" w:ascii="仿宋" w:hAnsi="仿宋" w:eastAsia="仿宋" w:cs="仿宋"/>
          <w:color w:val="auto"/>
          <w:spacing w:val="6"/>
          <w:kern w:val="2"/>
          <w:sz w:val="24"/>
          <w:szCs w:val="24"/>
          <w:highlight w:val="none"/>
          <w:u w:val="single"/>
          <w:lang w:eastAsia="zh-CN"/>
        </w:rPr>
        <w:t>磋商文件</w:t>
      </w:r>
      <w:r>
        <w:rPr>
          <w:rFonts w:hint="eastAsia" w:ascii="仿宋" w:hAnsi="仿宋" w:eastAsia="仿宋" w:cs="仿宋"/>
          <w:color w:val="auto"/>
          <w:spacing w:val="6"/>
          <w:kern w:val="2"/>
          <w:sz w:val="24"/>
          <w:szCs w:val="24"/>
          <w:highlight w:val="none"/>
          <w:u w:val="single"/>
        </w:rPr>
        <w:t>中明确的所属行业）行业</w:t>
      </w:r>
      <w:r>
        <w:rPr>
          <w:rFonts w:hint="eastAsia" w:ascii="仿宋" w:hAnsi="仿宋" w:eastAsia="仿宋" w:cs="仿宋"/>
          <w:color w:val="auto"/>
          <w:spacing w:val="6"/>
          <w:kern w:val="2"/>
          <w:sz w:val="24"/>
          <w:szCs w:val="24"/>
          <w:highlight w:val="none"/>
        </w:rPr>
        <w:t>；承接企业为</w:t>
      </w:r>
      <w:r>
        <w:rPr>
          <w:rFonts w:hint="eastAsia" w:ascii="仿宋" w:hAnsi="仿宋" w:eastAsia="仿宋" w:cs="仿宋"/>
          <w:color w:val="auto"/>
          <w:spacing w:val="6"/>
          <w:kern w:val="2"/>
          <w:sz w:val="24"/>
          <w:szCs w:val="24"/>
          <w:highlight w:val="none"/>
          <w:u w:val="single"/>
        </w:rPr>
        <w:t xml:space="preserve"> （企业名称）</w:t>
      </w:r>
      <w:r>
        <w:rPr>
          <w:rFonts w:hint="eastAsia" w:ascii="仿宋" w:hAnsi="仿宋" w:eastAsia="仿宋" w:cs="仿宋"/>
          <w:color w:val="auto"/>
          <w:spacing w:val="6"/>
          <w:kern w:val="2"/>
          <w:sz w:val="24"/>
          <w:szCs w:val="24"/>
          <w:highlight w:val="none"/>
        </w:rPr>
        <w:t>，从业人员</w:t>
      </w:r>
      <w:r>
        <w:rPr>
          <w:rFonts w:hint="eastAsia" w:ascii="仿宋" w:hAnsi="仿宋" w:eastAsia="仿宋" w:cs="仿宋"/>
          <w:color w:val="auto"/>
          <w:spacing w:val="6"/>
          <w:kern w:val="2"/>
          <w:sz w:val="24"/>
          <w:szCs w:val="24"/>
          <w:highlight w:val="none"/>
          <w:u w:val="single"/>
        </w:rPr>
        <w:t xml:space="preserve">   </w:t>
      </w:r>
      <w:r>
        <w:rPr>
          <w:rFonts w:hint="eastAsia" w:ascii="仿宋" w:hAnsi="仿宋" w:eastAsia="仿宋" w:cs="仿宋"/>
          <w:color w:val="auto"/>
          <w:spacing w:val="6"/>
          <w:kern w:val="2"/>
          <w:sz w:val="24"/>
          <w:szCs w:val="24"/>
          <w:highlight w:val="none"/>
        </w:rPr>
        <w:t>人，营业收入为</w:t>
      </w:r>
      <w:r>
        <w:rPr>
          <w:rFonts w:hint="eastAsia" w:ascii="仿宋" w:hAnsi="仿宋" w:eastAsia="仿宋" w:cs="仿宋"/>
          <w:color w:val="auto"/>
          <w:spacing w:val="6"/>
          <w:kern w:val="2"/>
          <w:sz w:val="24"/>
          <w:szCs w:val="24"/>
          <w:highlight w:val="none"/>
          <w:u w:val="single"/>
        </w:rPr>
        <w:t xml:space="preserve">    </w:t>
      </w:r>
      <w:r>
        <w:rPr>
          <w:rFonts w:hint="eastAsia" w:ascii="仿宋" w:hAnsi="仿宋" w:eastAsia="仿宋" w:cs="仿宋"/>
          <w:color w:val="auto"/>
          <w:spacing w:val="6"/>
          <w:kern w:val="2"/>
          <w:sz w:val="24"/>
          <w:szCs w:val="24"/>
          <w:highlight w:val="none"/>
        </w:rPr>
        <w:t>万元，资产总额为</w:t>
      </w:r>
      <w:r>
        <w:rPr>
          <w:rFonts w:hint="eastAsia" w:ascii="仿宋" w:hAnsi="仿宋" w:eastAsia="仿宋" w:cs="仿宋"/>
          <w:color w:val="auto"/>
          <w:spacing w:val="6"/>
          <w:kern w:val="2"/>
          <w:sz w:val="24"/>
          <w:szCs w:val="24"/>
          <w:highlight w:val="none"/>
          <w:u w:val="single"/>
        </w:rPr>
        <w:t xml:space="preserve">    </w:t>
      </w:r>
      <w:r>
        <w:rPr>
          <w:rFonts w:hint="eastAsia" w:ascii="仿宋" w:hAnsi="仿宋" w:eastAsia="仿宋" w:cs="仿宋"/>
          <w:color w:val="auto"/>
          <w:spacing w:val="6"/>
          <w:kern w:val="2"/>
          <w:sz w:val="24"/>
          <w:szCs w:val="24"/>
          <w:highlight w:val="none"/>
        </w:rPr>
        <w:t>万元，属于</w:t>
      </w:r>
      <w:r>
        <w:rPr>
          <w:rFonts w:hint="eastAsia" w:ascii="仿宋" w:hAnsi="仿宋" w:eastAsia="仿宋" w:cs="仿宋"/>
          <w:color w:val="auto"/>
          <w:spacing w:val="6"/>
          <w:kern w:val="2"/>
          <w:sz w:val="24"/>
          <w:szCs w:val="24"/>
          <w:highlight w:val="none"/>
          <w:u w:val="single"/>
        </w:rPr>
        <w:t>（中型企业、小型企业、微型企业）</w:t>
      </w:r>
      <w:r>
        <w:rPr>
          <w:rFonts w:hint="eastAsia" w:ascii="仿宋" w:hAnsi="仿宋" w:eastAsia="仿宋" w:cs="仿宋"/>
          <w:color w:val="auto"/>
          <w:spacing w:val="6"/>
          <w:kern w:val="2"/>
          <w:sz w:val="24"/>
          <w:szCs w:val="24"/>
          <w:highlight w:val="none"/>
        </w:rPr>
        <w:t>；</w:t>
      </w:r>
    </w:p>
    <w:p w14:paraId="69D1349D">
      <w:pPr>
        <w:widowControl w:val="0"/>
        <w:adjustRightInd/>
        <w:snapToGrid/>
        <w:spacing w:after="0" w:line="360" w:lineRule="auto"/>
        <w:ind w:firstLine="504" w:firstLineChars="200"/>
        <w:jc w:val="both"/>
        <w:rPr>
          <w:rFonts w:hint="eastAsia" w:ascii="仿宋" w:hAnsi="仿宋" w:eastAsia="仿宋" w:cs="仿宋"/>
          <w:color w:val="auto"/>
          <w:spacing w:val="6"/>
          <w:kern w:val="2"/>
          <w:sz w:val="24"/>
          <w:szCs w:val="24"/>
          <w:highlight w:val="none"/>
        </w:rPr>
      </w:pPr>
      <w:r>
        <w:rPr>
          <w:rFonts w:hint="eastAsia" w:ascii="仿宋" w:hAnsi="仿宋" w:eastAsia="仿宋" w:cs="仿宋"/>
          <w:color w:val="auto"/>
          <w:spacing w:val="6"/>
          <w:kern w:val="2"/>
          <w:sz w:val="24"/>
          <w:szCs w:val="24"/>
          <w:highlight w:val="none"/>
        </w:rPr>
        <w:t>……</w:t>
      </w:r>
    </w:p>
    <w:p w14:paraId="038BE966">
      <w:pPr>
        <w:widowControl w:val="0"/>
        <w:adjustRightInd/>
        <w:snapToGrid/>
        <w:spacing w:after="0" w:line="360" w:lineRule="auto"/>
        <w:ind w:firstLine="504" w:firstLineChars="200"/>
        <w:jc w:val="both"/>
        <w:rPr>
          <w:rFonts w:hint="eastAsia" w:ascii="仿宋" w:hAnsi="仿宋" w:eastAsia="仿宋" w:cs="仿宋"/>
          <w:color w:val="auto"/>
          <w:spacing w:val="6"/>
          <w:kern w:val="2"/>
          <w:sz w:val="24"/>
          <w:szCs w:val="24"/>
          <w:highlight w:val="none"/>
        </w:rPr>
      </w:pPr>
      <w:r>
        <w:rPr>
          <w:rFonts w:hint="eastAsia" w:ascii="仿宋" w:hAnsi="仿宋" w:eastAsia="仿宋" w:cs="仿宋"/>
          <w:color w:val="auto"/>
          <w:spacing w:val="6"/>
          <w:kern w:val="2"/>
          <w:sz w:val="24"/>
          <w:szCs w:val="24"/>
          <w:highlight w:val="none"/>
        </w:rPr>
        <w:t>以上企业，不属于大企业的分支机构，不存在控股股东为大企业的情形，也不存在与大企业的负责人为同一人的情形。</w:t>
      </w:r>
    </w:p>
    <w:p w14:paraId="5C13BDE9">
      <w:pPr>
        <w:widowControl w:val="0"/>
        <w:adjustRightInd/>
        <w:snapToGrid/>
        <w:spacing w:after="0" w:line="360" w:lineRule="auto"/>
        <w:ind w:firstLine="504" w:firstLineChars="200"/>
        <w:jc w:val="both"/>
        <w:rPr>
          <w:rFonts w:hint="eastAsia" w:ascii="仿宋" w:hAnsi="仿宋" w:eastAsia="仿宋" w:cs="仿宋"/>
          <w:color w:val="auto"/>
          <w:spacing w:val="6"/>
          <w:kern w:val="2"/>
          <w:sz w:val="24"/>
          <w:szCs w:val="24"/>
          <w:highlight w:val="none"/>
        </w:rPr>
      </w:pPr>
      <w:r>
        <w:rPr>
          <w:rFonts w:hint="eastAsia" w:ascii="仿宋" w:hAnsi="仿宋" w:eastAsia="仿宋" w:cs="仿宋"/>
          <w:color w:val="auto"/>
          <w:spacing w:val="6"/>
          <w:kern w:val="2"/>
          <w:sz w:val="24"/>
          <w:szCs w:val="24"/>
          <w:highlight w:val="none"/>
        </w:rPr>
        <w:t>本企业对上述声明内容的真实性负责。如有虚假，将依法承担相应责任。</w:t>
      </w:r>
    </w:p>
    <w:p w14:paraId="48A9E420">
      <w:pPr>
        <w:widowControl w:val="0"/>
        <w:tabs>
          <w:tab w:val="left" w:pos="4860"/>
        </w:tabs>
        <w:adjustRightInd/>
        <w:snapToGrid/>
        <w:spacing w:after="0" w:line="588" w:lineRule="exact"/>
        <w:ind w:right="1560" w:firstLine="504" w:firstLineChars="200"/>
        <w:jc w:val="center"/>
        <w:rPr>
          <w:rFonts w:hint="eastAsia" w:ascii="仿宋" w:hAnsi="仿宋" w:eastAsia="仿宋" w:cs="仿宋"/>
          <w:color w:val="auto"/>
          <w:spacing w:val="6"/>
          <w:kern w:val="2"/>
          <w:sz w:val="24"/>
          <w:szCs w:val="24"/>
          <w:highlight w:val="none"/>
        </w:rPr>
      </w:pPr>
      <w:r>
        <w:rPr>
          <w:rFonts w:hint="eastAsia" w:ascii="仿宋" w:hAnsi="仿宋" w:eastAsia="仿宋" w:cs="仿宋"/>
          <w:color w:val="auto"/>
          <w:spacing w:val="6"/>
          <w:kern w:val="2"/>
          <w:sz w:val="24"/>
          <w:szCs w:val="24"/>
          <w:highlight w:val="none"/>
        </w:rPr>
        <w:t xml:space="preserve">              企业名称（盖章）： </w:t>
      </w:r>
    </w:p>
    <w:p w14:paraId="554BDCD9">
      <w:pPr>
        <w:widowControl w:val="0"/>
        <w:tabs>
          <w:tab w:val="left" w:pos="4860"/>
        </w:tabs>
        <w:adjustRightInd/>
        <w:snapToGrid/>
        <w:spacing w:after="0" w:line="588" w:lineRule="exact"/>
        <w:ind w:right="1560" w:firstLine="504" w:firstLineChars="200"/>
        <w:jc w:val="center"/>
        <w:rPr>
          <w:rFonts w:hint="eastAsia" w:ascii="仿宋" w:hAnsi="仿宋" w:eastAsia="仿宋" w:cs="仿宋"/>
          <w:color w:val="auto"/>
          <w:spacing w:val="6"/>
          <w:kern w:val="2"/>
          <w:sz w:val="24"/>
          <w:szCs w:val="24"/>
          <w:highlight w:val="none"/>
        </w:rPr>
      </w:pPr>
      <w:r>
        <w:rPr>
          <w:rFonts w:hint="eastAsia" w:ascii="仿宋" w:hAnsi="仿宋" w:eastAsia="仿宋" w:cs="仿宋"/>
          <w:color w:val="auto"/>
          <w:spacing w:val="6"/>
          <w:kern w:val="2"/>
          <w:sz w:val="24"/>
          <w:szCs w:val="24"/>
          <w:highlight w:val="none"/>
        </w:rPr>
        <w:t xml:space="preserve">   日期：                </w:t>
      </w:r>
    </w:p>
    <w:p w14:paraId="263C2A2F">
      <w:pPr>
        <w:widowControl w:val="0"/>
        <w:adjustRightInd/>
        <w:snapToGrid/>
        <w:spacing w:after="0" w:line="360" w:lineRule="auto"/>
        <w:jc w:val="both"/>
        <w:rPr>
          <w:rFonts w:hint="eastAsia" w:ascii="仿宋" w:hAnsi="仿宋" w:eastAsia="仿宋" w:cs="仿宋"/>
          <w:b/>
          <w:color w:val="auto"/>
          <w:kern w:val="2"/>
          <w:sz w:val="24"/>
          <w:szCs w:val="24"/>
          <w:highlight w:val="none"/>
        </w:rPr>
      </w:pPr>
    </w:p>
    <w:p w14:paraId="7850EA67">
      <w:pPr>
        <w:widowControl w:val="0"/>
        <w:adjustRightInd/>
        <w:snapToGrid/>
        <w:spacing w:after="0" w:line="360" w:lineRule="auto"/>
        <w:jc w:val="both"/>
        <w:rPr>
          <w:rFonts w:hint="eastAsia" w:ascii="仿宋" w:hAnsi="仿宋" w:eastAsia="仿宋" w:cs="仿宋"/>
          <w:b/>
          <w:color w:val="auto"/>
          <w:kern w:val="2"/>
          <w:sz w:val="24"/>
          <w:szCs w:val="24"/>
          <w:highlight w:val="none"/>
        </w:rPr>
      </w:pPr>
    </w:p>
    <w:p w14:paraId="4AB0B4E8">
      <w:pPr>
        <w:pStyle w:val="36"/>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rPr>
        <w:t>注：</w:t>
      </w:r>
      <w:bookmarkEnd w:id="214"/>
      <w:r>
        <w:rPr>
          <w:rFonts w:hint="eastAsia" w:ascii="仿宋" w:hAnsi="仿宋" w:eastAsia="仿宋" w:cs="仿宋"/>
          <w:color w:val="auto"/>
          <w:kern w:val="2"/>
          <w:sz w:val="24"/>
          <w:szCs w:val="24"/>
          <w:highlight w:val="none"/>
        </w:rPr>
        <w:t>从业人员、营业收入、资产总额填报上一年度数据，无上一年度数据的新成立企业可不填写。</w:t>
      </w:r>
    </w:p>
    <w:p w14:paraId="7921210E">
      <w:pPr>
        <w:pStyle w:val="36"/>
        <w:spacing w:line="360" w:lineRule="auto"/>
        <w:jc w:val="center"/>
        <w:rPr>
          <w:rFonts w:hint="eastAsia" w:ascii="仿宋" w:hAnsi="仿宋" w:eastAsia="仿宋" w:cs="仿宋"/>
          <w:color w:val="auto"/>
          <w:sz w:val="24"/>
          <w:szCs w:val="24"/>
          <w:highlight w:val="none"/>
        </w:rPr>
      </w:pPr>
    </w:p>
    <w:p w14:paraId="620A60BA">
      <w:pPr>
        <w:pStyle w:val="36"/>
        <w:spacing w:line="360" w:lineRule="auto"/>
        <w:jc w:val="center"/>
        <w:rPr>
          <w:rFonts w:hint="eastAsia" w:ascii="仿宋" w:hAnsi="仿宋" w:eastAsia="仿宋" w:cs="仿宋"/>
          <w:color w:val="auto"/>
          <w:sz w:val="24"/>
          <w:szCs w:val="24"/>
          <w:highlight w:val="none"/>
        </w:rPr>
      </w:pPr>
    </w:p>
    <w:p w14:paraId="22E867E0">
      <w:pPr>
        <w:pStyle w:val="36"/>
        <w:spacing w:line="360" w:lineRule="auto"/>
        <w:jc w:val="center"/>
        <w:rPr>
          <w:rFonts w:hint="eastAsia" w:ascii="仿宋" w:hAnsi="仿宋" w:eastAsia="仿宋" w:cs="仿宋"/>
          <w:color w:val="auto"/>
          <w:sz w:val="24"/>
          <w:szCs w:val="24"/>
          <w:highlight w:val="none"/>
        </w:rPr>
      </w:pPr>
    </w:p>
    <w:p w14:paraId="1C81CD92">
      <w:pPr>
        <w:rPr>
          <w:rFonts w:hint="eastAsia" w:ascii="仿宋" w:hAnsi="仿宋" w:eastAsia="仿宋" w:cs="仿宋"/>
          <w:color w:val="auto"/>
          <w:sz w:val="24"/>
          <w:szCs w:val="24"/>
          <w:highlight w:val="none"/>
        </w:rPr>
      </w:pPr>
      <w:bookmarkStart w:id="221" w:name="_Toc23964"/>
      <w:r>
        <w:rPr>
          <w:rFonts w:hint="eastAsia" w:ascii="仿宋" w:hAnsi="仿宋" w:eastAsia="仿宋" w:cs="仿宋"/>
          <w:color w:val="auto"/>
          <w:sz w:val="24"/>
          <w:szCs w:val="24"/>
          <w:highlight w:val="none"/>
        </w:rPr>
        <w:br w:type="page"/>
      </w:r>
    </w:p>
    <w:bookmarkEnd w:id="215"/>
    <w:bookmarkEnd w:id="216"/>
    <w:bookmarkEnd w:id="217"/>
    <w:bookmarkEnd w:id="218"/>
    <w:bookmarkEnd w:id="219"/>
    <w:bookmarkEnd w:id="221"/>
    <w:p w14:paraId="5F24E8B4">
      <w:pPr>
        <w:pStyle w:val="4"/>
        <w:numPr>
          <w:ilvl w:val="0"/>
          <w:numId w:val="0"/>
        </w:numPr>
        <w:tabs>
          <w:tab w:val="left" w:pos="600"/>
        </w:tabs>
        <w:jc w:val="center"/>
        <w:rPr>
          <w:rFonts w:hint="eastAsia" w:ascii="仿宋" w:hAnsi="仿宋" w:eastAsia="仿宋" w:cs="仿宋"/>
          <w:color w:val="auto"/>
          <w:sz w:val="28"/>
          <w:szCs w:val="28"/>
          <w:highlight w:val="none"/>
        </w:rPr>
      </w:pPr>
      <w:bookmarkStart w:id="222" w:name="_Toc38876424"/>
      <w:bookmarkStart w:id="223" w:name="_Toc1588"/>
      <w:bookmarkStart w:id="224" w:name="_Toc21863"/>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残疾人福利性单位声明函</w:t>
      </w:r>
      <w:r>
        <w:rPr>
          <w:rFonts w:hint="eastAsia" w:ascii="仿宋" w:hAnsi="仿宋" w:eastAsia="仿宋" w:cs="仿宋"/>
          <w:color w:val="auto"/>
          <w:sz w:val="28"/>
          <w:szCs w:val="28"/>
          <w:highlight w:val="none"/>
          <w:lang w:eastAsia="zh-CN"/>
        </w:rPr>
        <w:t>》</w:t>
      </w:r>
      <w:bookmarkEnd w:id="222"/>
      <w:bookmarkEnd w:id="223"/>
      <w:bookmarkEnd w:id="224"/>
    </w:p>
    <w:p w14:paraId="6B4198D7">
      <w:pPr>
        <w:rPr>
          <w:rFonts w:hint="eastAsia" w:ascii="仿宋" w:hAnsi="仿宋" w:eastAsia="仿宋" w:cs="仿宋"/>
          <w:color w:val="auto"/>
          <w:sz w:val="24"/>
          <w:szCs w:val="24"/>
          <w:highlight w:val="none"/>
        </w:rPr>
      </w:pPr>
    </w:p>
    <w:p w14:paraId="7B9DC047">
      <w:pPr>
        <w:spacing w:line="48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本单位郑重声明，根据《财政部</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民政部</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中国残疾人联合会关于促进残疾人就业政府采购政策的通知》（财库〔2017〕141 号）的规定，本单位为符合条件的残疾人福利性单位，且本单位参加</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单位的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项目采购活动提供本单位制造的货物（由本单位承担工程/提供服务），或者提供其他残疾人福利性单位制造的货物（不包括使用非残疾人福利性单位注册商标的货物）。</w:t>
      </w:r>
    </w:p>
    <w:p w14:paraId="16ABB6C1">
      <w:pPr>
        <w:spacing w:line="48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本单位对上述声明的真实性负责。如有虚假，将依法承担相应责任。</w:t>
      </w:r>
    </w:p>
    <w:p w14:paraId="7DF971EB">
      <w:pPr>
        <w:spacing w:line="480" w:lineRule="auto"/>
        <w:ind w:firstLine="480" w:firstLineChars="200"/>
        <w:rPr>
          <w:rFonts w:hint="eastAsia" w:ascii="仿宋" w:hAnsi="仿宋" w:eastAsia="仿宋" w:cs="仿宋"/>
          <w:color w:val="auto"/>
          <w:sz w:val="24"/>
          <w:szCs w:val="24"/>
          <w:highlight w:val="none"/>
        </w:rPr>
      </w:pPr>
    </w:p>
    <w:p w14:paraId="1BA3803B">
      <w:pPr>
        <w:spacing w:line="480" w:lineRule="auto"/>
        <w:ind w:firstLine="480" w:firstLineChars="200"/>
        <w:rPr>
          <w:rFonts w:hint="eastAsia" w:ascii="仿宋" w:hAnsi="仿宋" w:eastAsia="仿宋" w:cs="仿宋"/>
          <w:color w:val="auto"/>
          <w:sz w:val="24"/>
          <w:szCs w:val="24"/>
          <w:highlight w:val="none"/>
        </w:rPr>
      </w:pPr>
    </w:p>
    <w:p w14:paraId="505A685E">
      <w:pPr>
        <w:spacing w:line="48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单位公章</w:t>
      </w:r>
      <w:r>
        <w:rPr>
          <w:rFonts w:hint="eastAsia" w:ascii="仿宋" w:hAnsi="仿宋" w:eastAsia="仿宋" w:cs="仿宋"/>
          <w:color w:val="auto"/>
          <w:sz w:val="24"/>
          <w:szCs w:val="24"/>
          <w:highlight w:val="none"/>
        </w:rPr>
        <w:t>）</w:t>
      </w:r>
    </w:p>
    <w:p w14:paraId="2A37413E">
      <w:pPr>
        <w:spacing w:line="48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日期：       年    月    日</w:t>
      </w:r>
    </w:p>
    <w:p w14:paraId="42035812">
      <w:pPr>
        <w:pStyle w:val="41"/>
        <w:spacing w:before="743" w:after="0" w:line="360" w:lineRule="auto"/>
        <w:jc w:val="left"/>
        <w:rPr>
          <w:rFonts w:hint="eastAsia" w:ascii="仿宋" w:hAnsi="仿宋" w:eastAsia="仿宋" w:cs="仿宋"/>
          <w:b/>
          <w:bCs/>
          <w:color w:val="auto"/>
          <w:kern w:val="2"/>
          <w:sz w:val="24"/>
          <w:szCs w:val="24"/>
          <w:highlight w:val="none"/>
          <w:lang w:eastAsia="zh-CN"/>
        </w:rPr>
      </w:pPr>
      <w:r>
        <w:rPr>
          <w:rFonts w:hint="eastAsia" w:ascii="仿宋" w:hAnsi="仿宋" w:eastAsia="仿宋" w:cs="仿宋"/>
          <w:b/>
          <w:bCs/>
          <w:color w:val="auto"/>
          <w:kern w:val="2"/>
          <w:sz w:val="24"/>
          <w:szCs w:val="24"/>
          <w:highlight w:val="none"/>
          <w:lang w:eastAsia="zh-CN"/>
        </w:rPr>
        <w:t>注：</w:t>
      </w:r>
    </w:p>
    <w:p w14:paraId="24895576">
      <w:pPr>
        <w:spacing w:line="48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1.若为符合政策规定条件的残疾人福利性单位需填写本声明函；</w:t>
      </w:r>
    </w:p>
    <w:p w14:paraId="7D809380">
      <w:pPr>
        <w:spacing w:line="480" w:lineRule="auto"/>
        <w:ind w:firstLine="482" w:firstLineChars="200"/>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rPr>
        <w:t>2.不享受残疾人福利性单位优先政策的供应商不需填写</w:t>
      </w:r>
      <w:r>
        <w:rPr>
          <w:rFonts w:hint="eastAsia" w:ascii="仿宋" w:hAnsi="仿宋" w:eastAsia="仿宋" w:cs="仿宋"/>
          <w:b/>
          <w:bCs/>
          <w:color w:val="auto"/>
          <w:sz w:val="24"/>
          <w:szCs w:val="24"/>
          <w:highlight w:val="none"/>
          <w:lang w:eastAsia="zh-CN"/>
        </w:rPr>
        <w:t>；</w:t>
      </w:r>
    </w:p>
    <w:p w14:paraId="20945DF6">
      <w:pPr>
        <w:spacing w:line="480" w:lineRule="auto"/>
        <w:ind w:firstLine="482"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3.成交</w:t>
      </w:r>
      <w:r>
        <w:rPr>
          <w:rFonts w:hint="eastAsia" w:ascii="仿宋" w:hAnsi="仿宋" w:eastAsia="仿宋" w:cs="仿宋"/>
          <w:b/>
          <w:bCs/>
          <w:color w:val="auto"/>
          <w:sz w:val="24"/>
          <w:szCs w:val="24"/>
          <w:highlight w:val="none"/>
          <w:lang w:eastAsia="zh-CN"/>
        </w:rPr>
        <w:t>供应商为残疾人福利性单位的，其《残疾人福利性单位声明函》将随</w:t>
      </w:r>
      <w:r>
        <w:rPr>
          <w:rFonts w:hint="eastAsia" w:ascii="仿宋" w:hAnsi="仿宋" w:eastAsia="仿宋" w:cs="仿宋"/>
          <w:b/>
          <w:bCs/>
          <w:color w:val="auto"/>
          <w:sz w:val="24"/>
          <w:szCs w:val="24"/>
          <w:highlight w:val="none"/>
          <w:lang w:val="en-US" w:eastAsia="zh-CN"/>
        </w:rPr>
        <w:t>成交</w:t>
      </w:r>
      <w:r>
        <w:rPr>
          <w:rFonts w:hint="eastAsia" w:ascii="仿宋" w:hAnsi="仿宋" w:eastAsia="仿宋" w:cs="仿宋"/>
          <w:b/>
          <w:bCs/>
          <w:color w:val="auto"/>
          <w:sz w:val="24"/>
          <w:szCs w:val="24"/>
          <w:highlight w:val="none"/>
          <w:lang w:eastAsia="zh-CN"/>
        </w:rPr>
        <w:t>结果同时公告，接受社会监督。供应商提供的《残疾人福利性单位声明函》与事实不符的，依照《中华人民共和国政府采购法》第七十七条第一款的规定追究法律责任。</w:t>
      </w:r>
    </w:p>
    <w:p w14:paraId="235F8E40">
      <w:pPr>
        <w:pStyle w:val="4"/>
        <w:numPr>
          <w:ilvl w:val="0"/>
          <w:numId w:val="0"/>
        </w:numPr>
        <w:tabs>
          <w:tab w:val="left" w:pos="600"/>
        </w:tabs>
        <w:jc w:val="center"/>
        <w:rPr>
          <w:rFonts w:hint="eastAsia" w:ascii="仿宋" w:hAnsi="仿宋" w:eastAsia="仿宋" w:cs="仿宋"/>
          <w:b/>
          <w:color w:val="auto"/>
          <w:sz w:val="28"/>
          <w:szCs w:val="28"/>
          <w:highlight w:val="none"/>
          <w:lang w:val="en-US" w:eastAsia="zh-CN"/>
        </w:rPr>
      </w:pPr>
      <w:bookmarkStart w:id="225" w:name="_Toc24310"/>
      <w:r>
        <w:rPr>
          <w:rFonts w:hint="eastAsia" w:ascii="仿宋" w:hAnsi="仿宋" w:eastAsia="仿宋" w:cs="仿宋"/>
          <w:b/>
          <w:color w:val="auto"/>
          <w:sz w:val="28"/>
          <w:szCs w:val="28"/>
          <w:highlight w:val="none"/>
          <w:lang w:val="en-US" w:eastAsia="zh-CN"/>
        </w:rPr>
        <w:t>监狱企业证明</w:t>
      </w:r>
      <w:bookmarkEnd w:id="225"/>
    </w:p>
    <w:p w14:paraId="04900DE9">
      <w:pPr>
        <w:spacing w:line="480" w:lineRule="auto"/>
        <w:ind w:firstLine="480" w:firstLineChars="200"/>
        <w:jc w:val="cente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（根据供应商自身情况如实提供）</w:t>
      </w:r>
    </w:p>
    <w:p w14:paraId="6B7A1075">
      <w:pPr>
        <w:spacing w:line="48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930BABB">
      <w:pPr>
        <w:spacing w:line="48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监狱企业参加政府采购活动时，应当提供由省级以上监狱管理局、戒毒管理局（含新疆生产建设兵团）出具的属于监狱企业的证明文件。</w:t>
      </w:r>
    </w:p>
    <w:p w14:paraId="41C1B29C">
      <w:pPr>
        <w:spacing w:line="480" w:lineRule="auto"/>
        <w:ind w:firstLine="480" w:firstLineChars="200"/>
        <w:rPr>
          <w:rFonts w:hint="eastAsia" w:ascii="仿宋" w:hAnsi="仿宋" w:eastAsia="仿宋" w:cs="仿宋"/>
          <w:color w:val="auto"/>
          <w:sz w:val="24"/>
          <w:szCs w:val="24"/>
          <w:highlight w:val="none"/>
          <w:lang w:val="en-US" w:eastAsia="zh-CN"/>
        </w:rPr>
      </w:pPr>
    </w:p>
    <w:p w14:paraId="698E70B8">
      <w:pPr>
        <w:pStyle w:val="17"/>
        <w:ind w:left="0" w:leftChars="0" w:firstLine="0" w:firstLineChars="0"/>
        <w:rPr>
          <w:rFonts w:hint="eastAsia" w:ascii="仿宋" w:hAnsi="仿宋" w:eastAsia="仿宋" w:cs="仿宋"/>
          <w:color w:val="auto"/>
          <w:sz w:val="24"/>
          <w:szCs w:val="24"/>
          <w:highlight w:val="none"/>
          <w:lang w:val="en-US" w:eastAsia="zh-CN"/>
        </w:rPr>
      </w:pPr>
    </w:p>
    <w:p w14:paraId="19F3E038">
      <w:pPr>
        <w:rPr>
          <w:rFonts w:hint="eastAsia" w:ascii="仿宋" w:hAnsi="仿宋" w:eastAsia="仿宋" w:cs="仿宋"/>
          <w:color w:val="auto"/>
          <w:sz w:val="24"/>
          <w:szCs w:val="24"/>
          <w:highlight w:val="none"/>
          <w:lang w:val="en-US" w:eastAsia="zh-CN"/>
        </w:rPr>
      </w:pPr>
    </w:p>
    <w:p w14:paraId="2AEB7163">
      <w:pPr>
        <w:pStyle w:val="17"/>
        <w:rPr>
          <w:rFonts w:hint="eastAsia" w:ascii="仿宋" w:hAnsi="仿宋" w:eastAsia="仿宋" w:cs="仿宋"/>
          <w:color w:val="auto"/>
          <w:sz w:val="24"/>
          <w:szCs w:val="24"/>
          <w:highlight w:val="none"/>
          <w:lang w:val="en-US" w:eastAsia="zh-CN"/>
        </w:rPr>
      </w:pPr>
    </w:p>
    <w:p w14:paraId="027912CD">
      <w:pPr>
        <w:spacing w:line="48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单位公章</w:t>
      </w:r>
      <w:r>
        <w:rPr>
          <w:rFonts w:hint="eastAsia" w:ascii="仿宋" w:hAnsi="仿宋" w:eastAsia="仿宋" w:cs="仿宋"/>
          <w:color w:val="auto"/>
          <w:sz w:val="24"/>
          <w:szCs w:val="24"/>
          <w:highlight w:val="none"/>
        </w:rPr>
        <w:t>）</w:t>
      </w:r>
    </w:p>
    <w:p w14:paraId="1830A1C1">
      <w:pPr>
        <w:spacing w:line="48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（签名或签章）</w:t>
      </w:r>
    </w:p>
    <w:p w14:paraId="62DDBC01">
      <w:pPr>
        <w:spacing w:line="48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日期：       年    月    日</w:t>
      </w:r>
    </w:p>
    <w:p w14:paraId="1660107A">
      <w:pPr>
        <w:topLinePunct/>
        <w:spacing w:before="4" w:line="360" w:lineRule="auto"/>
        <w:rPr>
          <w:rFonts w:hint="eastAsia" w:ascii="仿宋" w:hAnsi="仿宋" w:eastAsia="仿宋" w:cs="仿宋"/>
          <w:color w:val="auto"/>
          <w:sz w:val="24"/>
          <w:szCs w:val="24"/>
          <w:highlight w:val="none"/>
        </w:rPr>
      </w:pPr>
    </w:p>
    <w:p w14:paraId="7ADE5184">
      <w:pPr>
        <w:spacing w:line="360" w:lineRule="auto"/>
        <w:rPr>
          <w:rFonts w:hint="eastAsia" w:ascii="仿宋" w:hAnsi="仿宋" w:eastAsia="仿宋" w:cs="仿宋"/>
          <w:color w:val="auto"/>
          <w:highlight w:val="none"/>
          <w:lang w:val="en-US" w:eastAsia="zh-CN"/>
        </w:rPr>
      </w:pPr>
    </w:p>
    <w:p w14:paraId="4A9FD1F5">
      <w:pPr>
        <w:pStyle w:val="34"/>
        <w:spacing w:line="360" w:lineRule="auto"/>
        <w:rPr>
          <w:rFonts w:hint="eastAsia" w:ascii="仿宋" w:hAnsi="仿宋" w:eastAsia="仿宋" w:cs="仿宋"/>
          <w:color w:val="auto"/>
          <w:highlight w:val="none"/>
          <w:lang w:val="en-US" w:eastAsia="zh-CN"/>
        </w:rPr>
      </w:pPr>
    </w:p>
    <w:p w14:paraId="3F6B271E">
      <w:pPr>
        <w:pStyle w:val="34"/>
        <w:spacing w:line="360" w:lineRule="auto"/>
        <w:rPr>
          <w:rFonts w:hint="eastAsia" w:ascii="仿宋" w:hAnsi="仿宋" w:eastAsia="仿宋" w:cs="仿宋"/>
          <w:color w:val="auto"/>
          <w:highlight w:val="none"/>
          <w:lang w:val="en-US" w:eastAsia="zh-CN"/>
        </w:rPr>
      </w:pPr>
    </w:p>
    <w:sectPr>
      <w:pgSz w:w="11911" w:h="16838"/>
      <w:pgMar w:top="1417" w:right="1417" w:bottom="1417" w:left="1417" w:header="567" w:footer="283" w:gutter="0"/>
      <w:pgNumType w:fmt="decimal"/>
      <w:cols w:space="720" w:num="1"/>
      <w:titlePg/>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script"/>
    <w:pitch w:val="default"/>
    <w:sig w:usb0="A00002BF" w:usb1="38CF7CFA" w:usb2="00082016" w:usb3="00000000" w:csb0="00040001"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S Sans Serif">
    <w:altName w:val="Arial"/>
    <w:panose1 w:val="00000000000000000000"/>
    <w:charset w:val="00"/>
    <w:family w:val="swiss"/>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B4A79">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40FD70">
    <w:pPr>
      <w:pStyle w:val="13"/>
    </w:pPr>
    <w:r>
      <w:rPr>
        <w:rFonts w:hint="eastAsia"/>
      </w:rPr>
      <w:drawing>
        <wp:anchor distT="0" distB="0" distL="114300" distR="114300" simplePos="0" relativeHeight="251660288" behindDoc="0" locked="0" layoutInCell="1" allowOverlap="1">
          <wp:simplePos x="0" y="0"/>
          <wp:positionH relativeFrom="column">
            <wp:posOffset>-100330</wp:posOffset>
          </wp:positionH>
          <wp:positionV relativeFrom="paragraph">
            <wp:posOffset>-233680</wp:posOffset>
          </wp:positionV>
          <wp:extent cx="2061210" cy="222885"/>
          <wp:effectExtent l="0" t="0" r="15240" b="5715"/>
          <wp:wrapSquare wrapText="bothSides"/>
          <wp:docPr id="10" name="图片 30"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0" descr="logo2"/>
                  <pic:cNvPicPr>
                    <a:picLocks noChangeAspect="1"/>
                  </pic:cNvPicPr>
                </pic:nvPicPr>
                <pic:blipFill>
                  <a:blip r:embed="rId1"/>
                  <a:stretch>
                    <a:fillRect/>
                  </a:stretch>
                </pic:blipFill>
                <pic:spPr>
                  <a:xfrm>
                    <a:off x="0" y="0"/>
                    <a:ext cx="2061210" cy="222885"/>
                  </a:xfrm>
                  <a:prstGeom prst="rect">
                    <a:avLst/>
                  </a:prstGeom>
                  <a:noFill/>
                  <a:ln>
                    <a:noFill/>
                  </a:ln>
                </pic:spPr>
              </pic:pic>
            </a:graphicData>
          </a:graphic>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61A66A">
    <w:pPr>
      <w:pStyle w:val="13"/>
      <w:tabs>
        <w:tab w:val="clear" w:pos="4153"/>
      </w:tabs>
      <w:jc w:val="both"/>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CED6BE">
                          <w:pPr>
                            <w:pStyle w:val="1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BCED6BE">
                    <w:pPr>
                      <w:pStyle w:val="13"/>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rPr>
      <w:drawing>
        <wp:anchor distT="0" distB="0" distL="114300" distR="114300" simplePos="0" relativeHeight="251662336" behindDoc="0" locked="0" layoutInCell="1" allowOverlap="1">
          <wp:simplePos x="0" y="0"/>
          <wp:positionH relativeFrom="column">
            <wp:posOffset>-100330</wp:posOffset>
          </wp:positionH>
          <wp:positionV relativeFrom="paragraph">
            <wp:posOffset>-233680</wp:posOffset>
          </wp:positionV>
          <wp:extent cx="2061210" cy="222885"/>
          <wp:effectExtent l="0" t="0" r="15240" b="5715"/>
          <wp:wrapSquare wrapText="bothSides"/>
          <wp:docPr id="12" name="图片 30"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30" descr="logo2"/>
                  <pic:cNvPicPr>
                    <a:picLocks noChangeAspect="1"/>
                  </pic:cNvPicPr>
                </pic:nvPicPr>
                <pic:blipFill>
                  <a:blip r:embed="rId1"/>
                  <a:stretch>
                    <a:fillRect/>
                  </a:stretch>
                </pic:blipFill>
                <pic:spPr>
                  <a:xfrm>
                    <a:off x="0" y="0"/>
                    <a:ext cx="2061210" cy="222885"/>
                  </a:xfrm>
                  <a:prstGeom prst="rect">
                    <a:avLst/>
                  </a:prstGeom>
                  <a:noFill/>
                  <a:ln>
                    <a:noFill/>
                  </a:ln>
                </pic:spPr>
              </pic:pic>
            </a:graphicData>
          </a:graphic>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E05AA">
    <w:pPr>
      <w:pStyle w:val="13"/>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C8A2BF">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0C8A2BF">
                    <w:pPr>
                      <w:pStyle w:val="13"/>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drawing>
        <wp:anchor distT="0" distB="0" distL="114300" distR="114300" simplePos="0" relativeHeight="251661312" behindDoc="0" locked="0" layoutInCell="1" allowOverlap="1">
          <wp:simplePos x="0" y="0"/>
          <wp:positionH relativeFrom="column">
            <wp:posOffset>-100330</wp:posOffset>
          </wp:positionH>
          <wp:positionV relativeFrom="paragraph">
            <wp:posOffset>-233680</wp:posOffset>
          </wp:positionV>
          <wp:extent cx="2061210" cy="222885"/>
          <wp:effectExtent l="0" t="0" r="15240" b="5715"/>
          <wp:wrapSquare wrapText="bothSides"/>
          <wp:docPr id="11" name="图片 30"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0" descr="logo2"/>
                  <pic:cNvPicPr>
                    <a:picLocks noChangeAspect="1"/>
                  </pic:cNvPicPr>
                </pic:nvPicPr>
                <pic:blipFill>
                  <a:blip r:embed="rId1"/>
                  <a:stretch>
                    <a:fillRect/>
                  </a:stretch>
                </pic:blipFill>
                <pic:spPr>
                  <a:xfrm>
                    <a:off x="0" y="0"/>
                    <a:ext cx="2061210" cy="222885"/>
                  </a:xfrm>
                  <a:prstGeom prst="rect">
                    <a:avLst/>
                  </a:prstGeom>
                  <a:noFill/>
                  <a:ln>
                    <a:noFill/>
                  </a:ln>
                </pic:spPr>
              </pic:pic>
            </a:graphicData>
          </a:graphic>
        </wp:anchor>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48362">
    <w:pPr>
      <w:pStyle w:val="13"/>
      <w:rPr>
        <w:lang w:eastAsia="en-US"/>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075D66">
                          <w:pPr>
                            <w:pStyle w:val="13"/>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2075D66">
                    <w:pPr>
                      <w:pStyle w:val="13"/>
                    </w:pPr>
                    <w:r>
                      <w:fldChar w:fldCharType="begin"/>
                    </w:r>
                    <w:r>
                      <w:instrText xml:space="preserve"> PAGE  \* MERGEFORMAT </w:instrText>
                    </w:r>
                    <w:r>
                      <w:fldChar w:fldCharType="separate"/>
                    </w:r>
                    <w:r>
                      <w:t>33</w:t>
                    </w:r>
                    <w:r>
                      <w:fldChar w:fldCharType="end"/>
                    </w:r>
                  </w:p>
                </w:txbxContent>
              </v:textbox>
            </v:shape>
          </w:pict>
        </mc:Fallback>
      </mc:AlternateContent>
    </w:r>
    <w:r>
      <w:rPr>
        <w:rFonts w:hint="eastAsia"/>
      </w:rPr>
      <w:drawing>
        <wp:anchor distT="0" distB="0" distL="114300" distR="114300" simplePos="0" relativeHeight="251664384" behindDoc="0" locked="0" layoutInCell="1" allowOverlap="1">
          <wp:simplePos x="0" y="0"/>
          <wp:positionH relativeFrom="column">
            <wp:posOffset>-104140</wp:posOffset>
          </wp:positionH>
          <wp:positionV relativeFrom="paragraph">
            <wp:posOffset>-233680</wp:posOffset>
          </wp:positionV>
          <wp:extent cx="2061210" cy="222885"/>
          <wp:effectExtent l="0" t="0" r="15240" b="5715"/>
          <wp:wrapSquare wrapText="bothSides"/>
          <wp:docPr id="18" name="图片 30"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0" descr="logo2"/>
                  <pic:cNvPicPr>
                    <a:picLocks noChangeAspect="1"/>
                  </pic:cNvPicPr>
                </pic:nvPicPr>
                <pic:blipFill>
                  <a:blip r:embed="rId1"/>
                  <a:stretch>
                    <a:fillRect/>
                  </a:stretch>
                </pic:blipFill>
                <pic:spPr>
                  <a:xfrm>
                    <a:off x="0" y="0"/>
                    <a:ext cx="2061210" cy="222885"/>
                  </a:xfrm>
                  <a:prstGeom prst="rect">
                    <a:avLst/>
                  </a:prstGeom>
                  <a:noFill/>
                  <a:ln>
                    <a:noFill/>
                  </a:ln>
                </pic:spPr>
              </pic:pic>
            </a:graphicData>
          </a:graphic>
        </wp:anchor>
      </w:drawing>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297BDC">
    <w:pPr>
      <w:pStyle w:val="13"/>
      <w:rPr>
        <w:lang w:val="en-US" w:eastAsia="zh-CN"/>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081362">
                          <w:pPr>
                            <w:pStyle w:val="13"/>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3081362">
                    <w:pPr>
                      <w:pStyle w:val="13"/>
                    </w:pPr>
                    <w:r>
                      <w:fldChar w:fldCharType="begin"/>
                    </w:r>
                    <w:r>
                      <w:instrText xml:space="preserve"> PAGE  \* MERGEFORMAT </w:instrText>
                    </w:r>
                    <w:r>
                      <w:fldChar w:fldCharType="separate"/>
                    </w:r>
                    <w:r>
                      <w:t>32</w:t>
                    </w:r>
                    <w:r>
                      <w:fldChar w:fldCharType="end"/>
                    </w:r>
                  </w:p>
                </w:txbxContent>
              </v:textbox>
            </v:shape>
          </w:pict>
        </mc:Fallback>
      </mc:AlternateContent>
    </w:r>
    <w:r>
      <w:rPr>
        <w:rFonts w:hint="eastAsia"/>
      </w:rPr>
      <w:drawing>
        <wp:anchor distT="0" distB="0" distL="114300" distR="114300" simplePos="0" relativeHeight="251663360" behindDoc="0" locked="0" layoutInCell="1" allowOverlap="1">
          <wp:simplePos x="0" y="0"/>
          <wp:positionH relativeFrom="column">
            <wp:posOffset>-104140</wp:posOffset>
          </wp:positionH>
          <wp:positionV relativeFrom="paragraph">
            <wp:posOffset>-233680</wp:posOffset>
          </wp:positionV>
          <wp:extent cx="2061210" cy="222885"/>
          <wp:effectExtent l="0" t="0" r="15240" b="5715"/>
          <wp:wrapSquare wrapText="bothSides"/>
          <wp:docPr id="16" name="图片 30"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0" descr="logo2"/>
                  <pic:cNvPicPr>
                    <a:picLocks noChangeAspect="1"/>
                  </pic:cNvPicPr>
                </pic:nvPicPr>
                <pic:blipFill>
                  <a:blip r:embed="rId1"/>
                  <a:stretch>
                    <a:fillRect/>
                  </a:stretch>
                </pic:blipFill>
                <pic:spPr>
                  <a:xfrm>
                    <a:off x="0" y="0"/>
                    <a:ext cx="2061210" cy="222885"/>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7087E">
    <w:pPr>
      <w:pBdr>
        <w:bottom w:val="none" w:color="auto" w:sz="0" w:space="0"/>
      </w:pBdr>
      <w:jc w:val="left"/>
      <w:rPr>
        <w:rFonts w:hint="eastAsia" w:ascii="仿宋" w:hAnsi="仿宋" w:eastAsia="仿宋" w:cs="仿宋"/>
        <w:color w:val="8496B0" w:themeColor="text2" w:themeTint="99"/>
        <w:sz w:val="24"/>
        <w:szCs w:val="24"/>
        <w:highlight w:val="none"/>
        <w:lang w:val="en-US" w:eastAsia="zh-CN"/>
        <w14:textFill>
          <w14:gradFill>
            <w14:gsLst>
              <w14:gs w14:pos="51300">
                <w14:srgbClr w14:val="32B0EA"/>
              </w14:gs>
              <w14:gs w14:pos="0">
                <w14:srgbClr w14:val="005F9F"/>
              </w14:gs>
              <w14:gs w14:pos="100000">
                <w14:srgbClr w14:val="ADDCE1"/>
              </w14:gs>
            </w14:gsLst>
            <w14:lin w14:ang="5400000" w14:scaled="1"/>
          </w14:gradFill>
        </w14:textFill>
      </w:rPr>
    </w:pPr>
  </w:p>
  <w:p w14:paraId="2A6CA78F">
    <w:pPr>
      <w:pBdr>
        <w:bottom w:val="single" w:color="auto" w:sz="4" w:space="0"/>
      </w:pBdr>
      <w:jc w:val="left"/>
      <w:rPr>
        <w:rFonts w:hint="eastAsia" w:ascii="宋体" w:hAnsi="宋体" w:eastAsia="宋体" w:cs="宋体"/>
        <w:color w:val="002060"/>
        <w:w w:val="80"/>
        <w:sz w:val="21"/>
        <w:szCs w:val="21"/>
      </w:rPr>
    </w:pPr>
    <w:r>
      <w:rPr>
        <w:rFonts w:hint="eastAsia" w:ascii="仿宋" w:hAnsi="仿宋" w:eastAsia="仿宋" w:cs="仿宋"/>
        <w:color w:val="002060"/>
        <w:sz w:val="21"/>
        <w:szCs w:val="21"/>
        <w:highlight w:val="none"/>
        <w:lang w:val="en-US" w:eastAsia="zh-CN"/>
      </w:rPr>
      <w:t>富宁县人民医院提标扩能项目监理服务采购项目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D31FF">
    <w:pPr>
      <w:pBdr>
        <w:bottom w:val="none" w:color="auto" w:sz="0" w:space="0"/>
      </w:pBdr>
      <w:jc w:val="left"/>
      <w:rPr>
        <w:rFonts w:hint="eastAsia" w:ascii="仿宋" w:hAnsi="仿宋" w:eastAsia="仿宋" w:cs="仿宋"/>
        <w:color w:val="8496B0" w:themeColor="text2" w:themeTint="99"/>
        <w:sz w:val="24"/>
        <w:szCs w:val="24"/>
        <w:highlight w:val="none"/>
        <w:lang w:val="en-US" w:eastAsia="zh-CN"/>
        <w14:textFill>
          <w14:gradFill>
            <w14:gsLst>
              <w14:gs w14:pos="51300">
                <w14:srgbClr w14:val="32B0EA"/>
              </w14:gs>
              <w14:gs w14:pos="0">
                <w14:srgbClr w14:val="005F9F"/>
              </w14:gs>
              <w14:gs w14:pos="100000">
                <w14:srgbClr w14:val="ADDCE1"/>
              </w14:gs>
            </w14:gsLst>
            <w14:lin w14:ang="5400000" w14:scaled="1"/>
          </w14:gradFill>
        </w14:textFill>
      </w:rPr>
    </w:pPr>
  </w:p>
  <w:p w14:paraId="5E553D9E">
    <w:pPr>
      <w:pBdr>
        <w:bottom w:val="single" w:color="auto" w:sz="4" w:space="0"/>
      </w:pBdr>
      <w:jc w:val="left"/>
      <w:rPr>
        <w:color w:val="002060"/>
        <w:sz w:val="21"/>
        <w:szCs w:val="21"/>
      </w:rPr>
    </w:pPr>
    <w:r>
      <w:rPr>
        <w:rFonts w:hint="eastAsia" w:ascii="仿宋" w:hAnsi="仿宋" w:eastAsia="仿宋" w:cs="仿宋"/>
        <w:color w:val="002060"/>
        <w:sz w:val="21"/>
        <w:szCs w:val="21"/>
        <w:highlight w:val="none"/>
        <w:lang w:val="en-US" w:eastAsia="zh-CN"/>
      </w:rPr>
      <w:t>富宁县人民医院提标扩能项目监理服务采购项目                             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BC5DCE">
    <w:pPr>
      <w:pBdr>
        <w:bottom w:val="none" w:color="auto" w:sz="0" w:space="0"/>
      </w:pBdr>
      <w:jc w:val="left"/>
      <w:rPr>
        <w:rFonts w:hint="eastAsia" w:ascii="仿宋" w:hAnsi="仿宋" w:eastAsia="仿宋" w:cs="仿宋"/>
        <w:color w:val="8496B0" w:themeColor="text2" w:themeTint="99"/>
        <w:sz w:val="24"/>
        <w:szCs w:val="24"/>
        <w:highlight w:val="none"/>
        <w:lang w:val="en-US" w:eastAsia="zh-CN"/>
        <w14:textFill>
          <w14:gradFill>
            <w14:gsLst>
              <w14:gs w14:pos="51300">
                <w14:srgbClr w14:val="32B0EA"/>
              </w14:gs>
              <w14:gs w14:pos="0">
                <w14:srgbClr w14:val="005F9F"/>
              </w14:gs>
              <w14:gs w14:pos="100000">
                <w14:srgbClr w14:val="ADDCE1"/>
              </w14:gs>
            </w14:gsLst>
            <w14:lin w14:ang="5400000" w14:scaled="1"/>
          </w14:gradFill>
        </w14:textFill>
      </w:rPr>
    </w:pPr>
  </w:p>
  <w:p w14:paraId="1DC0B804">
    <w:pPr>
      <w:pBdr>
        <w:bottom w:val="single" w:color="auto" w:sz="4" w:space="0"/>
      </w:pBdr>
      <w:jc w:val="left"/>
      <w:rPr>
        <w:rFonts w:hint="eastAsia" w:eastAsia="微软雅黑"/>
        <w:color w:val="002060"/>
        <w:sz w:val="21"/>
        <w:szCs w:val="21"/>
        <w:lang w:eastAsia="zh-CN"/>
      </w:rPr>
    </w:pPr>
    <w:r>
      <w:rPr>
        <w:rFonts w:hint="eastAsia" w:ascii="仿宋" w:hAnsi="仿宋" w:eastAsia="仿宋" w:cs="仿宋"/>
        <w:color w:val="002060"/>
        <w:sz w:val="21"/>
        <w:szCs w:val="21"/>
        <w:highlight w:val="none"/>
        <w:lang w:val="en-US" w:eastAsia="zh-CN"/>
      </w:rPr>
      <w:t>富宁县人民医院提标扩能项目监理服务采购项目                          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0E776D">
    <w:pPr>
      <w:pStyle w:val="14"/>
      <w:pBdr>
        <w:bottom w:val="none" w:color="auto" w:sz="0" w:space="1"/>
      </w:pBdr>
      <w:rPr>
        <w:rFonts w:hint="eastAsia" w:ascii="仿宋" w:hAnsi="仿宋" w:eastAsia="仿宋" w:cs="仿宋"/>
        <w:color w:val="8496B0" w:themeColor="text2" w:themeTint="99"/>
        <w:sz w:val="24"/>
        <w:szCs w:val="24"/>
        <w:highlight w:val="none"/>
        <w:lang w:val="en-US" w:eastAsia="zh-CN"/>
        <w14:textFill>
          <w14:gradFill>
            <w14:gsLst>
              <w14:gs w14:pos="51300">
                <w14:srgbClr w14:val="32B0EA"/>
              </w14:gs>
              <w14:gs w14:pos="0">
                <w14:srgbClr w14:val="005F9F"/>
              </w14:gs>
              <w14:gs w14:pos="100000">
                <w14:srgbClr w14:val="ADDCE1"/>
              </w14:gs>
            </w14:gsLst>
            <w14:lin w14:ang="5400000" w14:scaled="1"/>
          </w14:gradFill>
        </w14:textFill>
      </w:rPr>
    </w:pPr>
  </w:p>
  <w:p w14:paraId="420C7C6D">
    <w:pPr>
      <w:pStyle w:val="14"/>
      <w:pBdr>
        <w:bottom w:val="single" w:color="auto" w:sz="4" w:space="1"/>
      </w:pBdr>
      <w:rPr>
        <w:color w:val="002060"/>
        <w:sz w:val="21"/>
        <w:szCs w:val="21"/>
        <w:lang w:val="en-US" w:eastAsia="en-US"/>
      </w:rPr>
    </w:pPr>
    <w:r>
      <w:rPr>
        <w:rFonts w:hint="eastAsia" w:ascii="仿宋" w:hAnsi="仿宋" w:eastAsia="仿宋" w:cs="仿宋"/>
        <w:color w:val="002060"/>
        <w:sz w:val="21"/>
        <w:szCs w:val="21"/>
        <w:highlight w:val="none"/>
        <w:lang w:val="en-US" w:eastAsia="zh-CN"/>
      </w:rPr>
      <w:t>富宁县人民医院提标扩能项目监理服务采购项目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3E8ABC"/>
    <w:multiLevelType w:val="singleLevel"/>
    <w:tmpl w:val="883E8ABC"/>
    <w:lvl w:ilvl="0" w:tentative="0">
      <w:start w:val="1"/>
      <w:numFmt w:val="decimal"/>
      <w:suff w:val="nothing"/>
      <w:lvlText w:val="（%1）"/>
      <w:lvlJc w:val="left"/>
    </w:lvl>
  </w:abstractNum>
  <w:abstractNum w:abstractNumId="1">
    <w:nsid w:val="9A12A7AB"/>
    <w:multiLevelType w:val="multilevel"/>
    <w:tmpl w:val="9A12A7AB"/>
    <w:lvl w:ilvl="0" w:tentative="0">
      <w:start w:val="1"/>
      <w:numFmt w:val="decimal"/>
      <w:lvlText w:val="%1."/>
      <w:lvlJc w:val="left"/>
      <w:pPr>
        <w:tabs>
          <w:tab w:val="left" w:pos="312"/>
        </w:tabs>
      </w:p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9C0BAF89"/>
    <w:multiLevelType w:val="singleLevel"/>
    <w:tmpl w:val="9C0BAF89"/>
    <w:lvl w:ilvl="0" w:tentative="0">
      <w:start w:val="8"/>
      <w:numFmt w:val="chineseCounting"/>
      <w:suff w:val="nothing"/>
      <w:lvlText w:val="%1、"/>
      <w:lvlJc w:val="left"/>
      <w:rPr>
        <w:rFonts w:hint="eastAsia"/>
      </w:rPr>
    </w:lvl>
  </w:abstractNum>
  <w:abstractNum w:abstractNumId="3">
    <w:nsid w:val="FE3D6D33"/>
    <w:multiLevelType w:val="singleLevel"/>
    <w:tmpl w:val="FE3D6D33"/>
    <w:lvl w:ilvl="0" w:tentative="0">
      <w:start w:val="4"/>
      <w:numFmt w:val="chineseCounting"/>
      <w:suff w:val="nothing"/>
      <w:lvlText w:val="（%1）"/>
      <w:lvlJc w:val="left"/>
      <w:rPr>
        <w:rFonts w:hint="eastAsia"/>
      </w:rPr>
    </w:lvl>
  </w:abstractNum>
  <w:abstractNum w:abstractNumId="4">
    <w:nsid w:val="00000005"/>
    <w:multiLevelType w:val="multilevel"/>
    <w:tmpl w:val="00000005"/>
    <w:lvl w:ilvl="0" w:tentative="0">
      <w:start w:val="1"/>
      <w:numFmt w:val="decimal"/>
      <w:pStyle w:val="4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048F707B"/>
    <w:multiLevelType w:val="singleLevel"/>
    <w:tmpl w:val="048F707B"/>
    <w:lvl w:ilvl="0" w:tentative="0">
      <w:start w:val="6"/>
      <w:numFmt w:val="chineseCounting"/>
      <w:suff w:val="nothing"/>
      <w:lvlText w:val="（%1）"/>
      <w:lvlJc w:val="left"/>
      <w:rPr>
        <w:rFonts w:hint="eastAsia"/>
      </w:rPr>
    </w:lvl>
  </w:abstractNum>
  <w:abstractNum w:abstractNumId="6">
    <w:nsid w:val="15D9A5D8"/>
    <w:multiLevelType w:val="singleLevel"/>
    <w:tmpl w:val="15D9A5D8"/>
    <w:lvl w:ilvl="0" w:tentative="0">
      <w:start w:val="1"/>
      <w:numFmt w:val="decimal"/>
      <w:suff w:val="nothing"/>
      <w:lvlText w:val="（%1）"/>
      <w:lvlJc w:val="left"/>
    </w:lvl>
  </w:abstractNum>
  <w:abstractNum w:abstractNumId="7">
    <w:nsid w:val="39813C4E"/>
    <w:multiLevelType w:val="multilevel"/>
    <w:tmpl w:val="39813C4E"/>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3"/>
  </w:num>
  <w:num w:numId="3">
    <w:abstractNumId w:val="5"/>
  </w:num>
  <w:num w:numId="4">
    <w:abstractNumId w:val="1"/>
  </w:num>
  <w:num w:numId="5">
    <w:abstractNumId w:val="0"/>
  </w:num>
  <w:num w:numId="6">
    <w:abstractNumId w:val="6"/>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hN2ZiOWU5NTBlNjVlZTRmMDMyNThlZmJkNGNmYjkifQ=="/>
  </w:docVars>
  <w:rsids>
    <w:rsidRoot w:val="6006260A"/>
    <w:rsid w:val="00084B3B"/>
    <w:rsid w:val="009D00A0"/>
    <w:rsid w:val="00DF5504"/>
    <w:rsid w:val="00FA00A3"/>
    <w:rsid w:val="00FE48D3"/>
    <w:rsid w:val="010F2962"/>
    <w:rsid w:val="01527000"/>
    <w:rsid w:val="01FF6D90"/>
    <w:rsid w:val="02317AF5"/>
    <w:rsid w:val="03283B9C"/>
    <w:rsid w:val="033755DF"/>
    <w:rsid w:val="03EC0177"/>
    <w:rsid w:val="03F37758"/>
    <w:rsid w:val="041570F6"/>
    <w:rsid w:val="048E1E33"/>
    <w:rsid w:val="04F86CA7"/>
    <w:rsid w:val="05111D39"/>
    <w:rsid w:val="051756C8"/>
    <w:rsid w:val="0541763F"/>
    <w:rsid w:val="05946D18"/>
    <w:rsid w:val="05DE75CE"/>
    <w:rsid w:val="065F1113"/>
    <w:rsid w:val="06CE3A43"/>
    <w:rsid w:val="072F6440"/>
    <w:rsid w:val="075645D5"/>
    <w:rsid w:val="07594A68"/>
    <w:rsid w:val="07D71108"/>
    <w:rsid w:val="07EB7976"/>
    <w:rsid w:val="088F463C"/>
    <w:rsid w:val="08E9737B"/>
    <w:rsid w:val="0B186B99"/>
    <w:rsid w:val="0B785B46"/>
    <w:rsid w:val="0B967A6C"/>
    <w:rsid w:val="0C3E79DE"/>
    <w:rsid w:val="0C3F6E78"/>
    <w:rsid w:val="0C67251C"/>
    <w:rsid w:val="0C801DA5"/>
    <w:rsid w:val="0C937D2A"/>
    <w:rsid w:val="0CD62A3B"/>
    <w:rsid w:val="0D245C7F"/>
    <w:rsid w:val="0DD8176C"/>
    <w:rsid w:val="0E353553"/>
    <w:rsid w:val="0E9C279A"/>
    <w:rsid w:val="0E9E4764"/>
    <w:rsid w:val="0EB45D35"/>
    <w:rsid w:val="0F08619E"/>
    <w:rsid w:val="0FB25F6B"/>
    <w:rsid w:val="0FE8213B"/>
    <w:rsid w:val="1082606E"/>
    <w:rsid w:val="1089530E"/>
    <w:rsid w:val="10920432"/>
    <w:rsid w:val="112C78F5"/>
    <w:rsid w:val="112F0C0F"/>
    <w:rsid w:val="113A6EB5"/>
    <w:rsid w:val="114D03EB"/>
    <w:rsid w:val="11B75BF8"/>
    <w:rsid w:val="11C269BB"/>
    <w:rsid w:val="12132095"/>
    <w:rsid w:val="12601EAE"/>
    <w:rsid w:val="12962A8F"/>
    <w:rsid w:val="129A63CE"/>
    <w:rsid w:val="12B21A3F"/>
    <w:rsid w:val="13E91A01"/>
    <w:rsid w:val="149003F6"/>
    <w:rsid w:val="14994126"/>
    <w:rsid w:val="15155054"/>
    <w:rsid w:val="153F62C9"/>
    <w:rsid w:val="1557675D"/>
    <w:rsid w:val="158E5532"/>
    <w:rsid w:val="15D31B8A"/>
    <w:rsid w:val="160E6673"/>
    <w:rsid w:val="167A1613"/>
    <w:rsid w:val="1687350B"/>
    <w:rsid w:val="16BA2719"/>
    <w:rsid w:val="17854713"/>
    <w:rsid w:val="178F3F15"/>
    <w:rsid w:val="1875189B"/>
    <w:rsid w:val="18820C52"/>
    <w:rsid w:val="18E90CD1"/>
    <w:rsid w:val="19106403"/>
    <w:rsid w:val="19E0754F"/>
    <w:rsid w:val="1A824F3A"/>
    <w:rsid w:val="1B3135E7"/>
    <w:rsid w:val="1BBD2DFA"/>
    <w:rsid w:val="1C17421B"/>
    <w:rsid w:val="1CF30371"/>
    <w:rsid w:val="1CF3211F"/>
    <w:rsid w:val="1D12140B"/>
    <w:rsid w:val="1D235FBE"/>
    <w:rsid w:val="1D5F5A06"/>
    <w:rsid w:val="1D693B3D"/>
    <w:rsid w:val="1D706292"/>
    <w:rsid w:val="1D7E7C3A"/>
    <w:rsid w:val="1D7F1C04"/>
    <w:rsid w:val="1DA8115B"/>
    <w:rsid w:val="1DDE2DCF"/>
    <w:rsid w:val="1E21051B"/>
    <w:rsid w:val="1E4C5F8A"/>
    <w:rsid w:val="1E5A0A17"/>
    <w:rsid w:val="1E701206"/>
    <w:rsid w:val="1ECE257B"/>
    <w:rsid w:val="1F120F82"/>
    <w:rsid w:val="1FB837F0"/>
    <w:rsid w:val="1FE30F60"/>
    <w:rsid w:val="20032679"/>
    <w:rsid w:val="208C6FF3"/>
    <w:rsid w:val="21C916A0"/>
    <w:rsid w:val="21D10BCD"/>
    <w:rsid w:val="221D7E58"/>
    <w:rsid w:val="22250FCC"/>
    <w:rsid w:val="2297598E"/>
    <w:rsid w:val="23AB4C8F"/>
    <w:rsid w:val="2481372D"/>
    <w:rsid w:val="24AD52A9"/>
    <w:rsid w:val="24DA2E7B"/>
    <w:rsid w:val="25A22934"/>
    <w:rsid w:val="25C97EC1"/>
    <w:rsid w:val="2602658B"/>
    <w:rsid w:val="26263565"/>
    <w:rsid w:val="26856965"/>
    <w:rsid w:val="26890550"/>
    <w:rsid w:val="26A50C21"/>
    <w:rsid w:val="26BC7A25"/>
    <w:rsid w:val="272F1FA5"/>
    <w:rsid w:val="273243DA"/>
    <w:rsid w:val="276A0C56"/>
    <w:rsid w:val="276E2ACE"/>
    <w:rsid w:val="27827BF6"/>
    <w:rsid w:val="278C0D3B"/>
    <w:rsid w:val="280D0539"/>
    <w:rsid w:val="283970A2"/>
    <w:rsid w:val="29584B90"/>
    <w:rsid w:val="297E01B4"/>
    <w:rsid w:val="2A1262DA"/>
    <w:rsid w:val="2A1501FB"/>
    <w:rsid w:val="2A403FBB"/>
    <w:rsid w:val="2AB829C9"/>
    <w:rsid w:val="2AFD18B8"/>
    <w:rsid w:val="2B2A5CCA"/>
    <w:rsid w:val="2B3758CC"/>
    <w:rsid w:val="2C2212FA"/>
    <w:rsid w:val="2C4F3552"/>
    <w:rsid w:val="2C8C39F6"/>
    <w:rsid w:val="2CE02E6D"/>
    <w:rsid w:val="2D4D13D7"/>
    <w:rsid w:val="2D840716"/>
    <w:rsid w:val="2DB24101"/>
    <w:rsid w:val="2E2E745B"/>
    <w:rsid w:val="2EC41B6D"/>
    <w:rsid w:val="2EE87609"/>
    <w:rsid w:val="2F640588"/>
    <w:rsid w:val="2F8E0370"/>
    <w:rsid w:val="2FBE2BF3"/>
    <w:rsid w:val="2FC01B16"/>
    <w:rsid w:val="301C4E7D"/>
    <w:rsid w:val="30273B58"/>
    <w:rsid w:val="303074BA"/>
    <w:rsid w:val="304720AE"/>
    <w:rsid w:val="30DA358F"/>
    <w:rsid w:val="315658FD"/>
    <w:rsid w:val="3172765E"/>
    <w:rsid w:val="31E53A14"/>
    <w:rsid w:val="320501EC"/>
    <w:rsid w:val="3226690F"/>
    <w:rsid w:val="327F14F5"/>
    <w:rsid w:val="32BC05D9"/>
    <w:rsid w:val="32E0663F"/>
    <w:rsid w:val="32EC1EA1"/>
    <w:rsid w:val="338A2728"/>
    <w:rsid w:val="33D4015C"/>
    <w:rsid w:val="33E82F8C"/>
    <w:rsid w:val="3417273F"/>
    <w:rsid w:val="348A1163"/>
    <w:rsid w:val="34CB6DC9"/>
    <w:rsid w:val="3567542B"/>
    <w:rsid w:val="35977693"/>
    <w:rsid w:val="35D94150"/>
    <w:rsid w:val="36392E40"/>
    <w:rsid w:val="37461371"/>
    <w:rsid w:val="37734130"/>
    <w:rsid w:val="379B5625"/>
    <w:rsid w:val="38183B34"/>
    <w:rsid w:val="382615EC"/>
    <w:rsid w:val="38FB3B56"/>
    <w:rsid w:val="393647FB"/>
    <w:rsid w:val="39671A73"/>
    <w:rsid w:val="39930ABA"/>
    <w:rsid w:val="399A3BF6"/>
    <w:rsid w:val="39A0779A"/>
    <w:rsid w:val="39B35ED3"/>
    <w:rsid w:val="39BC291F"/>
    <w:rsid w:val="39BD1208"/>
    <w:rsid w:val="39C94F49"/>
    <w:rsid w:val="3A7A6716"/>
    <w:rsid w:val="3AED5FA8"/>
    <w:rsid w:val="3AFB06C4"/>
    <w:rsid w:val="3B7330CF"/>
    <w:rsid w:val="3BB844ED"/>
    <w:rsid w:val="3BBA35C8"/>
    <w:rsid w:val="3BDE5AB7"/>
    <w:rsid w:val="3CCF5D67"/>
    <w:rsid w:val="3D6637AC"/>
    <w:rsid w:val="3DBC63C8"/>
    <w:rsid w:val="3DC319F9"/>
    <w:rsid w:val="3E32264F"/>
    <w:rsid w:val="3F0B730C"/>
    <w:rsid w:val="3F0F2990"/>
    <w:rsid w:val="3F9454CB"/>
    <w:rsid w:val="3FA41B89"/>
    <w:rsid w:val="3FA806EF"/>
    <w:rsid w:val="427C7507"/>
    <w:rsid w:val="431F63BB"/>
    <w:rsid w:val="435C4848"/>
    <w:rsid w:val="438F40A0"/>
    <w:rsid w:val="44185E43"/>
    <w:rsid w:val="44E7630E"/>
    <w:rsid w:val="44EE64E7"/>
    <w:rsid w:val="450E5498"/>
    <w:rsid w:val="45336CAD"/>
    <w:rsid w:val="454629A0"/>
    <w:rsid w:val="45643D77"/>
    <w:rsid w:val="45BA56A0"/>
    <w:rsid w:val="467A56D6"/>
    <w:rsid w:val="46CE3131"/>
    <w:rsid w:val="47505F62"/>
    <w:rsid w:val="478D1745"/>
    <w:rsid w:val="47A64F4D"/>
    <w:rsid w:val="483D2170"/>
    <w:rsid w:val="484D62D8"/>
    <w:rsid w:val="484F02A2"/>
    <w:rsid w:val="48CB380D"/>
    <w:rsid w:val="48D83DF3"/>
    <w:rsid w:val="48DD765B"/>
    <w:rsid w:val="48E629B4"/>
    <w:rsid w:val="494C6E4D"/>
    <w:rsid w:val="4A080708"/>
    <w:rsid w:val="4A277718"/>
    <w:rsid w:val="4A2C1887"/>
    <w:rsid w:val="4A330784"/>
    <w:rsid w:val="4A880455"/>
    <w:rsid w:val="4B1E3591"/>
    <w:rsid w:val="4B766940"/>
    <w:rsid w:val="4B8B7843"/>
    <w:rsid w:val="4C1A2C55"/>
    <w:rsid w:val="4C2537F3"/>
    <w:rsid w:val="4CD018B4"/>
    <w:rsid w:val="4DCF6A2E"/>
    <w:rsid w:val="4DD20505"/>
    <w:rsid w:val="4E031912"/>
    <w:rsid w:val="4E8A2033"/>
    <w:rsid w:val="4EDD6607"/>
    <w:rsid w:val="4F400A75"/>
    <w:rsid w:val="4F6107F7"/>
    <w:rsid w:val="4F9D0E63"/>
    <w:rsid w:val="50104E80"/>
    <w:rsid w:val="50331F89"/>
    <w:rsid w:val="50626C80"/>
    <w:rsid w:val="51467C0D"/>
    <w:rsid w:val="52576C31"/>
    <w:rsid w:val="52595FA5"/>
    <w:rsid w:val="52C8137C"/>
    <w:rsid w:val="52CD6A64"/>
    <w:rsid w:val="533C2CC8"/>
    <w:rsid w:val="539D6AE8"/>
    <w:rsid w:val="53B87162"/>
    <w:rsid w:val="53CB60CB"/>
    <w:rsid w:val="546F7C38"/>
    <w:rsid w:val="54F40EBF"/>
    <w:rsid w:val="557437C6"/>
    <w:rsid w:val="561577C6"/>
    <w:rsid w:val="564156CE"/>
    <w:rsid w:val="56457423"/>
    <w:rsid w:val="56A03680"/>
    <w:rsid w:val="572A7085"/>
    <w:rsid w:val="57640A24"/>
    <w:rsid w:val="577C44E3"/>
    <w:rsid w:val="57E101CE"/>
    <w:rsid w:val="57E36310"/>
    <w:rsid w:val="57F73FE3"/>
    <w:rsid w:val="58A81585"/>
    <w:rsid w:val="595E0345"/>
    <w:rsid w:val="595F22E4"/>
    <w:rsid w:val="5A1F00CD"/>
    <w:rsid w:val="5AEF47D3"/>
    <w:rsid w:val="5B264E92"/>
    <w:rsid w:val="5B963BA2"/>
    <w:rsid w:val="5BA858A7"/>
    <w:rsid w:val="5BB406F0"/>
    <w:rsid w:val="5C4D51F8"/>
    <w:rsid w:val="5C743C9D"/>
    <w:rsid w:val="5CB12E81"/>
    <w:rsid w:val="5CE13766"/>
    <w:rsid w:val="5D313471"/>
    <w:rsid w:val="5D8A5BAC"/>
    <w:rsid w:val="5DF15C07"/>
    <w:rsid w:val="5EB558FD"/>
    <w:rsid w:val="5ED20154"/>
    <w:rsid w:val="5ED970DE"/>
    <w:rsid w:val="5EE004F6"/>
    <w:rsid w:val="5F093CE7"/>
    <w:rsid w:val="5F0E3B61"/>
    <w:rsid w:val="5F530220"/>
    <w:rsid w:val="5F8A7340"/>
    <w:rsid w:val="5F903222"/>
    <w:rsid w:val="5FE82BE2"/>
    <w:rsid w:val="5FF51CE5"/>
    <w:rsid w:val="6006260A"/>
    <w:rsid w:val="600C18D9"/>
    <w:rsid w:val="60501B8E"/>
    <w:rsid w:val="61093E23"/>
    <w:rsid w:val="6129614D"/>
    <w:rsid w:val="616D516E"/>
    <w:rsid w:val="61F23F6F"/>
    <w:rsid w:val="624502F4"/>
    <w:rsid w:val="63964369"/>
    <w:rsid w:val="63C83176"/>
    <w:rsid w:val="63E5661D"/>
    <w:rsid w:val="63F0603D"/>
    <w:rsid w:val="64294840"/>
    <w:rsid w:val="65C9123C"/>
    <w:rsid w:val="662C1443"/>
    <w:rsid w:val="6645639C"/>
    <w:rsid w:val="66A02B6E"/>
    <w:rsid w:val="67147808"/>
    <w:rsid w:val="67332E10"/>
    <w:rsid w:val="67563B90"/>
    <w:rsid w:val="67B94179"/>
    <w:rsid w:val="67EE0AE5"/>
    <w:rsid w:val="681C38A5"/>
    <w:rsid w:val="68696814"/>
    <w:rsid w:val="6896419C"/>
    <w:rsid w:val="68C857DA"/>
    <w:rsid w:val="695C3534"/>
    <w:rsid w:val="69947F91"/>
    <w:rsid w:val="69BE4033"/>
    <w:rsid w:val="6A2A571C"/>
    <w:rsid w:val="6A5F216E"/>
    <w:rsid w:val="6BDC5A1C"/>
    <w:rsid w:val="6C0513CB"/>
    <w:rsid w:val="6C0B13C8"/>
    <w:rsid w:val="6C8767A3"/>
    <w:rsid w:val="6C9311D4"/>
    <w:rsid w:val="6D0D2F74"/>
    <w:rsid w:val="6D2C21A5"/>
    <w:rsid w:val="6D68758C"/>
    <w:rsid w:val="6D8D2B4F"/>
    <w:rsid w:val="6DFF1D8F"/>
    <w:rsid w:val="6E182D60"/>
    <w:rsid w:val="6EAE4B40"/>
    <w:rsid w:val="6ECE7C1C"/>
    <w:rsid w:val="6ED8429D"/>
    <w:rsid w:val="6F122442"/>
    <w:rsid w:val="6F286FD3"/>
    <w:rsid w:val="6F6C3363"/>
    <w:rsid w:val="700712F1"/>
    <w:rsid w:val="70902438"/>
    <w:rsid w:val="70CB4D46"/>
    <w:rsid w:val="70FF592B"/>
    <w:rsid w:val="71285878"/>
    <w:rsid w:val="713954C7"/>
    <w:rsid w:val="713C5092"/>
    <w:rsid w:val="715D3A1C"/>
    <w:rsid w:val="71A67139"/>
    <w:rsid w:val="71AC1D09"/>
    <w:rsid w:val="72111FA0"/>
    <w:rsid w:val="728F117E"/>
    <w:rsid w:val="729A3FCF"/>
    <w:rsid w:val="72FE6743"/>
    <w:rsid w:val="734D7048"/>
    <w:rsid w:val="735A7977"/>
    <w:rsid w:val="737B68E0"/>
    <w:rsid w:val="74086E00"/>
    <w:rsid w:val="748D557D"/>
    <w:rsid w:val="74CE756E"/>
    <w:rsid w:val="74E474F8"/>
    <w:rsid w:val="74FE44AF"/>
    <w:rsid w:val="75F75D3E"/>
    <w:rsid w:val="760314F5"/>
    <w:rsid w:val="76341FE4"/>
    <w:rsid w:val="767618D3"/>
    <w:rsid w:val="77226CC4"/>
    <w:rsid w:val="7723186A"/>
    <w:rsid w:val="773D7165"/>
    <w:rsid w:val="77C11D73"/>
    <w:rsid w:val="77DA4BE2"/>
    <w:rsid w:val="784E2637"/>
    <w:rsid w:val="78AA6CAB"/>
    <w:rsid w:val="79074D35"/>
    <w:rsid w:val="7A0A36FE"/>
    <w:rsid w:val="7A28294C"/>
    <w:rsid w:val="7ACB4CB6"/>
    <w:rsid w:val="7ACC115A"/>
    <w:rsid w:val="7BA423B8"/>
    <w:rsid w:val="7D021B83"/>
    <w:rsid w:val="7DAD70F1"/>
    <w:rsid w:val="7DC455A6"/>
    <w:rsid w:val="7DDA3B8E"/>
    <w:rsid w:val="7E9C7095"/>
    <w:rsid w:val="7EAF46E3"/>
    <w:rsid w:val="7EED548B"/>
    <w:rsid w:val="7F5D4A77"/>
    <w:rsid w:val="7F9814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qFormat="1"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99"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微软雅黑" w:cs="Times New Roman"/>
      <w:sz w:val="22"/>
      <w:szCs w:val="22"/>
      <w:lang w:val="en-US" w:eastAsia="zh-CN" w:bidi="ar-SA"/>
    </w:rPr>
  </w:style>
  <w:style w:type="paragraph" w:styleId="3">
    <w:name w:val="heading 1"/>
    <w:basedOn w:val="1"/>
    <w:next w:val="4"/>
    <w:autoRedefine/>
    <w:qFormat/>
    <w:uiPriority w:val="0"/>
    <w:pPr>
      <w:keepNext/>
      <w:keepLines/>
      <w:widowControl w:val="0"/>
      <w:adjustRightInd/>
      <w:snapToGrid/>
      <w:spacing w:after="0" w:line="360" w:lineRule="auto"/>
      <w:jc w:val="both"/>
      <w:outlineLvl w:val="0"/>
    </w:pPr>
    <w:rPr>
      <w:rFonts w:ascii="Times New Roman" w:hAnsi="Times New Roman" w:eastAsia="宋体" w:cs="Times New Roman"/>
      <w:b/>
      <w:bCs/>
      <w:kern w:val="44"/>
      <w:sz w:val="32"/>
      <w:szCs w:val="44"/>
    </w:rPr>
  </w:style>
  <w:style w:type="paragraph" w:styleId="4">
    <w:name w:val="heading 2"/>
    <w:basedOn w:val="1"/>
    <w:next w:val="5"/>
    <w:autoRedefine/>
    <w:qFormat/>
    <w:uiPriority w:val="0"/>
    <w:pPr>
      <w:keepNext/>
      <w:keepLines/>
      <w:widowControl w:val="0"/>
      <w:adjustRightInd/>
      <w:snapToGrid/>
      <w:spacing w:before="260" w:after="260" w:line="413" w:lineRule="auto"/>
      <w:jc w:val="both"/>
      <w:outlineLvl w:val="1"/>
    </w:pPr>
    <w:rPr>
      <w:rFonts w:ascii="Arial" w:hAnsi="Arial" w:eastAsia="黑体" w:cs="Times New Roman"/>
      <w:b/>
      <w:bCs/>
      <w:kern w:val="2"/>
      <w:sz w:val="32"/>
      <w:szCs w:val="32"/>
    </w:rPr>
  </w:style>
  <w:style w:type="paragraph" w:styleId="5">
    <w:name w:val="heading 3"/>
    <w:basedOn w:val="1"/>
    <w:next w:val="1"/>
    <w:autoRedefine/>
    <w:qFormat/>
    <w:uiPriority w:val="0"/>
    <w:pPr>
      <w:keepNext/>
      <w:keepLines/>
      <w:widowControl w:val="0"/>
      <w:adjustRightInd/>
      <w:snapToGrid/>
      <w:spacing w:after="0" w:line="360" w:lineRule="auto"/>
      <w:jc w:val="both"/>
      <w:outlineLvl w:val="2"/>
    </w:pPr>
    <w:rPr>
      <w:rFonts w:ascii="Times New Roman" w:hAnsi="Times New Roman" w:eastAsia="宋体" w:cs="Times New Roman"/>
      <w:b/>
      <w:bCs/>
      <w:kern w:val="2"/>
      <w:sz w:val="24"/>
      <w:szCs w:val="32"/>
    </w:rPr>
  </w:style>
  <w:style w:type="paragraph" w:styleId="6">
    <w:name w:val="heading 4"/>
    <w:basedOn w:val="1"/>
    <w:next w:val="1"/>
    <w:autoRedefine/>
    <w:qFormat/>
    <w:uiPriority w:val="0"/>
    <w:pPr>
      <w:keepNext/>
      <w:keepLines/>
      <w:widowControl w:val="0"/>
      <w:adjustRightInd/>
      <w:snapToGrid/>
      <w:spacing w:after="0" w:line="360" w:lineRule="auto"/>
      <w:jc w:val="both"/>
      <w:outlineLvl w:val="3"/>
    </w:pPr>
    <w:rPr>
      <w:rFonts w:ascii="Arial" w:hAnsi="Arial" w:eastAsia="宋体" w:cs="Times New Roman"/>
      <w:b/>
      <w:bCs/>
      <w:kern w:val="2"/>
      <w:sz w:val="21"/>
      <w:szCs w:val="28"/>
    </w:rPr>
  </w:style>
  <w:style w:type="character" w:default="1" w:styleId="25">
    <w:name w:val="Default Paragraph Font"/>
    <w:autoRedefine/>
    <w:semiHidden/>
    <w:qFormat/>
    <w:uiPriority w:val="0"/>
  </w:style>
  <w:style w:type="table" w:default="1" w:styleId="23">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1"/>
    <w:autoRedefine/>
    <w:qFormat/>
    <w:uiPriority w:val="0"/>
    <w:pPr>
      <w:widowControl w:val="0"/>
      <w:adjustRightInd/>
      <w:snapToGrid/>
      <w:spacing w:after="120"/>
      <w:jc w:val="both"/>
    </w:pPr>
    <w:rPr>
      <w:rFonts w:ascii="Times New Roman" w:hAnsi="Times New Roman" w:eastAsia="宋体" w:cs="Times New Roman"/>
      <w:kern w:val="2"/>
      <w:sz w:val="21"/>
      <w:szCs w:val="24"/>
    </w:rPr>
  </w:style>
  <w:style w:type="paragraph" w:styleId="7">
    <w:name w:val="Normal Indent"/>
    <w:basedOn w:val="1"/>
    <w:next w:val="1"/>
    <w:qFormat/>
    <w:uiPriority w:val="0"/>
    <w:pPr>
      <w:spacing w:before="31" w:beforeLines="10" w:after="31" w:afterLines="10" w:line="408" w:lineRule="auto"/>
      <w:ind w:firstLine="567"/>
      <w:jc w:val="left"/>
    </w:pPr>
    <w:rPr>
      <w:rFonts w:ascii="宋体"/>
      <w:sz w:val="24"/>
      <w:szCs w:val="20"/>
    </w:rPr>
  </w:style>
  <w:style w:type="paragraph" w:styleId="8">
    <w:name w:val="Body Text Indent"/>
    <w:basedOn w:val="1"/>
    <w:next w:val="9"/>
    <w:autoRedefine/>
    <w:qFormat/>
    <w:uiPriority w:val="0"/>
    <w:pPr>
      <w:widowControl w:val="0"/>
      <w:adjustRightInd/>
      <w:snapToGrid/>
      <w:spacing w:after="0"/>
      <w:ind w:firstLine="420" w:firstLineChars="200"/>
      <w:jc w:val="both"/>
    </w:pPr>
    <w:rPr>
      <w:rFonts w:ascii="Times New Roman" w:hAnsi="Times New Roman" w:eastAsia="宋体" w:cs="Times New Roman"/>
      <w:kern w:val="2"/>
      <w:sz w:val="21"/>
      <w:szCs w:val="24"/>
    </w:rPr>
  </w:style>
  <w:style w:type="paragraph" w:styleId="9">
    <w:name w:val="envelope return"/>
    <w:basedOn w:val="1"/>
    <w:unhideWhenUsed/>
    <w:qFormat/>
    <w:uiPriority w:val="99"/>
    <w:pPr>
      <w:snapToGrid w:val="0"/>
    </w:pPr>
    <w:rPr>
      <w:rFonts w:ascii="Arial" w:hAnsi="Arial" w:eastAsia="方正小标宋_GBK" w:cs="Times New Roman"/>
      <w:sz w:val="32"/>
    </w:rPr>
  </w:style>
  <w:style w:type="paragraph" w:styleId="10">
    <w:name w:val="toc 5"/>
    <w:basedOn w:val="1"/>
    <w:next w:val="1"/>
    <w:unhideWhenUsed/>
    <w:qFormat/>
    <w:uiPriority w:val="39"/>
    <w:pPr>
      <w:ind w:left="840"/>
    </w:pPr>
    <w:rPr>
      <w:rFonts w:ascii="Calibri" w:hAnsi="Calibri" w:cs="Calibri"/>
      <w:sz w:val="18"/>
      <w:szCs w:val="18"/>
    </w:rPr>
  </w:style>
  <w:style w:type="paragraph" w:styleId="11">
    <w:name w:val="Plain Text"/>
    <w:basedOn w:val="1"/>
    <w:next w:val="1"/>
    <w:autoRedefine/>
    <w:qFormat/>
    <w:uiPriority w:val="0"/>
    <w:pPr>
      <w:widowControl w:val="0"/>
      <w:adjustRightInd/>
      <w:snapToGrid/>
      <w:spacing w:after="0"/>
      <w:jc w:val="both"/>
    </w:pPr>
    <w:rPr>
      <w:rFonts w:ascii="宋体" w:hAnsi="Courier New" w:eastAsia="宋体" w:cs="Times New Roman"/>
      <w:kern w:val="2"/>
      <w:sz w:val="21"/>
      <w:szCs w:val="20"/>
    </w:rPr>
  </w:style>
  <w:style w:type="paragraph" w:styleId="12">
    <w:name w:val="Body Text Indent 2"/>
    <w:basedOn w:val="1"/>
    <w:autoRedefine/>
    <w:qFormat/>
    <w:uiPriority w:val="0"/>
    <w:pPr>
      <w:widowControl w:val="0"/>
      <w:adjustRightInd/>
      <w:snapToGrid/>
      <w:spacing w:after="120" w:line="480" w:lineRule="auto"/>
      <w:ind w:left="420" w:leftChars="200"/>
      <w:jc w:val="both"/>
    </w:pPr>
    <w:rPr>
      <w:rFonts w:ascii="Times New Roman" w:hAnsi="Times New Roman" w:eastAsia="宋体" w:cs="Times New Roman"/>
      <w:sz w:val="20"/>
      <w:szCs w:val="24"/>
    </w:rPr>
  </w:style>
  <w:style w:type="paragraph" w:styleId="13">
    <w:name w:val="footer"/>
    <w:basedOn w:val="1"/>
    <w:autoRedefine/>
    <w:unhideWhenUsed/>
    <w:qFormat/>
    <w:uiPriority w:val="99"/>
    <w:pPr>
      <w:tabs>
        <w:tab w:val="center" w:pos="4153"/>
        <w:tab w:val="right" w:pos="8306"/>
      </w:tabs>
    </w:pPr>
    <w:rPr>
      <w:sz w:val="18"/>
      <w:szCs w:val="18"/>
    </w:rPr>
  </w:style>
  <w:style w:type="paragraph" w:styleId="14">
    <w:name w:val="header"/>
    <w:basedOn w:val="1"/>
    <w:autoRedefine/>
    <w:unhideWhenUsed/>
    <w:qFormat/>
    <w:uiPriority w:val="99"/>
    <w:pPr>
      <w:pBdr>
        <w:bottom w:val="single" w:color="auto" w:sz="6" w:space="1"/>
      </w:pBdr>
      <w:tabs>
        <w:tab w:val="center" w:pos="4153"/>
        <w:tab w:val="right" w:pos="8306"/>
      </w:tabs>
      <w:jc w:val="center"/>
    </w:pPr>
    <w:rPr>
      <w:sz w:val="18"/>
      <w:szCs w:val="18"/>
    </w:rPr>
  </w:style>
  <w:style w:type="paragraph" w:styleId="15">
    <w:name w:val="toc 1"/>
    <w:basedOn w:val="1"/>
    <w:next w:val="1"/>
    <w:autoRedefine/>
    <w:qFormat/>
    <w:uiPriority w:val="39"/>
    <w:pPr>
      <w:widowControl w:val="0"/>
      <w:tabs>
        <w:tab w:val="right" w:leader="dot" w:pos="9540"/>
      </w:tabs>
      <w:adjustRightInd/>
      <w:snapToGrid/>
      <w:spacing w:before="120" w:after="120"/>
    </w:pPr>
    <w:rPr>
      <w:rFonts w:ascii="黑体" w:hAnsi="黑体" w:eastAsia="黑体" w:cs="Times New Roman"/>
      <w:bCs/>
      <w:caps/>
      <w:kern w:val="2"/>
      <w:sz w:val="20"/>
      <w:szCs w:val="20"/>
    </w:rPr>
  </w:style>
  <w:style w:type="paragraph" w:styleId="16">
    <w:name w:val="Subtitle"/>
    <w:basedOn w:val="1"/>
    <w:next w:val="1"/>
    <w:qFormat/>
    <w:uiPriority w:val="99"/>
    <w:pPr>
      <w:spacing w:before="240" w:after="60" w:line="312" w:lineRule="auto"/>
      <w:jc w:val="center"/>
      <w:outlineLvl w:val="1"/>
    </w:pPr>
    <w:rPr>
      <w:rFonts w:ascii="Cambria" w:hAnsi="Cambria"/>
      <w:b/>
      <w:kern w:val="28"/>
      <w:sz w:val="32"/>
      <w:szCs w:val="20"/>
    </w:rPr>
  </w:style>
  <w:style w:type="paragraph" w:styleId="17">
    <w:name w:val="toc 2"/>
    <w:basedOn w:val="1"/>
    <w:next w:val="1"/>
    <w:autoRedefine/>
    <w:qFormat/>
    <w:uiPriority w:val="39"/>
    <w:pPr>
      <w:widowControl w:val="0"/>
      <w:adjustRightInd/>
      <w:snapToGrid/>
      <w:spacing w:after="0"/>
      <w:ind w:left="210"/>
    </w:pPr>
    <w:rPr>
      <w:rFonts w:ascii="Times New Roman" w:hAnsi="Times New Roman" w:eastAsia="宋体" w:cs="Times New Roman"/>
      <w:smallCaps/>
      <w:kern w:val="2"/>
      <w:sz w:val="20"/>
      <w:szCs w:val="20"/>
    </w:rPr>
  </w:style>
  <w:style w:type="paragraph" w:styleId="18">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19">
    <w:name w:val="Normal (Web)"/>
    <w:basedOn w:val="1"/>
    <w:autoRedefine/>
    <w:qFormat/>
    <w:uiPriority w:val="0"/>
    <w:pPr>
      <w:adjustRightInd/>
      <w:snapToGrid/>
      <w:spacing w:before="100" w:beforeAutospacing="1" w:after="100" w:afterAutospacing="1"/>
    </w:pPr>
    <w:rPr>
      <w:rFonts w:ascii="宋体" w:hAnsi="宋体" w:eastAsia="宋体" w:cs="宋体"/>
      <w:sz w:val="24"/>
      <w:szCs w:val="24"/>
    </w:rPr>
  </w:style>
  <w:style w:type="paragraph" w:styleId="20">
    <w:name w:val="Title"/>
    <w:basedOn w:val="1"/>
    <w:next w:val="1"/>
    <w:autoRedefine/>
    <w:qFormat/>
    <w:uiPriority w:val="0"/>
    <w:pPr>
      <w:widowControl w:val="0"/>
      <w:adjustRightInd/>
      <w:snapToGrid/>
      <w:spacing w:before="240" w:after="60"/>
      <w:jc w:val="center"/>
      <w:outlineLvl w:val="0"/>
    </w:pPr>
    <w:rPr>
      <w:rFonts w:ascii="Cambria" w:hAnsi="Cambria" w:eastAsia="宋体" w:cs="Cambria"/>
      <w:b/>
      <w:bCs/>
      <w:kern w:val="2"/>
      <w:sz w:val="32"/>
      <w:szCs w:val="32"/>
    </w:rPr>
  </w:style>
  <w:style w:type="paragraph" w:styleId="21">
    <w:name w:val="Body Text First Indent"/>
    <w:basedOn w:val="2"/>
    <w:next w:val="1"/>
    <w:autoRedefine/>
    <w:qFormat/>
    <w:uiPriority w:val="0"/>
    <w:pPr>
      <w:spacing w:line="312" w:lineRule="auto"/>
      <w:ind w:firstLine="420"/>
    </w:pPr>
    <w:rPr>
      <w:rFonts w:eastAsia="仿宋_GB2312"/>
    </w:rPr>
  </w:style>
  <w:style w:type="paragraph" w:styleId="22">
    <w:name w:val="Body Text First Indent 2"/>
    <w:basedOn w:val="8"/>
    <w:next w:val="1"/>
    <w:autoRedefine/>
    <w:qFormat/>
    <w:uiPriority w:val="0"/>
    <w:pPr>
      <w:autoSpaceDE/>
      <w:autoSpaceDN/>
      <w:adjustRightInd/>
      <w:ind w:leftChars="0" w:firstLine="420"/>
      <w:jc w:val="both"/>
      <w:textAlignment w:val="auto"/>
    </w:pPr>
    <w:rPr>
      <w:rFonts w:ascii="Times New Roman" w:hAnsi="Times New Roman" w:eastAsia="宋体" w:cs="Times New Roman"/>
      <w:kern w:val="2"/>
      <w:sz w:val="21"/>
      <w:szCs w:val="24"/>
    </w:rPr>
  </w:style>
  <w:style w:type="table" w:styleId="24">
    <w:name w:val="Table Grid"/>
    <w:basedOn w:val="2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rPr>
  </w:style>
  <w:style w:type="character" w:styleId="27">
    <w:name w:val="page number"/>
    <w:basedOn w:val="25"/>
    <w:autoRedefine/>
    <w:qFormat/>
    <w:uiPriority w:val="0"/>
    <w:rPr>
      <w:rFonts w:hint="default" w:ascii="Times New Roman" w:hAnsi="Times New Roman" w:cs="Times New Roman"/>
    </w:rPr>
  </w:style>
  <w:style w:type="character" w:styleId="28">
    <w:name w:val="Hyperlink"/>
    <w:basedOn w:val="25"/>
    <w:autoRedefine/>
    <w:qFormat/>
    <w:uiPriority w:val="99"/>
    <w:rPr>
      <w:rFonts w:hint="eastAsia" w:ascii="宋体" w:hAnsi="宋体" w:eastAsia="宋体" w:cs="宋体"/>
      <w:color w:val="0033CC"/>
      <w:sz w:val="18"/>
      <w:szCs w:val="18"/>
      <w:u w:val="none"/>
    </w:rPr>
  </w:style>
  <w:style w:type="paragraph" w:customStyle="1" w:styleId="29">
    <w:name w:val="正文（标准）"/>
    <w:basedOn w:val="1"/>
    <w:next w:val="1"/>
    <w:semiHidden/>
    <w:qFormat/>
    <w:uiPriority w:val="99"/>
    <w:pPr>
      <w:ind w:firstLine="525"/>
    </w:pPr>
    <w:rPr>
      <w:rFonts w:ascii="宋体" w:hAnsi="宋体" w:cs="宋体"/>
    </w:rPr>
  </w:style>
  <w:style w:type="paragraph" w:customStyle="1" w:styleId="30">
    <w:name w:val="Default"/>
    <w:basedOn w:val="3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1">
    <w:name w:val="正文1"/>
    <w:basedOn w:val="32"/>
    <w:next w:val="1"/>
    <w:qFormat/>
    <w:uiPriority w:val="0"/>
    <w:pPr>
      <w:spacing w:after="120" w:line="360" w:lineRule="auto"/>
    </w:pPr>
    <w:rPr>
      <w:rFonts w:ascii="Arial" w:hAnsi="Arial"/>
      <w:spacing w:val="8"/>
      <w:sz w:val="24"/>
      <w:szCs w:val="20"/>
    </w:rPr>
  </w:style>
  <w:style w:type="paragraph" w:customStyle="1" w:styleId="32">
    <w:name w:val="正文2"/>
    <w:basedOn w:val="1"/>
    <w:qFormat/>
    <w:uiPriority w:val="0"/>
    <w:pPr>
      <w:widowControl/>
      <w:jc w:val="left"/>
    </w:pPr>
    <w:rPr>
      <w:kern w:val="0"/>
      <w:sz w:val="24"/>
    </w:rPr>
  </w:style>
  <w:style w:type="paragraph" w:customStyle="1" w:styleId="33">
    <w:name w:val="NormalIndent"/>
    <w:basedOn w:val="1"/>
    <w:autoRedefine/>
    <w:qFormat/>
    <w:uiPriority w:val="0"/>
    <w:pPr>
      <w:ind w:firstLine="420"/>
    </w:pPr>
  </w:style>
  <w:style w:type="paragraph" w:customStyle="1" w:styleId="34">
    <w:name w:val="正文 "/>
    <w:basedOn w:val="1"/>
    <w:autoRedefine/>
    <w:qFormat/>
    <w:uiPriority w:val="0"/>
    <w:pPr>
      <w:widowControl w:val="0"/>
      <w:adjustRightInd w:val="0"/>
      <w:spacing w:line="318" w:lineRule="atLeast"/>
      <w:ind w:left="369" w:firstLine="369"/>
      <w:jc w:val="both"/>
      <w:textAlignment w:val="baseline"/>
    </w:pPr>
    <w:rPr>
      <w:rFonts w:ascii="宋体"/>
      <w:sz w:val="21"/>
      <w:szCs w:val="20"/>
    </w:rPr>
  </w:style>
  <w:style w:type="table" w:customStyle="1" w:styleId="35">
    <w:name w:val="Table Normal"/>
    <w:autoRedefine/>
    <w:unhideWhenUsed/>
    <w:qFormat/>
    <w:uiPriority w:val="2"/>
    <w:tblPr>
      <w:tblCellMar>
        <w:top w:w="0" w:type="dxa"/>
        <w:left w:w="0" w:type="dxa"/>
        <w:bottom w:w="0" w:type="dxa"/>
        <w:right w:w="0" w:type="dxa"/>
      </w:tblCellMar>
    </w:tblPr>
  </w:style>
  <w:style w:type="paragraph" w:customStyle="1" w:styleId="36">
    <w:name w:val="列出段落2"/>
    <w:basedOn w:val="1"/>
    <w:autoRedefine/>
    <w:qFormat/>
    <w:uiPriority w:val="34"/>
    <w:pPr>
      <w:widowControl w:val="0"/>
      <w:autoSpaceDE w:val="0"/>
      <w:autoSpaceDN w:val="0"/>
      <w:adjustRightInd/>
      <w:snapToGrid/>
      <w:spacing w:after="0"/>
      <w:ind w:left="761" w:hanging="424"/>
    </w:pPr>
    <w:rPr>
      <w:rFonts w:ascii="宋体" w:hAnsi="宋体" w:eastAsia="宋体" w:cs="宋体"/>
      <w:lang w:val="zh-CN" w:bidi="zh-CN"/>
    </w:rPr>
  </w:style>
  <w:style w:type="character" w:customStyle="1" w:styleId="37">
    <w:name w:val="font11"/>
    <w:basedOn w:val="25"/>
    <w:autoRedefine/>
    <w:qFormat/>
    <w:uiPriority w:val="0"/>
    <w:rPr>
      <w:rFonts w:hint="eastAsia" w:ascii="宋体" w:hAnsi="宋体" w:eastAsia="宋体" w:cs="宋体"/>
      <w:color w:val="000000"/>
      <w:sz w:val="20"/>
      <w:szCs w:val="20"/>
      <w:u w:val="none"/>
    </w:rPr>
  </w:style>
  <w:style w:type="character" w:customStyle="1" w:styleId="38">
    <w:name w:val="font51"/>
    <w:basedOn w:val="25"/>
    <w:autoRedefine/>
    <w:qFormat/>
    <w:uiPriority w:val="0"/>
    <w:rPr>
      <w:rFonts w:hint="default" w:ascii="Arial" w:hAnsi="Arial" w:cs="Arial"/>
      <w:b/>
      <w:bCs/>
      <w:color w:val="000000"/>
      <w:sz w:val="20"/>
      <w:szCs w:val="20"/>
      <w:u w:val="none"/>
    </w:rPr>
  </w:style>
  <w:style w:type="paragraph" w:customStyle="1" w:styleId="39">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40">
    <w:name w:val="gyy正文"/>
    <w:basedOn w:val="1"/>
    <w:qFormat/>
    <w:uiPriority w:val="0"/>
    <w:pPr>
      <w:widowControl/>
      <w:snapToGrid w:val="0"/>
      <w:spacing w:line="360" w:lineRule="auto"/>
      <w:ind w:firstLine="200" w:firstLineChars="200"/>
    </w:pPr>
    <w:rPr>
      <w:rFonts w:ascii="Calibri" w:hAnsi="Calibri"/>
      <w:snapToGrid w:val="0"/>
      <w:kern w:val="0"/>
      <w:sz w:val="24"/>
      <w:szCs w:val="20"/>
    </w:rPr>
  </w:style>
  <w:style w:type="paragraph" w:customStyle="1" w:styleId="41">
    <w:name w:val="Normal_82"/>
    <w:qFormat/>
    <w:uiPriority w:val="0"/>
    <w:pPr>
      <w:spacing w:before="120" w:after="240"/>
      <w:jc w:val="both"/>
    </w:pPr>
    <w:rPr>
      <w:rFonts w:ascii="Calibri" w:hAnsi="Calibri" w:eastAsia="Times New Roman" w:cs="Times New Roman"/>
      <w:sz w:val="22"/>
      <w:szCs w:val="22"/>
      <w:lang w:val="en-US" w:eastAsia="en-US" w:bidi="ar-SA"/>
    </w:rPr>
  </w:style>
  <w:style w:type="paragraph" w:customStyle="1" w:styleId="42">
    <w:name w:val="Table Text"/>
    <w:basedOn w:val="1"/>
    <w:semiHidden/>
    <w:qFormat/>
    <w:uiPriority w:val="0"/>
    <w:rPr>
      <w:rFonts w:ascii="宋体" w:hAnsi="宋体" w:eastAsia="宋体" w:cs="宋体"/>
      <w:sz w:val="18"/>
      <w:szCs w:val="18"/>
      <w:lang w:val="en-US" w:eastAsia="en-US" w:bidi="ar-SA"/>
    </w:rPr>
  </w:style>
  <w:style w:type="paragraph" w:customStyle="1" w:styleId="43">
    <w:name w:val="题注1"/>
    <w:next w:val="1"/>
    <w:qFormat/>
    <w:uiPriority w:val="0"/>
    <w:pPr>
      <w:widowControl w:val="0"/>
      <w:adjustRightInd w:val="0"/>
      <w:spacing w:before="240" w:after="120" w:line="288" w:lineRule="auto"/>
      <w:jc w:val="center"/>
    </w:pPr>
    <w:rPr>
      <w:rFonts w:ascii="Times New Roman" w:hAnsi="Times New Roman" w:eastAsia="宋体" w:cs="宋体"/>
      <w:kern w:val="2"/>
      <w:sz w:val="24"/>
      <w:szCs w:val="22"/>
      <w:lang w:bidi="ar-SA"/>
    </w:rPr>
  </w:style>
  <w:style w:type="paragraph" w:customStyle="1" w:styleId="44">
    <w:name w:val="样式1"/>
    <w:basedOn w:val="1"/>
    <w:qFormat/>
    <w:uiPriority w:val="0"/>
    <w:pPr>
      <w:numPr>
        <w:ilvl w:val="0"/>
        <w:numId w:val="1"/>
      </w:numPr>
      <w:adjustRightInd w:val="0"/>
      <w:textAlignment w:val="baseline"/>
    </w:pPr>
    <w:rPr>
      <w:rFonts w:ascii="宋体" w:hAnsi="宋体"/>
      <w:kern w:val="0"/>
      <w:szCs w:val="21"/>
    </w:rPr>
  </w:style>
  <w:style w:type="paragraph" w:customStyle="1" w:styleId="45">
    <w:name w:val="正文首行缩进 21"/>
    <w:basedOn w:val="46"/>
    <w:qFormat/>
    <w:uiPriority w:val="0"/>
    <w:pPr>
      <w:widowControl/>
      <w:overflowPunct w:val="0"/>
      <w:autoSpaceDE w:val="0"/>
      <w:autoSpaceDN w:val="0"/>
      <w:adjustRightInd w:val="0"/>
      <w:spacing w:line="360" w:lineRule="auto"/>
      <w:ind w:left="0" w:leftChars="0" w:firstLine="420" w:firstLineChars="200"/>
      <w:textAlignment w:val="baseline"/>
    </w:pPr>
    <w:rPr>
      <w:rFonts w:ascii="宋体" w:hAnsi="MS Sans Serif"/>
      <w:spacing w:val="12"/>
      <w:kern w:val="0"/>
      <w:sz w:val="24"/>
      <w:szCs w:val="20"/>
    </w:rPr>
  </w:style>
  <w:style w:type="paragraph" w:customStyle="1" w:styleId="46">
    <w:name w:val="正文文本缩进1"/>
    <w:basedOn w:val="1"/>
    <w:qFormat/>
    <w:uiPriority w:val="0"/>
    <w:pPr>
      <w:ind w:left="420" w:leftChars="200"/>
    </w:pPr>
  </w:style>
  <w:style w:type="paragraph" w:customStyle="1" w:styleId="47">
    <w:name w:val="表格"/>
    <w:basedOn w:val="1"/>
    <w:qFormat/>
    <w:uiPriority w:val="0"/>
    <w:pPr>
      <w:keepNext/>
      <w:keepLines/>
      <w:wordWrap w:val="0"/>
      <w:spacing w:beforeLines="0" w:afterLines="0" w:line="400" w:lineRule="exact"/>
      <w:ind w:firstLine="0" w:firstLineChars="0"/>
      <w:jc w:val="both"/>
      <w:outlineLvl w:val="1"/>
    </w:pPr>
    <w:rPr>
      <w:rFonts w:hint="eastAsia"/>
      <w:bCs/>
      <w:snapToGrid/>
      <w:kern w:val="2"/>
      <w:szCs w:val="36"/>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2.png"/><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4.xml"/><Relationship Id="rId10" Type="http://schemas.openxmlformats.org/officeDocument/2006/relationships/footer" Target="footer4.xml"/><Relationship Id="rId1" Type="http://schemas.openxmlformats.org/officeDocument/2006/relationships/styles" Target="styl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4b49c95e-47fa-447d-8c9c-940be1692ac1</errorID>
      <errorWord>间</errorWord>
      <group>L1_Word</group>
      <groupName>字词问题</groupName>
      <ability>L2_Typo</ability>
      <abilityName>字词错误</abilityName>
      <candidateList>
        <item>间内</item>
      </candidateList>
      <explain/>
      <paraID>4EAB885C</paraID>
      <start>39</start>
      <end>41</end>
      <status>modified</status>
      <modifiedWord>间内</modifiedWord>
      <trackRevisions>false</trackRevisions>
    </reviewItem>
    <reviewItem>
      <errorID>4f8622b7-ad04-4d39-beb7-79f643e9c8f5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67972067</paraID>
      <start>16</start>
      <end>17</end>
      <status>ignored</status>
      <modifiedWord/>
      <trackRevisions>false</trackRevisions>
    </reviewItem>
    <reviewItem>
      <errorID>458e8c5b-c38d-4a72-9307-55e07a391af5</errorID>
      <errorWord>(</errorWord>
      <group>L1_Format</group>
      <groupName>格式问题</groupName>
      <ability>L2_HalfPunc_CN</ability>
      <abilityName>全半角问题</abilityName>
      <candidateList>
        <item>（</item>
      </candidateList>
      <explain>文本全半角错误。</explain>
      <paraID>67972067</paraID>
      <start>22</start>
      <end>23</end>
      <status>modified</status>
      <modifiedWord>（</modifiedWord>
      <trackRevisions>false</trackRevisions>
    </reviewItem>
    <reviewItem>
      <errorID>f2531780-d280-4e18-a6bc-a60b1861b19a</errorID>
      <errorWord>驱动</errorWord>
      <group>L1_Word</group>
      <groupName>字词问题</groupName>
      <ability>L2_Typo</ability>
      <abilityName>字词错误</abilityName>
      <candidateList>
        <item>渠道</item>
      </candidateList>
      <explain/>
      <paraID>67236AF5</paraID>
      <start>31</start>
      <end>33</end>
      <status>ignored</status>
      <modifiedWord/>
      <trackRevisions>false</trackRevisions>
    </reviewItem>
    <reviewItem>
      <errorID>415b967e-b9a7-4b28-82e9-03ddcdf3a7c5</errorID>
      <errorWord>州委州政府</errorWord>
      <group>L1_Political</group>
      <groupName>政治性问题</groupName>
      <ability>L2_Unpolitical</ability>
      <abilityName>政治敏感错误</abilityName>
      <candidateList>
        <item>州委、州政府</item>
      </candidateList>
      <explain/>
      <paraID>12CF64C4</paraID>
      <start>33</start>
      <end>38</end>
      <status>ignored</status>
      <modifiedWord/>
      <trackRevisions>false</trackRevisions>
    </reviewItem>
    <reviewItem>
      <errorID>5b5489b9-d013-472e-91b2-41387e70c414</errorID>
      <errorWord>州委州政府</errorWord>
      <group>L1_Political</group>
      <groupName>政治性问题</groupName>
      <ability>L2_Unpolitical</ability>
      <abilityName>政治敏感错误</abilityName>
      <candidateList>
        <item>州委、州政府</item>
      </candidateList>
      <explain/>
      <paraID>638B1E20</paraID>
      <start>33</start>
      <end>38</end>
      <status>ignored</status>
      <modifiedWord/>
      <trackRevisions>false</trackRevisions>
    </reviewItem>
    <reviewItem>
      <errorID>49e139ff-9184-40f4-a447-6dee450818f8</errorID>
      <errorWord>》</errorWord>
      <group>L1_Word</group>
      <groupName>字词问题</groupName>
      <ability>L2_Typo</ability>
      <abilityName>字词错误</abilityName>
      <candidateList>
        <item>》和</item>
      </candidateList>
      <explain/>
      <paraID>707953B7</paraID>
      <start>25</start>
      <end>27</end>
      <status>modified</status>
      <modifiedWord>》和</modifiedWord>
      <trackRevisions>false</trackRevisions>
    </reviewItem>
    <reviewItem>
      <errorID>a9866c55-8b3b-494f-a8d9-2e263c636c59</errorID>
      <errorWord>》</errorWord>
      <group>L1_Word</group>
      <groupName>字词问题</groupName>
      <ability>L2_Typo</ability>
      <abilityName>字词错误</abilityName>
      <candidateList>
        <item>》等</item>
      </candidateList>
      <explain/>
      <paraID>707953B7</paraID>
      <start>46</start>
      <end>48</end>
      <status>modified</status>
      <modifiedWord>》等</modifiedWord>
      <trackRevisions>false</trackRevisions>
    </reviewItem>
    <reviewItem>
      <errorID>f7f6d109-d971-43de-a7ad-73c223e34cf6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1626D3B7</paraID>
      <start>50</start>
      <end>51</end>
      <status>ignored</status>
      <modifiedWord/>
      <trackRevisions>false</trackRevisions>
    </reviewItem>
    <reviewItem>
      <errorID>20a8ace6-e58f-49e3-a198-5e929329abb2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5EDC7F39</paraID>
      <start>50</start>
      <end>51</end>
      <status>ignored</status>
      <modifiedWord/>
      <trackRevisions>false</trackRevisions>
    </reviewItem>
    <reviewItem>
      <errorID>297e1e4c-2ce4-4547-8581-716c8c241440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2714163</paraID>
      <start>35</start>
      <end>36</end>
      <status>ignored</status>
      <modifiedWord/>
      <trackRevisions>false</trackRevisions>
    </reviewItem>
    <reviewItem>
      <errorID>b6ba98f5-607f-4214-8b7d-6bff626d7049</errorID>
      <errorWord>操作合</errorWord>
      <group>L1_Word</group>
      <groupName>字词问题</groupName>
      <ability>L2_Typo</ability>
      <abilityName>字词错误</abilityName>
      <candidateList>
        <item>操作台</item>
      </candidateList>
      <explain/>
      <paraID>28C1910E</paraID>
      <start>10</start>
      <end>13</end>
      <status>ignored</status>
      <modifiedWord/>
      <trackRevisions>false</trackRevisions>
    </reviewItem>
    <reviewItem>
      <errorID>e345f10d-4219-4600-a4af-abdb3d0e2ffd</errorID>
      <errorWord>人不得泄漏招标投标活动中应当</errorWord>
      <group>L1_Word</group>
      <groupName>字词问题</groupName>
      <ability>L2_Alias</ability>
      <abilityName>也作/曾用词</abilityName>
      <candidateList>
        <item>人不得泄露招标投标活动中应当</item>
      </candidateList>
      <explain>词汇[人不得泄漏招标投标活动中应当]为不规范表述或旧称，其规范书面表述为[人不得泄露招标投标活动中应当]。</explain>
      <paraID>60F6B051</paraID>
      <start>2</start>
      <end>16</end>
      <status>ignored</status>
      <modifiedWord/>
      <trackRevisions>false</trackRevisions>
    </reviewItem>
    <reviewItem>
      <errorID>235b2b47-2fdb-4d08-b122-15a0613cc8aa</errorID>
      <errorWord>透漏</errorWord>
      <group>L1_Word</group>
      <groupName>字词问题</groupName>
      <ability>L2_Typo</ability>
      <abilityName>字词错误</abilityName>
      <candidateList>
        <item>透露</item>
      </candidateList>
      <explain>存在发音相同字词的误用。</explain>
      <paraID>5FA61C99</paraID>
      <start>33</start>
      <end>35</end>
      <status>ignored</status>
      <modifiedWord/>
      <trackRevisions>false</trackRevisions>
    </reviewItem>
    <reviewItem>
      <errorID>c7a16ee4-4526-4285-bd74-d232915f4a4a</errorID>
      <errorWord>合同法</errorWord>
      <group>L1_Knowledge</group>
      <groupName>知识性问题</groupName>
      <ability>L2_Knowledge</ability>
      <abilityName>其他知识</abilityName>
      <candidateList/>
      <explain>已废止</explain>
      <paraID>325C5679</paraID>
      <start>55</start>
      <end>58</end>
      <status>ignored</status>
      <modifiedWord/>
      <trackRevisions>false</trackRevisions>
    </reviewItem>
    <reviewItem>
      <errorID>1cb6cc3f-666b-4c3e-b5c2-c6049bdd9951</errorID>
      <errorWord>帐</errorWord>
      <group>L1_Word</group>
      <groupName>字词问题</groupName>
      <ability>L2_Typo</ability>
      <abilityName>字词错误</abilityName>
      <candidateList>
        <item>账</item>
      </candidateList>
      <explain/>
      <paraID>306DBDD2</paraID>
      <start>34</start>
      <end>35</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cf54dc1-46dc-4d19-b002-7fc490d4e0dd}">
  <ds:schemaRefs/>
</ds:datastoreItem>
</file>

<file path=docProps/app.xml><?xml version="1.0" encoding="utf-8"?>
<Properties xmlns="http://schemas.openxmlformats.org/officeDocument/2006/extended-properties" xmlns:vt="http://schemas.openxmlformats.org/officeDocument/2006/docPropsVTypes">
  <Template>Normal.dotm</Template>
  <Pages>83</Pages>
  <Words>31315</Words>
  <Characters>33067</Characters>
  <Lines>0</Lines>
  <Paragraphs>0</Paragraphs>
  <TotalTime>9</TotalTime>
  <ScaleCrop>false</ScaleCrop>
  <LinksUpToDate>false</LinksUpToDate>
  <CharactersWithSpaces>36173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2024-03-25T12:20:00Z</dcterms:created>
  <dc:creator>梦.微澜</dc:creator>
  <cp:lastModifiedBy>admin</cp:lastModifiedBy>
  <cp:lastPrinted>2026-06-01T09:03:00Z</cp:lastPrinted>
  <dcterms:modified xsi:type="dcterms:W3CDTF">2026-08-27T08:49:21Z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97EB2B25452B41A9802550A035AF4128_13</vt:lpwstr>
  </property>
  <property fmtid="{D5CDD505-2E9C-101B-9397-08002B2CF9AE}" pid="4" name="KSOTemplateDocerSaveRecord">
    <vt:lpwstr>eyJoZGlkIjoiMDdhNjdiZTY2YjYzZGJkYmY0YTVkNzNlYmE5MmMxNjMiLCJ1c2VySWQiOiIyMzA2OTY3OTkifQ==</vt:lpwstr>
  </property>
</Properties>
</file>