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spacing w:line="560" w:lineRule="exact"/>
        <w:ind w:firstLine="640"/>
        <w:rPr>
          <w:rFonts w:ascii="Times New Roman" w:hAnsi="Times New Roman" w:eastAsia="方正小标宋_GBK" w:cs="Times New Roman"/>
          <w:color w:val="auto"/>
          <w:sz w:val="32"/>
          <w:szCs w:val="32"/>
          <w:highlight w:val="none"/>
        </w:rPr>
      </w:pPr>
      <w:r>
        <w:drawing>
          <wp:inline distT="0" distB="0" distL="114300" distR="114300">
            <wp:extent cx="5534025" cy="7553325"/>
            <wp:effectExtent l="0" t="0" r="9525"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8"/>
                    <a:stretch>
                      <a:fillRect/>
                    </a:stretch>
                  </pic:blipFill>
                  <pic:spPr>
                    <a:xfrm>
                      <a:off x="0" y="0"/>
                      <a:ext cx="5534025" cy="7553325"/>
                    </a:xfrm>
                    <a:prstGeom prst="rect">
                      <a:avLst/>
                    </a:prstGeom>
                    <a:noFill/>
                    <a:ln>
                      <a:noFill/>
                    </a:ln>
                  </pic:spPr>
                </pic:pic>
              </a:graphicData>
            </a:graphic>
          </wp:inline>
        </w:drawing>
      </w:r>
      <w:bookmarkStart w:id="213" w:name="_GoBack"/>
      <w:bookmarkEnd w:id="213"/>
      <w:r>
        <w:rPr>
          <w:sz w:val="32"/>
        </w:rPr>
        <mc:AlternateContent>
          <mc:Choice Requires="wps">
            <w:drawing>
              <wp:anchor distT="0" distB="0" distL="114300" distR="114300" simplePos="0" relativeHeight="251664384" behindDoc="0" locked="0" layoutInCell="1" allowOverlap="1">
                <wp:simplePos x="0" y="0"/>
                <wp:positionH relativeFrom="column">
                  <wp:posOffset>38735</wp:posOffset>
                </wp:positionH>
                <wp:positionV relativeFrom="paragraph">
                  <wp:posOffset>50165</wp:posOffset>
                </wp:positionV>
                <wp:extent cx="5524500" cy="7721600"/>
                <wp:effectExtent l="4445" t="4445" r="14605" b="8255"/>
                <wp:wrapNone/>
                <wp:docPr id="1" name="文本框 1"/>
                <wp:cNvGraphicFramePr/>
                <a:graphic xmlns:a="http://schemas.openxmlformats.org/drawingml/2006/main">
                  <a:graphicData uri="http://schemas.microsoft.com/office/word/2010/wordprocessingShape">
                    <wps:wsp>
                      <wps:cNvSpPr txBox="1"/>
                      <wps:spPr>
                        <a:xfrm>
                          <a:off x="1046480" y="1382395"/>
                          <a:ext cx="5524500" cy="77216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drawing>
                                <wp:inline distT="0" distB="0" distL="114300" distR="114300">
                                  <wp:extent cx="5335270" cy="7430770"/>
                                  <wp:effectExtent l="0" t="0" r="17780" b="1778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9"/>
                                          <a:stretch>
                                            <a:fillRect/>
                                          </a:stretch>
                                        </pic:blipFill>
                                        <pic:spPr>
                                          <a:xfrm>
                                            <a:off x="0" y="0"/>
                                            <a:ext cx="5335270" cy="74307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5pt;margin-top:3.95pt;height:608pt;width:435pt;z-index:251664384;mso-width-relative:page;mso-height-relative:page;" fillcolor="#FFFFFF [3201]" filled="t" stroked="t" coordsize="21600,21600" o:gfxdata="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yGZCgtQAAAAIAQAADwAAAAAAAAABACAAAAAiAAAAZHJzL2Rvd25yZXYueG1sUEsBAhQAFAAAAAgA&#10;h07iQJ00WthiAgAAxAQAAA4AAAAAAAAAAQAgAAAAIwEAAGRycy9lMm9Eb2MueG1sUEsFBgAAAAAG&#10;AAYAWQEAAPcFAAAAAA==&#10;">
                <v:fill on="t" focussize="0,0"/>
                <v:stroke weight="0.5pt" color="#000000 [3204]" joinstyle="round"/>
                <v:imagedata o:title=""/>
                <o:lock v:ext="edit" aspectratio="f"/>
                <v:textbox>
                  <w:txbxContent>
                    <w:p>
                      <w:r>
                        <w:drawing>
                          <wp:inline distT="0" distB="0" distL="114300" distR="114300">
                            <wp:extent cx="5335270" cy="7430770"/>
                            <wp:effectExtent l="0" t="0" r="17780" b="1778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9"/>
                                    <a:stretch>
                                      <a:fillRect/>
                                    </a:stretch>
                                  </pic:blipFill>
                                  <pic:spPr>
                                    <a:xfrm>
                                      <a:off x="0" y="0"/>
                                      <a:ext cx="5335270" cy="7430770"/>
                                    </a:xfrm>
                                    <a:prstGeom prst="rect">
                                      <a:avLst/>
                                    </a:prstGeom>
                                    <a:noFill/>
                                    <a:ln>
                                      <a:noFill/>
                                    </a:ln>
                                  </pic:spPr>
                                </pic:pic>
                              </a:graphicData>
                            </a:graphic>
                          </wp:inline>
                        </w:drawing>
                      </w:r>
                    </w:p>
                  </w:txbxContent>
                </v:textbox>
              </v:shape>
            </w:pict>
          </mc:Fallback>
        </mc:AlternateContent>
      </w:r>
    </w:p>
    <w:p>
      <w:pPr>
        <w:pStyle w:val="10"/>
        <w:spacing w:line="560" w:lineRule="exact"/>
        <w:ind w:firstLine="0" w:firstLineChars="0"/>
        <w:rPr>
          <w:rFonts w:ascii="Times New Roman" w:hAnsi="Times New Roman" w:eastAsia="方正小标宋_GBK" w:cs="Times New Roman"/>
          <w:color w:val="auto"/>
          <w:sz w:val="32"/>
          <w:szCs w:val="32"/>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2098" w:right="1474" w:bottom="1984" w:left="1587" w:header="851" w:footer="992" w:gutter="0"/>
          <w:pgNumType w:fmt="numberInDash" w:start="1"/>
          <w:cols w:space="425" w:num="1"/>
          <w:docGrid w:type="lines" w:linePitch="312" w:charSpace="0"/>
        </w:sectPr>
      </w:pPr>
    </w:p>
    <w:p>
      <w:pPr>
        <w:spacing w:line="560" w:lineRule="exact"/>
        <w:ind w:firstLine="3520" w:firstLineChars="1100"/>
        <w:rPr>
          <w:rFonts w:ascii="Times New Roman" w:hAnsi="Times New Roman" w:eastAsia="方正黑体_GBK" w:cs="Times New Roman"/>
          <w:color w:val="auto"/>
          <w:sz w:val="32"/>
          <w:szCs w:val="32"/>
          <w:highlight w:val="none"/>
        </w:rPr>
      </w:pPr>
      <w:r>
        <w:rPr>
          <w:rFonts w:ascii="Times New Roman" w:hAnsi="Times New Roman" w:eastAsia="方正黑体_GBK" w:cs="Times New Roman"/>
          <w:color w:val="auto"/>
          <w:sz w:val="32"/>
          <w:szCs w:val="32"/>
          <w:highlight w:val="none"/>
        </w:rPr>
        <w:t>目   录</w:t>
      </w:r>
    </w:p>
    <w:p>
      <w:pPr>
        <w:spacing w:line="560" w:lineRule="exact"/>
        <w:rPr>
          <w:rFonts w:hint="eastAsia" w:ascii="方正仿宋_GBK" w:hAnsi="方正仿宋_GBK" w:eastAsia="方正仿宋_GBK" w:cs="方正仿宋_GBK"/>
          <w:color w:val="auto"/>
          <w:kern w:val="2"/>
          <w:sz w:val="28"/>
          <w:szCs w:val="28"/>
          <w:highlight w:val="none"/>
          <w:lang w:val="en-US" w:eastAsia="zh-CN" w:bidi="ar-SA"/>
        </w:rPr>
      </w:pPr>
    </w:p>
    <w:p>
      <w:pPr>
        <w:pStyle w:val="16"/>
        <w:shd w:val="clear"/>
        <w:tabs>
          <w:tab w:val="right" w:leader="dot" w:pos="9072"/>
        </w:tabs>
        <w:rPr>
          <w:rFonts w:hint="eastAsia" w:ascii="方正仿宋_GBK" w:hAnsi="方正仿宋_GBK" w:eastAsia="方正仿宋_GBK" w:cs="方正仿宋_GBK"/>
          <w:color w:val="auto"/>
          <w:kern w:val="2"/>
          <w:sz w:val="28"/>
          <w:szCs w:val="28"/>
          <w:highlight w:val="none"/>
          <w:lang w:val="en-US" w:eastAsia="zh-CN" w:bidi="ar-SA"/>
        </w:rPr>
      </w:pPr>
      <w:r>
        <w:rPr>
          <w:rFonts w:hint="eastAsia" w:ascii="方正仿宋_GBK" w:hAnsi="方正仿宋_GBK" w:eastAsia="方正仿宋_GBK" w:cs="方正仿宋_GBK"/>
          <w:color w:val="auto"/>
          <w:kern w:val="2"/>
          <w:sz w:val="28"/>
          <w:szCs w:val="28"/>
          <w:highlight w:val="none"/>
          <w:lang w:val="en-US" w:eastAsia="zh-CN" w:bidi="ar-SA"/>
        </w:rPr>
        <w:fldChar w:fldCharType="begin"/>
      </w:r>
      <w:r>
        <w:rPr>
          <w:rFonts w:hint="eastAsia" w:ascii="方正仿宋_GBK" w:hAnsi="方正仿宋_GBK" w:eastAsia="方正仿宋_GBK" w:cs="方正仿宋_GBK"/>
          <w:color w:val="auto"/>
          <w:kern w:val="2"/>
          <w:sz w:val="28"/>
          <w:szCs w:val="28"/>
          <w:highlight w:val="none"/>
          <w:lang w:val="en-US" w:eastAsia="zh-CN" w:bidi="ar-SA"/>
        </w:rPr>
        <w:instrText xml:space="preserve">TOC \o "1-1" \h \u </w:instrText>
      </w:r>
      <w:r>
        <w:rPr>
          <w:rFonts w:hint="eastAsia" w:ascii="方正仿宋_GBK" w:hAnsi="方正仿宋_GBK" w:eastAsia="方正仿宋_GBK" w:cs="方正仿宋_GBK"/>
          <w:color w:val="auto"/>
          <w:kern w:val="2"/>
          <w:sz w:val="28"/>
          <w:szCs w:val="28"/>
          <w:highlight w:val="none"/>
          <w:lang w:val="en-US" w:eastAsia="zh-CN" w:bidi="ar-SA"/>
        </w:rPr>
        <w:fldChar w:fldCharType="separate"/>
      </w:r>
      <w:r>
        <w:rPr>
          <w:rFonts w:hint="eastAsia" w:ascii="方正仿宋_GBK" w:hAnsi="方正仿宋_GBK" w:eastAsia="方正仿宋_GBK" w:cs="方正仿宋_GBK"/>
          <w:color w:val="auto"/>
          <w:kern w:val="2"/>
          <w:sz w:val="28"/>
          <w:szCs w:val="28"/>
          <w:highlight w:val="none"/>
          <w:lang w:val="en-US" w:eastAsia="zh-CN" w:bidi="ar-SA"/>
        </w:rPr>
        <w:fldChar w:fldCharType="begin"/>
      </w:r>
      <w:r>
        <w:rPr>
          <w:rFonts w:hint="eastAsia" w:ascii="方正仿宋_GBK" w:hAnsi="方正仿宋_GBK" w:eastAsia="方正仿宋_GBK" w:cs="方正仿宋_GBK"/>
          <w:color w:val="auto"/>
          <w:kern w:val="2"/>
          <w:sz w:val="28"/>
          <w:szCs w:val="28"/>
          <w:highlight w:val="none"/>
          <w:lang w:val="en-US" w:eastAsia="zh-CN" w:bidi="ar-SA"/>
        </w:rPr>
        <w:instrText xml:space="preserve"> HYPERLINK \l _Toc24245 </w:instrText>
      </w:r>
      <w:r>
        <w:rPr>
          <w:rFonts w:hint="eastAsia" w:ascii="方正仿宋_GBK" w:hAnsi="方正仿宋_GBK" w:eastAsia="方正仿宋_GBK" w:cs="方正仿宋_GBK"/>
          <w:color w:val="auto"/>
          <w:kern w:val="2"/>
          <w:sz w:val="28"/>
          <w:szCs w:val="28"/>
          <w:highlight w:val="none"/>
          <w:lang w:val="en-US" w:eastAsia="zh-CN" w:bidi="ar-SA"/>
        </w:rPr>
        <w:fldChar w:fldCharType="separate"/>
      </w:r>
      <w:r>
        <w:rPr>
          <w:rFonts w:hint="eastAsia" w:ascii="方正仿宋_GBK" w:hAnsi="方正仿宋_GBK" w:eastAsia="方正仿宋_GBK" w:cs="方正仿宋_GBK"/>
          <w:color w:val="auto"/>
          <w:kern w:val="2"/>
          <w:sz w:val="28"/>
          <w:szCs w:val="28"/>
          <w:highlight w:val="none"/>
          <w:lang w:val="en-US" w:eastAsia="zh-CN" w:bidi="ar-SA"/>
        </w:rPr>
        <w:t>第一章 招标公告</w:t>
      </w:r>
      <w:r>
        <w:rPr>
          <w:rFonts w:hint="eastAsia" w:ascii="方正仿宋_GBK" w:hAnsi="方正仿宋_GBK" w:eastAsia="方正仿宋_GBK" w:cs="方正仿宋_GBK"/>
          <w:color w:val="auto"/>
          <w:kern w:val="2"/>
          <w:sz w:val="28"/>
          <w:szCs w:val="28"/>
          <w:highlight w:val="none"/>
          <w:lang w:val="en-US" w:eastAsia="zh-CN" w:bidi="ar-SA"/>
        </w:rPr>
        <w:tab/>
      </w:r>
      <w:r>
        <w:rPr>
          <w:rFonts w:hint="eastAsia" w:ascii="方正仿宋_GBK" w:hAnsi="方正仿宋_GBK" w:eastAsia="方正仿宋_GBK" w:cs="方正仿宋_GBK"/>
          <w:color w:val="auto"/>
          <w:kern w:val="2"/>
          <w:sz w:val="28"/>
          <w:szCs w:val="28"/>
          <w:highlight w:val="none"/>
          <w:lang w:val="en-US" w:eastAsia="zh-CN" w:bidi="ar-SA"/>
        </w:rPr>
        <w:t>2</w:t>
      </w:r>
      <w:r>
        <w:rPr>
          <w:rFonts w:hint="eastAsia" w:ascii="方正仿宋_GBK" w:hAnsi="方正仿宋_GBK" w:eastAsia="方正仿宋_GBK" w:cs="方正仿宋_GBK"/>
          <w:color w:val="auto"/>
          <w:kern w:val="2"/>
          <w:sz w:val="28"/>
          <w:szCs w:val="28"/>
          <w:highlight w:val="none"/>
          <w:lang w:val="en-US" w:eastAsia="zh-CN" w:bidi="ar-SA"/>
        </w:rPr>
        <w:fldChar w:fldCharType="end"/>
      </w:r>
    </w:p>
    <w:p>
      <w:pPr>
        <w:pStyle w:val="16"/>
        <w:shd w:val="clear"/>
        <w:tabs>
          <w:tab w:val="right" w:leader="dot" w:pos="9072"/>
        </w:tabs>
        <w:rPr>
          <w:rFonts w:hint="eastAsia" w:ascii="方正仿宋_GBK" w:hAnsi="方正仿宋_GBK" w:eastAsia="方正仿宋_GBK" w:cs="方正仿宋_GBK"/>
          <w:color w:val="auto"/>
          <w:kern w:val="2"/>
          <w:sz w:val="28"/>
          <w:szCs w:val="28"/>
          <w:highlight w:val="none"/>
          <w:lang w:val="en-US" w:eastAsia="zh-CN" w:bidi="ar-SA"/>
        </w:rPr>
      </w:pPr>
      <w:r>
        <w:rPr>
          <w:rFonts w:hint="eastAsia" w:ascii="方正仿宋_GBK" w:hAnsi="方正仿宋_GBK" w:eastAsia="方正仿宋_GBK" w:cs="方正仿宋_GBK"/>
          <w:color w:val="auto"/>
          <w:kern w:val="2"/>
          <w:sz w:val="28"/>
          <w:szCs w:val="28"/>
          <w:highlight w:val="none"/>
          <w:lang w:val="en-US" w:eastAsia="zh-CN" w:bidi="ar-SA"/>
        </w:rPr>
        <w:fldChar w:fldCharType="begin"/>
      </w:r>
      <w:r>
        <w:rPr>
          <w:rFonts w:hint="eastAsia" w:ascii="方正仿宋_GBK" w:hAnsi="方正仿宋_GBK" w:eastAsia="方正仿宋_GBK" w:cs="方正仿宋_GBK"/>
          <w:color w:val="auto"/>
          <w:kern w:val="2"/>
          <w:sz w:val="28"/>
          <w:szCs w:val="28"/>
          <w:highlight w:val="none"/>
          <w:lang w:val="en-US" w:eastAsia="zh-CN" w:bidi="ar-SA"/>
        </w:rPr>
        <w:instrText xml:space="preserve"> HYPERLINK \l _Toc872 </w:instrText>
      </w:r>
      <w:r>
        <w:rPr>
          <w:rFonts w:hint="eastAsia" w:ascii="方正仿宋_GBK" w:hAnsi="方正仿宋_GBK" w:eastAsia="方正仿宋_GBK" w:cs="方正仿宋_GBK"/>
          <w:color w:val="auto"/>
          <w:kern w:val="2"/>
          <w:sz w:val="28"/>
          <w:szCs w:val="28"/>
          <w:highlight w:val="none"/>
          <w:lang w:val="en-US" w:eastAsia="zh-CN" w:bidi="ar-SA"/>
        </w:rPr>
        <w:fldChar w:fldCharType="separate"/>
      </w:r>
      <w:r>
        <w:rPr>
          <w:rFonts w:hint="eastAsia" w:ascii="方正仿宋_GBK" w:hAnsi="方正仿宋_GBK" w:eastAsia="方正仿宋_GBK" w:cs="方正仿宋_GBK"/>
          <w:color w:val="auto"/>
          <w:kern w:val="2"/>
          <w:sz w:val="28"/>
          <w:szCs w:val="28"/>
          <w:highlight w:val="none"/>
          <w:lang w:val="en-US" w:eastAsia="zh-CN" w:bidi="ar-SA"/>
        </w:rPr>
        <w:t>第二章 供应商须知</w:t>
      </w:r>
      <w:r>
        <w:rPr>
          <w:rFonts w:hint="eastAsia" w:ascii="方正仿宋_GBK" w:hAnsi="方正仿宋_GBK" w:eastAsia="方正仿宋_GBK" w:cs="方正仿宋_GBK"/>
          <w:color w:val="auto"/>
          <w:kern w:val="2"/>
          <w:sz w:val="28"/>
          <w:szCs w:val="28"/>
          <w:highlight w:val="none"/>
          <w:lang w:val="en-US" w:eastAsia="zh-CN" w:bidi="ar-SA"/>
        </w:rPr>
        <w:tab/>
      </w:r>
      <w:r>
        <w:rPr>
          <w:rFonts w:hint="eastAsia" w:ascii="方正仿宋_GBK" w:hAnsi="方正仿宋_GBK" w:eastAsia="方正仿宋_GBK" w:cs="方正仿宋_GBK"/>
          <w:color w:val="auto"/>
          <w:kern w:val="2"/>
          <w:sz w:val="28"/>
          <w:szCs w:val="28"/>
          <w:highlight w:val="none"/>
          <w:lang w:val="en-US" w:eastAsia="zh-CN" w:bidi="ar-SA"/>
        </w:rPr>
        <w:fldChar w:fldCharType="begin"/>
      </w:r>
      <w:r>
        <w:rPr>
          <w:rFonts w:hint="eastAsia" w:ascii="方正仿宋_GBK" w:hAnsi="方正仿宋_GBK" w:eastAsia="方正仿宋_GBK" w:cs="方正仿宋_GBK"/>
          <w:color w:val="auto"/>
          <w:kern w:val="2"/>
          <w:sz w:val="28"/>
          <w:szCs w:val="28"/>
          <w:highlight w:val="none"/>
          <w:lang w:val="en-US" w:eastAsia="zh-CN" w:bidi="ar-SA"/>
        </w:rPr>
        <w:instrText xml:space="preserve"> PAGEREF _Toc872 \h </w:instrText>
      </w:r>
      <w:r>
        <w:rPr>
          <w:rFonts w:hint="eastAsia" w:ascii="方正仿宋_GBK" w:hAnsi="方正仿宋_GBK" w:eastAsia="方正仿宋_GBK" w:cs="方正仿宋_GBK"/>
          <w:color w:val="auto"/>
          <w:kern w:val="2"/>
          <w:sz w:val="28"/>
          <w:szCs w:val="28"/>
          <w:highlight w:val="none"/>
          <w:lang w:val="en-US" w:eastAsia="zh-CN" w:bidi="ar-SA"/>
        </w:rPr>
        <w:fldChar w:fldCharType="separate"/>
      </w:r>
      <w:r>
        <w:rPr>
          <w:rFonts w:hint="eastAsia" w:ascii="方正仿宋_GBK" w:hAnsi="方正仿宋_GBK" w:eastAsia="方正仿宋_GBK" w:cs="方正仿宋_GBK"/>
          <w:color w:val="auto"/>
          <w:kern w:val="2"/>
          <w:sz w:val="28"/>
          <w:szCs w:val="28"/>
          <w:highlight w:val="none"/>
          <w:lang w:val="en-US" w:eastAsia="zh-CN" w:bidi="ar-SA"/>
        </w:rPr>
        <w:t>7</w:t>
      </w:r>
      <w:r>
        <w:rPr>
          <w:rFonts w:hint="eastAsia" w:ascii="方正仿宋_GBK" w:hAnsi="方正仿宋_GBK" w:eastAsia="方正仿宋_GBK" w:cs="方正仿宋_GBK"/>
          <w:color w:val="auto"/>
          <w:kern w:val="2"/>
          <w:sz w:val="28"/>
          <w:szCs w:val="28"/>
          <w:highlight w:val="none"/>
          <w:lang w:val="en-US" w:eastAsia="zh-CN" w:bidi="ar-SA"/>
        </w:rPr>
        <w:fldChar w:fldCharType="end"/>
      </w:r>
      <w:r>
        <w:rPr>
          <w:rFonts w:hint="eastAsia" w:ascii="方正仿宋_GBK" w:hAnsi="方正仿宋_GBK" w:eastAsia="方正仿宋_GBK" w:cs="方正仿宋_GBK"/>
          <w:color w:val="auto"/>
          <w:kern w:val="2"/>
          <w:sz w:val="28"/>
          <w:szCs w:val="28"/>
          <w:highlight w:val="none"/>
          <w:lang w:val="en-US" w:eastAsia="zh-CN" w:bidi="ar-SA"/>
        </w:rPr>
        <w:fldChar w:fldCharType="end"/>
      </w:r>
    </w:p>
    <w:p>
      <w:pPr>
        <w:pStyle w:val="16"/>
        <w:shd w:val="clear"/>
        <w:tabs>
          <w:tab w:val="right" w:leader="dot" w:pos="9072"/>
        </w:tabs>
        <w:rPr>
          <w:rFonts w:hint="default" w:ascii="方正仿宋_GBK" w:hAnsi="方正仿宋_GBK" w:eastAsia="方正仿宋_GBK" w:cs="方正仿宋_GBK"/>
          <w:color w:val="auto"/>
          <w:kern w:val="2"/>
          <w:sz w:val="28"/>
          <w:szCs w:val="28"/>
          <w:highlight w:val="none"/>
          <w:lang w:val="en-US" w:eastAsia="zh-CN" w:bidi="ar-SA"/>
        </w:rPr>
      </w:pPr>
      <w:r>
        <w:rPr>
          <w:rFonts w:hint="eastAsia" w:ascii="方正仿宋_GBK" w:hAnsi="方正仿宋_GBK" w:eastAsia="方正仿宋_GBK" w:cs="方正仿宋_GBK"/>
          <w:color w:val="auto"/>
          <w:kern w:val="2"/>
          <w:sz w:val="28"/>
          <w:szCs w:val="28"/>
          <w:highlight w:val="none"/>
          <w:lang w:val="en-US" w:eastAsia="zh-CN" w:bidi="ar-SA"/>
        </w:rPr>
        <w:fldChar w:fldCharType="begin"/>
      </w:r>
      <w:r>
        <w:rPr>
          <w:rFonts w:hint="eastAsia" w:ascii="方正仿宋_GBK" w:hAnsi="方正仿宋_GBK" w:eastAsia="方正仿宋_GBK" w:cs="方正仿宋_GBK"/>
          <w:color w:val="auto"/>
          <w:kern w:val="2"/>
          <w:sz w:val="28"/>
          <w:szCs w:val="28"/>
          <w:highlight w:val="none"/>
          <w:lang w:val="en-US" w:eastAsia="zh-CN" w:bidi="ar-SA"/>
        </w:rPr>
        <w:instrText xml:space="preserve"> HYPERLINK \l _Toc25964 </w:instrText>
      </w:r>
      <w:r>
        <w:rPr>
          <w:rFonts w:hint="eastAsia" w:ascii="方正仿宋_GBK" w:hAnsi="方正仿宋_GBK" w:eastAsia="方正仿宋_GBK" w:cs="方正仿宋_GBK"/>
          <w:color w:val="auto"/>
          <w:kern w:val="2"/>
          <w:sz w:val="28"/>
          <w:szCs w:val="28"/>
          <w:highlight w:val="none"/>
          <w:lang w:val="en-US" w:eastAsia="zh-CN" w:bidi="ar-SA"/>
        </w:rPr>
        <w:fldChar w:fldCharType="separate"/>
      </w:r>
      <w:r>
        <w:rPr>
          <w:rFonts w:hint="eastAsia" w:ascii="方正仿宋_GBK" w:hAnsi="方正仿宋_GBK" w:eastAsia="方正仿宋_GBK" w:cs="方正仿宋_GBK"/>
          <w:color w:val="auto"/>
          <w:kern w:val="2"/>
          <w:sz w:val="28"/>
          <w:szCs w:val="28"/>
          <w:highlight w:val="none"/>
          <w:lang w:val="en-US" w:eastAsia="zh-CN" w:bidi="ar-SA"/>
        </w:rPr>
        <w:t>第三章 资格审查办法和评审办法</w:t>
      </w:r>
      <w:r>
        <w:rPr>
          <w:rFonts w:hint="eastAsia" w:ascii="方正仿宋_GBK" w:hAnsi="方正仿宋_GBK" w:eastAsia="方正仿宋_GBK" w:cs="方正仿宋_GBK"/>
          <w:color w:val="auto"/>
          <w:kern w:val="2"/>
          <w:sz w:val="28"/>
          <w:szCs w:val="28"/>
          <w:highlight w:val="none"/>
          <w:lang w:val="en-US" w:eastAsia="zh-CN" w:bidi="ar-SA"/>
        </w:rPr>
        <w:tab/>
      </w:r>
      <w:r>
        <w:rPr>
          <w:rFonts w:hint="eastAsia" w:ascii="方正仿宋_GBK" w:hAnsi="方正仿宋_GBK" w:eastAsia="方正仿宋_GBK" w:cs="方正仿宋_GBK"/>
          <w:color w:val="auto"/>
          <w:kern w:val="2"/>
          <w:sz w:val="28"/>
          <w:szCs w:val="28"/>
          <w:highlight w:val="none"/>
          <w:lang w:val="en-US" w:eastAsia="zh-CN" w:bidi="ar-SA"/>
        </w:rPr>
        <w:t>2</w:t>
      </w:r>
      <w:r>
        <w:rPr>
          <w:rFonts w:hint="eastAsia" w:ascii="方正仿宋_GBK" w:hAnsi="方正仿宋_GBK" w:eastAsia="方正仿宋_GBK" w:cs="方正仿宋_GBK"/>
          <w:color w:val="auto"/>
          <w:kern w:val="2"/>
          <w:sz w:val="28"/>
          <w:szCs w:val="28"/>
          <w:highlight w:val="none"/>
          <w:lang w:val="en-US" w:eastAsia="zh-CN" w:bidi="ar-SA"/>
        </w:rPr>
        <w:fldChar w:fldCharType="end"/>
      </w:r>
      <w:r>
        <w:rPr>
          <w:rFonts w:hint="eastAsia" w:ascii="方正仿宋_GBK" w:hAnsi="方正仿宋_GBK" w:eastAsia="方正仿宋_GBK" w:cs="方正仿宋_GBK"/>
          <w:color w:val="auto"/>
          <w:kern w:val="2"/>
          <w:sz w:val="28"/>
          <w:szCs w:val="28"/>
          <w:highlight w:val="none"/>
          <w:lang w:val="en-US" w:eastAsia="zh-CN" w:bidi="ar-SA"/>
        </w:rPr>
        <w:t>6</w:t>
      </w:r>
    </w:p>
    <w:p>
      <w:pPr>
        <w:pStyle w:val="16"/>
        <w:shd w:val="clear"/>
        <w:tabs>
          <w:tab w:val="right" w:leader="dot" w:pos="9072"/>
        </w:tabs>
        <w:rPr>
          <w:rFonts w:hint="default" w:ascii="方正仿宋_GBK" w:hAnsi="方正仿宋_GBK" w:eastAsia="方正仿宋_GBK" w:cs="方正仿宋_GBK"/>
          <w:color w:val="auto"/>
          <w:kern w:val="2"/>
          <w:sz w:val="28"/>
          <w:szCs w:val="28"/>
          <w:highlight w:val="none"/>
          <w:lang w:val="en-US" w:eastAsia="zh-CN" w:bidi="ar-SA"/>
        </w:rPr>
      </w:pPr>
      <w:r>
        <w:rPr>
          <w:rFonts w:hint="eastAsia" w:ascii="方正仿宋_GBK" w:hAnsi="方正仿宋_GBK" w:eastAsia="方正仿宋_GBK" w:cs="方正仿宋_GBK"/>
          <w:color w:val="auto"/>
          <w:kern w:val="2"/>
          <w:sz w:val="28"/>
          <w:szCs w:val="28"/>
          <w:highlight w:val="none"/>
          <w:lang w:val="en-US" w:eastAsia="zh-CN" w:bidi="ar-SA"/>
        </w:rPr>
        <w:fldChar w:fldCharType="begin"/>
      </w:r>
      <w:r>
        <w:rPr>
          <w:rFonts w:hint="eastAsia" w:ascii="方正仿宋_GBK" w:hAnsi="方正仿宋_GBK" w:eastAsia="方正仿宋_GBK" w:cs="方正仿宋_GBK"/>
          <w:color w:val="auto"/>
          <w:kern w:val="2"/>
          <w:sz w:val="28"/>
          <w:szCs w:val="28"/>
          <w:highlight w:val="none"/>
          <w:lang w:val="en-US" w:eastAsia="zh-CN" w:bidi="ar-SA"/>
        </w:rPr>
        <w:instrText xml:space="preserve"> HYPERLINK \l _Toc15481 </w:instrText>
      </w:r>
      <w:r>
        <w:rPr>
          <w:rFonts w:hint="eastAsia" w:ascii="方正仿宋_GBK" w:hAnsi="方正仿宋_GBK" w:eastAsia="方正仿宋_GBK" w:cs="方正仿宋_GBK"/>
          <w:color w:val="auto"/>
          <w:kern w:val="2"/>
          <w:sz w:val="28"/>
          <w:szCs w:val="28"/>
          <w:highlight w:val="none"/>
          <w:lang w:val="en-US" w:eastAsia="zh-CN" w:bidi="ar-SA"/>
        </w:rPr>
        <w:fldChar w:fldCharType="separate"/>
      </w:r>
      <w:r>
        <w:rPr>
          <w:rFonts w:hint="eastAsia" w:ascii="方正仿宋_GBK" w:hAnsi="方正仿宋_GBK" w:eastAsia="方正仿宋_GBK" w:cs="方正仿宋_GBK"/>
          <w:color w:val="auto"/>
          <w:kern w:val="2"/>
          <w:sz w:val="28"/>
          <w:szCs w:val="28"/>
          <w:highlight w:val="none"/>
          <w:lang w:val="en-US" w:eastAsia="zh-CN" w:bidi="ar-SA"/>
        </w:rPr>
        <w:t>第四章 采购需求</w:t>
      </w:r>
      <w:r>
        <w:rPr>
          <w:rFonts w:hint="eastAsia" w:ascii="方正仿宋_GBK" w:hAnsi="方正仿宋_GBK" w:eastAsia="方正仿宋_GBK" w:cs="方正仿宋_GBK"/>
          <w:color w:val="auto"/>
          <w:kern w:val="2"/>
          <w:sz w:val="28"/>
          <w:szCs w:val="28"/>
          <w:highlight w:val="none"/>
          <w:lang w:val="en-US" w:eastAsia="zh-CN" w:bidi="ar-SA"/>
        </w:rPr>
        <w:tab/>
      </w:r>
      <w:r>
        <w:rPr>
          <w:rFonts w:hint="eastAsia" w:ascii="方正仿宋_GBK" w:hAnsi="方正仿宋_GBK" w:eastAsia="方正仿宋_GBK" w:cs="方正仿宋_GBK"/>
          <w:color w:val="auto"/>
          <w:kern w:val="2"/>
          <w:sz w:val="28"/>
          <w:szCs w:val="28"/>
          <w:highlight w:val="none"/>
          <w:lang w:val="en-US" w:eastAsia="zh-CN" w:bidi="ar-SA"/>
        </w:rPr>
        <w:t>3</w:t>
      </w:r>
      <w:r>
        <w:rPr>
          <w:rFonts w:hint="eastAsia" w:ascii="方正仿宋_GBK" w:hAnsi="方正仿宋_GBK" w:eastAsia="方正仿宋_GBK" w:cs="方正仿宋_GBK"/>
          <w:color w:val="auto"/>
          <w:kern w:val="2"/>
          <w:sz w:val="28"/>
          <w:szCs w:val="28"/>
          <w:highlight w:val="none"/>
          <w:lang w:val="en-US" w:eastAsia="zh-CN" w:bidi="ar-SA"/>
        </w:rPr>
        <w:fldChar w:fldCharType="end"/>
      </w:r>
      <w:r>
        <w:rPr>
          <w:rFonts w:hint="eastAsia" w:ascii="方正仿宋_GBK" w:hAnsi="方正仿宋_GBK" w:eastAsia="方正仿宋_GBK" w:cs="方正仿宋_GBK"/>
          <w:color w:val="auto"/>
          <w:kern w:val="2"/>
          <w:sz w:val="28"/>
          <w:szCs w:val="28"/>
          <w:highlight w:val="none"/>
          <w:lang w:val="en-US" w:eastAsia="zh-CN" w:bidi="ar-SA"/>
        </w:rPr>
        <w:t>7</w:t>
      </w:r>
    </w:p>
    <w:p>
      <w:pPr>
        <w:pStyle w:val="16"/>
        <w:shd w:val="clear"/>
        <w:tabs>
          <w:tab w:val="right" w:leader="dot" w:pos="9072"/>
        </w:tabs>
        <w:rPr>
          <w:rFonts w:hint="eastAsia" w:ascii="方正仿宋_GBK" w:hAnsi="方正仿宋_GBK" w:eastAsia="方正仿宋_GBK" w:cs="方正仿宋_GBK"/>
          <w:color w:val="auto"/>
          <w:kern w:val="2"/>
          <w:sz w:val="28"/>
          <w:szCs w:val="28"/>
          <w:highlight w:val="none"/>
          <w:lang w:val="en-US" w:eastAsia="zh-CN" w:bidi="ar-SA"/>
        </w:rPr>
      </w:pPr>
      <w:r>
        <w:rPr>
          <w:rFonts w:hint="eastAsia" w:ascii="方正仿宋_GBK" w:hAnsi="方正仿宋_GBK" w:eastAsia="方正仿宋_GBK" w:cs="方正仿宋_GBK"/>
          <w:color w:val="auto"/>
          <w:kern w:val="2"/>
          <w:sz w:val="28"/>
          <w:szCs w:val="28"/>
          <w:highlight w:val="none"/>
          <w:lang w:val="en-US" w:eastAsia="zh-CN" w:bidi="ar-SA"/>
        </w:rPr>
        <w:fldChar w:fldCharType="begin"/>
      </w:r>
      <w:r>
        <w:rPr>
          <w:rFonts w:hint="eastAsia" w:ascii="方正仿宋_GBK" w:hAnsi="方正仿宋_GBK" w:eastAsia="方正仿宋_GBK" w:cs="方正仿宋_GBK"/>
          <w:color w:val="auto"/>
          <w:kern w:val="2"/>
          <w:sz w:val="28"/>
          <w:szCs w:val="28"/>
          <w:highlight w:val="none"/>
          <w:lang w:val="en-US" w:eastAsia="zh-CN" w:bidi="ar-SA"/>
        </w:rPr>
        <w:instrText xml:space="preserve"> HYPERLINK \l _Toc14259 </w:instrText>
      </w:r>
      <w:r>
        <w:rPr>
          <w:rFonts w:hint="eastAsia" w:ascii="方正仿宋_GBK" w:hAnsi="方正仿宋_GBK" w:eastAsia="方正仿宋_GBK" w:cs="方正仿宋_GBK"/>
          <w:color w:val="auto"/>
          <w:kern w:val="2"/>
          <w:sz w:val="28"/>
          <w:szCs w:val="28"/>
          <w:highlight w:val="none"/>
          <w:lang w:val="en-US" w:eastAsia="zh-CN" w:bidi="ar-SA"/>
        </w:rPr>
        <w:fldChar w:fldCharType="separate"/>
      </w:r>
      <w:r>
        <w:rPr>
          <w:rFonts w:hint="eastAsia" w:ascii="方正仿宋_GBK" w:hAnsi="方正仿宋_GBK" w:eastAsia="方正仿宋_GBK" w:cs="方正仿宋_GBK"/>
          <w:color w:val="auto"/>
          <w:kern w:val="2"/>
          <w:sz w:val="28"/>
          <w:szCs w:val="28"/>
          <w:highlight w:val="none"/>
          <w:lang w:val="en-US" w:eastAsia="zh-CN" w:bidi="ar-SA"/>
        </w:rPr>
        <w:t>第五章 投标文件格式</w:t>
      </w:r>
      <w:r>
        <w:rPr>
          <w:rFonts w:hint="eastAsia" w:ascii="方正仿宋_GBK" w:hAnsi="方正仿宋_GBK" w:eastAsia="方正仿宋_GBK" w:cs="方正仿宋_GBK"/>
          <w:color w:val="auto"/>
          <w:kern w:val="2"/>
          <w:sz w:val="28"/>
          <w:szCs w:val="28"/>
          <w:highlight w:val="none"/>
          <w:lang w:val="en-US" w:eastAsia="zh-CN" w:bidi="ar-SA"/>
        </w:rPr>
        <w:tab/>
      </w:r>
      <w:r>
        <w:rPr>
          <w:rFonts w:hint="eastAsia" w:ascii="方正仿宋_GBK" w:hAnsi="方正仿宋_GBK" w:eastAsia="方正仿宋_GBK" w:cs="方正仿宋_GBK"/>
          <w:color w:val="auto"/>
          <w:kern w:val="2"/>
          <w:sz w:val="28"/>
          <w:szCs w:val="28"/>
          <w:highlight w:val="none"/>
          <w:lang w:val="en-US" w:eastAsia="zh-CN" w:bidi="ar-SA"/>
        </w:rPr>
        <w:t>5</w:t>
      </w:r>
      <w:r>
        <w:rPr>
          <w:rFonts w:hint="eastAsia" w:ascii="方正仿宋_GBK" w:hAnsi="方正仿宋_GBK" w:eastAsia="方正仿宋_GBK" w:cs="方正仿宋_GBK"/>
          <w:color w:val="auto"/>
          <w:kern w:val="2"/>
          <w:sz w:val="28"/>
          <w:szCs w:val="28"/>
          <w:highlight w:val="none"/>
          <w:lang w:val="en-US" w:eastAsia="zh-CN" w:bidi="ar-SA"/>
        </w:rPr>
        <w:fldChar w:fldCharType="end"/>
      </w:r>
      <w:r>
        <w:rPr>
          <w:rFonts w:hint="eastAsia" w:ascii="方正仿宋_GBK" w:hAnsi="方正仿宋_GBK" w:eastAsia="方正仿宋_GBK" w:cs="方正仿宋_GBK"/>
          <w:color w:val="auto"/>
          <w:kern w:val="2"/>
          <w:sz w:val="28"/>
          <w:szCs w:val="28"/>
          <w:highlight w:val="none"/>
          <w:lang w:val="en-US" w:eastAsia="zh-CN" w:bidi="ar-SA"/>
        </w:rPr>
        <w:t>7</w:t>
      </w:r>
    </w:p>
    <w:p>
      <w:pPr>
        <w:pStyle w:val="16"/>
        <w:shd w:val="clear"/>
        <w:tabs>
          <w:tab w:val="right" w:leader="dot" w:pos="9072"/>
        </w:tabs>
        <w:rPr>
          <w:rFonts w:hint="default" w:ascii="方正仿宋_GBK" w:hAnsi="方正仿宋_GBK" w:eastAsia="方正仿宋_GBK" w:cs="方正仿宋_GBK"/>
          <w:color w:val="auto"/>
          <w:kern w:val="2"/>
          <w:sz w:val="28"/>
          <w:szCs w:val="28"/>
          <w:highlight w:val="none"/>
          <w:lang w:val="en-US" w:eastAsia="zh-CN" w:bidi="ar-SA"/>
        </w:rPr>
      </w:pPr>
      <w:r>
        <w:rPr>
          <w:rFonts w:hint="eastAsia" w:ascii="方正仿宋_GBK" w:hAnsi="方正仿宋_GBK" w:eastAsia="方正仿宋_GBK" w:cs="方正仿宋_GBK"/>
          <w:color w:val="auto"/>
          <w:kern w:val="2"/>
          <w:sz w:val="28"/>
          <w:szCs w:val="28"/>
          <w:highlight w:val="none"/>
          <w:lang w:val="en-US" w:eastAsia="zh-CN" w:bidi="ar-SA"/>
        </w:rPr>
        <w:fldChar w:fldCharType="begin"/>
      </w:r>
      <w:r>
        <w:rPr>
          <w:rFonts w:hint="eastAsia" w:ascii="方正仿宋_GBK" w:hAnsi="方正仿宋_GBK" w:eastAsia="方正仿宋_GBK" w:cs="方正仿宋_GBK"/>
          <w:color w:val="auto"/>
          <w:kern w:val="2"/>
          <w:sz w:val="28"/>
          <w:szCs w:val="28"/>
          <w:highlight w:val="none"/>
          <w:lang w:val="en-US" w:eastAsia="zh-CN" w:bidi="ar-SA"/>
        </w:rPr>
        <w:instrText xml:space="preserve"> HYPERLINK \l _Toc7634 </w:instrText>
      </w:r>
      <w:r>
        <w:rPr>
          <w:rFonts w:hint="eastAsia" w:ascii="方正仿宋_GBK" w:hAnsi="方正仿宋_GBK" w:eastAsia="方正仿宋_GBK" w:cs="方正仿宋_GBK"/>
          <w:color w:val="auto"/>
          <w:kern w:val="2"/>
          <w:sz w:val="28"/>
          <w:szCs w:val="28"/>
          <w:highlight w:val="none"/>
          <w:lang w:val="en-US" w:eastAsia="zh-CN" w:bidi="ar-SA"/>
        </w:rPr>
        <w:fldChar w:fldCharType="separate"/>
      </w:r>
      <w:r>
        <w:rPr>
          <w:rFonts w:hint="eastAsia" w:ascii="方正仿宋_GBK" w:hAnsi="方正仿宋_GBK" w:eastAsia="方正仿宋_GBK" w:cs="方正仿宋_GBK"/>
          <w:color w:val="auto"/>
          <w:kern w:val="2"/>
          <w:sz w:val="28"/>
          <w:szCs w:val="28"/>
          <w:highlight w:val="none"/>
          <w:lang w:val="en-US" w:eastAsia="zh-CN" w:bidi="ar-SA"/>
        </w:rPr>
        <w:t>第六章 合同条款及格式</w:t>
      </w:r>
      <w:r>
        <w:rPr>
          <w:rFonts w:hint="eastAsia" w:ascii="方正仿宋_GBK" w:hAnsi="方正仿宋_GBK" w:eastAsia="方正仿宋_GBK" w:cs="方正仿宋_GBK"/>
          <w:color w:val="auto"/>
          <w:kern w:val="2"/>
          <w:sz w:val="28"/>
          <w:szCs w:val="28"/>
          <w:highlight w:val="none"/>
          <w:lang w:val="en-US" w:eastAsia="zh-CN" w:bidi="ar-SA"/>
        </w:rPr>
        <w:tab/>
      </w:r>
      <w:r>
        <w:rPr>
          <w:rFonts w:hint="eastAsia" w:ascii="方正仿宋_GBK" w:hAnsi="方正仿宋_GBK" w:eastAsia="方正仿宋_GBK" w:cs="方正仿宋_GBK"/>
          <w:color w:val="auto"/>
          <w:kern w:val="2"/>
          <w:sz w:val="28"/>
          <w:szCs w:val="28"/>
          <w:highlight w:val="none"/>
          <w:lang w:val="en-US" w:eastAsia="zh-CN" w:bidi="ar-SA"/>
        </w:rPr>
        <w:t>8</w:t>
      </w:r>
      <w:r>
        <w:rPr>
          <w:rFonts w:hint="eastAsia" w:ascii="方正仿宋_GBK" w:hAnsi="方正仿宋_GBK" w:eastAsia="方正仿宋_GBK" w:cs="方正仿宋_GBK"/>
          <w:color w:val="auto"/>
          <w:kern w:val="2"/>
          <w:sz w:val="28"/>
          <w:szCs w:val="28"/>
          <w:highlight w:val="none"/>
          <w:lang w:val="en-US" w:eastAsia="zh-CN" w:bidi="ar-SA"/>
        </w:rPr>
        <w:fldChar w:fldCharType="end"/>
      </w:r>
      <w:r>
        <w:rPr>
          <w:rFonts w:hint="eastAsia" w:ascii="方正仿宋_GBK" w:hAnsi="方正仿宋_GBK" w:eastAsia="方正仿宋_GBK" w:cs="方正仿宋_GBK"/>
          <w:color w:val="auto"/>
          <w:kern w:val="2"/>
          <w:sz w:val="28"/>
          <w:szCs w:val="28"/>
          <w:highlight w:val="none"/>
          <w:lang w:val="en-US" w:eastAsia="zh-CN" w:bidi="ar-SA"/>
        </w:rPr>
        <w:t>8</w:t>
      </w:r>
    </w:p>
    <w:p>
      <w:pPr>
        <w:pStyle w:val="2"/>
        <w:spacing w:line="560" w:lineRule="exact"/>
        <w:jc w:val="center"/>
        <w:rPr>
          <w:rFonts w:ascii="Times New Roman" w:hAnsi="Times New Roman" w:eastAsia="方正小标宋_GBK" w:cs="Times New Roman"/>
          <w:color w:val="auto"/>
          <w:sz w:val="32"/>
          <w:szCs w:val="32"/>
          <w:highlight w:val="none"/>
        </w:rPr>
      </w:pPr>
      <w:r>
        <w:rPr>
          <w:rFonts w:hint="eastAsia" w:ascii="方正仿宋_GBK" w:hAnsi="方正仿宋_GBK" w:eastAsia="方正仿宋_GBK" w:cs="方正仿宋_GBK"/>
          <w:color w:val="auto"/>
          <w:kern w:val="2"/>
          <w:sz w:val="28"/>
          <w:szCs w:val="28"/>
          <w:highlight w:val="none"/>
          <w:lang w:val="en-US" w:eastAsia="zh-CN" w:bidi="ar-SA"/>
        </w:rPr>
        <w:fldChar w:fldCharType="end"/>
      </w:r>
    </w:p>
    <w:p>
      <w:pPr>
        <w:pStyle w:val="17"/>
        <w:rPr>
          <w:color w:val="auto"/>
          <w:highlight w:val="none"/>
        </w:rPr>
        <w:sectPr>
          <w:footerReference r:id="rId9" w:type="default"/>
          <w:pgSz w:w="11906" w:h="16838"/>
          <w:pgMar w:top="2098" w:right="1474" w:bottom="1984" w:left="1587" w:header="851" w:footer="992" w:gutter="0"/>
          <w:pgNumType w:fmt="numberInDash" w:start="1"/>
          <w:cols w:space="425" w:num="1"/>
          <w:docGrid w:type="lines" w:linePitch="312" w:charSpace="0"/>
        </w:sectPr>
      </w:pPr>
    </w:p>
    <w:p>
      <w:pPr>
        <w:pStyle w:val="2"/>
        <w:spacing w:line="560" w:lineRule="exact"/>
        <w:jc w:val="both"/>
        <w:rPr>
          <w:rFonts w:hint="eastAsia" w:ascii="方正小标宋_GBK" w:hAnsi="方正小标宋_GBK" w:eastAsia="方正小标宋_GBK" w:cs="方正小标宋_GBK"/>
          <w:bCs/>
          <w:color w:val="auto"/>
          <w:kern w:val="44"/>
          <w:sz w:val="32"/>
          <w:szCs w:val="32"/>
          <w:highlight w:val="none"/>
        </w:rPr>
      </w:pPr>
    </w:p>
    <w:p>
      <w:pPr>
        <w:pStyle w:val="2"/>
        <w:spacing w:line="560" w:lineRule="exact"/>
        <w:jc w:val="center"/>
        <w:rPr>
          <w:rFonts w:ascii="方正小标宋_GBK" w:hAnsi="方正小标宋_GBK" w:eastAsia="方正小标宋_GBK" w:cs="方正小标宋_GBK"/>
          <w:bCs/>
          <w:color w:val="auto"/>
          <w:kern w:val="44"/>
          <w:sz w:val="32"/>
          <w:szCs w:val="32"/>
          <w:highlight w:val="none"/>
        </w:rPr>
      </w:pPr>
      <w:r>
        <w:rPr>
          <w:rFonts w:hint="eastAsia" w:ascii="方正小标宋_GBK" w:hAnsi="方正小标宋_GBK" w:eastAsia="方正小标宋_GBK" w:cs="方正小标宋_GBK"/>
          <w:bCs/>
          <w:color w:val="auto"/>
          <w:kern w:val="44"/>
          <w:sz w:val="44"/>
          <w:szCs w:val="44"/>
          <w:highlight w:val="none"/>
        </w:rPr>
        <w:t>第一章  招标公告</w:t>
      </w:r>
    </w:p>
    <w:p>
      <w:pPr>
        <w:pStyle w:val="3"/>
        <w:numPr>
          <w:ilvl w:val="0"/>
          <w:numId w:val="0"/>
        </w:numPr>
        <w:spacing w:before="0" w:line="560" w:lineRule="exact"/>
        <w:jc w:val="center"/>
        <w:rPr>
          <w:rFonts w:hint="eastAsia" w:ascii="Times New Roman" w:hAnsi="Times New Roman" w:eastAsia="方正仿宋_GBK" w:cs="Times New Roman"/>
          <w:color w:val="auto"/>
          <w:sz w:val="28"/>
          <w:szCs w:val="28"/>
          <w:highlight w:val="none"/>
          <w:lang w:val="en-US" w:eastAsia="zh-CN"/>
        </w:rPr>
      </w:pPr>
      <w:r>
        <w:rPr>
          <w:rFonts w:hint="eastAsia" w:ascii="Times New Roman" w:hAnsi="Times New Roman" w:eastAsia="方正仿宋_GBK" w:cs="Times New Roman"/>
          <w:color w:val="auto"/>
          <w:sz w:val="44"/>
          <w:szCs w:val="44"/>
          <w:highlight w:val="none"/>
          <w:lang w:val="en-US" w:eastAsia="zh-CN"/>
        </w:rPr>
        <w:t>景洪市第四中学行政楼报告厅座椅更换采购</w:t>
      </w:r>
    </w:p>
    <w:p>
      <w:pPr>
        <w:pStyle w:val="3"/>
        <w:numPr>
          <w:ilvl w:val="0"/>
          <w:numId w:val="0"/>
        </w:numPr>
        <w:spacing w:before="0" w:line="560" w:lineRule="exact"/>
        <w:jc w:val="center"/>
        <w:rPr>
          <w:rFonts w:ascii="方正小标宋_GBK" w:hAnsi="方正小标宋_GBK" w:eastAsia="方正小标宋_GBK" w:cs="方正小标宋_GBK"/>
          <w:b w:val="0"/>
          <w:bCs/>
          <w:color w:val="auto"/>
          <w:sz w:val="36"/>
          <w:szCs w:val="36"/>
          <w:highlight w:val="none"/>
        </w:rPr>
      </w:pPr>
      <w:r>
        <w:rPr>
          <w:rFonts w:hint="eastAsia" w:ascii="Times New Roman" w:hAnsi="Times New Roman" w:eastAsia="方正仿宋_GBK" w:cs="Times New Roman"/>
          <w:color w:val="auto"/>
          <w:sz w:val="44"/>
          <w:szCs w:val="44"/>
          <w:highlight w:val="none"/>
          <w:lang w:val="en-US" w:eastAsia="zh-CN"/>
        </w:rPr>
        <w:t>招标公告</w:t>
      </w:r>
    </w:p>
    <w:p>
      <w:pPr>
        <w:rPr>
          <w:color w:val="auto"/>
          <w:highlight w:val="none"/>
        </w:rPr>
      </w:pPr>
    </w:p>
    <w:p>
      <w:pPr>
        <w:numPr>
          <w:ilvl w:val="0"/>
          <w:numId w:val="0"/>
        </w:numPr>
        <w:spacing w:line="520" w:lineRule="exact"/>
        <w:ind w:firstLine="560" w:firstLineChars="200"/>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lang w:eastAsia="zh-CN"/>
        </w:rPr>
        <w:t>一、</w:t>
      </w:r>
      <w:r>
        <w:rPr>
          <w:rFonts w:hint="eastAsia" w:ascii="方正黑体_GBK" w:hAnsi="方正黑体_GBK" w:eastAsia="方正黑体_GBK" w:cs="方正黑体_GBK"/>
          <w:color w:val="auto"/>
          <w:sz w:val="28"/>
          <w:szCs w:val="28"/>
          <w:highlight w:val="none"/>
        </w:rPr>
        <w:t>项目基本情况</w:t>
      </w:r>
    </w:p>
    <w:p>
      <w:pPr>
        <w:pStyle w:val="3"/>
        <w:numPr>
          <w:ilvl w:val="0"/>
          <w:numId w:val="0"/>
        </w:numPr>
        <w:spacing w:before="0" w:line="560" w:lineRule="exact"/>
        <w:ind w:firstLine="562" w:firstLineChars="200"/>
        <w:jc w:val="lef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项目概况：</w:t>
      </w:r>
      <w:r>
        <w:rPr>
          <w:rFonts w:hint="eastAsia" w:ascii="Times New Roman" w:hAnsi="Times New Roman" w:eastAsia="方正仿宋_GBK" w:cs="Times New Roman"/>
          <w:color w:val="auto"/>
          <w:sz w:val="28"/>
          <w:szCs w:val="28"/>
          <w:highlight w:val="none"/>
        </w:rPr>
        <w:t>景洪市第四中学行政楼报告厅座椅更换采购</w:t>
      </w:r>
      <w:r>
        <w:rPr>
          <w:rFonts w:ascii="Times New Roman" w:hAnsi="Times New Roman" w:eastAsia="方正仿宋_GBK" w:cs="Times New Roman"/>
          <w:color w:val="auto"/>
          <w:sz w:val="28"/>
          <w:szCs w:val="28"/>
          <w:highlight w:val="none"/>
        </w:rPr>
        <w:t>的潜在供应商应在</w:t>
      </w:r>
      <w:r>
        <w:rPr>
          <w:rFonts w:hint="default" w:ascii="Times New Roman" w:hAnsi="Times New Roman" w:eastAsia="方正仿宋_GBK" w:cs="Times New Roman"/>
          <w:color w:val="auto"/>
          <w:kern w:val="2"/>
          <w:sz w:val="28"/>
          <w:szCs w:val="28"/>
          <w:highlight w:val="none"/>
          <w:lang w:val="en-US" w:eastAsia="zh-CN" w:bidi="ar-SA"/>
        </w:rPr>
        <w:t>在</w:t>
      </w:r>
      <w:r>
        <w:rPr>
          <w:rFonts w:hint="eastAsia" w:ascii="仿宋" w:hAnsi="仿宋" w:eastAsia="仿宋" w:cs="仿宋"/>
          <w:color w:val="auto"/>
          <w:spacing w:val="-6"/>
          <w:sz w:val="28"/>
          <w:szCs w:val="28"/>
          <w:highlight w:val="none"/>
          <w:u w:val="single"/>
          <w:lang w:eastAsia="zh-CN"/>
        </w:rPr>
        <w:t>政采云平台（http：//www.zcygov.cn）</w:t>
      </w:r>
      <w:r>
        <w:rPr>
          <w:rFonts w:hint="default" w:ascii="Times New Roman" w:hAnsi="Times New Roman" w:eastAsia="方正仿宋_GBK" w:cs="Times New Roman"/>
          <w:color w:val="auto"/>
          <w:sz w:val="28"/>
          <w:szCs w:val="28"/>
          <w:highlight w:val="none"/>
        </w:rPr>
        <w:t>获取采购文件，</w:t>
      </w:r>
      <w:r>
        <w:rPr>
          <w:rFonts w:ascii="Times New Roman" w:hAnsi="Times New Roman" w:eastAsia="方正仿宋_GBK" w:cs="Times New Roman"/>
          <w:color w:val="auto"/>
          <w:sz w:val="28"/>
          <w:szCs w:val="28"/>
          <w:highlight w:val="none"/>
        </w:rPr>
        <w:t>并于</w:t>
      </w:r>
      <w:r>
        <w:rPr>
          <w:rFonts w:ascii="Times New Roman" w:hAnsi="Times New Roman" w:eastAsia="方正仿宋_GBK" w:cs="Times New Roman"/>
          <w:color w:val="auto"/>
          <w:sz w:val="28"/>
          <w:szCs w:val="28"/>
          <w:highlight w:val="none"/>
          <w:u w:val="single"/>
        </w:rPr>
        <w:t>202</w:t>
      </w:r>
      <w:r>
        <w:rPr>
          <w:rFonts w:hint="eastAsia" w:ascii="Times New Roman" w:hAnsi="Times New Roman" w:eastAsia="方正仿宋_GBK" w:cs="Times New Roman"/>
          <w:color w:val="auto"/>
          <w:sz w:val="28"/>
          <w:szCs w:val="28"/>
          <w:highlight w:val="none"/>
          <w:u w:val="single"/>
          <w:lang w:val="en-US" w:eastAsia="zh-CN"/>
        </w:rPr>
        <w:t>5</w:t>
      </w:r>
      <w:r>
        <w:rPr>
          <w:rFonts w:ascii="Times New Roman" w:hAnsi="Times New Roman" w:eastAsia="方正仿宋_GBK" w:cs="Times New Roman"/>
          <w:bCs/>
          <w:color w:val="auto"/>
          <w:sz w:val="28"/>
          <w:szCs w:val="28"/>
          <w:highlight w:val="none"/>
          <w:u w:val="single"/>
        </w:rPr>
        <w:t>年</w:t>
      </w:r>
      <w:r>
        <w:rPr>
          <w:rFonts w:hint="eastAsia" w:ascii="Times New Roman" w:hAnsi="Times New Roman" w:eastAsia="方正仿宋_GBK" w:cs="Times New Roman"/>
          <w:bCs/>
          <w:color w:val="auto"/>
          <w:sz w:val="28"/>
          <w:szCs w:val="28"/>
          <w:highlight w:val="none"/>
          <w:u w:val="single"/>
          <w:lang w:val="en-US" w:eastAsia="zh-CN"/>
        </w:rPr>
        <w:t>06</w:t>
      </w:r>
      <w:r>
        <w:rPr>
          <w:rFonts w:ascii="Times New Roman" w:hAnsi="Times New Roman" w:eastAsia="方正仿宋_GBK" w:cs="Times New Roman"/>
          <w:bCs/>
          <w:color w:val="auto"/>
          <w:sz w:val="28"/>
          <w:szCs w:val="28"/>
          <w:highlight w:val="none"/>
          <w:u w:val="single"/>
        </w:rPr>
        <w:t>月</w:t>
      </w:r>
      <w:r>
        <w:rPr>
          <w:rFonts w:hint="eastAsia" w:ascii="Times New Roman" w:hAnsi="Times New Roman" w:eastAsia="方正仿宋_GBK" w:cs="Times New Roman"/>
          <w:bCs/>
          <w:color w:val="auto"/>
          <w:sz w:val="28"/>
          <w:szCs w:val="28"/>
          <w:highlight w:val="none"/>
          <w:u w:val="single"/>
          <w:lang w:val="en-US" w:eastAsia="zh-CN"/>
        </w:rPr>
        <w:t>10</w:t>
      </w:r>
      <w:r>
        <w:rPr>
          <w:rFonts w:ascii="Times New Roman" w:hAnsi="Times New Roman" w:eastAsia="方正仿宋_GBK" w:cs="Times New Roman"/>
          <w:bCs/>
          <w:color w:val="auto"/>
          <w:sz w:val="28"/>
          <w:szCs w:val="28"/>
          <w:highlight w:val="none"/>
          <w:u w:val="single"/>
        </w:rPr>
        <w:t>日</w:t>
      </w:r>
      <w:r>
        <w:rPr>
          <w:rFonts w:hint="eastAsia" w:ascii="Times New Roman" w:hAnsi="Times New Roman" w:eastAsia="方正仿宋_GBK" w:cs="Times New Roman"/>
          <w:bCs/>
          <w:color w:val="auto"/>
          <w:sz w:val="28"/>
          <w:szCs w:val="28"/>
          <w:highlight w:val="none"/>
          <w:u w:val="single"/>
        </w:rPr>
        <w:t>09</w:t>
      </w:r>
      <w:r>
        <w:rPr>
          <w:rFonts w:ascii="Times New Roman" w:hAnsi="Times New Roman" w:eastAsia="方正仿宋_GBK" w:cs="Times New Roman"/>
          <w:bCs/>
          <w:color w:val="auto"/>
          <w:sz w:val="28"/>
          <w:szCs w:val="28"/>
          <w:highlight w:val="none"/>
          <w:u w:val="single"/>
        </w:rPr>
        <w:t>点</w:t>
      </w:r>
      <w:r>
        <w:rPr>
          <w:rFonts w:hint="eastAsia" w:ascii="Times New Roman" w:hAnsi="Times New Roman" w:eastAsia="方正仿宋_GBK" w:cs="Times New Roman"/>
          <w:bCs/>
          <w:color w:val="auto"/>
          <w:sz w:val="28"/>
          <w:szCs w:val="28"/>
          <w:highlight w:val="none"/>
          <w:u w:val="single"/>
          <w:lang w:val="en-US" w:eastAsia="zh-CN"/>
        </w:rPr>
        <w:t>30</w:t>
      </w:r>
      <w:r>
        <w:rPr>
          <w:rFonts w:ascii="Times New Roman" w:hAnsi="Times New Roman" w:eastAsia="方正仿宋_GBK" w:cs="Times New Roman"/>
          <w:bCs/>
          <w:color w:val="auto"/>
          <w:sz w:val="28"/>
          <w:szCs w:val="28"/>
          <w:highlight w:val="none"/>
          <w:u w:val="single"/>
        </w:rPr>
        <w:t>分</w:t>
      </w:r>
      <w:r>
        <w:rPr>
          <w:rFonts w:ascii="Times New Roman" w:hAnsi="Times New Roman" w:eastAsia="方正仿宋_GBK" w:cs="Times New Roman"/>
          <w:bCs/>
          <w:color w:val="auto"/>
          <w:sz w:val="28"/>
          <w:szCs w:val="28"/>
          <w:highlight w:val="none"/>
        </w:rPr>
        <w:t>（北京时间）前提交响应文件</w:t>
      </w:r>
      <w:r>
        <w:rPr>
          <w:rFonts w:ascii="Times New Roman" w:hAnsi="Times New Roman" w:eastAsia="方正仿宋_GBK" w:cs="Times New Roman"/>
          <w:color w:val="auto"/>
          <w:sz w:val="28"/>
          <w:szCs w:val="28"/>
          <w:highlight w:val="none"/>
        </w:rPr>
        <w:t>。</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1.</w:t>
      </w:r>
      <w:r>
        <w:rPr>
          <w:rFonts w:hint="eastAsia" w:ascii="Times New Roman" w:hAnsi="Times New Roman" w:eastAsia="方正仿宋_GBK" w:cs="Times New Roman"/>
          <w:color w:val="auto"/>
          <w:sz w:val="28"/>
          <w:szCs w:val="28"/>
          <w:highlight w:val="none"/>
          <w:lang w:val="en-US" w:eastAsia="zh-CN"/>
        </w:rPr>
        <w:t>项目编号：XSBNZC2026-G1-00228-JHSG-0012</w:t>
      </w:r>
    </w:p>
    <w:p>
      <w:pPr>
        <w:spacing w:line="560" w:lineRule="exact"/>
        <w:ind w:firstLine="560" w:firstLineChars="200"/>
        <w:jc w:val="both"/>
        <w:rPr>
          <w:rFonts w:hint="eastAsia" w:ascii="Times New Roman" w:hAnsi="Times New Roman" w:eastAsia="方正仿宋_GBK" w:cs="Times New Roman"/>
          <w:color w:val="auto"/>
          <w:sz w:val="28"/>
          <w:szCs w:val="28"/>
          <w:highlight w:val="none"/>
          <w:lang w:val="en-US" w:eastAsia="zh-CN"/>
        </w:rPr>
      </w:pPr>
      <w:r>
        <w:rPr>
          <w:rFonts w:ascii="Times New Roman" w:hAnsi="Times New Roman" w:eastAsia="方正仿宋_GBK" w:cs="Times New Roman"/>
          <w:color w:val="auto"/>
          <w:sz w:val="28"/>
          <w:szCs w:val="28"/>
          <w:highlight w:val="none"/>
        </w:rPr>
        <w:t>2.项目名称：</w:t>
      </w:r>
      <w:r>
        <w:rPr>
          <w:rFonts w:hint="eastAsia" w:ascii="Times New Roman" w:hAnsi="Times New Roman" w:eastAsia="方正仿宋_GBK" w:cs="Times New Roman"/>
          <w:color w:val="auto"/>
          <w:sz w:val="28"/>
          <w:szCs w:val="28"/>
          <w:highlight w:val="none"/>
        </w:rPr>
        <w:t>景洪市第四中学行政楼报告厅座椅更换采购</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3.采购方式：</w:t>
      </w:r>
      <w:r>
        <w:rPr>
          <w:rFonts w:hint="eastAsia" w:ascii="Times New Roman" w:hAnsi="Times New Roman" w:eastAsia="方正仿宋_GBK" w:cs="Times New Roman"/>
          <w:color w:val="auto"/>
          <w:sz w:val="28"/>
          <w:szCs w:val="28"/>
          <w:highlight w:val="none"/>
        </w:rPr>
        <w:t>公开招标</w:t>
      </w:r>
    </w:p>
    <w:p>
      <w:pPr>
        <w:pStyle w:val="2"/>
        <w:spacing w:line="240" w:lineRule="auto"/>
        <w:ind w:left="0" w:leftChars="0" w:firstLine="560" w:firstLineChars="200"/>
        <w:jc w:val="lef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4.预算金额：</w:t>
      </w:r>
      <w:r>
        <w:rPr>
          <w:rFonts w:hint="eastAsia" w:ascii="方正仿宋_GBK" w:hAnsi="方正仿宋_GBK" w:eastAsia="方正仿宋_GBK" w:cs="方正仿宋_GBK"/>
          <w:color w:val="auto"/>
          <w:sz w:val="28"/>
          <w:szCs w:val="28"/>
          <w:highlight w:val="none"/>
          <w:lang w:val="en-US" w:eastAsia="zh-CN"/>
        </w:rPr>
        <w:t>474,000.00元、</w:t>
      </w:r>
      <w:r>
        <w:rPr>
          <w:rFonts w:hint="eastAsia" w:ascii="Times New Roman" w:hAnsi="Times New Roman" w:eastAsia="方正仿宋_GBK" w:cs="Times New Roman"/>
          <w:color w:val="auto"/>
          <w:sz w:val="28"/>
          <w:szCs w:val="28"/>
          <w:highlight w:val="none"/>
          <w:lang w:val="en-US" w:eastAsia="zh-CN"/>
        </w:rPr>
        <w:t>人民币大写：肆拾柒万肆仟元整</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5.最高限价：</w:t>
      </w:r>
      <w:r>
        <w:rPr>
          <w:rFonts w:hint="eastAsia" w:ascii="Times New Roman" w:hAnsi="Times New Roman" w:eastAsia="方正仿宋_GBK" w:cs="Times New Roman"/>
          <w:color w:val="auto"/>
          <w:sz w:val="28"/>
          <w:szCs w:val="28"/>
          <w:highlight w:val="none"/>
          <w:lang w:val="en-US" w:eastAsia="zh-CN"/>
        </w:rPr>
        <w:t>474,000.00元、人民币大写：肆拾柒万肆仟元整</w:t>
      </w:r>
    </w:p>
    <w:p>
      <w:pPr>
        <w:spacing w:line="520" w:lineRule="exact"/>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6.采购需求：</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7"/>
        <w:gridCol w:w="1857"/>
        <w:gridCol w:w="1858"/>
        <w:gridCol w:w="1858"/>
        <w:gridCol w:w="1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b/>
                <w:bCs/>
                <w:i w:val="0"/>
                <w:iCs w:val="0"/>
                <w:caps w:val="0"/>
                <w:color w:val="000000"/>
                <w:spacing w:val="0"/>
                <w:kern w:val="0"/>
                <w:sz w:val="20"/>
                <w:szCs w:val="20"/>
                <w:u w:val="none"/>
                <w:lang w:val="en-US" w:eastAsia="zh-CN" w:bidi="ar"/>
              </w:rPr>
              <w:t>项目名称</w:t>
            </w:r>
          </w:p>
        </w:tc>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b/>
                <w:bCs/>
                <w:i w:val="0"/>
                <w:iCs w:val="0"/>
                <w:caps w:val="0"/>
                <w:color w:val="000000"/>
                <w:spacing w:val="0"/>
                <w:kern w:val="0"/>
                <w:sz w:val="20"/>
                <w:szCs w:val="20"/>
                <w:u w:val="none"/>
                <w:lang w:val="en-US" w:eastAsia="zh-CN" w:bidi="ar"/>
              </w:rPr>
              <w:t>数量</w:t>
            </w:r>
          </w:p>
        </w:tc>
        <w:tc>
          <w:tcPr>
            <w:tcW w:w="1858"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b/>
                <w:bCs/>
                <w:i w:val="0"/>
                <w:iCs w:val="0"/>
                <w:caps w:val="0"/>
                <w:color w:val="000000"/>
                <w:spacing w:val="0"/>
                <w:kern w:val="0"/>
                <w:sz w:val="20"/>
                <w:szCs w:val="20"/>
                <w:u w:val="none"/>
                <w:lang w:val="en-US" w:eastAsia="zh-CN" w:bidi="ar"/>
              </w:rPr>
              <w:t>计量单位</w:t>
            </w:r>
          </w:p>
        </w:tc>
        <w:tc>
          <w:tcPr>
            <w:tcW w:w="1858"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b/>
                <w:bCs/>
                <w:i w:val="0"/>
                <w:iCs w:val="0"/>
                <w:caps w:val="0"/>
                <w:color w:val="000000"/>
                <w:spacing w:val="0"/>
                <w:kern w:val="0"/>
                <w:sz w:val="20"/>
                <w:szCs w:val="20"/>
                <w:u w:val="none"/>
                <w:lang w:val="en-US" w:eastAsia="zh-CN" w:bidi="ar"/>
              </w:rPr>
              <w:t>预算单价(元)</w:t>
            </w:r>
          </w:p>
        </w:tc>
        <w:tc>
          <w:tcPr>
            <w:tcW w:w="1858"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b/>
                <w:bCs/>
                <w:i w:val="0"/>
                <w:iCs w:val="0"/>
                <w:caps w:val="0"/>
                <w:color w:val="000000"/>
                <w:spacing w:val="0"/>
                <w:kern w:val="0"/>
                <w:sz w:val="20"/>
                <w:szCs w:val="20"/>
                <w:u w:val="none"/>
                <w:lang w:val="en-US" w:eastAsia="zh-CN" w:bidi="ar"/>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i w:val="0"/>
                <w:iCs w:val="0"/>
                <w:caps w:val="0"/>
                <w:color w:val="000000"/>
                <w:spacing w:val="0"/>
                <w:kern w:val="0"/>
                <w:sz w:val="18"/>
                <w:szCs w:val="18"/>
                <w:u w:val="none"/>
                <w:lang w:val="en-US" w:eastAsia="zh-CN" w:bidi="ar"/>
              </w:rPr>
              <w:t>阶梯排椅</w:t>
            </w:r>
          </w:p>
        </w:tc>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i w:val="0"/>
                <w:iCs w:val="0"/>
                <w:caps w:val="0"/>
                <w:color w:val="000000"/>
                <w:spacing w:val="0"/>
                <w:kern w:val="0"/>
                <w:sz w:val="18"/>
                <w:szCs w:val="18"/>
                <w:u w:val="none"/>
                <w:lang w:val="en-US" w:eastAsia="zh-CN" w:bidi="ar"/>
              </w:rPr>
              <w:t>632</w:t>
            </w:r>
          </w:p>
        </w:tc>
        <w:tc>
          <w:tcPr>
            <w:tcW w:w="1858"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i w:val="0"/>
                <w:iCs w:val="0"/>
                <w:caps w:val="0"/>
                <w:color w:val="000000"/>
                <w:spacing w:val="0"/>
                <w:kern w:val="0"/>
                <w:sz w:val="18"/>
                <w:szCs w:val="18"/>
                <w:u w:val="none"/>
                <w:lang w:val="en-US" w:eastAsia="zh-CN" w:bidi="ar"/>
              </w:rPr>
              <w:t>位</w:t>
            </w:r>
          </w:p>
        </w:tc>
        <w:tc>
          <w:tcPr>
            <w:tcW w:w="1858" w:type="dxa"/>
            <w:vAlign w:val="center"/>
          </w:tcPr>
          <w:p>
            <w:pPr>
              <w:keepNext w:val="0"/>
              <w:keepLines w:val="0"/>
              <w:widowControl/>
              <w:suppressLineNumbers w:val="0"/>
              <w:wordWrap/>
              <w:spacing w:before="0" w:beforeAutospacing="0" w:after="0" w:afterAutospacing="0"/>
              <w:ind w:left="0" w:leftChars="0" w:right="0" w:rightChars="0"/>
              <w:jc w:val="right"/>
              <w:rPr>
                <w:vertAlign w:val="baseline"/>
              </w:rPr>
            </w:pPr>
            <w:r>
              <w:rPr>
                <w:rFonts w:hint="eastAsia" w:ascii="宋体" w:hAnsi="宋体" w:eastAsia="宋体" w:cs="宋体"/>
                <w:i w:val="0"/>
                <w:iCs w:val="0"/>
                <w:caps w:val="0"/>
                <w:color w:val="000000"/>
                <w:spacing w:val="0"/>
                <w:kern w:val="0"/>
                <w:sz w:val="18"/>
                <w:szCs w:val="18"/>
                <w:u w:val="none"/>
                <w:lang w:val="en-US" w:eastAsia="zh-CN" w:bidi="ar"/>
              </w:rPr>
              <w:t>720.00</w:t>
            </w:r>
          </w:p>
        </w:tc>
        <w:tc>
          <w:tcPr>
            <w:tcW w:w="1858" w:type="dxa"/>
            <w:vAlign w:val="center"/>
          </w:tcPr>
          <w:p>
            <w:pPr>
              <w:keepNext w:val="0"/>
              <w:keepLines w:val="0"/>
              <w:widowControl/>
              <w:suppressLineNumbers w:val="0"/>
              <w:wordWrap/>
              <w:spacing w:before="0" w:beforeAutospacing="0" w:after="0" w:afterAutospacing="0"/>
              <w:ind w:left="0" w:leftChars="0" w:right="0" w:rightChars="0"/>
              <w:jc w:val="right"/>
              <w:rPr>
                <w:vertAlign w:val="baseline"/>
              </w:rPr>
            </w:pPr>
            <w:r>
              <w:rPr>
                <w:rFonts w:hint="eastAsia" w:ascii="宋体" w:hAnsi="宋体" w:eastAsia="宋体" w:cs="宋体"/>
                <w:i w:val="0"/>
                <w:iCs w:val="0"/>
                <w:caps w:val="0"/>
                <w:color w:val="000000"/>
                <w:spacing w:val="0"/>
                <w:kern w:val="0"/>
                <w:sz w:val="18"/>
                <w:szCs w:val="18"/>
                <w:u w:val="none"/>
                <w:lang w:val="en-US" w:eastAsia="zh-CN" w:bidi="ar"/>
              </w:rPr>
              <w:t>455,040.00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i w:val="0"/>
                <w:iCs w:val="0"/>
                <w:caps w:val="0"/>
                <w:color w:val="000000"/>
                <w:spacing w:val="0"/>
                <w:kern w:val="0"/>
                <w:sz w:val="18"/>
                <w:szCs w:val="18"/>
                <w:u w:val="none"/>
                <w:lang w:val="en-US" w:eastAsia="zh-CN" w:bidi="ar"/>
              </w:rPr>
              <w:t>主席台桌</w:t>
            </w:r>
          </w:p>
        </w:tc>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i w:val="0"/>
                <w:iCs w:val="0"/>
                <w:caps w:val="0"/>
                <w:color w:val="000000"/>
                <w:spacing w:val="0"/>
                <w:kern w:val="0"/>
                <w:sz w:val="18"/>
                <w:szCs w:val="18"/>
                <w:u w:val="none"/>
                <w:lang w:val="en-US" w:eastAsia="zh-CN" w:bidi="ar"/>
              </w:rPr>
              <w:t>5</w:t>
            </w:r>
          </w:p>
        </w:tc>
        <w:tc>
          <w:tcPr>
            <w:tcW w:w="1858"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i w:val="0"/>
                <w:iCs w:val="0"/>
                <w:caps w:val="0"/>
                <w:color w:val="000000"/>
                <w:spacing w:val="0"/>
                <w:kern w:val="0"/>
                <w:sz w:val="18"/>
                <w:szCs w:val="18"/>
                <w:u w:val="none"/>
                <w:lang w:val="en-US" w:eastAsia="zh-CN" w:bidi="ar"/>
              </w:rPr>
              <w:t>张</w:t>
            </w:r>
          </w:p>
        </w:tc>
        <w:tc>
          <w:tcPr>
            <w:tcW w:w="1858" w:type="dxa"/>
            <w:vAlign w:val="center"/>
          </w:tcPr>
          <w:p>
            <w:pPr>
              <w:keepNext w:val="0"/>
              <w:keepLines w:val="0"/>
              <w:widowControl/>
              <w:suppressLineNumbers w:val="0"/>
              <w:wordWrap/>
              <w:spacing w:before="0" w:beforeAutospacing="0" w:after="0" w:afterAutospacing="0"/>
              <w:ind w:left="0" w:leftChars="0" w:right="0" w:rightChars="0"/>
              <w:jc w:val="right"/>
              <w:rPr>
                <w:vertAlign w:val="baseline"/>
              </w:rPr>
            </w:pPr>
            <w:r>
              <w:rPr>
                <w:rFonts w:hint="eastAsia" w:ascii="宋体" w:hAnsi="宋体" w:eastAsia="宋体" w:cs="宋体"/>
                <w:i w:val="0"/>
                <w:iCs w:val="0"/>
                <w:caps w:val="0"/>
                <w:color w:val="000000"/>
                <w:spacing w:val="0"/>
                <w:kern w:val="0"/>
                <w:sz w:val="18"/>
                <w:szCs w:val="18"/>
                <w:u w:val="none"/>
                <w:lang w:val="en-US" w:eastAsia="zh-CN" w:bidi="ar"/>
              </w:rPr>
              <w:t>1,850.00</w:t>
            </w:r>
          </w:p>
        </w:tc>
        <w:tc>
          <w:tcPr>
            <w:tcW w:w="1858" w:type="dxa"/>
            <w:vAlign w:val="center"/>
          </w:tcPr>
          <w:p>
            <w:pPr>
              <w:keepNext w:val="0"/>
              <w:keepLines w:val="0"/>
              <w:widowControl/>
              <w:suppressLineNumbers w:val="0"/>
              <w:wordWrap/>
              <w:spacing w:before="0" w:beforeAutospacing="0" w:after="0" w:afterAutospacing="0"/>
              <w:ind w:left="0" w:leftChars="0" w:right="0" w:rightChars="0"/>
              <w:jc w:val="right"/>
              <w:rPr>
                <w:vertAlign w:val="baseline"/>
              </w:rPr>
            </w:pPr>
            <w:r>
              <w:rPr>
                <w:rFonts w:hint="eastAsia" w:ascii="宋体" w:hAnsi="宋体" w:eastAsia="宋体" w:cs="宋体"/>
                <w:i w:val="0"/>
                <w:iCs w:val="0"/>
                <w:caps w:val="0"/>
                <w:color w:val="000000"/>
                <w:spacing w:val="0"/>
                <w:kern w:val="0"/>
                <w:sz w:val="18"/>
                <w:szCs w:val="18"/>
                <w:u w:val="none"/>
                <w:lang w:val="en-US" w:eastAsia="zh-CN" w:bidi="ar"/>
              </w:rPr>
              <w:t>9,250.00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i w:val="0"/>
                <w:iCs w:val="0"/>
                <w:caps w:val="0"/>
                <w:color w:val="000000"/>
                <w:spacing w:val="0"/>
                <w:kern w:val="0"/>
                <w:sz w:val="18"/>
                <w:szCs w:val="18"/>
                <w:u w:val="none"/>
                <w:lang w:val="en-US" w:eastAsia="zh-CN" w:bidi="ar"/>
              </w:rPr>
              <w:t>主席台椅子</w:t>
            </w:r>
          </w:p>
        </w:tc>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i w:val="0"/>
                <w:iCs w:val="0"/>
                <w:caps w:val="0"/>
                <w:color w:val="000000"/>
                <w:spacing w:val="0"/>
                <w:kern w:val="0"/>
                <w:sz w:val="18"/>
                <w:szCs w:val="18"/>
                <w:u w:val="none"/>
                <w:lang w:val="en-US" w:eastAsia="zh-CN" w:bidi="ar"/>
              </w:rPr>
              <w:t>10</w:t>
            </w:r>
          </w:p>
        </w:tc>
        <w:tc>
          <w:tcPr>
            <w:tcW w:w="1858"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i w:val="0"/>
                <w:iCs w:val="0"/>
                <w:caps w:val="0"/>
                <w:color w:val="000000"/>
                <w:spacing w:val="0"/>
                <w:kern w:val="0"/>
                <w:sz w:val="18"/>
                <w:szCs w:val="18"/>
                <w:u w:val="none"/>
                <w:lang w:val="en-US" w:eastAsia="zh-CN" w:bidi="ar"/>
              </w:rPr>
              <w:t>把</w:t>
            </w:r>
          </w:p>
        </w:tc>
        <w:tc>
          <w:tcPr>
            <w:tcW w:w="1858" w:type="dxa"/>
            <w:vAlign w:val="center"/>
          </w:tcPr>
          <w:p>
            <w:pPr>
              <w:keepNext w:val="0"/>
              <w:keepLines w:val="0"/>
              <w:widowControl/>
              <w:suppressLineNumbers w:val="0"/>
              <w:wordWrap/>
              <w:spacing w:before="0" w:beforeAutospacing="0" w:after="0" w:afterAutospacing="0"/>
              <w:ind w:left="0" w:leftChars="0" w:right="0" w:rightChars="0"/>
              <w:jc w:val="right"/>
              <w:rPr>
                <w:vertAlign w:val="baseline"/>
              </w:rPr>
            </w:pPr>
            <w:r>
              <w:rPr>
                <w:rFonts w:hint="eastAsia" w:ascii="宋体" w:hAnsi="宋体" w:eastAsia="宋体" w:cs="宋体"/>
                <w:i w:val="0"/>
                <w:iCs w:val="0"/>
                <w:caps w:val="0"/>
                <w:color w:val="000000"/>
                <w:spacing w:val="0"/>
                <w:kern w:val="0"/>
                <w:sz w:val="18"/>
                <w:szCs w:val="18"/>
                <w:u w:val="none"/>
                <w:lang w:val="en-US" w:eastAsia="zh-CN" w:bidi="ar"/>
              </w:rPr>
              <w:t>780.00</w:t>
            </w:r>
          </w:p>
        </w:tc>
        <w:tc>
          <w:tcPr>
            <w:tcW w:w="1858" w:type="dxa"/>
            <w:vAlign w:val="center"/>
          </w:tcPr>
          <w:p>
            <w:pPr>
              <w:keepNext w:val="0"/>
              <w:keepLines w:val="0"/>
              <w:widowControl/>
              <w:suppressLineNumbers w:val="0"/>
              <w:wordWrap/>
              <w:spacing w:before="0" w:beforeAutospacing="0" w:after="0" w:afterAutospacing="0"/>
              <w:ind w:left="0" w:leftChars="0" w:right="0" w:rightChars="0"/>
              <w:jc w:val="right"/>
              <w:rPr>
                <w:vertAlign w:val="baseline"/>
              </w:rPr>
            </w:pPr>
            <w:r>
              <w:rPr>
                <w:rFonts w:hint="eastAsia" w:ascii="宋体" w:hAnsi="宋体" w:eastAsia="宋体" w:cs="宋体"/>
                <w:i w:val="0"/>
                <w:iCs w:val="0"/>
                <w:caps w:val="0"/>
                <w:color w:val="000000"/>
                <w:spacing w:val="0"/>
                <w:kern w:val="0"/>
                <w:sz w:val="18"/>
                <w:szCs w:val="18"/>
                <w:u w:val="none"/>
                <w:lang w:val="en-US" w:eastAsia="zh-CN" w:bidi="ar"/>
              </w:rPr>
              <w:t>7,800.00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rFonts w:hint="eastAsia" w:ascii="宋体" w:hAnsi="宋体" w:eastAsia="宋体" w:cs="宋体"/>
                <w:i w:val="0"/>
                <w:iCs w:val="0"/>
                <w:caps w:val="0"/>
                <w:color w:val="000000"/>
                <w:spacing w:val="0"/>
                <w:kern w:val="0"/>
                <w:sz w:val="18"/>
                <w:szCs w:val="18"/>
                <w:u w:val="none"/>
                <w:lang w:val="en-US" w:eastAsia="zh-CN" w:bidi="ar"/>
              </w:rPr>
            </w:pPr>
            <w:r>
              <w:rPr>
                <w:rFonts w:hint="eastAsia" w:ascii="宋体" w:hAnsi="宋体" w:eastAsia="宋体" w:cs="宋体"/>
                <w:i w:val="0"/>
                <w:iCs w:val="0"/>
                <w:caps w:val="0"/>
                <w:color w:val="000000"/>
                <w:spacing w:val="0"/>
                <w:kern w:val="0"/>
                <w:sz w:val="18"/>
                <w:szCs w:val="18"/>
                <w:u w:val="none"/>
                <w:lang w:val="en-US" w:eastAsia="zh-CN" w:bidi="ar"/>
              </w:rPr>
              <w:t>演讲台</w:t>
            </w:r>
          </w:p>
        </w:tc>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rFonts w:hint="eastAsia" w:ascii="宋体" w:hAnsi="宋体" w:eastAsia="宋体" w:cs="宋体"/>
                <w:i w:val="0"/>
                <w:iCs w:val="0"/>
                <w:caps w:val="0"/>
                <w:color w:val="000000"/>
                <w:spacing w:val="0"/>
                <w:kern w:val="0"/>
                <w:sz w:val="18"/>
                <w:szCs w:val="18"/>
                <w:u w:val="none"/>
                <w:lang w:val="en-US" w:eastAsia="zh-CN" w:bidi="ar"/>
              </w:rPr>
            </w:pPr>
            <w:r>
              <w:rPr>
                <w:rFonts w:hint="eastAsia" w:ascii="宋体" w:hAnsi="宋体" w:eastAsia="宋体" w:cs="宋体"/>
                <w:i w:val="0"/>
                <w:iCs w:val="0"/>
                <w:caps w:val="0"/>
                <w:color w:val="000000"/>
                <w:spacing w:val="0"/>
                <w:kern w:val="0"/>
                <w:sz w:val="18"/>
                <w:szCs w:val="18"/>
                <w:u w:val="none"/>
                <w:lang w:val="en-US" w:eastAsia="zh-CN" w:bidi="ar"/>
              </w:rPr>
              <w:t>1</w:t>
            </w:r>
          </w:p>
        </w:tc>
        <w:tc>
          <w:tcPr>
            <w:tcW w:w="1858" w:type="dxa"/>
            <w:vAlign w:val="center"/>
          </w:tcPr>
          <w:p>
            <w:pPr>
              <w:keepNext w:val="0"/>
              <w:keepLines w:val="0"/>
              <w:widowControl/>
              <w:suppressLineNumbers w:val="0"/>
              <w:wordWrap/>
              <w:spacing w:before="0" w:beforeAutospacing="0" w:after="0" w:afterAutospacing="0"/>
              <w:ind w:left="0" w:leftChars="0" w:right="0" w:rightChars="0"/>
              <w:jc w:val="center"/>
              <w:rPr>
                <w:rFonts w:hint="eastAsia" w:ascii="宋体" w:hAnsi="宋体" w:eastAsia="宋体" w:cs="宋体"/>
                <w:i w:val="0"/>
                <w:iCs w:val="0"/>
                <w:caps w:val="0"/>
                <w:color w:val="000000"/>
                <w:spacing w:val="0"/>
                <w:kern w:val="0"/>
                <w:sz w:val="18"/>
                <w:szCs w:val="18"/>
                <w:u w:val="none"/>
                <w:lang w:val="en-US" w:eastAsia="zh-CN" w:bidi="ar"/>
              </w:rPr>
            </w:pPr>
            <w:r>
              <w:rPr>
                <w:rFonts w:hint="eastAsia" w:ascii="宋体" w:hAnsi="宋体" w:eastAsia="宋体" w:cs="宋体"/>
                <w:i w:val="0"/>
                <w:iCs w:val="0"/>
                <w:caps w:val="0"/>
                <w:color w:val="000000"/>
                <w:spacing w:val="0"/>
                <w:kern w:val="0"/>
                <w:sz w:val="18"/>
                <w:szCs w:val="18"/>
                <w:u w:val="none"/>
                <w:lang w:val="en-US" w:eastAsia="zh-CN" w:bidi="ar"/>
              </w:rPr>
              <w:t>个</w:t>
            </w:r>
          </w:p>
        </w:tc>
        <w:tc>
          <w:tcPr>
            <w:tcW w:w="1858" w:type="dxa"/>
            <w:vAlign w:val="center"/>
          </w:tcPr>
          <w:p>
            <w:pPr>
              <w:keepNext w:val="0"/>
              <w:keepLines w:val="0"/>
              <w:widowControl/>
              <w:suppressLineNumbers w:val="0"/>
              <w:wordWrap/>
              <w:spacing w:before="0" w:beforeAutospacing="0" w:after="0" w:afterAutospacing="0"/>
              <w:ind w:left="0" w:leftChars="0" w:right="0" w:rightChars="0"/>
              <w:jc w:val="right"/>
              <w:rPr>
                <w:rFonts w:hint="eastAsia" w:ascii="宋体" w:hAnsi="宋体" w:eastAsia="宋体" w:cs="宋体"/>
                <w:i w:val="0"/>
                <w:iCs w:val="0"/>
                <w:caps w:val="0"/>
                <w:color w:val="000000"/>
                <w:spacing w:val="0"/>
                <w:kern w:val="0"/>
                <w:sz w:val="18"/>
                <w:szCs w:val="18"/>
                <w:u w:val="none"/>
                <w:lang w:val="en-US" w:eastAsia="zh-CN" w:bidi="ar"/>
              </w:rPr>
            </w:pPr>
            <w:r>
              <w:rPr>
                <w:rFonts w:hint="eastAsia" w:ascii="宋体" w:hAnsi="宋体" w:eastAsia="宋体" w:cs="宋体"/>
                <w:i w:val="0"/>
                <w:iCs w:val="0"/>
                <w:caps w:val="0"/>
                <w:color w:val="000000"/>
                <w:spacing w:val="0"/>
                <w:kern w:val="0"/>
                <w:sz w:val="18"/>
                <w:szCs w:val="18"/>
                <w:u w:val="none"/>
                <w:lang w:val="en-US" w:eastAsia="zh-CN" w:bidi="ar"/>
              </w:rPr>
              <w:t>1,910.00</w:t>
            </w:r>
          </w:p>
        </w:tc>
        <w:tc>
          <w:tcPr>
            <w:tcW w:w="1858" w:type="dxa"/>
            <w:vAlign w:val="center"/>
          </w:tcPr>
          <w:p>
            <w:pPr>
              <w:keepNext w:val="0"/>
              <w:keepLines w:val="0"/>
              <w:widowControl/>
              <w:suppressLineNumbers w:val="0"/>
              <w:wordWrap/>
              <w:spacing w:before="0" w:beforeAutospacing="0" w:after="0" w:afterAutospacing="0"/>
              <w:ind w:left="0" w:leftChars="0" w:right="0" w:rightChars="0"/>
              <w:jc w:val="right"/>
              <w:rPr>
                <w:rFonts w:hint="eastAsia" w:ascii="宋体" w:hAnsi="宋体" w:eastAsia="宋体" w:cs="宋体"/>
                <w:i w:val="0"/>
                <w:iCs w:val="0"/>
                <w:caps w:val="0"/>
                <w:color w:val="000000"/>
                <w:spacing w:val="0"/>
                <w:kern w:val="0"/>
                <w:sz w:val="18"/>
                <w:szCs w:val="18"/>
                <w:u w:val="none"/>
                <w:lang w:val="en-US" w:eastAsia="zh-CN" w:bidi="ar"/>
              </w:rPr>
            </w:pPr>
            <w:r>
              <w:rPr>
                <w:rFonts w:hint="eastAsia" w:ascii="宋体" w:hAnsi="宋体" w:eastAsia="宋体" w:cs="宋体"/>
                <w:i w:val="0"/>
                <w:iCs w:val="0"/>
                <w:caps w:val="0"/>
                <w:color w:val="000000"/>
                <w:spacing w:val="0"/>
                <w:kern w:val="0"/>
                <w:sz w:val="18"/>
                <w:szCs w:val="18"/>
                <w:u w:val="none"/>
                <w:lang w:val="en-US" w:eastAsia="zh-CN" w:bidi="ar"/>
              </w:rPr>
              <w:t>1,910.00</w:t>
            </w:r>
          </w:p>
        </w:tc>
      </w:tr>
    </w:tbl>
    <w:p>
      <w:pPr>
        <w:pStyle w:val="2"/>
        <w:spacing w:line="520" w:lineRule="exact"/>
        <w:ind w:firstLine="560" w:firstLineChars="200"/>
        <w:rPr>
          <w:rFonts w:ascii="Times New Roman" w:hAnsi="Times New Roman" w:eastAsia="仿宋" w:cs="Times New Roman"/>
          <w:color w:val="auto"/>
          <w:sz w:val="21"/>
          <w:szCs w:val="21"/>
          <w:highlight w:val="none"/>
        </w:rPr>
      </w:pPr>
      <w:r>
        <w:rPr>
          <w:rFonts w:ascii="Times New Roman" w:hAnsi="Times New Roman" w:eastAsia="方正仿宋_GBK" w:cs="Times New Roman"/>
          <w:color w:val="auto"/>
          <w:sz w:val="28"/>
          <w:szCs w:val="28"/>
          <w:highlight w:val="none"/>
        </w:rPr>
        <w:t>7.本预算为包干价，执行本项目产生的全部费用均包括在内。</w:t>
      </w:r>
    </w:p>
    <w:p>
      <w:pPr>
        <w:widowControl/>
        <w:spacing w:line="520" w:lineRule="exact"/>
        <w:ind w:firstLine="560" w:firstLineChars="200"/>
        <w:jc w:val="lef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8.</w:t>
      </w:r>
      <w:r>
        <w:rPr>
          <w:rFonts w:hint="eastAsia" w:ascii="Times New Roman" w:hAnsi="Times New Roman" w:eastAsia="方正仿宋_GBK" w:cs="Times New Roman"/>
          <w:color w:val="auto"/>
          <w:sz w:val="28"/>
          <w:szCs w:val="28"/>
          <w:highlight w:val="none"/>
          <w:lang w:val="en-US" w:eastAsia="zh-CN"/>
        </w:rPr>
        <w:t>交货期限</w:t>
      </w:r>
      <w:r>
        <w:rPr>
          <w:rFonts w:ascii="Times New Roman" w:hAnsi="Times New Roman" w:eastAsia="方正仿宋_GBK" w:cs="Times New Roman"/>
          <w:color w:val="auto"/>
          <w:sz w:val="28"/>
          <w:szCs w:val="28"/>
          <w:highlight w:val="none"/>
        </w:rPr>
        <w:t>：</w:t>
      </w:r>
      <w:r>
        <w:rPr>
          <w:rFonts w:hint="eastAsia" w:ascii="Times New Roman" w:hAnsi="Times New Roman" w:eastAsia="方正仿宋_GBK" w:cs="Times New Roman"/>
          <w:color w:val="auto"/>
          <w:sz w:val="28"/>
          <w:szCs w:val="28"/>
          <w:highlight w:val="none"/>
          <w:lang w:val="en-US" w:eastAsia="zh-CN"/>
        </w:rPr>
        <w:t>合同签订后30日历天内完成供货及安装调试</w:t>
      </w:r>
      <w:r>
        <w:rPr>
          <w:rFonts w:hint="eastAsia" w:ascii="Times New Roman" w:hAnsi="Times New Roman" w:eastAsia="方正仿宋_GBK" w:cs="Times New Roman"/>
          <w:color w:val="auto"/>
          <w:sz w:val="28"/>
          <w:szCs w:val="28"/>
          <w:highlight w:val="none"/>
        </w:rPr>
        <w:t>。</w:t>
      </w:r>
    </w:p>
    <w:p>
      <w:pPr>
        <w:pStyle w:val="2"/>
        <w:tabs>
          <w:tab w:val="left" w:pos="491"/>
        </w:tabs>
        <w:spacing w:line="520" w:lineRule="exact"/>
        <w:ind w:firstLine="560" w:firstLineChars="200"/>
        <w:rPr>
          <w:rFonts w:ascii="Times New Roman" w:hAnsi="Times New Roman" w:eastAsia="方正仿宋_GBK" w:cs="Times New Roman"/>
          <w:color w:val="auto"/>
          <w:sz w:val="22"/>
          <w:szCs w:val="22"/>
          <w:highlight w:val="none"/>
        </w:rPr>
      </w:pPr>
      <w:r>
        <w:rPr>
          <w:rFonts w:ascii="Times New Roman" w:hAnsi="Times New Roman" w:eastAsia="方正仿宋_GBK" w:cs="Times New Roman"/>
          <w:color w:val="auto"/>
          <w:sz w:val="28"/>
          <w:szCs w:val="28"/>
          <w:highlight w:val="none"/>
        </w:rPr>
        <w:t>9.采购标的需满足的服务标准：符合采购人服务要求及国家现行规范、标准。</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10.本项目不接受联合体投标。</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11.</w:t>
      </w:r>
      <w:r>
        <w:rPr>
          <w:rFonts w:hint="eastAsia" w:ascii="Times New Roman" w:hAnsi="Times New Roman" w:eastAsia="方正仿宋_GBK" w:cs="Times New Roman"/>
          <w:color w:val="auto"/>
          <w:sz w:val="28"/>
          <w:szCs w:val="28"/>
          <w:highlight w:val="none"/>
          <w:lang w:val="en-US" w:eastAsia="zh-CN"/>
        </w:rPr>
        <w:t>交货</w:t>
      </w:r>
      <w:r>
        <w:rPr>
          <w:rFonts w:ascii="Times New Roman" w:hAnsi="Times New Roman" w:eastAsia="方正仿宋_GBK" w:cs="Times New Roman"/>
          <w:color w:val="auto"/>
          <w:sz w:val="28"/>
          <w:szCs w:val="28"/>
          <w:highlight w:val="none"/>
        </w:rPr>
        <w:t>地点：按采购人指定地点</w:t>
      </w:r>
      <w:r>
        <w:rPr>
          <w:rFonts w:hint="eastAsia" w:ascii="Times New Roman" w:hAnsi="Times New Roman" w:eastAsia="方正仿宋_GBK" w:cs="Times New Roman"/>
          <w:color w:val="auto"/>
          <w:sz w:val="28"/>
          <w:szCs w:val="28"/>
          <w:highlight w:val="none"/>
          <w:lang w:val="en-US" w:eastAsia="zh-CN"/>
        </w:rPr>
        <w:t>交货</w:t>
      </w:r>
      <w:r>
        <w:rPr>
          <w:rFonts w:ascii="Times New Roman" w:hAnsi="Times New Roman" w:eastAsia="方正仿宋_GBK" w:cs="Times New Roman"/>
          <w:color w:val="auto"/>
          <w:sz w:val="28"/>
          <w:szCs w:val="28"/>
          <w:highlight w:val="none"/>
        </w:rPr>
        <w:t>。</w:t>
      </w:r>
    </w:p>
    <w:p>
      <w:pPr>
        <w:pStyle w:val="2"/>
        <w:spacing w:line="520" w:lineRule="exact"/>
        <w:ind w:firstLine="560" w:firstLineChars="200"/>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二、响应人的资格要求</w:t>
      </w:r>
    </w:p>
    <w:p>
      <w:pPr>
        <w:pStyle w:val="2"/>
        <w:spacing w:line="520" w:lineRule="exact"/>
        <w:ind w:firstLine="560" w:firstLineChars="200"/>
        <w:rPr>
          <w:rFonts w:hint="default" w:ascii="方正仿宋_GBK" w:hAnsi="方正仿宋_GBK" w:eastAsia="方正仿宋_GBK" w:cs="方正仿宋_GBK"/>
          <w:color w:val="auto"/>
          <w:sz w:val="28"/>
          <w:szCs w:val="28"/>
          <w:highlight w:val="none"/>
          <w:lang w:val="en-US" w:eastAsia="zh-CN"/>
        </w:rPr>
      </w:pPr>
      <w:r>
        <w:rPr>
          <w:rFonts w:hint="default" w:ascii="方正仿宋_GBK" w:hAnsi="方正仿宋_GBK" w:eastAsia="方正仿宋_GBK" w:cs="方正仿宋_GBK"/>
          <w:color w:val="auto"/>
          <w:sz w:val="28"/>
          <w:szCs w:val="28"/>
          <w:highlight w:val="none"/>
          <w:lang w:val="en-US" w:eastAsia="zh-CN"/>
        </w:rPr>
        <w:t>1.满足《中华人民共和国政府采购法》第二十二条规定；</w:t>
      </w:r>
    </w:p>
    <w:p>
      <w:pPr>
        <w:pStyle w:val="2"/>
        <w:spacing w:line="520" w:lineRule="exact"/>
        <w:ind w:firstLine="560" w:firstLineChars="200"/>
        <w:rPr>
          <w:rFonts w:hint="default" w:ascii="方正仿宋_GBK" w:hAnsi="方正仿宋_GBK" w:eastAsia="方正仿宋_GBK" w:cs="方正仿宋_GBK"/>
          <w:color w:val="auto"/>
          <w:sz w:val="28"/>
          <w:szCs w:val="28"/>
          <w:highlight w:val="none"/>
          <w:lang w:val="en-US" w:eastAsia="zh-CN"/>
        </w:rPr>
      </w:pPr>
      <w:r>
        <w:rPr>
          <w:rFonts w:hint="default" w:ascii="方正仿宋_GBK" w:hAnsi="方正仿宋_GBK" w:eastAsia="方正仿宋_GBK" w:cs="方正仿宋_GBK"/>
          <w:color w:val="auto"/>
          <w:sz w:val="28"/>
          <w:szCs w:val="28"/>
          <w:highlight w:val="none"/>
          <w:lang w:val="en-US" w:eastAsia="zh-CN"/>
        </w:rPr>
        <w:t>2.落实政府采购政策需满足的资格要求：</w:t>
      </w:r>
      <w:r>
        <w:rPr>
          <w:rFonts w:hint="eastAsia" w:ascii="方正仿宋_GBK" w:hAnsi="方正仿宋_GBK" w:eastAsia="方正仿宋_GBK" w:cs="方正仿宋_GBK"/>
          <w:color w:val="auto"/>
          <w:sz w:val="28"/>
          <w:szCs w:val="28"/>
          <w:highlight w:val="none"/>
          <w:lang w:val="en-US" w:eastAsia="zh-CN"/>
        </w:rPr>
        <w:t>2.1根据《关于推动解决政府采购异常低价问题的通知》（财库〔2026〕2号）、《政府采购促进中小企业发展管理办法》（财库〔2020〕46号）、《关于进一步加大政府采购支持中小企业力度的通知》（财库〔2022〕19号）、《云南省财政厅关于贯彻《财政部关于进一步加大政府采购支持中小企业力度的通知》的通知》（云财采〔2022〕9号）、《财政部司法部关于政府采购支持监狱企业发展有关问题的通知》 (财库〔2014〕68 号)、《关于促进残疾人就业政府采购政策的通知》（财库〔2017〕141 号）和《云南省财政厅关于促进政府采购公平竞争优化营商环境的实施意见》（云财规〔2019〕5号）等文件精神，本项目对小微企业的价格给予10%的扣除，扣除后的价格参与报价部分评审。监狱企业、残疾人福利性单位视同小微企业。监狱企业、残疾人福利性单位属于小微企业的，不重复享受价格扣除优惠政策；供应商提供的货物既有小微企业制造货物，也有大中型企业制造货物的，不享受价格扣除优惠政策。价格扣除比例对小型企业和微型企业同等对待，不作区分。</w:t>
      </w:r>
    </w:p>
    <w:p>
      <w:pPr>
        <w:pStyle w:val="2"/>
        <w:spacing w:line="520" w:lineRule="exact"/>
        <w:ind w:firstLine="560" w:firstLineChars="200"/>
        <w:rPr>
          <w:rFonts w:hint="default" w:ascii="方正仿宋_GBK" w:hAnsi="方正仿宋_GBK" w:eastAsia="方正仿宋_GBK" w:cs="方正仿宋_GBK"/>
          <w:color w:val="auto"/>
          <w:sz w:val="28"/>
          <w:szCs w:val="28"/>
          <w:highlight w:val="none"/>
          <w:lang w:val="en-US" w:eastAsia="zh-CN"/>
        </w:rPr>
      </w:pPr>
      <w:r>
        <w:rPr>
          <w:rFonts w:hint="default" w:ascii="方正仿宋_GBK" w:hAnsi="方正仿宋_GBK" w:eastAsia="方正仿宋_GBK" w:cs="方正仿宋_GBK"/>
          <w:color w:val="auto"/>
          <w:sz w:val="28"/>
          <w:szCs w:val="28"/>
          <w:highlight w:val="none"/>
          <w:lang w:val="en-US" w:eastAsia="zh-CN"/>
        </w:rPr>
        <w:t>3.本项目的特定资格要求：</w:t>
      </w:r>
      <w:r>
        <w:rPr>
          <w:rFonts w:hint="eastAsia" w:ascii="方正仿宋_GBK" w:hAnsi="方正仿宋_GBK" w:eastAsia="方正仿宋_GBK" w:cs="方正仿宋_GBK"/>
          <w:color w:val="auto"/>
          <w:sz w:val="28"/>
          <w:szCs w:val="28"/>
          <w:highlight w:val="none"/>
          <w:lang w:val="en-US" w:eastAsia="zh-CN"/>
        </w:rPr>
        <w:t>单位负责人为同一人或者存在直接控股、管理关系的不同供应商，不得参加同一合同项下的政府采购活动，否则均按无效处理；</w:t>
      </w:r>
    </w:p>
    <w:p>
      <w:pPr>
        <w:pStyle w:val="2"/>
        <w:spacing w:line="520" w:lineRule="exact"/>
        <w:ind w:firstLine="562" w:firstLineChars="200"/>
        <w:rPr>
          <w:rFonts w:hint="eastAsia" w:ascii="方正仿宋_GBK" w:hAnsi="方正仿宋_GBK" w:eastAsia="方正仿宋_GBK" w:cs="方正仿宋_GBK"/>
          <w:b/>
          <w:bCs/>
          <w:color w:val="auto"/>
          <w:sz w:val="28"/>
          <w:szCs w:val="28"/>
          <w:highlight w:val="none"/>
          <w:lang w:val="en-US" w:eastAsia="zh-CN"/>
        </w:rPr>
      </w:pPr>
      <w:r>
        <w:rPr>
          <w:rFonts w:hint="eastAsia" w:ascii="方正仿宋_GBK" w:hAnsi="方正仿宋_GBK" w:eastAsia="方正仿宋_GBK" w:cs="方正仿宋_GBK"/>
          <w:b/>
          <w:bCs/>
          <w:color w:val="auto"/>
          <w:sz w:val="28"/>
          <w:szCs w:val="28"/>
          <w:highlight w:val="none"/>
          <w:lang w:val="en-US" w:eastAsia="zh-CN"/>
        </w:rPr>
        <w:t>三、获取招标文件</w:t>
      </w:r>
    </w:p>
    <w:p>
      <w:pPr>
        <w:pStyle w:val="2"/>
        <w:spacing w:line="520" w:lineRule="exact"/>
        <w:ind w:firstLine="560" w:firstLineChars="200"/>
        <w:rPr>
          <w:rFonts w:hint="eastAsia" w:ascii="方正仿宋_GBK" w:hAnsi="方正仿宋_GBK" w:eastAsia="方正仿宋_GBK" w:cs="方正仿宋_GBK"/>
          <w:color w:val="auto"/>
          <w:sz w:val="28"/>
          <w:szCs w:val="28"/>
          <w:highlight w:val="yellow"/>
          <w:lang w:val="en-US" w:eastAsia="zh-CN"/>
        </w:rPr>
      </w:pPr>
      <w:r>
        <w:rPr>
          <w:rFonts w:hint="eastAsia" w:ascii="方正仿宋_GBK" w:hAnsi="方正仿宋_GBK" w:eastAsia="方正仿宋_GBK" w:cs="方正仿宋_GBK"/>
          <w:color w:val="auto"/>
          <w:sz w:val="28"/>
          <w:szCs w:val="28"/>
          <w:highlight w:val="none"/>
          <w:lang w:val="en-US" w:eastAsia="zh-CN"/>
        </w:rPr>
        <w:t>1.时间：2025年05月19日19:00至2025年05月26日23:59。</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2.地点：</w:t>
      </w:r>
      <w:r>
        <w:rPr>
          <w:rFonts w:hint="eastAsia" w:ascii="仿宋" w:hAnsi="仿宋" w:eastAsia="仿宋" w:cs="仿宋"/>
          <w:color w:val="auto"/>
          <w:spacing w:val="-6"/>
          <w:sz w:val="28"/>
          <w:szCs w:val="28"/>
          <w:highlight w:val="none"/>
          <w:u w:val="single"/>
          <w:lang w:eastAsia="zh-CN"/>
        </w:rPr>
        <w:t>政采云平台（http：//www.zcygov.cn）</w:t>
      </w:r>
    </w:p>
    <w:p>
      <w:pPr>
        <w:pStyle w:val="2"/>
        <w:spacing w:line="520" w:lineRule="exact"/>
        <w:ind w:firstLine="560" w:firstLineChars="200"/>
        <w:rPr>
          <w:rFonts w:hint="eastAsia" w:ascii="仿宋" w:hAnsi="仿宋" w:eastAsia="仿宋" w:cs="仿宋"/>
          <w:color w:val="auto"/>
          <w:kern w:val="2"/>
          <w:sz w:val="28"/>
          <w:szCs w:val="28"/>
          <w:highlight w:val="none"/>
          <w:lang w:val="en-US" w:eastAsia="zh-CN" w:bidi="ar-SA"/>
        </w:rPr>
      </w:pPr>
      <w:r>
        <w:rPr>
          <w:rFonts w:ascii="Times New Roman" w:hAnsi="Times New Roman" w:eastAsia="方正仿宋_GBK" w:cs="Times New Roman"/>
          <w:color w:val="auto"/>
          <w:sz w:val="28"/>
          <w:szCs w:val="28"/>
          <w:highlight w:val="none"/>
        </w:rPr>
        <w:t>3.方式：网上</w:t>
      </w:r>
      <w:r>
        <w:rPr>
          <w:rFonts w:hint="eastAsia" w:ascii="仿宋" w:hAnsi="仿宋" w:eastAsia="仿宋" w:cs="仿宋"/>
          <w:color w:val="auto"/>
          <w:kern w:val="2"/>
          <w:sz w:val="28"/>
          <w:szCs w:val="28"/>
          <w:highlight w:val="none"/>
          <w:lang w:val="en-US" w:eastAsia="zh-CN" w:bidi="ar-SA"/>
        </w:rPr>
        <w:t>获取。</w:t>
      </w:r>
    </w:p>
    <w:p>
      <w:pPr>
        <w:wordWrap w:val="0"/>
        <w:spacing w:line="360" w:lineRule="auto"/>
        <w:ind w:firstLine="53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凡有意参加投标者，请于2025年05月19日19:00至2025年06月09日23：59分（法定公休日、法定节假日除外），在政采云平台办理数字证书（CA)，CA申领链接http://yzt.ynsmartcert.cn/cms/yztynzz.html，数字证书（CA）办理完成后需在政采云平台绑定数字证书(CA)并在平台获取采购文件及其它采购资料。</w:t>
      </w:r>
    </w:p>
    <w:p>
      <w:pPr>
        <w:wordWrap w:val="0"/>
        <w:spacing w:line="360" w:lineRule="auto"/>
        <w:ind w:firstLine="53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注:按上述要求获取文件的供应商视为合法获取了本项目采购文件，具备本项目的投标资格。各供应商应在开标前确保成为政采云平台供应商，并完成CA数字证书申领。因未注册入库，未办理CA数字证书等原因造成无法投标或投标失败等由供应商自行承担,有意参加投标的供应商，须在政采云平办理数字证书(CA) ，CA申领链接: http://yzt.ynsmartcert.cn/cms/yztynzz.html。</w:t>
      </w:r>
    </w:p>
    <w:p>
      <w:pPr>
        <w:pStyle w:val="2"/>
        <w:spacing w:line="520" w:lineRule="exact"/>
        <w:ind w:firstLine="560" w:firstLineChars="200"/>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如有问题可拨打政采云客户服务热线95763进一咨询，数字证书问题可咨询云南壹证通CA：0871-67276028（紧急可拨19988166369）。</w:t>
      </w:r>
    </w:p>
    <w:p>
      <w:pPr>
        <w:pStyle w:val="2"/>
        <w:spacing w:line="520" w:lineRule="exact"/>
        <w:ind w:firstLine="560" w:firstLineChars="200"/>
        <w:rPr>
          <w:rFonts w:hint="eastAsia" w:ascii="Times New Roman" w:hAnsi="Times New Roman" w:eastAsia="方正仿宋_GBK" w:cs="Times New Roman"/>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4.《招</w:t>
      </w:r>
      <w:r>
        <w:rPr>
          <w:rFonts w:hint="eastAsia" w:ascii="Times New Roman" w:hAnsi="Times New Roman" w:eastAsia="方正仿宋_GBK" w:cs="Times New Roman"/>
          <w:color w:val="auto"/>
          <w:sz w:val="28"/>
          <w:szCs w:val="28"/>
          <w:highlight w:val="none"/>
          <w:lang w:val="en-US" w:eastAsia="zh-CN"/>
        </w:rPr>
        <w:t>标文件》售价：0元</w:t>
      </w:r>
    </w:p>
    <w:p>
      <w:pPr>
        <w:pStyle w:val="2"/>
        <w:spacing w:line="520" w:lineRule="exact"/>
        <w:ind w:firstLine="560" w:firstLineChars="200"/>
        <w:rPr>
          <w:rFonts w:hint="eastAsia" w:ascii="Times New Roman" w:hAnsi="Times New Roman" w:eastAsia="方正仿宋_GBK" w:cs="Times New Roman"/>
          <w:color w:val="auto"/>
          <w:sz w:val="28"/>
          <w:szCs w:val="28"/>
          <w:highlight w:val="none"/>
          <w:lang w:val="en-US" w:eastAsia="zh-CN"/>
        </w:rPr>
      </w:pPr>
      <w:r>
        <w:rPr>
          <w:rFonts w:hint="eastAsia" w:ascii="Times New Roman" w:hAnsi="Times New Roman" w:eastAsia="方正仿宋_GBK" w:cs="Times New Roman"/>
          <w:color w:val="auto"/>
          <w:sz w:val="28"/>
          <w:szCs w:val="28"/>
          <w:highlight w:val="none"/>
          <w:lang w:val="en-US" w:eastAsia="zh-CN"/>
        </w:rPr>
        <w:t>四、响应文件提交</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1.截止时间：202</w:t>
      </w:r>
      <w:r>
        <w:rPr>
          <w:rFonts w:hint="eastAsia" w:ascii="Times New Roman" w:hAnsi="Times New Roman" w:eastAsia="方正仿宋_GBK" w:cs="Times New Roman"/>
          <w:color w:val="auto"/>
          <w:sz w:val="28"/>
          <w:szCs w:val="28"/>
          <w:highlight w:val="none"/>
          <w:lang w:val="en-US" w:eastAsia="zh-CN"/>
        </w:rPr>
        <w:t>5</w:t>
      </w:r>
      <w:r>
        <w:rPr>
          <w:rFonts w:ascii="Times New Roman" w:hAnsi="Times New Roman" w:eastAsia="方正仿宋_GBK" w:cs="Times New Roman"/>
          <w:color w:val="auto"/>
          <w:sz w:val="28"/>
          <w:szCs w:val="28"/>
          <w:highlight w:val="none"/>
        </w:rPr>
        <w:t>年</w:t>
      </w:r>
      <w:r>
        <w:rPr>
          <w:rFonts w:hint="eastAsia" w:ascii="Times New Roman" w:hAnsi="Times New Roman" w:eastAsia="方正仿宋_GBK" w:cs="Times New Roman"/>
          <w:color w:val="auto"/>
          <w:sz w:val="28"/>
          <w:szCs w:val="28"/>
          <w:highlight w:val="none"/>
          <w:lang w:val="en-US" w:eastAsia="zh-CN"/>
        </w:rPr>
        <w:t>06</w:t>
      </w:r>
      <w:r>
        <w:rPr>
          <w:rFonts w:ascii="Times New Roman" w:hAnsi="Times New Roman" w:eastAsia="方正仿宋_GBK" w:cs="Times New Roman"/>
          <w:color w:val="auto"/>
          <w:sz w:val="28"/>
          <w:szCs w:val="28"/>
          <w:highlight w:val="none"/>
        </w:rPr>
        <w:t>月</w:t>
      </w:r>
      <w:r>
        <w:rPr>
          <w:rFonts w:hint="eastAsia" w:ascii="Times New Roman" w:hAnsi="Times New Roman" w:eastAsia="方正仿宋_GBK" w:cs="Times New Roman"/>
          <w:color w:val="auto"/>
          <w:sz w:val="28"/>
          <w:szCs w:val="28"/>
          <w:highlight w:val="none"/>
          <w:lang w:val="en-US" w:eastAsia="zh-CN"/>
        </w:rPr>
        <w:t>10日</w:t>
      </w:r>
      <w:r>
        <w:rPr>
          <w:rFonts w:hint="eastAsia" w:ascii="Times New Roman" w:hAnsi="Times New Roman" w:eastAsia="方正仿宋_GBK" w:cs="Times New Roman"/>
          <w:color w:val="auto"/>
          <w:sz w:val="28"/>
          <w:szCs w:val="28"/>
          <w:highlight w:val="none"/>
        </w:rPr>
        <w:t>09</w:t>
      </w:r>
      <w:r>
        <w:rPr>
          <w:rFonts w:ascii="Times New Roman" w:hAnsi="Times New Roman" w:eastAsia="方正仿宋_GBK" w:cs="Times New Roman"/>
          <w:color w:val="auto"/>
          <w:sz w:val="28"/>
          <w:szCs w:val="28"/>
          <w:highlight w:val="none"/>
        </w:rPr>
        <w:t>时</w:t>
      </w:r>
      <w:r>
        <w:rPr>
          <w:rFonts w:hint="eastAsia" w:ascii="Times New Roman" w:hAnsi="Times New Roman" w:eastAsia="方正仿宋_GBK" w:cs="Times New Roman"/>
          <w:color w:val="auto"/>
          <w:sz w:val="28"/>
          <w:szCs w:val="28"/>
          <w:highlight w:val="none"/>
          <w:lang w:val="en-US" w:eastAsia="zh-CN"/>
        </w:rPr>
        <w:t>3</w:t>
      </w:r>
      <w:r>
        <w:rPr>
          <w:rFonts w:hint="eastAsia" w:ascii="Times New Roman" w:hAnsi="Times New Roman" w:eastAsia="方正仿宋_GBK" w:cs="Times New Roman"/>
          <w:color w:val="auto"/>
          <w:sz w:val="28"/>
          <w:szCs w:val="28"/>
          <w:highlight w:val="none"/>
        </w:rPr>
        <w:t>0</w:t>
      </w:r>
      <w:r>
        <w:rPr>
          <w:rFonts w:ascii="Times New Roman" w:hAnsi="Times New Roman" w:eastAsia="方正仿宋_GBK" w:cs="Times New Roman"/>
          <w:color w:val="auto"/>
          <w:sz w:val="28"/>
          <w:szCs w:val="28"/>
          <w:highlight w:val="none"/>
        </w:rPr>
        <w:t>分（北京时间）</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2.地点：</w:t>
      </w:r>
      <w:r>
        <w:rPr>
          <w:rFonts w:hint="eastAsia" w:ascii="Times New Roman" w:hAnsi="Times New Roman" w:eastAsia="方正仿宋_GBK" w:cs="Times New Roman"/>
          <w:color w:val="auto"/>
          <w:sz w:val="28"/>
          <w:szCs w:val="28"/>
          <w:highlight w:val="none"/>
          <w:lang w:val="en-US" w:eastAsia="zh-CN"/>
        </w:rPr>
        <w:t>景洪市公共资源交易中心开评标室。</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3.响应文件指电子响应文件。须在投标截止时间前完成所有电子响应文件的上传，网上确认电子签名，并打印“网上递交投标文件回执”，响应文件提交的截止时间前未完成投标文件传输的，视为撤回投标文件。</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4.电子响应文件网上提交网址为http://116.55.195.54:8001/#/homePagem。</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5.未按指定方式上传或逾期上传的电子响应文件，采购人不予受理。</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五、响应文件开启</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1.时间：202</w:t>
      </w:r>
      <w:r>
        <w:rPr>
          <w:rFonts w:hint="eastAsia" w:ascii="Times New Roman" w:hAnsi="Times New Roman" w:eastAsia="方正仿宋_GBK" w:cs="Times New Roman"/>
          <w:color w:val="auto"/>
          <w:sz w:val="28"/>
          <w:szCs w:val="28"/>
          <w:highlight w:val="none"/>
          <w:lang w:val="en-US" w:eastAsia="zh-CN"/>
        </w:rPr>
        <w:t>5</w:t>
      </w:r>
      <w:r>
        <w:rPr>
          <w:rFonts w:ascii="Times New Roman" w:hAnsi="Times New Roman" w:eastAsia="方正仿宋_GBK" w:cs="Times New Roman"/>
          <w:color w:val="auto"/>
          <w:sz w:val="28"/>
          <w:szCs w:val="28"/>
          <w:highlight w:val="none"/>
        </w:rPr>
        <w:t>年</w:t>
      </w:r>
      <w:r>
        <w:rPr>
          <w:rFonts w:hint="eastAsia" w:ascii="Times New Roman" w:hAnsi="Times New Roman" w:eastAsia="方正仿宋_GBK" w:cs="Times New Roman"/>
          <w:color w:val="auto"/>
          <w:sz w:val="28"/>
          <w:szCs w:val="28"/>
          <w:highlight w:val="none"/>
          <w:lang w:val="en-US" w:eastAsia="zh-CN"/>
        </w:rPr>
        <w:t>06</w:t>
      </w:r>
      <w:r>
        <w:rPr>
          <w:rFonts w:ascii="Times New Roman" w:hAnsi="Times New Roman" w:eastAsia="方正仿宋_GBK" w:cs="Times New Roman"/>
          <w:color w:val="auto"/>
          <w:sz w:val="28"/>
          <w:szCs w:val="28"/>
          <w:highlight w:val="none"/>
        </w:rPr>
        <w:t>月</w:t>
      </w:r>
      <w:r>
        <w:rPr>
          <w:rFonts w:hint="eastAsia" w:ascii="Times New Roman" w:hAnsi="Times New Roman" w:eastAsia="方正仿宋_GBK" w:cs="Times New Roman"/>
          <w:color w:val="auto"/>
          <w:sz w:val="28"/>
          <w:szCs w:val="28"/>
          <w:highlight w:val="none"/>
          <w:lang w:val="en-US" w:eastAsia="zh-CN"/>
        </w:rPr>
        <w:t>10日</w:t>
      </w:r>
      <w:r>
        <w:rPr>
          <w:rFonts w:hint="eastAsia" w:ascii="Times New Roman" w:hAnsi="Times New Roman" w:eastAsia="方正仿宋_GBK" w:cs="Times New Roman"/>
          <w:color w:val="auto"/>
          <w:sz w:val="28"/>
          <w:szCs w:val="28"/>
          <w:highlight w:val="none"/>
        </w:rPr>
        <w:t>09</w:t>
      </w:r>
      <w:r>
        <w:rPr>
          <w:rFonts w:ascii="Times New Roman" w:hAnsi="Times New Roman" w:eastAsia="方正仿宋_GBK" w:cs="Times New Roman"/>
          <w:color w:val="auto"/>
          <w:sz w:val="28"/>
          <w:szCs w:val="28"/>
          <w:highlight w:val="none"/>
        </w:rPr>
        <w:t>点</w:t>
      </w:r>
      <w:r>
        <w:rPr>
          <w:rFonts w:hint="eastAsia" w:ascii="Times New Roman" w:hAnsi="Times New Roman" w:eastAsia="方正仿宋_GBK" w:cs="Times New Roman"/>
          <w:color w:val="auto"/>
          <w:sz w:val="28"/>
          <w:szCs w:val="28"/>
          <w:highlight w:val="none"/>
          <w:lang w:val="en-US" w:eastAsia="zh-CN"/>
        </w:rPr>
        <w:t>30</w:t>
      </w:r>
      <w:r>
        <w:rPr>
          <w:rFonts w:ascii="Times New Roman" w:hAnsi="Times New Roman" w:eastAsia="方正仿宋_GBK" w:cs="Times New Roman"/>
          <w:color w:val="auto"/>
          <w:sz w:val="28"/>
          <w:szCs w:val="28"/>
          <w:highlight w:val="none"/>
        </w:rPr>
        <w:t>分（北京时间）</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2.地点：</w:t>
      </w:r>
      <w:r>
        <w:rPr>
          <w:rFonts w:hint="eastAsia" w:ascii="Times New Roman" w:hAnsi="Times New Roman" w:eastAsia="方正仿宋_GBK" w:cs="Times New Roman"/>
          <w:color w:val="auto"/>
          <w:sz w:val="28"/>
          <w:szCs w:val="28"/>
          <w:highlight w:val="none"/>
          <w:lang w:val="en-US" w:eastAsia="zh-CN"/>
        </w:rPr>
        <w:t>景洪市公共资源交易中心开评标室</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lang w:val="en-US" w:eastAsia="zh-CN"/>
        </w:rPr>
        <w:t>3.开标方式：网上开评标</w:t>
      </w:r>
      <w:r>
        <w:rPr>
          <w:rFonts w:ascii="Times New Roman" w:hAnsi="Times New Roman" w:eastAsia="方正仿宋_GBK" w:cs="Times New Roman"/>
          <w:color w:val="auto"/>
          <w:sz w:val="28"/>
          <w:szCs w:val="28"/>
          <w:highlight w:val="none"/>
        </w:rPr>
        <w:t>。</w:t>
      </w:r>
    </w:p>
    <w:p>
      <w:pPr>
        <w:pStyle w:val="2"/>
        <w:spacing w:line="520" w:lineRule="exact"/>
        <w:ind w:firstLine="560" w:firstLineChars="200"/>
        <w:rPr>
          <w:rFonts w:ascii="Times New Roman" w:hAnsi="Times New Roman" w:eastAsia="方正黑体_GBK" w:cs="Times New Roman"/>
          <w:color w:val="auto"/>
          <w:sz w:val="28"/>
          <w:szCs w:val="28"/>
          <w:highlight w:val="none"/>
        </w:rPr>
      </w:pPr>
      <w:r>
        <w:rPr>
          <w:rFonts w:ascii="Times New Roman" w:hAnsi="Times New Roman" w:eastAsia="方正黑体_GBK" w:cs="Times New Roman"/>
          <w:color w:val="auto"/>
          <w:sz w:val="28"/>
          <w:szCs w:val="28"/>
          <w:highlight w:val="none"/>
        </w:rPr>
        <w:t>六、</w:t>
      </w:r>
      <w:r>
        <w:rPr>
          <w:rFonts w:hint="eastAsia" w:ascii="Times New Roman" w:hAnsi="Times New Roman" w:eastAsia="方正黑体_GBK" w:cs="Times New Roman"/>
          <w:color w:val="auto"/>
          <w:sz w:val="28"/>
          <w:szCs w:val="28"/>
          <w:highlight w:val="none"/>
        </w:rPr>
        <w:t>投标</w:t>
      </w:r>
      <w:r>
        <w:rPr>
          <w:rFonts w:ascii="Times New Roman" w:hAnsi="Times New Roman" w:eastAsia="方正黑体_GBK" w:cs="Times New Roman"/>
          <w:color w:val="auto"/>
          <w:sz w:val="28"/>
          <w:szCs w:val="28"/>
          <w:highlight w:val="none"/>
        </w:rPr>
        <w:t>保证金：</w:t>
      </w:r>
    </w:p>
    <w:p>
      <w:pPr>
        <w:pStyle w:val="2"/>
        <w:spacing w:line="520" w:lineRule="exact"/>
        <w:ind w:firstLine="560" w:firstLineChars="200"/>
        <w:rPr>
          <w:rFonts w:hint="eastAsia" w:ascii="Times New Roman" w:hAnsi="Times New Roman" w:eastAsia="方正仿宋_GBK" w:cs="Times New Roman"/>
          <w:color w:val="auto"/>
          <w:sz w:val="28"/>
          <w:szCs w:val="28"/>
          <w:highlight w:val="none"/>
          <w:lang w:eastAsia="zh-CN"/>
        </w:rPr>
      </w:pPr>
      <w:r>
        <w:rPr>
          <w:rFonts w:hint="default" w:ascii="Times New Roman" w:hAnsi="Times New Roman" w:eastAsia="方正仿宋_GBK" w:cs="Times New Roman"/>
          <w:color w:val="auto"/>
          <w:sz w:val="28"/>
          <w:szCs w:val="28"/>
          <w:highlight w:val="none"/>
        </w:rPr>
        <w:t>根据</w:t>
      </w:r>
      <w:r>
        <w:rPr>
          <w:rFonts w:hint="eastAsia" w:ascii="Times New Roman" w:hAnsi="Times New Roman" w:eastAsia="方正仿宋_GBK" w:cs="Times New Roman"/>
          <w:color w:val="auto"/>
          <w:sz w:val="28"/>
          <w:szCs w:val="28"/>
          <w:highlight w:val="none"/>
          <w:lang w:eastAsia="zh-CN"/>
        </w:rPr>
        <w:t>《</w:t>
      </w:r>
      <w:r>
        <w:rPr>
          <w:rFonts w:hint="default" w:ascii="Times New Roman" w:hAnsi="Times New Roman" w:eastAsia="方正仿宋_GBK" w:cs="Times New Roman"/>
          <w:color w:val="auto"/>
          <w:sz w:val="28"/>
          <w:szCs w:val="28"/>
          <w:highlight w:val="none"/>
        </w:rPr>
        <w:t>西双版纳州关于进一步减免投标保证金降低招标投标交易成本的通知</w:t>
      </w:r>
      <w:r>
        <w:rPr>
          <w:rFonts w:hint="eastAsia" w:ascii="Times New Roman" w:hAnsi="Times New Roman" w:eastAsia="方正仿宋_GBK" w:cs="Times New Roman"/>
          <w:color w:val="auto"/>
          <w:sz w:val="28"/>
          <w:szCs w:val="28"/>
          <w:highlight w:val="none"/>
          <w:lang w:eastAsia="zh-CN"/>
        </w:rPr>
        <w:t>》</w:t>
      </w:r>
      <w:r>
        <w:rPr>
          <w:rFonts w:hint="default" w:ascii="Times New Roman" w:hAnsi="Times New Roman" w:eastAsia="方正仿宋_GBK" w:cs="Times New Roman"/>
          <w:color w:val="auto"/>
          <w:sz w:val="28"/>
          <w:szCs w:val="28"/>
          <w:highlight w:val="none"/>
        </w:rPr>
        <w:t>，本项目</w:t>
      </w:r>
      <w:r>
        <w:rPr>
          <w:rFonts w:hint="eastAsia" w:ascii="Times New Roman" w:hAnsi="Times New Roman" w:eastAsia="方正仿宋_GBK" w:cs="Times New Roman"/>
          <w:color w:val="auto"/>
          <w:sz w:val="28"/>
          <w:szCs w:val="28"/>
          <w:highlight w:val="none"/>
          <w:lang w:val="en-US" w:eastAsia="zh-CN"/>
        </w:rPr>
        <w:t>不收取</w:t>
      </w:r>
      <w:r>
        <w:rPr>
          <w:rFonts w:hint="default" w:ascii="Times New Roman" w:hAnsi="Times New Roman" w:eastAsia="方正仿宋_GBK" w:cs="Times New Roman"/>
          <w:color w:val="auto"/>
          <w:sz w:val="28"/>
          <w:szCs w:val="28"/>
          <w:highlight w:val="none"/>
        </w:rPr>
        <w:t>保证金</w:t>
      </w:r>
      <w:r>
        <w:rPr>
          <w:rFonts w:hint="eastAsia" w:ascii="Times New Roman" w:hAnsi="Times New Roman" w:eastAsia="方正仿宋_GBK" w:cs="Times New Roman"/>
          <w:color w:val="auto"/>
          <w:sz w:val="28"/>
          <w:szCs w:val="28"/>
          <w:highlight w:val="none"/>
          <w:lang w:eastAsia="zh-CN"/>
        </w:rPr>
        <w:t>。</w:t>
      </w:r>
    </w:p>
    <w:p>
      <w:pPr>
        <w:pStyle w:val="2"/>
        <w:spacing w:line="520" w:lineRule="exact"/>
        <w:ind w:firstLine="560" w:firstLineChars="200"/>
        <w:rPr>
          <w:rFonts w:ascii="Times New Roman" w:hAnsi="Times New Roman" w:eastAsia="方正黑体_GBK" w:cs="Times New Roman"/>
          <w:color w:val="auto"/>
          <w:sz w:val="28"/>
          <w:szCs w:val="28"/>
          <w:highlight w:val="none"/>
        </w:rPr>
      </w:pPr>
      <w:r>
        <w:rPr>
          <w:rFonts w:ascii="Times New Roman" w:hAnsi="Times New Roman" w:eastAsia="方正黑体_GBK" w:cs="Times New Roman"/>
          <w:color w:val="auto"/>
          <w:sz w:val="28"/>
          <w:szCs w:val="28"/>
          <w:highlight w:val="none"/>
        </w:rPr>
        <w:t>七、公告期限</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自本公告发布之日起5个工作日。</w:t>
      </w:r>
    </w:p>
    <w:p>
      <w:pPr>
        <w:pStyle w:val="2"/>
        <w:spacing w:line="520" w:lineRule="exact"/>
        <w:ind w:firstLine="560" w:firstLineChars="200"/>
        <w:rPr>
          <w:rFonts w:ascii="Times New Roman" w:hAnsi="Times New Roman" w:eastAsia="方正黑体_GBK" w:cs="Times New Roman"/>
          <w:color w:val="auto"/>
          <w:sz w:val="28"/>
          <w:szCs w:val="28"/>
          <w:highlight w:val="none"/>
        </w:rPr>
      </w:pPr>
      <w:r>
        <w:rPr>
          <w:rFonts w:ascii="Times New Roman" w:hAnsi="Times New Roman" w:eastAsia="方正黑体_GBK" w:cs="Times New Roman"/>
          <w:color w:val="auto"/>
          <w:sz w:val="28"/>
          <w:szCs w:val="28"/>
          <w:highlight w:val="none"/>
        </w:rPr>
        <w:t>八、其他补充事宜</w:t>
      </w:r>
    </w:p>
    <w:p>
      <w:pPr>
        <w:pStyle w:val="9"/>
        <w:keepNext w:val="0"/>
        <w:keepLines w:val="0"/>
        <w:pageBreakBefore w:val="0"/>
        <w:widowControl w:val="0"/>
        <w:numPr>
          <w:ilvl w:val="0"/>
          <w:numId w:val="0"/>
        </w:numPr>
        <w:shd w:val="clear" w:color="auto" w:fill="auto"/>
        <w:kinsoku/>
        <w:wordWrap w:val="0"/>
        <w:overflowPunct/>
        <w:topLinePunct w:val="0"/>
        <w:autoSpaceDE/>
        <w:autoSpaceDN/>
        <w:bidi w:val="0"/>
        <w:adjustRightInd/>
        <w:spacing w:line="480" w:lineRule="exact"/>
        <w:ind w:firstLine="560" w:firstLineChars="200"/>
        <w:textAlignment w:val="auto"/>
        <w:rPr>
          <w:rFonts w:hint="eastAsia" w:ascii="仿宋" w:hAnsi="仿宋" w:eastAsia="仿宋" w:cs="仿宋"/>
          <w:b w:val="0"/>
          <w:bCs w:val="0"/>
          <w:color w:val="auto"/>
          <w:szCs w:val="28"/>
          <w:highlight w:val="none"/>
        </w:rPr>
      </w:pPr>
      <w:r>
        <w:rPr>
          <w:rFonts w:hint="eastAsia" w:ascii="仿宋" w:hAnsi="仿宋" w:eastAsia="仿宋" w:cs="仿宋"/>
          <w:b w:val="0"/>
          <w:bCs w:val="0"/>
          <w:color w:val="auto"/>
          <w:sz w:val="28"/>
          <w:szCs w:val="28"/>
          <w:highlight w:val="none"/>
        </w:rPr>
        <w:t>1.</w:t>
      </w:r>
      <w:r>
        <w:rPr>
          <w:rFonts w:hint="eastAsia" w:ascii="仿宋" w:hAnsi="仿宋" w:eastAsia="仿宋" w:cs="仿宋"/>
          <w:b w:val="0"/>
          <w:bCs w:val="0"/>
          <w:color w:val="auto"/>
          <w:szCs w:val="28"/>
          <w:highlight w:val="none"/>
        </w:rPr>
        <w:t>发布公告的媒介</w:t>
      </w:r>
    </w:p>
    <w:p>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（1）本次招标公告在《云南省政府采购网》（http://www.ccgp-yunnan.gov.cn/）、《政采云平台》（http：//www.zcygov.cn）、《景洪市人民政府网》https://www.jhs.gov.cn/214.news.list.dhtml上发布。</w:t>
      </w:r>
    </w:p>
    <w:p>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（2）响应文件如有变更或澄清将在招标公告发布平台发布。</w:t>
      </w:r>
    </w:p>
    <w:p>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2.响应文件递交注意事项：</w:t>
      </w:r>
    </w:p>
    <w:p>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在响应文件递交的截止时间前，需将响应文件递交至政采云平台（http：//www.zcygov.cn），供应商须在投标截止时间前完成所有电子响应文件的上传，网上确认电子签名，投标截止时间前未完成响应文件传输的，视为撤回响应文件。</w:t>
      </w:r>
    </w:p>
    <w:p>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3.开标注意事项：</w:t>
      </w:r>
    </w:p>
    <w:p>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3.1.1供应商登录政采云平台（http：//www.zcygov.cn），按《供应商操作指南》（https://edu.zcygov.cn/luban/yunnan-dzjy-gys?utm=a0017.b3687.48.18.4b09ec80cbc911edb8a97356c5970511）完成远程响应文件解密等相关操作。本项目解密时间为30分钟，若供应商未在规定时间完成响应文件解密，则视为无效投标，不再进入评标阶段。</w:t>
      </w:r>
    </w:p>
    <w:p>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3.1.2（1）因开标系统、开标现场网络、设备及其他特殊原因，导致不能正常解密响应文件的，经核实和上报相关部门同意后，可再次下达网上解密指令来延长解密时间；</w:t>
      </w:r>
    </w:p>
    <w:p>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（2）异常处理：如供应商在开标时遗失CA或其他原因，供应商需将备份的或加密的响应文件提供给代理机构，代理机构通过“异常处理”端口上传、解密。  4.供应商务必认真阅读本响应文件全部内容，响应文件如有变更、补充等，将主要以书面形式发布。</w:t>
      </w:r>
    </w:p>
    <w:p>
      <w:pPr>
        <w:pStyle w:val="2"/>
        <w:spacing w:line="520" w:lineRule="exact"/>
        <w:ind w:firstLine="560" w:firstLineChars="200"/>
        <w:rPr>
          <w:rFonts w:ascii="Times New Roman" w:hAnsi="Times New Roman" w:eastAsia="方正黑体_GBK" w:cs="Times New Roman"/>
          <w:color w:val="auto"/>
          <w:sz w:val="28"/>
          <w:szCs w:val="28"/>
          <w:highlight w:val="none"/>
        </w:rPr>
      </w:pPr>
      <w:r>
        <w:rPr>
          <w:rFonts w:ascii="Times New Roman" w:hAnsi="Times New Roman" w:eastAsia="方正黑体_GBK" w:cs="Times New Roman"/>
          <w:color w:val="auto"/>
          <w:sz w:val="28"/>
          <w:szCs w:val="28"/>
          <w:highlight w:val="none"/>
        </w:rPr>
        <w:t>九、凡对本次采购提出询问，请按以下方式联系。</w:t>
      </w:r>
    </w:p>
    <w:p>
      <w:pPr>
        <w:pStyle w:val="2"/>
        <w:spacing w:line="520" w:lineRule="exact"/>
        <w:ind w:firstLine="560" w:firstLineChars="200"/>
        <w:rPr>
          <w:rFonts w:ascii="Times New Roman" w:hAnsi="Times New Roman" w:eastAsia="方正楷体_GBK" w:cs="Times New Roman"/>
          <w:color w:val="auto"/>
          <w:sz w:val="28"/>
          <w:szCs w:val="28"/>
          <w:highlight w:val="none"/>
        </w:rPr>
      </w:pPr>
      <w:r>
        <w:rPr>
          <w:rFonts w:ascii="Times New Roman" w:hAnsi="Times New Roman" w:eastAsia="方正楷体_GBK" w:cs="Times New Roman"/>
          <w:color w:val="auto"/>
          <w:sz w:val="28"/>
          <w:szCs w:val="28"/>
          <w:highlight w:val="none"/>
        </w:rPr>
        <w:t>1.采购人信息</w:t>
      </w:r>
    </w:p>
    <w:p>
      <w:pPr>
        <w:pStyle w:val="2"/>
        <w:spacing w:line="520" w:lineRule="exact"/>
        <w:ind w:firstLine="560" w:firstLineChars="200"/>
        <w:rPr>
          <w:rFonts w:hint="default" w:ascii="Times New Roman" w:hAnsi="Times New Roman" w:eastAsia="方正仿宋_GBK" w:cs="Times New Roman"/>
          <w:color w:val="auto"/>
          <w:sz w:val="28"/>
          <w:szCs w:val="28"/>
          <w:highlight w:val="none"/>
          <w:lang w:val="en-US" w:eastAsia="zh-CN"/>
        </w:rPr>
      </w:pPr>
      <w:bookmarkStart w:id="0" w:name="OLE_LINK1"/>
      <w:r>
        <w:rPr>
          <w:rFonts w:ascii="Times New Roman" w:hAnsi="Times New Roman" w:eastAsia="方正仿宋_GBK" w:cs="Times New Roman"/>
          <w:color w:val="auto"/>
          <w:sz w:val="28"/>
          <w:szCs w:val="28"/>
          <w:highlight w:val="none"/>
        </w:rPr>
        <w:t>名    称：</w:t>
      </w:r>
      <w:r>
        <w:rPr>
          <w:rFonts w:hint="eastAsia" w:ascii="Times New Roman" w:hAnsi="Times New Roman" w:eastAsia="方正仿宋_GBK" w:cs="Times New Roman"/>
          <w:color w:val="auto"/>
          <w:sz w:val="28"/>
          <w:szCs w:val="28"/>
          <w:highlight w:val="none"/>
        </w:rPr>
        <w:t>景洪市第四中学</w:t>
      </w:r>
    </w:p>
    <w:p>
      <w:pPr>
        <w:pStyle w:val="2"/>
        <w:spacing w:line="520" w:lineRule="exact"/>
        <w:ind w:firstLine="560" w:firstLineChars="200"/>
        <w:rPr>
          <w:rFonts w:hint="eastAsia" w:ascii="Times New Roman" w:hAnsi="Times New Roman" w:eastAsia="方正仿宋_GBK" w:cs="Times New Roman"/>
          <w:color w:val="auto"/>
          <w:sz w:val="28"/>
          <w:szCs w:val="28"/>
          <w:highlight w:val="none"/>
          <w:lang w:eastAsia="zh-CN"/>
        </w:rPr>
      </w:pPr>
      <w:r>
        <w:rPr>
          <w:rFonts w:ascii="Times New Roman" w:hAnsi="Times New Roman" w:eastAsia="方正仿宋_GBK" w:cs="Times New Roman"/>
          <w:color w:val="auto"/>
          <w:sz w:val="28"/>
          <w:szCs w:val="28"/>
          <w:highlight w:val="none"/>
        </w:rPr>
        <w:t>地    址：</w:t>
      </w:r>
      <w:r>
        <w:rPr>
          <w:rFonts w:hint="eastAsia" w:ascii="Times New Roman" w:hAnsi="Times New Roman" w:eastAsia="方正仿宋_GBK" w:cs="Times New Roman"/>
          <w:color w:val="auto"/>
          <w:sz w:val="28"/>
          <w:szCs w:val="28"/>
          <w:highlight w:val="none"/>
        </w:rPr>
        <w:t>景洪市王震路6号</w:t>
      </w:r>
    </w:p>
    <w:p>
      <w:pPr>
        <w:pStyle w:val="2"/>
        <w:spacing w:line="520" w:lineRule="exact"/>
        <w:ind w:firstLine="560" w:firstLineChars="200"/>
        <w:rPr>
          <w:rFonts w:hint="default" w:ascii="Times New Roman" w:hAnsi="Times New Roman" w:eastAsia="方正仿宋_GBK" w:cs="Times New Roman"/>
          <w:color w:val="auto"/>
          <w:sz w:val="28"/>
          <w:szCs w:val="28"/>
          <w:highlight w:val="none"/>
          <w:lang w:val="en-US" w:eastAsia="zh-CN"/>
        </w:rPr>
      </w:pPr>
      <w:r>
        <w:rPr>
          <w:rFonts w:hint="default" w:ascii="Times New Roman" w:hAnsi="Times New Roman" w:eastAsia="方正仿宋_GBK" w:cs="Times New Roman"/>
          <w:color w:val="auto"/>
          <w:sz w:val="28"/>
          <w:szCs w:val="28"/>
          <w:highlight w:val="none"/>
        </w:rPr>
        <w:t>联系方式：</w:t>
      </w:r>
      <w:bookmarkEnd w:id="0"/>
      <w:r>
        <w:rPr>
          <w:rFonts w:hint="default" w:ascii="Times New Roman" w:hAnsi="Times New Roman" w:eastAsia="方正仿宋_GBK" w:cs="Times New Roman"/>
          <w:color w:val="auto"/>
          <w:sz w:val="28"/>
          <w:szCs w:val="28"/>
          <w:highlight w:val="none"/>
        </w:rPr>
        <w:t>13988151859</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2.集中采购机构信息</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名    称：景洪市</w:t>
      </w:r>
      <w:r>
        <w:rPr>
          <w:rFonts w:hint="eastAsia" w:ascii="Times New Roman" w:hAnsi="Times New Roman" w:eastAsia="方正仿宋_GBK" w:cs="Times New Roman"/>
          <w:color w:val="auto"/>
          <w:sz w:val="28"/>
          <w:szCs w:val="28"/>
          <w:highlight w:val="none"/>
          <w:lang w:eastAsia="zh-CN"/>
        </w:rPr>
        <w:t>公共资源交易</w:t>
      </w:r>
      <w:r>
        <w:rPr>
          <w:rFonts w:ascii="Times New Roman" w:hAnsi="Times New Roman" w:eastAsia="方正仿宋_GBK" w:cs="Times New Roman"/>
          <w:color w:val="auto"/>
          <w:sz w:val="28"/>
          <w:szCs w:val="28"/>
          <w:highlight w:val="none"/>
        </w:rPr>
        <w:t>中心</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地　　址：景洪市曼弄枫勐泐大道国际会展A区二楼</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联系方式：0691-2143701</w:t>
      </w:r>
    </w:p>
    <w:p>
      <w:pPr>
        <w:pStyle w:val="2"/>
        <w:spacing w:line="520" w:lineRule="exact"/>
        <w:ind w:firstLine="560" w:firstLineChars="20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3.</w:t>
      </w:r>
      <w:bookmarkStart w:id="1" w:name="OLE_LINK2"/>
      <w:r>
        <w:rPr>
          <w:rFonts w:ascii="Times New Roman" w:hAnsi="Times New Roman" w:eastAsia="方正仿宋_GBK" w:cs="Times New Roman"/>
          <w:color w:val="auto"/>
          <w:sz w:val="28"/>
          <w:szCs w:val="28"/>
          <w:highlight w:val="none"/>
        </w:rPr>
        <w:t>项目联系方式</w:t>
      </w:r>
    </w:p>
    <w:p>
      <w:pPr>
        <w:pStyle w:val="2"/>
        <w:spacing w:line="520" w:lineRule="exact"/>
        <w:ind w:firstLine="560" w:firstLineChars="200"/>
        <w:rPr>
          <w:rFonts w:hint="default" w:ascii="Times New Roman" w:hAnsi="Times New Roman" w:eastAsia="方正仿宋_GBK" w:cs="Times New Roman"/>
          <w:color w:val="auto"/>
          <w:sz w:val="28"/>
          <w:szCs w:val="28"/>
          <w:highlight w:val="none"/>
          <w:lang w:val="en-US" w:eastAsia="zh-CN"/>
        </w:rPr>
      </w:pPr>
      <w:r>
        <w:rPr>
          <w:rFonts w:ascii="Times New Roman" w:hAnsi="Times New Roman" w:eastAsia="方正仿宋_GBK" w:cs="Times New Roman"/>
          <w:color w:val="auto"/>
          <w:sz w:val="28"/>
          <w:szCs w:val="28"/>
          <w:highlight w:val="none"/>
        </w:rPr>
        <w:t>项目联系人：</w:t>
      </w:r>
      <w:r>
        <w:rPr>
          <w:rFonts w:hint="eastAsia" w:ascii="Times New Roman" w:hAnsi="Times New Roman" w:eastAsia="方正仿宋_GBK" w:cs="Times New Roman"/>
          <w:color w:val="auto"/>
          <w:sz w:val="28"/>
          <w:szCs w:val="28"/>
          <w:highlight w:val="none"/>
          <w:lang w:eastAsia="zh-CN"/>
        </w:rPr>
        <w:t>刘老师</w:t>
      </w:r>
    </w:p>
    <w:p>
      <w:pPr>
        <w:pStyle w:val="2"/>
        <w:spacing w:line="520" w:lineRule="exact"/>
        <w:ind w:firstLine="560" w:firstLineChars="200"/>
        <w:rPr>
          <w:rFonts w:hint="default" w:ascii="Times New Roman" w:hAnsi="Times New Roman" w:eastAsia="方正仿宋_GBK" w:cs="Times New Roman"/>
          <w:color w:val="auto"/>
          <w:sz w:val="28"/>
          <w:szCs w:val="28"/>
          <w:highlight w:val="none"/>
          <w:lang w:val="en-US" w:eastAsia="zh-CN"/>
        </w:rPr>
      </w:pPr>
      <w:r>
        <w:rPr>
          <w:rFonts w:hint="default" w:ascii="Times New Roman" w:hAnsi="Times New Roman" w:eastAsia="方正仿宋_GBK" w:cs="Times New Roman"/>
          <w:color w:val="auto"/>
          <w:sz w:val="28"/>
          <w:szCs w:val="28"/>
          <w:highlight w:val="none"/>
        </w:rPr>
        <w:t xml:space="preserve">电　　 </w:t>
      </w:r>
      <w:r>
        <w:rPr>
          <w:rFonts w:ascii="Times New Roman" w:hAnsi="Times New Roman" w:eastAsia="方正仿宋_GBK" w:cs="Times New Roman"/>
          <w:color w:val="auto"/>
          <w:sz w:val="28"/>
          <w:szCs w:val="28"/>
          <w:highlight w:val="none"/>
        </w:rPr>
        <w:t xml:space="preserve"> </w:t>
      </w:r>
      <w:r>
        <w:rPr>
          <w:rFonts w:hint="default" w:ascii="Times New Roman" w:hAnsi="Times New Roman" w:eastAsia="方正仿宋_GBK" w:cs="Times New Roman"/>
          <w:color w:val="auto"/>
          <w:sz w:val="28"/>
          <w:szCs w:val="28"/>
          <w:highlight w:val="none"/>
        </w:rPr>
        <w:t>话：</w:t>
      </w:r>
      <w:bookmarkEnd w:id="1"/>
      <w:r>
        <w:rPr>
          <w:rFonts w:hint="default" w:ascii="Times New Roman" w:hAnsi="Times New Roman" w:eastAsia="方正仿宋_GBK" w:cs="Times New Roman"/>
          <w:color w:val="auto"/>
          <w:sz w:val="28"/>
          <w:szCs w:val="28"/>
          <w:highlight w:val="none"/>
        </w:rPr>
        <w:t>13988151859</w:t>
      </w:r>
    </w:p>
    <w:p>
      <w:pPr>
        <w:pStyle w:val="2"/>
        <w:spacing w:line="520" w:lineRule="exact"/>
        <w:ind w:firstLine="560" w:firstLineChars="200"/>
        <w:rPr>
          <w:rFonts w:ascii="Times New Roman" w:hAnsi="Times New Roman" w:eastAsia="方正仿宋_GBK" w:cs="Times New Roman"/>
          <w:color w:val="auto"/>
          <w:sz w:val="28"/>
          <w:szCs w:val="28"/>
          <w:highlight w:val="none"/>
        </w:rPr>
      </w:pPr>
    </w:p>
    <w:p>
      <w:pPr>
        <w:pStyle w:val="2"/>
        <w:spacing w:line="520" w:lineRule="exact"/>
        <w:ind w:firstLine="840" w:firstLineChars="300"/>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lang w:val="en-US" w:eastAsia="zh-CN"/>
        </w:rPr>
        <w:t>景洪市第四中学</w:t>
      </w:r>
      <w:r>
        <w:rPr>
          <w:rFonts w:ascii="Times New Roman" w:hAnsi="Times New Roman" w:eastAsia="方正仿宋_GBK" w:cs="Times New Roman"/>
          <w:color w:val="auto"/>
          <w:sz w:val="28"/>
          <w:szCs w:val="28"/>
          <w:highlight w:val="none"/>
        </w:rPr>
        <w:t xml:space="preserve">            </w:t>
      </w:r>
      <w:r>
        <w:rPr>
          <w:rFonts w:hint="eastAsia" w:ascii="Times New Roman" w:hAnsi="Times New Roman" w:eastAsia="方正仿宋_GBK" w:cs="Times New Roman"/>
          <w:color w:val="auto"/>
          <w:sz w:val="28"/>
          <w:szCs w:val="28"/>
          <w:highlight w:val="none"/>
          <w:lang w:val="en-US" w:eastAsia="zh-CN"/>
        </w:rPr>
        <w:t xml:space="preserve">          </w:t>
      </w:r>
      <w:r>
        <w:rPr>
          <w:rFonts w:ascii="Times New Roman" w:hAnsi="Times New Roman" w:eastAsia="方正仿宋_GBK" w:cs="Times New Roman"/>
          <w:color w:val="auto"/>
          <w:sz w:val="28"/>
          <w:szCs w:val="28"/>
          <w:highlight w:val="none"/>
        </w:rPr>
        <w:t>景洪市</w:t>
      </w:r>
      <w:r>
        <w:rPr>
          <w:rFonts w:hint="eastAsia" w:ascii="Times New Roman" w:hAnsi="Times New Roman" w:eastAsia="方正仿宋_GBK" w:cs="Times New Roman"/>
          <w:color w:val="auto"/>
          <w:sz w:val="28"/>
          <w:szCs w:val="28"/>
          <w:highlight w:val="none"/>
          <w:lang w:eastAsia="zh-CN"/>
        </w:rPr>
        <w:t>公共资源交易</w:t>
      </w:r>
      <w:r>
        <w:rPr>
          <w:rFonts w:ascii="Times New Roman" w:hAnsi="Times New Roman" w:eastAsia="方正仿宋_GBK" w:cs="Times New Roman"/>
          <w:color w:val="auto"/>
          <w:sz w:val="28"/>
          <w:szCs w:val="28"/>
          <w:highlight w:val="none"/>
        </w:rPr>
        <w:t>中心</w:t>
      </w:r>
    </w:p>
    <w:p>
      <w:pPr>
        <w:pStyle w:val="2"/>
        <w:spacing w:line="520" w:lineRule="exact"/>
        <w:jc w:val="center"/>
        <w:rPr>
          <w:rFonts w:ascii="Times New Roman" w:hAnsi="Times New Roman" w:eastAsia="方正小标宋_GBK" w:cs="Times New Roman"/>
          <w:color w:val="auto"/>
          <w:sz w:val="32"/>
          <w:szCs w:val="32"/>
          <w:highlight w:val="none"/>
        </w:rPr>
      </w:pPr>
      <w:r>
        <w:rPr>
          <w:rFonts w:ascii="Times New Roman" w:hAnsi="Times New Roman" w:eastAsia="方正仿宋_GBK" w:cs="Times New Roman"/>
          <w:color w:val="auto"/>
          <w:sz w:val="28"/>
          <w:szCs w:val="28"/>
          <w:highlight w:val="none"/>
        </w:rPr>
        <w:t>202</w:t>
      </w:r>
      <w:r>
        <w:rPr>
          <w:rFonts w:hint="eastAsia" w:ascii="Times New Roman" w:hAnsi="Times New Roman" w:eastAsia="方正仿宋_GBK" w:cs="Times New Roman"/>
          <w:color w:val="auto"/>
          <w:sz w:val="28"/>
          <w:szCs w:val="28"/>
          <w:highlight w:val="none"/>
          <w:lang w:val="en-US" w:eastAsia="zh-CN"/>
        </w:rPr>
        <w:t>5</w:t>
      </w:r>
      <w:r>
        <w:rPr>
          <w:rFonts w:ascii="Times New Roman" w:hAnsi="Times New Roman" w:eastAsia="方正仿宋_GBK" w:cs="Times New Roman"/>
          <w:color w:val="auto"/>
          <w:sz w:val="28"/>
          <w:szCs w:val="28"/>
          <w:highlight w:val="none"/>
        </w:rPr>
        <w:t>年</w:t>
      </w:r>
      <w:r>
        <w:rPr>
          <w:rFonts w:hint="eastAsia" w:ascii="Times New Roman" w:hAnsi="Times New Roman" w:eastAsia="方正仿宋_GBK" w:cs="Times New Roman"/>
          <w:color w:val="auto"/>
          <w:sz w:val="28"/>
          <w:szCs w:val="28"/>
          <w:highlight w:val="none"/>
          <w:lang w:val="en-US" w:eastAsia="zh-CN"/>
        </w:rPr>
        <w:t>05</w:t>
      </w:r>
      <w:r>
        <w:rPr>
          <w:rFonts w:ascii="Times New Roman" w:hAnsi="Times New Roman" w:eastAsia="方正仿宋_GBK" w:cs="Times New Roman"/>
          <w:color w:val="auto"/>
          <w:sz w:val="28"/>
          <w:szCs w:val="28"/>
          <w:highlight w:val="none"/>
        </w:rPr>
        <w:t>月</w:t>
      </w:r>
      <w:r>
        <w:rPr>
          <w:rFonts w:hint="eastAsia" w:ascii="Times New Roman" w:hAnsi="Times New Roman" w:eastAsia="方正仿宋_GBK" w:cs="Times New Roman"/>
          <w:color w:val="auto"/>
          <w:sz w:val="28"/>
          <w:szCs w:val="28"/>
          <w:highlight w:val="none"/>
          <w:lang w:val="en-US" w:eastAsia="zh-CN"/>
        </w:rPr>
        <w:t>19日</w:t>
      </w:r>
      <w:r>
        <w:rPr>
          <w:rFonts w:ascii="Times New Roman" w:hAnsi="Times New Roman" w:eastAsia="方正仿宋_GBK" w:cs="Times New Roman"/>
          <w:color w:val="auto"/>
          <w:sz w:val="28"/>
          <w:szCs w:val="28"/>
          <w:highlight w:val="none"/>
        </w:rPr>
        <w:t xml:space="preserve">                    202</w:t>
      </w:r>
      <w:r>
        <w:rPr>
          <w:rFonts w:hint="eastAsia" w:ascii="Times New Roman" w:hAnsi="Times New Roman" w:eastAsia="方正仿宋_GBK" w:cs="Times New Roman"/>
          <w:color w:val="auto"/>
          <w:sz w:val="28"/>
          <w:szCs w:val="28"/>
          <w:highlight w:val="none"/>
          <w:lang w:val="en-US" w:eastAsia="zh-CN"/>
        </w:rPr>
        <w:t>5</w:t>
      </w:r>
      <w:r>
        <w:rPr>
          <w:rFonts w:ascii="Times New Roman" w:hAnsi="Times New Roman" w:eastAsia="方正仿宋_GBK" w:cs="Times New Roman"/>
          <w:color w:val="auto"/>
          <w:sz w:val="28"/>
          <w:szCs w:val="28"/>
          <w:highlight w:val="none"/>
        </w:rPr>
        <w:t>年</w:t>
      </w:r>
      <w:r>
        <w:rPr>
          <w:rFonts w:hint="eastAsia" w:ascii="Times New Roman" w:hAnsi="Times New Roman" w:eastAsia="方正仿宋_GBK" w:cs="Times New Roman"/>
          <w:color w:val="auto"/>
          <w:sz w:val="28"/>
          <w:szCs w:val="28"/>
          <w:highlight w:val="none"/>
          <w:lang w:val="en-US" w:eastAsia="zh-CN"/>
        </w:rPr>
        <w:t>05</w:t>
      </w:r>
      <w:r>
        <w:rPr>
          <w:rFonts w:ascii="Times New Roman" w:hAnsi="Times New Roman" w:eastAsia="方正仿宋_GBK" w:cs="Times New Roman"/>
          <w:color w:val="auto"/>
          <w:sz w:val="28"/>
          <w:szCs w:val="28"/>
          <w:highlight w:val="none"/>
        </w:rPr>
        <w:t>月</w:t>
      </w:r>
      <w:r>
        <w:rPr>
          <w:rFonts w:hint="eastAsia" w:ascii="Times New Roman" w:hAnsi="Times New Roman" w:eastAsia="方正仿宋_GBK" w:cs="Times New Roman"/>
          <w:color w:val="auto"/>
          <w:sz w:val="28"/>
          <w:szCs w:val="28"/>
          <w:highlight w:val="none"/>
          <w:lang w:val="en-US" w:eastAsia="zh-CN"/>
        </w:rPr>
        <w:t>19日</w:t>
      </w:r>
    </w:p>
    <w:p>
      <w:pPr>
        <w:rPr>
          <w:color w:val="auto"/>
          <w:highlight w:val="none"/>
        </w:rPr>
      </w:pPr>
    </w:p>
    <w:p>
      <w:pPr>
        <w:shd w:val="clear"/>
        <w:wordWrap w:val="0"/>
        <w:autoSpaceDN w:val="0"/>
        <w:spacing w:line="360" w:lineRule="auto"/>
        <w:jc w:val="center"/>
        <w:outlineLvl w:val="0"/>
        <w:rPr>
          <w:rFonts w:hint="eastAsia" w:ascii="仿宋" w:hAnsi="仿宋" w:eastAsia="仿宋" w:cs="仿宋"/>
          <w:b/>
          <w:color w:val="auto"/>
          <w:sz w:val="32"/>
          <w:szCs w:val="32"/>
          <w:highlight w:val="none"/>
        </w:rPr>
      </w:pPr>
      <w:bookmarkStart w:id="2" w:name="_Toc20195"/>
      <w:bookmarkStart w:id="3" w:name="_Toc872"/>
    </w:p>
    <w:p>
      <w:pPr>
        <w:shd w:val="clear"/>
        <w:wordWrap w:val="0"/>
        <w:autoSpaceDN w:val="0"/>
        <w:spacing w:line="360" w:lineRule="auto"/>
        <w:jc w:val="center"/>
        <w:outlineLvl w:val="0"/>
        <w:rPr>
          <w:rFonts w:hint="eastAsia" w:ascii="仿宋" w:hAnsi="仿宋" w:eastAsia="仿宋" w:cs="仿宋"/>
          <w:b/>
          <w:color w:val="auto"/>
          <w:sz w:val="32"/>
          <w:szCs w:val="32"/>
          <w:highlight w:val="none"/>
        </w:rPr>
      </w:pPr>
    </w:p>
    <w:p>
      <w:pPr>
        <w:shd w:val="clear"/>
        <w:wordWrap w:val="0"/>
        <w:autoSpaceDN w:val="0"/>
        <w:spacing w:line="360" w:lineRule="auto"/>
        <w:jc w:val="center"/>
        <w:outlineLvl w:val="0"/>
        <w:rPr>
          <w:rFonts w:hint="eastAsia" w:ascii="仿宋" w:hAnsi="仿宋" w:eastAsia="仿宋" w:cs="仿宋"/>
          <w:b/>
          <w:color w:val="auto"/>
          <w:sz w:val="32"/>
          <w:szCs w:val="32"/>
          <w:highlight w:val="none"/>
        </w:rPr>
      </w:pPr>
    </w:p>
    <w:p>
      <w:pPr>
        <w:shd w:val="clear"/>
        <w:wordWrap w:val="0"/>
        <w:autoSpaceDN w:val="0"/>
        <w:spacing w:line="360" w:lineRule="auto"/>
        <w:jc w:val="center"/>
        <w:outlineLvl w:val="0"/>
        <w:rPr>
          <w:rFonts w:hint="eastAsia" w:ascii="仿宋" w:hAnsi="仿宋" w:eastAsia="仿宋" w:cs="仿宋"/>
          <w:b/>
          <w:color w:val="auto"/>
          <w:sz w:val="32"/>
          <w:szCs w:val="32"/>
          <w:highlight w:val="none"/>
        </w:rPr>
      </w:pPr>
    </w:p>
    <w:p>
      <w:pPr>
        <w:shd w:val="clear"/>
        <w:wordWrap w:val="0"/>
        <w:autoSpaceDN w:val="0"/>
        <w:spacing w:line="360" w:lineRule="auto"/>
        <w:jc w:val="center"/>
        <w:outlineLvl w:val="0"/>
        <w:rPr>
          <w:rFonts w:hint="eastAsia" w:ascii="仿宋" w:hAnsi="仿宋" w:eastAsia="仿宋" w:cs="仿宋"/>
          <w:b/>
          <w:color w:val="auto"/>
          <w:sz w:val="32"/>
          <w:szCs w:val="32"/>
          <w:highlight w:val="none"/>
        </w:rPr>
      </w:pPr>
    </w:p>
    <w:p>
      <w:pPr>
        <w:shd w:val="clear"/>
        <w:wordWrap w:val="0"/>
        <w:autoSpaceDN w:val="0"/>
        <w:spacing w:line="360" w:lineRule="auto"/>
        <w:jc w:val="center"/>
        <w:outlineLvl w:val="0"/>
        <w:rPr>
          <w:rFonts w:hint="eastAsia" w:ascii="仿宋" w:hAnsi="仿宋" w:eastAsia="仿宋" w:cs="仿宋"/>
          <w:b/>
          <w:color w:val="auto"/>
          <w:sz w:val="32"/>
          <w:szCs w:val="32"/>
          <w:highlight w:val="none"/>
        </w:rPr>
      </w:pPr>
    </w:p>
    <w:p>
      <w:pPr>
        <w:shd w:val="clear"/>
        <w:wordWrap w:val="0"/>
        <w:autoSpaceDN w:val="0"/>
        <w:spacing w:line="360" w:lineRule="auto"/>
        <w:jc w:val="center"/>
        <w:outlineLvl w:val="0"/>
        <w:rPr>
          <w:rFonts w:hint="eastAsia" w:ascii="仿宋" w:hAnsi="仿宋" w:eastAsia="仿宋" w:cs="仿宋"/>
          <w:b/>
          <w:color w:val="auto"/>
          <w:sz w:val="32"/>
          <w:szCs w:val="32"/>
          <w:highlight w:val="none"/>
        </w:rPr>
      </w:pPr>
    </w:p>
    <w:p>
      <w:pPr>
        <w:shd w:val="clear"/>
        <w:wordWrap w:val="0"/>
        <w:autoSpaceDN w:val="0"/>
        <w:spacing w:line="360" w:lineRule="auto"/>
        <w:jc w:val="center"/>
        <w:outlineLvl w:val="0"/>
        <w:rPr>
          <w:rFonts w:hint="eastAsia" w:ascii="仿宋" w:hAnsi="仿宋" w:eastAsia="仿宋" w:cs="仿宋"/>
          <w:b/>
          <w:color w:val="auto"/>
          <w:sz w:val="32"/>
          <w:szCs w:val="32"/>
          <w:highlight w:val="none"/>
        </w:rPr>
      </w:pPr>
    </w:p>
    <w:p>
      <w:pPr>
        <w:shd w:val="clear"/>
        <w:wordWrap w:val="0"/>
        <w:autoSpaceDN w:val="0"/>
        <w:spacing w:line="360" w:lineRule="auto"/>
        <w:jc w:val="center"/>
        <w:outlineLvl w:val="0"/>
        <w:rPr>
          <w:rFonts w:hint="eastAsia" w:ascii="仿宋" w:hAnsi="仿宋" w:eastAsia="仿宋" w:cs="仿宋"/>
          <w:b/>
          <w:color w:val="auto"/>
          <w:sz w:val="32"/>
          <w:szCs w:val="32"/>
          <w:highlight w:val="none"/>
        </w:rPr>
      </w:pPr>
    </w:p>
    <w:p>
      <w:pPr>
        <w:shd w:val="clear"/>
        <w:wordWrap w:val="0"/>
        <w:autoSpaceDN w:val="0"/>
        <w:spacing w:line="360" w:lineRule="auto"/>
        <w:jc w:val="center"/>
        <w:outlineLvl w:val="0"/>
        <w:rPr>
          <w:rFonts w:hint="eastAsia" w:ascii="仿宋" w:hAnsi="仿宋" w:eastAsia="仿宋" w:cs="仿宋"/>
          <w:b/>
          <w:color w:val="auto"/>
          <w:sz w:val="32"/>
          <w:szCs w:val="32"/>
          <w:highlight w:val="none"/>
        </w:rPr>
      </w:pPr>
    </w:p>
    <w:p>
      <w:pPr>
        <w:shd w:val="clear"/>
        <w:wordWrap w:val="0"/>
        <w:autoSpaceDN w:val="0"/>
        <w:spacing w:line="360" w:lineRule="auto"/>
        <w:jc w:val="center"/>
        <w:outlineLvl w:val="0"/>
        <w:rPr>
          <w:rFonts w:hint="eastAsia" w:ascii="仿宋" w:hAnsi="仿宋" w:eastAsia="仿宋" w:cs="仿宋"/>
          <w:b/>
          <w:color w:val="auto"/>
          <w:sz w:val="32"/>
          <w:szCs w:val="32"/>
          <w:highlight w:val="none"/>
        </w:rPr>
      </w:pPr>
    </w:p>
    <w:p>
      <w:pPr>
        <w:shd w:val="clear"/>
        <w:wordWrap w:val="0"/>
        <w:autoSpaceDN w:val="0"/>
        <w:spacing w:line="360" w:lineRule="auto"/>
        <w:jc w:val="center"/>
        <w:outlineLvl w:val="0"/>
        <w:rPr>
          <w:rFonts w:hint="eastAsia" w:ascii="仿宋" w:hAnsi="仿宋" w:eastAsia="仿宋" w:cs="仿宋"/>
          <w:b/>
          <w:color w:val="auto"/>
          <w:sz w:val="32"/>
          <w:szCs w:val="32"/>
          <w:highlight w:val="none"/>
        </w:rPr>
      </w:pPr>
    </w:p>
    <w:p>
      <w:pPr>
        <w:shd w:val="clear"/>
        <w:wordWrap w:val="0"/>
        <w:autoSpaceDN w:val="0"/>
        <w:spacing w:line="360" w:lineRule="auto"/>
        <w:jc w:val="center"/>
        <w:outlineLvl w:val="0"/>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第二章 供应商须知</w:t>
      </w:r>
      <w:bookmarkEnd w:id="2"/>
      <w:bookmarkEnd w:id="3"/>
    </w:p>
    <w:p>
      <w:pPr>
        <w:pStyle w:val="25"/>
        <w:shd w:val="clear"/>
        <w:wordWrap w:val="0"/>
        <w:spacing w:before="80" w:after="240" w:line="360" w:lineRule="auto"/>
        <w:outlineLvl w:val="9"/>
        <w:rPr>
          <w:rFonts w:hint="eastAsia" w:ascii="仿宋" w:hAnsi="仿宋" w:eastAsia="仿宋" w:cs="仿宋"/>
          <w:color w:val="auto"/>
          <w:sz w:val="28"/>
          <w:szCs w:val="28"/>
          <w:highlight w:val="none"/>
        </w:rPr>
      </w:pPr>
      <w:bookmarkStart w:id="4" w:name="_Toc25016"/>
      <w:bookmarkStart w:id="5" w:name="_Toc25835"/>
      <w:bookmarkStart w:id="6" w:name="_Toc197"/>
      <w:r>
        <w:rPr>
          <w:rFonts w:hint="eastAsia" w:ascii="仿宋" w:hAnsi="仿宋" w:eastAsia="仿宋" w:cs="仿宋"/>
          <w:color w:val="auto"/>
          <w:sz w:val="28"/>
          <w:szCs w:val="28"/>
          <w:highlight w:val="none"/>
        </w:rPr>
        <w:t>供应商须知前附表</w:t>
      </w:r>
      <w:bookmarkEnd w:id="4"/>
      <w:bookmarkEnd w:id="5"/>
      <w:bookmarkEnd w:id="6"/>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3"/>
        <w:gridCol w:w="2078"/>
        <w:gridCol w:w="6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blHeader/>
          <w:jc w:val="center"/>
        </w:trPr>
        <w:tc>
          <w:tcPr>
            <w:tcW w:w="556" w:type="pct"/>
            <w:vAlign w:val="center"/>
          </w:tcPr>
          <w:p>
            <w:pPr>
              <w:shd w:val="clear"/>
              <w:wordWrap w:val="0"/>
              <w:spacing w:line="360" w:lineRule="auto"/>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条款号</w:t>
            </w:r>
          </w:p>
        </w:tc>
        <w:tc>
          <w:tcPr>
            <w:tcW w:w="1119" w:type="pct"/>
            <w:vAlign w:val="center"/>
          </w:tcPr>
          <w:p>
            <w:pPr>
              <w:shd w:val="clear"/>
              <w:wordWrap w:val="0"/>
              <w:spacing w:line="360" w:lineRule="auto"/>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条款名称</w:t>
            </w:r>
          </w:p>
        </w:tc>
        <w:tc>
          <w:tcPr>
            <w:tcW w:w="3324" w:type="pct"/>
            <w:vAlign w:val="center"/>
          </w:tcPr>
          <w:p>
            <w:pPr>
              <w:shd w:val="clear"/>
              <w:wordWrap w:val="0"/>
              <w:spacing w:line="360" w:lineRule="auto"/>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1.1.2</w:t>
            </w:r>
          </w:p>
        </w:tc>
        <w:tc>
          <w:tcPr>
            <w:tcW w:w="1119"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采购人</w:t>
            </w:r>
          </w:p>
        </w:tc>
        <w:tc>
          <w:tcPr>
            <w:tcW w:w="3324" w:type="pct"/>
            <w:vAlign w:val="center"/>
          </w:tcPr>
          <w:p>
            <w:pPr>
              <w:shd w:val="clear"/>
              <w:wordWrap w:val="0"/>
              <w:spacing w:line="360" w:lineRule="auto"/>
              <w:rPr>
                <w:rFonts w:hint="default" w:ascii="Times New Roman" w:hAnsi="Times New Roman" w:eastAsia="仿宋" w:cs="Times New Roman"/>
                <w:color w:val="auto"/>
                <w:sz w:val="24"/>
                <w:highlight w:val="none"/>
                <w:lang w:val="en-US"/>
              </w:rPr>
            </w:pPr>
            <w:r>
              <w:rPr>
                <w:rFonts w:hint="default" w:ascii="Times New Roman" w:hAnsi="Times New Roman" w:eastAsia="仿宋" w:cs="Times New Roman"/>
                <w:color w:val="auto"/>
                <w:sz w:val="24"/>
                <w:highlight w:val="none"/>
              </w:rPr>
              <w:t>名  称：景洪市第四中学</w:t>
            </w:r>
          </w:p>
          <w:p>
            <w:pPr>
              <w:shd w:val="clear"/>
              <w:wordWrap w:val="0"/>
              <w:spacing w:line="360" w:lineRule="auto"/>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rPr>
              <w:t>地</w:t>
            </w:r>
            <w:r>
              <w:rPr>
                <w:rFonts w:hint="default" w:ascii="Times New Roman" w:hAnsi="Times New Roman" w:eastAsia="仿宋" w:cs="Times New Roman"/>
                <w:color w:val="auto"/>
                <w:sz w:val="24"/>
                <w:highlight w:val="none"/>
                <w:lang w:val="en-US" w:eastAsia="zh-CN"/>
              </w:rPr>
              <w:t xml:space="preserve">  址：景洪市王震路6号  </w:t>
            </w:r>
          </w:p>
          <w:p>
            <w:pPr>
              <w:shd w:val="clear"/>
              <w:wordWrap w:val="0"/>
              <w:spacing w:line="360" w:lineRule="auto"/>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rPr>
              <w:t>联系方式：</w:t>
            </w:r>
            <w:r>
              <w:rPr>
                <w:rFonts w:hint="eastAsia" w:ascii="仿宋" w:hAnsi="仿宋" w:eastAsia="仿宋" w:cs="仿宋"/>
                <w:color w:val="auto"/>
                <w:sz w:val="24"/>
                <w:highlight w:val="none"/>
              </w:rPr>
              <w:t>13988151859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1.1.3</w:t>
            </w:r>
          </w:p>
        </w:tc>
        <w:tc>
          <w:tcPr>
            <w:tcW w:w="1119"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采购代理机构</w:t>
            </w:r>
          </w:p>
        </w:tc>
        <w:tc>
          <w:tcPr>
            <w:tcW w:w="3324" w:type="pct"/>
            <w:vAlign w:val="center"/>
          </w:tcPr>
          <w:p>
            <w:pPr>
              <w:shd w:val="clear"/>
              <w:wordWrap w:val="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名称：景洪市</w:t>
            </w:r>
            <w:r>
              <w:rPr>
                <w:rFonts w:hint="eastAsia" w:ascii="Times New Roman" w:hAnsi="Times New Roman" w:eastAsia="仿宋" w:cs="Times New Roman"/>
                <w:color w:val="auto"/>
                <w:sz w:val="24"/>
                <w:highlight w:val="none"/>
                <w:lang w:eastAsia="zh-CN"/>
              </w:rPr>
              <w:t>公共资源交易</w:t>
            </w:r>
            <w:r>
              <w:rPr>
                <w:rFonts w:hint="default" w:ascii="Times New Roman" w:hAnsi="Times New Roman" w:eastAsia="仿宋" w:cs="Times New Roman"/>
                <w:color w:val="auto"/>
                <w:sz w:val="24"/>
                <w:highlight w:val="none"/>
              </w:rPr>
              <w:t>中心</w:t>
            </w:r>
          </w:p>
          <w:p>
            <w:pPr>
              <w:shd w:val="clear"/>
              <w:wordWrap w:val="0"/>
              <w:spacing w:line="360" w:lineRule="auto"/>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rPr>
              <w:t>地址：景洪市曼弄枫勐泐大道国际会展A区二楼</w:t>
            </w:r>
          </w:p>
          <w:p>
            <w:pPr>
              <w:shd w:val="clear"/>
              <w:wordWrap w:val="0"/>
              <w:spacing w:line="360" w:lineRule="auto"/>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rPr>
              <w:t>联系方式：</w:t>
            </w:r>
            <w:r>
              <w:rPr>
                <w:rFonts w:hint="eastAsia" w:ascii="Times New Roman" w:hAnsi="Times New Roman" w:eastAsia="仿宋" w:cs="Times New Roman"/>
                <w:color w:val="auto"/>
                <w:sz w:val="24"/>
                <w:highlight w:val="none"/>
                <w:lang w:val="en-US" w:eastAsia="zh-CN"/>
              </w:rPr>
              <w:t>0691-2143701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1.1.4</w:t>
            </w:r>
          </w:p>
        </w:tc>
        <w:tc>
          <w:tcPr>
            <w:tcW w:w="1119"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lang w:val="en-US" w:eastAsia="zh-CN"/>
              </w:rPr>
              <w:t>项目</w:t>
            </w:r>
            <w:r>
              <w:rPr>
                <w:rFonts w:hint="default" w:ascii="Times New Roman" w:hAnsi="Times New Roman" w:eastAsia="仿宋" w:cs="Times New Roman"/>
                <w:color w:val="auto"/>
                <w:sz w:val="24"/>
                <w:highlight w:val="none"/>
              </w:rPr>
              <w:t>编号</w:t>
            </w:r>
          </w:p>
        </w:tc>
        <w:tc>
          <w:tcPr>
            <w:tcW w:w="3324" w:type="pct"/>
            <w:vAlign w:val="center"/>
          </w:tcPr>
          <w:p>
            <w:pPr>
              <w:widowControl/>
              <w:shd w:val="clear"/>
              <w:wordWrap w:val="0"/>
              <w:spacing w:line="360" w:lineRule="auto"/>
              <w:jc w:val="left"/>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XSBNZC2026-G1-00228-JHSG-0012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1.1.5</w:t>
            </w:r>
          </w:p>
        </w:tc>
        <w:tc>
          <w:tcPr>
            <w:tcW w:w="1119"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项目名称</w:t>
            </w:r>
          </w:p>
        </w:tc>
        <w:tc>
          <w:tcPr>
            <w:tcW w:w="3324" w:type="pct"/>
            <w:vAlign w:val="center"/>
          </w:tcPr>
          <w:p>
            <w:pPr>
              <w:pStyle w:val="15"/>
              <w:jc w:val="both"/>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景洪市第四中学行政楼报告厅座椅更换采购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1.1.6</w:t>
            </w:r>
          </w:p>
        </w:tc>
        <w:tc>
          <w:tcPr>
            <w:tcW w:w="1119" w:type="pct"/>
            <w:vAlign w:val="center"/>
          </w:tcPr>
          <w:p>
            <w:pPr>
              <w:shd w:val="clear"/>
              <w:wordWrap w:val="0"/>
              <w:spacing w:line="360" w:lineRule="auto"/>
              <w:jc w:val="center"/>
              <w:rPr>
                <w:rFonts w:hint="default" w:ascii="Times New Roman" w:hAnsi="Times New Roman" w:eastAsia="仿宋" w:cs="Times New Roman"/>
                <w:color w:val="auto"/>
                <w:kern w:val="0"/>
                <w:sz w:val="24"/>
                <w:highlight w:val="none"/>
              </w:rPr>
            </w:pPr>
            <w:r>
              <w:rPr>
                <w:rFonts w:hint="default" w:ascii="Times New Roman" w:hAnsi="Times New Roman" w:eastAsia="仿宋" w:cs="Times New Roman"/>
                <w:color w:val="auto"/>
                <w:kern w:val="0"/>
                <w:sz w:val="24"/>
                <w:highlight w:val="none"/>
              </w:rPr>
              <w:t>采购需求</w:t>
            </w:r>
          </w:p>
        </w:tc>
        <w:tc>
          <w:tcPr>
            <w:tcW w:w="3324" w:type="pct"/>
            <w:vAlign w:val="center"/>
          </w:tcPr>
          <w:p>
            <w:pPr>
              <w:widowControl/>
              <w:shd w:val="clear"/>
              <w:wordWrap w:val="0"/>
              <w:spacing w:line="360" w:lineRule="auto"/>
              <w:jc w:val="left"/>
              <w:rPr>
                <w:rFonts w:hint="default" w:ascii="Times New Roman" w:hAnsi="Times New Roman" w:eastAsia="仿宋" w:cs="Times New Roman"/>
                <w:color w:val="auto"/>
                <w:kern w:val="0"/>
                <w:sz w:val="24"/>
                <w:highlight w:val="none"/>
              </w:rPr>
            </w:pPr>
            <w:r>
              <w:rPr>
                <w:rFonts w:hint="default" w:ascii="Times New Roman" w:hAnsi="Times New Roman" w:eastAsia="仿宋" w:cs="Times New Roman"/>
                <w:color w:val="auto"/>
                <w:sz w:val="24"/>
                <w:highlight w:val="none"/>
                <w:lang w:val="en-US" w:eastAsia="zh-CN"/>
              </w:rPr>
              <w:t>详见第</w:t>
            </w:r>
            <w:r>
              <w:rPr>
                <w:rFonts w:hint="eastAsia" w:ascii="Times New Roman" w:hAnsi="Times New Roman" w:eastAsia="仿宋" w:cs="Times New Roman"/>
                <w:color w:val="auto"/>
                <w:sz w:val="24"/>
                <w:highlight w:val="none"/>
                <w:lang w:val="en-US" w:eastAsia="zh-CN"/>
              </w:rPr>
              <w:t>四</w:t>
            </w:r>
            <w:r>
              <w:rPr>
                <w:rFonts w:hint="default" w:ascii="Times New Roman" w:hAnsi="Times New Roman" w:eastAsia="仿宋" w:cs="Times New Roman"/>
                <w:color w:val="auto"/>
                <w:sz w:val="24"/>
                <w:highlight w:val="none"/>
                <w:lang w:val="en-US" w:eastAsia="zh-CN"/>
              </w:rPr>
              <w:t>章《</w:t>
            </w:r>
            <w:r>
              <w:rPr>
                <w:rFonts w:hint="eastAsia" w:ascii="Times New Roman" w:hAnsi="Times New Roman" w:eastAsia="仿宋" w:cs="Times New Roman"/>
                <w:color w:val="auto"/>
                <w:sz w:val="24"/>
                <w:highlight w:val="none"/>
                <w:lang w:val="en-US" w:eastAsia="zh-CN"/>
              </w:rPr>
              <w:t>采购</w:t>
            </w:r>
            <w:r>
              <w:rPr>
                <w:rFonts w:hint="default" w:ascii="Times New Roman" w:hAnsi="Times New Roman" w:eastAsia="仿宋" w:cs="Times New Roman"/>
                <w:color w:val="auto"/>
                <w:sz w:val="24"/>
                <w:highlight w:val="none"/>
                <w:lang w:val="en-US" w:eastAsia="zh-CN"/>
              </w:rPr>
              <w:t>需求》的具体内容。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1.1.7</w:t>
            </w:r>
          </w:p>
        </w:tc>
        <w:tc>
          <w:tcPr>
            <w:tcW w:w="1119" w:type="pct"/>
            <w:vAlign w:val="center"/>
          </w:tcPr>
          <w:p>
            <w:pPr>
              <w:shd w:val="clear"/>
              <w:wordWrap w:val="0"/>
              <w:spacing w:line="360" w:lineRule="auto"/>
              <w:jc w:val="center"/>
              <w:rPr>
                <w:rFonts w:hint="default" w:ascii="Times New Roman" w:hAnsi="Times New Roman" w:eastAsia="仿宋" w:cs="Times New Roman"/>
                <w:color w:val="auto"/>
                <w:kern w:val="0"/>
                <w:sz w:val="24"/>
                <w:highlight w:val="none"/>
              </w:rPr>
            </w:pPr>
            <w:r>
              <w:rPr>
                <w:rFonts w:hint="default" w:ascii="Times New Roman" w:hAnsi="Times New Roman" w:eastAsia="仿宋" w:cs="Times New Roman"/>
                <w:color w:val="auto"/>
                <w:sz w:val="24"/>
                <w:highlight w:val="none"/>
              </w:rPr>
              <w:t>预算金额</w:t>
            </w:r>
          </w:p>
        </w:tc>
        <w:tc>
          <w:tcPr>
            <w:tcW w:w="3324" w:type="pct"/>
            <w:vAlign w:val="center"/>
          </w:tcPr>
          <w:p>
            <w:pPr>
              <w:shd w:val="clear"/>
              <w:wordWrap w:val="0"/>
              <w:spacing w:line="360" w:lineRule="auto"/>
              <w:rPr>
                <w:rFonts w:hint="default" w:ascii="方正仿宋_GBK" w:hAnsi="方正仿宋_GBK" w:eastAsia="方正仿宋_GBK" w:cs="方正仿宋_GBK"/>
                <w:color w:val="auto"/>
                <w:sz w:val="24"/>
                <w:szCs w:val="24"/>
                <w:highlight w:val="none"/>
                <w:lang w:val="en-US" w:eastAsia="zh-CN"/>
              </w:rPr>
            </w:pPr>
            <w:r>
              <w:rPr>
                <w:rFonts w:hint="default" w:ascii="方正仿宋_GBK" w:hAnsi="方正仿宋_GBK" w:eastAsia="方正仿宋_GBK" w:cs="方正仿宋_GBK"/>
                <w:color w:val="auto"/>
                <w:sz w:val="24"/>
                <w:szCs w:val="24"/>
                <w:highlight w:val="none"/>
                <w:lang w:val="en-US" w:eastAsia="zh-CN"/>
              </w:rPr>
              <w:t>474,000.00元、人民币大写：肆拾柒万肆仟元整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1.1.8</w:t>
            </w:r>
          </w:p>
        </w:tc>
        <w:tc>
          <w:tcPr>
            <w:tcW w:w="1119" w:type="pct"/>
            <w:vAlign w:val="center"/>
          </w:tcPr>
          <w:p>
            <w:pPr>
              <w:shd w:val="clear"/>
              <w:wordWrap w:val="0"/>
              <w:spacing w:line="360" w:lineRule="auto"/>
              <w:jc w:val="center"/>
              <w:rPr>
                <w:rFonts w:hint="default" w:ascii="Times New Roman" w:hAnsi="Times New Roman" w:eastAsia="仿宋" w:cs="Times New Roman"/>
                <w:color w:val="auto"/>
                <w:kern w:val="0"/>
                <w:sz w:val="24"/>
                <w:highlight w:val="none"/>
              </w:rPr>
            </w:pPr>
            <w:r>
              <w:rPr>
                <w:rFonts w:hint="default" w:ascii="Times New Roman" w:hAnsi="Times New Roman" w:eastAsia="仿宋" w:cs="Times New Roman"/>
                <w:color w:val="auto"/>
                <w:sz w:val="24"/>
                <w:highlight w:val="none"/>
              </w:rPr>
              <w:t>最高限价</w:t>
            </w:r>
          </w:p>
        </w:tc>
        <w:tc>
          <w:tcPr>
            <w:tcW w:w="3324" w:type="pct"/>
            <w:vAlign w:val="center"/>
          </w:tcPr>
          <w:p>
            <w:pPr>
              <w:shd w:val="clear"/>
              <w:wordWrap w:val="0"/>
              <w:spacing w:line="360" w:lineRule="auto"/>
              <w:rPr>
                <w:rFonts w:hint="default" w:ascii="方正仿宋_GBK" w:hAnsi="方正仿宋_GBK" w:eastAsia="方正仿宋_GBK" w:cs="方正仿宋_GBK"/>
                <w:color w:val="auto"/>
                <w:sz w:val="24"/>
                <w:szCs w:val="24"/>
                <w:highlight w:val="none"/>
                <w:lang w:val="en-US" w:eastAsia="zh-CN"/>
              </w:rPr>
            </w:pPr>
            <w:r>
              <w:rPr>
                <w:rFonts w:hint="default" w:ascii="方正仿宋_GBK" w:hAnsi="方正仿宋_GBK" w:eastAsia="方正仿宋_GBK" w:cs="方正仿宋_GBK"/>
                <w:color w:val="auto"/>
                <w:sz w:val="24"/>
                <w:szCs w:val="24"/>
                <w:highlight w:val="none"/>
                <w:lang w:val="en-US" w:eastAsia="zh-CN"/>
              </w:rPr>
              <w:t>474,000.00元、人民币大写：肆拾柒万肆仟元整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1.1.9</w:t>
            </w:r>
          </w:p>
        </w:tc>
        <w:tc>
          <w:tcPr>
            <w:tcW w:w="1119"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资金来源</w:t>
            </w:r>
          </w:p>
        </w:tc>
        <w:tc>
          <w:tcPr>
            <w:tcW w:w="3324" w:type="pct"/>
            <w:vAlign w:val="center"/>
          </w:tcPr>
          <w:p>
            <w:pPr>
              <w:widowControl/>
              <w:shd w:val="clear"/>
              <w:wordWrap w:val="0"/>
              <w:spacing w:line="360" w:lineRule="auto"/>
              <w:jc w:val="left"/>
              <w:rPr>
                <w:rFonts w:hint="default" w:ascii="Times New Roman" w:hAnsi="Times New Roman" w:eastAsia="仿宋" w:cs="Times New Roman"/>
                <w:color w:val="auto"/>
                <w:kern w:val="0"/>
                <w:sz w:val="24"/>
                <w:highlight w:val="none"/>
                <w:lang w:eastAsia="zh-CN"/>
              </w:rPr>
            </w:pPr>
            <w:r>
              <w:rPr>
                <w:rFonts w:hint="default" w:ascii="Times New Roman" w:hAnsi="Times New Roman" w:eastAsia="仿宋" w:cs="Times New Roman"/>
                <w:color w:val="auto"/>
                <w:kern w:val="0"/>
                <w:sz w:val="24"/>
                <w:highlight w:val="none"/>
                <w:lang w:eastAsia="zh-CN"/>
              </w:rPr>
              <w:t>财政拨款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1.1.10</w:t>
            </w:r>
          </w:p>
        </w:tc>
        <w:tc>
          <w:tcPr>
            <w:tcW w:w="1119"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采购方式</w:t>
            </w:r>
          </w:p>
        </w:tc>
        <w:tc>
          <w:tcPr>
            <w:tcW w:w="3324" w:type="pct"/>
            <w:vAlign w:val="center"/>
          </w:tcPr>
          <w:p>
            <w:pPr>
              <w:widowControl/>
              <w:shd w:val="clear"/>
              <w:wordWrap w:val="0"/>
              <w:spacing w:line="360" w:lineRule="auto"/>
              <w:jc w:val="left"/>
              <w:rPr>
                <w:rFonts w:hint="default" w:ascii="Times New Roman" w:hAnsi="Times New Roman" w:eastAsia="仿宋" w:cs="Times New Roman"/>
                <w:color w:val="auto"/>
                <w:kern w:val="0"/>
                <w:sz w:val="24"/>
                <w:highlight w:val="none"/>
                <w:lang w:eastAsia="zh-CN"/>
              </w:rPr>
            </w:pPr>
            <w:r>
              <w:rPr>
                <w:rFonts w:hint="default" w:ascii="Times New Roman" w:hAnsi="Times New Roman" w:eastAsia="仿宋" w:cs="Times New Roman"/>
                <w:color w:val="auto"/>
                <w:sz w:val="24"/>
                <w:highlight w:val="none"/>
                <w:lang w:eastAsia="zh-CN"/>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1.1.11</w:t>
            </w:r>
          </w:p>
        </w:tc>
        <w:tc>
          <w:tcPr>
            <w:tcW w:w="1119" w:type="pct"/>
            <w:vAlign w:val="center"/>
          </w:tcPr>
          <w:p>
            <w:pPr>
              <w:shd w:val="clear"/>
              <w:wordWrap w:val="0"/>
              <w:spacing w:line="360" w:lineRule="auto"/>
              <w:jc w:val="center"/>
              <w:rPr>
                <w:rFonts w:hint="default" w:ascii="Times New Roman" w:hAnsi="Times New Roman" w:eastAsia="仿宋" w:cs="Times New Roman"/>
                <w:color w:val="auto"/>
                <w:kern w:val="0"/>
                <w:sz w:val="24"/>
                <w:highlight w:val="none"/>
              </w:rPr>
            </w:pPr>
            <w:r>
              <w:rPr>
                <w:rFonts w:hint="default" w:ascii="Times New Roman" w:hAnsi="Times New Roman" w:eastAsia="仿宋" w:cs="Times New Roman"/>
                <w:color w:val="auto"/>
                <w:kern w:val="0"/>
                <w:sz w:val="24"/>
                <w:highlight w:val="none"/>
              </w:rPr>
              <w:t>合同履行期限（交货期）</w:t>
            </w:r>
          </w:p>
        </w:tc>
        <w:tc>
          <w:tcPr>
            <w:tcW w:w="3324" w:type="pct"/>
            <w:vAlign w:val="center"/>
          </w:tcPr>
          <w:p>
            <w:pPr>
              <w:widowControl/>
              <w:shd w:val="clear"/>
              <w:wordWrap w:val="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自合同签订后</w:t>
            </w:r>
            <w:r>
              <w:rPr>
                <w:rFonts w:hint="eastAsia" w:ascii="Times New Roman" w:hAnsi="Times New Roman" w:eastAsia="仿宋" w:cs="Times New Roman"/>
                <w:color w:val="auto"/>
                <w:sz w:val="24"/>
                <w:highlight w:val="none"/>
                <w:lang w:val="en-US" w:eastAsia="zh-CN"/>
              </w:rPr>
              <w:t>30</w:t>
            </w:r>
            <w:r>
              <w:rPr>
                <w:rFonts w:hint="default" w:ascii="Times New Roman" w:hAnsi="Times New Roman" w:eastAsia="仿宋" w:cs="Times New Roman"/>
                <w:color w:val="auto"/>
                <w:sz w:val="24"/>
                <w:highlight w:val="none"/>
                <w:lang w:val="en-US" w:eastAsia="zh-CN"/>
              </w:rPr>
              <w:t>日历天内完成</w:t>
            </w:r>
            <w:r>
              <w:rPr>
                <w:rFonts w:hint="eastAsia" w:ascii="Times New Roman" w:hAnsi="Times New Roman" w:eastAsia="仿宋" w:cs="Times New Roman"/>
                <w:color w:val="auto"/>
                <w:sz w:val="24"/>
                <w:highlight w:val="none"/>
                <w:lang w:val="en-US" w:eastAsia="zh-CN"/>
              </w:rPr>
              <w:t>交货及安装调试</w:t>
            </w:r>
            <w:r>
              <w:rPr>
                <w:rFonts w:hint="default" w:ascii="Times New Roman" w:hAnsi="Times New Roman" w:eastAsia="仿宋" w:cs="Times New Roman"/>
                <w:color w:val="auto"/>
                <w:sz w:val="24"/>
                <w:highlight w:val="none"/>
                <w:lang w:val="en-US" w:eastAsia="zh-CN"/>
              </w:rPr>
              <w:t>，供应商可自行报更短交货期。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1.1.12</w:t>
            </w:r>
          </w:p>
        </w:tc>
        <w:tc>
          <w:tcPr>
            <w:tcW w:w="1119" w:type="pct"/>
            <w:vAlign w:val="center"/>
          </w:tcPr>
          <w:p>
            <w:pPr>
              <w:shd w:val="clear"/>
              <w:wordWrap w:val="0"/>
              <w:spacing w:line="360" w:lineRule="auto"/>
              <w:jc w:val="center"/>
              <w:rPr>
                <w:rFonts w:hint="default" w:ascii="Times New Roman" w:hAnsi="Times New Roman" w:eastAsia="仿宋" w:cs="Times New Roman"/>
                <w:color w:val="auto"/>
                <w:kern w:val="0"/>
                <w:sz w:val="24"/>
                <w:highlight w:val="none"/>
              </w:rPr>
            </w:pPr>
            <w:r>
              <w:rPr>
                <w:rFonts w:hint="default" w:ascii="Times New Roman" w:hAnsi="Times New Roman" w:eastAsia="仿宋" w:cs="Times New Roman"/>
                <w:color w:val="auto"/>
                <w:kern w:val="0"/>
                <w:sz w:val="24"/>
                <w:highlight w:val="none"/>
              </w:rPr>
              <w:t>交货地点</w:t>
            </w:r>
          </w:p>
        </w:tc>
        <w:tc>
          <w:tcPr>
            <w:tcW w:w="3324" w:type="pct"/>
            <w:vAlign w:val="center"/>
          </w:tcPr>
          <w:p>
            <w:pPr>
              <w:widowControl/>
              <w:shd w:val="clear"/>
              <w:wordWrap w:val="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1.1.13</w:t>
            </w:r>
          </w:p>
        </w:tc>
        <w:tc>
          <w:tcPr>
            <w:tcW w:w="1119"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本项目（是/否）接受联合体投标</w:t>
            </w:r>
          </w:p>
        </w:tc>
        <w:tc>
          <w:tcPr>
            <w:tcW w:w="3324" w:type="pct"/>
            <w:vAlign w:val="center"/>
          </w:tcPr>
          <w:p>
            <w:pPr>
              <w:widowControl/>
              <w:shd w:val="clear"/>
              <w:wordWrap w:val="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1.1.14</w:t>
            </w:r>
          </w:p>
        </w:tc>
        <w:tc>
          <w:tcPr>
            <w:tcW w:w="1119" w:type="pct"/>
            <w:vAlign w:val="center"/>
          </w:tcPr>
          <w:p>
            <w:pPr>
              <w:shd w:val="clear"/>
              <w:wordWrap w:val="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采购标的对应的中小企业划分标准所属行业</w:t>
            </w:r>
          </w:p>
        </w:tc>
        <w:tc>
          <w:tcPr>
            <w:tcW w:w="3324" w:type="pct"/>
            <w:vAlign w:val="center"/>
          </w:tcPr>
          <w:p>
            <w:pPr>
              <w:shd w:val="clear"/>
              <w:wordWrap w:val="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w:t>
            </w:r>
            <w:r>
              <w:rPr>
                <w:rFonts w:hint="default" w:ascii="Times New Roman" w:hAnsi="Times New Roman" w:eastAsia="仿宋" w:cs="Times New Roman"/>
                <w:color w:val="auto"/>
                <w:sz w:val="24"/>
                <w:highlight w:val="none"/>
                <w:lang w:val="en-US" w:eastAsia="zh-CN"/>
              </w:rPr>
              <w:t>项目</w:t>
            </w:r>
            <w:r>
              <w:rPr>
                <w:rFonts w:hint="default" w:ascii="Times New Roman" w:hAnsi="Times New Roman" w:eastAsia="仿宋" w:cs="Times New Roman"/>
                <w:color w:val="auto"/>
                <w:sz w:val="24"/>
                <w:highlight w:val="none"/>
              </w:rPr>
              <w:t>。</w:t>
            </w:r>
          </w:p>
          <w:p>
            <w:pPr>
              <w:shd w:val="clear"/>
              <w:wordWrap w:val="0"/>
              <w:spacing w:line="360" w:lineRule="auto"/>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rPr>
              <w:t>（2）采购标的对应的中小企业划分标准所属行业：</w:t>
            </w:r>
            <w:r>
              <w:rPr>
                <w:rFonts w:hint="default" w:ascii="Times New Roman" w:hAnsi="Times New Roman" w:eastAsia="仿宋" w:cs="Times New Roman"/>
                <w:color w:val="auto"/>
                <w:sz w:val="24"/>
                <w:highlight w:val="none"/>
                <w:lang w:val="en-US" w:eastAsia="zh-CN"/>
              </w:rPr>
              <w:t>家具</w:t>
            </w:r>
            <w:r>
              <w:rPr>
                <w:rFonts w:hint="eastAsia" w:ascii="Times New Roman" w:hAnsi="Times New Roman" w:eastAsia="仿宋" w:cs="Times New Roman"/>
                <w:color w:val="auto"/>
                <w:sz w:val="24"/>
                <w:highlight w:val="none"/>
                <w:lang w:val="en-US" w:eastAsia="zh-CN"/>
              </w:rPr>
              <w:t>。</w:t>
            </w:r>
          </w:p>
          <w:p>
            <w:pPr>
              <w:shd w:val="clea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1）其他未列明行业。从业人员300人以下的为中小微型企业。其中，从业人员100人及以上的为中型企业;从业人员10人及以上的为小型企业;从业人员10人以下的为微型企业。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1.1.15</w:t>
            </w:r>
          </w:p>
        </w:tc>
        <w:tc>
          <w:tcPr>
            <w:tcW w:w="1119"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质量要求</w:t>
            </w:r>
          </w:p>
        </w:tc>
        <w:tc>
          <w:tcPr>
            <w:tcW w:w="3324" w:type="pct"/>
            <w:vAlign w:val="center"/>
          </w:tcPr>
          <w:p>
            <w:pPr>
              <w:shd w:val="clear"/>
              <w:wordWrap w:val="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按国家及相关行业验收标准，</w:t>
            </w:r>
            <w:r>
              <w:rPr>
                <w:rFonts w:hint="default" w:ascii="Times New Roman" w:hAnsi="Times New Roman" w:eastAsia="仿宋" w:cs="Times New Roman"/>
                <w:color w:val="auto"/>
                <w:sz w:val="24"/>
                <w:highlight w:val="none"/>
                <w:lang w:eastAsia="zh-CN"/>
              </w:rPr>
              <w:t>一次性</w:t>
            </w:r>
            <w:r>
              <w:rPr>
                <w:rFonts w:hint="default" w:ascii="Times New Roman" w:hAnsi="Times New Roman" w:eastAsia="仿宋" w:cs="Times New Roman"/>
                <w:color w:val="auto"/>
                <w:sz w:val="24"/>
                <w:highlight w:val="none"/>
              </w:rPr>
              <w:t>验收合格。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1.1.16</w:t>
            </w:r>
          </w:p>
        </w:tc>
        <w:tc>
          <w:tcPr>
            <w:tcW w:w="1119"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质量保修期</w:t>
            </w:r>
          </w:p>
        </w:tc>
        <w:tc>
          <w:tcPr>
            <w:tcW w:w="3324" w:type="pct"/>
            <w:vAlign w:val="center"/>
          </w:tcPr>
          <w:p>
            <w:pPr>
              <w:shd w:val="clear"/>
              <w:wordWrap w:val="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根据国家及行业标准执行，质保三年</w:t>
            </w:r>
            <w:r>
              <w:rPr>
                <w:rFonts w:hint="default" w:ascii="Times New Roman" w:hAnsi="Times New Roman" w:eastAsia="仿宋" w:cs="Times New Roman"/>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1.1.17</w:t>
            </w:r>
          </w:p>
        </w:tc>
        <w:tc>
          <w:tcPr>
            <w:tcW w:w="1119"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付款方式</w:t>
            </w:r>
          </w:p>
        </w:tc>
        <w:tc>
          <w:tcPr>
            <w:tcW w:w="3324" w:type="pct"/>
            <w:vAlign w:val="center"/>
          </w:tcPr>
          <w:p>
            <w:pPr>
              <w:shd w:val="clear"/>
              <w:wordWrap w:val="0"/>
              <w:spacing w:line="360" w:lineRule="auto"/>
              <w:rPr>
                <w:rFonts w:hint="default" w:ascii="Times New Roman" w:hAnsi="Times New Roman" w:eastAsia="仿宋" w:cs="Times New Roman"/>
                <w:color w:val="auto"/>
                <w:sz w:val="24"/>
                <w:highlight w:val="none"/>
                <w:lang w:val="en-US" w:eastAsia="zh-CN"/>
              </w:rPr>
            </w:pPr>
            <w:r>
              <w:rPr>
                <w:rFonts w:hint="eastAsia" w:ascii="Times New Roman" w:hAnsi="Times New Roman" w:eastAsia="仿宋" w:cs="Times New Roman"/>
                <w:color w:val="auto"/>
                <w:sz w:val="24"/>
                <w:highlight w:val="none"/>
                <w:lang w:val="en-US" w:eastAsia="zh-CN"/>
              </w:rPr>
              <w:t>自</w:t>
            </w:r>
            <w:r>
              <w:rPr>
                <w:rFonts w:hint="default" w:ascii="Times New Roman" w:hAnsi="Times New Roman" w:eastAsia="仿宋" w:cs="Times New Roman"/>
                <w:color w:val="auto"/>
                <w:sz w:val="24"/>
                <w:highlight w:val="none"/>
                <w:lang w:val="en-US" w:eastAsia="zh-CN"/>
              </w:rPr>
              <w:t>合同签订后货到现场</w:t>
            </w:r>
            <w:r>
              <w:rPr>
                <w:rFonts w:hint="eastAsia" w:ascii="Times New Roman" w:hAnsi="Times New Roman" w:eastAsia="仿宋" w:cs="Times New Roman"/>
                <w:color w:val="auto"/>
                <w:sz w:val="24"/>
                <w:highlight w:val="none"/>
                <w:lang w:val="en-US" w:eastAsia="zh-CN"/>
              </w:rPr>
              <w:t>安装验收</w:t>
            </w:r>
            <w:r>
              <w:rPr>
                <w:rFonts w:hint="default" w:ascii="Times New Roman" w:hAnsi="Times New Roman" w:eastAsia="仿宋" w:cs="Times New Roman"/>
                <w:color w:val="auto"/>
                <w:sz w:val="24"/>
                <w:highlight w:val="none"/>
                <w:lang w:val="en-US" w:eastAsia="zh-CN"/>
              </w:rPr>
              <w:t>合格后</w:t>
            </w:r>
            <w:r>
              <w:rPr>
                <w:rFonts w:hint="eastAsia" w:ascii="Times New Roman" w:hAnsi="Times New Roman" w:eastAsia="仿宋" w:cs="Times New Roman"/>
                <w:color w:val="auto"/>
                <w:sz w:val="24"/>
                <w:highlight w:val="none"/>
                <w:lang w:val="en-US" w:eastAsia="zh-CN"/>
              </w:rPr>
              <w:t>支付100</w:t>
            </w:r>
            <w:r>
              <w:rPr>
                <w:rFonts w:hint="default" w:ascii="Times New Roman" w:hAnsi="Times New Roman" w:eastAsia="仿宋" w:cs="Times New Roman"/>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1.2</w:t>
            </w:r>
          </w:p>
        </w:tc>
        <w:tc>
          <w:tcPr>
            <w:tcW w:w="1119"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供应商的资格要求</w:t>
            </w:r>
          </w:p>
        </w:tc>
        <w:tc>
          <w:tcPr>
            <w:tcW w:w="3324" w:type="pct"/>
            <w:vAlign w:val="center"/>
          </w:tcPr>
          <w:p>
            <w:pPr>
              <w:shd w:val="clear"/>
              <w:wordWrap w:val="0"/>
              <w:spacing w:line="360" w:lineRule="auto"/>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1.2.1满足《中华人民共和国政府采购法》第二十二条规定。</w:t>
            </w:r>
          </w:p>
          <w:p>
            <w:pPr>
              <w:shd w:val="clear"/>
              <w:wordWrap w:val="0"/>
              <w:spacing w:line="360" w:lineRule="auto"/>
              <w:jc w:val="left"/>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rPr>
              <w:t>1.2.2落实政府采购政策需满足的资格要求</w:t>
            </w:r>
            <w:r>
              <w:rPr>
                <w:rFonts w:hint="default" w:ascii="Times New Roman" w:hAnsi="Times New Roman" w:eastAsia="仿宋" w:cs="Times New Roman"/>
                <w:color w:val="auto"/>
                <w:sz w:val="24"/>
                <w:highlight w:val="none"/>
                <w:lang w:eastAsia="zh-CN"/>
              </w:rPr>
              <w:t>：</w:t>
            </w:r>
          </w:p>
          <w:p>
            <w:pPr>
              <w:shd w:val="clear"/>
              <w:wordWrap w:val="0"/>
              <w:spacing w:line="360" w:lineRule="auto"/>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1.2.2.1根据《政府采购促进中小企业发展管理办法》（财库〔2020〕46号）、《关于进一步加大政府采购支持中小企业力度的通知》（财库〔2022〕19号）、《财政部司法部关于政府采购支持监狱企业发展有关问题的通知》 (财库〔2014〕68 号)、《关于促进残疾人就业政府采购政策的通知》（财库〔2017〕141 号）和《云南省财政厅关于促进政府采购公平竞争优化营商环境的实施意见》（云财规〔2019〕5号）等文件精神，本项目对小微企业的价格给予10%的扣除，扣除后的价格参与报价部分评审。监狱企业、残疾人福利性单位视同小微企业。监狱企业、残疾人福利性单位属于小微企业的，不重复享受价格扣除优惠政策；供应商提供的货物既有小微企业制造货物，也有大中型企业制造货物的，不享受价格扣除优惠政策。价格扣除比例对小型企业和微型企业同等对待，不作区分。价格扣除的具体评分标准详见招标文件第三章“资格审查办法和</w:t>
            </w:r>
            <w:r>
              <w:rPr>
                <w:rFonts w:hint="default" w:ascii="Times New Roman" w:hAnsi="Times New Roman" w:eastAsia="仿宋" w:cs="Times New Roman"/>
                <w:color w:val="auto"/>
                <w:sz w:val="24"/>
                <w:highlight w:val="none"/>
                <w:lang w:eastAsia="zh-CN"/>
              </w:rPr>
              <w:t>评审</w:t>
            </w:r>
            <w:r>
              <w:rPr>
                <w:rFonts w:hint="default" w:ascii="Times New Roman" w:hAnsi="Times New Roman" w:eastAsia="仿宋" w:cs="Times New Roman"/>
                <w:color w:val="auto"/>
                <w:sz w:val="24"/>
                <w:highlight w:val="none"/>
              </w:rPr>
              <w:t>办法”。</w:t>
            </w:r>
          </w:p>
          <w:p>
            <w:pPr>
              <w:shd w:val="clear"/>
              <w:wordWrap w:val="0"/>
              <w:spacing w:line="360" w:lineRule="auto"/>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1.2.2.2根据《财政部关于印发&lt;节能产品政府采购实施意见&gt;的通知》（财库〔2004〕185号）、《财政部环保总局关于环境标志产品政府采购实施的意见》（财库〔2006〕90号）、《国务院办公厅关于建立政府强制采购节能产品制度的通知》（国办发〔2007〕51号）、《财政部 发展改革委 生态环境部 市场监管总局关于调整优化节能产品 环境标志产品政府采购执行机制的通知》（财库〔2019〕9号）、《关于印发环境标志产品政府采购品目清单的通知》（财库〔2019〕18号）、《关于印发节能产品政府采购品目清单的通知》（财库〔2019〕19号）等文件规定，在技术、服务等指标满足采购需求的前提下，本项目优先采购具有市场监管总局发布的《参与实施政府采购节能产品认证机构名录》、《参与实施政府采购环境标志产品认证机构名录》中的认证机构出具的、处于有效期之内的节能产品、环境标志产品认证证书的节能产品、环境标志产品。</w:t>
            </w:r>
          </w:p>
          <w:p>
            <w:pPr>
              <w:shd w:val="clear"/>
              <w:wordWrap w:val="0"/>
              <w:spacing w:line="360" w:lineRule="auto"/>
              <w:jc w:val="left"/>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rPr>
              <w:t>1.2.3本项目的特定资格要求</w:t>
            </w:r>
            <w:r>
              <w:rPr>
                <w:rFonts w:hint="default" w:ascii="Times New Roman" w:hAnsi="Times New Roman" w:eastAsia="仿宋" w:cs="Times New Roman"/>
                <w:color w:val="auto"/>
                <w:sz w:val="24"/>
                <w:highlight w:val="none"/>
                <w:lang w:eastAsia="zh-CN"/>
              </w:rPr>
              <w:t>：</w:t>
            </w:r>
          </w:p>
          <w:p>
            <w:pPr>
              <w:shd w:val="clear"/>
              <w:wordWrap w:val="0"/>
              <w:spacing w:line="360" w:lineRule="auto"/>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1.2.3.1供应商未被列入中国执行信息公开网（http://zxgk.court.gov.cn）失信被执行人，未被列入“信用中国”网站（https://www.creditchina.gov.cn）重大税收违法失信主体和政府采购严重违法失信行为记录名单，未被列入中国政府采购网（http://www.ccgp.gov.cn）政府采购严重违法失信行为记录名单，未被列入国家企业信用信息公示系统（http://www.gsxt.gov.cn）经营异常名录和严重违法失信名单（黑名单）；</w:t>
            </w:r>
          </w:p>
          <w:p>
            <w:pPr>
              <w:shd w:val="clear"/>
              <w:wordWrap w:val="0"/>
              <w:spacing w:line="360" w:lineRule="auto"/>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1.2.3.2单位负责人为同一人或存在控股、管理关系的不同单位，不得参加同一标段投标或者未划分标段的同一招标项目投标，否则，相关投标均无效。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6" w:type="pct"/>
            <w:vAlign w:val="center"/>
          </w:tcPr>
          <w:p>
            <w:pPr>
              <w:widowControl/>
              <w:shd w:val="clear"/>
              <w:wordWrap w:val="0"/>
              <w:spacing w:line="360" w:lineRule="auto"/>
              <w:jc w:val="center"/>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1.3</w:t>
            </w:r>
          </w:p>
        </w:tc>
        <w:tc>
          <w:tcPr>
            <w:tcW w:w="1119" w:type="pct"/>
            <w:vAlign w:val="center"/>
          </w:tcPr>
          <w:p>
            <w:pPr>
              <w:widowControl/>
              <w:shd w:val="clear"/>
              <w:wordWrap w:val="0"/>
              <w:spacing w:line="360" w:lineRule="auto"/>
              <w:jc w:val="center"/>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信用信息查询</w:t>
            </w:r>
          </w:p>
        </w:tc>
        <w:tc>
          <w:tcPr>
            <w:tcW w:w="3324" w:type="pct"/>
            <w:vAlign w:val="center"/>
          </w:tcPr>
          <w:p>
            <w:pPr>
              <w:widowControl/>
              <w:shd w:val="clear"/>
              <w:wordWrap w:val="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根据《财政部关于在政府采购活动中查询及使用信用记录有关问题的通知》（财库〔2016〕125号）的规定，供应商企业信用信息查询的具体要求如下：</w:t>
            </w:r>
          </w:p>
          <w:p>
            <w:pPr>
              <w:widowControl/>
              <w:shd w:val="clear"/>
              <w:wordWrap w:val="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1.3.1信用信息查询渠道：中国执行信息公开网（http://zxgk.court.gov.cn）、“信用中国”网站（https://www.creditchina.gov.cn）、中国政府采购网（http://www.ccgp.gov.cn）</w:t>
            </w:r>
            <w:r>
              <w:rPr>
                <w:rFonts w:hint="eastAsia" w:ascii="Times New Roman" w:hAnsi="Times New Roman" w:eastAsia="仿宋" w:cs="Times New Roman"/>
                <w:bCs/>
                <w:color w:val="auto"/>
                <w:sz w:val="24"/>
                <w:highlight w:val="none"/>
                <w:lang w:eastAsia="zh-CN"/>
              </w:rPr>
              <w:t>。</w:t>
            </w:r>
            <w:r>
              <w:rPr>
                <w:rFonts w:hint="default" w:ascii="Times New Roman" w:hAnsi="Times New Roman" w:eastAsia="仿宋" w:cs="Times New Roman"/>
                <w:bCs/>
                <w:color w:val="auto"/>
                <w:sz w:val="24"/>
                <w:highlight w:val="none"/>
              </w:rPr>
              <w:t>1.3.2由采购人或采购代理机构在评审结束后，在上述网站对各供应商的企业信用信息进行查询。</w:t>
            </w:r>
          </w:p>
          <w:p>
            <w:pPr>
              <w:widowControl/>
              <w:shd w:val="clear"/>
              <w:wordWrap w:val="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1.3.3信用信息的使用规则：采购人或者采购代理机构对供应商信用记录进行甄别，一旦查询到供应商存在以下情形，将按照相关法律法规进行处理：</w:t>
            </w:r>
          </w:p>
          <w:p>
            <w:pPr>
              <w:widowControl/>
              <w:shd w:val="clear"/>
              <w:wordWrap w:val="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（1）被列入失信被执行人；</w:t>
            </w:r>
          </w:p>
          <w:p>
            <w:pPr>
              <w:widowControl/>
              <w:shd w:val="clear"/>
              <w:wordWrap w:val="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（2）被列入重大税收违法失信主体；</w:t>
            </w:r>
          </w:p>
          <w:p>
            <w:pPr>
              <w:widowControl/>
              <w:shd w:val="clear"/>
              <w:wordWrap w:val="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（3）被列入政府采购严重违法失信名单；</w:t>
            </w:r>
          </w:p>
          <w:p>
            <w:pPr>
              <w:widowControl/>
              <w:shd w:val="clear"/>
              <w:wordWrap w:val="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（4）被列入政府采购严重违法失信行为记录名单；</w:t>
            </w:r>
          </w:p>
          <w:p>
            <w:pPr>
              <w:widowControl/>
              <w:shd w:val="clear"/>
              <w:wordWrap w:val="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（5）被列入经营异常名录；</w:t>
            </w:r>
          </w:p>
          <w:p>
            <w:pPr>
              <w:widowControl/>
              <w:shd w:val="clear"/>
              <w:wordWrap w:val="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（6）被列入严重违法失信企业名单（黑名单）；</w:t>
            </w:r>
          </w:p>
          <w:p>
            <w:pPr>
              <w:widowControl/>
              <w:shd w:val="clear"/>
              <w:wordWrap w:val="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（7）其他不符合《中华人民共和国政府采购法》第二十二条规定条件。</w:t>
            </w:r>
          </w:p>
          <w:p>
            <w:pPr>
              <w:widowControl/>
              <w:shd w:val="clear"/>
              <w:wordWrap w:val="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1.3.4信用信息查询记录和证据留存的具体方式：采购代理机构采取电子文档方式将各供应商的信用信息查询记录和证据留存。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1.4.2</w:t>
            </w:r>
          </w:p>
        </w:tc>
        <w:tc>
          <w:tcPr>
            <w:tcW w:w="1119" w:type="pct"/>
            <w:vAlign w:val="center"/>
          </w:tcPr>
          <w:p>
            <w:pPr>
              <w:shd w:val="clear"/>
              <w:wordWrap w:val="0"/>
              <w:autoSpaceDE w:val="0"/>
              <w:autoSpaceDN w:val="0"/>
              <w:snapToGrid w:val="0"/>
              <w:spacing w:line="360" w:lineRule="auto"/>
              <w:jc w:val="center"/>
              <w:textAlignment w:val="bottom"/>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代理服务费</w:t>
            </w:r>
          </w:p>
        </w:tc>
        <w:tc>
          <w:tcPr>
            <w:tcW w:w="3324" w:type="pct"/>
            <w:vAlign w:val="center"/>
          </w:tcPr>
          <w:p>
            <w:pPr>
              <w:shd w:val="clear"/>
              <w:wordWrap w:val="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2.3.2</w:t>
            </w:r>
          </w:p>
        </w:tc>
        <w:tc>
          <w:tcPr>
            <w:tcW w:w="1119" w:type="pct"/>
            <w:vAlign w:val="center"/>
          </w:tcPr>
          <w:p>
            <w:pPr>
              <w:shd w:val="clear"/>
              <w:wordWrap w:val="0"/>
              <w:autoSpaceDE w:val="0"/>
              <w:autoSpaceDN w:val="0"/>
              <w:snapToGrid w:val="0"/>
              <w:spacing w:line="360" w:lineRule="auto"/>
              <w:jc w:val="center"/>
              <w:textAlignment w:val="bottom"/>
              <w:rPr>
                <w:rFonts w:hint="default"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lang w:val="en-US" w:eastAsia="zh-CN"/>
              </w:rPr>
              <w:t>报名</w:t>
            </w:r>
            <w:r>
              <w:rPr>
                <w:rFonts w:hint="default" w:ascii="Times New Roman" w:hAnsi="Times New Roman" w:eastAsia="仿宋" w:cs="Times New Roman"/>
                <w:color w:val="auto"/>
                <w:sz w:val="24"/>
                <w:highlight w:val="none"/>
              </w:rPr>
              <w:t>截止时间</w:t>
            </w:r>
          </w:p>
        </w:tc>
        <w:tc>
          <w:tcPr>
            <w:tcW w:w="3324" w:type="pct"/>
            <w:vAlign w:val="center"/>
          </w:tcPr>
          <w:p>
            <w:pPr>
              <w:pStyle w:val="13"/>
              <w:shd w:val="clear"/>
              <w:wordWrap w:val="0"/>
              <w:autoSpaceDE w:val="0"/>
              <w:autoSpaceDN w:val="0"/>
              <w:snapToGrid w:val="0"/>
              <w:spacing w:line="360" w:lineRule="auto"/>
              <w:textAlignment w:val="bottom"/>
              <w:rPr>
                <w:rFonts w:hint="default" w:ascii="Times New Roman" w:hAnsi="Times New Roman" w:eastAsia="仿宋" w:cs="Times New Roman"/>
                <w:color w:val="auto"/>
                <w:sz w:val="24"/>
                <w:szCs w:val="24"/>
                <w:highlight w:val="none"/>
                <w:lang w:val="en-US" w:eastAsia="zh-CN"/>
              </w:rPr>
            </w:pPr>
            <w:r>
              <w:rPr>
                <w:rFonts w:hint="eastAsia" w:eastAsia="仿宋" w:cs="Times New Roman"/>
                <w:color w:val="auto"/>
                <w:sz w:val="24"/>
                <w:szCs w:val="24"/>
                <w:highlight w:val="none"/>
                <w:lang w:val="en-US" w:eastAsia="zh-CN"/>
              </w:rPr>
              <w:t>2025年05月26日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3.4.1</w:t>
            </w:r>
          </w:p>
        </w:tc>
        <w:tc>
          <w:tcPr>
            <w:tcW w:w="1119"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eastAsia="zh-CN"/>
              </w:rPr>
              <w:t>招标</w:t>
            </w:r>
            <w:r>
              <w:rPr>
                <w:rFonts w:hint="default" w:ascii="Times New Roman" w:hAnsi="Times New Roman" w:eastAsia="仿宋" w:cs="Times New Roman"/>
                <w:color w:val="auto"/>
                <w:sz w:val="24"/>
                <w:highlight w:val="none"/>
              </w:rPr>
              <w:t>有效期</w:t>
            </w:r>
          </w:p>
        </w:tc>
        <w:tc>
          <w:tcPr>
            <w:tcW w:w="3324" w:type="pct"/>
            <w:vAlign w:val="center"/>
          </w:tcPr>
          <w:p>
            <w:pPr>
              <w:shd w:val="clear"/>
              <w:wordWrap w:val="0"/>
              <w:spacing w:line="360" w:lineRule="auto"/>
              <w:rPr>
                <w:rFonts w:hint="default"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lang w:val="en-US" w:eastAsia="zh-CN"/>
              </w:rPr>
              <w:t>60</w:t>
            </w:r>
            <w:r>
              <w:rPr>
                <w:rFonts w:hint="default" w:ascii="Times New Roman" w:hAnsi="Times New Roman" w:eastAsia="仿宋" w:cs="Times New Roman"/>
                <w:color w:val="auto"/>
                <w:sz w:val="24"/>
                <w:highlight w:val="none"/>
              </w:rPr>
              <w:t>日历天(投标文件提交截止时间起计算)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3.5</w:t>
            </w:r>
          </w:p>
        </w:tc>
        <w:tc>
          <w:tcPr>
            <w:tcW w:w="1119"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b w:val="0"/>
                <w:bCs w:val="0"/>
                <w:color w:val="auto"/>
                <w:sz w:val="28"/>
                <w:szCs w:val="28"/>
                <w:highlight w:val="none"/>
                <w:lang w:eastAsia="zh-CN"/>
              </w:rPr>
              <w:t>投标</w:t>
            </w:r>
            <w:r>
              <w:rPr>
                <w:rFonts w:hint="default" w:ascii="Times New Roman" w:hAnsi="Times New Roman" w:eastAsia="仿宋" w:cs="Times New Roman"/>
                <w:color w:val="auto"/>
                <w:sz w:val="24"/>
                <w:highlight w:val="none"/>
              </w:rPr>
              <w:t>保证金</w:t>
            </w:r>
          </w:p>
        </w:tc>
        <w:tc>
          <w:tcPr>
            <w:tcW w:w="3324" w:type="pct"/>
            <w:vAlign w:val="center"/>
          </w:tcPr>
          <w:p>
            <w:pPr>
              <w:numPr>
                <w:ilvl w:val="0"/>
                <w:numId w:val="0"/>
              </w:numPr>
              <w:shd w:val="clear"/>
              <w:adjustRightInd w:val="0"/>
              <w:snapToGrid w:val="0"/>
              <w:spacing w:line="360" w:lineRule="auto"/>
              <w:ind w:left="0" w:leftChars="0" w:firstLine="0" w:firstLineChars="0"/>
              <w:rPr>
                <w:rFonts w:hint="default" w:ascii="Times New Roman" w:hAnsi="Times New Roman" w:eastAsia="仿宋" w:cs="Times New Roman"/>
                <w:b/>
                <w:bCs/>
                <w:color w:val="auto"/>
                <w:sz w:val="24"/>
                <w:highlight w:val="none"/>
                <w:lang w:val="en-US" w:eastAsia="zh-CN"/>
              </w:rPr>
            </w:pPr>
            <w:r>
              <w:rPr>
                <w:rFonts w:hint="eastAsia" w:ascii="Times New Roman" w:hAnsi="Times New Roman" w:eastAsia="仿宋" w:cs="Times New Roman"/>
                <w:b/>
                <w:bCs/>
                <w:color w:val="auto"/>
                <w:sz w:val="24"/>
                <w:highlight w:val="none"/>
                <w:lang w:val="en-US" w:eastAsia="zh-CN"/>
              </w:rPr>
              <w:t>不收取保证金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3.6</w:t>
            </w:r>
          </w:p>
        </w:tc>
        <w:tc>
          <w:tcPr>
            <w:tcW w:w="1119"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投标文件的份数</w:t>
            </w:r>
          </w:p>
        </w:tc>
        <w:tc>
          <w:tcPr>
            <w:tcW w:w="3324" w:type="pct"/>
            <w:vAlign w:val="center"/>
          </w:tcPr>
          <w:p>
            <w:pPr>
              <w:shd w:val="clear"/>
              <w:wordWrap w:val="0"/>
              <w:spacing w:line="360" w:lineRule="auto"/>
              <w:jc w:val="left"/>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color w:val="auto"/>
                <w:sz w:val="24"/>
                <w:highlight w:val="none"/>
              </w:rPr>
              <w:t>电子</w:t>
            </w:r>
            <w:r>
              <w:rPr>
                <w:rFonts w:hint="default" w:ascii="Times New Roman" w:hAnsi="Times New Roman" w:eastAsia="仿宋" w:cs="Times New Roman"/>
                <w:color w:val="auto"/>
                <w:sz w:val="24"/>
                <w:highlight w:val="none"/>
                <w:lang w:eastAsia="zh-CN"/>
              </w:rPr>
              <w:t>投标</w:t>
            </w:r>
            <w:r>
              <w:rPr>
                <w:rFonts w:hint="default" w:ascii="Times New Roman" w:hAnsi="Times New Roman" w:eastAsia="仿宋" w:cs="Times New Roman"/>
                <w:color w:val="auto"/>
                <w:sz w:val="24"/>
                <w:highlight w:val="none"/>
              </w:rPr>
              <w:t>文件一份，上传至</w:t>
            </w:r>
            <w:r>
              <w:rPr>
                <w:rFonts w:hint="eastAsia" w:ascii="Times New Roman" w:hAnsi="Times New Roman" w:eastAsia="仿宋" w:cs="Times New Roman"/>
                <w:color w:val="auto"/>
                <w:sz w:val="24"/>
                <w:highlight w:val="none"/>
                <w:lang w:val="en-US" w:eastAsia="zh-CN"/>
              </w:rPr>
              <w:t>政采云平台</w:t>
            </w:r>
            <w:r>
              <w:rPr>
                <w:rFonts w:hint="default" w:ascii="Times New Roman" w:hAnsi="Times New Roman" w:eastAsia="仿宋" w:cs="Times New Roman"/>
                <w:color w:val="auto"/>
                <w:sz w:val="24"/>
                <w:highlight w:val="none"/>
              </w:rPr>
              <w:t>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3.7</w:t>
            </w:r>
          </w:p>
        </w:tc>
        <w:tc>
          <w:tcPr>
            <w:tcW w:w="1119" w:type="pct"/>
            <w:vAlign w:val="center"/>
          </w:tcPr>
          <w:p>
            <w:pPr>
              <w:shd w:val="clear"/>
              <w:wordWrap w:val="0"/>
              <w:spacing w:line="360" w:lineRule="auto"/>
              <w:jc w:val="center"/>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投标文件提交的截止时间和地点</w:t>
            </w:r>
          </w:p>
        </w:tc>
        <w:tc>
          <w:tcPr>
            <w:tcW w:w="3324" w:type="pct"/>
            <w:vAlign w:val="center"/>
          </w:tcPr>
          <w:p>
            <w:pPr>
              <w:shd w:val="clear"/>
              <w:wordWrap w:val="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时间：同</w:t>
            </w:r>
            <w:r>
              <w:rPr>
                <w:rFonts w:hint="default" w:ascii="Times New Roman" w:hAnsi="Times New Roman" w:eastAsia="仿宋" w:cs="Times New Roman"/>
                <w:bCs/>
                <w:color w:val="auto"/>
                <w:sz w:val="24"/>
                <w:highlight w:val="none"/>
                <w:lang w:eastAsia="zh-CN"/>
              </w:rPr>
              <w:t>投标</w:t>
            </w:r>
            <w:r>
              <w:rPr>
                <w:rFonts w:hint="default" w:ascii="Times New Roman" w:hAnsi="Times New Roman" w:eastAsia="仿宋" w:cs="Times New Roman"/>
                <w:bCs/>
                <w:color w:val="auto"/>
                <w:sz w:val="24"/>
                <w:highlight w:val="none"/>
              </w:rPr>
              <w:t>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4.1</w:t>
            </w:r>
          </w:p>
        </w:tc>
        <w:tc>
          <w:tcPr>
            <w:tcW w:w="1119"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开标时间和地点</w:t>
            </w:r>
          </w:p>
        </w:tc>
        <w:tc>
          <w:tcPr>
            <w:tcW w:w="3324" w:type="pct"/>
            <w:vAlign w:val="center"/>
          </w:tcPr>
          <w:p>
            <w:pPr>
              <w:shd w:val="clear"/>
              <w:wordWrap w:val="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时间：同</w:t>
            </w:r>
            <w:r>
              <w:rPr>
                <w:rFonts w:hint="default" w:ascii="Times New Roman" w:hAnsi="Times New Roman" w:eastAsia="仿宋" w:cs="Times New Roman"/>
                <w:bCs/>
                <w:color w:val="auto"/>
                <w:sz w:val="24"/>
                <w:highlight w:val="none"/>
                <w:lang w:eastAsia="zh-CN"/>
              </w:rPr>
              <w:t>投标</w:t>
            </w:r>
            <w:r>
              <w:rPr>
                <w:rFonts w:hint="default" w:ascii="Times New Roman" w:hAnsi="Times New Roman" w:eastAsia="仿宋" w:cs="Times New Roman"/>
                <w:bCs/>
                <w:color w:val="auto"/>
                <w:sz w:val="24"/>
                <w:highlight w:val="none"/>
              </w:rPr>
              <w:t>截止时间</w:t>
            </w:r>
          </w:p>
          <w:p>
            <w:pPr>
              <w:shd w:val="clear"/>
              <w:wordWrap w:val="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地点：</w:t>
            </w:r>
            <w:r>
              <w:rPr>
                <w:rFonts w:hint="default" w:ascii="Times New Roman" w:hAnsi="Times New Roman" w:eastAsia="仿宋" w:cs="Times New Roman"/>
                <w:color w:val="auto"/>
                <w:sz w:val="24"/>
                <w:highlight w:val="none"/>
              </w:rPr>
              <w:t>同</w:t>
            </w:r>
            <w:r>
              <w:rPr>
                <w:rFonts w:hint="default" w:ascii="Times New Roman" w:hAnsi="Times New Roman" w:eastAsia="仿宋" w:cs="Times New Roman"/>
                <w:color w:val="auto"/>
                <w:sz w:val="24"/>
                <w:highlight w:val="none"/>
                <w:lang w:eastAsia="zh-CN"/>
              </w:rPr>
              <w:t>投标</w:t>
            </w:r>
            <w:r>
              <w:rPr>
                <w:rFonts w:hint="default" w:ascii="Times New Roman" w:hAnsi="Times New Roman" w:eastAsia="仿宋" w:cs="Times New Roman"/>
                <w:color w:val="auto"/>
                <w:sz w:val="24"/>
                <w:highlight w:val="none"/>
              </w:rPr>
              <w:t>文件提交地点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4.2</w:t>
            </w:r>
          </w:p>
        </w:tc>
        <w:tc>
          <w:tcPr>
            <w:tcW w:w="1119"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开标方式</w:t>
            </w:r>
          </w:p>
        </w:tc>
        <w:tc>
          <w:tcPr>
            <w:tcW w:w="3324" w:type="pct"/>
            <w:vAlign w:val="center"/>
          </w:tcPr>
          <w:p>
            <w:pPr>
              <w:pStyle w:val="2"/>
              <w:shd w:val="clear"/>
              <w:wordWrap w:val="0"/>
              <w:spacing w:line="360" w:lineRule="auto"/>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网上开标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13</w:t>
            </w:r>
          </w:p>
        </w:tc>
        <w:tc>
          <w:tcPr>
            <w:tcW w:w="1119" w:type="pct"/>
            <w:vAlign w:val="center"/>
          </w:tcPr>
          <w:p>
            <w:pPr>
              <w:shd w:val="clear"/>
              <w:wordWrap w:val="0"/>
              <w:spacing w:line="360" w:lineRule="auto"/>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技术支持</w:t>
            </w:r>
          </w:p>
        </w:tc>
        <w:tc>
          <w:tcPr>
            <w:tcW w:w="3324" w:type="pct"/>
            <w:vAlign w:val="center"/>
          </w:tcPr>
          <w:p>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Times New Roman" w:hAnsi="Times New Roman" w:eastAsia="方正仿宋_GBK" w:cs="Times New Roman"/>
                <w:color w:val="auto"/>
                <w:sz w:val="21"/>
                <w:szCs w:val="21"/>
                <w:highlight w:val="none"/>
                <w:lang w:val="zh-CN"/>
              </w:rPr>
            </w:pPr>
            <w:r>
              <w:rPr>
                <w:rFonts w:hint="eastAsia" w:ascii="仿宋" w:hAnsi="仿宋" w:eastAsia="仿宋" w:cs="仿宋"/>
                <w:color w:val="auto"/>
                <w:sz w:val="24"/>
                <w:highlight w:val="none"/>
                <w:lang w:val="en-US" w:eastAsia="zh-CN"/>
              </w:rPr>
              <w:t>1</w:t>
            </w:r>
            <w:r>
              <w:rPr>
                <w:rFonts w:hint="eastAsia" w:ascii="Times New Roman" w:hAnsi="Times New Roman" w:eastAsia="方正仿宋_GBK" w:cs="Times New Roman"/>
                <w:color w:val="auto"/>
                <w:sz w:val="21"/>
                <w:szCs w:val="21"/>
                <w:highlight w:val="none"/>
                <w:lang w:val="en-US" w:eastAsia="zh-CN"/>
              </w:rPr>
              <w:t>.</w:t>
            </w:r>
            <w:r>
              <w:rPr>
                <w:rFonts w:hint="eastAsia" w:ascii="Times New Roman" w:hAnsi="Times New Roman" w:eastAsia="方正仿宋_GBK" w:cs="Times New Roman"/>
                <w:color w:val="auto"/>
                <w:sz w:val="21"/>
                <w:szCs w:val="21"/>
                <w:highlight w:val="none"/>
                <w:lang w:val="zh-CN"/>
              </w:rPr>
              <w:t>电子响应文件制作及上传、智能开标系统使用技术支持：政采云服务热线95763（服务时间：工作日8：00-20：00）。</w:t>
            </w:r>
          </w:p>
          <w:p>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Times New Roman" w:hAnsi="Times New Roman" w:eastAsia="方正仿宋_GBK" w:cs="Times New Roman"/>
                <w:color w:val="auto"/>
                <w:sz w:val="21"/>
                <w:szCs w:val="21"/>
                <w:highlight w:val="none"/>
                <w:lang w:val="zh-CN" w:eastAsia="zh-CN"/>
              </w:rPr>
            </w:pPr>
            <w:r>
              <w:rPr>
                <w:rFonts w:hint="eastAsia" w:ascii="Times New Roman" w:hAnsi="Times New Roman" w:eastAsia="方正仿宋_GBK" w:cs="Times New Roman"/>
                <w:color w:val="auto"/>
                <w:sz w:val="21"/>
                <w:szCs w:val="21"/>
                <w:highlight w:val="none"/>
                <w:lang w:val="en-US" w:eastAsia="zh-CN"/>
              </w:rPr>
              <w:t>2.</w:t>
            </w:r>
            <w:r>
              <w:rPr>
                <w:rFonts w:hint="eastAsia" w:ascii="Times New Roman" w:hAnsi="Times New Roman" w:eastAsia="方正仿宋_GBK" w:cs="Times New Roman"/>
                <w:color w:val="auto"/>
                <w:sz w:val="21"/>
                <w:szCs w:val="21"/>
                <w:highlight w:val="none"/>
                <w:lang w:val="zh-CN" w:eastAsia="zh-CN"/>
              </w:rPr>
              <w:t>数字证书（CA）办理相关说明</w:t>
            </w:r>
          </w:p>
          <w:p>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Times New Roman" w:hAnsi="Times New Roman" w:eastAsia="方正仿宋_GBK" w:cs="Times New Roman"/>
                <w:color w:val="auto"/>
                <w:sz w:val="21"/>
                <w:szCs w:val="21"/>
                <w:highlight w:val="none"/>
                <w:lang w:val="en-US" w:eastAsia="zh-CN"/>
              </w:rPr>
            </w:pPr>
            <w:r>
              <w:rPr>
                <w:rFonts w:hint="eastAsia" w:ascii="Times New Roman" w:hAnsi="Times New Roman" w:eastAsia="方正仿宋_GBK" w:cs="Times New Roman"/>
                <w:color w:val="auto"/>
                <w:sz w:val="21"/>
                <w:szCs w:val="21"/>
                <w:highlight w:val="none"/>
                <w:lang w:val="en-US" w:eastAsia="zh-CN"/>
              </w:rPr>
              <w:t>2.1供应商未办理企业数字证书（CA）的，可以选择在政采云平台注册账号（商家入驻）并登录，登录后进行数字证书（CA）申领及绑定；CA申领链接:http://yzt.ynsmartcert.cn/，在政采云绑定数字证书（CA）后在网上获取采购文件及其它采购资料。供应商已在云南省公共资源交易系统（CA办理）（https://ggzy.yn.gov.cn/ynggfwpt-home-web/#/caGuide）办理数字证书（CA）的，可直接在政采云平台绑定数字证书（CA），无需重复办理；2023年1月1日前在云南省公共资源交易系统（CA办理）办理的数字证书（CA），需先到云南CA办理处（地址：景洪市勐泐大道与榕林大道交汇口，原国际会展中心A区2楼交易中心大厅，联系电话：18869144161）升级数字证书（CA），升级后的数字证书CA才能在政采云平台绑定。数字证书CA在政采云平台绑定后，方能获取采购文件和编辑响应文件。</w:t>
            </w:r>
          </w:p>
          <w:p>
            <w:pPr>
              <w:shd w:val="clear"/>
              <w:wordWrap w:val="0"/>
              <w:spacing w:line="360" w:lineRule="auto"/>
              <w:rPr>
                <w:rFonts w:hint="default" w:ascii="Times New Roman" w:hAnsi="Times New Roman" w:eastAsia="仿宋" w:cs="Times New Roman"/>
                <w:color w:val="auto"/>
                <w:sz w:val="24"/>
                <w:highlight w:val="none"/>
              </w:rPr>
            </w:pPr>
            <w:r>
              <w:rPr>
                <w:rFonts w:hint="eastAsia" w:ascii="Times New Roman" w:hAnsi="Times New Roman" w:eastAsia="方正仿宋_GBK" w:cs="Times New Roman"/>
                <w:color w:val="auto"/>
                <w:sz w:val="21"/>
                <w:szCs w:val="21"/>
                <w:highlight w:val="none"/>
                <w:lang w:val="en-US" w:eastAsia="zh-CN"/>
              </w:rPr>
              <w:t>注:供应商须按上述要求获取本项目的采购文件后方可提交响</w:t>
            </w:r>
            <w:r>
              <w:rPr>
                <w:rFonts w:hint="eastAsia" w:ascii="仿宋" w:hAnsi="仿宋" w:eastAsia="仿宋" w:cs="仿宋"/>
                <w:color w:val="auto"/>
                <w:sz w:val="24"/>
                <w:highlight w:val="none"/>
                <w:lang w:val="en-US" w:eastAsia="zh-CN"/>
              </w:rPr>
              <w:t>应文件。</w:t>
            </w:r>
            <w:r>
              <w:rPr>
                <w:rFonts w:hint="eastAsia" w:ascii="Times New Roman" w:hAnsi="Times New Roman" w:eastAsia="方正仿宋_GBK" w:cs="Times New Roman"/>
                <w:color w:val="auto"/>
                <w:sz w:val="21"/>
                <w:szCs w:val="21"/>
                <w:highlight w:val="none"/>
                <w:lang w:val="en-US" w:eastAsia="zh-CN"/>
              </w:rPr>
              <w:t>各供应商应在响应文件提交的截止时间前确保已成为政采云平台供应商，并完成CA数字证书申领。若因供应商自身原因（如：未注册入库、未办理CA数字证书），造成无法提交响应文件或在规定时间内无法正常解密（如：浏览器故障、未安装相关驱动、网络故障、加密CA与解密CA不一致等）等后果由供应商自行承担。如有问题可拨打政采云客户服务热线95763进行咨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6" w:type="pct"/>
            <w:vAlign w:val="center"/>
          </w:tcPr>
          <w:p>
            <w:pPr>
              <w:shd w:val="clear"/>
              <w:wordWrap w:val="0"/>
              <w:spacing w:line="360" w:lineRule="auto"/>
              <w:jc w:val="center"/>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14</w:t>
            </w:r>
          </w:p>
        </w:tc>
        <w:tc>
          <w:tcPr>
            <w:tcW w:w="1119" w:type="pct"/>
            <w:vAlign w:val="center"/>
          </w:tcPr>
          <w:p>
            <w:pPr>
              <w:shd w:val="clear"/>
              <w:wordWrap w:val="0"/>
              <w:spacing w:line="360" w:lineRule="exact"/>
              <w:jc w:val="center"/>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需要补充的内容</w:t>
            </w:r>
          </w:p>
        </w:tc>
        <w:tc>
          <w:tcPr>
            <w:tcW w:w="3324" w:type="pct"/>
            <w:vAlign w:val="center"/>
          </w:tcPr>
          <w:p>
            <w:pPr>
              <w:shd w:val="clear"/>
              <w:spacing w:line="360" w:lineRule="exact"/>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rPr>
              <w:t>15.1</w:t>
            </w:r>
            <w:r>
              <w:rPr>
                <w:rFonts w:hint="default" w:ascii="Times New Roman" w:hAnsi="Times New Roman" w:eastAsia="仿宋" w:cs="Times New Roman"/>
                <w:b/>
                <w:bCs/>
                <w:color w:val="auto"/>
                <w:sz w:val="24"/>
                <w:highlight w:val="none"/>
                <w:lang w:val="zh-CN"/>
              </w:rPr>
              <w:t>小型和微型企业价格扣除评分优惠政策</w:t>
            </w:r>
          </w:p>
          <w:p>
            <w:pPr>
              <w:shd w:val="clear"/>
              <w:spacing w:line="360" w:lineRule="exact"/>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是否适用于本项目：■适用 □不适用。</w:t>
            </w:r>
          </w:p>
          <w:p>
            <w:pPr>
              <w:shd w:val="clear"/>
              <w:spacing w:line="360" w:lineRule="exact"/>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根据《政府采购促进中小企业发展管理办法》（财库〔2020〕46号）、《财政部印发通知 进一步加大政府采购支持中小企业力度》(财库〔2022〕19号)的规定，当对符合本办法规定的小微企业报价给予10%的扣除，用扣除后的价格参加评审。</w:t>
            </w:r>
          </w:p>
          <w:p>
            <w:pPr>
              <w:shd w:val="clear"/>
              <w:spacing w:line="360" w:lineRule="exact"/>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各行业划型标准为：</w:t>
            </w:r>
          </w:p>
          <w:p>
            <w:pPr>
              <w:shd w:val="clear"/>
              <w:spacing w:line="360" w:lineRule="exact"/>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1)农、林、牧、渔业。营业收入20000万元以下的为中小微型企业。其中，营业收入500万元及以上的为中型企业，营业收入50万元及以上的为小型企业，营业收入50万元以下的为微型企业。</w:t>
            </w:r>
          </w:p>
          <w:p>
            <w:pPr>
              <w:shd w:val="clear"/>
              <w:spacing w:line="360" w:lineRule="exact"/>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2)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hd w:val="clear"/>
              <w:spacing w:line="360" w:lineRule="exact"/>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3）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hd w:val="clear"/>
              <w:spacing w:line="360" w:lineRule="exact"/>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4）)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hd w:val="clear"/>
              <w:spacing w:line="360" w:lineRule="exact"/>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5）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hd w:val="clear"/>
              <w:spacing w:line="360" w:lineRule="exact"/>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6）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shd w:val="clear"/>
              <w:spacing w:line="360" w:lineRule="exact"/>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7）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hd w:val="clear"/>
              <w:spacing w:line="360" w:lineRule="exact"/>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8）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hd w:val="clear"/>
              <w:spacing w:line="360" w:lineRule="exact"/>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9）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hd w:val="clear"/>
              <w:spacing w:line="360" w:lineRule="exact"/>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10）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hd w:val="clear"/>
              <w:spacing w:line="360" w:lineRule="exact"/>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11）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hd w:val="clear"/>
              <w:spacing w:line="360" w:lineRule="exact"/>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12）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hd w:val="clear"/>
              <w:spacing w:line="360" w:lineRule="exact"/>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13）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hd w:val="clear"/>
              <w:spacing w:line="360" w:lineRule="exact"/>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14）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hd w:val="clear"/>
              <w:spacing w:line="360" w:lineRule="exact"/>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15）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hd w:val="clear"/>
              <w:spacing w:line="360" w:lineRule="exact"/>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16）其他未列明行业。从业人员300人以下的为中小微型企业。其中，从业人员100人及以上的为中型企业;从业人员10人及以上的为小型企业;从业人员10人以下的为微型企业。</w:t>
            </w:r>
          </w:p>
          <w:p>
            <w:pPr>
              <w:shd w:val="clear"/>
              <w:spacing w:line="360" w:lineRule="exact"/>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注：中小企业提供本企业制造的货物参与招标投标时，须提供本企业的《中小企业声明函》；中小企业提供其他中小企业制造的货物参与招标投标时，还须同时</w:t>
            </w:r>
            <w:r>
              <w:rPr>
                <w:rFonts w:hint="eastAsia" w:ascii="Times New Roman" w:hAnsi="Times New Roman" w:eastAsia="仿宋" w:cs="Times New Roman"/>
                <w:b/>
                <w:bCs/>
                <w:color w:val="auto"/>
                <w:sz w:val="24"/>
                <w:highlight w:val="none"/>
                <w:lang w:val="en-US" w:eastAsia="zh-CN"/>
              </w:rPr>
              <w:t>在申明函中对</w:t>
            </w:r>
            <w:r>
              <w:rPr>
                <w:rFonts w:hint="default" w:ascii="Times New Roman" w:hAnsi="Times New Roman" w:eastAsia="仿宋" w:cs="Times New Roman"/>
                <w:b/>
                <w:bCs/>
                <w:color w:val="auto"/>
                <w:sz w:val="24"/>
                <w:highlight w:val="none"/>
                <w:lang w:val="zh-CN"/>
              </w:rPr>
              <w:t>提供货物制造企业</w:t>
            </w:r>
            <w:r>
              <w:rPr>
                <w:rFonts w:hint="eastAsia" w:ascii="Times New Roman" w:hAnsi="Times New Roman" w:eastAsia="仿宋" w:cs="Times New Roman"/>
                <w:b/>
                <w:bCs/>
                <w:color w:val="auto"/>
                <w:sz w:val="24"/>
                <w:highlight w:val="none"/>
                <w:lang w:val="en-US" w:eastAsia="zh-CN"/>
              </w:rPr>
              <w:t>进行申明</w:t>
            </w:r>
            <w:r>
              <w:rPr>
                <w:rFonts w:hint="default" w:ascii="Times New Roman" w:hAnsi="Times New Roman" w:eastAsia="仿宋" w:cs="Times New Roman"/>
                <w:b/>
                <w:bCs/>
                <w:color w:val="auto"/>
                <w:sz w:val="24"/>
                <w:highlight w:val="none"/>
                <w:lang w:val="zh-CN"/>
              </w:rPr>
              <w:t>。</w:t>
            </w:r>
          </w:p>
          <w:p>
            <w:pPr>
              <w:shd w:val="clear"/>
              <w:spacing w:line="360" w:lineRule="exact"/>
              <w:rPr>
                <w:rFonts w:hint="default" w:ascii="Times New Roman" w:hAnsi="Times New Roman" w:eastAsia="仿宋" w:cs="Times New Roman"/>
                <w:b/>
                <w:bCs/>
                <w:color w:val="auto"/>
                <w:sz w:val="24"/>
                <w:highlight w:val="none"/>
                <w:lang w:val="zh-CN"/>
              </w:rPr>
            </w:pPr>
          </w:p>
        </w:tc>
      </w:tr>
    </w:tbl>
    <w:p>
      <w:pPr>
        <w:pStyle w:val="25"/>
        <w:shd w:val="clear"/>
        <w:wordWrap w:val="0"/>
        <w:spacing w:before="120" w:beforeLines="50" w:after="120" w:afterLines="50" w:line="360" w:lineRule="auto"/>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bookmarkStart w:id="7" w:name="_Toc25002"/>
      <w:bookmarkStart w:id="8" w:name="_Toc28443"/>
      <w:bookmarkStart w:id="9" w:name="_Toc7185"/>
      <w:r>
        <w:rPr>
          <w:rFonts w:hint="eastAsia" w:ascii="仿宋" w:hAnsi="仿宋" w:eastAsia="仿宋" w:cs="仿宋"/>
          <w:color w:val="auto"/>
          <w:sz w:val="28"/>
          <w:szCs w:val="28"/>
          <w:highlight w:val="none"/>
        </w:rPr>
        <w:t>1.总则</w:t>
      </w:r>
      <w:bookmarkEnd w:id="7"/>
      <w:bookmarkEnd w:id="8"/>
      <w:bookmarkEnd w:id="9"/>
    </w:p>
    <w:p>
      <w:pPr>
        <w:shd w:val="clear"/>
        <w:wordWrap w:val="0"/>
        <w:spacing w:line="360" w:lineRule="auto"/>
        <w:ind w:firstLine="562" w:firstLineChars="200"/>
        <w:rPr>
          <w:rFonts w:hint="eastAsia" w:ascii="仿宋" w:hAnsi="仿宋" w:eastAsia="仿宋" w:cs="仿宋"/>
          <w:b/>
          <w:color w:val="auto"/>
          <w:sz w:val="28"/>
          <w:szCs w:val="28"/>
          <w:highlight w:val="none"/>
        </w:rPr>
      </w:pPr>
      <w:bookmarkStart w:id="10" w:name="_Toc325375704"/>
      <w:bookmarkStart w:id="11" w:name="_Toc49082409"/>
      <w:bookmarkStart w:id="12" w:name="_Toc96423868"/>
      <w:bookmarkStart w:id="13" w:name="_Toc106009762"/>
      <w:bookmarkStart w:id="14" w:name="_Toc149732020"/>
      <w:bookmarkStart w:id="15" w:name="_Toc149731959"/>
      <w:bookmarkStart w:id="16" w:name="_Toc354687099"/>
      <w:bookmarkStart w:id="17" w:name="_Toc98215622"/>
      <w:bookmarkStart w:id="18" w:name="_Toc49135195"/>
      <w:bookmarkStart w:id="19" w:name="_Toc336332815"/>
      <w:bookmarkStart w:id="20" w:name="_Toc150653501"/>
      <w:bookmarkStart w:id="21" w:name="_Toc420767681"/>
      <w:r>
        <w:rPr>
          <w:rFonts w:hint="eastAsia" w:ascii="仿宋" w:hAnsi="仿宋" w:eastAsia="仿宋" w:cs="仿宋"/>
          <w:b/>
          <w:color w:val="auto"/>
          <w:sz w:val="28"/>
          <w:szCs w:val="28"/>
          <w:highlight w:val="none"/>
        </w:rPr>
        <w:t xml:space="preserve">1.1 </w:t>
      </w:r>
      <w:bookmarkEnd w:id="10"/>
      <w:bookmarkEnd w:id="11"/>
      <w:bookmarkEnd w:id="12"/>
      <w:bookmarkEnd w:id="13"/>
      <w:bookmarkEnd w:id="14"/>
      <w:bookmarkEnd w:id="15"/>
      <w:bookmarkEnd w:id="16"/>
      <w:bookmarkEnd w:id="17"/>
      <w:bookmarkEnd w:id="18"/>
      <w:bookmarkEnd w:id="19"/>
      <w:bookmarkEnd w:id="20"/>
      <w:bookmarkEnd w:id="21"/>
      <w:r>
        <w:rPr>
          <w:rFonts w:hint="eastAsia" w:ascii="仿宋" w:hAnsi="仿宋" w:eastAsia="仿宋" w:cs="仿宋"/>
          <w:b/>
          <w:color w:val="auto"/>
          <w:sz w:val="28"/>
          <w:szCs w:val="28"/>
          <w:highlight w:val="none"/>
        </w:rPr>
        <w:t>项目概况</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1.1.1根据《中华人民共和国政府采购法》、《中华人民共和国政府采购法实施条例》和《政府采购货物和服务招标投标管理办法》等有关法律法规的规定，现对本项目采用公开招标的方式进行采购。</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1.1.2采购人：详见供应商须知前附表。</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1.1.3采购代理机构：详见供应商须知前附表。</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1.1.4项目编号：详见供应商须知前附表。</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1.1.5项目名称：详见供应商须知前附表。</w:t>
      </w:r>
    </w:p>
    <w:p>
      <w:pPr>
        <w:pStyle w:val="2"/>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1.1.6采购需求：详见供应商须知前附表。</w:t>
      </w:r>
    </w:p>
    <w:p>
      <w:pPr>
        <w:pStyle w:val="2"/>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1.1.7预算金额：详见供应商须知前附表。</w:t>
      </w:r>
    </w:p>
    <w:p>
      <w:pPr>
        <w:pStyle w:val="2"/>
        <w:shd w:val="clear"/>
        <w:wordWrap w:val="0"/>
        <w:spacing w:line="360" w:lineRule="auto"/>
        <w:ind w:firstLine="560" w:firstLineChars="200"/>
        <w:rPr>
          <w:rFonts w:hint="eastAsia" w:ascii="仿宋" w:hAnsi="仿宋" w:eastAsia="仿宋" w:cs="仿宋"/>
          <w:color w:val="auto"/>
          <w:highlight w:val="none"/>
        </w:rPr>
      </w:pPr>
      <w:r>
        <w:rPr>
          <w:rFonts w:hint="eastAsia" w:ascii="仿宋" w:hAnsi="仿宋" w:eastAsia="仿宋" w:cs="仿宋"/>
          <w:color w:val="auto"/>
          <w:sz w:val="28"/>
          <w:szCs w:val="28"/>
          <w:highlight w:val="none"/>
        </w:rPr>
        <w:t>1.1.8最高限价：详见供应商须知前附表。</w:t>
      </w:r>
    </w:p>
    <w:p>
      <w:pPr>
        <w:shd w:val="clear"/>
        <w:wordWrap w:val="0"/>
        <w:autoSpaceDN w:val="0"/>
        <w:spacing w:line="360" w:lineRule="auto"/>
        <w:ind w:firstLine="561"/>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1.1.9资金来源：详见供应商须知前附表。</w:t>
      </w:r>
    </w:p>
    <w:p>
      <w:pPr>
        <w:shd w:val="clear"/>
        <w:wordWrap w:val="0"/>
        <w:autoSpaceDN w:val="0"/>
        <w:spacing w:line="360" w:lineRule="auto"/>
        <w:ind w:firstLine="561"/>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1.1.10采购方式：详见供应商须知前附表。</w:t>
      </w:r>
    </w:p>
    <w:p>
      <w:pPr>
        <w:pStyle w:val="2"/>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1.1.11合同履行期限（交货期）：详见供应商须知前附表。</w:t>
      </w:r>
    </w:p>
    <w:p>
      <w:pPr>
        <w:pStyle w:val="2"/>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1.1.12交货地点：详见供应商须知前附表。</w:t>
      </w:r>
    </w:p>
    <w:p>
      <w:pPr>
        <w:pStyle w:val="2"/>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1.1.13本项目（是/否）接受联合体投标：详见供应商须知前附表。</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1.1.14采购标的对应的中小企业划分标准所属行业：详见供应商须知前附表。</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1.1.15质量要求：详见供应商须知前附表。</w:t>
      </w:r>
    </w:p>
    <w:p>
      <w:pPr>
        <w:pStyle w:val="2"/>
        <w:shd w:val="clear"/>
        <w:wordWrap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1.1.16质量保修期：详见供应商须知前附表。</w:t>
      </w:r>
    </w:p>
    <w:p>
      <w:pPr>
        <w:pStyle w:val="2"/>
        <w:shd w:val="clear"/>
        <w:wordWrap w:val="0"/>
        <w:spacing w:line="360" w:lineRule="auto"/>
        <w:ind w:firstLine="560"/>
        <w:rPr>
          <w:rFonts w:hint="eastAsia" w:ascii="仿宋" w:hAnsi="仿宋" w:eastAsia="仿宋" w:cs="仿宋"/>
          <w:color w:val="auto"/>
          <w:highlight w:val="none"/>
        </w:rPr>
      </w:pPr>
      <w:r>
        <w:rPr>
          <w:rFonts w:hint="eastAsia" w:ascii="仿宋" w:hAnsi="仿宋" w:eastAsia="仿宋" w:cs="仿宋"/>
          <w:color w:val="auto"/>
          <w:sz w:val="28"/>
          <w:szCs w:val="28"/>
          <w:highlight w:val="none"/>
        </w:rPr>
        <w:t>1.1.17付款方式：详见供应商须知前附表。</w:t>
      </w:r>
    </w:p>
    <w:p>
      <w:pPr>
        <w:pStyle w:val="2"/>
        <w:shd w:val="clear"/>
        <w:wordWrap w:val="0"/>
        <w:spacing w:line="360" w:lineRule="auto"/>
        <w:ind w:firstLine="562" w:firstLineChars="20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1.2供应商的资格要求</w:t>
      </w:r>
    </w:p>
    <w:p>
      <w:pPr>
        <w:pStyle w:val="2"/>
        <w:shd w:val="clear"/>
        <w:wordWrap w:val="0"/>
        <w:spacing w:line="360" w:lineRule="auto"/>
        <w:ind w:firstLine="560" w:firstLineChars="200"/>
        <w:rPr>
          <w:rFonts w:hint="eastAsia" w:ascii="仿宋" w:hAnsi="仿宋" w:eastAsia="仿宋" w:cs="仿宋"/>
          <w:color w:val="auto"/>
          <w:highlight w:val="none"/>
        </w:rPr>
      </w:pPr>
      <w:r>
        <w:rPr>
          <w:rFonts w:hint="eastAsia" w:ascii="仿宋" w:hAnsi="仿宋" w:eastAsia="仿宋" w:cs="仿宋"/>
          <w:color w:val="auto"/>
          <w:sz w:val="28"/>
          <w:szCs w:val="28"/>
          <w:highlight w:val="none"/>
        </w:rPr>
        <w:t>详见供应商须知前附表。</w:t>
      </w:r>
    </w:p>
    <w:p>
      <w:pPr>
        <w:shd w:val="clear"/>
        <w:wordWrap w:val="0"/>
        <w:spacing w:line="360" w:lineRule="auto"/>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1.3信用信息查询</w:t>
      </w:r>
    </w:p>
    <w:p>
      <w:pPr>
        <w:pStyle w:val="2"/>
        <w:shd w:val="clear"/>
        <w:wordWrap w:val="0"/>
        <w:spacing w:line="360" w:lineRule="auto"/>
        <w:ind w:firstLine="560" w:firstLineChars="200"/>
        <w:rPr>
          <w:rFonts w:hint="eastAsia" w:ascii="仿宋" w:hAnsi="仿宋" w:eastAsia="仿宋" w:cs="仿宋"/>
          <w:color w:val="auto"/>
          <w:highlight w:val="none"/>
        </w:rPr>
      </w:pPr>
      <w:r>
        <w:rPr>
          <w:rFonts w:hint="eastAsia" w:ascii="仿宋" w:hAnsi="仿宋" w:eastAsia="仿宋" w:cs="仿宋"/>
          <w:color w:val="auto"/>
          <w:sz w:val="28"/>
          <w:szCs w:val="28"/>
          <w:highlight w:val="none"/>
        </w:rPr>
        <w:t>详见供应商须知前附表。</w:t>
      </w:r>
    </w:p>
    <w:p>
      <w:pPr>
        <w:shd w:val="clear"/>
        <w:wordWrap w:val="0"/>
        <w:spacing w:line="360" w:lineRule="auto"/>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1.4费用承担</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1.4.l无论本项目的结果如何，供应商应自行承担其参加本</w:t>
      </w:r>
      <w:r>
        <w:rPr>
          <w:rFonts w:hint="eastAsia" w:ascii="仿宋" w:hAnsi="仿宋" w:eastAsia="仿宋" w:cs="仿宋"/>
          <w:color w:val="auto"/>
          <w:kern w:val="0"/>
          <w:sz w:val="28"/>
          <w:szCs w:val="28"/>
          <w:highlight w:val="none"/>
        </w:rPr>
        <w:t>采购</w:t>
      </w:r>
      <w:r>
        <w:rPr>
          <w:rFonts w:hint="eastAsia" w:ascii="仿宋" w:hAnsi="仿宋" w:eastAsia="仿宋" w:cs="仿宋"/>
          <w:color w:val="auto"/>
          <w:sz w:val="28"/>
          <w:szCs w:val="28"/>
          <w:highlight w:val="none"/>
        </w:rPr>
        <w:t>活动产生的所有费用。</w:t>
      </w:r>
    </w:p>
    <w:p>
      <w:pPr>
        <w:shd w:val="clear"/>
        <w:wordWrap w:val="0"/>
        <w:spacing w:line="360" w:lineRule="auto"/>
        <w:ind w:firstLine="560" w:firstLineChars="200"/>
        <w:rPr>
          <w:rFonts w:hint="eastAsia" w:ascii="仿宋" w:hAnsi="仿宋" w:eastAsia="仿宋" w:cs="仿宋"/>
          <w:color w:val="auto"/>
          <w:highlight w:val="none"/>
        </w:rPr>
      </w:pPr>
      <w:r>
        <w:rPr>
          <w:rFonts w:hint="eastAsia" w:ascii="仿宋" w:hAnsi="仿宋" w:eastAsia="仿宋" w:cs="仿宋"/>
          <w:color w:val="auto"/>
          <w:sz w:val="28"/>
          <w:szCs w:val="28"/>
          <w:highlight w:val="none"/>
        </w:rPr>
        <w:t>1.4.2代理服务费：详见供应商须知前附表。</w:t>
      </w:r>
    </w:p>
    <w:p>
      <w:pPr>
        <w:shd w:val="clear"/>
        <w:wordWrap w:val="0"/>
        <w:spacing w:line="360" w:lineRule="auto"/>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1.5保密</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参与采购活动的各方应对</w:t>
      </w:r>
      <w:r>
        <w:rPr>
          <w:rFonts w:hint="eastAsia" w:ascii="仿宋" w:hAnsi="仿宋" w:eastAsia="仿宋" w:cs="仿宋"/>
          <w:color w:val="auto"/>
          <w:sz w:val="28"/>
          <w:szCs w:val="28"/>
          <w:highlight w:val="none"/>
          <w:lang w:eastAsia="zh-CN"/>
        </w:rPr>
        <w:t>招标</w:t>
      </w:r>
      <w:r>
        <w:rPr>
          <w:rFonts w:hint="eastAsia" w:ascii="仿宋" w:hAnsi="仿宋" w:eastAsia="仿宋" w:cs="仿宋"/>
          <w:color w:val="auto"/>
          <w:sz w:val="28"/>
          <w:szCs w:val="28"/>
          <w:highlight w:val="none"/>
        </w:rPr>
        <w:t>文件和</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文件中的商业和技术等秘密保密，违者应对由此造成的后果承担法律责任。</w:t>
      </w:r>
    </w:p>
    <w:p>
      <w:pPr>
        <w:shd w:val="clear"/>
        <w:wordWrap w:val="0"/>
        <w:spacing w:line="360" w:lineRule="auto"/>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1.6语言文字</w:t>
      </w:r>
    </w:p>
    <w:p>
      <w:pPr>
        <w:shd w:val="clear"/>
        <w:wordWrap w:val="0"/>
        <w:spacing w:line="360" w:lineRule="auto"/>
        <w:ind w:firstLine="560" w:firstLineChars="200"/>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除专用术语外，与采购活动有关的语言均使用中文。必要时专用术语应附有中文注释。</w:t>
      </w:r>
    </w:p>
    <w:p>
      <w:pPr>
        <w:shd w:val="clear"/>
        <w:wordWrap w:val="0"/>
        <w:spacing w:line="360" w:lineRule="auto"/>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1.7计量单位</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所有计量均采用中华人民共和国法定计量单位。</w:t>
      </w:r>
    </w:p>
    <w:p>
      <w:pPr>
        <w:shd w:val="clear"/>
        <w:wordWrap w:val="0"/>
        <w:spacing w:line="360" w:lineRule="auto"/>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1.8踏勘现场</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1.8.1本项目采购人不组织供应商踏勘现场，供应商自行踏勘现场。</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1.8.2供应商踏勘现场发生的费用自理。</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1.8.3供应商自行负责在踏勘现场中所发生的人员伤亡和财产损失。</w:t>
      </w:r>
    </w:p>
    <w:p>
      <w:pPr>
        <w:shd w:val="clear"/>
        <w:wordWrap w:val="0"/>
        <w:spacing w:line="360" w:lineRule="auto"/>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1.9</w:t>
      </w:r>
      <w:r>
        <w:rPr>
          <w:rFonts w:hint="eastAsia" w:ascii="仿宋" w:hAnsi="仿宋" w:eastAsia="仿宋" w:cs="仿宋"/>
          <w:b/>
          <w:color w:val="auto"/>
          <w:sz w:val="28"/>
          <w:szCs w:val="28"/>
          <w:highlight w:val="none"/>
          <w:lang w:eastAsia="zh-CN"/>
        </w:rPr>
        <w:t>投标</w:t>
      </w:r>
      <w:r>
        <w:rPr>
          <w:rFonts w:hint="eastAsia" w:ascii="仿宋" w:hAnsi="仿宋" w:eastAsia="仿宋" w:cs="仿宋"/>
          <w:b/>
          <w:color w:val="auto"/>
          <w:sz w:val="28"/>
          <w:szCs w:val="28"/>
          <w:highlight w:val="none"/>
        </w:rPr>
        <w:t>预备会</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采购人不召开投标预备会。</w:t>
      </w:r>
    </w:p>
    <w:p>
      <w:pPr>
        <w:pStyle w:val="25"/>
        <w:keepNext w:val="0"/>
        <w:keepLines w:val="0"/>
        <w:shd w:val="clear"/>
        <w:wordWrap w:val="0"/>
        <w:spacing w:before="0" w:after="0" w:line="360" w:lineRule="auto"/>
        <w:ind w:firstLine="557" w:firstLineChars="198"/>
        <w:jc w:val="both"/>
        <w:rPr>
          <w:rFonts w:hint="eastAsia" w:ascii="仿宋" w:hAnsi="仿宋" w:eastAsia="仿宋" w:cs="仿宋"/>
          <w:color w:val="auto"/>
          <w:sz w:val="28"/>
          <w:szCs w:val="28"/>
          <w:highlight w:val="none"/>
        </w:rPr>
      </w:pPr>
      <w:bookmarkStart w:id="22" w:name="_Toc150653502"/>
      <w:bookmarkStart w:id="23" w:name="_Toc336332816"/>
      <w:bookmarkStart w:id="24" w:name="_Toc420767682"/>
      <w:bookmarkStart w:id="25" w:name="_Toc98215623"/>
      <w:bookmarkStart w:id="26" w:name="_Toc149731960"/>
      <w:bookmarkStart w:id="27" w:name="_Toc149732021"/>
      <w:bookmarkStart w:id="28" w:name="_Toc96423869"/>
      <w:bookmarkStart w:id="29" w:name="_Toc49135196"/>
      <w:bookmarkStart w:id="30" w:name="_Toc49082410"/>
      <w:bookmarkStart w:id="31" w:name="_Toc354687100"/>
      <w:bookmarkStart w:id="32" w:name="_Toc325375705"/>
      <w:bookmarkStart w:id="33" w:name="_Toc106009763"/>
      <w:bookmarkStart w:id="34" w:name="_Toc24060"/>
      <w:bookmarkStart w:id="35" w:name="_Toc55"/>
      <w:bookmarkStart w:id="36" w:name="_Toc10450"/>
      <w:r>
        <w:rPr>
          <w:rFonts w:hint="eastAsia" w:ascii="仿宋" w:hAnsi="仿宋" w:eastAsia="仿宋" w:cs="仿宋"/>
          <w:color w:val="auto"/>
          <w:sz w:val="28"/>
          <w:szCs w:val="28"/>
          <w:highlight w:val="none"/>
        </w:rPr>
        <w:t>2.</w:t>
      </w:r>
      <w:bookmarkEnd w:id="22"/>
      <w:bookmarkEnd w:id="23"/>
      <w:bookmarkEnd w:id="24"/>
      <w:bookmarkEnd w:id="25"/>
      <w:bookmarkEnd w:id="26"/>
      <w:bookmarkEnd w:id="27"/>
      <w:bookmarkEnd w:id="28"/>
      <w:bookmarkEnd w:id="29"/>
      <w:bookmarkEnd w:id="30"/>
      <w:bookmarkEnd w:id="31"/>
      <w:bookmarkEnd w:id="32"/>
      <w:bookmarkEnd w:id="33"/>
      <w:r>
        <w:rPr>
          <w:rFonts w:hint="eastAsia" w:ascii="仿宋" w:hAnsi="仿宋" w:eastAsia="仿宋" w:cs="仿宋"/>
          <w:color w:val="auto"/>
          <w:sz w:val="28"/>
          <w:szCs w:val="28"/>
          <w:highlight w:val="none"/>
          <w:lang w:eastAsia="zh-CN"/>
        </w:rPr>
        <w:t>招标</w:t>
      </w:r>
      <w:r>
        <w:rPr>
          <w:rFonts w:hint="eastAsia" w:ascii="仿宋" w:hAnsi="仿宋" w:eastAsia="仿宋" w:cs="仿宋"/>
          <w:color w:val="auto"/>
          <w:sz w:val="28"/>
          <w:szCs w:val="28"/>
          <w:highlight w:val="none"/>
        </w:rPr>
        <w:t>文件</w:t>
      </w:r>
      <w:bookmarkEnd w:id="34"/>
      <w:bookmarkEnd w:id="35"/>
      <w:bookmarkEnd w:id="36"/>
    </w:p>
    <w:p>
      <w:pPr>
        <w:shd w:val="clear"/>
        <w:wordWrap w:val="0"/>
        <w:spacing w:line="360" w:lineRule="auto"/>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2.1 </w:t>
      </w:r>
      <w:r>
        <w:rPr>
          <w:rFonts w:hint="eastAsia" w:ascii="仿宋" w:hAnsi="仿宋" w:eastAsia="仿宋" w:cs="仿宋"/>
          <w:b/>
          <w:color w:val="auto"/>
          <w:sz w:val="28"/>
          <w:szCs w:val="28"/>
          <w:highlight w:val="none"/>
          <w:lang w:eastAsia="zh-CN"/>
        </w:rPr>
        <w:t>招标</w:t>
      </w:r>
      <w:r>
        <w:rPr>
          <w:rFonts w:hint="eastAsia" w:ascii="仿宋" w:hAnsi="仿宋" w:eastAsia="仿宋" w:cs="仿宋"/>
          <w:b/>
          <w:color w:val="auto"/>
          <w:sz w:val="28"/>
          <w:szCs w:val="28"/>
          <w:highlight w:val="none"/>
        </w:rPr>
        <w:t>文件包括下列内容：</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第一章  </w:t>
      </w:r>
      <w:r>
        <w:rPr>
          <w:rFonts w:hint="eastAsia" w:ascii="仿宋" w:hAnsi="仿宋" w:eastAsia="仿宋" w:cs="仿宋"/>
          <w:color w:val="auto"/>
          <w:sz w:val="28"/>
          <w:szCs w:val="28"/>
          <w:highlight w:val="none"/>
          <w:lang w:eastAsia="zh-CN"/>
        </w:rPr>
        <w:t>招标</w:t>
      </w:r>
      <w:r>
        <w:rPr>
          <w:rFonts w:hint="eastAsia" w:ascii="仿宋" w:hAnsi="仿宋" w:eastAsia="仿宋" w:cs="仿宋"/>
          <w:color w:val="auto"/>
          <w:sz w:val="28"/>
          <w:szCs w:val="28"/>
          <w:highlight w:val="none"/>
        </w:rPr>
        <w:t>公告</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第二章  供应商须知</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第三章  资格审查办法和</w:t>
      </w:r>
      <w:r>
        <w:rPr>
          <w:rFonts w:hint="eastAsia" w:ascii="仿宋" w:hAnsi="仿宋" w:eastAsia="仿宋" w:cs="仿宋"/>
          <w:color w:val="auto"/>
          <w:sz w:val="28"/>
          <w:szCs w:val="28"/>
          <w:highlight w:val="none"/>
          <w:lang w:eastAsia="zh-CN"/>
        </w:rPr>
        <w:t>评审</w:t>
      </w:r>
      <w:r>
        <w:rPr>
          <w:rFonts w:hint="eastAsia" w:ascii="仿宋" w:hAnsi="仿宋" w:eastAsia="仿宋" w:cs="仿宋"/>
          <w:color w:val="auto"/>
          <w:sz w:val="28"/>
          <w:szCs w:val="28"/>
          <w:highlight w:val="none"/>
        </w:rPr>
        <w:t>办法</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第四章  采购需求</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第五章  </w:t>
      </w:r>
      <w:r>
        <w:rPr>
          <w:rFonts w:hint="eastAsia" w:ascii="仿宋" w:hAnsi="仿宋" w:eastAsia="仿宋" w:cs="仿宋"/>
          <w:color w:val="auto"/>
          <w:sz w:val="28"/>
          <w:szCs w:val="28"/>
          <w:highlight w:val="none"/>
          <w:lang w:eastAsia="zh-CN"/>
        </w:rPr>
        <w:t>招标</w:t>
      </w:r>
      <w:r>
        <w:rPr>
          <w:rFonts w:hint="eastAsia" w:ascii="仿宋" w:hAnsi="仿宋" w:eastAsia="仿宋" w:cs="仿宋"/>
          <w:color w:val="auto"/>
          <w:sz w:val="28"/>
          <w:szCs w:val="28"/>
          <w:highlight w:val="none"/>
        </w:rPr>
        <w:t>文件格式</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第六章  合同条款及格式</w:t>
      </w:r>
    </w:p>
    <w:p>
      <w:pPr>
        <w:shd w:val="clear"/>
        <w:wordWrap w:val="0"/>
        <w:spacing w:line="360" w:lineRule="auto"/>
        <w:ind w:firstLine="562" w:firstLineChars="200"/>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2.2 </w:t>
      </w:r>
      <w:r>
        <w:rPr>
          <w:rFonts w:hint="eastAsia" w:ascii="仿宋" w:hAnsi="仿宋" w:eastAsia="仿宋" w:cs="仿宋"/>
          <w:color w:val="auto"/>
          <w:sz w:val="28"/>
          <w:szCs w:val="28"/>
          <w:highlight w:val="none"/>
        </w:rPr>
        <w:t>除第2.1款内容外，采购人以书面形式发出的对招标文件的澄清或修改内容，均为</w:t>
      </w:r>
      <w:r>
        <w:rPr>
          <w:rFonts w:hint="eastAsia" w:ascii="仿宋" w:hAnsi="仿宋" w:eastAsia="仿宋" w:cs="仿宋"/>
          <w:color w:val="auto"/>
          <w:sz w:val="28"/>
          <w:szCs w:val="28"/>
          <w:highlight w:val="none"/>
          <w:lang w:eastAsia="zh-CN"/>
        </w:rPr>
        <w:t>招标</w:t>
      </w:r>
      <w:r>
        <w:rPr>
          <w:rFonts w:hint="eastAsia" w:ascii="仿宋" w:hAnsi="仿宋" w:eastAsia="仿宋" w:cs="仿宋"/>
          <w:color w:val="auto"/>
          <w:sz w:val="28"/>
          <w:szCs w:val="28"/>
          <w:highlight w:val="none"/>
        </w:rPr>
        <w:t>文件的组成部分，对采购人和供应商起约束作用。</w:t>
      </w:r>
    </w:p>
    <w:p>
      <w:pPr>
        <w:pStyle w:val="25"/>
        <w:shd w:val="clear"/>
        <w:wordWrap w:val="0"/>
        <w:spacing w:before="0" w:after="0" w:line="360" w:lineRule="auto"/>
        <w:ind w:firstLine="562" w:firstLineChars="200"/>
        <w:jc w:val="both"/>
        <w:rPr>
          <w:rFonts w:hint="eastAsia" w:ascii="仿宋" w:hAnsi="仿宋" w:eastAsia="仿宋" w:cs="仿宋"/>
          <w:color w:val="auto"/>
          <w:sz w:val="28"/>
          <w:szCs w:val="28"/>
          <w:highlight w:val="none"/>
        </w:rPr>
      </w:pPr>
      <w:bookmarkStart w:id="37" w:name="_Toc31016"/>
      <w:bookmarkStart w:id="38" w:name="_Toc20232"/>
      <w:bookmarkStart w:id="39" w:name="_Toc8116"/>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w:t>
      </w:r>
      <w:bookmarkEnd w:id="37"/>
      <w:bookmarkEnd w:id="38"/>
      <w:bookmarkEnd w:id="39"/>
    </w:p>
    <w:p>
      <w:pPr>
        <w:shd w:val="clear"/>
        <w:wordWrap w:val="0"/>
        <w:spacing w:line="360" w:lineRule="auto"/>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3.1 </w:t>
      </w:r>
      <w:r>
        <w:rPr>
          <w:rFonts w:hint="eastAsia" w:ascii="仿宋" w:hAnsi="仿宋" w:eastAsia="仿宋" w:cs="仿宋"/>
          <w:b/>
          <w:color w:val="auto"/>
          <w:sz w:val="28"/>
          <w:szCs w:val="28"/>
          <w:highlight w:val="none"/>
          <w:lang w:eastAsia="zh-CN"/>
        </w:rPr>
        <w:t>投标</w:t>
      </w:r>
      <w:r>
        <w:rPr>
          <w:rFonts w:hint="eastAsia" w:ascii="仿宋" w:hAnsi="仿宋" w:eastAsia="仿宋" w:cs="仿宋"/>
          <w:b/>
          <w:color w:val="auto"/>
          <w:sz w:val="28"/>
          <w:szCs w:val="28"/>
          <w:highlight w:val="none"/>
        </w:rPr>
        <w:t>文件包括下列内容：</w:t>
      </w:r>
    </w:p>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报价</w:t>
      </w:r>
      <w:r>
        <w:rPr>
          <w:rFonts w:hint="eastAsia" w:ascii="仿宋" w:hAnsi="仿宋" w:eastAsia="仿宋" w:cs="仿宋"/>
          <w:color w:val="auto"/>
          <w:sz w:val="28"/>
          <w:szCs w:val="28"/>
          <w:highlight w:val="none"/>
        </w:rPr>
        <w:t>函</w:t>
      </w:r>
    </w:p>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报价一览表</w:t>
      </w:r>
    </w:p>
    <w:p>
      <w:pPr>
        <w:shd w:val="clear"/>
        <w:wordWrap w:val="0"/>
        <w:spacing w:line="360" w:lineRule="auto"/>
        <w:ind w:firstLine="561"/>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（3）分项报价表</w:t>
      </w:r>
    </w:p>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（4）产品规格、技术参数及性能</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 xml:space="preserve">表 </w:t>
      </w:r>
    </w:p>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（5）法定代表人身份证明书及法定代表人授权委托书</w:t>
      </w:r>
    </w:p>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（6）供应商基本情况表</w:t>
      </w:r>
    </w:p>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（7）供应商相关资格证件及相关证明材料</w:t>
      </w:r>
    </w:p>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（8）声明书（承诺书）</w:t>
      </w:r>
    </w:p>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（9）项目实施方案</w:t>
      </w:r>
    </w:p>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（10）近三年类似项目业绩情况表</w:t>
      </w:r>
    </w:p>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（11）供应商认为应该提交的其他资料</w:t>
      </w:r>
    </w:p>
    <w:p>
      <w:pPr>
        <w:shd w:val="clear"/>
        <w:wordWrap w:val="0"/>
        <w:spacing w:line="360" w:lineRule="auto"/>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3.2 </w:t>
      </w:r>
      <w:r>
        <w:rPr>
          <w:rFonts w:hint="eastAsia" w:ascii="仿宋" w:hAnsi="仿宋" w:eastAsia="仿宋" w:cs="仿宋"/>
          <w:b/>
          <w:color w:val="auto"/>
          <w:sz w:val="28"/>
          <w:szCs w:val="28"/>
          <w:highlight w:val="none"/>
          <w:lang w:eastAsia="zh-CN"/>
        </w:rPr>
        <w:t>投标</w:t>
      </w:r>
      <w:r>
        <w:rPr>
          <w:rFonts w:hint="eastAsia" w:ascii="仿宋" w:hAnsi="仿宋" w:eastAsia="仿宋" w:cs="仿宋"/>
          <w:b/>
          <w:color w:val="auto"/>
          <w:sz w:val="28"/>
          <w:szCs w:val="28"/>
          <w:highlight w:val="none"/>
        </w:rPr>
        <w:t>文件格式</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供应商提交的</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文件应当使用</w:t>
      </w:r>
      <w:r>
        <w:rPr>
          <w:rFonts w:hint="eastAsia" w:ascii="仿宋" w:hAnsi="仿宋" w:eastAsia="仿宋" w:cs="仿宋"/>
          <w:color w:val="auto"/>
          <w:sz w:val="28"/>
          <w:szCs w:val="28"/>
          <w:highlight w:val="none"/>
          <w:lang w:eastAsia="zh-CN"/>
        </w:rPr>
        <w:t>招标</w:t>
      </w:r>
      <w:r>
        <w:rPr>
          <w:rFonts w:hint="eastAsia" w:ascii="仿宋" w:hAnsi="仿宋" w:eastAsia="仿宋" w:cs="仿宋"/>
          <w:color w:val="auto"/>
          <w:sz w:val="28"/>
          <w:szCs w:val="28"/>
          <w:highlight w:val="none"/>
        </w:rPr>
        <w:t>文件所提供的</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文件全部格式（表格可以按同样格式扩展）。</w:t>
      </w:r>
    </w:p>
    <w:p>
      <w:pPr>
        <w:shd w:val="clear"/>
        <w:wordWrap w:val="0"/>
        <w:spacing w:line="360" w:lineRule="auto"/>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3.3 投标报价</w:t>
      </w:r>
    </w:p>
    <w:p>
      <w:pPr>
        <w:pStyle w:val="25"/>
        <w:keepNext w:val="0"/>
        <w:keepLines w:val="0"/>
        <w:shd w:val="clear"/>
        <w:wordWrap w:val="0"/>
        <w:spacing w:before="0" w:after="0" w:line="360" w:lineRule="auto"/>
        <w:ind w:firstLine="560" w:firstLineChars="200"/>
        <w:jc w:val="both"/>
        <w:outlineLvl w:val="9"/>
        <w:rPr>
          <w:rFonts w:hint="eastAsia" w:ascii="仿宋" w:hAnsi="仿宋" w:eastAsia="仿宋" w:cs="仿宋"/>
          <w:b w:val="0"/>
          <w:bCs w:val="0"/>
          <w:color w:val="auto"/>
          <w:sz w:val="28"/>
          <w:szCs w:val="28"/>
          <w:highlight w:val="none"/>
        </w:rPr>
      </w:pPr>
      <w:bookmarkStart w:id="40" w:name="_Toc32207"/>
      <w:bookmarkStart w:id="41" w:name="_Toc7698"/>
      <w:bookmarkStart w:id="42" w:name="_Toc15107"/>
      <w:r>
        <w:rPr>
          <w:rFonts w:hint="eastAsia" w:ascii="仿宋" w:hAnsi="仿宋" w:eastAsia="仿宋" w:cs="仿宋"/>
          <w:b w:val="0"/>
          <w:bCs w:val="0"/>
          <w:color w:val="auto"/>
          <w:sz w:val="28"/>
          <w:szCs w:val="28"/>
          <w:highlight w:val="none"/>
        </w:rPr>
        <w:t>供应商结合市场价格和自身实力进行报价。投标报价为供应商在</w:t>
      </w:r>
      <w:r>
        <w:rPr>
          <w:rFonts w:hint="eastAsia" w:ascii="仿宋" w:hAnsi="仿宋" w:eastAsia="仿宋" w:cs="仿宋"/>
          <w:b w:val="0"/>
          <w:bCs w:val="0"/>
          <w:color w:val="auto"/>
          <w:sz w:val="28"/>
          <w:szCs w:val="28"/>
          <w:highlight w:val="none"/>
          <w:lang w:eastAsia="zh-CN"/>
        </w:rPr>
        <w:t>投标</w:t>
      </w:r>
      <w:r>
        <w:rPr>
          <w:rFonts w:hint="eastAsia" w:ascii="仿宋" w:hAnsi="仿宋" w:eastAsia="仿宋" w:cs="仿宋"/>
          <w:b w:val="0"/>
          <w:bCs w:val="0"/>
          <w:color w:val="auto"/>
          <w:sz w:val="28"/>
          <w:szCs w:val="28"/>
          <w:highlight w:val="none"/>
        </w:rPr>
        <w:t>文件中提出的各项支付金额的总和，应是完成本项目的全部费用，包含但不限于包括运送至采购人指定地成本费用、包装、运输、装卸、仓储、安全、管理费、招标代理费、售后服务、利润、税金、价格风险费、政策性调整风险费、验收、投标风险及编目上架费用等完成本项目供货并通过验收合格所需的全部费用，供应商需按采购人要求提供与其单位名称一致的增值税发票。供应商应认真阅读和理解</w:t>
      </w:r>
      <w:r>
        <w:rPr>
          <w:rFonts w:hint="eastAsia" w:ascii="仿宋" w:hAnsi="仿宋" w:eastAsia="仿宋" w:cs="仿宋"/>
          <w:b w:val="0"/>
          <w:bCs w:val="0"/>
          <w:color w:val="auto"/>
          <w:sz w:val="28"/>
          <w:szCs w:val="28"/>
          <w:highlight w:val="none"/>
          <w:lang w:eastAsia="zh-CN"/>
        </w:rPr>
        <w:t>招标</w:t>
      </w:r>
      <w:r>
        <w:rPr>
          <w:rFonts w:hint="eastAsia" w:ascii="仿宋" w:hAnsi="仿宋" w:eastAsia="仿宋" w:cs="仿宋"/>
          <w:b w:val="0"/>
          <w:bCs w:val="0"/>
          <w:color w:val="auto"/>
          <w:sz w:val="28"/>
          <w:szCs w:val="28"/>
          <w:highlight w:val="none"/>
        </w:rPr>
        <w:t>文件中的所有内容，充分熟悉与履行合同有关的各种情况，一旦中标，在合同履行过程中的所有风险由供应商自行承担。</w:t>
      </w:r>
      <w:bookmarkEnd w:id="40"/>
      <w:bookmarkEnd w:id="41"/>
      <w:bookmarkEnd w:id="42"/>
    </w:p>
    <w:p>
      <w:pPr>
        <w:shd w:val="clear"/>
        <w:wordWrap w:val="0"/>
        <w:spacing w:line="360" w:lineRule="auto"/>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3.4 </w:t>
      </w:r>
      <w:r>
        <w:rPr>
          <w:rFonts w:hint="eastAsia" w:ascii="仿宋" w:hAnsi="仿宋" w:eastAsia="仿宋" w:cs="仿宋"/>
          <w:b/>
          <w:color w:val="auto"/>
          <w:sz w:val="28"/>
          <w:szCs w:val="28"/>
          <w:highlight w:val="none"/>
          <w:lang w:eastAsia="zh-CN"/>
        </w:rPr>
        <w:t>投标</w:t>
      </w:r>
      <w:r>
        <w:rPr>
          <w:rFonts w:hint="eastAsia" w:ascii="仿宋" w:hAnsi="仿宋" w:eastAsia="仿宋" w:cs="仿宋"/>
          <w:b/>
          <w:color w:val="auto"/>
          <w:sz w:val="28"/>
          <w:szCs w:val="28"/>
          <w:highlight w:val="none"/>
        </w:rPr>
        <w:t xml:space="preserve">有效期 </w:t>
      </w:r>
    </w:p>
    <w:p>
      <w:pPr>
        <w:shd w:val="clear"/>
        <w:wordWrap w:val="0"/>
        <w:spacing w:line="360" w:lineRule="auto"/>
        <w:ind w:firstLine="560" w:firstLineChars="200"/>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3.4.1 在供应商须知前附表规定的</w:t>
      </w:r>
      <w:r>
        <w:rPr>
          <w:rFonts w:hint="eastAsia" w:ascii="仿宋" w:hAnsi="仿宋" w:eastAsia="仿宋" w:cs="仿宋"/>
          <w:color w:val="auto"/>
          <w:sz w:val="28"/>
          <w:szCs w:val="28"/>
          <w:highlight w:val="none"/>
          <w:lang w:eastAsia="zh-CN"/>
        </w:rPr>
        <w:t>招标</w:t>
      </w:r>
      <w:r>
        <w:rPr>
          <w:rFonts w:hint="eastAsia" w:ascii="仿宋" w:hAnsi="仿宋" w:eastAsia="仿宋" w:cs="仿宋"/>
          <w:color w:val="auto"/>
          <w:sz w:val="28"/>
          <w:szCs w:val="28"/>
          <w:highlight w:val="none"/>
        </w:rPr>
        <w:t>有效期内，供应商不得要求撤销或修改其</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w:t>
      </w:r>
    </w:p>
    <w:p>
      <w:pPr>
        <w:shd w:val="clear"/>
        <w:wordWrap w:val="0"/>
        <w:spacing w:line="360" w:lineRule="auto"/>
        <w:ind w:firstLine="560" w:firstLineChars="200"/>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3.4.2 出现特殊情况需要延长</w:t>
      </w:r>
      <w:r>
        <w:rPr>
          <w:rFonts w:hint="eastAsia" w:ascii="仿宋" w:hAnsi="仿宋" w:eastAsia="仿宋" w:cs="仿宋"/>
          <w:color w:val="auto"/>
          <w:sz w:val="28"/>
          <w:szCs w:val="28"/>
          <w:highlight w:val="none"/>
          <w:lang w:eastAsia="zh-CN"/>
        </w:rPr>
        <w:t>招标</w:t>
      </w:r>
      <w:r>
        <w:rPr>
          <w:rFonts w:hint="eastAsia" w:ascii="仿宋" w:hAnsi="仿宋" w:eastAsia="仿宋" w:cs="仿宋"/>
          <w:color w:val="auto"/>
          <w:sz w:val="28"/>
          <w:szCs w:val="28"/>
          <w:highlight w:val="none"/>
        </w:rPr>
        <w:t>有效期的，采购人以发布公告的形式通知所有供应商延长</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有效期。供应商同意延长的，应相应延长其</w:t>
      </w:r>
      <w:r>
        <w:rPr>
          <w:rFonts w:hint="eastAsia" w:ascii="仿宋" w:hAnsi="仿宋" w:eastAsia="仿宋" w:cs="仿宋"/>
          <w:b w:val="0"/>
          <w:bCs w:val="0"/>
          <w:color w:val="auto"/>
          <w:sz w:val="28"/>
          <w:szCs w:val="28"/>
          <w:highlight w:val="none"/>
          <w:lang w:eastAsia="zh-CN"/>
        </w:rPr>
        <w:t>投标</w:t>
      </w:r>
      <w:r>
        <w:rPr>
          <w:rFonts w:hint="eastAsia" w:ascii="仿宋" w:hAnsi="仿宋" w:eastAsia="仿宋" w:cs="仿宋"/>
          <w:color w:val="auto"/>
          <w:sz w:val="28"/>
          <w:szCs w:val="28"/>
          <w:highlight w:val="none"/>
        </w:rPr>
        <w:t>保证金的有效期，但不得要求或被允许修改或撤销其投标文件；供应商拒绝延长的，其投标失效，但供应商有权收回其</w:t>
      </w:r>
      <w:r>
        <w:rPr>
          <w:rFonts w:hint="eastAsia" w:ascii="仿宋" w:hAnsi="仿宋" w:eastAsia="仿宋" w:cs="仿宋"/>
          <w:b w:val="0"/>
          <w:bCs w:val="0"/>
          <w:color w:val="auto"/>
          <w:sz w:val="28"/>
          <w:szCs w:val="28"/>
          <w:highlight w:val="none"/>
          <w:lang w:eastAsia="zh-CN"/>
        </w:rPr>
        <w:t>投标</w:t>
      </w:r>
      <w:r>
        <w:rPr>
          <w:rFonts w:hint="eastAsia" w:ascii="仿宋" w:hAnsi="仿宋" w:eastAsia="仿宋" w:cs="仿宋"/>
          <w:color w:val="auto"/>
          <w:sz w:val="28"/>
          <w:szCs w:val="28"/>
          <w:highlight w:val="none"/>
        </w:rPr>
        <w:t>保证金。</w:t>
      </w:r>
    </w:p>
    <w:p>
      <w:pPr>
        <w:shd w:val="clear"/>
        <w:wordWrap w:val="0"/>
        <w:spacing w:line="360" w:lineRule="auto"/>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3.5 </w:t>
      </w:r>
      <w:r>
        <w:rPr>
          <w:rFonts w:hint="eastAsia" w:ascii="仿宋" w:hAnsi="仿宋" w:eastAsia="仿宋" w:cs="仿宋"/>
          <w:b/>
          <w:color w:val="auto"/>
          <w:sz w:val="28"/>
          <w:szCs w:val="28"/>
          <w:highlight w:val="none"/>
          <w:lang w:eastAsia="zh-CN"/>
        </w:rPr>
        <w:t>投标</w:t>
      </w:r>
      <w:r>
        <w:rPr>
          <w:rFonts w:hint="eastAsia" w:ascii="仿宋" w:hAnsi="仿宋" w:eastAsia="仿宋" w:cs="仿宋"/>
          <w:b/>
          <w:color w:val="auto"/>
          <w:sz w:val="28"/>
          <w:szCs w:val="28"/>
          <w:highlight w:val="none"/>
        </w:rPr>
        <w:t>保证金</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3.5.1 供应商须按照供应商须知前附表的规定提交</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保证金，供应商未按要求提交</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保证金的，其</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文件作无效标书处理</w:t>
      </w:r>
      <w:r>
        <w:rPr>
          <w:rFonts w:hint="eastAsia" w:ascii="仿宋" w:hAnsi="仿宋" w:eastAsia="仿宋" w:cs="仿宋"/>
          <w:color w:val="auto"/>
          <w:sz w:val="28"/>
          <w:szCs w:val="32"/>
          <w:highlight w:val="none"/>
        </w:rPr>
        <w:t>。</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3.5.2 采购代理机构应当在中标通知书发出后五个工作日内退还未中标人的</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保证金，自采购合同签订之日起五个工作日内退还中标人的</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保证金。</w:t>
      </w:r>
    </w:p>
    <w:p>
      <w:pPr>
        <w:shd w:val="clear"/>
        <w:wordWrap w:val="0"/>
        <w:spacing w:line="360" w:lineRule="auto"/>
        <w:ind w:firstLine="470" w:firstLineChars="16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3.5.3 有下列情形之一的，</w:t>
      </w:r>
      <w:r>
        <w:rPr>
          <w:rFonts w:hint="eastAsia" w:ascii="仿宋" w:hAnsi="仿宋" w:eastAsia="仿宋" w:cs="仿宋"/>
          <w:b w:val="0"/>
          <w:bCs w:val="0"/>
          <w:color w:val="auto"/>
          <w:sz w:val="28"/>
          <w:szCs w:val="28"/>
          <w:highlight w:val="none"/>
          <w:lang w:eastAsia="zh-CN"/>
        </w:rPr>
        <w:t>投标</w:t>
      </w:r>
      <w:r>
        <w:rPr>
          <w:rFonts w:hint="eastAsia" w:ascii="仿宋" w:hAnsi="仿宋" w:eastAsia="仿宋" w:cs="仿宋"/>
          <w:color w:val="auto"/>
          <w:sz w:val="28"/>
          <w:szCs w:val="28"/>
          <w:highlight w:val="none"/>
        </w:rPr>
        <w:t>保证金将不予退还：</w:t>
      </w:r>
    </w:p>
    <w:p>
      <w:pPr>
        <w:shd w:val="clear"/>
        <w:wordWrap w:val="0"/>
        <w:spacing w:line="360" w:lineRule="auto"/>
        <w:ind w:firstLine="470" w:firstLineChars="16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（1）供应商在规定的</w:t>
      </w:r>
      <w:r>
        <w:rPr>
          <w:rFonts w:hint="eastAsia" w:ascii="仿宋" w:hAnsi="仿宋" w:eastAsia="仿宋" w:cs="仿宋"/>
          <w:color w:val="auto"/>
          <w:sz w:val="28"/>
          <w:szCs w:val="28"/>
          <w:highlight w:val="none"/>
          <w:lang w:eastAsia="zh-CN"/>
        </w:rPr>
        <w:t>招标</w:t>
      </w:r>
      <w:r>
        <w:rPr>
          <w:rFonts w:hint="eastAsia" w:ascii="仿宋" w:hAnsi="仿宋" w:eastAsia="仿宋" w:cs="仿宋"/>
          <w:color w:val="auto"/>
          <w:sz w:val="28"/>
          <w:szCs w:val="28"/>
          <w:highlight w:val="none"/>
        </w:rPr>
        <w:t>有效期内撤销其</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文件的；</w:t>
      </w:r>
    </w:p>
    <w:p>
      <w:pPr>
        <w:shd w:val="clear"/>
        <w:wordWrap w:val="0"/>
        <w:spacing w:line="360" w:lineRule="auto"/>
        <w:ind w:firstLine="470" w:firstLineChars="16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（2）供应商在</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文件中提供虚假材料的；</w:t>
      </w:r>
    </w:p>
    <w:p>
      <w:pPr>
        <w:shd w:val="clear"/>
        <w:wordWrap w:val="0"/>
        <w:spacing w:line="360" w:lineRule="auto"/>
        <w:ind w:firstLine="470" w:firstLineChars="16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（3）中标人在收到中标通知书后，无正当理由拒不与采购人签订政府采购合同，或未按</w:t>
      </w:r>
      <w:r>
        <w:rPr>
          <w:rFonts w:hint="eastAsia" w:ascii="仿宋" w:hAnsi="仿宋" w:eastAsia="仿宋" w:cs="仿宋"/>
          <w:color w:val="auto"/>
          <w:sz w:val="28"/>
          <w:szCs w:val="28"/>
          <w:highlight w:val="none"/>
          <w:lang w:eastAsia="zh-CN"/>
        </w:rPr>
        <w:t>招标</w:t>
      </w:r>
      <w:r>
        <w:rPr>
          <w:rFonts w:hint="eastAsia" w:ascii="仿宋" w:hAnsi="仿宋" w:eastAsia="仿宋" w:cs="仿宋"/>
          <w:color w:val="auto"/>
          <w:sz w:val="28"/>
          <w:szCs w:val="28"/>
          <w:highlight w:val="none"/>
        </w:rPr>
        <w:t>文件规定提交履约保证金；</w:t>
      </w:r>
    </w:p>
    <w:p>
      <w:pPr>
        <w:shd w:val="clear"/>
        <w:wordWrap w:val="0"/>
        <w:spacing w:line="360" w:lineRule="auto"/>
        <w:ind w:firstLine="470" w:firstLineChars="16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（4）供应商与采购人、其他供应商或者采购代理机构恶意串通的。</w:t>
      </w:r>
    </w:p>
    <w:p>
      <w:pPr>
        <w:shd w:val="clear"/>
        <w:wordWrap w:val="0"/>
        <w:spacing w:line="360" w:lineRule="auto"/>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3.6 </w:t>
      </w:r>
      <w:r>
        <w:rPr>
          <w:rFonts w:hint="eastAsia" w:ascii="仿宋" w:hAnsi="仿宋" w:eastAsia="仿宋" w:cs="仿宋"/>
          <w:b/>
          <w:color w:val="auto"/>
          <w:sz w:val="28"/>
          <w:szCs w:val="28"/>
          <w:highlight w:val="none"/>
          <w:lang w:eastAsia="zh-CN"/>
        </w:rPr>
        <w:t>投标</w:t>
      </w:r>
      <w:r>
        <w:rPr>
          <w:rFonts w:hint="eastAsia" w:ascii="仿宋" w:hAnsi="仿宋" w:eastAsia="仿宋" w:cs="仿宋"/>
          <w:b/>
          <w:color w:val="auto"/>
          <w:sz w:val="28"/>
          <w:szCs w:val="28"/>
          <w:highlight w:val="none"/>
        </w:rPr>
        <w:t>文件的编制</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3.6.1</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文件的份数：详见供应商须知前附表。</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3.6.2 </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文件的编制：详见供应商须知前附表。</w:t>
      </w:r>
    </w:p>
    <w:p>
      <w:pPr>
        <w:shd w:val="clear"/>
        <w:wordWrap w:val="0"/>
        <w:spacing w:line="360" w:lineRule="auto"/>
        <w:ind w:firstLine="560" w:firstLineChars="200"/>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3.6.3 </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文件签字盖章的要求</w:t>
      </w:r>
      <w:r>
        <w:rPr>
          <w:rFonts w:hint="eastAsia" w:ascii="仿宋" w:hAnsi="仿宋" w:eastAsia="仿宋" w:cs="仿宋"/>
          <w:bCs/>
          <w:color w:val="auto"/>
          <w:sz w:val="28"/>
          <w:szCs w:val="28"/>
          <w:highlight w:val="none"/>
        </w:rPr>
        <w:t>：详见供应商须知前附表。</w:t>
      </w:r>
    </w:p>
    <w:p>
      <w:pPr>
        <w:shd w:val="clear"/>
        <w:wordWrap w:val="0"/>
        <w:spacing w:line="360" w:lineRule="auto"/>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3.7 </w:t>
      </w:r>
      <w:r>
        <w:rPr>
          <w:rFonts w:hint="eastAsia" w:ascii="仿宋" w:hAnsi="仿宋" w:eastAsia="仿宋" w:cs="仿宋"/>
          <w:b/>
          <w:bCs/>
          <w:color w:val="auto"/>
          <w:sz w:val="28"/>
          <w:szCs w:val="28"/>
          <w:highlight w:val="none"/>
          <w:lang w:eastAsia="zh-CN"/>
        </w:rPr>
        <w:t>投标</w:t>
      </w:r>
      <w:r>
        <w:rPr>
          <w:rFonts w:hint="eastAsia" w:ascii="仿宋" w:hAnsi="仿宋" w:eastAsia="仿宋" w:cs="仿宋"/>
          <w:b/>
          <w:color w:val="auto"/>
          <w:sz w:val="28"/>
          <w:szCs w:val="28"/>
          <w:highlight w:val="none"/>
        </w:rPr>
        <w:t>文件的提交</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3.7.1 </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文件提交的截止时间和地点：</w:t>
      </w:r>
      <w:r>
        <w:rPr>
          <w:rFonts w:hint="eastAsia" w:ascii="仿宋" w:hAnsi="仿宋" w:eastAsia="仿宋" w:cs="仿宋"/>
          <w:bCs/>
          <w:color w:val="auto"/>
          <w:sz w:val="28"/>
          <w:szCs w:val="28"/>
          <w:highlight w:val="none"/>
        </w:rPr>
        <w:t>详</w:t>
      </w:r>
      <w:r>
        <w:rPr>
          <w:rFonts w:hint="eastAsia" w:ascii="仿宋" w:hAnsi="仿宋" w:eastAsia="仿宋" w:cs="仿宋"/>
          <w:color w:val="auto"/>
          <w:sz w:val="28"/>
          <w:szCs w:val="28"/>
          <w:highlight w:val="none"/>
        </w:rPr>
        <w:t>见供应商须知前附表，供应商应在规定的</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文件提交的截止时间前提交</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3.7.2 供应商所提交的</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文件不予退还。</w:t>
      </w:r>
    </w:p>
    <w:p>
      <w:pPr>
        <w:shd w:val="clear"/>
        <w:wordWrap w:val="0"/>
        <w:spacing w:line="360" w:lineRule="auto"/>
        <w:ind w:firstLine="562" w:firstLineChars="20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3.8</w:t>
      </w:r>
      <w:r>
        <w:rPr>
          <w:rFonts w:hint="eastAsia" w:ascii="仿宋" w:hAnsi="仿宋" w:eastAsia="仿宋" w:cs="仿宋"/>
          <w:b/>
          <w:bCs/>
          <w:color w:val="auto"/>
          <w:sz w:val="28"/>
          <w:szCs w:val="28"/>
          <w:highlight w:val="none"/>
          <w:lang w:eastAsia="zh-CN"/>
        </w:rPr>
        <w:t>投标</w:t>
      </w:r>
      <w:r>
        <w:rPr>
          <w:rFonts w:hint="eastAsia" w:ascii="仿宋" w:hAnsi="仿宋" w:eastAsia="仿宋" w:cs="仿宋"/>
          <w:b/>
          <w:bCs/>
          <w:color w:val="auto"/>
          <w:sz w:val="28"/>
          <w:szCs w:val="28"/>
          <w:highlight w:val="none"/>
        </w:rPr>
        <w:t>文件的补充、修改及撤回</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3.8.1供应商在</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截止时间前，供应商可以补充、修改或者撤回已在网上提交的</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3.8.2补充、修改的</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文件应按照本章附件1“电子投标文件编制及报送要求”规定进行编制和提交。</w:t>
      </w:r>
    </w:p>
    <w:p>
      <w:pPr>
        <w:pStyle w:val="25"/>
        <w:keepNext w:val="0"/>
        <w:keepLines w:val="0"/>
        <w:shd w:val="clear"/>
        <w:wordWrap w:val="0"/>
        <w:spacing w:before="0" w:after="0" w:line="360" w:lineRule="auto"/>
        <w:ind w:firstLine="557" w:firstLineChars="198"/>
        <w:jc w:val="both"/>
        <w:rPr>
          <w:rFonts w:hint="eastAsia" w:ascii="仿宋" w:hAnsi="仿宋" w:eastAsia="仿宋" w:cs="仿宋"/>
          <w:color w:val="auto"/>
          <w:sz w:val="28"/>
          <w:szCs w:val="28"/>
          <w:highlight w:val="none"/>
        </w:rPr>
      </w:pPr>
      <w:bookmarkStart w:id="43" w:name="_Toc28692"/>
      <w:bookmarkStart w:id="44" w:name="_Toc18434"/>
      <w:bookmarkStart w:id="45" w:name="_Toc21218"/>
      <w:bookmarkStart w:id="46" w:name="_Toc5637"/>
      <w:bookmarkStart w:id="47" w:name="_Toc740"/>
      <w:bookmarkStart w:id="48" w:name="_Toc10277"/>
      <w:bookmarkStart w:id="49" w:name="_Toc21456"/>
      <w:bookmarkStart w:id="50" w:name="_Toc21417"/>
      <w:bookmarkStart w:id="51" w:name="_Toc15076"/>
      <w:bookmarkStart w:id="52" w:name="_Toc8212"/>
      <w:bookmarkStart w:id="53" w:name="_Toc27041"/>
      <w:r>
        <w:rPr>
          <w:rFonts w:hint="eastAsia" w:ascii="仿宋" w:hAnsi="仿宋" w:eastAsia="仿宋" w:cs="仿宋"/>
          <w:color w:val="auto"/>
          <w:sz w:val="28"/>
          <w:szCs w:val="28"/>
          <w:highlight w:val="none"/>
        </w:rPr>
        <w:t>4.开标</w:t>
      </w:r>
      <w:bookmarkEnd w:id="43"/>
      <w:bookmarkEnd w:id="44"/>
      <w:bookmarkEnd w:id="45"/>
    </w:p>
    <w:p>
      <w:pPr>
        <w:shd w:val="clear"/>
        <w:wordWrap w:val="0"/>
        <w:spacing w:line="360" w:lineRule="auto"/>
        <w:ind w:firstLine="560" w:firstLineChars="200"/>
        <w:rPr>
          <w:rFonts w:hint="eastAsia" w:ascii="仿宋" w:hAnsi="仿宋" w:eastAsia="仿宋" w:cs="仿宋"/>
          <w:bCs/>
          <w:color w:val="auto"/>
          <w:sz w:val="28"/>
          <w:szCs w:val="28"/>
          <w:highlight w:val="none"/>
        </w:rPr>
      </w:pPr>
      <w:bookmarkStart w:id="54" w:name="_Toc300834981"/>
      <w:bookmarkStart w:id="55" w:name="_Toc152042336"/>
      <w:bookmarkStart w:id="56" w:name="_Toc144974528"/>
      <w:bookmarkStart w:id="57" w:name="_Toc247527585"/>
      <w:bookmarkStart w:id="58" w:name="_Toc247513984"/>
      <w:bookmarkStart w:id="59" w:name="_Toc152045560"/>
      <w:r>
        <w:rPr>
          <w:rFonts w:hint="eastAsia" w:ascii="仿宋" w:hAnsi="仿宋" w:eastAsia="仿宋" w:cs="仿宋"/>
          <w:bCs/>
          <w:color w:val="auto"/>
          <w:sz w:val="28"/>
          <w:szCs w:val="28"/>
          <w:highlight w:val="none"/>
        </w:rPr>
        <w:t>4.1</w:t>
      </w:r>
      <w:bookmarkEnd w:id="54"/>
      <w:bookmarkEnd w:id="55"/>
      <w:bookmarkEnd w:id="56"/>
      <w:bookmarkEnd w:id="57"/>
      <w:bookmarkEnd w:id="58"/>
      <w:bookmarkEnd w:id="59"/>
      <w:r>
        <w:rPr>
          <w:rFonts w:hint="eastAsia" w:ascii="仿宋" w:hAnsi="仿宋" w:eastAsia="仿宋" w:cs="仿宋"/>
          <w:bCs/>
          <w:color w:val="auto"/>
          <w:sz w:val="28"/>
          <w:szCs w:val="28"/>
          <w:highlight w:val="none"/>
        </w:rPr>
        <w:t>采购人在供应商须知前附表规定的开标时间和开标地点公开开标。</w:t>
      </w:r>
    </w:p>
    <w:p>
      <w:pPr>
        <w:pStyle w:val="2"/>
        <w:shd w:val="clear"/>
        <w:wordWrap w:val="0"/>
        <w:spacing w:line="360" w:lineRule="auto"/>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4.2开标方式</w:t>
      </w:r>
    </w:p>
    <w:p>
      <w:pPr>
        <w:shd w:val="clear"/>
        <w:wordWrap w:val="0"/>
        <w:spacing w:line="360" w:lineRule="auto"/>
        <w:ind w:firstLine="560" w:firstLineChars="200"/>
        <w:rPr>
          <w:rFonts w:hint="eastAsia" w:ascii="仿宋" w:hAnsi="仿宋" w:eastAsia="仿宋" w:cs="仿宋"/>
          <w:bCs/>
          <w:color w:val="auto"/>
          <w:sz w:val="28"/>
          <w:szCs w:val="28"/>
          <w:highlight w:val="none"/>
          <w:lang w:val="en-US" w:eastAsia="zh-CN"/>
        </w:rPr>
      </w:pPr>
      <w:bookmarkStart w:id="60" w:name="_Toc152042337"/>
      <w:bookmarkStart w:id="61" w:name="_Toc247513985"/>
      <w:bookmarkStart w:id="62" w:name="_Toc247527586"/>
      <w:bookmarkStart w:id="63" w:name="_Toc144974529"/>
      <w:bookmarkStart w:id="64" w:name="_Toc152045561"/>
      <w:bookmarkStart w:id="65" w:name="_Toc300834982"/>
      <w:r>
        <w:rPr>
          <w:rFonts w:hint="eastAsia" w:ascii="仿宋" w:hAnsi="仿宋" w:eastAsia="仿宋" w:cs="仿宋"/>
          <w:bCs/>
          <w:color w:val="auto"/>
          <w:sz w:val="28"/>
          <w:szCs w:val="28"/>
          <w:highlight w:val="none"/>
          <w:lang w:val="en-US" w:eastAsia="zh-CN"/>
        </w:rPr>
        <w:t>网上开标</w:t>
      </w:r>
    </w:p>
    <w:bookmarkEnd w:id="60"/>
    <w:bookmarkEnd w:id="61"/>
    <w:bookmarkEnd w:id="62"/>
    <w:bookmarkEnd w:id="63"/>
    <w:bookmarkEnd w:id="64"/>
    <w:bookmarkEnd w:id="65"/>
    <w:p>
      <w:pPr>
        <w:pStyle w:val="25"/>
        <w:keepNext w:val="0"/>
        <w:keepLines w:val="0"/>
        <w:shd w:val="clear"/>
        <w:wordWrap w:val="0"/>
        <w:spacing w:before="0" w:after="0" w:line="360" w:lineRule="auto"/>
        <w:ind w:firstLine="562" w:firstLineChars="200"/>
        <w:jc w:val="both"/>
        <w:rPr>
          <w:rFonts w:hint="eastAsia" w:ascii="仿宋" w:hAnsi="仿宋" w:eastAsia="仿宋" w:cs="仿宋"/>
          <w:color w:val="auto"/>
          <w:sz w:val="28"/>
          <w:szCs w:val="28"/>
          <w:highlight w:val="none"/>
        </w:rPr>
      </w:pPr>
      <w:bookmarkStart w:id="66" w:name="_Toc24997"/>
      <w:bookmarkStart w:id="67" w:name="_Toc11032"/>
      <w:bookmarkStart w:id="68" w:name="_Toc9300"/>
      <w:bookmarkStart w:id="69" w:name="_Toc420767690"/>
      <w:r>
        <w:rPr>
          <w:rFonts w:hint="eastAsia" w:ascii="仿宋" w:hAnsi="仿宋" w:eastAsia="仿宋" w:cs="仿宋"/>
          <w:color w:val="auto"/>
          <w:sz w:val="28"/>
          <w:szCs w:val="28"/>
          <w:highlight w:val="none"/>
        </w:rPr>
        <w:t>5.资格审查</w:t>
      </w:r>
      <w:bookmarkEnd w:id="66"/>
      <w:bookmarkEnd w:id="67"/>
      <w:bookmarkEnd w:id="68"/>
    </w:p>
    <w:p>
      <w:pPr>
        <w:pStyle w:val="25"/>
        <w:keepNext w:val="0"/>
        <w:keepLines w:val="0"/>
        <w:shd w:val="clear"/>
        <w:wordWrap w:val="0"/>
        <w:spacing w:before="0" w:after="0" w:line="360" w:lineRule="auto"/>
        <w:ind w:firstLine="562"/>
        <w:jc w:val="both"/>
        <w:outlineLvl w:val="9"/>
        <w:rPr>
          <w:rFonts w:hint="eastAsia" w:ascii="仿宋" w:hAnsi="仿宋" w:eastAsia="仿宋" w:cs="仿宋"/>
          <w:b w:val="0"/>
          <w:bCs w:val="0"/>
          <w:color w:val="auto"/>
          <w:sz w:val="28"/>
          <w:szCs w:val="28"/>
          <w:highlight w:val="none"/>
        </w:rPr>
      </w:pPr>
      <w:bookmarkStart w:id="70" w:name="_Toc13528"/>
      <w:bookmarkStart w:id="71" w:name="_Toc7764"/>
      <w:bookmarkStart w:id="72" w:name="_Toc5101"/>
      <w:r>
        <w:rPr>
          <w:rFonts w:hint="eastAsia" w:ascii="仿宋" w:hAnsi="仿宋" w:eastAsia="仿宋" w:cs="仿宋"/>
          <w:b w:val="0"/>
          <w:bCs w:val="0"/>
          <w:color w:val="auto"/>
          <w:sz w:val="28"/>
          <w:szCs w:val="28"/>
          <w:highlight w:val="none"/>
        </w:rPr>
        <w:t>5.1 开标结束后，采购人或采购代理机构按照</w:t>
      </w:r>
      <w:r>
        <w:rPr>
          <w:rFonts w:hint="eastAsia" w:ascii="仿宋" w:hAnsi="仿宋" w:eastAsia="仿宋" w:cs="仿宋"/>
          <w:b w:val="0"/>
          <w:bCs w:val="0"/>
          <w:color w:val="auto"/>
          <w:sz w:val="28"/>
          <w:szCs w:val="28"/>
          <w:highlight w:val="none"/>
          <w:lang w:eastAsia="zh-CN"/>
        </w:rPr>
        <w:t>招标</w:t>
      </w:r>
      <w:r>
        <w:rPr>
          <w:rFonts w:hint="eastAsia" w:ascii="仿宋" w:hAnsi="仿宋" w:eastAsia="仿宋" w:cs="仿宋"/>
          <w:b w:val="0"/>
          <w:bCs w:val="0"/>
          <w:color w:val="auto"/>
          <w:sz w:val="28"/>
          <w:szCs w:val="28"/>
          <w:highlight w:val="none"/>
        </w:rPr>
        <w:t>文件</w:t>
      </w:r>
      <w:r>
        <w:rPr>
          <w:rFonts w:hint="eastAsia" w:ascii="仿宋" w:hAnsi="仿宋" w:eastAsia="仿宋" w:cs="仿宋"/>
          <w:b w:val="0"/>
          <w:color w:val="auto"/>
          <w:kern w:val="1"/>
          <w:sz w:val="28"/>
          <w:szCs w:val="28"/>
          <w:highlight w:val="none"/>
        </w:rPr>
        <w:t>第三章第一节“</w:t>
      </w:r>
      <w:r>
        <w:rPr>
          <w:rFonts w:hint="eastAsia" w:ascii="仿宋" w:hAnsi="仿宋" w:eastAsia="仿宋" w:cs="仿宋"/>
          <w:b w:val="0"/>
          <w:bCs w:val="0"/>
          <w:color w:val="auto"/>
          <w:sz w:val="28"/>
          <w:szCs w:val="28"/>
          <w:highlight w:val="none"/>
        </w:rPr>
        <w:t>资格审查办法</w:t>
      </w:r>
      <w:r>
        <w:rPr>
          <w:rFonts w:hint="eastAsia" w:ascii="仿宋" w:hAnsi="仿宋" w:eastAsia="仿宋" w:cs="仿宋"/>
          <w:b w:val="0"/>
          <w:color w:val="auto"/>
          <w:kern w:val="1"/>
          <w:sz w:val="28"/>
          <w:szCs w:val="28"/>
          <w:highlight w:val="none"/>
        </w:rPr>
        <w:t>”</w:t>
      </w:r>
      <w:r>
        <w:rPr>
          <w:rFonts w:hint="eastAsia" w:ascii="仿宋" w:hAnsi="仿宋" w:eastAsia="仿宋" w:cs="仿宋"/>
          <w:b w:val="0"/>
          <w:bCs w:val="0"/>
          <w:color w:val="auto"/>
          <w:sz w:val="28"/>
          <w:szCs w:val="28"/>
          <w:highlight w:val="none"/>
        </w:rPr>
        <w:t>对供应商的资格进行审查。</w:t>
      </w:r>
      <w:bookmarkEnd w:id="70"/>
      <w:bookmarkEnd w:id="71"/>
      <w:bookmarkEnd w:id="72"/>
    </w:p>
    <w:p>
      <w:pPr>
        <w:pStyle w:val="25"/>
        <w:keepNext w:val="0"/>
        <w:keepLines w:val="0"/>
        <w:shd w:val="clear"/>
        <w:wordWrap w:val="0"/>
        <w:spacing w:before="0" w:after="0" w:line="360" w:lineRule="auto"/>
        <w:ind w:firstLine="562"/>
        <w:jc w:val="both"/>
        <w:outlineLvl w:val="9"/>
        <w:rPr>
          <w:rFonts w:hint="eastAsia" w:ascii="仿宋" w:hAnsi="仿宋" w:eastAsia="仿宋" w:cs="仿宋"/>
          <w:b w:val="0"/>
          <w:bCs w:val="0"/>
          <w:color w:val="auto"/>
          <w:sz w:val="28"/>
          <w:szCs w:val="28"/>
          <w:highlight w:val="none"/>
        </w:rPr>
      </w:pPr>
      <w:bookmarkStart w:id="73" w:name="_Toc121"/>
      <w:bookmarkStart w:id="74" w:name="_Toc19460"/>
      <w:bookmarkStart w:id="75" w:name="_Toc29078"/>
      <w:r>
        <w:rPr>
          <w:rFonts w:hint="eastAsia" w:ascii="仿宋" w:hAnsi="仿宋" w:eastAsia="仿宋" w:cs="仿宋"/>
          <w:b w:val="0"/>
          <w:bCs w:val="0"/>
          <w:color w:val="auto"/>
          <w:sz w:val="28"/>
          <w:szCs w:val="28"/>
          <w:highlight w:val="none"/>
        </w:rPr>
        <w:t>5.2 采购人或采购代理机构完成资格审查后，提交资格审查报告。</w:t>
      </w:r>
      <w:bookmarkEnd w:id="73"/>
      <w:bookmarkEnd w:id="74"/>
      <w:bookmarkEnd w:id="75"/>
    </w:p>
    <w:p>
      <w:pPr>
        <w:pStyle w:val="25"/>
        <w:keepNext w:val="0"/>
        <w:keepLines w:val="0"/>
        <w:shd w:val="clear"/>
        <w:wordWrap w:val="0"/>
        <w:spacing w:before="0" w:after="0" w:line="360" w:lineRule="auto"/>
        <w:ind w:firstLine="562"/>
        <w:jc w:val="both"/>
        <w:rPr>
          <w:rFonts w:hint="eastAsia" w:ascii="仿宋" w:hAnsi="仿宋" w:eastAsia="仿宋" w:cs="仿宋"/>
          <w:color w:val="auto"/>
          <w:sz w:val="28"/>
          <w:szCs w:val="28"/>
          <w:highlight w:val="none"/>
        </w:rPr>
      </w:pPr>
      <w:bookmarkStart w:id="76" w:name="_Toc10652"/>
      <w:bookmarkStart w:id="77" w:name="_Toc19275"/>
      <w:bookmarkStart w:id="78" w:name="_Toc17117"/>
      <w:bookmarkStart w:id="79" w:name="_Toc27916"/>
      <w:bookmarkStart w:id="80" w:name="_Toc17009861"/>
      <w:bookmarkStart w:id="81" w:name="_Toc153009368"/>
      <w:bookmarkStart w:id="82" w:name="_Toc25152"/>
      <w:bookmarkStart w:id="83" w:name="_Toc532"/>
      <w:r>
        <w:rPr>
          <w:rFonts w:hint="eastAsia" w:ascii="仿宋" w:hAnsi="仿宋" w:eastAsia="仿宋" w:cs="仿宋"/>
          <w:color w:val="auto"/>
          <w:sz w:val="28"/>
          <w:szCs w:val="28"/>
          <w:highlight w:val="none"/>
        </w:rPr>
        <w:t>6.评标</w:t>
      </w:r>
      <w:bookmarkEnd w:id="76"/>
      <w:bookmarkEnd w:id="77"/>
      <w:bookmarkEnd w:id="78"/>
    </w:p>
    <w:p>
      <w:pPr>
        <w:shd w:val="clear"/>
        <w:wordWrap w:val="0"/>
        <w:spacing w:line="360" w:lineRule="auto"/>
        <w:ind w:firstLine="560"/>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6.1 评标委员会</w:t>
      </w:r>
    </w:p>
    <w:p>
      <w:pPr>
        <w:shd w:val="clear"/>
        <w:wordWrap w:val="0"/>
        <w:spacing w:line="360" w:lineRule="auto"/>
        <w:ind w:firstLine="560"/>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6.1.1 评标委员会由相关专家和采购人代表在开标前依法组建，本采购项目评标委员会构成:5人以上（含5人）单数。</w:t>
      </w:r>
    </w:p>
    <w:p>
      <w:pPr>
        <w:shd w:val="clear"/>
        <w:wordWrap w:val="0"/>
        <w:spacing w:line="360" w:lineRule="auto"/>
        <w:ind w:firstLine="560"/>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6.1.2 评标委员会成员与参加采购活动的供应商存在下列利害关系之一的，应当回避:</w:t>
      </w:r>
    </w:p>
    <w:p>
      <w:pPr>
        <w:shd w:val="clear"/>
        <w:wordWrap w:val="0"/>
        <w:spacing w:line="360" w:lineRule="auto"/>
        <w:ind w:firstLine="560"/>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(1)参加采购活动前三年内，与供应商存在劳动关系，或者担任过供应商的董事、监事，或者是供应商的控股股东或实际控制人。</w:t>
      </w:r>
    </w:p>
    <w:p>
      <w:pPr>
        <w:shd w:val="clear"/>
        <w:wordWrap w:val="0"/>
        <w:spacing w:line="360" w:lineRule="auto"/>
        <w:ind w:firstLine="560"/>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(2)与供应商的法定代表人或者负责人有夫妻、直系血亲、三代以内旁系血亲或者近姻亲关系。</w:t>
      </w:r>
    </w:p>
    <w:p>
      <w:pPr>
        <w:shd w:val="clear"/>
        <w:wordWrap w:val="0"/>
        <w:spacing w:line="360" w:lineRule="auto"/>
        <w:ind w:firstLine="560"/>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(3)与供应商有其他可能影响政府采购活动公平、公正进行的关系。</w:t>
      </w:r>
    </w:p>
    <w:p>
      <w:pPr>
        <w:shd w:val="clear"/>
        <w:wordWrap w:val="0"/>
        <w:spacing w:line="360" w:lineRule="auto"/>
        <w:ind w:firstLine="560"/>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评标委员会成员发现本人与参加采购活动的供应商有利害关系的，应当主动提出回避。采购人或者采购代理机构发现评标委员会成员与参加采购活动的供应商有利害关系的，应当要求其回避。</w:t>
      </w:r>
    </w:p>
    <w:p>
      <w:pPr>
        <w:shd w:val="clear"/>
        <w:wordWrap w:val="0"/>
        <w:spacing w:line="360" w:lineRule="auto"/>
        <w:ind w:firstLine="560"/>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6.1.3 评标中因评标委员会成员缺席、回避或者健康等特殊原因导致评标委员会组成不符合招标文件规定的，采购人或者采购代理机构应当按规定补足后继续评标。被更换的评标委员会成员所作出的评标意见无效。无法及时补足评标委员会成员的，采购人或者采购代理机构应当停止评标活动，封存所有投标文件和开标、评标资料，重新组建评标委员会进行评标。原评标委员会所作出的评标意见无效。采购人或者采购代理机构应当将变更、重新组建评标委员会的情况予以记录，并随招标文件一并存档。</w:t>
      </w:r>
    </w:p>
    <w:p>
      <w:pPr>
        <w:shd w:val="clear"/>
        <w:wordWrap w:val="0"/>
        <w:spacing w:line="360" w:lineRule="auto"/>
        <w:ind w:firstLine="560" w:firstLineChars="20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6.1.4 </w:t>
      </w:r>
      <w:r>
        <w:rPr>
          <w:rFonts w:hint="eastAsia" w:ascii="仿宋" w:hAnsi="仿宋" w:eastAsia="仿宋" w:cs="仿宋"/>
          <w:bCs/>
          <w:color w:val="auto"/>
          <w:sz w:val="28"/>
          <w:szCs w:val="28"/>
          <w:highlight w:val="none"/>
        </w:rPr>
        <w:t>评标委员会负责具体评标事务，并独立履行下列职责：</w:t>
      </w:r>
    </w:p>
    <w:p>
      <w:pPr>
        <w:numPr>
          <w:ilvl w:val="0"/>
          <w:numId w:val="3"/>
        </w:numPr>
        <w:shd w:val="clear"/>
        <w:tabs>
          <w:tab w:val="left" w:pos="1050"/>
        </w:tabs>
        <w:wordWrap w:val="0"/>
        <w:spacing w:line="360" w:lineRule="auto"/>
        <w:ind w:left="560" w:firstLine="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审查、评价投标文件是否符合招标文件的实质性要求。</w:t>
      </w:r>
    </w:p>
    <w:p>
      <w:pPr>
        <w:numPr>
          <w:ilvl w:val="0"/>
          <w:numId w:val="3"/>
        </w:numPr>
        <w:shd w:val="clear"/>
        <w:tabs>
          <w:tab w:val="left" w:pos="1050"/>
        </w:tabs>
        <w:wordWrap w:val="0"/>
        <w:spacing w:line="360" w:lineRule="auto"/>
        <w:ind w:left="560" w:firstLine="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要求供应商对投标文件有关事项作出澄清或者说明。</w:t>
      </w:r>
    </w:p>
    <w:p>
      <w:pPr>
        <w:numPr>
          <w:ilvl w:val="0"/>
          <w:numId w:val="3"/>
        </w:numPr>
        <w:shd w:val="clear"/>
        <w:tabs>
          <w:tab w:val="left" w:pos="1050"/>
        </w:tabs>
        <w:wordWrap w:val="0"/>
        <w:spacing w:line="360" w:lineRule="auto"/>
        <w:ind w:left="560" w:firstLine="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对投标文件进行比较和评价。</w:t>
      </w:r>
    </w:p>
    <w:p>
      <w:pPr>
        <w:numPr>
          <w:ilvl w:val="0"/>
          <w:numId w:val="3"/>
        </w:numPr>
        <w:shd w:val="clear"/>
        <w:tabs>
          <w:tab w:val="left" w:pos="1050"/>
        </w:tabs>
        <w:wordWrap w:val="0"/>
        <w:spacing w:line="360" w:lineRule="auto"/>
        <w:ind w:left="560" w:firstLine="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确定中标候选人名单。</w:t>
      </w:r>
    </w:p>
    <w:p>
      <w:pPr>
        <w:numPr>
          <w:ilvl w:val="0"/>
          <w:numId w:val="3"/>
        </w:numPr>
        <w:shd w:val="clear"/>
        <w:tabs>
          <w:tab w:val="left" w:pos="1050"/>
        </w:tabs>
        <w:wordWrap w:val="0"/>
        <w:spacing w:line="360" w:lineRule="auto"/>
        <w:ind w:left="560" w:firstLine="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向采购人、采购代理机构或者有关部门报告评标中发现的行为。</w:t>
      </w:r>
    </w:p>
    <w:p>
      <w:pPr>
        <w:shd w:val="clear"/>
        <w:wordWrap w:val="0"/>
        <w:spacing w:line="360" w:lineRule="auto"/>
        <w:ind w:firstLine="560"/>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6.2 评标工作</w:t>
      </w:r>
    </w:p>
    <w:p>
      <w:pPr>
        <w:shd w:val="clear"/>
        <w:wordWrap w:val="0"/>
        <w:spacing w:line="360" w:lineRule="auto"/>
        <w:ind w:firstLine="560"/>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6.2.1 评标委员会按照第三章第二节“评标办法”规定的评标方法和程序、评审因素和标准对投标文件进行评审。第三章第二节“评标办法”没有规定的评标方法、评审因素和标准，不作为评标依据。</w:t>
      </w:r>
    </w:p>
    <w:p>
      <w:pPr>
        <w:pStyle w:val="8"/>
        <w:widowControl w:val="0"/>
        <w:shd w:val="clear"/>
        <w:wordWrap w:val="0"/>
        <w:spacing w:line="360" w:lineRule="auto"/>
        <w:ind w:firstLine="560" w:firstLineChars="200"/>
        <w:jc w:val="both"/>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6.2.2 评标完成后，评标委员会应向采购人提交书面评标报告。</w:t>
      </w:r>
    </w:p>
    <w:bookmarkEnd w:id="79"/>
    <w:bookmarkEnd w:id="80"/>
    <w:bookmarkEnd w:id="81"/>
    <w:bookmarkEnd w:id="82"/>
    <w:bookmarkEnd w:id="83"/>
    <w:p>
      <w:pPr>
        <w:pStyle w:val="25"/>
        <w:keepNext w:val="0"/>
        <w:keepLines w:val="0"/>
        <w:shd w:val="clear"/>
        <w:wordWrap w:val="0"/>
        <w:spacing w:before="0" w:after="0" w:line="360" w:lineRule="auto"/>
        <w:ind w:firstLine="557" w:firstLineChars="198"/>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7.无效投标情形</w:t>
      </w:r>
    </w:p>
    <w:p>
      <w:pPr>
        <w:shd w:val="clear"/>
        <w:wordWrap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7.1 </w:t>
      </w:r>
      <w:bookmarkStart w:id="84" w:name="_Hlk501027743"/>
      <w:r>
        <w:rPr>
          <w:rFonts w:hint="eastAsia" w:ascii="仿宋" w:hAnsi="仿宋" w:eastAsia="仿宋" w:cs="仿宋"/>
          <w:color w:val="auto"/>
          <w:sz w:val="28"/>
          <w:szCs w:val="28"/>
          <w:highlight w:val="none"/>
        </w:rPr>
        <w:t>不符合本招标文件第三章“资格审查办法和评标办法”中资格审查和符合性审查要求之一的，属于投标无效的情形。</w:t>
      </w:r>
      <w:bookmarkEnd w:id="84"/>
    </w:p>
    <w:p>
      <w:pPr>
        <w:pageBreakBefore w:val="0"/>
        <w:kinsoku/>
        <w:wordWrap/>
        <w:overflowPunct/>
        <w:topLinePunct w:val="0"/>
        <w:bidi w:val="0"/>
        <w:spacing w:line="580" w:lineRule="exact"/>
        <w:ind w:left="0" w:leftChars="0" w:right="0" w:rightChars="0" w:firstLine="560" w:firstLineChars="200"/>
        <w:rPr>
          <w:rFonts w:hint="default" w:ascii="宋体" w:hAnsi="宋体" w:eastAsia="仿宋_GB2312" w:cs="Times New Roman"/>
          <w:b/>
          <w:color w:val="FF0000"/>
          <w:sz w:val="28"/>
          <w:szCs w:val="28"/>
          <w:highlight w:val="none"/>
        </w:rPr>
      </w:pPr>
      <w:r>
        <w:rPr>
          <w:rFonts w:hint="eastAsia" w:ascii="仿宋" w:hAnsi="仿宋" w:eastAsia="仿宋" w:cs="仿宋"/>
          <w:color w:val="auto"/>
          <w:sz w:val="28"/>
          <w:szCs w:val="28"/>
          <w:highlight w:val="none"/>
        </w:rPr>
        <w:t xml:space="preserve">7.2 </w:t>
      </w:r>
      <w:r>
        <w:rPr>
          <w:rFonts w:hint="eastAsia" w:ascii="宋体" w:hAnsi="宋体" w:eastAsia="仿宋_GB2312" w:cs="Times New Roman"/>
          <w:b/>
          <w:color w:val="FF0000"/>
          <w:sz w:val="28"/>
          <w:szCs w:val="28"/>
          <w:highlight w:val="none"/>
          <w:lang w:val="en-US" w:eastAsia="zh-CN"/>
        </w:rPr>
        <w:t>政府采购异常低价审查</w:t>
      </w:r>
    </w:p>
    <w:p>
      <w:pPr>
        <w:pageBreakBefore w:val="0"/>
        <w:kinsoku/>
        <w:wordWrap/>
        <w:overflowPunct/>
        <w:topLinePunct w:val="0"/>
        <w:bidi w:val="0"/>
        <w:spacing w:line="580" w:lineRule="exact"/>
        <w:ind w:left="0" w:leftChars="0" w:right="0" w:rightChars="0" w:firstLine="560" w:firstLineChars="200"/>
        <w:rPr>
          <w:rFonts w:hint="default" w:ascii="Times New Roman" w:hAnsi="Times New Roman" w:eastAsia="仿宋_GB2312" w:cs="Times New Roman"/>
          <w:color w:val="FF0000"/>
          <w:sz w:val="28"/>
          <w:szCs w:val="28"/>
          <w:highlight w:val="none"/>
          <w:lang w:val="en-US" w:eastAsia="zh-CN"/>
        </w:rPr>
      </w:pPr>
      <w:r>
        <w:rPr>
          <w:rFonts w:hint="eastAsia" w:ascii="Times New Roman" w:hAnsi="Times New Roman" w:eastAsia="仿宋_GB2312" w:cs="Times New Roman"/>
          <w:color w:val="FF0000"/>
          <w:sz w:val="28"/>
          <w:szCs w:val="28"/>
          <w:highlight w:val="none"/>
          <w:lang w:val="en-US" w:eastAsia="zh-CN"/>
        </w:rPr>
        <w:t>根据《</w:t>
      </w:r>
      <w:r>
        <w:rPr>
          <w:rFonts w:hint="default" w:ascii="Times New Roman" w:hAnsi="Times New Roman" w:eastAsia="仿宋_GB2312" w:cs="Times New Roman"/>
          <w:color w:val="FF0000"/>
          <w:sz w:val="28"/>
          <w:szCs w:val="28"/>
          <w:highlight w:val="none"/>
          <w:lang w:val="en-US" w:eastAsia="zh-CN"/>
        </w:rPr>
        <w:t>关于推动解决政府采购异常低价问题的通知</w:t>
      </w:r>
      <w:r>
        <w:rPr>
          <w:rFonts w:hint="eastAsia" w:ascii="Times New Roman" w:hAnsi="Times New Roman" w:eastAsia="仿宋_GB2312" w:cs="Times New Roman"/>
          <w:color w:val="FF0000"/>
          <w:sz w:val="28"/>
          <w:szCs w:val="28"/>
          <w:highlight w:val="none"/>
          <w:lang w:val="en-US" w:eastAsia="zh-CN"/>
        </w:rPr>
        <w:t>》（财库〔2026〕2号）</w:t>
      </w:r>
      <w:r>
        <w:rPr>
          <w:rFonts w:hint="eastAsia" w:eastAsia="仿宋_GB2312" w:cs="Times New Roman"/>
          <w:color w:val="FF0000"/>
          <w:sz w:val="28"/>
          <w:szCs w:val="28"/>
          <w:highlight w:val="none"/>
          <w:lang w:val="en-US" w:eastAsia="zh-CN"/>
        </w:rPr>
        <w:t>规定：</w:t>
      </w:r>
    </w:p>
    <w:p>
      <w:pPr>
        <w:pageBreakBefore w:val="0"/>
        <w:kinsoku/>
        <w:wordWrap/>
        <w:overflowPunct/>
        <w:topLinePunct w:val="0"/>
        <w:bidi w:val="0"/>
        <w:spacing w:line="580" w:lineRule="exact"/>
        <w:ind w:left="0" w:leftChars="0" w:right="0" w:rightChars="0" w:firstLine="560" w:firstLineChars="200"/>
        <w:rPr>
          <w:rFonts w:hint="default" w:ascii="Times New Roman" w:hAnsi="Times New Roman" w:eastAsia="仿宋_GB2312" w:cs="Times New Roman"/>
          <w:color w:val="FF0000"/>
          <w:sz w:val="28"/>
          <w:szCs w:val="28"/>
          <w:highlight w:val="none"/>
        </w:rPr>
      </w:pPr>
      <w:r>
        <w:rPr>
          <w:rFonts w:hint="eastAsia" w:ascii="Times New Roman" w:hAnsi="Times New Roman" w:eastAsia="仿宋_GB2312" w:cs="Times New Roman"/>
          <w:color w:val="FF0000"/>
          <w:sz w:val="28"/>
          <w:szCs w:val="28"/>
          <w:highlight w:val="none"/>
          <w:lang w:val="en-US" w:eastAsia="zh-CN"/>
        </w:rPr>
        <w:t>（一）政府采购评审中出现下列情形之一的，评审委员会应当启动异常低价投标（响应）审查程序：</w:t>
      </w:r>
    </w:p>
    <w:p>
      <w:pPr>
        <w:pageBreakBefore w:val="0"/>
        <w:kinsoku/>
        <w:wordWrap/>
        <w:overflowPunct/>
        <w:topLinePunct w:val="0"/>
        <w:bidi w:val="0"/>
        <w:spacing w:line="580" w:lineRule="exact"/>
        <w:ind w:left="0" w:leftChars="0" w:right="0" w:rightChars="0" w:firstLine="560" w:firstLineChars="200"/>
        <w:rPr>
          <w:rFonts w:hint="default" w:ascii="Times New Roman" w:hAnsi="Times New Roman" w:eastAsia="仿宋_GB2312" w:cs="Times New Roman"/>
          <w:color w:val="FF0000"/>
          <w:sz w:val="28"/>
          <w:szCs w:val="28"/>
          <w:highlight w:val="none"/>
        </w:rPr>
      </w:pPr>
      <w:r>
        <w:rPr>
          <w:rFonts w:hint="eastAsia" w:ascii="Times New Roman" w:hAnsi="Times New Roman" w:eastAsia="仿宋_GB2312" w:cs="Times New Roman"/>
          <w:color w:val="FF0000"/>
          <w:sz w:val="28"/>
          <w:szCs w:val="28"/>
          <w:highlight w:val="none"/>
          <w:lang w:val="en-US" w:eastAsia="zh-CN"/>
        </w:rPr>
        <w:t>1.投标（响应）报价低于全部通过符合性审查供应商投标（响应）报价平均值50%的，即投标（响应）报价&lt;全部通过符合性审查供应商投标（响应）报价平均值×50%；</w:t>
      </w:r>
    </w:p>
    <w:p>
      <w:pPr>
        <w:pageBreakBefore w:val="0"/>
        <w:kinsoku/>
        <w:wordWrap/>
        <w:overflowPunct/>
        <w:topLinePunct w:val="0"/>
        <w:bidi w:val="0"/>
        <w:spacing w:line="580" w:lineRule="exact"/>
        <w:ind w:left="0" w:leftChars="0" w:right="0" w:rightChars="0" w:firstLine="560" w:firstLineChars="200"/>
        <w:rPr>
          <w:rFonts w:hint="default" w:ascii="Times New Roman" w:hAnsi="Times New Roman" w:eastAsia="仿宋_GB2312" w:cs="Times New Roman"/>
          <w:color w:val="FF0000"/>
          <w:sz w:val="28"/>
          <w:szCs w:val="28"/>
          <w:highlight w:val="none"/>
        </w:rPr>
      </w:pPr>
      <w:r>
        <w:rPr>
          <w:rFonts w:hint="eastAsia" w:ascii="Times New Roman" w:hAnsi="Times New Roman" w:eastAsia="仿宋_GB2312" w:cs="Times New Roman"/>
          <w:color w:val="FF0000"/>
          <w:sz w:val="28"/>
          <w:szCs w:val="28"/>
          <w:highlight w:val="none"/>
          <w:lang w:val="en-US" w:eastAsia="zh-CN"/>
        </w:rPr>
        <w:t>2.投标（响应）报价低于通过符合性审查的次低报价供应商投标（响应）报价50%的，即投标（响应）报价&lt;通过符合性审查的次低报价供应商投标（响应）报价×50%；</w:t>
      </w:r>
    </w:p>
    <w:p>
      <w:pPr>
        <w:pageBreakBefore w:val="0"/>
        <w:kinsoku/>
        <w:wordWrap/>
        <w:overflowPunct/>
        <w:topLinePunct w:val="0"/>
        <w:bidi w:val="0"/>
        <w:spacing w:line="580" w:lineRule="exact"/>
        <w:ind w:left="0" w:leftChars="0" w:right="0" w:rightChars="0" w:firstLine="560" w:firstLineChars="200"/>
        <w:rPr>
          <w:rFonts w:hint="default" w:ascii="Times New Roman" w:hAnsi="Times New Roman" w:eastAsia="仿宋_GB2312" w:cs="Times New Roman"/>
          <w:color w:val="FF0000"/>
          <w:sz w:val="28"/>
          <w:szCs w:val="28"/>
          <w:highlight w:val="none"/>
        </w:rPr>
      </w:pPr>
      <w:r>
        <w:rPr>
          <w:rFonts w:hint="eastAsia" w:ascii="Times New Roman" w:hAnsi="Times New Roman" w:eastAsia="仿宋_GB2312" w:cs="Times New Roman"/>
          <w:color w:val="FF0000"/>
          <w:sz w:val="28"/>
          <w:szCs w:val="28"/>
          <w:highlight w:val="none"/>
          <w:lang w:val="en-US" w:eastAsia="zh-CN"/>
        </w:rPr>
        <w:t>3.投标（响应）报价低于采购项目最高限价45%的，即投标（响应）报价&lt;采购项目最高限价×45%；</w:t>
      </w:r>
    </w:p>
    <w:p>
      <w:pPr>
        <w:pageBreakBefore w:val="0"/>
        <w:kinsoku/>
        <w:wordWrap/>
        <w:overflowPunct/>
        <w:topLinePunct w:val="0"/>
        <w:bidi w:val="0"/>
        <w:spacing w:line="580" w:lineRule="exact"/>
        <w:ind w:left="0" w:leftChars="0" w:right="0" w:rightChars="0" w:firstLine="560" w:firstLineChars="200"/>
        <w:rPr>
          <w:rFonts w:hint="default" w:ascii="Times New Roman" w:hAnsi="Times New Roman" w:eastAsia="仿宋_GB2312" w:cs="Times New Roman"/>
          <w:color w:val="FF0000"/>
          <w:sz w:val="28"/>
          <w:szCs w:val="28"/>
          <w:highlight w:val="none"/>
        </w:rPr>
      </w:pPr>
      <w:r>
        <w:rPr>
          <w:rFonts w:hint="eastAsia" w:ascii="Times New Roman" w:hAnsi="Times New Roman" w:eastAsia="仿宋_GB2312" w:cs="Times New Roman"/>
          <w:color w:val="FF0000"/>
          <w:sz w:val="28"/>
          <w:szCs w:val="28"/>
          <w:highlight w:val="none"/>
          <w:lang w:val="en-US" w:eastAsia="zh-CN"/>
        </w:rPr>
        <w:t>4.评审委员会基于专业判断，认为供应商报价过低，有可能影响产品质量或者不能诚信履约的其他情形。</w:t>
      </w:r>
    </w:p>
    <w:p>
      <w:pPr>
        <w:pageBreakBefore w:val="0"/>
        <w:kinsoku/>
        <w:wordWrap/>
        <w:overflowPunct/>
        <w:topLinePunct w:val="0"/>
        <w:bidi w:val="0"/>
        <w:spacing w:line="580" w:lineRule="exact"/>
        <w:ind w:left="0" w:leftChars="0" w:right="0" w:rightChars="0" w:firstLine="560" w:firstLineChars="200"/>
        <w:rPr>
          <w:rFonts w:hint="default" w:ascii="Times New Roman" w:hAnsi="Times New Roman" w:eastAsia="仿宋_GB2312" w:cs="Times New Roman"/>
          <w:color w:val="FF0000"/>
          <w:sz w:val="28"/>
          <w:szCs w:val="28"/>
          <w:highlight w:val="none"/>
        </w:rPr>
      </w:pPr>
      <w:r>
        <w:rPr>
          <w:rFonts w:hint="eastAsia" w:ascii="Times New Roman" w:hAnsi="Times New Roman" w:eastAsia="仿宋_GB2312" w:cs="Times New Roman"/>
          <w:color w:val="FF0000"/>
          <w:sz w:val="28"/>
          <w:szCs w:val="28"/>
          <w:highlight w:val="none"/>
          <w:lang w:val="en-US" w:eastAsia="zh-CN"/>
        </w:rPr>
        <w:t>采购人可以结合具体项目实际情况，提高上述第1项至第3项中启动异常低价投标（响应）审查的数值标准，但是最高不得超过65%。</w:t>
      </w:r>
    </w:p>
    <w:p>
      <w:pPr>
        <w:pageBreakBefore w:val="0"/>
        <w:kinsoku/>
        <w:wordWrap/>
        <w:overflowPunct/>
        <w:topLinePunct w:val="0"/>
        <w:bidi w:val="0"/>
        <w:spacing w:line="580" w:lineRule="exact"/>
        <w:ind w:left="0" w:leftChars="0" w:right="0" w:rightChars="0" w:firstLine="560" w:firstLineChars="200"/>
        <w:rPr>
          <w:rFonts w:hint="default" w:ascii="Times New Roman" w:hAnsi="Times New Roman" w:eastAsia="仿宋_GB2312" w:cs="Times New Roman"/>
          <w:color w:val="FF0000"/>
          <w:sz w:val="28"/>
          <w:szCs w:val="28"/>
          <w:highlight w:val="none"/>
        </w:rPr>
      </w:pPr>
      <w:r>
        <w:rPr>
          <w:rFonts w:hint="eastAsia" w:ascii="Times New Roman" w:hAnsi="Times New Roman" w:eastAsia="仿宋_GB2312" w:cs="Times New Roman"/>
          <w:color w:val="FF0000"/>
          <w:sz w:val="28"/>
          <w:szCs w:val="28"/>
          <w:highlight w:val="none"/>
          <w:lang w:val="en-US" w:eastAsia="zh-CN"/>
        </w:rPr>
        <w:t>相关法律法规对供应商报价有规定的，从其规定。</w:t>
      </w:r>
    </w:p>
    <w:p>
      <w:pPr>
        <w:pageBreakBefore w:val="0"/>
        <w:kinsoku/>
        <w:wordWrap/>
        <w:overflowPunct/>
        <w:topLinePunct w:val="0"/>
        <w:bidi w:val="0"/>
        <w:spacing w:line="580" w:lineRule="exact"/>
        <w:ind w:left="0" w:leftChars="0" w:right="0" w:rightChars="0" w:firstLine="560" w:firstLineChars="200"/>
        <w:rPr>
          <w:rFonts w:hint="default" w:ascii="Times New Roman" w:hAnsi="Times New Roman" w:eastAsia="仿宋_GB2312" w:cs="Times New Roman"/>
          <w:color w:val="FF0000"/>
          <w:sz w:val="28"/>
          <w:szCs w:val="28"/>
          <w:highlight w:val="none"/>
        </w:rPr>
      </w:pPr>
      <w:r>
        <w:rPr>
          <w:rFonts w:hint="eastAsia" w:ascii="Times New Roman" w:hAnsi="Times New Roman" w:eastAsia="仿宋_GB2312" w:cs="Times New Roman"/>
          <w:color w:val="FF0000"/>
          <w:sz w:val="28"/>
          <w:szCs w:val="28"/>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pageBreakBefore w:val="0"/>
        <w:kinsoku/>
        <w:wordWrap/>
        <w:overflowPunct/>
        <w:topLinePunct w:val="0"/>
        <w:bidi w:val="0"/>
        <w:spacing w:line="580" w:lineRule="exact"/>
        <w:ind w:left="0" w:leftChars="0" w:right="0" w:rightChars="0" w:firstLine="560" w:firstLineChars="200"/>
        <w:rPr>
          <w:rFonts w:hint="default" w:ascii="Times New Roman" w:hAnsi="Times New Roman" w:eastAsia="仿宋_GB2312" w:cs="Times New Roman"/>
          <w:color w:val="FF0000"/>
          <w:sz w:val="28"/>
          <w:szCs w:val="28"/>
          <w:highlight w:val="none"/>
        </w:rPr>
      </w:pPr>
      <w:r>
        <w:rPr>
          <w:rFonts w:hint="eastAsia" w:ascii="Times New Roman" w:hAnsi="Times New Roman" w:eastAsia="仿宋_GB2312" w:cs="Times New Roman"/>
          <w:color w:val="FF0000"/>
          <w:sz w:val="28"/>
          <w:szCs w:val="28"/>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pageBreakBefore w:val="0"/>
        <w:kinsoku/>
        <w:wordWrap/>
        <w:overflowPunct/>
        <w:topLinePunct w:val="0"/>
        <w:bidi w:val="0"/>
        <w:spacing w:line="580" w:lineRule="exact"/>
        <w:ind w:left="0" w:leftChars="0" w:right="0" w:rightChars="0" w:firstLine="560" w:firstLineChars="200"/>
        <w:rPr>
          <w:rFonts w:hint="default" w:ascii="Times New Roman" w:hAnsi="Times New Roman" w:eastAsia="仿宋_GB2312" w:cs="Times New Roman"/>
          <w:color w:val="FF0000"/>
          <w:sz w:val="28"/>
          <w:szCs w:val="28"/>
          <w:highlight w:val="none"/>
        </w:rPr>
      </w:pPr>
      <w:r>
        <w:rPr>
          <w:rFonts w:hint="eastAsia" w:ascii="Times New Roman" w:hAnsi="Times New Roman" w:eastAsia="仿宋_GB2312" w:cs="Times New Roman"/>
          <w:color w:val="FF0000"/>
          <w:sz w:val="28"/>
          <w:szCs w:val="28"/>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pageBreakBefore w:val="0"/>
        <w:kinsoku/>
        <w:wordWrap/>
        <w:overflowPunct/>
        <w:topLinePunct w:val="0"/>
        <w:bidi w:val="0"/>
        <w:spacing w:line="580" w:lineRule="exact"/>
        <w:ind w:left="0" w:leftChars="0" w:right="0" w:rightChars="0" w:firstLine="560" w:firstLineChars="200"/>
        <w:rPr>
          <w:rFonts w:hint="default" w:ascii="Times New Roman" w:hAnsi="Times New Roman" w:eastAsia="仿宋_GB2312" w:cs="Times New Roman"/>
          <w:color w:val="FF0000"/>
          <w:sz w:val="28"/>
          <w:szCs w:val="28"/>
          <w:highlight w:val="none"/>
        </w:rPr>
      </w:pPr>
      <w:r>
        <w:rPr>
          <w:rFonts w:hint="eastAsia" w:ascii="Times New Roman" w:hAnsi="Times New Roman" w:eastAsia="仿宋_GB2312" w:cs="Times New Roman"/>
          <w:color w:val="FF0000"/>
          <w:sz w:val="28"/>
          <w:szCs w:val="28"/>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pPr>
        <w:pStyle w:val="4"/>
        <w:keepNext/>
        <w:keepLines/>
        <w:pageBreakBefore w:val="0"/>
        <w:widowControl w:val="0"/>
        <w:kinsoku/>
        <w:wordWrap/>
        <w:overflowPunct/>
        <w:topLinePunct w:val="0"/>
        <w:autoSpaceDE/>
        <w:autoSpaceDN/>
        <w:bidi w:val="0"/>
        <w:adjustRightInd/>
        <w:snapToGrid/>
        <w:spacing w:before="0" w:after="0"/>
        <w:ind w:firstLine="567"/>
        <w:jc w:val="left"/>
        <w:textAlignment w:val="auto"/>
        <w:rPr>
          <w:rFonts w:hint="eastAsia" w:ascii="仿宋_GB2312" w:hAnsi="仿宋_GB2312" w:eastAsia="仿宋_GB2312" w:cs="仿宋_GB2312"/>
          <w:b w:val="0"/>
          <w:bCs w:val="0"/>
          <w:sz w:val="28"/>
          <w:szCs w:val="28"/>
          <w:lang w:val="en-US" w:eastAsia="zh-CN"/>
        </w:rPr>
      </w:pPr>
      <w:r>
        <w:rPr>
          <w:rFonts w:hint="eastAsia" w:ascii="Times New Roman" w:hAnsi="Times New Roman" w:eastAsia="仿宋_GB2312" w:cs="Times New Roman"/>
          <w:color w:val="FF0000"/>
          <w:sz w:val="28"/>
          <w:szCs w:val="28"/>
          <w:highlight w:val="none"/>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pPr>
        <w:pStyle w:val="25"/>
        <w:shd w:val="clear"/>
        <w:wordWrap w:val="0"/>
        <w:spacing w:before="0" w:after="0" w:line="360" w:lineRule="auto"/>
        <w:ind w:firstLine="562" w:firstLineChars="200"/>
        <w:jc w:val="both"/>
        <w:rPr>
          <w:rFonts w:hint="eastAsia" w:ascii="仿宋" w:hAnsi="仿宋" w:eastAsia="仿宋" w:cs="仿宋"/>
          <w:color w:val="auto"/>
          <w:sz w:val="28"/>
          <w:szCs w:val="28"/>
          <w:highlight w:val="none"/>
        </w:rPr>
      </w:pPr>
      <w:bookmarkStart w:id="85" w:name="_Toc30016"/>
      <w:bookmarkStart w:id="86" w:name="_Toc31918"/>
      <w:bookmarkStart w:id="87" w:name="_Toc14043"/>
      <w:r>
        <w:rPr>
          <w:rFonts w:hint="eastAsia" w:ascii="仿宋" w:hAnsi="仿宋" w:eastAsia="仿宋" w:cs="仿宋"/>
          <w:color w:val="auto"/>
          <w:sz w:val="28"/>
          <w:szCs w:val="28"/>
          <w:highlight w:val="none"/>
        </w:rPr>
        <w:t>8.废标条款</w:t>
      </w:r>
      <w:bookmarkEnd w:id="85"/>
      <w:bookmarkEnd w:id="86"/>
      <w:bookmarkEnd w:id="87"/>
    </w:p>
    <w:p>
      <w:pPr>
        <w:shd w:val="clear"/>
        <w:wordWrap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在招标采购中，出现下列情形之一的，应予废标：</w:t>
      </w:r>
    </w:p>
    <w:p>
      <w:pPr>
        <w:shd w:val="clear"/>
        <w:wordWrap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8.1符合专业条件的供应商或者对招标文件作实质响应的供应商不足三家的。</w:t>
      </w:r>
    </w:p>
    <w:p>
      <w:pPr>
        <w:shd w:val="clear"/>
        <w:wordWrap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8.2 出现影响采购公正的违法、违规行为的。</w:t>
      </w:r>
    </w:p>
    <w:p>
      <w:pPr>
        <w:shd w:val="clear"/>
        <w:wordWrap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8.3 供应商的报价均超过了采购预算，采购人不能支付的。</w:t>
      </w:r>
    </w:p>
    <w:p>
      <w:pPr>
        <w:shd w:val="clear"/>
        <w:wordWrap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8.4 因重大变故，采购任务取消的。</w:t>
      </w:r>
    </w:p>
    <w:p>
      <w:pPr>
        <w:pStyle w:val="25"/>
        <w:keepNext w:val="0"/>
        <w:keepLines w:val="0"/>
        <w:shd w:val="clear"/>
        <w:wordWrap w:val="0"/>
        <w:spacing w:before="0" w:after="0" w:line="360" w:lineRule="auto"/>
        <w:ind w:firstLine="562" w:firstLineChars="200"/>
        <w:jc w:val="both"/>
        <w:rPr>
          <w:rFonts w:hint="eastAsia" w:ascii="仿宋" w:hAnsi="仿宋" w:eastAsia="仿宋" w:cs="仿宋"/>
          <w:color w:val="auto"/>
          <w:sz w:val="28"/>
          <w:szCs w:val="28"/>
          <w:highlight w:val="none"/>
        </w:rPr>
      </w:pPr>
      <w:bookmarkStart w:id="88" w:name="_Toc27507"/>
      <w:bookmarkStart w:id="89" w:name="_Toc27405"/>
      <w:bookmarkStart w:id="90" w:name="_Toc30318"/>
      <w:r>
        <w:rPr>
          <w:rFonts w:hint="eastAsia" w:ascii="仿宋" w:hAnsi="仿宋" w:eastAsia="仿宋" w:cs="仿宋"/>
          <w:color w:val="auto"/>
          <w:sz w:val="28"/>
          <w:szCs w:val="28"/>
          <w:highlight w:val="none"/>
        </w:rPr>
        <w:t>9.中标结果通知</w:t>
      </w:r>
      <w:bookmarkEnd w:id="88"/>
      <w:bookmarkEnd w:id="89"/>
      <w:bookmarkEnd w:id="90"/>
    </w:p>
    <w:p>
      <w:pPr>
        <w:shd w:val="clear"/>
        <w:wordWrap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9.1 采购人或者采购代理机构应当自中标人确定之日起2个工作日内，在云南省政府采购网（http：//www.yngp.com）上公告中标结果，招标文件应当随中标结果同时公告。中标公告期限为1个工作日。</w:t>
      </w:r>
    </w:p>
    <w:p>
      <w:pPr>
        <w:shd w:val="clear"/>
        <w:wordWrap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9.2 在公告中标结果的同时，采购人或者采购代理机构应当向中标人发出中标通知书；对未通过资格审查的供应商，应当告知其未通过的原因；采用综合评分法评审的，还应当告知未中标人的评审得分与排序。</w:t>
      </w:r>
    </w:p>
    <w:p>
      <w:pPr>
        <w:shd w:val="clear"/>
        <w:wordWrap w:val="0"/>
        <w:spacing w:line="360" w:lineRule="auto"/>
        <w:ind w:firstLine="56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9.3 中标通知书发出后，采购人不得违法改变中标结果，中标人无正当理由不得放弃中标。</w:t>
      </w:r>
    </w:p>
    <w:p>
      <w:pPr>
        <w:pStyle w:val="25"/>
        <w:keepNext w:val="0"/>
        <w:keepLines w:val="0"/>
        <w:shd w:val="clear"/>
        <w:wordWrap w:val="0"/>
        <w:spacing w:before="0" w:after="0" w:line="360" w:lineRule="auto"/>
        <w:ind w:firstLine="562" w:firstLineChars="200"/>
        <w:jc w:val="both"/>
        <w:rPr>
          <w:rFonts w:hint="eastAsia" w:ascii="仿宋" w:hAnsi="仿宋" w:eastAsia="仿宋" w:cs="仿宋"/>
          <w:color w:val="auto"/>
          <w:sz w:val="28"/>
          <w:szCs w:val="28"/>
          <w:highlight w:val="none"/>
        </w:rPr>
      </w:pPr>
      <w:bookmarkStart w:id="91" w:name="_Toc2401"/>
      <w:bookmarkStart w:id="92" w:name="_Toc14659"/>
      <w:bookmarkStart w:id="93" w:name="_Toc6537"/>
      <w:bookmarkStart w:id="94" w:name="_Toc17009862"/>
      <w:bookmarkStart w:id="95" w:name="_Toc153009369"/>
      <w:r>
        <w:rPr>
          <w:rFonts w:hint="eastAsia" w:ascii="仿宋" w:hAnsi="仿宋" w:eastAsia="仿宋" w:cs="仿宋"/>
          <w:color w:val="auto"/>
          <w:sz w:val="28"/>
          <w:szCs w:val="28"/>
          <w:highlight w:val="none"/>
        </w:rPr>
        <w:t>10.履约保证金</w:t>
      </w:r>
      <w:bookmarkEnd w:id="91"/>
      <w:bookmarkEnd w:id="92"/>
      <w:bookmarkEnd w:id="93"/>
    </w:p>
    <w:p>
      <w:pPr>
        <w:pStyle w:val="25"/>
        <w:keepNext w:val="0"/>
        <w:keepLines w:val="0"/>
        <w:shd w:val="clear"/>
        <w:wordWrap w:val="0"/>
        <w:spacing w:before="0" w:after="0" w:line="360" w:lineRule="auto"/>
        <w:ind w:firstLine="560" w:firstLineChars="200"/>
        <w:jc w:val="both"/>
        <w:outlineLvl w:val="9"/>
        <w:rPr>
          <w:rFonts w:hint="eastAsia" w:ascii="仿宋" w:hAnsi="仿宋" w:eastAsia="仿宋" w:cs="仿宋"/>
          <w:b w:val="0"/>
          <w:bCs w:val="0"/>
          <w:color w:val="auto"/>
          <w:sz w:val="28"/>
          <w:szCs w:val="28"/>
          <w:highlight w:val="none"/>
        </w:rPr>
      </w:pPr>
      <w:bookmarkStart w:id="96" w:name="_Toc7921"/>
      <w:bookmarkStart w:id="97" w:name="_Toc27918"/>
      <w:bookmarkStart w:id="98" w:name="_Toc32501"/>
      <w:r>
        <w:rPr>
          <w:rFonts w:hint="eastAsia" w:ascii="仿宋" w:hAnsi="仿宋" w:eastAsia="仿宋" w:cs="仿宋"/>
          <w:b w:val="0"/>
          <w:bCs w:val="0"/>
          <w:color w:val="auto"/>
          <w:sz w:val="28"/>
          <w:szCs w:val="28"/>
          <w:highlight w:val="none"/>
        </w:rPr>
        <w:t>10.1 中标人应按供应商须知前附表的规定向采购人提交履约保证金。</w:t>
      </w:r>
      <w:bookmarkEnd w:id="96"/>
      <w:bookmarkEnd w:id="97"/>
      <w:bookmarkEnd w:id="98"/>
    </w:p>
    <w:p>
      <w:pPr>
        <w:pStyle w:val="25"/>
        <w:keepNext w:val="0"/>
        <w:keepLines w:val="0"/>
        <w:shd w:val="clear"/>
        <w:wordWrap w:val="0"/>
        <w:spacing w:before="0" w:after="0" w:line="360" w:lineRule="auto"/>
        <w:ind w:firstLine="560" w:firstLineChars="200"/>
        <w:jc w:val="both"/>
        <w:outlineLvl w:val="9"/>
        <w:rPr>
          <w:rFonts w:hint="eastAsia" w:ascii="仿宋" w:hAnsi="仿宋" w:eastAsia="仿宋" w:cs="仿宋"/>
          <w:b w:val="0"/>
          <w:bCs w:val="0"/>
          <w:color w:val="auto"/>
          <w:sz w:val="28"/>
          <w:szCs w:val="28"/>
          <w:highlight w:val="none"/>
        </w:rPr>
      </w:pPr>
      <w:bookmarkStart w:id="99" w:name="_Toc26619"/>
      <w:bookmarkStart w:id="100" w:name="_Toc21762"/>
      <w:bookmarkStart w:id="101" w:name="_Toc32102"/>
      <w:r>
        <w:rPr>
          <w:rFonts w:hint="eastAsia" w:ascii="仿宋" w:hAnsi="仿宋" w:eastAsia="仿宋" w:cs="仿宋"/>
          <w:b w:val="0"/>
          <w:bCs w:val="0"/>
          <w:color w:val="auto"/>
          <w:sz w:val="28"/>
          <w:szCs w:val="28"/>
          <w:highlight w:val="none"/>
        </w:rPr>
        <w:t>10.2 中标人不能按本章第10.1款要求提交履约保证金的，视为放弃中标，其</w:t>
      </w:r>
      <w:r>
        <w:rPr>
          <w:rFonts w:hint="eastAsia" w:ascii="仿宋" w:hAnsi="仿宋" w:eastAsia="仿宋" w:cs="仿宋"/>
          <w:b w:val="0"/>
          <w:bCs w:val="0"/>
          <w:color w:val="auto"/>
          <w:sz w:val="28"/>
          <w:szCs w:val="28"/>
          <w:highlight w:val="none"/>
          <w:lang w:eastAsia="zh-CN"/>
        </w:rPr>
        <w:t>投标</w:t>
      </w:r>
      <w:r>
        <w:rPr>
          <w:rFonts w:hint="eastAsia" w:ascii="仿宋" w:hAnsi="仿宋" w:eastAsia="仿宋" w:cs="仿宋"/>
          <w:b w:val="0"/>
          <w:bCs w:val="0"/>
          <w:color w:val="auto"/>
          <w:sz w:val="28"/>
          <w:szCs w:val="28"/>
          <w:highlight w:val="none"/>
        </w:rPr>
        <w:t>保证金不予退还，给采购人造成损失超过</w:t>
      </w:r>
      <w:r>
        <w:rPr>
          <w:rFonts w:hint="eastAsia" w:ascii="仿宋" w:hAnsi="仿宋" w:eastAsia="仿宋" w:cs="仿宋"/>
          <w:b w:val="0"/>
          <w:bCs w:val="0"/>
          <w:color w:val="auto"/>
          <w:sz w:val="28"/>
          <w:szCs w:val="28"/>
          <w:highlight w:val="none"/>
          <w:lang w:eastAsia="zh-CN"/>
        </w:rPr>
        <w:t>投标</w:t>
      </w:r>
      <w:r>
        <w:rPr>
          <w:rFonts w:hint="eastAsia" w:ascii="仿宋" w:hAnsi="仿宋" w:eastAsia="仿宋" w:cs="仿宋"/>
          <w:b w:val="0"/>
          <w:bCs w:val="0"/>
          <w:color w:val="auto"/>
          <w:sz w:val="28"/>
          <w:szCs w:val="28"/>
          <w:highlight w:val="none"/>
        </w:rPr>
        <w:t>保证金数额的，中标人还应当对超过部分予以赔偿。</w:t>
      </w:r>
      <w:bookmarkEnd w:id="99"/>
      <w:bookmarkEnd w:id="100"/>
      <w:bookmarkEnd w:id="101"/>
    </w:p>
    <w:p>
      <w:pPr>
        <w:pStyle w:val="25"/>
        <w:keepNext w:val="0"/>
        <w:keepLines w:val="0"/>
        <w:shd w:val="clear"/>
        <w:wordWrap w:val="0"/>
        <w:spacing w:before="0" w:after="0" w:line="360" w:lineRule="auto"/>
        <w:ind w:firstLine="562" w:firstLineChars="200"/>
        <w:jc w:val="both"/>
        <w:rPr>
          <w:rFonts w:hint="eastAsia" w:ascii="仿宋" w:hAnsi="仿宋" w:eastAsia="仿宋" w:cs="仿宋"/>
          <w:color w:val="auto"/>
          <w:sz w:val="28"/>
          <w:szCs w:val="28"/>
          <w:highlight w:val="none"/>
        </w:rPr>
      </w:pPr>
      <w:bookmarkStart w:id="102" w:name="_Toc4230"/>
      <w:bookmarkStart w:id="103" w:name="_Toc32012"/>
      <w:bookmarkStart w:id="104" w:name="_Toc14153"/>
      <w:r>
        <w:rPr>
          <w:rFonts w:hint="eastAsia" w:ascii="仿宋" w:hAnsi="仿宋" w:eastAsia="仿宋" w:cs="仿宋"/>
          <w:color w:val="auto"/>
          <w:sz w:val="28"/>
          <w:szCs w:val="28"/>
          <w:highlight w:val="none"/>
        </w:rPr>
        <w:t>11.签订合同</w:t>
      </w:r>
      <w:bookmarkEnd w:id="94"/>
      <w:bookmarkEnd w:id="95"/>
      <w:bookmarkEnd w:id="102"/>
      <w:bookmarkEnd w:id="103"/>
      <w:bookmarkEnd w:id="104"/>
    </w:p>
    <w:p>
      <w:pPr>
        <w:shd w:val="clear"/>
        <w:wordWrap w:val="0"/>
        <w:spacing w:line="360" w:lineRule="auto"/>
        <w:ind w:firstLine="56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 采购人应当自中标通知书发出之日起30日内，按照</w:t>
      </w:r>
      <w:r>
        <w:rPr>
          <w:rFonts w:hint="eastAsia" w:ascii="仿宋" w:hAnsi="仿宋" w:eastAsia="仿宋" w:cs="仿宋"/>
          <w:b w:val="0"/>
          <w:bCs w:val="0"/>
          <w:color w:val="auto"/>
          <w:sz w:val="28"/>
          <w:szCs w:val="28"/>
          <w:highlight w:val="none"/>
          <w:lang w:eastAsia="zh-CN"/>
        </w:rPr>
        <w:t>招标</w:t>
      </w:r>
      <w:r>
        <w:rPr>
          <w:rFonts w:hint="eastAsia" w:ascii="仿宋" w:hAnsi="仿宋" w:eastAsia="仿宋" w:cs="仿宋"/>
          <w:color w:val="auto"/>
          <w:sz w:val="28"/>
          <w:szCs w:val="28"/>
          <w:highlight w:val="none"/>
        </w:rPr>
        <w:t>文件和</w:t>
      </w:r>
      <w:r>
        <w:rPr>
          <w:rFonts w:hint="eastAsia" w:ascii="仿宋" w:hAnsi="仿宋" w:eastAsia="仿宋" w:cs="仿宋"/>
          <w:bCs/>
          <w:color w:val="auto"/>
          <w:kern w:val="1"/>
          <w:sz w:val="28"/>
          <w:szCs w:val="28"/>
          <w:highlight w:val="none"/>
        </w:rPr>
        <w:t>中标人</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文件的规定，与</w:t>
      </w:r>
      <w:r>
        <w:rPr>
          <w:rFonts w:hint="eastAsia" w:ascii="仿宋" w:hAnsi="仿宋" w:eastAsia="仿宋" w:cs="仿宋"/>
          <w:bCs/>
          <w:color w:val="auto"/>
          <w:kern w:val="1"/>
          <w:sz w:val="28"/>
          <w:szCs w:val="28"/>
          <w:highlight w:val="none"/>
        </w:rPr>
        <w:t>中标人</w:t>
      </w:r>
      <w:r>
        <w:rPr>
          <w:rFonts w:hint="eastAsia" w:ascii="仿宋" w:hAnsi="仿宋" w:eastAsia="仿宋" w:cs="仿宋"/>
          <w:color w:val="auto"/>
          <w:sz w:val="28"/>
          <w:szCs w:val="28"/>
          <w:highlight w:val="none"/>
        </w:rPr>
        <w:t>签订书面合同。所签订的合同不得对</w:t>
      </w:r>
      <w:r>
        <w:rPr>
          <w:rFonts w:hint="eastAsia" w:ascii="仿宋" w:hAnsi="仿宋" w:eastAsia="仿宋" w:cs="仿宋"/>
          <w:b w:val="0"/>
          <w:bCs w:val="0"/>
          <w:color w:val="auto"/>
          <w:sz w:val="28"/>
          <w:szCs w:val="28"/>
          <w:highlight w:val="none"/>
          <w:lang w:eastAsia="zh-CN"/>
        </w:rPr>
        <w:t>招标</w:t>
      </w:r>
      <w:r>
        <w:rPr>
          <w:rFonts w:hint="eastAsia" w:ascii="仿宋" w:hAnsi="仿宋" w:eastAsia="仿宋" w:cs="仿宋"/>
          <w:color w:val="auto"/>
          <w:sz w:val="28"/>
          <w:szCs w:val="28"/>
          <w:highlight w:val="none"/>
        </w:rPr>
        <w:t>文件确定的事项和</w:t>
      </w:r>
      <w:r>
        <w:rPr>
          <w:rFonts w:hint="eastAsia" w:ascii="仿宋" w:hAnsi="仿宋" w:eastAsia="仿宋" w:cs="仿宋"/>
          <w:bCs/>
          <w:color w:val="auto"/>
          <w:kern w:val="1"/>
          <w:sz w:val="28"/>
          <w:szCs w:val="28"/>
          <w:highlight w:val="none"/>
        </w:rPr>
        <w:t>中标人</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文件作实质性修改。</w:t>
      </w:r>
    </w:p>
    <w:p>
      <w:pPr>
        <w:shd w:val="clear"/>
        <w:wordWrap w:val="0"/>
        <w:spacing w:line="360" w:lineRule="auto"/>
        <w:ind w:firstLine="567"/>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11.2中标人拒绝与采购人签订合同的，采购人可以按照</w:t>
      </w:r>
      <w:r>
        <w:rPr>
          <w:rFonts w:hint="eastAsia" w:ascii="仿宋" w:hAnsi="仿宋" w:eastAsia="仿宋" w:cs="仿宋"/>
          <w:bCs/>
          <w:color w:val="auto"/>
          <w:kern w:val="1"/>
          <w:sz w:val="28"/>
          <w:szCs w:val="28"/>
          <w:highlight w:val="none"/>
          <w:lang w:eastAsia="zh-CN"/>
        </w:rPr>
        <w:t>评审</w:t>
      </w:r>
      <w:r>
        <w:rPr>
          <w:rFonts w:hint="eastAsia" w:ascii="仿宋" w:hAnsi="仿宋" w:eastAsia="仿宋" w:cs="仿宋"/>
          <w:bCs/>
          <w:color w:val="auto"/>
          <w:kern w:val="1"/>
          <w:sz w:val="28"/>
          <w:szCs w:val="28"/>
          <w:highlight w:val="none"/>
        </w:rPr>
        <w:t>报告推荐的中标候选人名单排序，确定下一候选人为中标人，也可以重新开展政府采购活动。</w:t>
      </w:r>
    </w:p>
    <w:p>
      <w:pPr>
        <w:shd w:val="clear"/>
        <w:wordWrap w:val="0"/>
        <w:spacing w:line="360" w:lineRule="auto"/>
        <w:ind w:firstLine="56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11.3中标</w:t>
      </w:r>
      <w:r>
        <w:rPr>
          <w:rFonts w:hint="eastAsia" w:ascii="仿宋" w:hAnsi="仿宋" w:eastAsia="仿宋" w:cs="仿宋"/>
          <w:bCs/>
          <w:color w:val="auto"/>
          <w:kern w:val="1"/>
          <w:sz w:val="28"/>
          <w:szCs w:val="28"/>
          <w:highlight w:val="none"/>
        </w:rPr>
        <w:t>人</w:t>
      </w:r>
      <w:r>
        <w:rPr>
          <w:rFonts w:hint="eastAsia" w:ascii="仿宋" w:hAnsi="仿宋" w:eastAsia="仿宋" w:cs="仿宋"/>
          <w:color w:val="auto"/>
          <w:sz w:val="28"/>
          <w:szCs w:val="28"/>
          <w:highlight w:val="none"/>
        </w:rPr>
        <w:t>在收到中标通知书后，</w:t>
      </w:r>
      <w:r>
        <w:rPr>
          <w:rFonts w:hint="eastAsia" w:ascii="仿宋" w:hAnsi="仿宋" w:eastAsia="仿宋" w:cs="仿宋"/>
          <w:bCs/>
          <w:color w:val="auto"/>
          <w:kern w:val="1"/>
          <w:sz w:val="28"/>
          <w:szCs w:val="28"/>
          <w:highlight w:val="none"/>
        </w:rPr>
        <w:t>无正当理由拒不与采购人签订政府采购合同，其</w:t>
      </w:r>
      <w:r>
        <w:rPr>
          <w:rFonts w:hint="eastAsia" w:ascii="仿宋" w:hAnsi="仿宋" w:eastAsia="仿宋" w:cs="仿宋"/>
          <w:b w:val="0"/>
          <w:bCs w:val="0"/>
          <w:color w:val="auto"/>
          <w:sz w:val="28"/>
          <w:szCs w:val="28"/>
          <w:highlight w:val="none"/>
          <w:lang w:eastAsia="zh-CN"/>
        </w:rPr>
        <w:t>投标</w:t>
      </w:r>
      <w:r>
        <w:rPr>
          <w:rFonts w:hint="eastAsia" w:ascii="仿宋" w:hAnsi="仿宋" w:eastAsia="仿宋" w:cs="仿宋"/>
          <w:bCs/>
          <w:color w:val="auto"/>
          <w:kern w:val="1"/>
          <w:sz w:val="28"/>
          <w:szCs w:val="28"/>
          <w:highlight w:val="none"/>
        </w:rPr>
        <w:t>保证金不予退还，并依照</w:t>
      </w:r>
      <w:r>
        <w:rPr>
          <w:rFonts w:hint="eastAsia" w:ascii="仿宋" w:hAnsi="仿宋" w:eastAsia="仿宋" w:cs="仿宋"/>
          <w:color w:val="auto"/>
          <w:sz w:val="28"/>
          <w:szCs w:val="28"/>
          <w:highlight w:val="none"/>
        </w:rPr>
        <w:t>《中华人民共和国政府采购法》</w:t>
      </w:r>
      <w:r>
        <w:rPr>
          <w:rFonts w:hint="eastAsia" w:ascii="仿宋" w:hAnsi="仿宋" w:eastAsia="仿宋" w:cs="仿宋"/>
          <w:bCs/>
          <w:color w:val="auto"/>
          <w:kern w:val="1"/>
          <w:sz w:val="28"/>
          <w:szCs w:val="28"/>
          <w:highlight w:val="none"/>
        </w:rPr>
        <w:t>第七十七条第一款的规定追究法律责任；给采购人造成的损失超过</w:t>
      </w:r>
      <w:r>
        <w:rPr>
          <w:rFonts w:hint="eastAsia" w:ascii="仿宋" w:hAnsi="仿宋" w:eastAsia="仿宋" w:cs="仿宋"/>
          <w:b w:val="0"/>
          <w:bCs w:val="0"/>
          <w:color w:val="auto"/>
          <w:sz w:val="28"/>
          <w:szCs w:val="28"/>
          <w:highlight w:val="none"/>
          <w:lang w:eastAsia="zh-CN"/>
        </w:rPr>
        <w:t>投标</w:t>
      </w:r>
      <w:r>
        <w:rPr>
          <w:rFonts w:hint="eastAsia" w:ascii="仿宋" w:hAnsi="仿宋" w:eastAsia="仿宋" w:cs="仿宋"/>
          <w:bCs/>
          <w:color w:val="auto"/>
          <w:kern w:val="1"/>
          <w:sz w:val="28"/>
          <w:szCs w:val="28"/>
          <w:highlight w:val="none"/>
        </w:rPr>
        <w:t>保证金数额的，中标人还应当对超过部分予以赔偿。</w:t>
      </w:r>
    </w:p>
    <w:p>
      <w:pPr>
        <w:pStyle w:val="25"/>
        <w:shd w:val="clear"/>
        <w:wordWrap w:val="0"/>
        <w:spacing w:before="0" w:after="0" w:line="360" w:lineRule="auto"/>
        <w:ind w:firstLine="562" w:firstLineChars="200"/>
        <w:jc w:val="both"/>
        <w:rPr>
          <w:rFonts w:hint="eastAsia" w:ascii="仿宋" w:hAnsi="仿宋" w:eastAsia="仿宋" w:cs="仿宋"/>
          <w:color w:val="auto"/>
          <w:sz w:val="28"/>
          <w:szCs w:val="28"/>
          <w:highlight w:val="none"/>
        </w:rPr>
      </w:pPr>
      <w:bookmarkStart w:id="105" w:name="_Toc15615"/>
      <w:bookmarkStart w:id="106" w:name="_Toc30270"/>
      <w:bookmarkStart w:id="107" w:name="_Toc952"/>
      <w:r>
        <w:rPr>
          <w:rFonts w:hint="eastAsia" w:ascii="仿宋" w:hAnsi="仿宋" w:eastAsia="仿宋" w:cs="仿宋"/>
          <w:color w:val="auto"/>
          <w:sz w:val="28"/>
          <w:szCs w:val="28"/>
          <w:highlight w:val="none"/>
        </w:rPr>
        <w:t>12.质疑和投诉</w:t>
      </w:r>
      <w:bookmarkEnd w:id="105"/>
      <w:bookmarkEnd w:id="106"/>
      <w:bookmarkEnd w:id="107"/>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12.1本项目的质疑和投诉行为应遵循《中华人民共和国政府采购法》、《中华人民共和国政府采购法实施条例》、《政府采购质疑和投诉办法》（财政部令第94号）和其他有关法律法规规定，供应商提出质疑和投诉应当坚持依法依规、诚实信用原则。</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12.2供应商认为采购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12.3质疑函的接收 </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12.3.1接收质疑函的方式：</w:t>
      </w:r>
      <w:r>
        <w:rPr>
          <w:rFonts w:hint="eastAsia" w:ascii="仿宋" w:hAnsi="仿宋" w:eastAsia="仿宋" w:cs="仿宋"/>
          <w:color w:val="auto"/>
          <w:sz w:val="28"/>
          <w:szCs w:val="28"/>
          <w:highlight w:val="none"/>
          <w:lang w:val="en-US" w:eastAsia="zh-CN"/>
        </w:rPr>
        <w:t>提供纸质盖章质疑函</w:t>
      </w:r>
      <w:r>
        <w:rPr>
          <w:rFonts w:hint="eastAsia" w:ascii="仿宋" w:hAnsi="仿宋" w:eastAsia="仿宋" w:cs="仿宋"/>
          <w:color w:val="auto"/>
          <w:sz w:val="28"/>
          <w:szCs w:val="28"/>
          <w:highlight w:val="none"/>
        </w:rPr>
        <w:t>。</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12.3.2采购人、采购代理机构接收质疑函的联系部门、联系电话和通讯地址：详见</w:t>
      </w:r>
      <w:r>
        <w:rPr>
          <w:rFonts w:hint="eastAsia" w:ascii="仿宋" w:hAnsi="仿宋" w:eastAsia="仿宋" w:cs="仿宋"/>
          <w:color w:val="auto"/>
          <w:sz w:val="28"/>
          <w:szCs w:val="28"/>
          <w:highlight w:val="none"/>
          <w:lang w:eastAsia="zh-CN"/>
        </w:rPr>
        <w:t>招标</w:t>
      </w:r>
      <w:r>
        <w:rPr>
          <w:rFonts w:hint="eastAsia" w:ascii="仿宋" w:hAnsi="仿宋" w:eastAsia="仿宋" w:cs="仿宋"/>
          <w:color w:val="auto"/>
          <w:sz w:val="28"/>
          <w:szCs w:val="28"/>
          <w:highlight w:val="none"/>
        </w:rPr>
        <w:t>公告。</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12.4供应商提出质疑应当提交质疑函和必要的证明材料。质疑函应当包括下列内容：</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12.4.1供应商的姓名或者名称、地址、邮编、联系人及联系电话。</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12.4.2质疑项目的名称、编号。</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12.4.3具体、明确的质疑事项和与质疑事项相关的请求。</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12.4.4事实依据。</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12.4.5必要的法律依据。</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12.4.6提出质疑的日期。</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供应商为自然人的，应当由本人签字；供应商为法人或者其他组织的，应当由法定代表人、主要负责人，或者其授权代表签字或者盖章，并加盖公章。</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12.5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12.6采购人、采购代理机构在收到质疑函后7个工作日内作出答复</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并</w:t>
      </w:r>
      <w:r>
        <w:rPr>
          <w:rFonts w:hint="eastAsia" w:ascii="仿宋" w:hAnsi="仿宋" w:eastAsia="仿宋" w:cs="仿宋"/>
          <w:color w:val="auto"/>
          <w:sz w:val="28"/>
          <w:szCs w:val="28"/>
          <w:highlight w:val="none"/>
        </w:rPr>
        <w:t>通知质疑供应商和其他有关供应商。</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12.7质疑人对采购人的答复不满意或者采购人未在规定的时间内做出答复的，可以在答复期满后15个工作日内向</w:t>
      </w:r>
      <w:r>
        <w:rPr>
          <w:rFonts w:hint="eastAsia" w:ascii="仿宋" w:hAnsi="仿宋" w:eastAsia="仿宋" w:cs="仿宋"/>
          <w:color w:val="auto"/>
          <w:sz w:val="28"/>
          <w:szCs w:val="28"/>
          <w:highlight w:val="none"/>
          <w:lang w:eastAsia="zh-CN"/>
        </w:rPr>
        <w:t>景洪市</w:t>
      </w:r>
      <w:r>
        <w:rPr>
          <w:rFonts w:hint="eastAsia" w:ascii="仿宋" w:hAnsi="仿宋" w:eastAsia="仿宋" w:cs="仿宋"/>
          <w:color w:val="auto"/>
          <w:sz w:val="28"/>
          <w:szCs w:val="28"/>
          <w:highlight w:val="none"/>
        </w:rPr>
        <w:t>财政局政府采购管理办公室投诉，投诉电话：0691-21</w:t>
      </w:r>
      <w:r>
        <w:rPr>
          <w:rFonts w:hint="eastAsia" w:ascii="仿宋" w:hAnsi="仿宋" w:eastAsia="仿宋" w:cs="仿宋"/>
          <w:color w:val="auto"/>
          <w:sz w:val="28"/>
          <w:szCs w:val="28"/>
          <w:highlight w:val="none"/>
          <w:lang w:val="en-US" w:eastAsia="zh-CN"/>
        </w:rPr>
        <w:t>53585</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w:t>
      </w:r>
    </w:p>
    <w:bookmarkEnd w:id="69"/>
    <w:p>
      <w:pPr>
        <w:shd w:val="clear"/>
        <w:wordWrap w:val="0"/>
        <w:spacing w:line="360" w:lineRule="auto"/>
        <w:ind w:firstLine="562" w:firstLineChars="200"/>
        <w:outlineLvl w:val="1"/>
        <w:rPr>
          <w:rFonts w:hint="eastAsia" w:ascii="仿宋" w:hAnsi="仿宋" w:eastAsia="仿宋" w:cs="仿宋"/>
          <w:b/>
          <w:bCs/>
          <w:color w:val="auto"/>
          <w:sz w:val="28"/>
          <w:szCs w:val="28"/>
          <w:highlight w:val="none"/>
        </w:rPr>
      </w:pPr>
      <w:bookmarkStart w:id="108" w:name="_Toc30062"/>
      <w:bookmarkStart w:id="109" w:name="_Toc18555"/>
      <w:r>
        <w:rPr>
          <w:rFonts w:hint="eastAsia" w:ascii="仿宋" w:hAnsi="仿宋" w:eastAsia="仿宋" w:cs="仿宋"/>
          <w:b/>
          <w:bCs/>
          <w:color w:val="auto"/>
          <w:sz w:val="28"/>
          <w:szCs w:val="28"/>
          <w:highlight w:val="none"/>
        </w:rPr>
        <w:t>13.技术支持</w:t>
      </w:r>
      <w:bookmarkEnd w:id="108"/>
      <w:bookmarkEnd w:id="109"/>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详见供应商须知前附表。</w:t>
      </w:r>
    </w:p>
    <w:p>
      <w:pPr>
        <w:shd w:val="clear"/>
        <w:wordWrap w:val="0"/>
        <w:spacing w:line="360" w:lineRule="auto"/>
        <w:ind w:firstLine="562" w:firstLineChars="200"/>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14.需要补充的内容</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详见供应商须知前附表。</w:t>
      </w:r>
    </w:p>
    <w:p>
      <w:pPr>
        <w:pStyle w:val="2"/>
        <w:shd w:val="clear"/>
        <w:ind w:firstLine="560" w:firstLineChars="200"/>
        <w:rPr>
          <w:rFonts w:hint="eastAsia" w:ascii="仿宋" w:hAnsi="仿宋" w:eastAsia="仿宋" w:cs="仿宋"/>
          <w:color w:val="auto"/>
          <w:sz w:val="28"/>
          <w:szCs w:val="28"/>
          <w:highlight w:val="none"/>
        </w:rPr>
      </w:pPr>
    </w:p>
    <w:p>
      <w:pPr>
        <w:shd w:val="clear"/>
        <w:wordWrap w:val="0"/>
        <w:spacing w:line="360" w:lineRule="auto"/>
        <w:jc w:val="center"/>
        <w:rPr>
          <w:rFonts w:hint="eastAsia" w:ascii="仿宋" w:hAnsi="仿宋" w:eastAsia="仿宋" w:cs="仿宋"/>
          <w:b/>
          <w:color w:val="auto"/>
          <w:sz w:val="28"/>
          <w:szCs w:val="28"/>
          <w:highlight w:val="none"/>
        </w:rPr>
      </w:pPr>
      <w:bookmarkStart w:id="110" w:name="_Toc12161"/>
      <w:bookmarkStart w:id="111" w:name="_Toc13281"/>
      <w:bookmarkStart w:id="112" w:name="_Toc25964"/>
      <w:r>
        <w:rPr>
          <w:rFonts w:hint="eastAsia" w:ascii="仿宋" w:hAnsi="仿宋" w:eastAsia="仿宋" w:cs="仿宋"/>
          <w:b/>
          <w:color w:val="auto"/>
          <w:sz w:val="28"/>
          <w:szCs w:val="28"/>
          <w:highlight w:val="none"/>
        </w:rPr>
        <w:t>第三章 资格审查办法和</w:t>
      </w:r>
      <w:r>
        <w:rPr>
          <w:rFonts w:hint="eastAsia" w:ascii="仿宋" w:hAnsi="仿宋" w:eastAsia="仿宋" w:cs="仿宋"/>
          <w:b/>
          <w:color w:val="auto"/>
          <w:sz w:val="28"/>
          <w:szCs w:val="28"/>
          <w:highlight w:val="none"/>
          <w:lang w:eastAsia="zh-CN"/>
        </w:rPr>
        <w:t>评审</w:t>
      </w:r>
      <w:r>
        <w:rPr>
          <w:rFonts w:hint="eastAsia" w:ascii="仿宋" w:hAnsi="仿宋" w:eastAsia="仿宋" w:cs="仿宋"/>
          <w:b/>
          <w:color w:val="auto"/>
          <w:sz w:val="28"/>
          <w:szCs w:val="28"/>
          <w:highlight w:val="none"/>
        </w:rPr>
        <w:t>办法</w:t>
      </w:r>
      <w:bookmarkEnd w:id="46"/>
      <w:bookmarkEnd w:id="47"/>
      <w:bookmarkEnd w:id="48"/>
      <w:bookmarkEnd w:id="49"/>
      <w:bookmarkEnd w:id="50"/>
      <w:bookmarkEnd w:id="51"/>
      <w:bookmarkEnd w:id="52"/>
      <w:bookmarkEnd w:id="53"/>
      <w:bookmarkEnd w:id="110"/>
      <w:bookmarkEnd w:id="111"/>
      <w:bookmarkEnd w:id="112"/>
    </w:p>
    <w:p>
      <w:pPr>
        <w:shd w:val="clear"/>
        <w:wordWrap w:val="0"/>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第一节 资格审查办法</w:t>
      </w:r>
    </w:p>
    <w:p>
      <w:pPr>
        <w:shd w:val="clear"/>
        <w:wordWrap w:val="0"/>
        <w:spacing w:after="156" w:afterLines="50" w:line="360" w:lineRule="auto"/>
        <w:ind w:firstLine="561"/>
        <w:jc w:val="left"/>
        <w:rPr>
          <w:rFonts w:hint="eastAsia" w:ascii="仿宋" w:hAnsi="仿宋" w:eastAsia="仿宋" w:cs="仿宋"/>
          <w:b w:val="0"/>
          <w:bCs/>
          <w:color w:val="auto"/>
          <w:sz w:val="28"/>
          <w:szCs w:val="28"/>
          <w:highlight w:val="none"/>
        </w:rPr>
      </w:pPr>
      <w:r>
        <w:rPr>
          <w:rFonts w:hint="eastAsia" w:ascii="仿宋" w:hAnsi="仿宋" w:eastAsia="仿宋" w:cs="仿宋"/>
          <w:b/>
          <w:color w:val="auto"/>
          <w:sz w:val="28"/>
          <w:szCs w:val="28"/>
          <w:highlight w:val="none"/>
        </w:rPr>
        <w:t>1.开标结束后，采购人或采购代理机构对供应商的资格进行审查，通过</w:t>
      </w:r>
      <w:r>
        <w:rPr>
          <w:rFonts w:hint="eastAsia" w:ascii="仿宋" w:hAnsi="仿宋" w:eastAsia="仿宋" w:cs="仿宋"/>
          <w:b w:val="0"/>
          <w:bCs/>
          <w:color w:val="auto"/>
          <w:sz w:val="28"/>
          <w:szCs w:val="28"/>
          <w:highlight w:val="none"/>
        </w:rPr>
        <w:t>资格审查的供应商方可进入</w:t>
      </w:r>
      <w:r>
        <w:rPr>
          <w:rFonts w:hint="eastAsia" w:ascii="仿宋" w:hAnsi="仿宋" w:eastAsia="仿宋" w:cs="仿宋"/>
          <w:b w:val="0"/>
          <w:bCs/>
          <w:color w:val="auto"/>
          <w:sz w:val="28"/>
          <w:szCs w:val="28"/>
          <w:highlight w:val="none"/>
          <w:lang w:eastAsia="zh-CN"/>
        </w:rPr>
        <w:t>评审</w:t>
      </w:r>
      <w:r>
        <w:rPr>
          <w:rFonts w:hint="eastAsia" w:ascii="仿宋" w:hAnsi="仿宋" w:eastAsia="仿宋" w:cs="仿宋"/>
          <w:b w:val="0"/>
          <w:bCs/>
          <w:color w:val="auto"/>
          <w:sz w:val="28"/>
          <w:szCs w:val="28"/>
          <w:highlight w:val="none"/>
        </w:rPr>
        <w:t>。符合以下审查标准的，通过资格审查：</w:t>
      </w:r>
    </w:p>
    <w:p>
      <w:pPr>
        <w:shd w:val="clear"/>
        <w:wordWrap w:val="0"/>
        <w:spacing w:after="156" w:afterLines="50" w:line="360" w:lineRule="auto"/>
        <w:ind w:firstLine="561"/>
        <w:jc w:val="left"/>
        <w:rPr>
          <w:rFonts w:hint="default" w:ascii="仿宋" w:hAnsi="仿宋" w:eastAsia="仿宋" w:cs="仿宋"/>
          <w:b w:val="0"/>
          <w:bCs/>
          <w:color w:val="auto"/>
          <w:sz w:val="28"/>
          <w:szCs w:val="28"/>
          <w:highlight w:val="none"/>
        </w:rPr>
      </w:pPr>
      <w:r>
        <w:rPr>
          <w:rFonts w:hint="default" w:ascii="仿宋" w:hAnsi="仿宋" w:eastAsia="仿宋" w:cs="仿宋"/>
          <w:b w:val="0"/>
          <w:bCs/>
          <w:color w:val="auto"/>
          <w:sz w:val="28"/>
          <w:szCs w:val="28"/>
          <w:highlight w:val="none"/>
        </w:rPr>
        <w:t>①具有独立承担民事责任的能力，</w:t>
      </w:r>
      <w:r>
        <w:rPr>
          <w:rFonts w:hint="default" w:ascii="仿宋" w:hAnsi="仿宋" w:eastAsia="仿宋" w:cs="仿宋"/>
          <w:b w:val="0"/>
          <w:bCs/>
          <w:color w:val="auto"/>
          <w:sz w:val="28"/>
          <w:szCs w:val="28"/>
          <w:highlight w:val="none"/>
          <w:lang w:val="en-US" w:eastAsia="zh-CN"/>
        </w:rPr>
        <w:t>投标人为企业（包括合伙企业）的，应提供有效的“营业执照”；投标人为事业单位的，应提供有效的“事业单位法人证书”；投标人是非企业机构的，应提供有效的“执业许可证”“登记证书”等证明文件；投标人是个体工商户的，应提供有效的“个体工商户营业执照”；投标人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p>
      <w:pPr>
        <w:shd w:val="clear"/>
        <w:wordWrap w:val="0"/>
        <w:spacing w:after="156" w:afterLines="50" w:line="360" w:lineRule="auto"/>
        <w:ind w:firstLine="561"/>
        <w:jc w:val="left"/>
        <w:rPr>
          <w:rFonts w:hint="default" w:ascii="仿宋" w:hAnsi="仿宋" w:eastAsia="仿宋" w:cs="仿宋"/>
          <w:b w:val="0"/>
          <w:bCs/>
          <w:color w:val="auto"/>
          <w:sz w:val="28"/>
          <w:szCs w:val="28"/>
          <w:highlight w:val="none"/>
        </w:rPr>
      </w:pPr>
      <w:r>
        <w:rPr>
          <w:rFonts w:hint="default" w:ascii="仿宋" w:hAnsi="仿宋" w:eastAsia="仿宋" w:cs="仿宋"/>
          <w:b w:val="0"/>
          <w:bCs/>
          <w:color w:val="auto"/>
          <w:sz w:val="28"/>
          <w:szCs w:val="28"/>
          <w:highlight w:val="none"/>
        </w:rPr>
        <w:t>②具有良好的商业信誉和健全的财务会计制度，</w:t>
      </w:r>
      <w:r>
        <w:rPr>
          <w:rFonts w:hint="default" w:ascii="仿宋" w:hAnsi="仿宋" w:eastAsia="仿宋" w:cs="仿宋"/>
          <w:b w:val="0"/>
          <w:bCs/>
          <w:color w:val="auto"/>
          <w:sz w:val="28"/>
          <w:szCs w:val="28"/>
          <w:highlight w:val="none"/>
          <w:lang w:val="en-US" w:eastAsia="zh-CN"/>
        </w:rPr>
        <w:t>投标人提供202</w:t>
      </w:r>
      <w:r>
        <w:rPr>
          <w:rFonts w:hint="eastAsia" w:ascii="仿宋" w:hAnsi="仿宋" w:eastAsia="仿宋" w:cs="仿宋"/>
          <w:b w:val="0"/>
          <w:bCs/>
          <w:color w:val="auto"/>
          <w:sz w:val="28"/>
          <w:szCs w:val="28"/>
          <w:highlight w:val="none"/>
          <w:lang w:val="en-US" w:eastAsia="zh-CN"/>
        </w:rPr>
        <w:t>4</w:t>
      </w:r>
      <w:r>
        <w:rPr>
          <w:rFonts w:hint="default" w:ascii="仿宋" w:hAnsi="仿宋" w:eastAsia="仿宋" w:cs="仿宋"/>
          <w:b w:val="0"/>
          <w:bCs/>
          <w:color w:val="auto"/>
          <w:sz w:val="28"/>
          <w:szCs w:val="28"/>
          <w:highlight w:val="none"/>
          <w:lang w:val="en-US" w:eastAsia="zh-CN"/>
        </w:rPr>
        <w:t>年度或202</w:t>
      </w:r>
      <w:r>
        <w:rPr>
          <w:rFonts w:hint="eastAsia" w:ascii="仿宋" w:hAnsi="仿宋" w:eastAsia="仿宋" w:cs="仿宋"/>
          <w:b w:val="0"/>
          <w:bCs/>
          <w:color w:val="auto"/>
          <w:sz w:val="28"/>
          <w:szCs w:val="28"/>
          <w:highlight w:val="none"/>
          <w:lang w:val="en-US" w:eastAsia="zh-CN"/>
        </w:rPr>
        <w:t>5</w:t>
      </w:r>
      <w:r>
        <w:rPr>
          <w:rFonts w:hint="default" w:ascii="仿宋" w:hAnsi="仿宋" w:eastAsia="仿宋" w:cs="仿宋"/>
          <w:b w:val="0"/>
          <w:bCs/>
          <w:color w:val="auto"/>
          <w:sz w:val="28"/>
          <w:szCs w:val="28"/>
          <w:highlight w:val="none"/>
          <w:lang w:val="en-US" w:eastAsia="zh-CN"/>
        </w:rPr>
        <w:t>年度经审计的财务报告（“四表一注”包括资产负债表、利润表（损益表）、现金流量表、所有者权益变动表及其附注）及财务状况说明书，或是基本开户银行出具的资信证明或是财政部门认可政府采购专业担保机构出具的投标担保函。扫描件应清晰可辨，否则视为未提供（若为新成立的公司未足1个月的应做出说明）。</w:t>
      </w:r>
    </w:p>
    <w:p>
      <w:pPr>
        <w:shd w:val="clear"/>
        <w:wordWrap w:val="0"/>
        <w:spacing w:after="156" w:afterLines="50" w:line="360" w:lineRule="auto"/>
        <w:ind w:firstLine="561"/>
        <w:jc w:val="left"/>
        <w:rPr>
          <w:rFonts w:hint="default" w:ascii="仿宋" w:hAnsi="仿宋" w:eastAsia="仿宋" w:cs="仿宋"/>
          <w:b w:val="0"/>
          <w:bCs/>
          <w:color w:val="auto"/>
          <w:sz w:val="28"/>
          <w:szCs w:val="28"/>
          <w:highlight w:val="none"/>
        </w:rPr>
      </w:pPr>
      <w:r>
        <w:rPr>
          <w:rFonts w:hint="default" w:ascii="仿宋" w:hAnsi="仿宋" w:eastAsia="仿宋" w:cs="仿宋"/>
          <w:b w:val="0"/>
          <w:bCs/>
          <w:color w:val="auto"/>
          <w:sz w:val="28"/>
          <w:szCs w:val="28"/>
          <w:highlight w:val="none"/>
        </w:rPr>
        <w:t>③</w:t>
      </w:r>
      <w:r>
        <w:rPr>
          <w:rFonts w:hint="default" w:ascii="仿宋" w:hAnsi="仿宋" w:eastAsia="仿宋" w:cs="仿宋"/>
          <w:b w:val="0"/>
          <w:bCs/>
          <w:color w:val="auto"/>
          <w:sz w:val="28"/>
          <w:szCs w:val="28"/>
          <w:highlight w:val="none"/>
          <w:lang w:val="en-US" w:eastAsia="zh-CN"/>
        </w:rPr>
        <w:t>有依法缴纳税收和社会保障金的良好记录</w:t>
      </w:r>
      <w:r>
        <w:rPr>
          <w:rFonts w:hint="default" w:ascii="仿宋" w:hAnsi="仿宋" w:eastAsia="仿宋" w:cs="仿宋"/>
          <w:b w:val="0"/>
          <w:bCs/>
          <w:color w:val="auto"/>
          <w:sz w:val="28"/>
          <w:szCs w:val="28"/>
          <w:highlight w:val="none"/>
        </w:rPr>
        <w:t>，</w:t>
      </w:r>
      <w:r>
        <w:rPr>
          <w:rFonts w:hint="default" w:ascii="仿宋" w:hAnsi="仿宋" w:eastAsia="仿宋" w:cs="仿宋"/>
          <w:b w:val="0"/>
          <w:bCs/>
          <w:color w:val="auto"/>
          <w:sz w:val="28"/>
          <w:szCs w:val="28"/>
          <w:highlight w:val="none"/>
          <w:lang w:val="en-US" w:eastAsia="zh-CN"/>
        </w:rPr>
        <w:t>1.投标人提供202</w:t>
      </w:r>
      <w:r>
        <w:rPr>
          <w:rFonts w:hint="eastAsia" w:ascii="仿宋" w:hAnsi="仿宋" w:eastAsia="仿宋" w:cs="仿宋"/>
          <w:b w:val="0"/>
          <w:bCs/>
          <w:color w:val="auto"/>
          <w:sz w:val="28"/>
          <w:szCs w:val="28"/>
          <w:highlight w:val="none"/>
          <w:lang w:val="en-US" w:eastAsia="zh-CN"/>
        </w:rPr>
        <w:t>5</w:t>
      </w:r>
      <w:r>
        <w:rPr>
          <w:rFonts w:hint="default" w:ascii="仿宋" w:hAnsi="仿宋" w:eastAsia="仿宋" w:cs="仿宋"/>
          <w:b w:val="0"/>
          <w:bCs/>
          <w:color w:val="auto"/>
          <w:sz w:val="28"/>
          <w:szCs w:val="28"/>
          <w:highlight w:val="none"/>
          <w:lang w:val="en-US" w:eastAsia="zh-CN"/>
        </w:rPr>
        <w:t>年6月至今任意连续2个月的依法缴纳税收（税收是指增值税或营业税或企业所得税等）的凭据。如参加政府采购活动前段时间上税为零，提供该段时间税收为零的《增值税或营业税或企业所得税受理等税款申报表》或《增值税或营业税或企业所得税等税款网上办税受理通知单》；依法免税的投标人，提供相应的免税文件证明资料。扫描件应清晰可辨，否则视为未提供。（若为新成立的公司未足3个月的应作出说明）。2.投标人提供202</w:t>
      </w:r>
      <w:r>
        <w:rPr>
          <w:rFonts w:hint="eastAsia" w:ascii="仿宋" w:hAnsi="仿宋" w:eastAsia="仿宋" w:cs="仿宋"/>
          <w:b w:val="0"/>
          <w:bCs/>
          <w:color w:val="auto"/>
          <w:sz w:val="28"/>
          <w:szCs w:val="28"/>
          <w:highlight w:val="none"/>
          <w:lang w:val="en-US" w:eastAsia="zh-CN"/>
        </w:rPr>
        <w:t>5</w:t>
      </w:r>
      <w:r>
        <w:rPr>
          <w:rFonts w:hint="default" w:ascii="仿宋" w:hAnsi="仿宋" w:eastAsia="仿宋" w:cs="仿宋"/>
          <w:b w:val="0"/>
          <w:bCs/>
          <w:color w:val="auto"/>
          <w:sz w:val="28"/>
          <w:szCs w:val="28"/>
          <w:highlight w:val="none"/>
          <w:lang w:val="en-US" w:eastAsia="zh-CN"/>
        </w:rPr>
        <w:t>年6月至今期间（费款所属时期）任意连续2个月的社会保险费缴款书复印件或银行电子缴税（费）凭证复印件或社保管理部门出具的有效的缴款证明复印件；依法不需要缴纳社会保障资金的投标人，须提供相应文件证明其不需要缴纳社会保障资金；成立未满3个月的公司未能提供缴纳社保证明的，需提供书面承诺（社会保险费包括但不限于养老保险、医疗保险、失业保险、工伤保险、生育保险）</w:t>
      </w:r>
      <w:r>
        <w:rPr>
          <w:rFonts w:hint="default" w:ascii="仿宋" w:hAnsi="仿宋" w:eastAsia="仿宋" w:cs="仿宋"/>
          <w:b w:val="0"/>
          <w:bCs/>
          <w:color w:val="auto"/>
          <w:sz w:val="28"/>
          <w:szCs w:val="28"/>
          <w:highlight w:val="none"/>
        </w:rPr>
        <w:t>。</w:t>
      </w:r>
    </w:p>
    <w:p>
      <w:pPr>
        <w:shd w:val="clear"/>
        <w:wordWrap w:val="0"/>
        <w:spacing w:after="156" w:afterLines="50" w:line="360" w:lineRule="auto"/>
        <w:ind w:firstLine="561"/>
        <w:jc w:val="left"/>
        <w:rPr>
          <w:rFonts w:hint="default" w:ascii="仿宋" w:hAnsi="仿宋" w:eastAsia="仿宋" w:cs="仿宋"/>
          <w:b w:val="0"/>
          <w:bCs/>
          <w:color w:val="auto"/>
          <w:sz w:val="28"/>
          <w:szCs w:val="28"/>
          <w:highlight w:val="none"/>
        </w:rPr>
      </w:pPr>
      <w:r>
        <w:rPr>
          <w:rFonts w:hint="default" w:ascii="仿宋" w:hAnsi="仿宋" w:eastAsia="仿宋" w:cs="仿宋"/>
          <w:b w:val="0"/>
          <w:bCs/>
          <w:color w:val="auto"/>
          <w:sz w:val="28"/>
          <w:szCs w:val="28"/>
          <w:highlight w:val="none"/>
        </w:rPr>
        <w:t>④</w:t>
      </w:r>
      <w:r>
        <w:rPr>
          <w:rFonts w:hint="default" w:ascii="仿宋" w:hAnsi="仿宋" w:eastAsia="仿宋" w:cs="仿宋"/>
          <w:b w:val="0"/>
          <w:bCs/>
          <w:color w:val="auto"/>
          <w:sz w:val="28"/>
          <w:szCs w:val="28"/>
          <w:highlight w:val="none"/>
          <w:lang w:val="en-US" w:eastAsia="zh-CN"/>
        </w:rPr>
        <w:t>具有履行合同所必需的设备和专业技术能力</w:t>
      </w:r>
      <w:r>
        <w:rPr>
          <w:rFonts w:hint="default" w:ascii="仿宋" w:hAnsi="仿宋" w:eastAsia="仿宋" w:cs="仿宋"/>
          <w:b w:val="0"/>
          <w:bCs/>
          <w:color w:val="auto"/>
          <w:sz w:val="28"/>
          <w:szCs w:val="28"/>
          <w:highlight w:val="none"/>
        </w:rPr>
        <w:t>，</w:t>
      </w:r>
      <w:r>
        <w:rPr>
          <w:rFonts w:hint="default" w:ascii="仿宋" w:hAnsi="仿宋" w:eastAsia="仿宋" w:cs="仿宋"/>
          <w:b w:val="0"/>
          <w:bCs/>
          <w:color w:val="auto"/>
          <w:sz w:val="28"/>
          <w:szCs w:val="28"/>
          <w:highlight w:val="none"/>
          <w:lang w:val="en-US" w:eastAsia="zh-CN"/>
        </w:rPr>
        <w:t>投标人提供具有履行合同所必须的设备和专业技术能力的相关材料</w:t>
      </w:r>
      <w:r>
        <w:rPr>
          <w:rFonts w:hint="eastAsia" w:ascii="仿宋" w:hAnsi="仿宋" w:eastAsia="仿宋" w:cs="仿宋"/>
          <w:b w:val="0"/>
          <w:bCs/>
          <w:color w:val="auto"/>
          <w:sz w:val="28"/>
          <w:szCs w:val="28"/>
          <w:highlight w:val="none"/>
          <w:lang w:val="en-US" w:eastAsia="zh-CN"/>
        </w:rPr>
        <w:t>。</w:t>
      </w:r>
    </w:p>
    <w:p>
      <w:pPr>
        <w:shd w:val="clear"/>
        <w:wordWrap w:val="0"/>
        <w:spacing w:after="156" w:afterLines="50" w:line="360" w:lineRule="auto"/>
        <w:ind w:firstLine="561"/>
        <w:jc w:val="left"/>
        <w:rPr>
          <w:rFonts w:hint="eastAsia" w:ascii="宋体" w:hAnsi="宋体" w:cs="宋体"/>
          <w:b w:val="0"/>
          <w:bCs w:val="0"/>
          <w:color w:val="auto"/>
          <w:sz w:val="24"/>
          <w:szCs w:val="24"/>
          <w:highlight w:val="none"/>
          <w:lang w:val="en-US" w:eastAsia="zh-CN"/>
        </w:rPr>
      </w:pPr>
      <w:r>
        <w:rPr>
          <w:rFonts w:hint="default" w:ascii="仿宋" w:hAnsi="仿宋" w:eastAsia="仿宋" w:cs="仿宋"/>
          <w:b w:val="0"/>
          <w:bCs/>
          <w:color w:val="auto"/>
          <w:sz w:val="28"/>
          <w:szCs w:val="28"/>
          <w:highlight w:val="none"/>
        </w:rPr>
        <w:t>⑤</w:t>
      </w:r>
      <w:r>
        <w:rPr>
          <w:rFonts w:hint="eastAsia" w:ascii="宋体" w:hAnsi="宋体" w:cs="宋体"/>
          <w:b w:val="0"/>
          <w:bCs w:val="0"/>
          <w:color w:val="auto"/>
          <w:sz w:val="24"/>
          <w:szCs w:val="24"/>
          <w:highlight w:val="none"/>
          <w:lang w:val="en-US" w:eastAsia="zh-CN"/>
        </w:rPr>
        <w:t>落实政府采购政策需满足的资格要求，投标投标人如满足相关政府采购资格，请提供如：《中小企业声明函》或《残疾人福利性单位声明函》或《监狱企业证明文件》，监狱企业、残疾人福利性单位视同小型或微型企业等证明材料。</w:t>
      </w:r>
    </w:p>
    <w:p>
      <w:pPr>
        <w:shd w:val="clear"/>
        <w:wordWrap w:val="0"/>
        <w:spacing w:after="156" w:afterLines="50" w:line="360" w:lineRule="auto"/>
        <w:ind w:firstLine="561"/>
        <w:jc w:val="left"/>
        <w:rPr>
          <w:rFonts w:hint="default" w:ascii="仿宋" w:hAnsi="仿宋" w:eastAsia="仿宋" w:cs="仿宋"/>
          <w:b w:val="0"/>
          <w:bCs/>
          <w:color w:val="auto"/>
          <w:sz w:val="28"/>
          <w:szCs w:val="28"/>
          <w:highlight w:val="none"/>
        </w:rPr>
      </w:pPr>
      <w:r>
        <w:rPr>
          <w:rFonts w:hint="eastAsia" w:ascii="宋体" w:hAnsi="宋体" w:eastAsia="宋体" w:cs="宋体"/>
          <w:b w:val="0"/>
          <w:bCs/>
          <w:color w:val="auto"/>
          <w:sz w:val="28"/>
          <w:szCs w:val="28"/>
          <w:highlight w:val="none"/>
        </w:rPr>
        <w:t>⑥</w:t>
      </w:r>
      <w:r>
        <w:rPr>
          <w:rFonts w:hint="eastAsia" w:ascii="宋体" w:hAnsi="宋体" w:eastAsia="宋体" w:cs="宋体"/>
          <w:b w:val="0"/>
          <w:bCs/>
          <w:color w:val="auto"/>
          <w:sz w:val="28"/>
          <w:szCs w:val="28"/>
          <w:highlight w:val="none"/>
          <w:lang w:val="en-US" w:eastAsia="zh-CN"/>
        </w:rPr>
        <w:t>其他相关证明材料，</w:t>
      </w:r>
      <w:r>
        <w:rPr>
          <w:rFonts w:hint="default" w:ascii="仿宋" w:hAnsi="仿宋" w:eastAsia="仿宋" w:cs="仿宋"/>
          <w:b w:val="0"/>
          <w:bCs/>
          <w:color w:val="auto"/>
          <w:sz w:val="28"/>
          <w:szCs w:val="28"/>
          <w:highlight w:val="none"/>
          <w:lang w:val="en-US" w:eastAsia="zh-CN"/>
        </w:rPr>
        <w:t>1.投标人提供参加此次政府采购活动前3年内，在经营活动中没有重大违法记录以及单位法人为同一人或存在控股、管理关系的不同单位，没有参加同一标段投标或者未划分标段的同一招标项目投标的书面声明；2.不属于联合体投标声明函等。</w:t>
      </w:r>
    </w:p>
    <w:p>
      <w:pPr>
        <w:numPr>
          <w:ilvl w:val="0"/>
          <w:numId w:val="0"/>
        </w:numPr>
        <w:shd w:val="clear"/>
        <w:wordWrap w:val="0"/>
        <w:spacing w:after="156" w:afterLines="50" w:line="360" w:lineRule="auto"/>
        <w:ind w:firstLine="562" w:firstLineChars="200"/>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采购人或采购代理机构完成资格审查后，提交资格审查报告。通过资格审查供应商不足3家的，不再进行</w:t>
      </w:r>
      <w:r>
        <w:rPr>
          <w:rFonts w:hint="eastAsia" w:ascii="仿宋" w:hAnsi="仿宋" w:eastAsia="仿宋" w:cs="仿宋"/>
          <w:b/>
          <w:color w:val="auto"/>
          <w:sz w:val="28"/>
          <w:szCs w:val="28"/>
          <w:highlight w:val="none"/>
          <w:lang w:eastAsia="zh-CN"/>
        </w:rPr>
        <w:t>评审</w:t>
      </w:r>
      <w:r>
        <w:rPr>
          <w:rFonts w:hint="eastAsia" w:ascii="仿宋" w:hAnsi="仿宋" w:eastAsia="仿宋" w:cs="仿宋"/>
          <w:b/>
          <w:color w:val="auto"/>
          <w:sz w:val="28"/>
          <w:szCs w:val="28"/>
          <w:highlight w:val="none"/>
        </w:rPr>
        <w:t>。</w:t>
      </w:r>
    </w:p>
    <w:p>
      <w:pPr>
        <w:numPr>
          <w:ilvl w:val="0"/>
          <w:numId w:val="0"/>
        </w:numPr>
        <w:shd w:val="clear"/>
        <w:wordWrap w:val="0"/>
        <w:spacing w:after="156" w:afterLines="50" w:line="360" w:lineRule="auto"/>
        <w:ind w:firstLine="420" w:firstLineChars="200"/>
        <w:jc w:val="left"/>
        <w:rPr>
          <w:rFonts w:hint="default"/>
          <w:lang w:val="en-US" w:eastAsia="zh-CN"/>
        </w:rPr>
      </w:pPr>
    </w:p>
    <w:p>
      <w:pPr>
        <w:pStyle w:val="2"/>
        <w:pageBreakBefore w:val="0"/>
        <w:kinsoku/>
        <w:wordWrap/>
        <w:overflowPunct/>
        <w:topLinePunct w:val="0"/>
        <w:bidi w:val="0"/>
        <w:spacing w:line="560" w:lineRule="exact"/>
        <w:ind w:firstLine="562" w:firstLineChars="200"/>
        <w:rPr>
          <w:rFonts w:hint="default" w:ascii="Times New Roman" w:hAnsi="Times New Roman" w:eastAsia="方正仿宋_GBK" w:cs="Times New Roman"/>
          <w:b/>
          <w:bCs/>
          <w:color w:val="auto"/>
          <w:sz w:val="28"/>
          <w:szCs w:val="28"/>
          <w:highlight w:val="none"/>
        </w:rPr>
      </w:pPr>
      <w:r>
        <w:rPr>
          <w:rFonts w:hint="default" w:ascii="Times New Roman" w:hAnsi="Times New Roman" w:eastAsia="方正仿宋_GBK" w:cs="Times New Roman"/>
          <w:b/>
          <w:bCs/>
          <w:color w:val="auto"/>
          <w:sz w:val="28"/>
          <w:szCs w:val="28"/>
          <w:highlight w:val="none"/>
        </w:rPr>
        <w:t>2.1.2符合性检查</w:t>
      </w:r>
    </w:p>
    <w:p>
      <w:pPr>
        <w:pStyle w:val="2"/>
        <w:pageBreakBefore w:val="0"/>
        <w:kinsoku/>
        <w:wordWrap/>
        <w:overflowPunct/>
        <w:topLinePunct w:val="0"/>
        <w:bidi w:val="0"/>
        <w:spacing w:line="560" w:lineRule="exact"/>
        <w:ind w:firstLine="560" w:firstLineChars="200"/>
        <w:rPr>
          <w:rFonts w:hint="default" w:ascii="仿宋" w:hAnsi="仿宋" w:eastAsia="仿宋" w:cs="仿宋"/>
          <w:b w:val="0"/>
          <w:bCs/>
          <w:color w:val="auto"/>
          <w:kern w:val="2"/>
          <w:sz w:val="28"/>
          <w:szCs w:val="28"/>
          <w:highlight w:val="none"/>
          <w:lang w:val="en-US" w:eastAsia="zh-CN" w:bidi="ar-SA"/>
        </w:rPr>
      </w:pPr>
      <w:r>
        <w:rPr>
          <w:rFonts w:hint="default" w:ascii="仿宋" w:hAnsi="仿宋" w:eastAsia="仿宋" w:cs="仿宋"/>
          <w:b w:val="0"/>
          <w:bCs/>
          <w:color w:val="auto"/>
          <w:kern w:val="2"/>
          <w:sz w:val="28"/>
          <w:szCs w:val="28"/>
          <w:highlight w:val="none"/>
          <w:lang w:val="en-US" w:eastAsia="zh-CN" w:bidi="ar-SA"/>
        </w:rPr>
        <w:t>小组成员要认真审阅供应商的响应文件，对响应文件中含义不明确、表述不一致或有明细文字和计算错误的内容做必要的澄清，通过符合性检查的供应商方可进入详细评审。符合以下检查标准的，通过符合性检查：</w:t>
      </w:r>
    </w:p>
    <w:tbl>
      <w:tblPr>
        <w:tblStyle w:val="20"/>
        <w:tblW w:w="996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398"/>
        <w:gridCol w:w="605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jc w:val="center"/>
        </w:trPr>
        <w:tc>
          <w:tcPr>
            <w:tcW w:w="1398" w:type="dxa"/>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投标文件格式</w:t>
            </w:r>
          </w:p>
        </w:tc>
        <w:tc>
          <w:tcPr>
            <w:tcW w:w="6057" w:type="dxa"/>
            <w:noWrap w:val="0"/>
            <w:vAlign w:val="center"/>
          </w:tcPr>
          <w:p>
            <w:pPr>
              <w:keepNext w:val="0"/>
              <w:keepLines w:val="0"/>
              <w:pageBreakBefore w:val="0"/>
              <w:widowControl w:val="0"/>
              <w:kinsoku/>
              <w:wordWrap/>
              <w:overflowPunct/>
              <w:topLinePunct w:val="0"/>
              <w:bidi w:val="0"/>
              <w:snapToGrid/>
              <w:spacing w:line="240" w:lineRule="auto"/>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投标文件按招标文件格式及内容要求签署、盖章；</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9" w:hRule="atLeast"/>
          <w:jc w:val="center"/>
        </w:trPr>
        <w:tc>
          <w:tcPr>
            <w:tcW w:w="1398" w:type="dxa"/>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投标函</w:t>
            </w:r>
          </w:p>
        </w:tc>
        <w:tc>
          <w:tcPr>
            <w:tcW w:w="6057" w:type="dxa"/>
            <w:noWrap w:val="0"/>
            <w:vAlign w:val="center"/>
          </w:tcPr>
          <w:p>
            <w:pPr>
              <w:keepNext w:val="0"/>
              <w:keepLines w:val="0"/>
              <w:pageBreakBefore w:val="0"/>
              <w:widowControl w:val="0"/>
              <w:kinsoku/>
              <w:wordWrap/>
              <w:overflowPunct/>
              <w:topLinePunct w:val="0"/>
              <w:bidi w:val="0"/>
              <w:snapToGrid/>
              <w:spacing w:line="240" w:lineRule="auto"/>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 xml:space="preserve">有法定代表人签名或盖章，并加盖单位签章；符合招标文件给定格式及内容；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398" w:type="dxa"/>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投标人法定代表人身份证明书</w:t>
            </w:r>
          </w:p>
        </w:tc>
        <w:tc>
          <w:tcPr>
            <w:tcW w:w="6057" w:type="dxa"/>
            <w:noWrap w:val="0"/>
            <w:vAlign w:val="center"/>
          </w:tcPr>
          <w:p>
            <w:pPr>
              <w:keepNext w:val="0"/>
              <w:keepLines w:val="0"/>
              <w:pageBreakBefore w:val="0"/>
              <w:widowControl w:val="0"/>
              <w:kinsoku/>
              <w:wordWrap/>
              <w:overflowPunct/>
              <w:topLinePunct w:val="0"/>
              <w:bidi w:val="0"/>
              <w:snapToGrid/>
              <w:spacing w:line="240" w:lineRule="auto"/>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 xml:space="preserve">符合招标文件给定格式及内容，并加盖单位签章；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398" w:type="dxa"/>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法定代表人授权委托书</w:t>
            </w:r>
          </w:p>
        </w:tc>
        <w:tc>
          <w:tcPr>
            <w:tcW w:w="6057" w:type="dxa"/>
            <w:noWrap w:val="0"/>
            <w:vAlign w:val="center"/>
          </w:tcPr>
          <w:p>
            <w:pPr>
              <w:keepNext w:val="0"/>
              <w:keepLines w:val="0"/>
              <w:pageBreakBefore w:val="0"/>
              <w:widowControl w:val="0"/>
              <w:kinsoku/>
              <w:wordWrap/>
              <w:overflowPunct/>
              <w:topLinePunct w:val="0"/>
              <w:bidi w:val="0"/>
              <w:snapToGrid/>
              <w:spacing w:line="240" w:lineRule="auto"/>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 xml:space="preserve">有法定代表人签名或签章，并加盖单位签章；符合招标文件给定格式及内容；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398" w:type="dxa"/>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投标报价</w:t>
            </w:r>
          </w:p>
        </w:tc>
        <w:tc>
          <w:tcPr>
            <w:tcW w:w="6057" w:type="dxa"/>
            <w:noWrap w:val="0"/>
            <w:vAlign w:val="center"/>
          </w:tcPr>
          <w:p>
            <w:pPr>
              <w:keepNext w:val="0"/>
              <w:keepLines w:val="0"/>
              <w:pageBreakBefore w:val="0"/>
              <w:widowControl w:val="0"/>
              <w:kinsoku/>
              <w:wordWrap/>
              <w:overflowPunct/>
              <w:topLinePunct w:val="0"/>
              <w:bidi w:val="0"/>
              <w:snapToGrid/>
              <w:spacing w:line="240" w:lineRule="auto"/>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完整，只有一个有效报价且未超过招标文件中规定的预算金额或最高限价；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398" w:type="dxa"/>
            <w:shd w:val="clear" w:color="auto" w:fill="auto"/>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投标有效期</w:t>
            </w:r>
          </w:p>
        </w:tc>
        <w:tc>
          <w:tcPr>
            <w:tcW w:w="6057" w:type="dxa"/>
            <w:shd w:val="clear" w:color="auto" w:fill="auto"/>
            <w:noWrap w:val="0"/>
            <w:vAlign w:val="center"/>
          </w:tcPr>
          <w:p>
            <w:pPr>
              <w:keepNext w:val="0"/>
              <w:keepLines w:val="0"/>
              <w:pageBreakBefore w:val="0"/>
              <w:widowControl w:val="0"/>
              <w:kinsoku/>
              <w:wordWrap/>
              <w:overflowPunct/>
              <w:topLinePunct w:val="0"/>
              <w:bidi w:val="0"/>
              <w:snapToGrid/>
              <w:spacing w:line="240" w:lineRule="auto"/>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90日历天，投标文件中承诺的投标有效期满足招标文件中载明的投标有效期的；</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398" w:type="dxa"/>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相关证明材料</w:t>
            </w:r>
          </w:p>
        </w:tc>
        <w:tc>
          <w:tcPr>
            <w:tcW w:w="6057" w:type="dxa"/>
            <w:noWrap w:val="0"/>
            <w:vAlign w:val="center"/>
          </w:tcPr>
          <w:p>
            <w:pPr>
              <w:keepNext w:val="0"/>
              <w:keepLines w:val="0"/>
              <w:pageBreakBefore w:val="0"/>
              <w:widowControl w:val="0"/>
              <w:numPr>
                <w:ilvl w:val="0"/>
                <w:numId w:val="0"/>
              </w:numPr>
              <w:kinsoku/>
              <w:wordWrap/>
              <w:overflowPunct/>
              <w:topLinePunct w:val="0"/>
              <w:bidi w:val="0"/>
              <w:snapToGrid/>
              <w:spacing w:line="240" w:lineRule="auto"/>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节能环保要求（本次采购产品属于政府强制采购产品类别的，须按照要求提供依 据国家确定的认证机构出具的、处于有效期之内的节能产品认证证书扫描件； 属于政府优先采购产品类别的，须按照要求提供依据国家确定的认证机构出具的、处于有效期之内的节能产品或环境标志产品认证证书扫描件。）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398" w:type="dxa"/>
            <w:noWrap w:val="0"/>
            <w:vAlign w:val="center"/>
          </w:tcPr>
          <w:p>
            <w:pPr>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实质性条件和投标无效</w:t>
            </w:r>
          </w:p>
        </w:tc>
        <w:tc>
          <w:tcPr>
            <w:tcW w:w="6057" w:type="dxa"/>
            <w:noWrap w:val="0"/>
            <w:vAlign w:val="center"/>
          </w:tcPr>
          <w:p>
            <w:pPr>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无招标文件规定的其他投标无效情形。</w:t>
            </w:r>
          </w:p>
        </w:tc>
      </w:tr>
    </w:tbl>
    <w:p>
      <w:pPr>
        <w:shd w:val="clear"/>
        <w:wordWrap w:val="0"/>
        <w:spacing w:after="312" w:afterLines="100" w:line="360" w:lineRule="auto"/>
        <w:ind w:firstLine="3373" w:firstLineChars="1200"/>
        <w:jc w:val="both"/>
        <w:rPr>
          <w:rFonts w:hint="eastAsia" w:ascii="仿宋" w:hAnsi="仿宋" w:eastAsia="仿宋" w:cs="仿宋"/>
          <w:b/>
          <w:color w:val="auto"/>
          <w:sz w:val="28"/>
          <w:szCs w:val="28"/>
          <w:highlight w:val="none"/>
        </w:rPr>
      </w:pPr>
    </w:p>
    <w:p>
      <w:pPr>
        <w:shd w:val="clear"/>
        <w:wordWrap w:val="0"/>
        <w:spacing w:after="312" w:afterLines="100" w:line="360" w:lineRule="auto"/>
        <w:ind w:firstLine="3373" w:firstLineChars="1200"/>
        <w:jc w:val="both"/>
        <w:rPr>
          <w:rFonts w:hint="eastAsia" w:ascii="仿宋" w:hAnsi="仿宋" w:eastAsia="仿宋" w:cs="仿宋"/>
          <w:b/>
          <w:color w:val="auto"/>
          <w:sz w:val="28"/>
          <w:szCs w:val="28"/>
          <w:highlight w:val="none"/>
        </w:rPr>
      </w:pPr>
    </w:p>
    <w:p>
      <w:pPr>
        <w:shd w:val="clear"/>
        <w:wordWrap w:val="0"/>
        <w:spacing w:after="312" w:afterLines="100" w:line="360" w:lineRule="auto"/>
        <w:ind w:firstLine="3373" w:firstLineChars="1200"/>
        <w:jc w:val="both"/>
        <w:rPr>
          <w:rFonts w:hint="eastAsia" w:ascii="仿宋" w:hAnsi="仿宋" w:eastAsia="仿宋" w:cs="仿宋"/>
          <w:b/>
          <w:color w:val="auto"/>
          <w:sz w:val="28"/>
          <w:szCs w:val="28"/>
          <w:highlight w:val="none"/>
        </w:rPr>
      </w:pPr>
    </w:p>
    <w:p>
      <w:pPr>
        <w:shd w:val="clear"/>
        <w:wordWrap w:val="0"/>
        <w:spacing w:after="312" w:afterLines="100" w:line="360" w:lineRule="auto"/>
        <w:ind w:firstLine="3373" w:firstLineChars="1200"/>
        <w:jc w:val="both"/>
        <w:rPr>
          <w:rFonts w:hint="eastAsia" w:ascii="仿宋" w:hAnsi="仿宋" w:eastAsia="仿宋" w:cs="仿宋"/>
          <w:b/>
          <w:color w:val="auto"/>
          <w:sz w:val="28"/>
          <w:szCs w:val="28"/>
          <w:highlight w:val="none"/>
        </w:rPr>
      </w:pPr>
    </w:p>
    <w:p>
      <w:pPr>
        <w:shd w:val="clear"/>
        <w:wordWrap w:val="0"/>
        <w:spacing w:after="312" w:afterLines="100" w:line="360" w:lineRule="auto"/>
        <w:ind w:firstLine="3373" w:firstLineChars="1200"/>
        <w:jc w:val="both"/>
        <w:rPr>
          <w:rFonts w:hint="eastAsia" w:ascii="仿宋" w:hAnsi="仿宋" w:eastAsia="仿宋" w:cs="仿宋"/>
          <w:b/>
          <w:color w:val="auto"/>
          <w:sz w:val="28"/>
          <w:szCs w:val="28"/>
          <w:highlight w:val="none"/>
        </w:rPr>
      </w:pPr>
    </w:p>
    <w:p>
      <w:pPr>
        <w:shd w:val="clear"/>
        <w:wordWrap w:val="0"/>
        <w:spacing w:after="312" w:afterLines="100" w:line="360" w:lineRule="auto"/>
        <w:ind w:firstLine="3373" w:firstLineChars="1200"/>
        <w:jc w:val="both"/>
        <w:rPr>
          <w:rFonts w:hint="eastAsia" w:ascii="仿宋" w:hAnsi="仿宋" w:eastAsia="仿宋" w:cs="仿宋"/>
          <w:b/>
          <w:color w:val="auto"/>
          <w:sz w:val="28"/>
          <w:szCs w:val="28"/>
          <w:highlight w:val="none"/>
        </w:rPr>
      </w:pPr>
    </w:p>
    <w:p>
      <w:pPr>
        <w:shd w:val="clear"/>
        <w:wordWrap w:val="0"/>
        <w:spacing w:after="312" w:afterLines="100" w:line="360" w:lineRule="auto"/>
        <w:ind w:firstLine="3373" w:firstLineChars="1200"/>
        <w:jc w:val="both"/>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第二节 </w:t>
      </w:r>
      <w:r>
        <w:rPr>
          <w:rFonts w:hint="eastAsia" w:ascii="仿宋" w:hAnsi="仿宋" w:eastAsia="仿宋" w:cs="仿宋"/>
          <w:b/>
          <w:color w:val="auto"/>
          <w:sz w:val="28"/>
          <w:szCs w:val="28"/>
          <w:highlight w:val="none"/>
          <w:lang w:eastAsia="zh-CN"/>
        </w:rPr>
        <w:t>评标</w:t>
      </w:r>
      <w:r>
        <w:rPr>
          <w:rFonts w:hint="eastAsia" w:ascii="仿宋" w:hAnsi="仿宋" w:eastAsia="仿宋" w:cs="仿宋"/>
          <w:b/>
          <w:color w:val="auto"/>
          <w:sz w:val="28"/>
          <w:szCs w:val="28"/>
          <w:highlight w:val="none"/>
        </w:rPr>
        <w:t>办法</w:t>
      </w:r>
    </w:p>
    <w:p>
      <w:pPr>
        <w:shd w:val="clear"/>
        <w:wordWrap w:val="0"/>
        <w:spacing w:line="360" w:lineRule="auto"/>
        <w:ind w:firstLine="562" w:firstLineChars="200"/>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1.总则</w:t>
      </w:r>
    </w:p>
    <w:p>
      <w:pPr>
        <w:shd w:val="clear"/>
        <w:wordWrap w:val="0"/>
        <w:spacing w:line="360" w:lineRule="auto"/>
        <w:ind w:firstLine="560" w:firstLineChars="200"/>
        <w:jc w:val="lef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1.1本</w:t>
      </w:r>
      <w:r>
        <w:rPr>
          <w:rFonts w:hint="eastAsia" w:ascii="仿宋" w:hAnsi="仿宋" w:eastAsia="仿宋" w:cs="仿宋"/>
          <w:color w:val="auto"/>
          <w:sz w:val="28"/>
          <w:szCs w:val="28"/>
          <w:highlight w:val="none"/>
          <w:lang w:eastAsia="zh-CN"/>
        </w:rPr>
        <w:t>评审</w:t>
      </w:r>
      <w:r>
        <w:rPr>
          <w:rFonts w:hint="eastAsia" w:ascii="仿宋" w:hAnsi="仿宋" w:eastAsia="仿宋" w:cs="仿宋"/>
          <w:color w:val="auto"/>
          <w:sz w:val="28"/>
          <w:szCs w:val="28"/>
          <w:highlight w:val="none"/>
        </w:rPr>
        <w:t>办法仅适用于景洪市第四中学行政楼报告厅座椅更换采购，</w:t>
      </w:r>
      <w:r>
        <w:rPr>
          <w:rFonts w:hint="eastAsia" w:ascii="仿宋" w:hAnsi="仿宋" w:eastAsia="仿宋" w:cs="仿宋"/>
          <w:color w:val="auto"/>
          <w:sz w:val="28"/>
          <w:szCs w:val="28"/>
          <w:highlight w:val="none"/>
          <w:lang w:val="en-US" w:eastAsia="zh-CN"/>
        </w:rPr>
        <w:t>包件</w:t>
      </w:r>
      <w:r>
        <w:rPr>
          <w:rFonts w:hint="eastAsia" w:ascii="仿宋" w:hAnsi="仿宋" w:eastAsia="仿宋" w:cs="仿宋"/>
          <w:color w:val="auto"/>
          <w:sz w:val="28"/>
          <w:szCs w:val="28"/>
          <w:highlight w:val="none"/>
        </w:rPr>
        <w:t>编</w:t>
      </w:r>
      <w:r>
        <w:rPr>
          <w:rFonts w:hint="eastAsia" w:ascii="仿宋" w:hAnsi="仿宋" w:eastAsia="仿宋" w:cs="仿宋"/>
          <w:color w:val="auto"/>
          <w:sz w:val="28"/>
          <w:szCs w:val="28"/>
          <w:highlight w:val="none"/>
          <w:lang w:val="en-US" w:eastAsia="zh-CN"/>
        </w:rPr>
        <w:t>号：XSBNZC2026-G1-00228-JHSG-0012根</w:t>
      </w:r>
      <w:r>
        <w:rPr>
          <w:rFonts w:hint="eastAsia" w:ascii="仿宋" w:hAnsi="仿宋" w:eastAsia="仿宋" w:cs="仿宋"/>
          <w:color w:val="auto"/>
          <w:sz w:val="28"/>
          <w:szCs w:val="28"/>
          <w:highlight w:val="none"/>
        </w:rPr>
        <w:t>据《中华人民共和国政府采购法》、《中华人民共和国政府采购法实施条例》和《政府采购货物和服务招标投标管理办法》等有关法律法规的规定</w:t>
      </w:r>
      <w:r>
        <w:rPr>
          <w:rFonts w:hint="eastAsia" w:ascii="仿宋" w:hAnsi="仿宋" w:eastAsia="仿宋" w:cs="仿宋"/>
          <w:bCs/>
          <w:color w:val="auto"/>
          <w:sz w:val="28"/>
          <w:szCs w:val="28"/>
          <w:highlight w:val="none"/>
        </w:rPr>
        <w:t>，结合本项目实际情况制定本办法。</w:t>
      </w:r>
    </w:p>
    <w:p>
      <w:pPr>
        <w:shd w:val="clear"/>
        <w:wordWrap w:val="0"/>
        <w:spacing w:line="360" w:lineRule="auto"/>
        <w:ind w:firstLine="560"/>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1.2采购人、采购代理机构采取必要措施，保证评标在严格保密的情况下进行。除采购人代表、监督人员、评标现场组织人员外，采购人的其他工作人员以及与评标工作无关的人员不得进入评标现场。有关人员对评标情况以及在评标过程中获悉的国家秘密、商业秘密负有保密责任。</w:t>
      </w:r>
    </w:p>
    <w:p>
      <w:pPr>
        <w:shd w:val="clear"/>
        <w:wordWrap w:val="0"/>
        <w:spacing w:line="360" w:lineRule="auto"/>
        <w:ind w:firstLine="560"/>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1.3评标委员会应当严格遵守评标工作纪律，按照客观、公正、审慎的原则，根据招标文件规定的评标方法和程序、评审因素和标准进行独立评审。</w:t>
      </w:r>
    </w:p>
    <w:p>
      <w:pPr>
        <w:shd w:val="clear"/>
        <w:wordWrap w:val="0"/>
        <w:spacing w:line="360" w:lineRule="auto"/>
        <w:ind w:firstLine="560" w:firstLineChars="200"/>
        <w:jc w:val="left"/>
        <w:rPr>
          <w:rFonts w:hint="eastAsia" w:ascii="仿宋" w:hAnsi="仿宋" w:eastAsia="仿宋" w:cs="仿宋"/>
          <w:color w:val="auto"/>
          <w:kern w:val="1"/>
          <w:sz w:val="28"/>
          <w:szCs w:val="28"/>
          <w:highlight w:val="none"/>
        </w:rPr>
      </w:pPr>
      <w:r>
        <w:rPr>
          <w:rFonts w:hint="eastAsia" w:ascii="仿宋" w:hAnsi="仿宋" w:eastAsia="仿宋" w:cs="仿宋"/>
          <w:bCs/>
          <w:color w:val="auto"/>
          <w:kern w:val="1"/>
          <w:sz w:val="28"/>
          <w:szCs w:val="28"/>
          <w:highlight w:val="none"/>
        </w:rPr>
        <w:t>1.4</w:t>
      </w:r>
      <w:r>
        <w:rPr>
          <w:rFonts w:hint="eastAsia" w:ascii="仿宋" w:hAnsi="仿宋" w:eastAsia="仿宋" w:cs="仿宋"/>
          <w:color w:val="auto"/>
          <w:kern w:val="1"/>
          <w:sz w:val="28"/>
          <w:szCs w:val="28"/>
          <w:highlight w:val="none"/>
        </w:rPr>
        <w:t>评标过程中如遇特殊问题，由评标委员会根据</w:t>
      </w:r>
      <w:r>
        <w:rPr>
          <w:rFonts w:hint="eastAsia" w:ascii="仿宋" w:hAnsi="仿宋" w:eastAsia="仿宋" w:cs="仿宋"/>
          <w:bCs/>
          <w:color w:val="auto"/>
          <w:kern w:val="1"/>
          <w:sz w:val="28"/>
          <w:szCs w:val="28"/>
          <w:highlight w:val="none"/>
        </w:rPr>
        <w:t>有关法律法规以及招标文件的规定</w:t>
      </w:r>
      <w:r>
        <w:rPr>
          <w:rFonts w:hint="eastAsia" w:ascii="仿宋" w:hAnsi="仿宋" w:eastAsia="仿宋" w:cs="仿宋"/>
          <w:color w:val="auto"/>
          <w:kern w:val="1"/>
          <w:sz w:val="28"/>
          <w:szCs w:val="28"/>
          <w:highlight w:val="none"/>
        </w:rPr>
        <w:t>研究决定。</w:t>
      </w:r>
    </w:p>
    <w:p>
      <w:pPr>
        <w:shd w:val="clear"/>
        <w:wordWrap w:val="0"/>
        <w:spacing w:line="360" w:lineRule="auto"/>
        <w:ind w:firstLine="562" w:firstLineChars="200"/>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2.</w:t>
      </w:r>
      <w:r>
        <w:rPr>
          <w:rFonts w:hint="eastAsia" w:ascii="仿宋" w:hAnsi="仿宋" w:eastAsia="仿宋" w:cs="仿宋"/>
          <w:b/>
          <w:color w:val="auto"/>
          <w:sz w:val="28"/>
          <w:szCs w:val="28"/>
          <w:highlight w:val="none"/>
          <w:lang w:eastAsia="zh-CN"/>
        </w:rPr>
        <w:t>评标</w:t>
      </w:r>
      <w:r>
        <w:rPr>
          <w:rFonts w:hint="eastAsia" w:ascii="仿宋" w:hAnsi="仿宋" w:eastAsia="仿宋" w:cs="仿宋"/>
          <w:b/>
          <w:color w:val="auto"/>
          <w:sz w:val="28"/>
          <w:szCs w:val="28"/>
          <w:highlight w:val="none"/>
        </w:rPr>
        <w:t>程序</w:t>
      </w:r>
    </w:p>
    <w:p>
      <w:pPr>
        <w:pStyle w:val="2"/>
        <w:shd w:val="clear"/>
        <w:wordWrap w:val="0"/>
        <w:spacing w:after="156" w:afterLines="50" w:line="360" w:lineRule="auto"/>
        <w:ind w:firstLine="560" w:firstLineChars="200"/>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lang w:eastAsia="zh-CN"/>
        </w:rPr>
        <w:t>评标委员会</w:t>
      </w:r>
      <w:r>
        <w:rPr>
          <w:rFonts w:hint="eastAsia" w:ascii="仿宋" w:hAnsi="仿宋" w:eastAsia="仿宋" w:cs="仿宋"/>
          <w:color w:val="auto"/>
          <w:sz w:val="28"/>
          <w:szCs w:val="28"/>
          <w:highlight w:val="none"/>
        </w:rPr>
        <w:t>成员要认真审阅供应商的投标文件，对投标文件中含义不明确、表述不一致或有明细文字和计算错误的内容做必要的澄清。</w:t>
      </w:r>
    </w:p>
    <w:p>
      <w:pPr>
        <w:shd w:val="clear"/>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2.1</w:t>
      </w:r>
      <w:r>
        <w:rPr>
          <w:rFonts w:hint="eastAsia" w:ascii="仿宋" w:hAnsi="仿宋" w:eastAsia="仿宋" w:cs="仿宋"/>
          <w:bCs/>
          <w:color w:val="auto"/>
          <w:sz w:val="28"/>
          <w:szCs w:val="28"/>
          <w:highlight w:val="none"/>
          <w:lang w:val="en-US" w:eastAsia="zh-CN"/>
        </w:rPr>
        <w:t>.1</w:t>
      </w:r>
      <w:r>
        <w:rPr>
          <w:rFonts w:hint="eastAsia" w:ascii="仿宋" w:hAnsi="仿宋" w:eastAsia="仿宋" w:cs="仿宋"/>
          <w:bCs/>
          <w:color w:val="auto"/>
          <w:sz w:val="28"/>
          <w:szCs w:val="28"/>
          <w:highlight w:val="none"/>
          <w:lang w:eastAsia="zh-CN"/>
        </w:rPr>
        <w:t>投标</w:t>
      </w:r>
      <w:r>
        <w:rPr>
          <w:rFonts w:hint="eastAsia" w:ascii="仿宋" w:hAnsi="仿宋" w:eastAsia="仿宋" w:cs="仿宋"/>
          <w:bCs/>
          <w:color w:val="auto"/>
          <w:sz w:val="28"/>
          <w:szCs w:val="28"/>
          <w:highlight w:val="none"/>
        </w:rPr>
        <w:t>文件计算错误的修正</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eastAsia="zh-CN"/>
        </w:rPr>
        <w:t>投</w:t>
      </w:r>
      <w:r>
        <w:rPr>
          <w:rFonts w:hint="eastAsia" w:ascii="仿宋" w:hAnsi="仿宋" w:eastAsia="仿宋" w:cs="仿宋"/>
          <w:color w:val="auto"/>
          <w:sz w:val="28"/>
          <w:szCs w:val="28"/>
          <w:highlight w:val="none"/>
          <w:lang w:eastAsia="zh-CN"/>
        </w:rPr>
        <w:t>标</w:t>
      </w:r>
      <w:r>
        <w:rPr>
          <w:rFonts w:hint="eastAsia" w:ascii="仿宋" w:hAnsi="仿宋" w:eastAsia="仿宋" w:cs="仿宋"/>
          <w:color w:val="auto"/>
          <w:sz w:val="28"/>
          <w:szCs w:val="28"/>
          <w:highlight w:val="none"/>
        </w:rPr>
        <w:t>文件报价出现前后不一致的，按照下列规定修正：</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bCs/>
          <w:color w:val="auto"/>
          <w:sz w:val="28"/>
          <w:szCs w:val="28"/>
          <w:highlight w:val="none"/>
          <w:lang w:eastAsia="zh-CN"/>
        </w:rPr>
        <w:t>投</w:t>
      </w:r>
      <w:r>
        <w:rPr>
          <w:rFonts w:hint="eastAsia" w:ascii="仿宋" w:hAnsi="仿宋" w:eastAsia="仿宋" w:cs="仿宋"/>
          <w:color w:val="auto"/>
          <w:sz w:val="28"/>
          <w:szCs w:val="28"/>
          <w:highlight w:val="none"/>
          <w:lang w:eastAsia="zh-CN"/>
        </w:rPr>
        <w:t>标</w:t>
      </w:r>
      <w:r>
        <w:rPr>
          <w:rFonts w:hint="eastAsia" w:ascii="仿宋" w:hAnsi="仿宋" w:eastAsia="仿宋" w:cs="仿宋"/>
          <w:color w:val="auto"/>
          <w:sz w:val="28"/>
          <w:szCs w:val="28"/>
          <w:highlight w:val="none"/>
        </w:rPr>
        <w:t>文件中投标报价一览表内容与投标文件中相应内容不一致的，以</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报价一览表为准。</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报价一览表同开标记录表，供应商填写的</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报价一览表与开标记录表的内容应保持一致，否则其</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文件做无效标书处理。</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（2）大写金额和小写金额不一致的，以大写金额为准。</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（3）单价金额小数点或者百分比有明显错位的，以报价一览表的总价为准，并修改单价。</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（4）总价金额与按单价汇总金额不一致的，以单价金额计算结果为准。</w:t>
      </w:r>
    </w:p>
    <w:p>
      <w:pPr>
        <w:shd w:val="clear"/>
        <w:wordWrap w:val="0"/>
        <w:spacing w:before="156" w:beforeLines="50" w:line="360" w:lineRule="auto"/>
        <w:ind w:firstLine="560" w:firstLineChars="200"/>
        <w:jc w:val="lef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同时出现两种以上不一致的，按照前款规定的顺序修正。修正后的报价按照</w:t>
      </w:r>
      <w:r>
        <w:rPr>
          <w:rFonts w:hint="eastAsia" w:ascii="仿宋" w:hAnsi="仿宋" w:eastAsia="仿宋" w:cs="仿宋"/>
          <w:color w:val="auto"/>
          <w:sz w:val="28"/>
          <w:szCs w:val="28"/>
          <w:highlight w:val="none"/>
          <w:lang w:eastAsia="zh-CN"/>
        </w:rPr>
        <w:t>招标</w:t>
      </w:r>
      <w:r>
        <w:rPr>
          <w:rFonts w:hint="eastAsia" w:ascii="仿宋" w:hAnsi="仿宋" w:eastAsia="仿宋" w:cs="仿宋"/>
          <w:color w:val="auto"/>
          <w:sz w:val="28"/>
          <w:szCs w:val="28"/>
          <w:highlight w:val="none"/>
        </w:rPr>
        <w:t>文件第三章第二节第2.3款的规定经供应商确认后产生约束力，供应商不予确认的，其投标无效。</w:t>
      </w:r>
    </w:p>
    <w:p>
      <w:pPr>
        <w:shd w:val="clear"/>
        <w:wordWrap w:val="0"/>
        <w:spacing w:before="156" w:beforeLines="50" w:line="360" w:lineRule="auto"/>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2.1.</w:t>
      </w:r>
      <w:r>
        <w:rPr>
          <w:rFonts w:hint="eastAsia" w:ascii="仿宋" w:hAnsi="仿宋" w:eastAsia="仿宋" w:cs="仿宋"/>
          <w:bCs/>
          <w:color w:val="auto"/>
          <w:sz w:val="28"/>
          <w:szCs w:val="28"/>
          <w:highlight w:val="none"/>
          <w:lang w:val="en-US" w:eastAsia="zh-CN"/>
        </w:rPr>
        <w:t>2</w:t>
      </w:r>
      <w:r>
        <w:rPr>
          <w:rFonts w:hint="eastAsia" w:ascii="仿宋" w:hAnsi="仿宋" w:eastAsia="仿宋" w:cs="仿宋"/>
          <w:bCs/>
          <w:color w:val="auto"/>
          <w:sz w:val="28"/>
          <w:szCs w:val="28"/>
          <w:highlight w:val="none"/>
          <w:lang w:eastAsia="zh-CN"/>
        </w:rPr>
        <w:t>评标委员会</w:t>
      </w:r>
      <w:r>
        <w:rPr>
          <w:rFonts w:hint="eastAsia" w:ascii="仿宋" w:hAnsi="仿宋" w:eastAsia="仿宋" w:cs="仿宋"/>
          <w:bCs/>
          <w:color w:val="auto"/>
          <w:sz w:val="28"/>
          <w:szCs w:val="28"/>
          <w:highlight w:val="none"/>
        </w:rPr>
        <w:t>认为供应商的报价明显低于其他通过符合性审查供应商的报价，有可能影响产品质量或者不能诚信履约的，应当要求其在</w:t>
      </w:r>
      <w:r>
        <w:rPr>
          <w:rFonts w:hint="eastAsia" w:ascii="仿宋" w:hAnsi="仿宋" w:eastAsia="仿宋" w:cs="仿宋"/>
          <w:bCs/>
          <w:color w:val="auto"/>
          <w:sz w:val="28"/>
          <w:szCs w:val="28"/>
          <w:highlight w:val="none"/>
          <w:lang w:eastAsia="zh-CN"/>
        </w:rPr>
        <w:t>评审</w:t>
      </w:r>
      <w:r>
        <w:rPr>
          <w:rFonts w:hint="eastAsia" w:ascii="仿宋" w:hAnsi="仿宋" w:eastAsia="仿宋" w:cs="仿宋"/>
          <w:bCs/>
          <w:color w:val="auto"/>
          <w:sz w:val="28"/>
          <w:szCs w:val="28"/>
          <w:highlight w:val="none"/>
        </w:rPr>
        <w:t>现场合理的时间内提供书面说明，必要时提交相关证明材料；供应商不能证明其报价合理性的，</w:t>
      </w:r>
      <w:r>
        <w:rPr>
          <w:rFonts w:hint="eastAsia" w:ascii="仿宋" w:hAnsi="仿宋" w:eastAsia="仿宋" w:cs="仿宋"/>
          <w:bCs/>
          <w:color w:val="auto"/>
          <w:sz w:val="28"/>
          <w:szCs w:val="28"/>
          <w:highlight w:val="none"/>
          <w:lang w:eastAsia="zh-CN"/>
        </w:rPr>
        <w:t>评标委员会</w:t>
      </w:r>
      <w:r>
        <w:rPr>
          <w:rFonts w:hint="eastAsia" w:ascii="仿宋" w:hAnsi="仿宋" w:eastAsia="仿宋" w:cs="仿宋"/>
          <w:bCs/>
          <w:color w:val="auto"/>
          <w:sz w:val="28"/>
          <w:szCs w:val="28"/>
          <w:highlight w:val="none"/>
        </w:rPr>
        <w:t>应当将其作为无效投标处理。</w:t>
      </w:r>
    </w:p>
    <w:p>
      <w:pPr>
        <w:shd w:val="clear"/>
        <w:wordWrap w:val="0"/>
        <w:spacing w:line="360" w:lineRule="auto"/>
        <w:ind w:firstLine="562" w:firstLineChars="200"/>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2.2 详细评审</w:t>
      </w:r>
    </w:p>
    <w:p>
      <w:pPr>
        <w:shd w:val="clear"/>
        <w:wordWrap w:val="0"/>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2.2.1 本项目的</w:t>
      </w:r>
      <w:r>
        <w:rPr>
          <w:rFonts w:hint="eastAsia" w:ascii="仿宋" w:hAnsi="仿宋" w:eastAsia="仿宋" w:cs="仿宋"/>
          <w:color w:val="auto"/>
          <w:sz w:val="28"/>
          <w:szCs w:val="28"/>
          <w:highlight w:val="none"/>
          <w:lang w:eastAsia="zh-CN"/>
        </w:rPr>
        <w:t>评标</w:t>
      </w:r>
      <w:r>
        <w:rPr>
          <w:rFonts w:hint="eastAsia" w:ascii="仿宋" w:hAnsi="仿宋" w:eastAsia="仿宋" w:cs="仿宋"/>
          <w:color w:val="auto"/>
          <w:sz w:val="28"/>
          <w:szCs w:val="28"/>
          <w:highlight w:val="none"/>
        </w:rPr>
        <w:t>方法为综合评分法，综合评分法是指</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文件满足</w:t>
      </w:r>
      <w:r>
        <w:rPr>
          <w:rFonts w:hint="eastAsia" w:ascii="仿宋" w:hAnsi="仿宋" w:eastAsia="仿宋" w:cs="仿宋"/>
          <w:color w:val="auto"/>
          <w:sz w:val="28"/>
          <w:szCs w:val="28"/>
          <w:highlight w:val="none"/>
          <w:lang w:eastAsia="zh-CN"/>
        </w:rPr>
        <w:t>招标</w:t>
      </w:r>
      <w:r>
        <w:rPr>
          <w:rFonts w:hint="eastAsia" w:ascii="仿宋" w:hAnsi="仿宋" w:eastAsia="仿宋" w:cs="仿宋"/>
          <w:color w:val="auto"/>
          <w:sz w:val="28"/>
          <w:szCs w:val="28"/>
          <w:highlight w:val="none"/>
        </w:rPr>
        <w:t>文件全部实质性要求，且按照评审因素的量化指标评</w:t>
      </w:r>
      <w:r>
        <w:rPr>
          <w:rFonts w:hint="eastAsia" w:ascii="仿宋" w:hAnsi="仿宋" w:eastAsia="仿宋" w:cs="仿宋"/>
          <w:color w:val="auto"/>
          <w:sz w:val="28"/>
          <w:szCs w:val="28"/>
          <w:highlight w:val="none"/>
          <w:lang w:eastAsia="zh-CN"/>
        </w:rPr>
        <w:t>标</w:t>
      </w:r>
      <w:r>
        <w:rPr>
          <w:rFonts w:hint="eastAsia" w:ascii="仿宋" w:hAnsi="仿宋" w:eastAsia="仿宋" w:cs="仿宋"/>
          <w:color w:val="auto"/>
          <w:sz w:val="28"/>
          <w:szCs w:val="28"/>
          <w:highlight w:val="none"/>
        </w:rPr>
        <w:t>得分最高的供应商为中标候选人的</w:t>
      </w:r>
      <w:r>
        <w:rPr>
          <w:rFonts w:hint="eastAsia" w:ascii="仿宋" w:hAnsi="仿宋" w:eastAsia="仿宋" w:cs="仿宋"/>
          <w:color w:val="auto"/>
          <w:sz w:val="28"/>
          <w:szCs w:val="28"/>
          <w:highlight w:val="none"/>
          <w:lang w:eastAsia="zh-CN"/>
        </w:rPr>
        <w:t>评标</w:t>
      </w:r>
      <w:r>
        <w:rPr>
          <w:rFonts w:hint="eastAsia" w:ascii="仿宋" w:hAnsi="仿宋" w:eastAsia="仿宋" w:cs="仿宋"/>
          <w:color w:val="auto"/>
          <w:sz w:val="28"/>
          <w:szCs w:val="28"/>
          <w:highlight w:val="none"/>
        </w:rPr>
        <w:t>方法。</w:t>
      </w:r>
    </w:p>
    <w:p>
      <w:pPr>
        <w:shd w:val="clear"/>
        <w:wordWrap w:val="0"/>
        <w:spacing w:line="360" w:lineRule="auto"/>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2.2.2评分标准</w:t>
      </w:r>
    </w:p>
    <w:p>
      <w:pPr>
        <w:shd w:val="clear"/>
        <w:wordWrap w:val="0"/>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评标委员会</w:t>
      </w:r>
      <w:r>
        <w:rPr>
          <w:rFonts w:hint="eastAsia" w:ascii="仿宋" w:hAnsi="仿宋" w:eastAsia="仿宋" w:cs="仿宋"/>
          <w:color w:val="auto"/>
          <w:sz w:val="28"/>
          <w:szCs w:val="28"/>
          <w:highlight w:val="none"/>
        </w:rPr>
        <w:t>对通过初步评审的供应商的技术部分、商务部分和报价部分进行评审和比较，并量化打分。</w:t>
      </w:r>
    </w:p>
    <w:p>
      <w:pPr>
        <w:shd w:val="clear"/>
        <w:wordWrap w:val="0"/>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（2）供应商的技术部分和商务部分的得分分别为所有评委评分的算术平均值。</w:t>
      </w:r>
    </w:p>
    <w:p>
      <w:pPr>
        <w:shd w:val="clear"/>
        <w:wordWrap w:val="0"/>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评标</w:t>
      </w:r>
      <w:r>
        <w:rPr>
          <w:rFonts w:hint="eastAsia" w:ascii="仿宋" w:hAnsi="仿宋" w:eastAsia="仿宋" w:cs="仿宋"/>
          <w:color w:val="auto"/>
          <w:sz w:val="28"/>
          <w:szCs w:val="28"/>
          <w:highlight w:val="none"/>
        </w:rPr>
        <w:t>过程中，不得去掉报价中的最高报价和最低报价。因落实政府采购政策进行价格调整的，以调整后的价格计算</w:t>
      </w:r>
      <w:r>
        <w:rPr>
          <w:rFonts w:hint="eastAsia" w:ascii="仿宋" w:hAnsi="仿宋" w:eastAsia="仿宋" w:cs="仿宋"/>
          <w:color w:val="auto"/>
          <w:sz w:val="28"/>
          <w:szCs w:val="28"/>
          <w:highlight w:val="none"/>
          <w:lang w:eastAsia="zh-CN"/>
        </w:rPr>
        <w:t>评标</w:t>
      </w:r>
      <w:r>
        <w:rPr>
          <w:rFonts w:hint="eastAsia" w:ascii="仿宋" w:hAnsi="仿宋" w:eastAsia="仿宋" w:cs="仿宋"/>
          <w:color w:val="auto"/>
          <w:sz w:val="28"/>
          <w:szCs w:val="28"/>
          <w:highlight w:val="none"/>
        </w:rPr>
        <w:t>基准价和投标报价。</w:t>
      </w:r>
    </w:p>
    <w:p>
      <w:pPr>
        <w:shd w:val="clear"/>
        <w:wordWrap w:val="0"/>
        <w:spacing w:after="156" w:afterLines="50"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（4）具体的评分标准如下：</w:t>
      </w:r>
    </w:p>
    <w:p>
      <w:pPr>
        <w:shd w:val="clear"/>
        <w:spacing w:line="500" w:lineRule="exact"/>
        <w:jc w:val="center"/>
        <w:rPr>
          <w:rFonts w:hint="eastAsia" w:ascii="仿宋" w:hAnsi="仿宋" w:eastAsia="仿宋" w:cs="仿宋"/>
          <w:b/>
          <w:color w:val="auto"/>
          <w:sz w:val="28"/>
          <w:szCs w:val="28"/>
          <w:highlight w:val="none"/>
        </w:rPr>
      </w:pPr>
      <w:bookmarkStart w:id="113" w:name="_Toc212"/>
      <w:r>
        <w:rPr>
          <w:rFonts w:hint="eastAsia" w:ascii="仿宋" w:hAnsi="仿宋" w:eastAsia="仿宋" w:cs="仿宋"/>
          <w:b/>
          <w:bCs/>
          <w:color w:val="auto"/>
          <w:sz w:val="28"/>
          <w:szCs w:val="28"/>
          <w:highlight w:val="none"/>
        </w:rPr>
        <w:t>评审标准</w:t>
      </w:r>
      <w:bookmarkEnd w:id="113"/>
    </w:p>
    <w:tbl>
      <w:tblPr>
        <w:tblStyle w:val="20"/>
        <w:tblW w:w="996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43"/>
        <w:gridCol w:w="1264"/>
        <w:gridCol w:w="1398"/>
        <w:gridCol w:w="605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8" w:hRule="atLeast"/>
          <w:jc w:val="center"/>
        </w:trPr>
        <w:tc>
          <w:tcPr>
            <w:tcW w:w="1243" w:type="dxa"/>
            <w:noWrap w:val="0"/>
            <w:vAlign w:val="center"/>
          </w:tcPr>
          <w:p>
            <w:pPr>
              <w:keepNext w:val="0"/>
              <w:keepLines w:val="0"/>
              <w:pageBreakBefore w:val="0"/>
              <w:widowControl w:val="0"/>
              <w:kinsoku/>
              <w:wordWrap/>
              <w:overflowPunct/>
              <w:topLinePunct w:val="0"/>
              <w:bidi w:val="0"/>
              <w:adjustRightInd/>
              <w:snapToGrid/>
              <w:spacing w:after="0" w:line="240" w:lineRule="auto"/>
              <w:ind w:left="0" w:leftChars="0"/>
              <w:jc w:val="center"/>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color w:val="auto"/>
                <w:sz w:val="24"/>
                <w:szCs w:val="24"/>
                <w:highlight w:val="none"/>
              </w:rPr>
              <w:t>条款号</w:t>
            </w:r>
          </w:p>
        </w:tc>
        <w:tc>
          <w:tcPr>
            <w:tcW w:w="2662" w:type="dxa"/>
            <w:gridSpan w:val="2"/>
            <w:noWrap w:val="0"/>
            <w:vAlign w:val="center"/>
          </w:tcPr>
          <w:p>
            <w:pPr>
              <w:keepNext w:val="0"/>
              <w:keepLines w:val="0"/>
              <w:pageBreakBefore w:val="0"/>
              <w:widowControl w:val="0"/>
              <w:kinsoku/>
              <w:wordWrap/>
              <w:overflowPunct/>
              <w:topLinePunct w:val="0"/>
              <w:bidi w:val="0"/>
              <w:adjustRightInd/>
              <w:snapToGrid/>
              <w:spacing w:after="0" w:line="240" w:lineRule="auto"/>
              <w:ind w:left="0" w:leftChars="0"/>
              <w:jc w:val="center"/>
              <w:textAlignment w:val="auto"/>
              <w:rPr>
                <w:rFonts w:hint="eastAsia" w:ascii="仿宋" w:hAnsi="仿宋" w:eastAsia="仿宋" w:cs="仿宋"/>
                <w:color w:val="auto"/>
                <w:sz w:val="21"/>
                <w:szCs w:val="21"/>
                <w:highlight w:val="none"/>
              </w:rPr>
            </w:pPr>
            <w:r>
              <w:rPr>
                <w:rFonts w:hint="eastAsia" w:ascii="仿宋" w:hAnsi="仿宋" w:eastAsia="仿宋" w:cs="仿宋"/>
                <w:b/>
                <w:color w:val="auto"/>
                <w:sz w:val="24"/>
                <w:szCs w:val="24"/>
                <w:highlight w:val="none"/>
              </w:rPr>
              <w:t>条款内容</w:t>
            </w:r>
          </w:p>
        </w:tc>
        <w:tc>
          <w:tcPr>
            <w:tcW w:w="6057" w:type="dxa"/>
            <w:noWrap w:val="0"/>
            <w:vAlign w:val="center"/>
          </w:tcPr>
          <w:p>
            <w:pPr>
              <w:keepNext w:val="0"/>
              <w:keepLines w:val="0"/>
              <w:pageBreakBefore w:val="0"/>
              <w:widowControl w:val="0"/>
              <w:kinsoku/>
              <w:wordWrap/>
              <w:overflowPunct/>
              <w:topLinePunct w:val="0"/>
              <w:bidi w:val="0"/>
              <w:adjustRightInd/>
              <w:snapToGrid/>
              <w:spacing w:after="0" w:line="240" w:lineRule="auto"/>
              <w:ind w:left="0" w:leftChars="0"/>
              <w:jc w:val="center"/>
              <w:textAlignment w:val="auto"/>
              <w:rPr>
                <w:rFonts w:hint="eastAsia" w:ascii="仿宋" w:hAnsi="仿宋" w:eastAsia="仿宋" w:cs="仿宋"/>
                <w:color w:val="auto"/>
                <w:sz w:val="21"/>
                <w:szCs w:val="21"/>
                <w:highlight w:val="none"/>
              </w:rPr>
            </w:pPr>
            <w:r>
              <w:rPr>
                <w:rFonts w:hint="eastAsia" w:ascii="仿宋" w:hAnsi="仿宋" w:eastAsia="仿宋" w:cs="仿宋"/>
                <w:b/>
                <w:color w:val="auto"/>
                <w:sz w:val="24"/>
                <w:szCs w:val="24"/>
                <w:highlight w:val="none"/>
              </w:rPr>
              <w:t>编列内容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243" w:type="dxa"/>
            <w:vMerge w:val="restart"/>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p>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p>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p>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p>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p>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p>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p>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1</w:t>
            </w:r>
          </w:p>
        </w:tc>
        <w:tc>
          <w:tcPr>
            <w:tcW w:w="2662" w:type="dxa"/>
            <w:gridSpan w:val="2"/>
            <w:vMerge w:val="restart"/>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分值构成</w:t>
            </w:r>
          </w:p>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（满分100分）</w:t>
            </w:r>
          </w:p>
        </w:tc>
        <w:tc>
          <w:tcPr>
            <w:tcW w:w="6057" w:type="dxa"/>
            <w:noWrap w:val="0"/>
            <w:vAlign w:val="center"/>
          </w:tcPr>
          <w:p>
            <w:pPr>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b w:val="0"/>
                <w:color w:val="auto"/>
                <w:spacing w:val="0"/>
                <w:kern w:val="2"/>
                <w:sz w:val="21"/>
                <w:szCs w:val="21"/>
                <w:highlight w:val="none"/>
              </w:rPr>
            </w:pPr>
            <w:r>
              <w:rPr>
                <w:rFonts w:hint="eastAsia" w:ascii="仿宋" w:hAnsi="仿宋" w:eastAsia="仿宋" w:cs="仿宋"/>
                <w:b w:val="0"/>
                <w:color w:val="auto"/>
                <w:spacing w:val="0"/>
                <w:kern w:val="2"/>
                <w:sz w:val="21"/>
                <w:szCs w:val="21"/>
                <w:highlight w:val="none"/>
              </w:rPr>
              <w:t>投标人的评标总得分=F1+F2</w:t>
            </w:r>
            <w:r>
              <w:rPr>
                <w:rFonts w:hint="eastAsia" w:ascii="仿宋" w:hAnsi="仿宋" w:eastAsia="仿宋" w:cs="仿宋"/>
                <w:b w:val="0"/>
                <w:color w:val="auto"/>
                <w:spacing w:val="0"/>
                <w:kern w:val="2"/>
                <w:sz w:val="21"/>
                <w:szCs w:val="21"/>
                <w:highlight w:val="none"/>
                <w:lang w:val="en-US" w:eastAsia="zh-CN"/>
              </w:rPr>
              <w:t>+</w:t>
            </w:r>
            <w:r>
              <w:rPr>
                <w:rFonts w:hint="eastAsia" w:ascii="仿宋" w:hAnsi="仿宋" w:eastAsia="仿宋" w:cs="仿宋"/>
                <w:b w:val="0"/>
                <w:color w:val="auto"/>
                <w:spacing w:val="0"/>
                <w:kern w:val="2"/>
                <w:sz w:val="21"/>
                <w:szCs w:val="21"/>
                <w:highlight w:val="none"/>
              </w:rPr>
              <w:t>F3，其中F1、F2、F3分别为</w:t>
            </w:r>
            <w:r>
              <w:rPr>
                <w:rFonts w:hint="eastAsia" w:ascii="仿宋" w:hAnsi="仿宋" w:eastAsia="仿宋" w:cs="仿宋"/>
                <w:b w:val="0"/>
                <w:color w:val="auto"/>
                <w:spacing w:val="0"/>
                <w:kern w:val="2"/>
                <w:sz w:val="21"/>
                <w:szCs w:val="21"/>
                <w:highlight w:val="none"/>
                <w:lang w:val="en-US" w:eastAsia="zh-CN"/>
              </w:rPr>
              <w:t>报价</w:t>
            </w:r>
            <w:r>
              <w:rPr>
                <w:rFonts w:hint="eastAsia" w:ascii="仿宋" w:hAnsi="仿宋" w:eastAsia="仿宋" w:cs="仿宋"/>
                <w:b w:val="0"/>
                <w:color w:val="auto"/>
                <w:spacing w:val="0"/>
                <w:kern w:val="2"/>
                <w:sz w:val="21"/>
                <w:szCs w:val="21"/>
                <w:highlight w:val="none"/>
                <w:lang w:eastAsia="zh-CN"/>
              </w:rPr>
              <w:t>部分</w:t>
            </w:r>
            <w:r>
              <w:rPr>
                <w:rFonts w:hint="eastAsia" w:ascii="仿宋" w:hAnsi="仿宋" w:eastAsia="仿宋" w:cs="仿宋"/>
                <w:b w:val="0"/>
                <w:color w:val="auto"/>
                <w:spacing w:val="0"/>
                <w:kern w:val="2"/>
                <w:sz w:val="21"/>
                <w:szCs w:val="21"/>
                <w:highlight w:val="none"/>
              </w:rPr>
              <w:t>、技术部分、商务部分3项评审因素的汇总得分。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14" w:hRule="atLeast"/>
          <w:jc w:val="center"/>
        </w:trPr>
        <w:tc>
          <w:tcPr>
            <w:tcW w:w="1243" w:type="dxa"/>
            <w:vMerge w:val="continue"/>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32"/>
                <w:szCs w:val="32"/>
                <w:highlight w:val="none"/>
              </w:rPr>
            </w:pPr>
          </w:p>
        </w:tc>
        <w:tc>
          <w:tcPr>
            <w:tcW w:w="2662" w:type="dxa"/>
            <w:gridSpan w:val="2"/>
            <w:vMerge w:val="continue"/>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p>
        </w:tc>
        <w:tc>
          <w:tcPr>
            <w:tcW w:w="6057" w:type="dxa"/>
            <w:noWrap w:val="0"/>
            <w:vAlign w:val="center"/>
          </w:tcPr>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b w:val="0"/>
                <w:color w:val="auto"/>
                <w:spacing w:val="0"/>
                <w:kern w:val="2"/>
                <w:sz w:val="21"/>
                <w:szCs w:val="21"/>
                <w:highlight w:val="none"/>
              </w:rPr>
            </w:pPr>
            <w:r>
              <w:rPr>
                <w:rFonts w:hint="eastAsia" w:ascii="仿宋" w:hAnsi="仿宋" w:eastAsia="仿宋" w:cs="仿宋"/>
                <w:b w:val="0"/>
                <w:color w:val="auto"/>
                <w:spacing w:val="0"/>
                <w:kern w:val="2"/>
                <w:sz w:val="21"/>
                <w:szCs w:val="21"/>
                <w:highlight w:val="none"/>
                <w:lang w:val="en-US" w:eastAsia="zh-CN"/>
              </w:rPr>
              <w:t>报价</w:t>
            </w:r>
            <w:r>
              <w:rPr>
                <w:rFonts w:hint="eastAsia" w:ascii="仿宋" w:hAnsi="仿宋" w:eastAsia="仿宋" w:cs="仿宋"/>
                <w:b w:val="0"/>
                <w:color w:val="auto"/>
                <w:spacing w:val="0"/>
                <w:kern w:val="2"/>
                <w:sz w:val="21"/>
                <w:szCs w:val="21"/>
                <w:highlight w:val="none"/>
                <w:lang w:eastAsia="zh-CN"/>
              </w:rPr>
              <w:t>部分</w:t>
            </w:r>
            <w:r>
              <w:rPr>
                <w:rFonts w:hint="eastAsia" w:ascii="仿宋" w:hAnsi="仿宋" w:eastAsia="仿宋" w:cs="仿宋"/>
                <w:b w:val="0"/>
                <w:color w:val="auto"/>
                <w:spacing w:val="0"/>
                <w:kern w:val="2"/>
                <w:sz w:val="21"/>
                <w:szCs w:val="21"/>
                <w:highlight w:val="none"/>
              </w:rPr>
              <w:t xml:space="preserve"> F1</w:t>
            </w:r>
            <w:r>
              <w:rPr>
                <w:rFonts w:hint="eastAsia" w:ascii="仿宋" w:hAnsi="仿宋" w:eastAsia="仿宋" w:cs="仿宋"/>
                <w:b w:val="0"/>
                <w:color w:val="auto"/>
                <w:spacing w:val="0"/>
                <w:kern w:val="2"/>
                <w:sz w:val="21"/>
                <w:szCs w:val="21"/>
                <w:highlight w:val="none"/>
                <w:lang w:eastAsia="zh-CN"/>
              </w:rPr>
              <w:t>：</w:t>
            </w:r>
            <w:r>
              <w:rPr>
                <w:rFonts w:hint="eastAsia" w:ascii="仿宋" w:hAnsi="仿宋" w:eastAsia="仿宋" w:cs="仿宋"/>
                <w:b w:val="0"/>
                <w:color w:val="auto"/>
                <w:spacing w:val="0"/>
                <w:kern w:val="2"/>
                <w:sz w:val="21"/>
                <w:szCs w:val="21"/>
                <w:highlight w:val="none"/>
              </w:rPr>
              <w:t>30分</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b w:val="0"/>
                <w:color w:val="auto"/>
                <w:spacing w:val="0"/>
                <w:kern w:val="2"/>
                <w:sz w:val="21"/>
                <w:szCs w:val="21"/>
                <w:highlight w:val="none"/>
              </w:rPr>
            </w:pPr>
            <w:r>
              <w:rPr>
                <w:rFonts w:hint="eastAsia" w:ascii="仿宋" w:hAnsi="仿宋" w:eastAsia="仿宋" w:cs="仿宋"/>
                <w:b w:val="0"/>
                <w:color w:val="auto"/>
                <w:spacing w:val="0"/>
                <w:kern w:val="2"/>
                <w:sz w:val="21"/>
                <w:szCs w:val="21"/>
                <w:highlight w:val="none"/>
              </w:rPr>
              <w:t>技术部分 F2</w:t>
            </w:r>
            <w:r>
              <w:rPr>
                <w:rFonts w:hint="eastAsia" w:ascii="仿宋" w:hAnsi="仿宋" w:eastAsia="仿宋" w:cs="仿宋"/>
                <w:b w:val="0"/>
                <w:color w:val="auto"/>
                <w:spacing w:val="0"/>
                <w:kern w:val="2"/>
                <w:sz w:val="21"/>
                <w:szCs w:val="21"/>
                <w:highlight w:val="none"/>
                <w:lang w:eastAsia="zh-CN"/>
              </w:rPr>
              <w:t>：</w:t>
            </w:r>
            <w:r>
              <w:rPr>
                <w:rFonts w:hint="eastAsia" w:ascii="仿宋" w:hAnsi="仿宋" w:eastAsia="仿宋" w:cs="仿宋"/>
                <w:b w:val="0"/>
                <w:color w:val="auto"/>
                <w:spacing w:val="0"/>
                <w:kern w:val="2"/>
                <w:sz w:val="21"/>
                <w:szCs w:val="21"/>
                <w:highlight w:val="none"/>
                <w:lang w:val="en-US" w:eastAsia="zh-CN"/>
              </w:rPr>
              <w:t>48</w:t>
            </w:r>
            <w:r>
              <w:rPr>
                <w:rFonts w:hint="eastAsia" w:ascii="仿宋" w:hAnsi="仿宋" w:eastAsia="仿宋" w:cs="仿宋"/>
                <w:b w:val="0"/>
                <w:color w:val="auto"/>
                <w:spacing w:val="0"/>
                <w:kern w:val="2"/>
                <w:sz w:val="21"/>
                <w:szCs w:val="21"/>
                <w:highlight w:val="none"/>
              </w:rPr>
              <w:t>分</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b w:val="0"/>
                <w:color w:val="auto"/>
                <w:spacing w:val="0"/>
                <w:kern w:val="2"/>
                <w:sz w:val="21"/>
                <w:szCs w:val="21"/>
                <w:highlight w:val="none"/>
              </w:rPr>
            </w:pPr>
            <w:r>
              <w:rPr>
                <w:rFonts w:hint="eastAsia" w:ascii="仿宋" w:hAnsi="仿宋" w:eastAsia="仿宋" w:cs="仿宋"/>
                <w:b w:val="0"/>
                <w:color w:val="auto"/>
                <w:spacing w:val="0"/>
                <w:kern w:val="2"/>
                <w:sz w:val="21"/>
                <w:szCs w:val="21"/>
                <w:highlight w:val="none"/>
              </w:rPr>
              <w:t>商务部分 F3</w:t>
            </w:r>
            <w:r>
              <w:rPr>
                <w:rFonts w:hint="eastAsia" w:ascii="仿宋" w:hAnsi="仿宋" w:eastAsia="仿宋" w:cs="仿宋"/>
                <w:b w:val="0"/>
                <w:color w:val="auto"/>
                <w:spacing w:val="0"/>
                <w:kern w:val="2"/>
                <w:sz w:val="21"/>
                <w:szCs w:val="21"/>
                <w:highlight w:val="none"/>
                <w:lang w:eastAsia="zh-CN"/>
              </w:rPr>
              <w:t>：</w:t>
            </w:r>
            <w:r>
              <w:rPr>
                <w:rFonts w:hint="eastAsia" w:ascii="仿宋" w:hAnsi="仿宋" w:eastAsia="仿宋" w:cs="仿宋"/>
                <w:b w:val="0"/>
                <w:color w:val="auto"/>
                <w:spacing w:val="0"/>
                <w:kern w:val="2"/>
                <w:sz w:val="21"/>
                <w:szCs w:val="21"/>
                <w:highlight w:val="none"/>
                <w:lang w:val="en-US" w:eastAsia="zh-CN"/>
              </w:rPr>
              <w:t>22</w:t>
            </w:r>
            <w:r>
              <w:rPr>
                <w:rFonts w:hint="eastAsia" w:ascii="仿宋" w:hAnsi="仿宋" w:eastAsia="仿宋" w:cs="仿宋"/>
                <w:b w:val="0"/>
                <w:color w:val="auto"/>
                <w:spacing w:val="0"/>
                <w:kern w:val="2"/>
                <w:sz w:val="21"/>
                <w:szCs w:val="21"/>
                <w:highlight w:val="none"/>
              </w:rPr>
              <w:t>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243" w:type="dxa"/>
            <w:vMerge w:val="continue"/>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p>
        </w:tc>
        <w:tc>
          <w:tcPr>
            <w:tcW w:w="1264" w:type="dxa"/>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报价</w:t>
            </w:r>
            <w:r>
              <w:rPr>
                <w:rFonts w:hint="eastAsia" w:ascii="仿宋" w:hAnsi="仿宋" w:eastAsia="仿宋" w:cs="仿宋"/>
                <w:color w:val="auto"/>
                <w:sz w:val="21"/>
                <w:szCs w:val="21"/>
                <w:highlight w:val="none"/>
              </w:rPr>
              <w:t>部分</w:t>
            </w:r>
            <w:r>
              <w:rPr>
                <w:rFonts w:hint="eastAsia" w:ascii="仿宋" w:hAnsi="仿宋" w:eastAsia="仿宋" w:cs="仿宋"/>
                <w:color w:val="auto"/>
                <w:sz w:val="21"/>
                <w:szCs w:val="21"/>
                <w:highlight w:val="none"/>
                <w:lang w:val="en-US" w:eastAsia="zh-CN"/>
              </w:rPr>
              <w:t>F1</w:t>
            </w:r>
          </w:p>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评审评分标准（满分</w:t>
            </w:r>
            <w:r>
              <w:rPr>
                <w:rFonts w:hint="eastAsia" w:ascii="仿宋" w:hAnsi="仿宋" w:eastAsia="仿宋" w:cs="仿宋"/>
                <w:color w:val="auto"/>
                <w:sz w:val="21"/>
                <w:szCs w:val="21"/>
                <w:highlight w:val="none"/>
                <w:lang w:val="en-US" w:eastAsia="zh-CN"/>
              </w:rPr>
              <w:t>30分</w:t>
            </w:r>
            <w:r>
              <w:rPr>
                <w:rFonts w:hint="eastAsia" w:ascii="仿宋" w:hAnsi="仿宋" w:eastAsia="仿宋" w:cs="仿宋"/>
                <w:color w:val="auto"/>
                <w:sz w:val="21"/>
                <w:szCs w:val="21"/>
                <w:highlight w:val="none"/>
                <w:lang w:eastAsia="zh-CN"/>
              </w:rPr>
              <w:t>）</w:t>
            </w:r>
          </w:p>
        </w:tc>
        <w:tc>
          <w:tcPr>
            <w:tcW w:w="1398" w:type="dxa"/>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投标报价评分</w:t>
            </w:r>
          </w:p>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计算公式</w:t>
            </w:r>
          </w:p>
        </w:tc>
        <w:tc>
          <w:tcPr>
            <w:tcW w:w="6057" w:type="dxa"/>
            <w:noWrap w:val="0"/>
            <w:vAlign w:val="center"/>
          </w:tcPr>
          <w:p>
            <w:pPr>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1.价格分采用低价优先法计算，即满足</w:t>
            </w:r>
            <w:r>
              <w:rPr>
                <w:rFonts w:hint="eastAsia" w:ascii="仿宋" w:hAnsi="仿宋" w:eastAsia="仿宋" w:cs="仿宋"/>
                <w:color w:val="auto"/>
                <w:sz w:val="21"/>
                <w:szCs w:val="21"/>
                <w:highlight w:val="none"/>
                <w:lang w:val="en-US" w:eastAsia="zh-CN"/>
              </w:rPr>
              <w:t>采购</w:t>
            </w:r>
            <w:r>
              <w:rPr>
                <w:rFonts w:hint="eastAsia" w:ascii="仿宋" w:hAnsi="仿宋" w:eastAsia="仿宋" w:cs="仿宋"/>
                <w:color w:val="auto"/>
                <w:sz w:val="21"/>
                <w:szCs w:val="21"/>
                <w:highlight w:val="none"/>
              </w:rPr>
              <w:t>文件要求且最后报价最低（低于成本的除外）的响应报价为</w:t>
            </w:r>
            <w:r>
              <w:rPr>
                <w:rFonts w:hint="eastAsia" w:ascii="仿宋" w:hAnsi="仿宋" w:eastAsia="仿宋" w:cs="仿宋"/>
                <w:color w:val="auto"/>
                <w:sz w:val="21"/>
                <w:szCs w:val="21"/>
                <w:highlight w:val="none"/>
                <w:lang w:val="en-US" w:eastAsia="zh-CN"/>
              </w:rPr>
              <w:t>评标</w:t>
            </w:r>
            <w:r>
              <w:rPr>
                <w:rFonts w:hint="eastAsia" w:ascii="仿宋" w:hAnsi="仿宋" w:eastAsia="仿宋" w:cs="仿宋"/>
                <w:color w:val="auto"/>
                <w:sz w:val="21"/>
                <w:szCs w:val="21"/>
                <w:highlight w:val="none"/>
              </w:rPr>
              <w:t>基准价，其价格分为满分。其他</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的价格分统一按照下列公式计算</w:t>
            </w:r>
            <w:r>
              <w:rPr>
                <w:rFonts w:hint="eastAsia" w:ascii="仿宋" w:hAnsi="仿宋" w:eastAsia="仿宋" w:cs="仿宋"/>
                <w:color w:val="auto"/>
                <w:sz w:val="21"/>
                <w:szCs w:val="21"/>
                <w:highlight w:val="none"/>
                <w:lang w:eastAsia="zh-CN"/>
              </w:rPr>
              <w:t>：</w:t>
            </w:r>
          </w:p>
          <w:p>
            <w:pPr>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最后报价得分=（</w:t>
            </w:r>
            <w:r>
              <w:rPr>
                <w:rFonts w:hint="eastAsia" w:ascii="仿宋" w:hAnsi="仿宋" w:eastAsia="仿宋" w:cs="仿宋"/>
                <w:color w:val="auto"/>
                <w:sz w:val="21"/>
                <w:szCs w:val="21"/>
                <w:highlight w:val="none"/>
                <w:lang w:val="en-US" w:eastAsia="zh-CN"/>
              </w:rPr>
              <w:t>评标</w:t>
            </w:r>
            <w:r>
              <w:rPr>
                <w:rFonts w:hint="eastAsia" w:ascii="仿宋" w:hAnsi="仿宋" w:eastAsia="仿宋" w:cs="仿宋"/>
                <w:color w:val="auto"/>
                <w:sz w:val="21"/>
                <w:szCs w:val="21"/>
                <w:highlight w:val="none"/>
              </w:rPr>
              <w:t>基准价/</w:t>
            </w:r>
            <w:r>
              <w:rPr>
                <w:rFonts w:hint="eastAsia" w:ascii="仿宋" w:hAnsi="仿宋" w:eastAsia="仿宋" w:cs="仿宋"/>
                <w:color w:val="auto"/>
                <w:sz w:val="21"/>
                <w:szCs w:val="21"/>
                <w:highlight w:val="none"/>
                <w:lang w:eastAsia="zh-CN"/>
              </w:rPr>
              <w:t>各投标人的</w:t>
            </w:r>
            <w:r>
              <w:rPr>
                <w:rFonts w:hint="eastAsia" w:ascii="仿宋" w:hAnsi="仿宋" w:eastAsia="仿宋" w:cs="仿宋"/>
                <w:color w:val="auto"/>
                <w:sz w:val="21"/>
                <w:szCs w:val="21"/>
                <w:highlight w:val="none"/>
              </w:rPr>
              <w:t>最</w:t>
            </w:r>
            <w:r>
              <w:rPr>
                <w:rFonts w:hint="eastAsia" w:ascii="仿宋" w:hAnsi="仿宋" w:eastAsia="仿宋" w:cs="仿宋"/>
                <w:color w:val="auto"/>
                <w:sz w:val="21"/>
                <w:szCs w:val="21"/>
                <w:highlight w:val="none"/>
                <w:lang w:eastAsia="zh-CN"/>
              </w:rPr>
              <w:t>终</w:t>
            </w:r>
            <w:r>
              <w:rPr>
                <w:rFonts w:hint="eastAsia" w:ascii="仿宋" w:hAnsi="仿宋" w:eastAsia="仿宋" w:cs="仿宋"/>
                <w:color w:val="auto"/>
                <w:sz w:val="21"/>
                <w:szCs w:val="21"/>
                <w:highlight w:val="none"/>
              </w:rPr>
              <w:t>报价）×</w:t>
            </w:r>
            <w:r>
              <w:rPr>
                <w:rFonts w:hint="eastAsia" w:ascii="仿宋" w:hAnsi="仿宋" w:eastAsia="仿宋" w:cs="仿宋"/>
                <w:color w:val="auto"/>
                <w:sz w:val="21"/>
                <w:szCs w:val="21"/>
                <w:highlight w:val="none"/>
                <w:lang w:val="en-US" w:eastAsia="zh-CN"/>
              </w:rPr>
              <w:t>30</w:t>
            </w:r>
          </w:p>
          <w:p>
            <w:pPr>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最终得分保留至小数点后二位，即小数点后第三位四舍五入；</w:t>
            </w:r>
          </w:p>
          <w:p>
            <w:pPr>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根据《政府采购促进中小企业发展管理办法》（财库〔2020〕46号）、《关于进一步加大政府采购支持中小企业力度的通知》（财库〔2022〕19号）、云南省财政厅关于贯彻《财政部关于进一步加大政府采购支持中小企业力度的通知》的通知（云财采〔2022〕9号）、《财政部 民政部 中国残疾人联合会关于促进残疾人就业政府采购政策的通知》（财库〔2017〕141号）及《财政部 司法部关于政府采购支持监狱企业发展有关问题的通知》（财库〔2014〕68号）的规定的规定，本次招标将对符合要求的小微企业、残疾人福利性单位、监狱企业的投标人投标报价部分进行10%的价格扣除，用扣除后的价格参与评审。</w:t>
            </w:r>
          </w:p>
          <w:p>
            <w:pPr>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注：评标委员会若认为投标人的报价明显低于其他通过符合性审查投标人的报价，且有可能影响产品质量或者不能诚信履约的，应当要求其在评标现场合理的时间内提供书面说明，必要时提交相关证明材料；若投标人不能证明其报价合理性，评标委员会应当将其作为无效投标处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43" w:type="dxa"/>
            <w:vMerge w:val="restart"/>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2</w:t>
            </w:r>
          </w:p>
        </w:tc>
        <w:tc>
          <w:tcPr>
            <w:tcW w:w="1264" w:type="dxa"/>
            <w:vMerge w:val="restart"/>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技术部分</w:t>
            </w:r>
          </w:p>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F2</w:t>
            </w:r>
          </w:p>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评审标准（满分</w:t>
            </w:r>
            <w:r>
              <w:rPr>
                <w:rFonts w:hint="eastAsia" w:ascii="仿宋" w:hAnsi="仿宋" w:eastAsia="仿宋" w:cs="仿宋"/>
                <w:color w:val="auto"/>
                <w:sz w:val="21"/>
                <w:szCs w:val="21"/>
                <w:highlight w:val="none"/>
                <w:lang w:val="en-US" w:eastAsia="zh-CN"/>
              </w:rPr>
              <w:t>48分</w:t>
            </w:r>
            <w:r>
              <w:rPr>
                <w:rFonts w:hint="eastAsia" w:ascii="仿宋" w:hAnsi="仿宋" w:eastAsia="仿宋" w:cs="仿宋"/>
                <w:color w:val="auto"/>
                <w:sz w:val="21"/>
                <w:szCs w:val="21"/>
                <w:highlight w:val="none"/>
                <w:lang w:eastAsia="zh-CN"/>
              </w:rPr>
              <w:t>）</w:t>
            </w:r>
          </w:p>
        </w:tc>
        <w:tc>
          <w:tcPr>
            <w:tcW w:w="1398" w:type="dxa"/>
            <w:tcBorders>
              <w:bottom w:val="single" w:color="auto" w:sz="4" w:space="0"/>
            </w:tcBorders>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技术参数、产品性能及优势评审评分（满分20分）</w:t>
            </w:r>
          </w:p>
        </w:tc>
        <w:tc>
          <w:tcPr>
            <w:tcW w:w="6057" w:type="dxa"/>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根据投标文件对招标文件“采购需求及要求”中技术参数的响应程度进行评分，对照供应商投标文件《技术参数偏离表》及《技术支持资料》。技术参数描述不清晰、缺漏项或缺乏技术支持资料的，按对应分值不予得分或扣分。项数计算是以技术条款中最小序号为1项计算（满分20分）：</w:t>
            </w:r>
          </w:p>
          <w:p>
            <w:pPr>
              <w:pStyle w:val="28"/>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（1）标注“▲”号的为</w:t>
            </w:r>
            <w:r>
              <w:rPr>
                <w:rFonts w:hint="eastAsia" w:ascii="仿宋" w:hAnsi="仿宋" w:eastAsia="仿宋" w:cs="仿宋"/>
                <w:color w:val="auto"/>
                <w:sz w:val="21"/>
                <w:szCs w:val="21"/>
                <w:highlight w:val="none"/>
                <w:lang w:eastAsia="zh-CN"/>
              </w:rPr>
              <w:t>重要需求参数</w:t>
            </w:r>
            <w:r>
              <w:rPr>
                <w:rFonts w:hint="eastAsia" w:ascii="仿宋" w:hAnsi="仿宋" w:eastAsia="仿宋" w:cs="仿宋"/>
                <w:color w:val="auto"/>
                <w:sz w:val="21"/>
                <w:szCs w:val="21"/>
                <w:highlight w:val="none"/>
              </w:rPr>
              <w:t>（共计</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项），满分</w:t>
            </w:r>
            <w:r>
              <w:rPr>
                <w:rFonts w:hint="eastAsia" w:ascii="仿宋" w:hAnsi="仿宋" w:eastAsia="仿宋" w:cs="仿宋"/>
                <w:color w:val="auto"/>
                <w:sz w:val="21"/>
                <w:szCs w:val="21"/>
                <w:highlight w:val="none"/>
                <w:lang w:val="en-US" w:eastAsia="zh-CN"/>
              </w:rPr>
              <w:t>16</w:t>
            </w:r>
            <w:r>
              <w:rPr>
                <w:rFonts w:hint="eastAsia" w:ascii="仿宋" w:hAnsi="仿宋" w:eastAsia="仿宋" w:cs="仿宋"/>
                <w:color w:val="auto"/>
                <w:sz w:val="21"/>
                <w:szCs w:val="21"/>
                <w:highlight w:val="none"/>
              </w:rPr>
              <w:t>分，投标产品全部满足的得</w:t>
            </w:r>
            <w:r>
              <w:rPr>
                <w:rFonts w:hint="eastAsia" w:ascii="仿宋" w:hAnsi="仿宋" w:eastAsia="仿宋" w:cs="仿宋"/>
                <w:color w:val="auto"/>
                <w:sz w:val="21"/>
                <w:szCs w:val="21"/>
                <w:highlight w:val="none"/>
                <w:lang w:val="en-US" w:eastAsia="zh-CN"/>
              </w:rPr>
              <w:t>16</w:t>
            </w:r>
            <w:r>
              <w:rPr>
                <w:rFonts w:hint="eastAsia" w:ascii="仿宋" w:hAnsi="仿宋" w:eastAsia="仿宋" w:cs="仿宋"/>
                <w:color w:val="auto"/>
                <w:sz w:val="21"/>
                <w:szCs w:val="21"/>
                <w:highlight w:val="none"/>
              </w:rPr>
              <w:t>分，投标产品每出现一项标注“▲”的</w:t>
            </w:r>
            <w:r>
              <w:rPr>
                <w:rFonts w:hint="eastAsia" w:ascii="仿宋" w:hAnsi="仿宋" w:eastAsia="仿宋" w:cs="仿宋"/>
                <w:color w:val="auto"/>
                <w:sz w:val="21"/>
                <w:szCs w:val="21"/>
                <w:highlight w:val="none"/>
                <w:lang w:eastAsia="zh-CN"/>
              </w:rPr>
              <w:t>重要需求参数</w:t>
            </w:r>
            <w:r>
              <w:rPr>
                <w:rFonts w:hint="eastAsia" w:ascii="仿宋" w:hAnsi="仿宋" w:eastAsia="仿宋" w:cs="仿宋"/>
                <w:color w:val="auto"/>
                <w:sz w:val="21"/>
                <w:szCs w:val="21"/>
                <w:highlight w:val="none"/>
              </w:rPr>
              <w:t>不满足招标文件要求的（负偏离）扣</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w:t>
            </w:r>
            <w:r>
              <w:rPr>
                <w:rFonts w:hint="eastAsia" w:ascii="仿宋" w:hAnsi="仿宋" w:eastAsia="仿宋" w:cs="仿宋"/>
                <w:color w:val="auto"/>
                <w:sz w:val="21"/>
                <w:szCs w:val="21"/>
                <w:highlight w:val="none"/>
                <w:lang w:eastAsia="zh-CN"/>
              </w:rPr>
              <w:t>，分数扣完为止</w:t>
            </w:r>
            <w:r>
              <w:rPr>
                <w:rFonts w:hint="eastAsia" w:ascii="仿宋" w:hAnsi="仿宋" w:eastAsia="仿宋" w:cs="仿宋"/>
                <w:color w:val="auto"/>
                <w:sz w:val="21"/>
                <w:szCs w:val="21"/>
                <w:highlight w:val="none"/>
              </w:rPr>
              <w:t xml:space="preserve"> </w:t>
            </w:r>
          </w:p>
          <w:p>
            <w:pPr>
              <w:keepNext w:val="0"/>
              <w:keepLines w:val="0"/>
              <w:pageBreakBefore w:val="0"/>
              <w:widowControl w:val="0"/>
              <w:numPr>
                <w:ilvl w:val="0"/>
                <w:numId w:val="0"/>
              </w:numPr>
              <w:kinsoku/>
              <w:wordWrap/>
              <w:overflowPunct/>
              <w:topLinePunct w:val="0"/>
              <w:bidi w:val="0"/>
              <w:snapToGrid/>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（2）未标注“▲”号的为一般</w:t>
            </w:r>
            <w:r>
              <w:rPr>
                <w:rFonts w:hint="eastAsia" w:ascii="仿宋" w:hAnsi="仿宋" w:eastAsia="仿宋" w:cs="仿宋"/>
                <w:color w:val="auto"/>
                <w:sz w:val="21"/>
                <w:szCs w:val="21"/>
                <w:highlight w:val="none"/>
                <w:lang w:eastAsia="zh-CN"/>
              </w:rPr>
              <w:t>参数</w:t>
            </w:r>
            <w:r>
              <w:rPr>
                <w:rFonts w:hint="eastAsia" w:ascii="仿宋" w:hAnsi="仿宋" w:eastAsia="仿宋" w:cs="仿宋"/>
                <w:color w:val="auto"/>
                <w:sz w:val="21"/>
                <w:szCs w:val="21"/>
                <w:highlight w:val="none"/>
              </w:rPr>
              <w:t>（共计</w:t>
            </w:r>
            <w:r>
              <w:rPr>
                <w:rFonts w:hint="eastAsia" w:ascii="仿宋" w:hAnsi="仿宋" w:eastAsia="仿宋" w:cs="仿宋"/>
                <w:color w:val="auto"/>
                <w:sz w:val="21"/>
                <w:szCs w:val="21"/>
                <w:highlight w:val="none"/>
                <w:lang w:val="en-US" w:eastAsia="zh-CN"/>
              </w:rPr>
              <w:t>25</w:t>
            </w:r>
            <w:r>
              <w:rPr>
                <w:rFonts w:hint="eastAsia" w:ascii="仿宋" w:hAnsi="仿宋" w:eastAsia="仿宋" w:cs="仿宋"/>
                <w:color w:val="auto"/>
                <w:sz w:val="21"/>
                <w:szCs w:val="21"/>
                <w:highlight w:val="none"/>
              </w:rPr>
              <w:t>项），</w:t>
            </w:r>
            <w:r>
              <w:rPr>
                <w:rFonts w:hint="eastAsia" w:ascii="仿宋" w:hAnsi="仿宋" w:eastAsia="仿宋" w:cs="仿宋"/>
                <w:color w:val="000000" w:themeColor="text1"/>
                <w:sz w:val="21"/>
                <w:szCs w:val="21"/>
                <w:highlight w:val="none"/>
                <w14:textFill>
                  <w14:solidFill>
                    <w14:schemeClr w14:val="tx1"/>
                  </w14:solidFill>
                </w14:textFill>
              </w:rPr>
              <w:t>满分</w:t>
            </w:r>
            <w:r>
              <w:rPr>
                <w:rFonts w:hint="eastAsia" w:ascii="仿宋" w:hAnsi="仿宋" w:eastAsia="仿宋" w:cs="仿宋"/>
                <w:color w:val="000000" w:themeColor="text1"/>
                <w:sz w:val="21"/>
                <w:szCs w:val="21"/>
                <w:highlight w:val="none"/>
                <w:lang w:val="en-US" w:eastAsia="zh-CN"/>
                <w14:textFill>
                  <w14:solidFill>
                    <w14:schemeClr w14:val="tx1"/>
                  </w14:solidFill>
                </w14:textFill>
              </w:rPr>
              <w:t>4</w:t>
            </w:r>
            <w:r>
              <w:rPr>
                <w:rFonts w:hint="eastAsia" w:ascii="仿宋" w:hAnsi="仿宋" w:eastAsia="仿宋" w:cs="仿宋"/>
                <w:color w:val="000000" w:themeColor="text1"/>
                <w:sz w:val="21"/>
                <w:szCs w:val="21"/>
                <w:highlight w:val="none"/>
                <w14:textFill>
                  <w14:solidFill>
                    <w14:schemeClr w14:val="tx1"/>
                  </w14:solidFill>
                </w14:textFill>
              </w:rPr>
              <w:t>分，投标产品全部满足的得</w:t>
            </w:r>
            <w:r>
              <w:rPr>
                <w:rFonts w:hint="eastAsia" w:ascii="仿宋" w:hAnsi="仿宋" w:eastAsia="仿宋" w:cs="仿宋"/>
                <w:color w:val="000000" w:themeColor="text1"/>
                <w:sz w:val="21"/>
                <w:szCs w:val="21"/>
                <w:highlight w:val="none"/>
                <w:lang w:val="en-US" w:eastAsia="zh-CN"/>
                <w14:textFill>
                  <w14:solidFill>
                    <w14:schemeClr w14:val="tx1"/>
                  </w14:solidFill>
                </w14:textFill>
              </w:rPr>
              <w:t>4</w:t>
            </w:r>
            <w:r>
              <w:rPr>
                <w:rFonts w:hint="eastAsia" w:ascii="仿宋" w:hAnsi="仿宋" w:eastAsia="仿宋" w:cs="仿宋"/>
                <w:color w:val="000000" w:themeColor="text1"/>
                <w:sz w:val="21"/>
                <w:szCs w:val="21"/>
                <w:highlight w:val="none"/>
                <w14:textFill>
                  <w14:solidFill>
                    <w14:schemeClr w14:val="tx1"/>
                  </w14:solidFill>
                </w14:textFill>
              </w:rPr>
              <w:t>分，不满足项数（负偏离）</w:t>
            </w:r>
            <w:r>
              <w:rPr>
                <w:rFonts w:hint="eastAsia"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t>每有一项负偏离扣</w:t>
            </w:r>
            <w:r>
              <w:rPr>
                <w:rFonts w:hint="eastAsia" w:ascii="仿宋" w:hAnsi="仿宋" w:eastAsia="仿宋" w:cs="仿宋"/>
                <w:color w:val="000000" w:themeColor="text1"/>
                <w:sz w:val="21"/>
                <w:szCs w:val="21"/>
                <w:highlight w:val="none"/>
                <w:lang w:val="en-US" w:eastAsia="zh-CN"/>
                <w14:textFill>
                  <w14:solidFill>
                    <w14:schemeClr w14:val="tx1"/>
                  </w14:solidFill>
                </w14:textFill>
              </w:rPr>
              <w:t>0.16</w:t>
            </w:r>
            <w:r>
              <w:rPr>
                <w:rFonts w:hint="eastAsia" w:ascii="仿宋" w:hAnsi="仿宋" w:eastAsia="仿宋" w:cs="仿宋"/>
                <w:color w:val="000000" w:themeColor="text1"/>
                <w:sz w:val="21"/>
                <w:szCs w:val="21"/>
                <w:highlight w:val="none"/>
                <w14:textFill>
                  <w14:solidFill>
                    <w14:schemeClr w14:val="tx1"/>
                  </w14:solidFill>
                </w14:textFill>
              </w:rPr>
              <w:t>分，</w:t>
            </w:r>
            <w:r>
              <w:rPr>
                <w:rFonts w:hint="eastAsia" w:ascii="仿宋" w:hAnsi="仿宋" w:eastAsia="仿宋" w:cs="仿宋"/>
                <w:color w:val="000000" w:themeColor="text1"/>
                <w:sz w:val="21"/>
                <w:szCs w:val="21"/>
                <w:highlight w:val="none"/>
                <w:lang w:eastAsia="zh-CN"/>
                <w14:textFill>
                  <w14:solidFill>
                    <w14:schemeClr w14:val="tx1"/>
                  </w14:solidFill>
                </w14:textFill>
              </w:rPr>
              <w:t>分数扣完为止。</w:t>
            </w:r>
          </w:p>
          <w:p>
            <w:pPr>
              <w:keepNext w:val="0"/>
              <w:keepLines w:val="0"/>
              <w:pageBreakBefore w:val="0"/>
              <w:widowControl w:val="0"/>
              <w:numPr>
                <w:ilvl w:val="0"/>
                <w:numId w:val="0"/>
              </w:numPr>
              <w:kinsoku/>
              <w:wordWrap/>
              <w:overflowPunct/>
              <w:topLinePunct w:val="0"/>
              <w:bidi w:val="0"/>
              <w:snapToGrid/>
              <w:spacing w:line="240" w:lineRule="auto"/>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注：</w:t>
            </w:r>
            <w:r>
              <w:rPr>
                <w:rFonts w:hint="eastAsia" w:ascii="仿宋" w:hAnsi="仿宋" w:eastAsia="仿宋" w:cs="仿宋"/>
                <w:b w:val="0"/>
                <w:bCs w:val="0"/>
                <w:color w:val="auto"/>
                <w:sz w:val="21"/>
                <w:szCs w:val="21"/>
                <w:highlight w:val="none"/>
                <w:lang w:eastAsia="zh-CN"/>
              </w:rPr>
              <w:t>重要</w:t>
            </w:r>
            <w:r>
              <w:rPr>
                <w:rFonts w:hint="eastAsia" w:ascii="仿宋" w:hAnsi="仿宋" w:eastAsia="仿宋" w:cs="仿宋"/>
                <w:b w:val="0"/>
                <w:bCs w:val="0"/>
                <w:color w:val="auto"/>
                <w:sz w:val="21"/>
                <w:szCs w:val="21"/>
                <w:highlight w:val="none"/>
              </w:rPr>
              <w:t>参数须提供证明材料，证明材料</w:t>
            </w:r>
            <w:r>
              <w:rPr>
                <w:rFonts w:hint="eastAsia" w:ascii="仿宋" w:hAnsi="仿宋" w:eastAsia="仿宋" w:cs="仿宋"/>
                <w:b w:val="0"/>
                <w:bCs w:val="0"/>
                <w:color w:val="auto"/>
                <w:sz w:val="21"/>
                <w:szCs w:val="21"/>
                <w:highlight w:val="none"/>
                <w:lang w:val="en-US" w:eastAsia="zh-CN"/>
              </w:rPr>
              <w:t>(需提供国家认可的第三方机构出具的带CMA、CNAS标志且页码连续完整的报告复印件并加盖供应商公章)，</w:t>
            </w:r>
            <w:r>
              <w:rPr>
                <w:rFonts w:hint="eastAsia" w:ascii="仿宋" w:hAnsi="仿宋" w:eastAsia="仿宋" w:cs="仿宋"/>
                <w:b w:val="0"/>
                <w:bCs w:val="0"/>
                <w:color w:val="auto"/>
                <w:sz w:val="21"/>
                <w:szCs w:val="21"/>
                <w:highlight w:val="none"/>
              </w:rPr>
              <w:t>未明确的可提供所投产品主要技术指标、参数及性能的公开印刷的详细说明书（非自行拟定）或制造商公开发布的印刷资料（彩页或产品宣传册）或检验报告或技术资料或应用截图。若投标文件中技术支持资料参数与技术规格偏离表应答不符或无上述技术支持资料，视为不响应该条技术参数。</w:t>
            </w:r>
          </w:p>
          <w:p>
            <w:pPr>
              <w:keepNext w:val="0"/>
              <w:keepLines w:val="0"/>
              <w:pageBreakBefore w:val="0"/>
              <w:widowControl w:val="0"/>
              <w:numPr>
                <w:ilvl w:val="0"/>
                <w:numId w:val="0"/>
              </w:numPr>
              <w:kinsoku/>
              <w:wordWrap/>
              <w:overflowPunct/>
              <w:topLinePunct w:val="0"/>
              <w:bidi w:val="0"/>
              <w:snapToGrid/>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中标后采购人对参数响应情况进行验证，若虚假应标或提供虚假材料或伪造证明材料，所产生的损失由供应商自行承担，并依法承担法律责任。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35" w:hRule="atLeast"/>
          <w:jc w:val="center"/>
        </w:trPr>
        <w:tc>
          <w:tcPr>
            <w:tcW w:w="1243" w:type="dxa"/>
            <w:vMerge w:val="continue"/>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p>
        </w:tc>
        <w:tc>
          <w:tcPr>
            <w:tcW w:w="1264" w:type="dxa"/>
            <w:vMerge w:val="continue"/>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lang w:eastAsia="zh-CN"/>
              </w:rPr>
            </w:pPr>
          </w:p>
        </w:tc>
        <w:tc>
          <w:tcPr>
            <w:tcW w:w="1398" w:type="dxa"/>
            <w:tcBorders>
              <w:bottom w:val="single" w:color="auto" w:sz="4" w:space="0"/>
            </w:tcBorders>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spacing w:val="-1"/>
                <w:sz w:val="21"/>
                <w:szCs w:val="21"/>
                <w:lang w:val="en-US" w:eastAsia="zh-CN"/>
              </w:rPr>
              <w:t>小样评分（满分12）</w:t>
            </w:r>
          </w:p>
        </w:tc>
        <w:tc>
          <w:tcPr>
            <w:tcW w:w="6057" w:type="dxa"/>
            <w:tcBorders>
              <w:bottom w:val="single" w:color="auto" w:sz="4" w:space="0"/>
            </w:tcBorders>
            <w:noWrap w:val="0"/>
            <w:vAlign w:val="center"/>
          </w:tcPr>
          <w:p>
            <w:pPr>
              <w:pStyle w:val="32"/>
              <w:spacing w:line="238" w:lineRule="auto"/>
              <w:ind w:right="104"/>
              <w:jc w:val="left"/>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lang w:val="en-US" w:eastAsia="zh-CN"/>
              </w:rPr>
              <w:t>根据招标参数</w:t>
            </w:r>
            <w:r>
              <w:rPr>
                <w:rFonts w:hint="eastAsia" w:ascii="仿宋" w:hAnsi="仿宋" w:eastAsia="仿宋" w:cs="仿宋"/>
                <w:spacing w:val="-1"/>
                <w:sz w:val="21"/>
                <w:szCs w:val="21"/>
              </w:rPr>
              <w:t>提供</w:t>
            </w:r>
            <w:r>
              <w:rPr>
                <w:rFonts w:hint="eastAsia" w:ascii="仿宋" w:hAnsi="仿宋" w:eastAsia="仿宋" w:cs="仿宋"/>
                <w:spacing w:val="-1"/>
                <w:sz w:val="21"/>
                <w:szCs w:val="21"/>
                <w:lang w:val="en-US" w:eastAsia="zh-CN"/>
              </w:rPr>
              <w:t>阶梯课桌椅中排毛坯站脚一支，不用喷涂；</w:t>
            </w:r>
          </w:p>
          <w:p>
            <w:pPr>
              <w:pStyle w:val="32"/>
              <w:spacing w:line="238" w:lineRule="auto"/>
              <w:ind w:right="104"/>
              <w:jc w:val="left"/>
              <w:rPr>
                <w:rFonts w:hint="eastAsia" w:ascii="仿宋" w:hAnsi="仿宋" w:eastAsia="仿宋" w:cs="仿宋"/>
                <w:sz w:val="21"/>
                <w:szCs w:val="21"/>
              </w:rPr>
            </w:pPr>
            <w:r>
              <w:rPr>
                <w:rFonts w:hint="eastAsia" w:ascii="仿宋" w:hAnsi="仿宋" w:eastAsia="仿宋" w:cs="仿宋"/>
                <w:spacing w:val="-2"/>
                <w:sz w:val="21"/>
                <w:szCs w:val="21"/>
              </w:rPr>
              <w:t>1、</w:t>
            </w:r>
            <w:r>
              <w:rPr>
                <w:rFonts w:hint="eastAsia" w:ascii="仿宋" w:hAnsi="仿宋" w:eastAsia="仿宋" w:cs="仿宋"/>
                <w:spacing w:val="-2"/>
                <w:sz w:val="21"/>
                <w:szCs w:val="21"/>
                <w:lang w:val="en-US" w:eastAsia="zh-CN"/>
              </w:rPr>
              <w:t>投标人</w:t>
            </w:r>
            <w:r>
              <w:rPr>
                <w:rFonts w:hint="eastAsia" w:ascii="仿宋" w:hAnsi="仿宋" w:eastAsia="仿宋" w:cs="仿宋"/>
                <w:spacing w:val="-1"/>
                <w:sz w:val="21"/>
                <w:szCs w:val="21"/>
                <w:lang w:val="en-US" w:eastAsia="zh-CN"/>
              </w:rPr>
              <w:t>提供的</w:t>
            </w:r>
            <w:r>
              <w:rPr>
                <w:rFonts w:hint="eastAsia" w:ascii="仿宋" w:hAnsi="仿宋" w:eastAsia="仿宋" w:cs="仿宋"/>
                <w:spacing w:val="-2"/>
                <w:sz w:val="21"/>
                <w:szCs w:val="21"/>
                <w:lang w:val="en-US" w:eastAsia="zh-CN"/>
              </w:rPr>
              <w:t>小样完全</w:t>
            </w:r>
            <w:r>
              <w:rPr>
                <w:rFonts w:hint="eastAsia" w:ascii="仿宋" w:hAnsi="仿宋" w:eastAsia="仿宋" w:cs="仿宋"/>
                <w:spacing w:val="-2"/>
                <w:sz w:val="21"/>
                <w:szCs w:val="21"/>
              </w:rPr>
              <w:t>满足招标文件要求</w:t>
            </w:r>
            <w:r>
              <w:rPr>
                <w:rFonts w:hint="eastAsia" w:ascii="仿宋" w:hAnsi="仿宋" w:eastAsia="仿宋" w:cs="仿宋"/>
                <w:spacing w:val="-2"/>
                <w:sz w:val="21"/>
                <w:szCs w:val="21"/>
                <w:lang w:val="en-US" w:eastAsia="zh-CN"/>
              </w:rPr>
              <w:t>的</w:t>
            </w:r>
            <w:r>
              <w:rPr>
                <w:rFonts w:hint="eastAsia" w:ascii="仿宋" w:hAnsi="仿宋" w:eastAsia="仿宋" w:cs="仿宋"/>
                <w:spacing w:val="-4"/>
                <w:sz w:val="21"/>
                <w:szCs w:val="21"/>
                <w:lang w:eastAsia="zh-CN"/>
              </w:rPr>
              <w:t>得</w:t>
            </w:r>
            <w:r>
              <w:rPr>
                <w:rFonts w:hint="eastAsia" w:ascii="仿宋" w:hAnsi="仿宋" w:eastAsia="仿宋" w:cs="仿宋"/>
                <w:spacing w:val="-28"/>
                <w:sz w:val="21"/>
                <w:szCs w:val="21"/>
              </w:rPr>
              <w:t xml:space="preserve"> </w:t>
            </w:r>
            <w:r>
              <w:rPr>
                <w:rFonts w:hint="eastAsia" w:ascii="仿宋" w:hAnsi="仿宋" w:eastAsia="仿宋" w:cs="仿宋"/>
                <w:spacing w:val="-4"/>
                <w:sz w:val="21"/>
                <w:szCs w:val="21"/>
                <w:lang w:val="en-US" w:eastAsia="zh-CN"/>
              </w:rPr>
              <w:t>12</w:t>
            </w:r>
            <w:r>
              <w:rPr>
                <w:rFonts w:hint="eastAsia" w:ascii="仿宋" w:hAnsi="仿宋" w:eastAsia="仿宋" w:cs="仿宋"/>
                <w:spacing w:val="-4"/>
                <w:sz w:val="21"/>
                <w:szCs w:val="21"/>
              </w:rPr>
              <w:t>分；</w:t>
            </w:r>
          </w:p>
          <w:p>
            <w:pPr>
              <w:pStyle w:val="32"/>
              <w:spacing w:before="21" w:line="231" w:lineRule="auto"/>
              <w:ind w:right="115"/>
              <w:jc w:val="left"/>
              <w:rPr>
                <w:rFonts w:hint="eastAsia" w:ascii="仿宋" w:hAnsi="仿宋" w:eastAsia="仿宋" w:cs="仿宋"/>
                <w:sz w:val="21"/>
                <w:szCs w:val="21"/>
              </w:rPr>
            </w:pPr>
            <w:r>
              <w:rPr>
                <w:rFonts w:hint="eastAsia" w:ascii="仿宋" w:hAnsi="仿宋" w:eastAsia="仿宋" w:cs="仿宋"/>
                <w:spacing w:val="-1"/>
                <w:sz w:val="21"/>
                <w:szCs w:val="21"/>
              </w:rPr>
              <w:t>2、</w:t>
            </w:r>
            <w:r>
              <w:rPr>
                <w:rFonts w:hint="eastAsia" w:ascii="仿宋" w:hAnsi="仿宋" w:eastAsia="仿宋" w:cs="仿宋"/>
                <w:spacing w:val="-2"/>
                <w:sz w:val="21"/>
                <w:szCs w:val="21"/>
                <w:lang w:val="en-US" w:eastAsia="zh-CN"/>
              </w:rPr>
              <w:t>投标人</w:t>
            </w:r>
            <w:r>
              <w:rPr>
                <w:rFonts w:hint="eastAsia" w:ascii="仿宋" w:hAnsi="仿宋" w:eastAsia="仿宋" w:cs="仿宋"/>
                <w:spacing w:val="-1"/>
                <w:sz w:val="21"/>
                <w:szCs w:val="21"/>
                <w:lang w:val="en-US" w:eastAsia="zh-CN"/>
              </w:rPr>
              <w:t>提供的小样与招标文件参数要求有偏离</w:t>
            </w:r>
            <w:r>
              <w:rPr>
                <w:rFonts w:hint="eastAsia" w:ascii="仿宋" w:hAnsi="仿宋" w:eastAsia="仿宋" w:cs="仿宋"/>
                <w:spacing w:val="-3"/>
                <w:sz w:val="21"/>
                <w:szCs w:val="21"/>
              </w:rPr>
              <w:t>的</w:t>
            </w:r>
            <w:r>
              <w:rPr>
                <w:rFonts w:hint="eastAsia" w:ascii="仿宋" w:hAnsi="仿宋" w:eastAsia="仿宋" w:cs="仿宋"/>
                <w:spacing w:val="-3"/>
                <w:sz w:val="21"/>
                <w:szCs w:val="21"/>
                <w:lang w:eastAsia="zh-CN"/>
              </w:rPr>
              <w:t>得</w:t>
            </w:r>
            <w:r>
              <w:rPr>
                <w:rFonts w:hint="eastAsia" w:ascii="仿宋" w:hAnsi="仿宋" w:eastAsia="仿宋" w:cs="仿宋"/>
                <w:spacing w:val="-35"/>
                <w:sz w:val="21"/>
                <w:szCs w:val="21"/>
              </w:rPr>
              <w:t xml:space="preserve"> </w:t>
            </w:r>
            <w:r>
              <w:rPr>
                <w:rFonts w:hint="eastAsia" w:ascii="仿宋" w:hAnsi="仿宋" w:eastAsia="仿宋" w:cs="仿宋"/>
                <w:spacing w:val="-35"/>
                <w:sz w:val="21"/>
                <w:szCs w:val="21"/>
                <w:lang w:val="en-US" w:eastAsia="zh-CN"/>
              </w:rPr>
              <w:t>4</w:t>
            </w:r>
            <w:r>
              <w:rPr>
                <w:rFonts w:hint="eastAsia" w:ascii="仿宋" w:hAnsi="仿宋" w:eastAsia="仿宋" w:cs="仿宋"/>
                <w:spacing w:val="-3"/>
                <w:sz w:val="21"/>
                <w:szCs w:val="21"/>
              </w:rPr>
              <w:t>分；</w:t>
            </w:r>
          </w:p>
          <w:p>
            <w:pPr>
              <w:keepNext w:val="0"/>
              <w:keepLines w:val="0"/>
              <w:pageBreakBefore w:val="0"/>
              <w:widowControl w:val="0"/>
              <w:numPr>
                <w:ilvl w:val="0"/>
                <w:numId w:val="0"/>
              </w:numPr>
              <w:kinsoku/>
              <w:wordWrap/>
              <w:overflowPunct/>
              <w:topLinePunct w:val="0"/>
              <w:bidi w:val="0"/>
              <w:snapToGrid/>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spacing w:val="-1"/>
                <w:sz w:val="21"/>
                <w:szCs w:val="21"/>
              </w:rPr>
              <w:t>3、</w:t>
            </w:r>
            <w:r>
              <w:rPr>
                <w:rFonts w:hint="eastAsia" w:ascii="仿宋" w:hAnsi="仿宋" w:eastAsia="仿宋" w:cs="仿宋"/>
                <w:spacing w:val="-2"/>
                <w:sz w:val="21"/>
                <w:szCs w:val="21"/>
                <w:lang w:val="en-US" w:eastAsia="zh-CN"/>
              </w:rPr>
              <w:t>投标人没有提供小样的</w:t>
            </w:r>
            <w:r>
              <w:rPr>
                <w:rFonts w:hint="eastAsia" w:ascii="仿宋" w:hAnsi="仿宋" w:eastAsia="仿宋" w:cs="仿宋"/>
                <w:spacing w:val="-6"/>
                <w:sz w:val="21"/>
                <w:szCs w:val="21"/>
                <w:lang w:eastAsia="zh-CN"/>
              </w:rPr>
              <w:t>得</w:t>
            </w:r>
            <w:r>
              <w:rPr>
                <w:rFonts w:hint="eastAsia" w:ascii="仿宋" w:hAnsi="仿宋" w:eastAsia="仿宋" w:cs="仿宋"/>
                <w:spacing w:val="-47"/>
                <w:sz w:val="21"/>
                <w:szCs w:val="21"/>
              </w:rPr>
              <w:t xml:space="preserve"> </w:t>
            </w:r>
            <w:r>
              <w:rPr>
                <w:rFonts w:hint="eastAsia" w:ascii="仿宋" w:hAnsi="仿宋" w:eastAsia="仿宋" w:cs="仿宋"/>
                <w:spacing w:val="-6"/>
                <w:sz w:val="21"/>
                <w:szCs w:val="21"/>
              </w:rPr>
              <w:t>0</w:t>
            </w:r>
            <w:r>
              <w:rPr>
                <w:rFonts w:hint="eastAsia" w:ascii="仿宋" w:hAnsi="仿宋" w:eastAsia="仿宋" w:cs="仿宋"/>
                <w:spacing w:val="-41"/>
                <w:sz w:val="21"/>
                <w:szCs w:val="21"/>
              </w:rPr>
              <w:t xml:space="preserve"> </w:t>
            </w:r>
            <w:r>
              <w:rPr>
                <w:rFonts w:hint="eastAsia" w:ascii="仿宋" w:hAnsi="仿宋" w:eastAsia="仿宋" w:cs="仿宋"/>
                <w:spacing w:val="-6"/>
                <w:sz w:val="21"/>
                <w:szCs w:val="21"/>
              </w:rPr>
              <w:t>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43" w:type="dxa"/>
            <w:vMerge w:val="continue"/>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p>
        </w:tc>
        <w:tc>
          <w:tcPr>
            <w:tcW w:w="1264" w:type="dxa"/>
            <w:vMerge w:val="continue"/>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lang w:eastAsia="zh-CN"/>
              </w:rPr>
            </w:pPr>
          </w:p>
        </w:tc>
        <w:tc>
          <w:tcPr>
            <w:tcW w:w="1398" w:type="dxa"/>
            <w:tcBorders>
              <w:bottom w:val="single" w:color="auto" w:sz="4" w:space="0"/>
            </w:tcBorders>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项目实施方案评审评分（满分10分）</w:t>
            </w:r>
          </w:p>
        </w:tc>
        <w:tc>
          <w:tcPr>
            <w:tcW w:w="6057" w:type="dxa"/>
            <w:tcBorders>
              <w:bottom w:val="single" w:color="auto" w:sz="4" w:space="0"/>
            </w:tcBorders>
            <w:noWrap w:val="0"/>
            <w:vAlign w:val="center"/>
          </w:tcPr>
          <w:p>
            <w:pPr>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根据投标人响应文件中提供的对本项目的项目实施方案，内容包括但不限于“1.项目实施方案及保障措施；2.质量保障体系及措施；3.应急预案及措施；4.针对本项目的实施人员及安排计划；5.安装调试实施方案”5项内容进行评审，方案内容完善(包含以上内容)、逻辑清晰、详细可行、具备足够先进性、前瞻性和理论支撑、并有大量应用实例可供参考证明、完全满足或优于项目需求的得满分10分；方案存在漏项的每有一处扣2分；方案存在缺陷（缺陷是指不适用本项目实际情况、凭空编造、存在逻辑漏洞、科学原理错误、不可能实现的夸大情形以及涉及的规范、标准与本项目要求不一致、方案编制简单等）每有一处扣1.5分，分数扣完为止。</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00" w:hRule="atLeast"/>
          <w:jc w:val="center"/>
        </w:trPr>
        <w:tc>
          <w:tcPr>
            <w:tcW w:w="1243" w:type="dxa"/>
            <w:vMerge w:val="continue"/>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p>
        </w:tc>
        <w:tc>
          <w:tcPr>
            <w:tcW w:w="1264" w:type="dxa"/>
            <w:vMerge w:val="continue"/>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p>
        </w:tc>
        <w:tc>
          <w:tcPr>
            <w:tcW w:w="1398" w:type="dxa"/>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供货实施方案及进度评审评分（满分</w:t>
            </w:r>
            <w:r>
              <w:rPr>
                <w:rFonts w:hint="eastAsia" w:ascii="仿宋" w:hAnsi="仿宋" w:eastAsia="仿宋" w:cs="仿宋"/>
                <w:color w:val="auto"/>
                <w:sz w:val="21"/>
                <w:szCs w:val="21"/>
                <w:highlight w:val="none"/>
                <w:lang w:val="en-US" w:eastAsia="zh-CN"/>
              </w:rPr>
              <w:t>6分</w:t>
            </w:r>
            <w:r>
              <w:rPr>
                <w:rFonts w:hint="eastAsia" w:ascii="仿宋" w:hAnsi="仿宋" w:eastAsia="仿宋" w:cs="仿宋"/>
                <w:color w:val="auto"/>
                <w:sz w:val="21"/>
                <w:szCs w:val="21"/>
                <w:highlight w:val="none"/>
                <w:lang w:eastAsia="zh-CN"/>
              </w:rPr>
              <w:t>）</w:t>
            </w:r>
          </w:p>
        </w:tc>
        <w:tc>
          <w:tcPr>
            <w:tcW w:w="6057" w:type="dxa"/>
            <w:tcBorders>
              <w:top w:val="single" w:color="auto" w:sz="4" w:space="0"/>
              <w:bottom w:val="single" w:color="auto" w:sz="4" w:space="0"/>
            </w:tcBorders>
            <w:noWrap w:val="0"/>
            <w:vAlign w:val="center"/>
          </w:tcPr>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提出的供货实施方案及进度整体情况进行</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评审评分(包括但不限于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装运方案</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进度承诺</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运输线路、运输工具、交货人员安排</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保证措施和违约承诺内容)。</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1.供货实施方案详细具体，科学合理，可行性强，进度能完全满足要求，有具体的保证措施及违约责任承诺的，得</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w:t>
            </w:r>
            <w:r>
              <w:rPr>
                <w:rFonts w:hint="eastAsia" w:ascii="仿宋" w:hAnsi="仿宋" w:eastAsia="仿宋" w:cs="仿宋"/>
                <w:color w:val="auto"/>
                <w:sz w:val="21"/>
                <w:szCs w:val="21"/>
                <w:highlight w:val="none"/>
                <w:lang w:eastAsia="zh-CN"/>
              </w:rPr>
              <w:t>；</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2.方案及进度内容中每缺失一项的，扣</w:t>
            </w:r>
            <w:r>
              <w:rPr>
                <w:rFonts w:hint="eastAsia" w:ascii="仿宋" w:hAnsi="仿宋" w:eastAsia="仿宋" w:cs="仿宋"/>
                <w:color w:val="auto"/>
                <w:sz w:val="21"/>
                <w:szCs w:val="21"/>
                <w:highlight w:val="none"/>
                <w:lang w:val="en-US" w:eastAsia="zh-CN"/>
              </w:rPr>
              <w:t>1.5</w:t>
            </w:r>
            <w:r>
              <w:rPr>
                <w:rFonts w:hint="eastAsia" w:ascii="仿宋" w:hAnsi="仿宋" w:eastAsia="仿宋" w:cs="仿宋"/>
                <w:color w:val="auto"/>
                <w:sz w:val="21"/>
                <w:szCs w:val="21"/>
                <w:highlight w:val="none"/>
              </w:rPr>
              <w:t>分</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每有一项不完善或不符合项目实际情况的，扣</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w:t>
            </w:r>
            <w:r>
              <w:rPr>
                <w:rFonts w:hint="eastAsia" w:ascii="仿宋" w:hAnsi="仿宋" w:eastAsia="仿宋" w:cs="仿宋"/>
                <w:color w:val="auto"/>
                <w:sz w:val="21"/>
                <w:szCs w:val="21"/>
                <w:highlight w:val="none"/>
                <w:lang w:eastAsia="zh-CN"/>
              </w:rPr>
              <w:t>。</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注：未提供</w:t>
            </w:r>
            <w:r>
              <w:rPr>
                <w:rFonts w:hint="eastAsia" w:ascii="仿宋" w:hAnsi="仿宋" w:eastAsia="仿宋" w:cs="仿宋"/>
                <w:color w:val="auto"/>
                <w:sz w:val="21"/>
                <w:szCs w:val="21"/>
                <w:highlight w:val="none"/>
                <w:lang w:eastAsia="zh-CN"/>
              </w:rPr>
              <w:t>供货实施方案</w:t>
            </w:r>
            <w:r>
              <w:rPr>
                <w:rFonts w:hint="eastAsia" w:ascii="仿宋" w:hAnsi="仿宋" w:eastAsia="仿宋" w:cs="仿宋"/>
                <w:color w:val="auto"/>
                <w:sz w:val="21"/>
                <w:szCs w:val="21"/>
                <w:highlight w:val="none"/>
              </w:rPr>
              <w:t>及</w:t>
            </w:r>
            <w:r>
              <w:rPr>
                <w:rFonts w:hint="eastAsia" w:ascii="仿宋" w:hAnsi="仿宋" w:eastAsia="仿宋" w:cs="仿宋"/>
                <w:color w:val="auto"/>
                <w:sz w:val="21"/>
                <w:szCs w:val="21"/>
                <w:highlight w:val="none"/>
                <w:lang w:eastAsia="zh-CN"/>
              </w:rPr>
              <w:t>进度</w:t>
            </w:r>
            <w:r>
              <w:rPr>
                <w:rFonts w:hint="eastAsia" w:ascii="仿宋" w:hAnsi="仿宋" w:eastAsia="仿宋" w:cs="仿宋"/>
                <w:color w:val="auto"/>
                <w:sz w:val="21"/>
                <w:szCs w:val="21"/>
                <w:highlight w:val="none"/>
              </w:rPr>
              <w:t>的不得分。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1243" w:type="dxa"/>
            <w:vMerge w:val="restart"/>
            <w:tcBorders>
              <w:right w:val="single" w:color="auto" w:sz="4" w:space="0"/>
            </w:tcBorders>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1264" w:type="dxa"/>
            <w:vMerge w:val="restart"/>
            <w:tcBorders>
              <w:top w:val="single" w:color="auto" w:sz="4" w:space="0"/>
              <w:left w:val="single" w:color="auto" w:sz="4" w:space="0"/>
            </w:tcBorders>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商务部分</w:t>
            </w:r>
          </w:p>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F3</w:t>
            </w:r>
          </w:p>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评审标准（满分</w:t>
            </w:r>
            <w:r>
              <w:rPr>
                <w:rFonts w:hint="eastAsia" w:ascii="仿宋" w:hAnsi="仿宋" w:eastAsia="仿宋" w:cs="仿宋"/>
                <w:color w:val="auto"/>
                <w:sz w:val="21"/>
                <w:szCs w:val="21"/>
                <w:highlight w:val="none"/>
                <w:lang w:val="en-US" w:eastAsia="zh-CN"/>
              </w:rPr>
              <w:t>22分</w:t>
            </w:r>
            <w:r>
              <w:rPr>
                <w:rFonts w:hint="eastAsia" w:ascii="仿宋" w:hAnsi="仿宋" w:eastAsia="仿宋" w:cs="仿宋"/>
                <w:color w:val="auto"/>
                <w:sz w:val="21"/>
                <w:szCs w:val="21"/>
                <w:highlight w:val="none"/>
                <w:lang w:eastAsia="zh-CN"/>
              </w:rPr>
              <w:t>）</w:t>
            </w:r>
          </w:p>
        </w:tc>
        <w:tc>
          <w:tcPr>
            <w:tcW w:w="1398" w:type="dxa"/>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售后服务承诺及保障措施评审标准（满分6分）</w:t>
            </w:r>
          </w:p>
        </w:tc>
        <w:tc>
          <w:tcPr>
            <w:tcW w:w="6057" w:type="dxa"/>
            <w:tcBorders>
              <w:top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根据投标人提供的售后服务承诺及保证措施进行评审评分：</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1.售后服务方案及承诺（2分）</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从售后服务方案、售后服务承诺两个方面进行评审。每项内容表述详实且科学、合理可行，承诺齐全，违约惩罚措施明确且具体的，得2分；每有一项缺乏或不足的扣1分，分数扣完为止。</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2.售后服务保障措施（2分）</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从售后服务人员配置及技术力量、售后服务巡检及问题处理两个方面进行评审。投标人售后服务能力强、服务团队稳定、售后服务巡检内容及售后问题处理详实并有针对性的，得2分；每有一项缺乏或不足的扣1分，分数扣完为止。</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3.备品备件及生命周期运行维护规划 （2分）</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从备品备件的提供和供应情况、设备全生命周期成本分析及管理方案两个方面进行评审。备品备件供应方案内容详实、承诺具体，设备全生命周期成本分析及管理方案内容详实、分析具体的，得2分；每有一项缺乏或不足的扣1分，分数扣完为止。</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注：售后服务承诺及保障措施出现不适用项目实际情况、凭空编造、存在逻辑漏洞、科学原理错误、不可能实现的夸大情形、涉及的规范、标准与本项目要求不一致等情况的，评委可视情况减分或不予给分。未提供售后服务承诺及保障措施说明的不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1243" w:type="dxa"/>
            <w:vMerge w:val="continue"/>
            <w:tcBorders>
              <w:right w:val="single" w:color="auto" w:sz="4" w:space="0"/>
            </w:tcBorders>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p>
        </w:tc>
        <w:tc>
          <w:tcPr>
            <w:tcW w:w="1264" w:type="dxa"/>
            <w:vMerge w:val="continue"/>
            <w:tcBorders>
              <w:left w:val="single" w:color="auto" w:sz="4" w:space="0"/>
            </w:tcBorders>
            <w:noWrap w:val="0"/>
            <w:vAlign w:val="center"/>
          </w:tcPr>
          <w:p>
            <w:pPr>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lang w:eastAsia="zh-CN"/>
              </w:rPr>
            </w:pPr>
          </w:p>
        </w:tc>
        <w:tc>
          <w:tcPr>
            <w:tcW w:w="1398" w:type="dxa"/>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宋体" w:cs="仿宋"/>
                <w:bCs/>
                <w:color w:val="auto"/>
                <w:sz w:val="21"/>
                <w:szCs w:val="21"/>
                <w:highlight w:val="none"/>
                <w:lang w:val="en-US" w:eastAsia="zh-CN"/>
              </w:rPr>
            </w:pPr>
            <w:r>
              <w:rPr>
                <w:rFonts w:hint="eastAsia" w:ascii="仿宋" w:hAnsi="仿宋" w:eastAsia="仿宋" w:cs="仿宋"/>
                <w:spacing w:val="-3"/>
                <w:sz w:val="21"/>
                <w:szCs w:val="21"/>
              </w:rPr>
              <w:t>资质认证</w:t>
            </w:r>
            <w:r>
              <w:rPr>
                <w:rFonts w:hint="eastAsia" w:ascii="仿宋" w:hAnsi="仿宋" w:eastAsia="仿宋" w:cs="仿宋"/>
                <w:spacing w:val="-3"/>
                <w:sz w:val="21"/>
                <w:szCs w:val="21"/>
                <w:lang w:eastAsia="zh-CN"/>
              </w:rPr>
              <w:t>（满分</w:t>
            </w:r>
            <w:r>
              <w:rPr>
                <w:rFonts w:hint="eastAsia" w:ascii="仿宋" w:hAnsi="仿宋" w:eastAsia="仿宋" w:cs="仿宋"/>
                <w:spacing w:val="-3"/>
                <w:sz w:val="21"/>
                <w:szCs w:val="21"/>
                <w:lang w:val="en-US" w:eastAsia="zh-CN"/>
              </w:rPr>
              <w:t>8分</w:t>
            </w:r>
            <w:r>
              <w:rPr>
                <w:rFonts w:hint="eastAsia" w:ascii="仿宋" w:hAnsi="仿宋" w:eastAsia="仿宋" w:cs="仿宋"/>
                <w:spacing w:val="-3"/>
                <w:sz w:val="21"/>
                <w:szCs w:val="21"/>
                <w:lang w:eastAsia="zh-CN"/>
              </w:rPr>
              <w:t>）</w:t>
            </w:r>
          </w:p>
        </w:tc>
        <w:tc>
          <w:tcPr>
            <w:tcW w:w="6057" w:type="dxa"/>
            <w:tcBorders>
              <w:top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1、投标人或所投产品制造商获得适用于（或认证范围或覆盖范围包括）人造板家具、金属家具的《质量管理体系认证证书》、《职业健康安全管理体系认证证书》、《环境管理体系认证证书》，《中国环境标志产品认证证书》全部满足得1分。有一个不满足扣0.25分，直至扣完为止。</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2、投标人或所投产品制造商获得“ 产品安全认证证书 ”，且认证产品单元包含：人造板家具、金属家具，得1分。</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3、投标人或所投产品制造商获得“ 产品健康认证证书 ”，且认证产品单元包含：人造板家具、金属家具，得1分。</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4、投标人或所投产品制造商获得“ 产品防霉认证证书 ”，且认证产品单元包含：人造板家具、金属家具，得1分。</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5、投标人或所投产品制造商获得“ 家具中有害物质限量认证证书 ”，且认证产品单元包含：人造板家具、金属家具，得1分。</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6、投标人或所投产品制造商获得“ 五星级绿色供应链认证证书 ”，且认证产品单元包含：教学家具、金属家具，得1分</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7、投标人或所投产品制造商获得“ 十星级售后服务完善度认证证书 ”，且认证产品单元包含：人造板家具、金属家具，得1分</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8、投标人或所投产品制造商获得“ 低VOCs家具产品认证证书 ”，且认证产品单元包含：人造板家具、金属家具，得1分</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1-8项每项认证证书计1分，最多计8分。其中第1项分4个小项，1个小项不满足扣0.25分，2-8项每1项不符合扣1分。</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pacing w:val="-1"/>
                <w:sz w:val="21"/>
                <w:szCs w:val="21"/>
                <w:lang w:val="en-US" w:eastAsia="zh-CN"/>
              </w:rPr>
              <w:t>注明：提供符合上述要求、在有效期内、按期年检合格的认证证书原件扫描件，并提供全国认证认可信息公共服务平台查询截图，否则不计分。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72" w:hRule="atLeast"/>
          <w:jc w:val="center"/>
        </w:trPr>
        <w:tc>
          <w:tcPr>
            <w:tcW w:w="1243" w:type="dxa"/>
            <w:vMerge w:val="continue"/>
            <w:tcBorders>
              <w:right w:val="single" w:color="auto" w:sz="4" w:space="0"/>
            </w:tcBorders>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p>
        </w:tc>
        <w:tc>
          <w:tcPr>
            <w:tcW w:w="1264" w:type="dxa"/>
            <w:vMerge w:val="continue"/>
            <w:tcBorders>
              <w:left w:val="single" w:color="auto" w:sz="4" w:space="0"/>
            </w:tcBorders>
            <w:noWrap w:val="0"/>
            <w:vAlign w:val="center"/>
          </w:tcPr>
          <w:p>
            <w:pPr>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lang w:eastAsia="zh-CN"/>
              </w:rPr>
            </w:pPr>
          </w:p>
        </w:tc>
        <w:tc>
          <w:tcPr>
            <w:tcW w:w="1398" w:type="dxa"/>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spacing w:val="-3"/>
                <w:sz w:val="21"/>
                <w:szCs w:val="21"/>
                <w:lang w:val="en-US" w:eastAsia="zh-CN"/>
              </w:rPr>
              <w:t>生产设备认证(满分5分)</w:t>
            </w:r>
          </w:p>
        </w:tc>
        <w:tc>
          <w:tcPr>
            <w:tcW w:w="6057" w:type="dxa"/>
            <w:tcBorders>
              <w:top w:val="single" w:color="auto" w:sz="4" w:space="0"/>
              <w:bottom w:val="single" w:color="auto" w:sz="4" w:space="0"/>
              <w:right w:val="single" w:color="auto" w:sz="4" w:space="0"/>
            </w:tcBorders>
            <w:noWrap w:val="0"/>
            <w:vAlign w:val="center"/>
          </w:tcPr>
          <w:p>
            <w:pPr>
              <w:pStyle w:val="32"/>
              <w:spacing w:before="22"/>
              <w:ind w:right="206" w:rightChars="0"/>
              <w:rPr>
                <w:rFonts w:hint="eastAsia" w:ascii="仿宋" w:hAnsi="仿宋" w:eastAsia="仿宋" w:cs="仿宋"/>
                <w:spacing w:val="-1"/>
                <w:sz w:val="21"/>
                <w:szCs w:val="21"/>
                <w:lang w:val="en-US" w:eastAsia="zh-CN"/>
              </w:rPr>
            </w:pPr>
            <w:r>
              <w:rPr>
                <w:rFonts w:hint="eastAsia" w:ascii="仿宋" w:hAnsi="仿宋" w:eastAsia="仿宋" w:cs="仿宋"/>
                <w:spacing w:val="-1"/>
                <w:sz w:val="21"/>
                <w:szCs w:val="21"/>
                <w:lang w:val="en-US" w:eastAsia="zh-CN"/>
              </w:rPr>
              <w:t>所投产品制造商提供所投产品生产设备包括：注塑机、数控开料机、上料台、数控全自动斜边封边机、中央除尘设备，提供上述设备购买合同、设备购买发票复印件，发票上购买方单位名称须与所投产品制造商名称一致，如果设备名称有偏差，功能相同，须提供相关证明材料作为评审依据，经评标委员会认可；按要求提供证明材料，发票必须清晰、齐全。</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spacing w:val="-3"/>
                <w:sz w:val="21"/>
                <w:szCs w:val="21"/>
              </w:rPr>
              <w:t>每项</w:t>
            </w:r>
            <w:r>
              <w:rPr>
                <w:rFonts w:hint="eastAsia" w:ascii="仿宋" w:hAnsi="仿宋" w:eastAsia="仿宋" w:cs="仿宋"/>
                <w:spacing w:val="-3"/>
                <w:sz w:val="21"/>
                <w:szCs w:val="21"/>
                <w:lang w:val="en-US" w:eastAsia="zh-CN"/>
              </w:rPr>
              <w:t>生产设备得</w:t>
            </w:r>
            <w:r>
              <w:rPr>
                <w:rFonts w:hint="eastAsia" w:ascii="仿宋" w:hAnsi="仿宋" w:eastAsia="仿宋" w:cs="仿宋"/>
                <w:spacing w:val="-3"/>
                <w:sz w:val="21"/>
                <w:szCs w:val="21"/>
              </w:rPr>
              <w:t xml:space="preserve"> </w:t>
            </w:r>
            <w:r>
              <w:rPr>
                <w:rFonts w:hint="eastAsia" w:ascii="仿宋" w:hAnsi="仿宋" w:eastAsia="仿宋" w:cs="仿宋"/>
                <w:spacing w:val="-3"/>
                <w:sz w:val="21"/>
                <w:szCs w:val="21"/>
                <w:lang w:val="en-US" w:eastAsia="zh-CN"/>
              </w:rPr>
              <w:t>1</w:t>
            </w:r>
            <w:r>
              <w:rPr>
                <w:rFonts w:hint="eastAsia" w:ascii="仿宋" w:hAnsi="仿宋" w:eastAsia="仿宋" w:cs="仿宋"/>
                <w:spacing w:val="-3"/>
                <w:sz w:val="21"/>
                <w:szCs w:val="21"/>
              </w:rPr>
              <w:t>分，</w:t>
            </w:r>
            <w:r>
              <w:rPr>
                <w:rFonts w:hint="eastAsia" w:ascii="仿宋" w:hAnsi="仿宋" w:eastAsia="仿宋" w:cs="仿宋"/>
                <w:spacing w:val="-3"/>
                <w:sz w:val="21"/>
                <w:szCs w:val="21"/>
                <w:lang w:val="en-US" w:eastAsia="zh-CN"/>
              </w:rPr>
              <w:t>共计5个设备，</w:t>
            </w:r>
            <w:r>
              <w:rPr>
                <w:rFonts w:hint="eastAsia" w:ascii="仿宋" w:hAnsi="仿宋" w:eastAsia="仿宋" w:cs="仿宋"/>
                <w:spacing w:val="-3"/>
                <w:sz w:val="21"/>
                <w:szCs w:val="21"/>
              </w:rPr>
              <w:t>最多计</w:t>
            </w:r>
            <w:r>
              <w:rPr>
                <w:rFonts w:hint="eastAsia" w:ascii="仿宋" w:hAnsi="仿宋" w:eastAsia="仿宋" w:cs="仿宋"/>
                <w:spacing w:val="-3"/>
                <w:sz w:val="21"/>
                <w:szCs w:val="21"/>
                <w:lang w:val="en-US" w:eastAsia="zh-CN"/>
              </w:rPr>
              <w:t>5</w:t>
            </w:r>
            <w:r>
              <w:rPr>
                <w:rFonts w:hint="eastAsia" w:ascii="仿宋" w:hAnsi="仿宋" w:eastAsia="仿宋" w:cs="仿宋"/>
                <w:spacing w:val="-3"/>
                <w:sz w:val="21"/>
                <w:szCs w:val="21"/>
              </w:rPr>
              <w:t>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259" w:hRule="atLeast"/>
          <w:jc w:val="center"/>
        </w:trPr>
        <w:tc>
          <w:tcPr>
            <w:tcW w:w="1243" w:type="dxa"/>
            <w:vMerge w:val="continue"/>
            <w:tcBorders>
              <w:right w:val="single" w:color="auto" w:sz="4" w:space="0"/>
            </w:tcBorders>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color w:val="auto"/>
                <w:sz w:val="21"/>
                <w:szCs w:val="21"/>
                <w:highlight w:val="none"/>
              </w:rPr>
            </w:pPr>
          </w:p>
        </w:tc>
        <w:tc>
          <w:tcPr>
            <w:tcW w:w="1264" w:type="dxa"/>
            <w:vMerge w:val="continue"/>
            <w:tcBorders>
              <w:left w:val="single" w:color="auto" w:sz="4" w:space="0"/>
              <w:bottom w:val="single" w:color="auto" w:sz="4" w:space="0"/>
            </w:tcBorders>
            <w:noWrap w:val="0"/>
            <w:vAlign w:val="center"/>
          </w:tcPr>
          <w:p>
            <w:pPr>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lang w:eastAsia="zh-CN"/>
              </w:rPr>
            </w:pPr>
          </w:p>
        </w:tc>
        <w:tc>
          <w:tcPr>
            <w:tcW w:w="1398" w:type="dxa"/>
            <w:tcBorders>
              <w:top w:val="single" w:color="auto" w:sz="4" w:space="0"/>
              <w:bottom w:val="single" w:color="auto" w:sz="4" w:space="0"/>
            </w:tcBorders>
            <w:shd w:val="clear" w:color="auto" w:fill="auto"/>
            <w:noWrap w:val="0"/>
            <w:vAlign w:val="center"/>
          </w:tcPr>
          <w:p>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业绩（满分3分）</w:t>
            </w:r>
          </w:p>
        </w:tc>
        <w:tc>
          <w:tcPr>
            <w:tcW w:w="6057" w:type="dxa"/>
            <w:tcBorders>
              <w:top w:val="single" w:color="auto" w:sz="4" w:space="0"/>
              <w:bottom w:val="single" w:color="auto" w:sz="4" w:space="0"/>
              <w:right w:val="single" w:color="auto" w:sz="4" w:space="0"/>
            </w:tcBorders>
            <w:noWrap w:val="0"/>
            <w:vAlign w:val="center"/>
          </w:tcPr>
          <w:p>
            <w:pPr>
              <w:pStyle w:val="32"/>
              <w:spacing w:before="118" w:line="241" w:lineRule="auto"/>
              <w:ind w:left="118" w:right="206" w:firstLine="1"/>
              <w:rPr>
                <w:rFonts w:hint="eastAsia" w:ascii="仿宋" w:hAnsi="仿宋" w:eastAsia="仿宋" w:cs="仿宋"/>
                <w:sz w:val="21"/>
                <w:szCs w:val="21"/>
              </w:rPr>
            </w:pPr>
            <w:r>
              <w:rPr>
                <w:rFonts w:hint="eastAsia" w:ascii="仿宋" w:hAnsi="仿宋" w:eastAsia="仿宋" w:cs="仿宋"/>
                <w:spacing w:val="-1"/>
                <w:sz w:val="21"/>
                <w:szCs w:val="21"/>
              </w:rPr>
              <w:t>提供投标人或产品制造商</w:t>
            </w:r>
            <w:r>
              <w:rPr>
                <w:rFonts w:hint="eastAsia" w:ascii="仿宋" w:hAnsi="仿宋" w:eastAsia="仿宋" w:cs="仿宋"/>
                <w:spacing w:val="-1"/>
                <w:sz w:val="21"/>
                <w:szCs w:val="21"/>
                <w:lang w:val="en-US" w:eastAsia="zh-CN"/>
              </w:rPr>
              <w:t>固定式课桌椅或</w:t>
            </w:r>
            <w:r>
              <w:rPr>
                <w:rFonts w:hint="eastAsia" w:ascii="仿宋" w:hAnsi="仿宋" w:eastAsia="仿宋" w:cs="仿宋"/>
                <w:spacing w:val="-1"/>
                <w:sz w:val="21"/>
                <w:szCs w:val="21"/>
              </w:rPr>
              <w:t>课桌椅产品的类似</w:t>
            </w:r>
            <w:r>
              <w:rPr>
                <w:rFonts w:hint="eastAsia" w:ascii="仿宋" w:hAnsi="仿宋" w:eastAsia="仿宋" w:cs="仿宋"/>
                <w:spacing w:val="-1"/>
                <w:sz w:val="21"/>
                <w:szCs w:val="21"/>
                <w:lang w:val="en-US" w:eastAsia="zh-CN"/>
              </w:rPr>
              <w:t>家具</w:t>
            </w:r>
            <w:r>
              <w:rPr>
                <w:rFonts w:hint="eastAsia" w:ascii="仿宋" w:hAnsi="仿宋" w:eastAsia="仿宋" w:cs="仿宋"/>
                <w:spacing w:val="-1"/>
                <w:sz w:val="21"/>
                <w:szCs w:val="21"/>
              </w:rPr>
              <w:t>项目业绩，每提供一个完全满足下列业绩要求的得</w:t>
            </w:r>
            <w:r>
              <w:rPr>
                <w:rFonts w:hint="eastAsia" w:ascii="仿宋" w:hAnsi="仿宋" w:eastAsia="仿宋" w:cs="仿宋"/>
                <w:spacing w:val="-1"/>
                <w:sz w:val="21"/>
                <w:szCs w:val="21"/>
                <w:lang w:val="en-US" w:eastAsia="zh-CN"/>
              </w:rPr>
              <w:t>1</w:t>
            </w:r>
            <w:r>
              <w:rPr>
                <w:rFonts w:hint="eastAsia" w:ascii="仿宋" w:hAnsi="仿宋" w:eastAsia="仿宋" w:cs="仿宋"/>
                <w:spacing w:val="-7"/>
                <w:sz w:val="21"/>
                <w:szCs w:val="21"/>
              </w:rPr>
              <w:t>分，最高得</w:t>
            </w:r>
            <w:r>
              <w:rPr>
                <w:rFonts w:hint="eastAsia" w:ascii="仿宋" w:hAnsi="仿宋" w:eastAsia="仿宋" w:cs="仿宋"/>
                <w:spacing w:val="-28"/>
                <w:sz w:val="21"/>
                <w:szCs w:val="21"/>
              </w:rPr>
              <w:t xml:space="preserve"> </w:t>
            </w:r>
            <w:r>
              <w:rPr>
                <w:rFonts w:hint="eastAsia" w:ascii="仿宋" w:hAnsi="仿宋" w:eastAsia="仿宋" w:cs="仿宋"/>
                <w:spacing w:val="-28"/>
                <w:sz w:val="21"/>
                <w:szCs w:val="21"/>
                <w:lang w:val="en-US" w:eastAsia="zh-CN"/>
              </w:rPr>
              <w:t>3</w:t>
            </w:r>
            <w:r>
              <w:rPr>
                <w:rFonts w:hint="eastAsia" w:ascii="仿宋" w:hAnsi="仿宋" w:eastAsia="仿宋" w:cs="仿宋"/>
                <w:spacing w:val="-7"/>
                <w:sz w:val="21"/>
                <w:szCs w:val="21"/>
              </w:rPr>
              <w:t>分：</w:t>
            </w:r>
          </w:p>
          <w:p>
            <w:pPr>
              <w:pStyle w:val="32"/>
              <w:spacing w:before="23" w:line="229" w:lineRule="auto"/>
              <w:ind w:left="135" w:right="206"/>
              <w:rPr>
                <w:rFonts w:hint="eastAsia" w:ascii="仿宋" w:hAnsi="仿宋" w:eastAsia="仿宋" w:cs="仿宋"/>
                <w:sz w:val="21"/>
                <w:szCs w:val="21"/>
              </w:rPr>
            </w:pPr>
            <w:r>
              <w:rPr>
                <w:rFonts w:hint="eastAsia" w:ascii="仿宋" w:hAnsi="仿宋" w:eastAsia="仿宋" w:cs="仿宋"/>
                <w:spacing w:val="-7"/>
                <w:sz w:val="21"/>
                <w:szCs w:val="21"/>
              </w:rPr>
              <w:t>1、时间为</w:t>
            </w:r>
            <w:r>
              <w:rPr>
                <w:rFonts w:hint="eastAsia" w:ascii="仿宋" w:hAnsi="仿宋" w:eastAsia="仿宋" w:cs="仿宋"/>
                <w:spacing w:val="-12"/>
                <w:sz w:val="21"/>
                <w:szCs w:val="21"/>
              </w:rPr>
              <w:t xml:space="preserve"> </w:t>
            </w:r>
            <w:r>
              <w:rPr>
                <w:rFonts w:hint="eastAsia" w:ascii="仿宋" w:hAnsi="仿宋" w:eastAsia="仿宋" w:cs="仿宋"/>
                <w:spacing w:val="-7"/>
                <w:sz w:val="21"/>
                <w:szCs w:val="21"/>
              </w:rPr>
              <w:t>202</w:t>
            </w:r>
            <w:r>
              <w:rPr>
                <w:rFonts w:hint="eastAsia" w:ascii="仿宋" w:hAnsi="仿宋" w:eastAsia="仿宋" w:cs="仿宋"/>
                <w:spacing w:val="-7"/>
                <w:sz w:val="21"/>
                <w:szCs w:val="21"/>
                <w:lang w:val="en-US" w:eastAsia="zh-CN"/>
              </w:rPr>
              <w:t>4</w:t>
            </w:r>
            <w:r>
              <w:rPr>
                <w:rFonts w:hint="eastAsia" w:ascii="仿宋" w:hAnsi="仿宋" w:eastAsia="仿宋" w:cs="仿宋"/>
                <w:spacing w:val="-7"/>
                <w:sz w:val="21"/>
                <w:szCs w:val="21"/>
              </w:rPr>
              <w:t>年</w:t>
            </w:r>
            <w:r>
              <w:rPr>
                <w:rFonts w:hint="eastAsia" w:ascii="仿宋" w:hAnsi="仿宋" w:eastAsia="仿宋" w:cs="仿宋"/>
                <w:spacing w:val="-39"/>
                <w:sz w:val="21"/>
                <w:szCs w:val="21"/>
              </w:rPr>
              <w:t xml:space="preserve"> </w:t>
            </w:r>
            <w:r>
              <w:rPr>
                <w:rFonts w:hint="eastAsia" w:ascii="仿宋" w:hAnsi="仿宋" w:eastAsia="仿宋" w:cs="仿宋"/>
                <w:spacing w:val="-39"/>
                <w:sz w:val="21"/>
                <w:szCs w:val="21"/>
                <w:lang w:val="en-US" w:eastAsia="zh-CN"/>
              </w:rPr>
              <w:t>1</w:t>
            </w:r>
            <w:r>
              <w:rPr>
                <w:rFonts w:hint="eastAsia" w:ascii="仿宋" w:hAnsi="仿宋" w:eastAsia="仿宋" w:cs="仿宋"/>
                <w:spacing w:val="-44"/>
                <w:sz w:val="21"/>
                <w:szCs w:val="21"/>
              </w:rPr>
              <w:t xml:space="preserve"> </w:t>
            </w:r>
            <w:r>
              <w:rPr>
                <w:rFonts w:hint="eastAsia" w:ascii="仿宋" w:hAnsi="仿宋" w:eastAsia="仿宋" w:cs="仿宋"/>
                <w:spacing w:val="-7"/>
                <w:sz w:val="21"/>
                <w:szCs w:val="21"/>
              </w:rPr>
              <w:t>月</w:t>
            </w:r>
            <w:r>
              <w:rPr>
                <w:rFonts w:hint="eastAsia" w:ascii="仿宋" w:hAnsi="仿宋" w:eastAsia="仿宋" w:cs="仿宋"/>
                <w:spacing w:val="-28"/>
                <w:sz w:val="21"/>
                <w:szCs w:val="21"/>
              </w:rPr>
              <w:t xml:space="preserve"> </w:t>
            </w:r>
            <w:r>
              <w:rPr>
                <w:rFonts w:hint="eastAsia" w:ascii="仿宋" w:hAnsi="仿宋" w:eastAsia="仿宋" w:cs="仿宋"/>
                <w:spacing w:val="-7"/>
                <w:sz w:val="21"/>
                <w:szCs w:val="21"/>
              </w:rPr>
              <w:t>1 日以来（以合同签订时</w:t>
            </w:r>
            <w:r>
              <w:rPr>
                <w:rFonts w:hint="eastAsia" w:ascii="仿宋" w:hAnsi="仿宋" w:eastAsia="仿宋" w:cs="仿宋"/>
                <w:spacing w:val="-13"/>
                <w:sz w:val="21"/>
                <w:szCs w:val="21"/>
              </w:rPr>
              <w:t>间为准</w:t>
            </w:r>
            <w:r>
              <w:rPr>
                <w:rFonts w:hint="eastAsia" w:ascii="仿宋" w:hAnsi="仿宋" w:eastAsia="仿宋" w:cs="仿宋"/>
                <w:spacing w:val="-8"/>
                <w:sz w:val="21"/>
                <w:szCs w:val="21"/>
              </w:rPr>
              <w:t>）；</w:t>
            </w:r>
          </w:p>
          <w:p>
            <w:pPr>
              <w:pStyle w:val="2"/>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spacing w:val="-1"/>
                <w:sz w:val="21"/>
                <w:szCs w:val="21"/>
              </w:rPr>
              <w:t>2、提供</w:t>
            </w:r>
            <w:r>
              <w:rPr>
                <w:rFonts w:hint="eastAsia" w:ascii="仿宋" w:hAnsi="仿宋" w:eastAsia="仿宋" w:cs="仿宋"/>
                <w:spacing w:val="-1"/>
                <w:sz w:val="21"/>
                <w:szCs w:val="21"/>
                <w:lang w:val="en-US" w:eastAsia="zh-CN"/>
              </w:rPr>
              <w:t>完整</w:t>
            </w:r>
            <w:r>
              <w:rPr>
                <w:rFonts w:hint="eastAsia" w:ascii="仿宋" w:hAnsi="仿宋" w:eastAsia="仿宋" w:cs="仿宋"/>
                <w:spacing w:val="-1"/>
                <w:sz w:val="21"/>
                <w:szCs w:val="21"/>
              </w:rPr>
              <w:t>合同作为证明材料（合同必须有产品的内容、合同双方签署页）。</w:t>
            </w:r>
          </w:p>
        </w:tc>
      </w:tr>
    </w:tbl>
    <w:p>
      <w:pPr>
        <w:rPr>
          <w:rFonts w:hint="default"/>
          <w:color w:val="auto"/>
          <w:highlight w:val="none"/>
          <w:lang w:val="en-US" w:eastAsia="zh-CN"/>
        </w:rPr>
      </w:pPr>
    </w:p>
    <w:p>
      <w:pPr>
        <w:shd w:val="clear"/>
        <w:wordWrap w:val="0"/>
        <w:spacing w:line="360" w:lineRule="auto"/>
        <w:ind w:firstLine="562" w:firstLineChars="200"/>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2.3 投标文件的澄清、说明或者补正</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2.3.1 对于投标文件中含义不明确、同类问题表述不一致或者有明显文字和计算错误的内容，评标委员会应当以书面形式要求供应商作出必要的澄清、说明或者补正。</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2.3.2 供应商的澄清、说明或者补正应当采用书面形式，并加盖公章，或者由法定代表人或其授权的代表签字。供应商的澄清、说明或者补正不得超出投标文件的范围或者改变投标文件的实质性内容。</w:t>
      </w:r>
    </w:p>
    <w:p>
      <w:pPr>
        <w:shd w:val="clear"/>
        <w:wordWrap w:val="0"/>
        <w:spacing w:line="360" w:lineRule="auto"/>
        <w:ind w:firstLine="562" w:firstLineChars="20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2.4 评标结果</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2.4.1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pPr>
        <w:shd w:val="clea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2.4.2评标委员会根据全体评标成员签字的原始评标记录和评标结果编写评标报告。评标委员会成员应当在评标报告上签字，对自己的评审意见承担法律责任。评标委员会成员对需要共同认定的事项存在争议的，应当按照少数服从多数的原则做出结论。持不同意见的评标委员会成员应当在评标报告上签署不同意见及理由，否则视为同意评标报告。</w:t>
      </w:r>
      <w:bookmarkStart w:id="114" w:name="_Toc2037"/>
    </w:p>
    <w:p>
      <w:pPr>
        <w:shd w:val="clea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shd w:val="clear"/>
        <w:spacing w:line="360" w:lineRule="auto"/>
        <w:jc w:val="center"/>
        <w:outlineLvl w:val="0"/>
        <w:rPr>
          <w:rFonts w:hint="eastAsia" w:ascii="宋体" w:hAnsi="宋体" w:eastAsia="宋体" w:cs="Times New Roman"/>
          <w:b/>
          <w:bCs/>
          <w:color w:val="auto"/>
          <w:sz w:val="32"/>
          <w:szCs w:val="32"/>
          <w:highlight w:val="none"/>
        </w:rPr>
      </w:pPr>
      <w:r>
        <w:rPr>
          <w:rFonts w:hint="eastAsia" w:ascii="仿宋" w:hAnsi="仿宋" w:eastAsia="仿宋" w:cs="仿宋"/>
          <w:b/>
          <w:bCs/>
          <w:color w:val="auto"/>
          <w:kern w:val="44"/>
          <w:sz w:val="32"/>
          <w:szCs w:val="32"/>
          <w:highlight w:val="none"/>
        </w:rPr>
        <w:t xml:space="preserve">第四章 </w:t>
      </w:r>
      <w:bookmarkEnd w:id="114"/>
      <w:r>
        <w:rPr>
          <w:rFonts w:hint="eastAsia" w:ascii="Times New Roman" w:hAnsi="Times New Roman" w:eastAsia="仿宋" w:cs="Times New Roman"/>
          <w:b/>
          <w:bCs/>
          <w:color w:val="auto"/>
          <w:sz w:val="32"/>
          <w:szCs w:val="32"/>
          <w:highlight w:val="none"/>
          <w:lang w:val="en-US" w:eastAsia="zh-CN"/>
        </w:rPr>
        <w:t>采购</w:t>
      </w:r>
      <w:r>
        <w:rPr>
          <w:rFonts w:hint="default" w:ascii="Times New Roman" w:hAnsi="Times New Roman" w:eastAsia="仿宋" w:cs="Times New Roman"/>
          <w:b/>
          <w:bCs/>
          <w:color w:val="auto"/>
          <w:sz w:val="32"/>
          <w:szCs w:val="32"/>
          <w:highlight w:val="none"/>
          <w:lang w:val="en-US" w:eastAsia="zh-CN"/>
        </w:rPr>
        <w:t>需求</w:t>
      </w:r>
    </w:p>
    <w:p>
      <w:pPr>
        <w:numPr>
          <w:ilvl w:val="0"/>
          <w:numId w:val="4"/>
        </w:numPr>
        <w:ind w:left="315" w:hanging="315" w:hangingChars="150"/>
        <w:rPr>
          <w:rFonts w:hint="eastAsia"/>
        </w:rPr>
      </w:pPr>
      <w:r>
        <w:rPr>
          <w:sz w:val="21"/>
          <w:szCs w:val="21"/>
        </w:rPr>
        <w:t>采购标的需实现的功能或者目标，以及为落实政府采购政策需满足的要求:</w:t>
      </w:r>
      <w:r>
        <w:rPr>
          <w:sz w:val="21"/>
          <w:szCs w:val="21"/>
        </w:rPr>
        <w:br w:type="textWrapping"/>
      </w:r>
      <w:r>
        <w:rPr>
          <w:rFonts w:hint="eastAsia"/>
          <w:sz w:val="21"/>
          <w:szCs w:val="21"/>
        </w:rPr>
        <w:t>满足</w:t>
      </w:r>
      <w:r>
        <w:rPr>
          <w:rFonts w:hint="eastAsia"/>
          <w:sz w:val="21"/>
          <w:szCs w:val="21"/>
          <w:lang w:eastAsia="zh-CN"/>
        </w:rPr>
        <w:t>景洪市第四中学行政楼报告厅座椅更换采购</w:t>
      </w:r>
      <w:r>
        <w:rPr>
          <w:rFonts w:hint="eastAsia"/>
          <w:sz w:val="21"/>
          <w:szCs w:val="21"/>
        </w:rPr>
        <w:t>要求</w:t>
      </w:r>
    </w:p>
    <w:p>
      <w:pPr>
        <w:ind w:left="315" w:hanging="315" w:hangingChars="150"/>
        <w:rPr>
          <w:rFonts w:hint="eastAsia"/>
          <w:sz w:val="21"/>
          <w:szCs w:val="21"/>
        </w:rPr>
      </w:pPr>
      <w:r>
        <w:rPr>
          <w:sz w:val="21"/>
          <w:szCs w:val="21"/>
        </w:rPr>
        <w:t>  （二）采购标的需执行的国家相关标准、行业标准、地方标准或者其他标准、规范:</w:t>
      </w:r>
    </w:p>
    <w:p>
      <w:pPr>
        <w:ind w:firstLine="315" w:firstLineChars="150"/>
        <w:rPr>
          <w:rFonts w:hint="eastAsia"/>
          <w:sz w:val="21"/>
          <w:szCs w:val="21"/>
        </w:rPr>
      </w:pPr>
      <w:r>
        <w:rPr>
          <w:rFonts w:hint="eastAsia"/>
          <w:sz w:val="21"/>
          <w:szCs w:val="21"/>
        </w:rPr>
        <w:t>符合国家相关标准</w:t>
      </w:r>
    </w:p>
    <w:p>
      <w:pPr>
        <w:ind w:left="315" w:leftChars="150"/>
        <w:rPr>
          <w:rFonts w:hint="eastAsia"/>
          <w:sz w:val="21"/>
          <w:szCs w:val="21"/>
        </w:rPr>
      </w:pPr>
      <w:r>
        <w:rPr>
          <w:sz w:val="21"/>
          <w:szCs w:val="21"/>
        </w:rPr>
        <w:t xml:space="preserve">（三）采购标的需满足的质量、安全、技术规格、物理特性等要求： </w:t>
      </w:r>
      <w:r>
        <w:rPr>
          <w:sz w:val="21"/>
          <w:szCs w:val="21"/>
        </w:rPr>
        <w:br w:type="textWrapping"/>
      </w:r>
      <w:r>
        <w:rPr>
          <w:rFonts w:hint="eastAsia"/>
          <w:sz w:val="21"/>
          <w:szCs w:val="21"/>
        </w:rPr>
        <w:t>符合国家相关标准</w:t>
      </w:r>
    </w:p>
    <w:p>
      <w:pPr>
        <w:ind w:left="525" w:leftChars="100" w:hanging="315" w:hangingChars="150"/>
        <w:rPr>
          <w:sz w:val="21"/>
          <w:szCs w:val="21"/>
        </w:rPr>
      </w:pPr>
      <w:r>
        <w:rPr>
          <w:sz w:val="21"/>
          <w:szCs w:val="21"/>
        </w:rPr>
        <w:t>（四）采购标的的数量、采购项目交付或者实施的时间和地点：</w:t>
      </w:r>
      <w:r>
        <w:rPr>
          <w:sz w:val="21"/>
          <w:szCs w:val="21"/>
        </w:rPr>
        <w:br w:type="textWrapping"/>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7"/>
        <w:gridCol w:w="1857"/>
        <w:gridCol w:w="1858"/>
        <w:gridCol w:w="1858"/>
        <w:gridCol w:w="1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b/>
                <w:bCs/>
                <w:i w:val="0"/>
                <w:iCs w:val="0"/>
                <w:caps w:val="0"/>
                <w:color w:val="000000"/>
                <w:spacing w:val="0"/>
                <w:kern w:val="0"/>
                <w:sz w:val="20"/>
                <w:szCs w:val="20"/>
                <w:u w:val="none"/>
                <w:lang w:val="en-US" w:eastAsia="zh-CN" w:bidi="ar"/>
              </w:rPr>
              <w:t>项目名称</w:t>
            </w:r>
          </w:p>
        </w:tc>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b/>
                <w:bCs/>
                <w:i w:val="0"/>
                <w:iCs w:val="0"/>
                <w:caps w:val="0"/>
                <w:color w:val="000000"/>
                <w:spacing w:val="0"/>
                <w:kern w:val="0"/>
                <w:sz w:val="20"/>
                <w:szCs w:val="20"/>
                <w:u w:val="none"/>
                <w:lang w:val="en-US" w:eastAsia="zh-CN" w:bidi="ar"/>
              </w:rPr>
              <w:t>数量</w:t>
            </w:r>
          </w:p>
        </w:tc>
        <w:tc>
          <w:tcPr>
            <w:tcW w:w="1858"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b/>
                <w:bCs/>
                <w:i w:val="0"/>
                <w:iCs w:val="0"/>
                <w:caps w:val="0"/>
                <w:color w:val="000000"/>
                <w:spacing w:val="0"/>
                <w:kern w:val="0"/>
                <w:sz w:val="20"/>
                <w:szCs w:val="20"/>
                <w:u w:val="none"/>
                <w:lang w:val="en-US" w:eastAsia="zh-CN" w:bidi="ar"/>
              </w:rPr>
              <w:t>计量单位</w:t>
            </w:r>
          </w:p>
        </w:tc>
        <w:tc>
          <w:tcPr>
            <w:tcW w:w="1858"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b/>
                <w:bCs/>
                <w:i w:val="0"/>
                <w:iCs w:val="0"/>
                <w:caps w:val="0"/>
                <w:color w:val="000000"/>
                <w:spacing w:val="0"/>
                <w:kern w:val="0"/>
                <w:sz w:val="20"/>
                <w:szCs w:val="20"/>
                <w:u w:val="none"/>
                <w:lang w:val="en-US" w:eastAsia="zh-CN" w:bidi="ar"/>
              </w:rPr>
              <w:t>预算单价(元)</w:t>
            </w:r>
          </w:p>
        </w:tc>
        <w:tc>
          <w:tcPr>
            <w:tcW w:w="1858"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b/>
                <w:bCs/>
                <w:i w:val="0"/>
                <w:iCs w:val="0"/>
                <w:caps w:val="0"/>
                <w:color w:val="000000"/>
                <w:spacing w:val="0"/>
                <w:kern w:val="0"/>
                <w:sz w:val="20"/>
                <w:szCs w:val="20"/>
                <w:u w:val="none"/>
                <w:lang w:val="en-US" w:eastAsia="zh-CN" w:bidi="ar"/>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i w:val="0"/>
                <w:iCs w:val="0"/>
                <w:caps w:val="0"/>
                <w:color w:val="000000"/>
                <w:spacing w:val="0"/>
                <w:kern w:val="0"/>
                <w:sz w:val="18"/>
                <w:szCs w:val="18"/>
                <w:u w:val="none"/>
                <w:lang w:val="en-US" w:eastAsia="zh-CN" w:bidi="ar"/>
              </w:rPr>
              <w:t>阶梯排椅</w:t>
            </w:r>
          </w:p>
        </w:tc>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i w:val="0"/>
                <w:iCs w:val="0"/>
                <w:caps w:val="0"/>
                <w:color w:val="000000"/>
                <w:spacing w:val="0"/>
                <w:kern w:val="0"/>
                <w:sz w:val="18"/>
                <w:szCs w:val="18"/>
                <w:u w:val="none"/>
                <w:lang w:val="en-US" w:eastAsia="zh-CN" w:bidi="ar"/>
              </w:rPr>
              <w:t>632</w:t>
            </w:r>
          </w:p>
        </w:tc>
        <w:tc>
          <w:tcPr>
            <w:tcW w:w="1858"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i w:val="0"/>
                <w:iCs w:val="0"/>
                <w:caps w:val="0"/>
                <w:color w:val="000000"/>
                <w:spacing w:val="0"/>
                <w:kern w:val="0"/>
                <w:sz w:val="18"/>
                <w:szCs w:val="18"/>
                <w:u w:val="none"/>
                <w:lang w:val="en-US" w:eastAsia="zh-CN" w:bidi="ar"/>
              </w:rPr>
              <w:t>位</w:t>
            </w:r>
          </w:p>
        </w:tc>
        <w:tc>
          <w:tcPr>
            <w:tcW w:w="1858" w:type="dxa"/>
            <w:vAlign w:val="center"/>
          </w:tcPr>
          <w:p>
            <w:pPr>
              <w:keepNext w:val="0"/>
              <w:keepLines w:val="0"/>
              <w:widowControl/>
              <w:suppressLineNumbers w:val="0"/>
              <w:wordWrap/>
              <w:spacing w:before="0" w:beforeAutospacing="0" w:after="0" w:afterAutospacing="0"/>
              <w:ind w:left="0" w:leftChars="0" w:right="0" w:rightChars="0"/>
              <w:jc w:val="right"/>
              <w:rPr>
                <w:vertAlign w:val="baseline"/>
              </w:rPr>
            </w:pPr>
            <w:r>
              <w:rPr>
                <w:rFonts w:hint="eastAsia" w:ascii="宋体" w:hAnsi="宋体" w:eastAsia="宋体" w:cs="宋体"/>
                <w:i w:val="0"/>
                <w:iCs w:val="0"/>
                <w:caps w:val="0"/>
                <w:color w:val="000000"/>
                <w:spacing w:val="0"/>
                <w:kern w:val="0"/>
                <w:sz w:val="18"/>
                <w:szCs w:val="18"/>
                <w:u w:val="none"/>
                <w:lang w:val="en-US" w:eastAsia="zh-CN" w:bidi="ar"/>
              </w:rPr>
              <w:t>720.00</w:t>
            </w:r>
          </w:p>
        </w:tc>
        <w:tc>
          <w:tcPr>
            <w:tcW w:w="1858" w:type="dxa"/>
            <w:vAlign w:val="center"/>
          </w:tcPr>
          <w:p>
            <w:pPr>
              <w:keepNext w:val="0"/>
              <w:keepLines w:val="0"/>
              <w:widowControl/>
              <w:suppressLineNumbers w:val="0"/>
              <w:wordWrap/>
              <w:spacing w:before="0" w:beforeAutospacing="0" w:after="0" w:afterAutospacing="0"/>
              <w:ind w:left="0" w:leftChars="0" w:right="0" w:rightChars="0"/>
              <w:jc w:val="right"/>
              <w:rPr>
                <w:vertAlign w:val="baseline"/>
              </w:rPr>
            </w:pPr>
            <w:r>
              <w:rPr>
                <w:rFonts w:hint="eastAsia" w:ascii="宋体" w:hAnsi="宋体" w:eastAsia="宋体" w:cs="宋体"/>
                <w:i w:val="0"/>
                <w:iCs w:val="0"/>
                <w:caps w:val="0"/>
                <w:color w:val="000000"/>
                <w:spacing w:val="0"/>
                <w:kern w:val="0"/>
                <w:sz w:val="18"/>
                <w:szCs w:val="18"/>
                <w:u w:val="none"/>
                <w:lang w:val="en-US" w:eastAsia="zh-CN" w:bidi="ar"/>
              </w:rPr>
              <w:t>455,040.00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i w:val="0"/>
                <w:iCs w:val="0"/>
                <w:caps w:val="0"/>
                <w:color w:val="000000"/>
                <w:spacing w:val="0"/>
                <w:kern w:val="0"/>
                <w:sz w:val="18"/>
                <w:szCs w:val="18"/>
                <w:u w:val="none"/>
                <w:lang w:val="en-US" w:eastAsia="zh-CN" w:bidi="ar"/>
              </w:rPr>
              <w:t>主席台桌</w:t>
            </w:r>
          </w:p>
        </w:tc>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i w:val="0"/>
                <w:iCs w:val="0"/>
                <w:caps w:val="0"/>
                <w:color w:val="000000"/>
                <w:spacing w:val="0"/>
                <w:kern w:val="0"/>
                <w:sz w:val="18"/>
                <w:szCs w:val="18"/>
                <w:u w:val="none"/>
                <w:lang w:val="en-US" w:eastAsia="zh-CN" w:bidi="ar"/>
              </w:rPr>
              <w:t>5</w:t>
            </w:r>
          </w:p>
        </w:tc>
        <w:tc>
          <w:tcPr>
            <w:tcW w:w="1858"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i w:val="0"/>
                <w:iCs w:val="0"/>
                <w:caps w:val="0"/>
                <w:color w:val="000000"/>
                <w:spacing w:val="0"/>
                <w:kern w:val="0"/>
                <w:sz w:val="18"/>
                <w:szCs w:val="18"/>
                <w:u w:val="none"/>
                <w:lang w:val="en-US" w:eastAsia="zh-CN" w:bidi="ar"/>
              </w:rPr>
              <w:t>张</w:t>
            </w:r>
          </w:p>
        </w:tc>
        <w:tc>
          <w:tcPr>
            <w:tcW w:w="1858" w:type="dxa"/>
            <w:vAlign w:val="center"/>
          </w:tcPr>
          <w:p>
            <w:pPr>
              <w:keepNext w:val="0"/>
              <w:keepLines w:val="0"/>
              <w:widowControl/>
              <w:suppressLineNumbers w:val="0"/>
              <w:wordWrap/>
              <w:spacing w:before="0" w:beforeAutospacing="0" w:after="0" w:afterAutospacing="0"/>
              <w:ind w:left="0" w:leftChars="0" w:right="0" w:rightChars="0"/>
              <w:jc w:val="right"/>
              <w:rPr>
                <w:vertAlign w:val="baseline"/>
              </w:rPr>
            </w:pPr>
            <w:r>
              <w:rPr>
                <w:rFonts w:hint="eastAsia" w:ascii="宋体" w:hAnsi="宋体" w:eastAsia="宋体" w:cs="宋体"/>
                <w:i w:val="0"/>
                <w:iCs w:val="0"/>
                <w:caps w:val="0"/>
                <w:color w:val="000000"/>
                <w:spacing w:val="0"/>
                <w:kern w:val="0"/>
                <w:sz w:val="18"/>
                <w:szCs w:val="18"/>
                <w:u w:val="none"/>
                <w:lang w:val="en-US" w:eastAsia="zh-CN" w:bidi="ar"/>
              </w:rPr>
              <w:t>1,850.00</w:t>
            </w:r>
          </w:p>
        </w:tc>
        <w:tc>
          <w:tcPr>
            <w:tcW w:w="1858" w:type="dxa"/>
            <w:vAlign w:val="center"/>
          </w:tcPr>
          <w:p>
            <w:pPr>
              <w:keepNext w:val="0"/>
              <w:keepLines w:val="0"/>
              <w:widowControl/>
              <w:suppressLineNumbers w:val="0"/>
              <w:wordWrap/>
              <w:spacing w:before="0" w:beforeAutospacing="0" w:after="0" w:afterAutospacing="0"/>
              <w:ind w:left="0" w:leftChars="0" w:right="0" w:rightChars="0"/>
              <w:jc w:val="right"/>
              <w:rPr>
                <w:vertAlign w:val="baseline"/>
              </w:rPr>
            </w:pPr>
            <w:r>
              <w:rPr>
                <w:rFonts w:hint="eastAsia" w:ascii="宋体" w:hAnsi="宋体" w:eastAsia="宋体" w:cs="宋体"/>
                <w:i w:val="0"/>
                <w:iCs w:val="0"/>
                <w:caps w:val="0"/>
                <w:color w:val="000000"/>
                <w:spacing w:val="0"/>
                <w:kern w:val="0"/>
                <w:sz w:val="18"/>
                <w:szCs w:val="18"/>
                <w:u w:val="none"/>
                <w:lang w:val="en-US" w:eastAsia="zh-CN" w:bidi="ar"/>
              </w:rPr>
              <w:t>9,250.00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i w:val="0"/>
                <w:iCs w:val="0"/>
                <w:caps w:val="0"/>
                <w:color w:val="000000"/>
                <w:spacing w:val="0"/>
                <w:kern w:val="0"/>
                <w:sz w:val="18"/>
                <w:szCs w:val="18"/>
                <w:u w:val="none"/>
                <w:lang w:val="en-US" w:eastAsia="zh-CN" w:bidi="ar"/>
              </w:rPr>
              <w:t>主席台椅子</w:t>
            </w:r>
          </w:p>
        </w:tc>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i w:val="0"/>
                <w:iCs w:val="0"/>
                <w:caps w:val="0"/>
                <w:color w:val="000000"/>
                <w:spacing w:val="0"/>
                <w:kern w:val="0"/>
                <w:sz w:val="18"/>
                <w:szCs w:val="18"/>
                <w:u w:val="none"/>
                <w:lang w:val="en-US" w:eastAsia="zh-CN" w:bidi="ar"/>
              </w:rPr>
              <w:t>10</w:t>
            </w:r>
          </w:p>
        </w:tc>
        <w:tc>
          <w:tcPr>
            <w:tcW w:w="1858" w:type="dxa"/>
            <w:vAlign w:val="center"/>
          </w:tcPr>
          <w:p>
            <w:pPr>
              <w:keepNext w:val="0"/>
              <w:keepLines w:val="0"/>
              <w:widowControl/>
              <w:suppressLineNumbers w:val="0"/>
              <w:wordWrap/>
              <w:spacing w:before="0" w:beforeAutospacing="0" w:after="0" w:afterAutospacing="0"/>
              <w:ind w:left="0" w:leftChars="0" w:right="0" w:rightChars="0"/>
              <w:jc w:val="center"/>
              <w:rPr>
                <w:vertAlign w:val="baseline"/>
              </w:rPr>
            </w:pPr>
            <w:r>
              <w:rPr>
                <w:rFonts w:hint="eastAsia" w:ascii="宋体" w:hAnsi="宋体" w:eastAsia="宋体" w:cs="宋体"/>
                <w:i w:val="0"/>
                <w:iCs w:val="0"/>
                <w:caps w:val="0"/>
                <w:color w:val="000000"/>
                <w:spacing w:val="0"/>
                <w:kern w:val="0"/>
                <w:sz w:val="18"/>
                <w:szCs w:val="18"/>
                <w:u w:val="none"/>
                <w:lang w:val="en-US" w:eastAsia="zh-CN" w:bidi="ar"/>
              </w:rPr>
              <w:t>把</w:t>
            </w:r>
          </w:p>
        </w:tc>
        <w:tc>
          <w:tcPr>
            <w:tcW w:w="1858" w:type="dxa"/>
            <w:vAlign w:val="center"/>
          </w:tcPr>
          <w:p>
            <w:pPr>
              <w:keepNext w:val="0"/>
              <w:keepLines w:val="0"/>
              <w:widowControl/>
              <w:suppressLineNumbers w:val="0"/>
              <w:wordWrap/>
              <w:spacing w:before="0" w:beforeAutospacing="0" w:after="0" w:afterAutospacing="0"/>
              <w:ind w:left="0" w:leftChars="0" w:right="0" w:rightChars="0"/>
              <w:jc w:val="right"/>
              <w:rPr>
                <w:vertAlign w:val="baseline"/>
              </w:rPr>
            </w:pPr>
            <w:r>
              <w:rPr>
                <w:rFonts w:hint="eastAsia" w:ascii="宋体" w:hAnsi="宋体" w:eastAsia="宋体" w:cs="宋体"/>
                <w:i w:val="0"/>
                <w:iCs w:val="0"/>
                <w:caps w:val="0"/>
                <w:color w:val="000000"/>
                <w:spacing w:val="0"/>
                <w:kern w:val="0"/>
                <w:sz w:val="18"/>
                <w:szCs w:val="18"/>
                <w:u w:val="none"/>
                <w:lang w:val="en-US" w:eastAsia="zh-CN" w:bidi="ar"/>
              </w:rPr>
              <w:t>780.00</w:t>
            </w:r>
          </w:p>
        </w:tc>
        <w:tc>
          <w:tcPr>
            <w:tcW w:w="1858" w:type="dxa"/>
            <w:vAlign w:val="center"/>
          </w:tcPr>
          <w:p>
            <w:pPr>
              <w:keepNext w:val="0"/>
              <w:keepLines w:val="0"/>
              <w:widowControl/>
              <w:suppressLineNumbers w:val="0"/>
              <w:wordWrap/>
              <w:spacing w:before="0" w:beforeAutospacing="0" w:after="0" w:afterAutospacing="0"/>
              <w:ind w:left="0" w:leftChars="0" w:right="0" w:rightChars="0"/>
              <w:jc w:val="right"/>
              <w:rPr>
                <w:vertAlign w:val="baseline"/>
              </w:rPr>
            </w:pPr>
            <w:r>
              <w:rPr>
                <w:rFonts w:hint="eastAsia" w:ascii="宋体" w:hAnsi="宋体" w:eastAsia="宋体" w:cs="宋体"/>
                <w:i w:val="0"/>
                <w:iCs w:val="0"/>
                <w:caps w:val="0"/>
                <w:color w:val="000000"/>
                <w:spacing w:val="0"/>
                <w:kern w:val="0"/>
                <w:sz w:val="18"/>
                <w:szCs w:val="18"/>
                <w:u w:val="none"/>
                <w:lang w:val="en-US" w:eastAsia="zh-CN" w:bidi="ar"/>
              </w:rPr>
              <w:t>7,800.00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rFonts w:hint="eastAsia" w:ascii="宋体" w:hAnsi="宋体" w:eastAsia="宋体" w:cs="宋体"/>
                <w:i w:val="0"/>
                <w:iCs w:val="0"/>
                <w:caps w:val="0"/>
                <w:color w:val="000000"/>
                <w:spacing w:val="0"/>
                <w:kern w:val="0"/>
                <w:sz w:val="18"/>
                <w:szCs w:val="18"/>
                <w:u w:val="none"/>
                <w:lang w:val="en-US" w:eastAsia="zh-CN" w:bidi="ar"/>
              </w:rPr>
            </w:pPr>
            <w:r>
              <w:rPr>
                <w:rFonts w:hint="eastAsia" w:ascii="宋体" w:hAnsi="宋体" w:eastAsia="宋体" w:cs="宋体"/>
                <w:i w:val="0"/>
                <w:iCs w:val="0"/>
                <w:caps w:val="0"/>
                <w:color w:val="000000"/>
                <w:spacing w:val="0"/>
                <w:kern w:val="0"/>
                <w:sz w:val="18"/>
                <w:szCs w:val="18"/>
                <w:u w:val="none"/>
                <w:lang w:val="en-US" w:eastAsia="zh-CN" w:bidi="ar"/>
              </w:rPr>
              <w:t>演讲台</w:t>
            </w:r>
          </w:p>
        </w:tc>
        <w:tc>
          <w:tcPr>
            <w:tcW w:w="1857" w:type="dxa"/>
            <w:vAlign w:val="center"/>
          </w:tcPr>
          <w:p>
            <w:pPr>
              <w:keepNext w:val="0"/>
              <w:keepLines w:val="0"/>
              <w:widowControl/>
              <w:suppressLineNumbers w:val="0"/>
              <w:wordWrap/>
              <w:spacing w:before="0" w:beforeAutospacing="0" w:after="0" w:afterAutospacing="0"/>
              <w:ind w:left="0" w:leftChars="0" w:right="0" w:rightChars="0"/>
              <w:jc w:val="center"/>
              <w:rPr>
                <w:rFonts w:hint="eastAsia" w:ascii="宋体" w:hAnsi="宋体" w:eastAsia="宋体" w:cs="宋体"/>
                <w:i w:val="0"/>
                <w:iCs w:val="0"/>
                <w:caps w:val="0"/>
                <w:color w:val="000000"/>
                <w:spacing w:val="0"/>
                <w:kern w:val="0"/>
                <w:sz w:val="18"/>
                <w:szCs w:val="18"/>
                <w:u w:val="none"/>
                <w:lang w:val="en-US" w:eastAsia="zh-CN" w:bidi="ar"/>
              </w:rPr>
            </w:pPr>
            <w:r>
              <w:rPr>
                <w:rFonts w:hint="eastAsia" w:ascii="宋体" w:hAnsi="宋体" w:eastAsia="宋体" w:cs="宋体"/>
                <w:i w:val="0"/>
                <w:iCs w:val="0"/>
                <w:caps w:val="0"/>
                <w:color w:val="000000"/>
                <w:spacing w:val="0"/>
                <w:kern w:val="0"/>
                <w:sz w:val="18"/>
                <w:szCs w:val="18"/>
                <w:u w:val="none"/>
                <w:lang w:val="en-US" w:eastAsia="zh-CN" w:bidi="ar"/>
              </w:rPr>
              <w:t>1</w:t>
            </w:r>
          </w:p>
        </w:tc>
        <w:tc>
          <w:tcPr>
            <w:tcW w:w="1858" w:type="dxa"/>
            <w:vAlign w:val="center"/>
          </w:tcPr>
          <w:p>
            <w:pPr>
              <w:keepNext w:val="0"/>
              <w:keepLines w:val="0"/>
              <w:widowControl/>
              <w:suppressLineNumbers w:val="0"/>
              <w:wordWrap/>
              <w:spacing w:before="0" w:beforeAutospacing="0" w:after="0" w:afterAutospacing="0"/>
              <w:ind w:left="0" w:leftChars="0" w:right="0" w:rightChars="0"/>
              <w:jc w:val="center"/>
              <w:rPr>
                <w:rFonts w:hint="eastAsia" w:ascii="宋体" w:hAnsi="宋体" w:eastAsia="宋体" w:cs="宋体"/>
                <w:i w:val="0"/>
                <w:iCs w:val="0"/>
                <w:caps w:val="0"/>
                <w:color w:val="000000"/>
                <w:spacing w:val="0"/>
                <w:kern w:val="0"/>
                <w:sz w:val="18"/>
                <w:szCs w:val="18"/>
                <w:u w:val="none"/>
                <w:lang w:val="en-US" w:eastAsia="zh-CN" w:bidi="ar"/>
              </w:rPr>
            </w:pPr>
            <w:r>
              <w:rPr>
                <w:rFonts w:hint="eastAsia" w:ascii="宋体" w:hAnsi="宋体" w:eastAsia="宋体" w:cs="宋体"/>
                <w:i w:val="0"/>
                <w:iCs w:val="0"/>
                <w:caps w:val="0"/>
                <w:color w:val="000000"/>
                <w:spacing w:val="0"/>
                <w:kern w:val="0"/>
                <w:sz w:val="18"/>
                <w:szCs w:val="18"/>
                <w:u w:val="none"/>
                <w:lang w:val="en-US" w:eastAsia="zh-CN" w:bidi="ar"/>
              </w:rPr>
              <w:t>个</w:t>
            </w:r>
          </w:p>
        </w:tc>
        <w:tc>
          <w:tcPr>
            <w:tcW w:w="1858" w:type="dxa"/>
            <w:vAlign w:val="center"/>
          </w:tcPr>
          <w:p>
            <w:pPr>
              <w:keepNext w:val="0"/>
              <w:keepLines w:val="0"/>
              <w:widowControl/>
              <w:suppressLineNumbers w:val="0"/>
              <w:wordWrap/>
              <w:spacing w:before="0" w:beforeAutospacing="0" w:after="0" w:afterAutospacing="0"/>
              <w:ind w:left="0" w:leftChars="0" w:right="0" w:rightChars="0"/>
              <w:jc w:val="right"/>
              <w:rPr>
                <w:rFonts w:hint="eastAsia" w:ascii="宋体" w:hAnsi="宋体" w:eastAsia="宋体" w:cs="宋体"/>
                <w:i w:val="0"/>
                <w:iCs w:val="0"/>
                <w:caps w:val="0"/>
                <w:color w:val="000000"/>
                <w:spacing w:val="0"/>
                <w:kern w:val="0"/>
                <w:sz w:val="18"/>
                <w:szCs w:val="18"/>
                <w:u w:val="none"/>
                <w:lang w:val="en-US" w:eastAsia="zh-CN" w:bidi="ar"/>
              </w:rPr>
            </w:pPr>
            <w:r>
              <w:rPr>
                <w:rFonts w:hint="eastAsia" w:ascii="宋体" w:hAnsi="宋体" w:eastAsia="宋体" w:cs="宋体"/>
                <w:i w:val="0"/>
                <w:iCs w:val="0"/>
                <w:caps w:val="0"/>
                <w:color w:val="000000"/>
                <w:spacing w:val="0"/>
                <w:kern w:val="0"/>
                <w:sz w:val="18"/>
                <w:szCs w:val="18"/>
                <w:u w:val="none"/>
                <w:lang w:val="en-US" w:eastAsia="zh-CN" w:bidi="ar"/>
              </w:rPr>
              <w:t>1,910.00</w:t>
            </w:r>
          </w:p>
        </w:tc>
        <w:tc>
          <w:tcPr>
            <w:tcW w:w="1858" w:type="dxa"/>
            <w:vAlign w:val="center"/>
          </w:tcPr>
          <w:p>
            <w:pPr>
              <w:keepNext w:val="0"/>
              <w:keepLines w:val="0"/>
              <w:widowControl/>
              <w:suppressLineNumbers w:val="0"/>
              <w:wordWrap/>
              <w:spacing w:before="0" w:beforeAutospacing="0" w:after="0" w:afterAutospacing="0"/>
              <w:ind w:left="0" w:leftChars="0" w:right="0" w:rightChars="0"/>
              <w:jc w:val="right"/>
              <w:rPr>
                <w:rFonts w:hint="eastAsia" w:ascii="宋体" w:hAnsi="宋体" w:eastAsia="宋体" w:cs="宋体"/>
                <w:i w:val="0"/>
                <w:iCs w:val="0"/>
                <w:caps w:val="0"/>
                <w:color w:val="000000"/>
                <w:spacing w:val="0"/>
                <w:kern w:val="0"/>
                <w:sz w:val="18"/>
                <w:szCs w:val="18"/>
                <w:u w:val="none"/>
                <w:lang w:val="en-US" w:eastAsia="zh-CN" w:bidi="ar"/>
              </w:rPr>
            </w:pPr>
            <w:r>
              <w:rPr>
                <w:rFonts w:hint="eastAsia" w:ascii="宋体" w:hAnsi="宋体" w:eastAsia="宋体" w:cs="宋体"/>
                <w:i w:val="0"/>
                <w:iCs w:val="0"/>
                <w:caps w:val="0"/>
                <w:color w:val="000000"/>
                <w:spacing w:val="0"/>
                <w:kern w:val="0"/>
                <w:sz w:val="18"/>
                <w:szCs w:val="18"/>
                <w:u w:val="none"/>
                <w:lang w:val="en-US" w:eastAsia="zh-CN" w:bidi="ar"/>
              </w:rPr>
              <w:t>1,910.00</w:t>
            </w:r>
          </w:p>
        </w:tc>
      </w:tr>
    </w:tbl>
    <w:p>
      <w:pPr>
        <w:keepNext w:val="0"/>
        <w:keepLines w:val="0"/>
        <w:widowControl/>
        <w:suppressLineNumbers w:val="0"/>
        <w:jc w:val="left"/>
      </w:pPr>
    </w:p>
    <w:p>
      <w:pPr>
        <w:ind w:left="525" w:leftChars="100" w:hanging="315" w:hangingChars="150"/>
        <w:rPr>
          <w:rFonts w:hint="default" w:eastAsia="宋体"/>
          <w:sz w:val="21"/>
          <w:szCs w:val="21"/>
          <w:lang w:val="en-US" w:eastAsia="zh-CN"/>
        </w:rPr>
      </w:pPr>
    </w:p>
    <w:p>
      <w:pPr>
        <w:ind w:left="315" w:leftChars="100" w:hanging="105" w:hangingChars="50"/>
        <w:rPr>
          <w:rFonts w:hint="eastAsia"/>
          <w:sz w:val="21"/>
          <w:szCs w:val="21"/>
        </w:rPr>
      </w:pPr>
      <w:r>
        <w:rPr>
          <w:sz w:val="21"/>
          <w:szCs w:val="21"/>
        </w:rPr>
        <w:t>（五）采购标的需满足的服务标准、期限、效率等要求：</w:t>
      </w:r>
    </w:p>
    <w:p>
      <w:pPr>
        <w:ind w:left="315" w:hanging="315" w:hangingChars="150"/>
        <w:rPr>
          <w:rFonts w:hint="eastAsia"/>
          <w:sz w:val="21"/>
          <w:szCs w:val="21"/>
        </w:rPr>
      </w:pPr>
      <w:r>
        <w:rPr>
          <w:sz w:val="21"/>
          <w:szCs w:val="21"/>
        </w:rPr>
        <w:t>   </w:t>
      </w:r>
      <w:r>
        <w:rPr>
          <w:rFonts w:hint="eastAsia"/>
          <w:sz w:val="21"/>
          <w:szCs w:val="21"/>
        </w:rPr>
        <w:t xml:space="preserve">   售后服务按国家标准。</w:t>
      </w:r>
    </w:p>
    <w:p>
      <w:pPr>
        <w:ind w:left="315" w:leftChars="100" w:hanging="105" w:hangingChars="50"/>
        <w:rPr>
          <w:rFonts w:hint="eastAsia"/>
          <w:sz w:val="21"/>
          <w:szCs w:val="21"/>
        </w:rPr>
      </w:pPr>
      <w:r>
        <w:rPr>
          <w:sz w:val="21"/>
          <w:szCs w:val="21"/>
        </w:rPr>
        <w:t>交货日期（含安装期限）：</w:t>
      </w:r>
      <w:r>
        <w:rPr>
          <w:rFonts w:hint="eastAsia"/>
          <w:sz w:val="21"/>
          <w:szCs w:val="21"/>
        </w:rPr>
        <w:t>中标公告完成后</w:t>
      </w:r>
      <w:r>
        <w:rPr>
          <w:rFonts w:hint="eastAsia"/>
          <w:sz w:val="21"/>
          <w:szCs w:val="21"/>
          <w:lang w:val="en-US" w:eastAsia="zh-CN"/>
        </w:rPr>
        <w:t>30</w:t>
      </w:r>
      <w:r>
        <w:rPr>
          <w:sz w:val="21"/>
          <w:szCs w:val="21"/>
        </w:rPr>
        <w:t>日历天内交货并安装完毕</w:t>
      </w:r>
    </w:p>
    <w:p>
      <w:pPr>
        <w:numPr>
          <w:ilvl w:val="0"/>
          <w:numId w:val="5"/>
        </w:numPr>
        <w:ind w:left="315" w:hanging="315" w:hangingChars="150"/>
        <w:rPr>
          <w:rFonts w:hint="eastAsia"/>
          <w:sz w:val="21"/>
          <w:szCs w:val="21"/>
        </w:rPr>
      </w:pPr>
      <w:r>
        <w:rPr>
          <w:sz w:val="21"/>
          <w:szCs w:val="21"/>
        </w:rPr>
        <w:t>采购标的的验收标准；</w:t>
      </w:r>
      <w:r>
        <w:rPr>
          <w:sz w:val="21"/>
          <w:szCs w:val="21"/>
        </w:rPr>
        <w:br w:type="textWrapping"/>
      </w:r>
      <w:r>
        <w:rPr>
          <w:sz w:val="21"/>
          <w:szCs w:val="21"/>
        </w:rPr>
        <w:t>    按照采购需求参数及其标准进行验收</w:t>
      </w:r>
    </w:p>
    <w:p>
      <w:pPr>
        <w:numPr>
          <w:ilvl w:val="0"/>
          <w:numId w:val="5"/>
        </w:numPr>
        <w:ind w:left="315" w:hanging="315" w:hangingChars="150"/>
        <w:rPr>
          <w:rFonts w:hint="eastAsia"/>
          <w:sz w:val="21"/>
          <w:szCs w:val="21"/>
        </w:rPr>
      </w:pPr>
      <w:r>
        <w:rPr>
          <w:rFonts w:ascii="Calibri" w:hAnsi="Calibri" w:eastAsia="宋体" w:cs="Times New Roman"/>
          <w:b w:val="0"/>
          <w:bCs w:val="0"/>
          <w:kern w:val="2"/>
          <w:sz w:val="21"/>
          <w:szCs w:val="21"/>
          <w:lang w:val="en-US" w:eastAsia="zh-CN" w:bidi="ar-SA"/>
        </w:rPr>
        <w:t>采购标的的其他技术、服务等要求:</w:t>
      </w:r>
    </w:p>
    <w:p>
      <w:pPr>
        <w:numPr>
          <w:ilvl w:val="0"/>
          <w:numId w:val="0"/>
        </w:numPr>
        <w:ind w:leftChars="-150"/>
        <w:jc w:val="center"/>
        <w:rPr>
          <w:rFonts w:hint="eastAsia"/>
          <w:b/>
          <w:bCs/>
          <w:color w:val="auto"/>
          <w:sz w:val="32"/>
          <w:szCs w:val="32"/>
          <w:highlight w:val="none"/>
          <w:lang w:val="en-US" w:eastAsia="zh-CN"/>
        </w:rPr>
      </w:pPr>
      <w:r>
        <w:rPr>
          <w:rFonts w:hint="eastAsia"/>
          <w:b/>
          <w:bCs/>
          <w:color w:val="auto"/>
          <w:sz w:val="32"/>
          <w:szCs w:val="32"/>
          <w:highlight w:val="none"/>
          <w:lang w:val="en-US" w:eastAsia="zh-CN"/>
        </w:rPr>
        <w:t>采购明细及参数要求</w:t>
      </w:r>
    </w:p>
    <w:tbl>
      <w:tblPr>
        <w:tblStyle w:val="20"/>
        <w:tblW w:w="98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8"/>
        <w:gridCol w:w="5468"/>
        <w:gridCol w:w="645"/>
        <w:gridCol w:w="705"/>
        <w:gridCol w:w="1020"/>
        <w:gridCol w:w="12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8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名称</w:t>
            </w:r>
          </w:p>
        </w:tc>
        <w:tc>
          <w:tcPr>
            <w:tcW w:w="54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规格及技术参数</w:t>
            </w:r>
          </w:p>
        </w:tc>
        <w:tc>
          <w:tcPr>
            <w:tcW w:w="6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10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单价</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0" w:hRule="atLeast"/>
          <w:jc w:val="center"/>
        </w:trPr>
        <w:tc>
          <w:tcPr>
            <w:tcW w:w="8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仿宋" w:hAnsi="仿宋" w:eastAsia="仿宋" w:cs="仿宋"/>
                <w:b/>
                <w:bCs/>
                <w:sz w:val="20"/>
                <w:szCs w:val="20"/>
              </w:rPr>
              <w:t>●</w:t>
            </w:r>
            <w:r>
              <w:rPr>
                <w:rFonts w:hint="eastAsia" w:ascii="宋体" w:hAnsi="宋体" w:eastAsia="宋体" w:cs="宋体"/>
                <w:i w:val="0"/>
                <w:iCs w:val="0"/>
                <w:color w:val="000000"/>
                <w:kern w:val="0"/>
                <w:sz w:val="20"/>
                <w:szCs w:val="20"/>
                <w:u w:val="none"/>
                <w:lang w:val="en-US" w:eastAsia="zh-CN" w:bidi="ar"/>
              </w:rPr>
              <w:t>阶梯排椅</w:t>
            </w:r>
          </w:p>
        </w:tc>
        <w:tc>
          <w:tcPr>
            <w:tcW w:w="54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30"/>
                <w:lang w:val="en-US" w:eastAsia="zh-CN" w:bidi="ar"/>
              </w:rPr>
              <w:t>1、产品尺寸座椅高900mm;扶手高645mm;座高450mm;写字板高750mm,座椅左右中心距520mm；前后排距900mm。</w:t>
            </w:r>
            <w:r>
              <w:rPr>
                <w:rStyle w:val="30"/>
                <w:lang w:val="en-US" w:eastAsia="zh-CN" w:bidi="ar"/>
              </w:rPr>
              <w:br w:type="textWrapping"/>
            </w:r>
            <w:r>
              <w:rPr>
                <w:rStyle w:val="31"/>
                <w:lang w:val="en-US" w:eastAsia="zh-CN" w:bidi="ar"/>
              </w:rPr>
              <w:t>▲</w:t>
            </w:r>
            <w:r>
              <w:rPr>
                <w:rStyle w:val="30"/>
                <w:lang w:val="en-US" w:eastAsia="zh-CN" w:bidi="ar"/>
              </w:rPr>
              <w:t>2、前排站脚：采用优质铝合金经模具压注成型，表面无毛剌、无焊接，表面作防氧化处理后经高温喷涂处理附着力强，抗冲击、耐腐蚀、不生锈、不褪色、经久耐用；前排站脚尺寸：前排长：340mm，宽50mm，高：900mm，脚底安装孔距：300mm；尺寸公差±5.0mm，厚度公差±1mm。中、后排站脚：采用优质铝合金经模具压注一体成型，表面无毛剌、无焊接，表面喷涂环氧树脂静电粉末处理，站脚尺寸：底板长340mmm整体宽50mm整体高：900mm，扶手离地高：645mm长：309mm宽50mm，扶手前圆角R=50，扶手外观呈倒L形，中间位置有加强筋，脚低部到座安装轴中心孔高：390mm，脚底安装地爆螺丝孔距：300mm，前后各一个安装孔位，扶手面与支撑架呈倒梯形结构，脚架下部位置有三角形镂空造型。尺寸公差±5.0mm，厚度公差±1mm。环氧树脂静电粉末须符合：HG/T 2006-2022《热固性和热塑性粉末涂料》 GB/T 9286-2021《色漆和清漆 划格试验》 GB/T 1741-2020《漆膜耐霉菌性测定法》 GB/T 21604-2022《化学品急性皮肤刺激性/腐蚀性试验方法》 GB 18581-2020《木器涂料中有害物质限量》 HG/T3950-2007《抗菌涂料》 QB/T4371-2012《家具抗菌性能的评价》GB6675.4-2014《玩具安全第4部分:特定元素的迁移》须包含但不限于：外观、筛余物、漆膜外观符合要求，胶化时间、粒径分布、流动性、密度等合格，干附着力≤1级，铅笔硬度≥4H，附冲击性(正向冲击)50cm未观察到裂纹、皱纹及剥落现象，杯突试验≥5mm，弯曲试验≤3mm，光泽≤39GU，耐磨性≤50mg，耐酸性≥240h无异常，耐碱性≥168h无异常，耐沸水性无异常，中性盐雾≥100h划痕处单向腐蚀蔓延宽度0.8mm，未划痕区无起泡生锈、开裂、剥落等异常现象，耐湿性≥100h无异常，耐人工气候老化性≥100h变色≤2级，失光≤2级，无粉化、起泡、开裂剥落等异常现象；耐霉菌性：土曲霉、宛氏拟青霉、桔青霉、绿色木霉、球毛壳霉、出芽短梗霉、腊叶芽枝霉、黑曲霉、黄曲霉、链格孢、赭绿青霉、长枝木霉、绿粘帚霉、短柄帚霉均达到0级不生长；总铅(Pb)含量未检出，可溶性重金属含量：镉、铬、汞含量未检出；抗菌涂料的抗菌性能：肺炎克雷伯氏菌、乙型溶血性链球菌、表皮葡萄球菌、鲍曼不动杆菌、鼠伤寒沙门氏菌、金黄色葡萄球菌、大肠杆菌、白色葡萄球菌、宋内氏志贺氏菌、铜绿假单胞菌、粪肠球菌、甲型副伤寒沙门氏菌、乙型副伤寒沙门氏菌、粘质沙雷氏菌、白色念珠菌等抗细菌性能≥99.0%，海氏肠球菌抑菌率≥99.9%，玩具材料中可迁移元素的最大限量要求中8种元素含量未检出；投标人报价时须提供原材料“环氧树脂静电粉末”的抽样检验合格报告复印件。</w:t>
            </w:r>
            <w:r>
              <w:rPr>
                <w:rStyle w:val="30"/>
                <w:lang w:val="en-US" w:eastAsia="zh-CN" w:bidi="ar"/>
              </w:rPr>
              <w:br w:type="textWrapping"/>
            </w:r>
            <w:r>
              <w:rPr>
                <w:rStyle w:val="30"/>
                <w:lang w:val="en-US" w:eastAsia="zh-CN" w:bidi="ar"/>
              </w:rPr>
              <w:t>3、座包：采用实木多层板为基材，抗变型，敷海绵后面贴优质麻绒面料；座板厚不低于14mm。</w:t>
            </w:r>
            <w:r>
              <w:rPr>
                <w:rStyle w:val="30"/>
                <w:lang w:val="en-US" w:eastAsia="zh-CN" w:bidi="ar"/>
              </w:rPr>
              <w:br w:type="textWrapping"/>
            </w:r>
            <w:r>
              <w:rPr>
                <w:rStyle w:val="30"/>
                <w:lang w:val="en-US" w:eastAsia="zh-CN" w:bidi="ar"/>
              </w:rPr>
              <w:t>4、背包：采用实木多层板为基材，抗变型，敷海绵后面贴优质麻绒面料。背板尺寸；厚不低于8mm。</w:t>
            </w:r>
            <w:r>
              <w:rPr>
                <w:rStyle w:val="30"/>
                <w:lang w:val="en-US" w:eastAsia="zh-CN" w:bidi="ar"/>
              </w:rPr>
              <w:br w:type="textWrapping"/>
            </w:r>
            <w:r>
              <w:rPr>
                <w:rStyle w:val="31"/>
                <w:lang w:val="en-US" w:eastAsia="zh-CN" w:bidi="ar"/>
              </w:rPr>
              <w:t>▲</w:t>
            </w:r>
            <w:r>
              <w:rPr>
                <w:rStyle w:val="30"/>
                <w:lang w:val="en-US" w:eastAsia="zh-CN" w:bidi="ar"/>
              </w:rPr>
              <w:t>5、写字板：采用高密度纤维板为基材,表面贴防火板，宽：300mm；厚：25mm。两边PVC封边，人胸前位置倒圆角，尺寸公差±5.0mm，厚度公差±1mm。高密度纤维板须符合：GB/T 31765-2015《高密度纤维板》 GB/T 17657-2022《人造板及饰面人造板理化性能试验方法》 GB/T 39600-2021《人造板及其制品甲醛释放量分级》 GB 8624-2012建筑材料及制品燃烧性能分级》 GB/T 36022-2018 《木家具中氨释放量试法》 GB/T 44689-2024《人造板及其制品气味分级及评价方法》 JC/T 2039-2010 《抗菌防霉木质装饰板》 QB/T 4371-2012《家具抗菌性能的评价》 GB/T 29899-2024《人造板及其制品中挥发性有机化合物释放量试验方法 小型释放舱法》包含但不限于：理化性能含水率：3.0-13.0%，甲醛释放限量未检出，挥发有机化合物释放浓度：笨、甲苯、二甲苯等含量均未检出，总挥发性有机化合物(TVOC)≤100ug/m³；平板状建筑材料及制品的燃烧性能等级B1级：燃烧增长速率指数≤120W/s、火焰横向蔓延未到达试样长翼边缘符合要求、60s内焰尖高度Fs≤150mm符合要求、60s内无燃烧滴落物引燃滤纸现象符合要求；氨释放量含量未检出；抗菌防霉性能：绳状青霉、宛氏拟青霉、球毛壳霉、出芽短梗霉、黑曲霉等防霉菌等级均达到0级（不长）；抑菌率：金黄色葡萄球菌≥99.0%、白色念珠菌≥99.0%；投标人报价时须提供原材料“高密度纤维板”的抽样检验合格报告复印件。</w:t>
            </w:r>
            <w:r>
              <w:rPr>
                <w:rStyle w:val="30"/>
                <w:lang w:val="en-US" w:eastAsia="zh-CN" w:bidi="ar"/>
              </w:rPr>
              <w:br w:type="textWrapping"/>
            </w:r>
            <w:r>
              <w:rPr>
                <w:rStyle w:val="30"/>
                <w:lang w:val="en-US" w:eastAsia="zh-CN" w:bidi="ar"/>
              </w:rPr>
              <w:t>6、写字板支架：采用厚度≥1.5mm冷轧钢板冲压、焊接成型，具备较强承重力。</w:t>
            </w:r>
            <w:r>
              <w:rPr>
                <w:rStyle w:val="30"/>
                <w:lang w:val="en-US" w:eastAsia="zh-CN" w:bidi="ar"/>
              </w:rPr>
              <w:br w:type="textWrapping"/>
            </w:r>
            <w:r>
              <w:rPr>
                <w:rStyle w:val="30"/>
                <w:lang w:val="en-US" w:eastAsia="zh-CN" w:bidi="ar"/>
              </w:rPr>
              <w:t>7、书网：采用直径φ5*φ3mm冷拉圆铁，经过碰焊成型，表面打磨光滑后采用静电喷涂处理，内腔高度≥100mm，方便放取书物。</w:t>
            </w:r>
            <w:r>
              <w:rPr>
                <w:rStyle w:val="30"/>
                <w:lang w:val="en-US" w:eastAsia="zh-CN" w:bidi="ar"/>
              </w:rPr>
              <w:br w:type="textWrapping"/>
            </w:r>
            <w:r>
              <w:rPr>
                <w:rStyle w:val="31"/>
                <w:lang w:val="en-US" w:eastAsia="zh-CN" w:bidi="ar"/>
              </w:rPr>
              <w:t>▲</w:t>
            </w:r>
            <w:r>
              <w:rPr>
                <w:rStyle w:val="30"/>
                <w:lang w:val="en-US" w:eastAsia="zh-CN" w:bidi="ar"/>
              </w:rPr>
              <w:t>8、背框架：采用冷轧钢板为基材，左右边条T≥2.0mm，背上下框架T≥1.5mm经模具冲压焊接成型。靠背上框架为半圆弧形半径16mm，靠背下框架为直边宽55mm。尺寸公差±5.0mm，厚度公差±1mm。冷轧钢板须符合：GB/T 708-2019《冷轧钢板和钢带的尺寸、外形、重量及允许偏差》GB/T 1741-2020《漆膜耐霉菌性测定法》 QB/T 4371-2012《家具抗菌性能的评价》 GB/T 10125-2021《人造气氛腐蚀试验 盐雾试验》 GB/T 6461-2002《金属基体上金属和其他无机覆盖层经腐蚀试验后的试样和试件的评级》 QB/T 3832-1999《轻工产品金属镀层腐蚀试验结果的评价》QB/T 3826-1999《轻工产品金属镀层和化学处理层的耐腐蚀试验方法中性盐雾试验(NSS)法》QB/T 3827-1999《轻工产品金属镀层和化学处理层的耐腐蚀试验方法乙酸盐雾试验(NSS)法》 GB/T 11253-2019 《碳素结构钢冷轧钢板及钢带》 GB/T 5213-2019《冷轧低碳钢板及钢带》 GB/T 228.1-2021《金属材料 拉伸试验 第1部分:室温试验方法》 QB/T 4767-2014《家具用钢构件》 GB/T 3325-2024《金属家具通用技术条件》须包含但不限于：尺寸厚度≥2.0mm，外观性能金属件喷涂（塑）涂层符合要求，产品表面理化性能金属喷漆（塑）涂层冲击强度符合要求，中性盐雾试验≥100h，乙酸盐雾试验≥100h，铜加速乙酸盐雾试验≥100h，抗菌性能抑菌率：肺炎克雷伯氏菌≥99.0%、枯草芽孢杆菌≥99.0%、乙型溶血性链球菌≥99.0%、表皮葡萄球菌≥99.0%、鼠伤寒沙门氏菌≥99.0%、金黄色葡萄球菌≥99.0%、大肠杆菌(大肠埃希氏菌）≥99.0%、宋内氏志贺氏菌≥99.0%、乙型副伤寒沙门氏≥99.0%；耐霉菌性耐霉菌性等级：宛氏拟青霉、桔青霉、绿色木霉、出芽短梗霉、腊叶芽枝霉(多主枝孢霉)、黑曲霉、黄曲霉、链格孢均达到0级不生长；力学性能：180°弯曲试验、试样弯曲处的外面和侧面不应有目视可见的裂纹，断后伸长率≥28，抗拉强度Rm270-410MPa，屈服强度ReL≤280MPa；化学成分%：C≤0.12、Mn≤0.60、P≤0.030、S≤0.030、AI≤0.020；表面质量：钢板及钢带表面不得有结疤、裂纹、夹杂等对使用有害的缺陷，钢板及钢带不应有分层符合要求；较高级表面FB：表面允许有少量不影响成形性及涂、镀附着力的缺陷，如轻微的划伤、压痕、麻点、辊印及氧化色等符合要求；产品表面涂层理化性能，金属喷涂层硬度≥5H；投标人报价时须提供原材料“冷轧钢板”的抽样检验合格报告复印件。</w:t>
            </w:r>
            <w:r>
              <w:rPr>
                <w:rStyle w:val="30"/>
                <w:lang w:val="en-US" w:eastAsia="zh-CN" w:bidi="ar"/>
              </w:rPr>
              <w:br w:type="textWrapping"/>
            </w:r>
            <w:r>
              <w:rPr>
                <w:rStyle w:val="30"/>
                <w:lang w:val="en-US" w:eastAsia="zh-CN" w:bidi="ar"/>
              </w:rPr>
              <w:t>9、座胶壳：采用优质PP塑料材质，经模具注塑成型，抗冲击、不褪色、经久耐用，底部设有多个吸音孔。</w:t>
            </w:r>
            <w:r>
              <w:rPr>
                <w:rStyle w:val="30"/>
                <w:lang w:val="en-US" w:eastAsia="zh-CN" w:bidi="ar"/>
              </w:rPr>
              <w:br w:type="textWrapping"/>
            </w:r>
            <w:r>
              <w:rPr>
                <w:rStyle w:val="30"/>
                <w:lang w:val="en-US" w:eastAsia="zh-CN" w:bidi="ar"/>
              </w:rPr>
              <w:t>10、座角码：采用优质冷轧钢板经模具冲压成型。</w:t>
            </w:r>
            <w:r>
              <w:rPr>
                <w:rStyle w:val="30"/>
                <w:lang w:val="en-US" w:eastAsia="zh-CN" w:bidi="ar"/>
              </w:rPr>
              <w:br w:type="textWrapping"/>
            </w:r>
            <w:r>
              <w:rPr>
                <w:rStyle w:val="30"/>
                <w:lang w:val="en-US" w:eastAsia="zh-CN" w:bidi="ar"/>
              </w:rPr>
              <w:t>11、回位功能：座内采用重力回复结构，持久耐用永不失效且无回位噪音。</w:t>
            </w:r>
            <w:r>
              <w:rPr>
                <w:rStyle w:val="30"/>
                <w:lang w:val="en-US" w:eastAsia="zh-CN" w:bidi="ar"/>
              </w:rPr>
              <w:br w:type="textWrapping"/>
            </w:r>
            <w:r>
              <w:rPr>
                <w:rStyle w:val="30"/>
                <w:lang w:val="en-US" w:eastAsia="zh-CN" w:bidi="ar"/>
              </w:rPr>
              <w:t>12、座椅结构：采用两侧受力结构，使座在外力作用下与背相碰撞时受力点不在背上，而在座两侧的连接件上，从而更加耐用、牢固、更舒适。</w:t>
            </w:r>
            <w:r>
              <w:rPr>
                <w:rStyle w:val="30"/>
                <w:lang w:val="en-US" w:eastAsia="zh-CN" w:bidi="ar"/>
              </w:rPr>
              <w:br w:type="textWrapping"/>
            </w:r>
            <w:r>
              <w:rPr>
                <w:rStyle w:val="31"/>
                <w:lang w:val="en-US" w:eastAsia="zh-CN" w:bidi="ar"/>
              </w:rPr>
              <w:t>▲</w:t>
            </w:r>
            <w:r>
              <w:rPr>
                <w:rStyle w:val="30"/>
                <w:lang w:val="en-US" w:eastAsia="zh-CN" w:bidi="ar"/>
              </w:rPr>
              <w:t>13、固定阶梯排椅需符合：GB/T 3324-2024《木家具通用技术条件》QB/T 2602-2013《影剧院公共座椅》须包含但不限于：人造板件表面应无明显划痕、压痕、色差符合要求，软硬质覆面人造板：干花、湿花、污斑、外表、皱纹、疵点均符合要求，扶手垂直向下静载荷试验：座椅零部件应无断裂或豁裂现象、加载部位应无明显变形、座椅结构应无松动、翻转结构应翻转灵活自如符合要求，座面翻转耐久性试验：座椅零部件应无断裂或豁裂现象、加载部位应无明显变形、座椅结构应无松动、翻转结构应翻转灵活自如，符合要求；投标人报价时须提供原材料“固定阶梯排椅”的抽样成品检验合格报告复印件。</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位</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720.00 </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455040.00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8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54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40" w:hRule="atLeast"/>
          <w:jc w:val="center"/>
        </w:trPr>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主席台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（1.4米）</w:t>
            </w:r>
          </w:p>
        </w:tc>
        <w:tc>
          <w:tcPr>
            <w:tcW w:w="5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规格：1400*600*780mm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1、基材：采用优质环保E1级中密度纤维板，所有材料均经过防虫、防腐等化学处理，强度大，尺寸稳定性好，握钉力强，不易变形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2、面材：采用优质天然木皮贴面，木皮平整度高，纹理清晰自然，颜色均匀，色泽美观，无结疤，经过防虫防腐处理，耐磨性好，纹理清晰自然，色泽一致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3、胶水白乳胶：采用优质环保胶水白乳胶，粘性强，久不分层，具有防水、防潮、耐油等特点，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4、封边：四周采用同色封四边处理,物理性能佳，严密平整，线条均匀，转角过渡自然，经过刨光、干燥、防虫、防腐等处理，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5、油漆：采用优质环保水性底漆、水性面漆，采用五底三面的八道油漆涂装工艺，保证产品光泽、平整、纹理清晰、环保，油漆无颗粒、气泡、渣点、附着性强，色泽效果持久平整。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6、五金件：采用优质五金配件，经防锈处理，耐腐蚀能力强。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1850.00 </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9250.00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0" w:hRule="atLeast"/>
          <w:jc w:val="center"/>
        </w:trPr>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主席椅</w:t>
            </w:r>
          </w:p>
        </w:tc>
        <w:tc>
          <w:tcPr>
            <w:tcW w:w="5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面料：选用优质牛皮，经液态浸色及防潮、防污等工艺处理,皮面柔软舒适,光泽持久；表面无裂纹，无损伤，无剥落；干摩擦色牢度4-5级，耐光性≥5级，涂层粘着牢度≥6N/10mm，撕裂力≥50N，气味≤2级，游离甲醛未检出，禁用偶氮染料未检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2、海绵：采用高密度阻燃定型海绵，回弹率≥37%，伸长率≥206%，撕裂强度≥2.5N/cm，软硬适中，回弹性能好，抗变形能力强，根椐人体工程学原理设计，坐感舒适。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3、框架：采用优质橡木实木框架，经过高温干燥、防虫、防腐特殊处理，确保坚固可靠，长期使用不松动、不腐朽。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4、油漆：采用优质环保水性底漆、水性面漆，采用五底三面的八道油漆涂装工艺，保证产品光泽、平整、纹理清晰、环保挥发性有机化合物含量≤295g/L，苯系物含量（苯、甲苯、乙苯和二甲苯总和）＜50 mg/kg,游离甲醛含量＜5 mg/kg，油漆无颗粒、气泡、渣点、附着性强，色泽效果持久平整。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780.00 </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7800.00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0" w:hRule="atLeast"/>
          <w:jc w:val="center"/>
        </w:trPr>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演讲台</w:t>
            </w:r>
          </w:p>
        </w:tc>
        <w:tc>
          <w:tcPr>
            <w:tcW w:w="5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规格：800*580*1100mm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1、基材：采用优质环保E1级中密度纤维板，所有材料均经过防虫、防腐等化学处理，强度大，尺寸稳定性好，握钉力强，不易变形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2、面材：采用优质天然木皮贴面，木皮平整度高，纹理清晰自然，颜色均匀，色泽美观，无结疤，经过防虫防腐处理，耐磨性好，纹理清晰自然，色泽一致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3、胶水白乳胶：采用优质环保胶水白乳胶，粘性强，久不分层，具有防水、防潮、耐油等特点，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4、封边：四周采用同色封四边处理,物理性能佳，严密平整，线条均匀，转角过渡自然，经过刨光、干燥、防虫、防腐等处理，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5、油漆：采用优质环保水性底漆、水性面漆，采用五底三面的八道油漆涂装工艺，保证产品光泽、平整、纹理清晰、环保，油漆无颗粒、气泡、渣点、附着性强，色泽效果持久平整。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6、五金件：采用优质五金配件，经防锈处理，耐腐蚀能力强。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1910.00 </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1910.00 </w:t>
            </w:r>
          </w:p>
        </w:tc>
      </w:tr>
    </w:tbl>
    <w:p>
      <w:pPr>
        <w:shd w:val="clear"/>
        <w:spacing w:line="56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说明：1. 各供应商必须对招标文件第四章《采购需求》中的技术、服务要求作出全面、真实的反映，同时填写技术规格偏离表。若投标文件中响应情况与招标文件采购需求内容不符或无有效证明，而供应商又未在投标文件中作出说明和解释的，评标委员会在评审时将视为不响应该条技术、服务要求的规定。</w:t>
      </w:r>
    </w:p>
    <w:p>
      <w:pPr>
        <w:shd w:val="clear"/>
        <w:spacing w:line="560" w:lineRule="exact"/>
        <w:ind w:firstLine="42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2.本章各项技术参数、规格和性能要求如出现引用某一特定的专利技术、商标、名称、设计、尺寸、重量、颜色、原产地或供应者等情况，则仅起参考作用。供应商可选用实质上“相当于”或“优于”该参考技术规格要求的产品投标。</w:t>
      </w:r>
    </w:p>
    <w:p>
      <w:pPr>
        <w:shd w:val="clear"/>
        <w:spacing w:line="560" w:lineRule="exact"/>
        <w:ind w:firstLine="420"/>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rPr>
        <w:t>3.供应商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工程或者服务进行验收，一旦发现虚假应标行为，采购人将如实向主管部门上报情况，并保留追究其法律责任的权利</w:t>
      </w:r>
      <w:bookmarkStart w:id="115" w:name="_Toc32743"/>
      <w:bookmarkStart w:id="116" w:name="_Toc13854"/>
      <w:r>
        <w:rPr>
          <w:rFonts w:hint="eastAsia" w:ascii="仿宋" w:hAnsi="仿宋" w:eastAsia="仿宋" w:cs="仿宋"/>
          <w:b/>
          <w:color w:val="auto"/>
          <w:sz w:val="28"/>
          <w:szCs w:val="28"/>
          <w:highlight w:val="none"/>
          <w:lang w:eastAsia="zh-CN"/>
        </w:rPr>
        <w:t>。</w:t>
      </w:r>
    </w:p>
    <w:p>
      <w:pPr>
        <w:pStyle w:val="2"/>
        <w:spacing w:line="240" w:lineRule="auto"/>
        <w:ind w:firstLine="562" w:firstLineChars="200"/>
        <w:rPr>
          <w:rFonts w:hint="eastAsia" w:ascii="仿宋" w:hAnsi="仿宋" w:eastAsia="仿宋" w:cs="仿宋"/>
          <w:b/>
          <w:bCs/>
          <w:sz w:val="28"/>
          <w:szCs w:val="28"/>
        </w:rPr>
        <w:sectPr>
          <w:headerReference r:id="rId10" w:type="default"/>
          <w:footerReference r:id="rId11" w:type="default"/>
          <w:pgSz w:w="11906" w:h="16838"/>
          <w:pgMar w:top="1417" w:right="1417" w:bottom="1417" w:left="1417" w:header="850" w:footer="992" w:gutter="0"/>
          <w:pgBorders>
            <w:top w:val="none" w:sz="0" w:space="0"/>
            <w:left w:val="none" w:sz="0" w:space="0"/>
            <w:bottom w:val="none" w:sz="0" w:space="0"/>
            <w:right w:val="none" w:sz="0" w:space="0"/>
          </w:pgBorders>
          <w:pgNumType w:fmt="decimal"/>
          <w:cols w:space="0" w:num="1"/>
          <w:docGrid w:type="lines" w:linePitch="312" w:charSpace="0"/>
        </w:sectPr>
      </w:pPr>
      <w:r>
        <w:rPr>
          <w:rFonts w:hint="eastAsia" w:ascii="仿宋" w:hAnsi="仿宋" w:eastAsia="仿宋" w:cs="仿宋"/>
          <w:b/>
          <w:bCs/>
          <w:color w:val="auto"/>
          <w:sz w:val="28"/>
          <w:szCs w:val="28"/>
          <w:highlight w:val="none"/>
          <w:lang w:val="en-US" w:eastAsia="zh-CN"/>
        </w:rPr>
        <w:t>4.</w:t>
      </w:r>
      <w:r>
        <w:rPr>
          <w:rFonts w:hint="eastAsia" w:ascii="仿宋" w:hAnsi="仿宋" w:eastAsia="仿宋" w:cs="仿宋"/>
          <w:b/>
          <w:bCs/>
          <w:sz w:val="28"/>
          <w:szCs w:val="28"/>
        </w:rPr>
        <w:t>标注●的是核心产品</w:t>
      </w:r>
      <w:r>
        <w:rPr>
          <w:rFonts w:hint="eastAsia" w:ascii="仿宋" w:hAnsi="仿宋" w:eastAsia="仿宋" w:cs="仿宋"/>
          <w:b/>
          <w:bCs/>
          <w:sz w:val="28"/>
          <w:szCs w:val="28"/>
          <w:lang w:eastAsia="zh-CN"/>
        </w:rPr>
        <w:t>；</w:t>
      </w:r>
      <w:r>
        <w:rPr>
          <w:rFonts w:hint="eastAsia" w:ascii="仿宋" w:hAnsi="仿宋" w:eastAsia="仿宋" w:cs="仿宋"/>
          <w:b/>
          <w:bCs/>
          <w:sz w:val="28"/>
          <w:szCs w:val="28"/>
        </w:rPr>
        <w:t>标注</w:t>
      </w:r>
      <w:r>
        <w:rPr>
          <w:rFonts w:hint="eastAsia" w:ascii="仿宋" w:hAnsi="仿宋" w:eastAsia="仿宋" w:cs="仿宋"/>
          <w:b/>
          <w:bCs/>
          <w:sz w:val="28"/>
          <w:szCs w:val="28"/>
          <w:lang w:val="en-US" w:eastAsia="zh-CN"/>
        </w:rPr>
        <w:t>▲和</w:t>
      </w:r>
      <w:r>
        <w:rPr>
          <w:rFonts w:hint="eastAsia" w:ascii="仿宋" w:hAnsi="仿宋" w:eastAsia="仿宋" w:cs="仿宋"/>
          <w:b/>
          <w:bCs/>
          <w:sz w:val="28"/>
          <w:szCs w:val="28"/>
        </w:rPr>
        <w:t>★的是重要需求参数</w:t>
      </w:r>
      <w:r>
        <w:rPr>
          <w:rFonts w:hint="eastAsia" w:ascii="仿宋" w:hAnsi="仿宋" w:eastAsia="仿宋" w:cs="仿宋"/>
          <w:b/>
          <w:bCs/>
          <w:sz w:val="28"/>
          <w:szCs w:val="28"/>
          <w:lang w:eastAsia="zh-CN"/>
        </w:rPr>
        <w:t>；</w:t>
      </w:r>
      <w:r>
        <w:rPr>
          <w:rFonts w:hint="eastAsia" w:ascii="仿宋" w:hAnsi="仿宋" w:eastAsia="仿宋" w:cs="仿宋"/>
          <w:b/>
          <w:bCs/>
          <w:sz w:val="28"/>
          <w:szCs w:val="28"/>
        </w:rPr>
        <w:t>未标注的是一般技术参数。</w:t>
      </w:r>
    </w:p>
    <w:bookmarkEnd w:id="115"/>
    <w:bookmarkEnd w:id="116"/>
    <w:p>
      <w:pPr>
        <w:shd w:val="clear"/>
        <w:wordWrap w:val="0"/>
        <w:spacing w:line="360" w:lineRule="auto"/>
        <w:jc w:val="center"/>
        <w:outlineLvl w:val="0"/>
        <w:rPr>
          <w:rFonts w:hint="eastAsia" w:ascii="仿宋" w:hAnsi="仿宋" w:eastAsia="仿宋" w:cs="仿宋"/>
          <w:color w:val="auto"/>
          <w:sz w:val="32"/>
          <w:szCs w:val="32"/>
          <w:highlight w:val="none"/>
        </w:rPr>
      </w:pPr>
      <w:bookmarkStart w:id="117" w:name="_Toc2068"/>
      <w:bookmarkStart w:id="118" w:name="_Toc3198"/>
      <w:r>
        <w:rPr>
          <w:rFonts w:hint="eastAsia" w:ascii="仿宋" w:hAnsi="仿宋" w:eastAsia="仿宋" w:cs="仿宋"/>
          <w:b/>
          <w:bCs/>
          <w:color w:val="auto"/>
          <w:sz w:val="32"/>
          <w:szCs w:val="32"/>
          <w:highlight w:val="none"/>
        </w:rPr>
        <w:t>第五章 投标文件格式</w:t>
      </w:r>
      <w:bookmarkEnd w:id="117"/>
      <w:bookmarkEnd w:id="118"/>
    </w:p>
    <w:p>
      <w:pPr>
        <w:shd w:val="clear"/>
        <w:wordWrap w:val="0"/>
        <w:spacing w:line="360" w:lineRule="auto"/>
        <w:rPr>
          <w:rFonts w:hint="eastAsia" w:ascii="仿宋" w:hAnsi="仿宋" w:eastAsia="仿宋" w:cs="仿宋"/>
          <w:color w:val="auto"/>
          <w:sz w:val="28"/>
          <w:highlight w:val="none"/>
        </w:rPr>
      </w:pPr>
    </w:p>
    <w:p>
      <w:pPr>
        <w:shd w:val="clear"/>
        <w:wordWrap w:val="0"/>
        <w:spacing w:line="360" w:lineRule="auto"/>
        <w:jc w:val="center"/>
        <w:rPr>
          <w:rFonts w:hint="eastAsia" w:ascii="仿宋" w:hAnsi="仿宋" w:eastAsia="仿宋" w:cs="仿宋"/>
          <w:color w:val="auto"/>
          <w:sz w:val="32"/>
          <w:szCs w:val="32"/>
          <w:highlight w:val="none"/>
          <w:u w:val="single"/>
        </w:rPr>
      </w:pPr>
    </w:p>
    <w:p>
      <w:pPr>
        <w:shd w:val="clear"/>
        <w:wordWrap w:val="0"/>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32"/>
          <w:szCs w:val="32"/>
          <w:highlight w:val="none"/>
          <w:u w:val="single"/>
        </w:rPr>
        <w:t>（项目名称）</w:t>
      </w:r>
    </w:p>
    <w:p>
      <w:pPr>
        <w:shd w:val="clear"/>
        <w:wordWrap w:val="0"/>
        <w:spacing w:line="360" w:lineRule="auto"/>
        <w:rPr>
          <w:rFonts w:hint="eastAsia" w:ascii="仿宋" w:hAnsi="仿宋" w:eastAsia="仿宋" w:cs="仿宋"/>
          <w:b/>
          <w:color w:val="auto"/>
          <w:sz w:val="28"/>
          <w:szCs w:val="28"/>
          <w:highlight w:val="none"/>
        </w:rPr>
      </w:pPr>
    </w:p>
    <w:p>
      <w:pPr>
        <w:pStyle w:val="2"/>
        <w:shd w:val="clear"/>
        <w:wordWrap w:val="0"/>
        <w:spacing w:line="360" w:lineRule="auto"/>
        <w:rPr>
          <w:rFonts w:hint="eastAsia" w:ascii="仿宋" w:hAnsi="仿宋" w:eastAsia="仿宋" w:cs="仿宋"/>
          <w:b/>
          <w:color w:val="auto"/>
          <w:sz w:val="28"/>
          <w:szCs w:val="28"/>
          <w:highlight w:val="none"/>
        </w:rPr>
      </w:pPr>
    </w:p>
    <w:p>
      <w:pPr>
        <w:shd w:val="clear"/>
        <w:wordWrap w:val="0"/>
        <w:spacing w:line="360" w:lineRule="auto"/>
        <w:rPr>
          <w:rFonts w:hint="eastAsia" w:ascii="仿宋" w:hAnsi="仿宋" w:eastAsia="仿宋" w:cs="仿宋"/>
          <w:color w:val="auto"/>
          <w:highlight w:val="none"/>
        </w:rPr>
      </w:pPr>
    </w:p>
    <w:p>
      <w:pPr>
        <w:shd w:val="clear"/>
        <w:wordWrap w:val="0"/>
        <w:spacing w:line="360" w:lineRule="auto"/>
        <w:jc w:val="center"/>
        <w:rPr>
          <w:rFonts w:hint="eastAsia" w:ascii="仿宋" w:hAnsi="仿宋" w:eastAsia="仿宋" w:cs="仿宋"/>
          <w:b/>
          <w:color w:val="auto"/>
          <w:sz w:val="24"/>
          <w:highlight w:val="none"/>
        </w:rPr>
      </w:pPr>
    </w:p>
    <w:p>
      <w:pPr>
        <w:shd w:val="clear"/>
        <w:wordWrap w:val="0"/>
        <w:spacing w:line="360" w:lineRule="auto"/>
        <w:rPr>
          <w:rFonts w:hint="eastAsia" w:ascii="仿宋" w:hAnsi="仿宋" w:eastAsia="仿宋" w:cs="仿宋"/>
          <w:b/>
          <w:color w:val="auto"/>
          <w:highlight w:val="none"/>
        </w:rPr>
      </w:pPr>
    </w:p>
    <w:p>
      <w:pPr>
        <w:shd w:val="clear"/>
        <w:wordWrap w:val="0"/>
        <w:spacing w:line="360" w:lineRule="auto"/>
        <w:jc w:val="center"/>
        <w:rPr>
          <w:rFonts w:hint="eastAsia" w:ascii="仿宋" w:hAnsi="仿宋" w:eastAsia="仿宋" w:cs="仿宋"/>
          <w:b/>
          <w:color w:val="auto"/>
          <w:sz w:val="100"/>
          <w:szCs w:val="100"/>
          <w:highlight w:val="none"/>
        </w:rPr>
      </w:pPr>
      <w:r>
        <w:rPr>
          <w:rFonts w:hint="eastAsia" w:ascii="仿宋" w:hAnsi="仿宋" w:eastAsia="仿宋" w:cs="仿宋"/>
          <w:b/>
          <w:color w:val="auto"/>
          <w:sz w:val="120"/>
          <w:szCs w:val="120"/>
          <w:highlight w:val="none"/>
        </w:rPr>
        <w:t>投 标 文 件</w:t>
      </w:r>
    </w:p>
    <w:p>
      <w:pPr>
        <w:shd w:val="clear"/>
        <w:wordWrap w:val="0"/>
        <w:spacing w:line="360" w:lineRule="auto"/>
        <w:jc w:val="center"/>
        <w:rPr>
          <w:rFonts w:hint="eastAsia" w:ascii="仿宋" w:hAnsi="仿宋" w:eastAsia="仿宋" w:cs="仿宋"/>
          <w:b/>
          <w:color w:val="auto"/>
          <w:sz w:val="28"/>
          <w:szCs w:val="28"/>
          <w:highlight w:val="none"/>
        </w:rPr>
      </w:pPr>
    </w:p>
    <w:p>
      <w:pPr>
        <w:shd w:val="clear"/>
        <w:tabs>
          <w:tab w:val="left" w:pos="2310"/>
        </w:tabs>
        <w:wordWrap w:val="0"/>
        <w:spacing w:line="360" w:lineRule="auto"/>
        <w:ind w:firstLine="3080" w:firstLineChars="1100"/>
        <w:rPr>
          <w:rFonts w:hint="eastAsia" w:ascii="仿宋" w:hAnsi="仿宋" w:eastAsia="仿宋" w:cs="仿宋"/>
          <w:color w:val="auto"/>
          <w:sz w:val="28"/>
          <w:szCs w:val="28"/>
          <w:highlight w:val="none"/>
        </w:rPr>
      </w:pPr>
    </w:p>
    <w:p>
      <w:pPr>
        <w:shd w:val="clear"/>
        <w:tabs>
          <w:tab w:val="left" w:pos="2310"/>
        </w:tabs>
        <w:wordWrap w:val="0"/>
        <w:spacing w:line="360" w:lineRule="auto"/>
        <w:jc w:val="center"/>
        <w:rPr>
          <w:rFonts w:hint="eastAsia" w:ascii="仿宋" w:hAnsi="仿宋" w:eastAsia="仿宋" w:cs="仿宋"/>
          <w:color w:val="auto"/>
          <w:sz w:val="28"/>
          <w:szCs w:val="28"/>
          <w:highlight w:val="none"/>
        </w:rPr>
      </w:pPr>
    </w:p>
    <w:p>
      <w:pPr>
        <w:shd w:val="clear"/>
        <w:tabs>
          <w:tab w:val="left" w:pos="2310"/>
        </w:tabs>
        <w:wordWrap w:val="0"/>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包件</w:t>
      </w:r>
      <w:r>
        <w:rPr>
          <w:rFonts w:hint="eastAsia" w:ascii="仿宋" w:hAnsi="仿宋" w:eastAsia="仿宋" w:cs="仿宋"/>
          <w:color w:val="auto"/>
          <w:sz w:val="28"/>
          <w:szCs w:val="28"/>
          <w:highlight w:val="none"/>
        </w:rPr>
        <w:t>编号：</w:t>
      </w:r>
    </w:p>
    <w:p>
      <w:pPr>
        <w:shd w:val="clear"/>
        <w:wordWrap w:val="0"/>
        <w:spacing w:line="360" w:lineRule="auto"/>
        <w:rPr>
          <w:rFonts w:hint="eastAsia" w:ascii="仿宋" w:hAnsi="仿宋" w:eastAsia="仿宋" w:cs="仿宋"/>
          <w:color w:val="auto"/>
          <w:sz w:val="28"/>
          <w:szCs w:val="28"/>
          <w:highlight w:val="none"/>
        </w:rPr>
      </w:pPr>
    </w:p>
    <w:p>
      <w:pPr>
        <w:shd w:val="clear"/>
        <w:wordWrap w:val="0"/>
        <w:spacing w:line="360" w:lineRule="auto"/>
        <w:rPr>
          <w:rFonts w:hint="eastAsia" w:ascii="仿宋" w:hAnsi="仿宋" w:eastAsia="仿宋" w:cs="仿宋"/>
          <w:color w:val="auto"/>
          <w:sz w:val="28"/>
          <w:szCs w:val="28"/>
          <w:highlight w:val="none"/>
        </w:rPr>
      </w:pPr>
    </w:p>
    <w:p>
      <w:pPr>
        <w:shd w:val="clear"/>
        <w:wordWrap w:val="0"/>
        <w:spacing w:line="360" w:lineRule="auto"/>
        <w:ind w:firstLine="560" w:firstLineChars="200"/>
        <w:rPr>
          <w:rFonts w:hint="eastAsia" w:ascii="仿宋" w:hAnsi="仿宋" w:eastAsia="仿宋" w:cs="仿宋"/>
          <w:color w:val="auto"/>
          <w:sz w:val="28"/>
          <w:szCs w:val="28"/>
          <w:highlight w:val="none"/>
        </w:rPr>
      </w:pPr>
      <w:bookmarkStart w:id="119" w:name="_Toc420767697"/>
      <w:r>
        <w:rPr>
          <w:rFonts w:hint="eastAsia" w:ascii="仿宋" w:hAnsi="仿宋" w:eastAsia="仿宋" w:cs="仿宋"/>
          <w:color w:val="auto"/>
          <w:sz w:val="28"/>
          <w:szCs w:val="28"/>
          <w:highlight w:val="none"/>
        </w:rPr>
        <w:t>供应商：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（盖单位公章）</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pPr>
        <w:shd w:val="clear"/>
        <w:wordWrap w:val="0"/>
        <w:spacing w:before="20" w:after="120"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br w:type="page"/>
      </w:r>
      <w:bookmarkEnd w:id="119"/>
      <w:bookmarkStart w:id="120" w:name="_Toc420767698"/>
      <w:r>
        <w:rPr>
          <w:rFonts w:hint="eastAsia" w:ascii="仿宋" w:hAnsi="仿宋" w:eastAsia="仿宋" w:cs="仿宋"/>
          <w:b/>
          <w:bCs/>
          <w:color w:val="auto"/>
          <w:sz w:val="28"/>
          <w:szCs w:val="32"/>
          <w:highlight w:val="none"/>
        </w:rPr>
        <w:t>目  录</w:t>
      </w:r>
    </w:p>
    <w:bookmarkEnd w:id="120"/>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一、投标函</w:t>
      </w:r>
    </w:p>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二、投标报价一览表</w:t>
      </w:r>
    </w:p>
    <w:p>
      <w:pPr>
        <w:shd w:val="clear"/>
        <w:wordWrap w:val="0"/>
        <w:spacing w:line="360" w:lineRule="auto"/>
        <w:ind w:firstLine="561"/>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三、分项报价表</w:t>
      </w:r>
    </w:p>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四、产品规格、技术参数及性能响应表 </w:t>
      </w:r>
    </w:p>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五、法定代表人身份证明书及法定代表人授权委托书</w:t>
      </w:r>
    </w:p>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六、供应商基本情况表</w:t>
      </w:r>
    </w:p>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七、供应商相关资格证件及相关证明材料</w:t>
      </w:r>
    </w:p>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八、声明书（承诺书）</w:t>
      </w:r>
    </w:p>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九、项目实施方案</w:t>
      </w:r>
    </w:p>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十、近三年类似项目业绩情况表</w:t>
      </w:r>
    </w:p>
    <w:p>
      <w:pPr>
        <w:shd w:val="clear"/>
        <w:wordWrap w:val="0"/>
        <w:spacing w:line="360" w:lineRule="auto"/>
        <w:ind w:firstLine="5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十一、供应商认为应该提交的其他资料</w:t>
      </w:r>
    </w:p>
    <w:p>
      <w:pPr>
        <w:shd w:val="clear"/>
        <w:wordWrap w:val="0"/>
        <w:spacing w:line="360" w:lineRule="auto"/>
        <w:ind w:firstLine="561"/>
        <w:rPr>
          <w:rFonts w:hint="eastAsia" w:ascii="仿宋" w:hAnsi="仿宋" w:eastAsia="仿宋" w:cs="仿宋"/>
          <w:color w:val="auto"/>
          <w:sz w:val="28"/>
          <w:szCs w:val="28"/>
          <w:highlight w:val="none"/>
        </w:rPr>
      </w:pPr>
    </w:p>
    <w:p>
      <w:pPr>
        <w:shd w:val="clear"/>
        <w:wordWrap w:val="0"/>
        <w:spacing w:line="360" w:lineRule="auto"/>
        <w:jc w:val="left"/>
        <w:rPr>
          <w:rFonts w:hint="eastAsia" w:ascii="仿宋" w:hAnsi="仿宋" w:eastAsia="仿宋" w:cs="仿宋"/>
          <w:color w:val="auto"/>
          <w:sz w:val="28"/>
          <w:szCs w:val="28"/>
          <w:highlight w:val="none"/>
        </w:rPr>
      </w:pPr>
    </w:p>
    <w:p>
      <w:pPr>
        <w:shd w:val="clear"/>
        <w:wordWrap w:val="0"/>
        <w:spacing w:line="360" w:lineRule="auto"/>
        <w:jc w:val="center"/>
        <w:rPr>
          <w:rFonts w:hint="eastAsia" w:ascii="仿宋" w:hAnsi="仿宋" w:eastAsia="仿宋" w:cs="仿宋"/>
          <w:b/>
          <w:color w:val="auto"/>
          <w:sz w:val="28"/>
          <w:szCs w:val="28"/>
          <w:highlight w:val="none"/>
        </w:rPr>
      </w:pPr>
    </w:p>
    <w:p>
      <w:pPr>
        <w:pStyle w:val="4"/>
        <w:shd w:val="clear"/>
        <w:wordWrap w:val="0"/>
        <w:spacing w:before="20" w:after="20" w:line="360" w:lineRule="auto"/>
        <w:jc w:val="center"/>
        <w:rPr>
          <w:rFonts w:hint="eastAsia" w:ascii="仿宋" w:hAnsi="仿宋" w:eastAsia="仿宋" w:cs="仿宋"/>
          <w:color w:val="auto"/>
          <w:sz w:val="28"/>
          <w:highlight w:val="none"/>
        </w:rPr>
      </w:pPr>
      <w:r>
        <w:rPr>
          <w:rFonts w:hint="eastAsia" w:ascii="仿宋" w:hAnsi="仿宋" w:eastAsia="仿宋" w:cs="仿宋"/>
          <w:color w:val="auto"/>
          <w:sz w:val="28"/>
          <w:highlight w:val="none"/>
        </w:rPr>
        <w:br w:type="page"/>
      </w:r>
      <w:bookmarkStart w:id="121" w:name="_Toc614"/>
      <w:bookmarkStart w:id="122" w:name="_Toc22349"/>
      <w:bookmarkStart w:id="123" w:name="_Toc21822"/>
      <w:r>
        <w:rPr>
          <w:rFonts w:hint="eastAsia" w:ascii="仿宋" w:hAnsi="仿宋" w:eastAsia="仿宋" w:cs="仿宋"/>
          <w:color w:val="auto"/>
          <w:sz w:val="28"/>
          <w:highlight w:val="none"/>
        </w:rPr>
        <w:t>一、投标函</w:t>
      </w:r>
      <w:bookmarkEnd w:id="121"/>
      <w:bookmarkEnd w:id="122"/>
      <w:bookmarkEnd w:id="123"/>
    </w:p>
    <w:p>
      <w:pPr>
        <w:shd w:val="clear"/>
        <w:wordWrap w:val="0"/>
        <w:spacing w:after="156" w:afterLines="50"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（采购人名称）</w:t>
      </w:r>
    </w:p>
    <w:p>
      <w:pPr>
        <w:shd w:val="clear"/>
        <w:wordWrap w:val="0"/>
        <w:spacing w:line="5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1.我方已仔细研究了</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招标文件的全部内容，按合同约定实施和完成本项目。</w:t>
      </w:r>
    </w:p>
    <w:p>
      <w:pPr>
        <w:shd w:val="clear"/>
        <w:wordWrap w:val="0"/>
        <w:spacing w:line="5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2.我方将随同本承诺书提交投标保证金一份，金额为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pPr>
        <w:shd w:val="clear"/>
        <w:wordWrap w:val="0"/>
        <w:spacing w:line="5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3.如我方中标，承诺如下：</w:t>
      </w:r>
    </w:p>
    <w:p>
      <w:pPr>
        <w:shd w:val="clear"/>
        <w:wordWrap w:val="0"/>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 我方在投标有效期内严格遵守本投标文件的各项承诺。在此期限届满之前，本投标文件始终将对我方具有约束力，并随时接受中标。</w:t>
      </w:r>
    </w:p>
    <w:p>
      <w:pPr>
        <w:shd w:val="clear"/>
        <w:wordWrap w:val="0"/>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 在合同协议书正式签署生效之前，本承诺书连同你方的招标文件、中标通知书等将构成我们双方之间共同遵守的文件，对双方具有约束力。</w:t>
      </w:r>
    </w:p>
    <w:p>
      <w:pPr>
        <w:shd w:val="clear"/>
        <w:wordWrap w:val="0"/>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 我方保证按照招标文件要求提交履约保证金。</w:t>
      </w:r>
    </w:p>
    <w:p>
      <w:pPr>
        <w:shd w:val="clear"/>
        <w:wordWrap w:val="0"/>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 随同本投标文件，我方根据招标文件的要求提交投标保证金。如果我方在投标有效期内撤回投标文件，或拒绝签订合同，你方有权没收投标保证金，另选中标单位。</w:t>
      </w:r>
    </w:p>
    <w:p>
      <w:pPr>
        <w:shd w:val="clear"/>
        <w:wordWrap w:val="0"/>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 我方同意提供</w:t>
      </w:r>
      <w:r>
        <w:rPr>
          <w:rFonts w:hint="eastAsia" w:ascii="仿宋" w:hAnsi="仿宋" w:eastAsia="仿宋" w:cs="仿宋"/>
          <w:color w:val="auto"/>
          <w:kern w:val="0"/>
          <w:sz w:val="24"/>
          <w:szCs w:val="24"/>
          <w:highlight w:val="none"/>
        </w:rPr>
        <w:t>采购代理机构</w:t>
      </w:r>
      <w:r>
        <w:rPr>
          <w:rFonts w:hint="eastAsia" w:ascii="仿宋" w:hAnsi="仿宋" w:eastAsia="仿宋" w:cs="仿宋"/>
          <w:color w:val="auto"/>
          <w:sz w:val="24"/>
          <w:szCs w:val="24"/>
          <w:highlight w:val="none"/>
        </w:rPr>
        <w:t>要求的有关投标的其他资料并承诺向你方提供所有与投标有关的真实有效的数据、情况和技术资料。你方授权代表可通过</w:t>
      </w:r>
      <w:r>
        <w:rPr>
          <w:rFonts w:hint="eastAsia" w:ascii="仿宋" w:hAnsi="仿宋" w:eastAsia="仿宋" w:cs="仿宋"/>
          <w:color w:val="auto"/>
          <w:sz w:val="24"/>
          <w:szCs w:val="24"/>
          <w:highlight w:val="none"/>
          <w:u w:val="single"/>
        </w:rPr>
        <w:t xml:space="preserve">   （联系人及联系</w:t>
      </w:r>
      <w:r>
        <w:rPr>
          <w:rFonts w:hint="eastAsia" w:ascii="仿宋" w:hAnsi="仿宋" w:eastAsia="仿宋" w:cs="仿宋"/>
          <w:color w:val="auto"/>
          <w:sz w:val="24"/>
          <w:szCs w:val="24"/>
          <w:highlight w:val="none"/>
        </w:rPr>
        <w:t>方式）   得到进一步的资料。</w:t>
      </w:r>
    </w:p>
    <w:p>
      <w:pPr>
        <w:shd w:val="clear"/>
        <w:wordWrap w:val="0"/>
        <w:spacing w:line="500" w:lineRule="exact"/>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 我方承诺所投产品参数真实，与供货实物完全完全一致。如供货实物的参数与投标参数不一致，采购人可以没收</w:t>
      </w:r>
      <w:r>
        <w:rPr>
          <w:rFonts w:hint="eastAsia" w:ascii="仿宋" w:hAnsi="仿宋" w:eastAsia="仿宋" w:cs="仿宋"/>
          <w:color w:val="auto"/>
          <w:sz w:val="24"/>
          <w:szCs w:val="24"/>
          <w:highlight w:val="none"/>
        </w:rPr>
        <w:t>履约保证金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拒绝验收和支付。</w:t>
      </w:r>
    </w:p>
    <w:p>
      <w:pPr>
        <w:shd w:val="clear"/>
        <w:wordWrap w:val="0"/>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 xml:space="preserve">             （其他补充说明）。</w:t>
      </w:r>
    </w:p>
    <w:p>
      <w:pPr>
        <w:pStyle w:val="6"/>
        <w:shd w:val="clear"/>
        <w:wordWrap w:val="0"/>
        <w:spacing w:before="156" w:beforeLines="50" w:after="156" w:afterLines="50" w:line="500" w:lineRule="exact"/>
        <w:ind w:firstLine="360" w:firstLineChars="150"/>
        <w:rPr>
          <w:rFonts w:hint="eastAsia" w:ascii="仿宋" w:hAnsi="仿宋" w:eastAsia="仿宋" w:cs="仿宋"/>
          <w:color w:val="auto"/>
          <w:sz w:val="24"/>
          <w:szCs w:val="24"/>
          <w:highlight w:val="none"/>
        </w:rPr>
      </w:pPr>
    </w:p>
    <w:p>
      <w:pPr>
        <w:pStyle w:val="6"/>
        <w:shd w:val="clear"/>
        <w:wordWrap w:val="0"/>
        <w:spacing w:before="156" w:beforeLines="50" w:after="156" w:afterLines="50" w:line="500" w:lineRule="exact"/>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（盖单位公章）</w:t>
      </w:r>
    </w:p>
    <w:p>
      <w:pPr>
        <w:pStyle w:val="6"/>
        <w:shd w:val="clear"/>
        <w:wordWrap w:val="0"/>
        <w:spacing w:before="156" w:beforeLines="50" w:after="156" w:afterLines="50" w:line="500" w:lineRule="exact"/>
        <w:ind w:firstLine="360" w:firstLineChars="15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（签字） </w:t>
      </w:r>
    </w:p>
    <w:p>
      <w:pPr>
        <w:pStyle w:val="6"/>
        <w:shd w:val="clear"/>
        <w:wordWrap w:val="0"/>
        <w:spacing w:before="156" w:beforeLines="50" w:after="156" w:afterLines="50" w:line="500" w:lineRule="exact"/>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pPr>
        <w:pStyle w:val="4"/>
        <w:shd w:val="clear"/>
        <w:wordWrap w:val="0"/>
        <w:spacing w:before="60" w:after="60" w:line="360" w:lineRule="auto"/>
        <w:jc w:val="center"/>
        <w:rPr>
          <w:rFonts w:hint="eastAsia" w:ascii="仿宋" w:hAnsi="仿宋" w:eastAsia="仿宋" w:cs="仿宋"/>
          <w:color w:val="auto"/>
          <w:sz w:val="24"/>
          <w:highlight w:val="none"/>
        </w:rPr>
      </w:pPr>
      <w:bookmarkStart w:id="124" w:name="_Hlt106081191"/>
      <w:bookmarkEnd w:id="124"/>
      <w:bookmarkStart w:id="125" w:name="_Hlt106010002"/>
      <w:bookmarkEnd w:id="125"/>
      <w:bookmarkStart w:id="126" w:name="_Toc420767699"/>
      <w:r>
        <w:rPr>
          <w:rFonts w:hint="eastAsia" w:ascii="仿宋" w:hAnsi="仿宋" w:eastAsia="仿宋" w:cs="仿宋"/>
          <w:b w:val="0"/>
          <w:bCs w:val="0"/>
          <w:color w:val="auto"/>
          <w:sz w:val="28"/>
          <w:szCs w:val="28"/>
          <w:highlight w:val="none"/>
        </w:rPr>
        <w:br w:type="page"/>
      </w:r>
      <w:bookmarkStart w:id="127" w:name="_Toc27874"/>
      <w:bookmarkStart w:id="128" w:name="_Toc1201"/>
      <w:bookmarkStart w:id="129" w:name="_Toc15300"/>
      <w:r>
        <w:rPr>
          <w:rFonts w:hint="eastAsia" w:ascii="仿宋" w:hAnsi="仿宋" w:eastAsia="仿宋" w:cs="仿宋"/>
          <w:color w:val="auto"/>
          <w:sz w:val="28"/>
          <w:szCs w:val="24"/>
          <w:highlight w:val="none"/>
        </w:rPr>
        <w:t>二、</w:t>
      </w:r>
      <w:bookmarkEnd w:id="126"/>
      <w:r>
        <w:rPr>
          <w:rFonts w:hint="eastAsia" w:ascii="仿宋" w:hAnsi="仿宋" w:eastAsia="仿宋" w:cs="仿宋"/>
          <w:color w:val="auto"/>
          <w:sz w:val="28"/>
          <w:szCs w:val="24"/>
          <w:highlight w:val="none"/>
        </w:rPr>
        <w:t>投标报价一览表</w:t>
      </w:r>
      <w:bookmarkEnd w:id="127"/>
      <w:bookmarkEnd w:id="128"/>
      <w:bookmarkEnd w:id="129"/>
    </w:p>
    <w:tbl>
      <w:tblPr>
        <w:tblStyle w:val="20"/>
        <w:tblW w:w="94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345"/>
        <w:gridCol w:w="7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325" w:hRule="atLeast"/>
          <w:jc w:val="center"/>
        </w:trPr>
        <w:tc>
          <w:tcPr>
            <w:tcW w:w="2345" w:type="dxa"/>
            <w:tcBorders>
              <w:top w:val="single" w:color="000000" w:sz="6" w:space="0"/>
              <w:left w:val="single" w:color="000000" w:sz="6" w:space="0"/>
              <w:right w:val="single" w:color="auto" w:sz="4" w:space="0"/>
            </w:tcBorders>
            <w:vAlign w:val="center"/>
          </w:tcPr>
          <w:p>
            <w:pPr>
              <w:shd w:val="clear"/>
              <w:wordWrap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spacing w:val="-2"/>
                <w:sz w:val="28"/>
                <w:szCs w:val="28"/>
                <w:highlight w:val="none"/>
              </w:rPr>
              <w:t>投标总报价</w:t>
            </w:r>
          </w:p>
        </w:tc>
        <w:tc>
          <w:tcPr>
            <w:tcW w:w="7095" w:type="dxa"/>
            <w:tcBorders>
              <w:top w:val="single" w:color="auto" w:sz="4" w:space="0"/>
              <w:left w:val="single" w:color="auto" w:sz="4" w:space="0"/>
              <w:right w:val="single" w:color="000000" w:sz="6" w:space="0"/>
            </w:tcBorders>
            <w:vAlign w:val="center"/>
          </w:tcPr>
          <w:p>
            <w:pPr>
              <w:shd w:val="clear"/>
              <w:wordWrap w:val="0"/>
              <w:spacing w:before="120"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w:t>
            </w:r>
          </w:p>
          <w:p>
            <w:pPr>
              <w:shd w:val="clear"/>
              <w:wordWrap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大写：人民币</w:t>
            </w:r>
            <w:r>
              <w:rPr>
                <w:rFonts w:hint="eastAsia" w:ascii="仿宋" w:hAnsi="仿宋" w:eastAsia="仿宋" w:cs="仿宋"/>
                <w:color w:val="auto"/>
                <w:sz w:val="24"/>
                <w:highlight w:val="none"/>
                <w:u w:val="single"/>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816" w:hRule="atLeast"/>
          <w:jc w:val="center"/>
        </w:trPr>
        <w:tc>
          <w:tcPr>
            <w:tcW w:w="2345" w:type="dxa"/>
            <w:tcBorders>
              <w:top w:val="single" w:color="000000" w:sz="6" w:space="0"/>
              <w:left w:val="single" w:color="000000" w:sz="6" w:space="0"/>
              <w:bottom w:val="single" w:color="auto" w:sz="4" w:space="0"/>
              <w:right w:val="single" w:color="auto" w:sz="4" w:space="0"/>
            </w:tcBorders>
            <w:vAlign w:val="center"/>
          </w:tcPr>
          <w:p>
            <w:pPr>
              <w:shd w:val="clear"/>
              <w:wordWrap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合同履行期限（交货期）</w:t>
            </w:r>
          </w:p>
        </w:tc>
        <w:tc>
          <w:tcPr>
            <w:tcW w:w="7095" w:type="dxa"/>
            <w:tcBorders>
              <w:top w:val="single" w:color="auto" w:sz="4" w:space="0"/>
              <w:left w:val="single" w:color="auto" w:sz="4" w:space="0"/>
              <w:bottom w:val="single" w:color="auto" w:sz="4" w:space="0"/>
              <w:right w:val="single" w:color="000000" w:sz="6" w:space="0"/>
            </w:tcBorders>
            <w:vAlign w:val="center"/>
          </w:tcPr>
          <w:p>
            <w:pPr>
              <w:shd w:val="clear"/>
              <w:wordWrap w:val="0"/>
              <w:spacing w:before="120" w:line="360" w:lineRule="auto"/>
              <w:jc w:val="left"/>
              <w:rPr>
                <w:rFonts w:hint="eastAsia" w:ascii="仿宋" w:hAnsi="仿宋" w:eastAsia="仿宋" w:cs="仿宋"/>
                <w:color w:val="auto"/>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095" w:hRule="atLeast"/>
          <w:jc w:val="center"/>
        </w:trPr>
        <w:tc>
          <w:tcPr>
            <w:tcW w:w="2345" w:type="dxa"/>
            <w:tcBorders>
              <w:top w:val="single" w:color="000000" w:sz="6" w:space="0"/>
              <w:left w:val="single" w:color="000000" w:sz="6" w:space="0"/>
              <w:bottom w:val="single" w:color="auto" w:sz="4" w:space="0"/>
              <w:right w:val="single" w:color="auto" w:sz="4" w:space="0"/>
            </w:tcBorders>
            <w:vAlign w:val="center"/>
          </w:tcPr>
          <w:p>
            <w:pPr>
              <w:shd w:val="clear"/>
              <w:wordWrap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质量承诺</w:t>
            </w:r>
          </w:p>
        </w:tc>
        <w:tc>
          <w:tcPr>
            <w:tcW w:w="7095" w:type="dxa"/>
            <w:tcBorders>
              <w:top w:val="single" w:color="auto" w:sz="4" w:space="0"/>
              <w:left w:val="single" w:color="auto" w:sz="4" w:space="0"/>
              <w:bottom w:val="single" w:color="auto" w:sz="4" w:space="0"/>
              <w:right w:val="single" w:color="000000" w:sz="6" w:space="0"/>
            </w:tcBorders>
            <w:vAlign w:val="center"/>
          </w:tcPr>
          <w:p>
            <w:pPr>
              <w:shd w:val="clear"/>
              <w:wordWrap w:val="0"/>
              <w:spacing w:before="120" w:line="360" w:lineRule="auto"/>
              <w:jc w:val="left"/>
              <w:rPr>
                <w:rFonts w:hint="eastAsia" w:ascii="仿宋" w:hAnsi="仿宋" w:eastAsia="仿宋" w:cs="仿宋"/>
                <w:color w:val="auto"/>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095" w:hRule="atLeast"/>
          <w:jc w:val="center"/>
        </w:trPr>
        <w:tc>
          <w:tcPr>
            <w:tcW w:w="2345" w:type="dxa"/>
            <w:tcBorders>
              <w:top w:val="single" w:color="000000" w:sz="6" w:space="0"/>
              <w:left w:val="single" w:color="000000" w:sz="6" w:space="0"/>
              <w:bottom w:val="single" w:color="auto" w:sz="4" w:space="0"/>
              <w:right w:val="single" w:color="auto" w:sz="4" w:space="0"/>
            </w:tcBorders>
            <w:vAlign w:val="center"/>
          </w:tcPr>
          <w:p>
            <w:pPr>
              <w:shd w:val="clear"/>
              <w:wordWrap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质量保修期承诺</w:t>
            </w:r>
          </w:p>
        </w:tc>
        <w:tc>
          <w:tcPr>
            <w:tcW w:w="7095" w:type="dxa"/>
            <w:tcBorders>
              <w:top w:val="single" w:color="auto" w:sz="4" w:space="0"/>
              <w:left w:val="single" w:color="auto" w:sz="4" w:space="0"/>
              <w:bottom w:val="single" w:color="auto" w:sz="4" w:space="0"/>
              <w:right w:val="single" w:color="000000" w:sz="6" w:space="0"/>
            </w:tcBorders>
            <w:vAlign w:val="center"/>
          </w:tcPr>
          <w:p>
            <w:pPr>
              <w:shd w:val="clear"/>
              <w:wordWrap w:val="0"/>
              <w:spacing w:before="120" w:line="360" w:lineRule="auto"/>
              <w:jc w:val="left"/>
              <w:rPr>
                <w:rFonts w:hint="eastAsia" w:ascii="仿宋" w:hAnsi="仿宋" w:eastAsia="仿宋" w:cs="仿宋"/>
                <w:color w:val="auto"/>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095" w:hRule="atLeast"/>
          <w:jc w:val="center"/>
        </w:trPr>
        <w:tc>
          <w:tcPr>
            <w:tcW w:w="2345" w:type="dxa"/>
            <w:tcBorders>
              <w:top w:val="single" w:color="000000" w:sz="6" w:space="0"/>
              <w:left w:val="single" w:color="000000" w:sz="6" w:space="0"/>
              <w:bottom w:val="single" w:color="auto" w:sz="4" w:space="0"/>
              <w:right w:val="single" w:color="auto" w:sz="4" w:space="0"/>
            </w:tcBorders>
            <w:vAlign w:val="center"/>
          </w:tcPr>
          <w:p>
            <w:pPr>
              <w:shd w:val="clear"/>
              <w:wordWrap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tc>
        <w:tc>
          <w:tcPr>
            <w:tcW w:w="7095" w:type="dxa"/>
            <w:tcBorders>
              <w:top w:val="single" w:color="auto" w:sz="4" w:space="0"/>
              <w:left w:val="single" w:color="auto" w:sz="4" w:space="0"/>
              <w:bottom w:val="single" w:color="auto" w:sz="4" w:space="0"/>
              <w:right w:val="single" w:color="000000" w:sz="6" w:space="0"/>
            </w:tcBorders>
            <w:vAlign w:val="center"/>
          </w:tcPr>
          <w:p>
            <w:pPr>
              <w:shd w:val="clear"/>
              <w:wordWrap w:val="0"/>
              <w:spacing w:before="120"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w:t>
            </w:r>
          </w:p>
          <w:p>
            <w:pPr>
              <w:shd w:val="clear"/>
              <w:wordWrap w:val="0"/>
              <w:spacing w:before="120" w:line="360" w:lineRule="auto"/>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大写：人民币</w:t>
            </w:r>
            <w:r>
              <w:rPr>
                <w:rFonts w:hint="eastAsia" w:ascii="仿宋" w:hAnsi="仿宋" w:eastAsia="仿宋" w:cs="仿宋"/>
                <w:color w:val="auto"/>
                <w:sz w:val="24"/>
                <w:highlight w:val="none"/>
                <w:u w:val="single"/>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018" w:hRule="atLeast"/>
          <w:jc w:val="center"/>
        </w:trPr>
        <w:tc>
          <w:tcPr>
            <w:tcW w:w="2345" w:type="dxa"/>
            <w:tcBorders>
              <w:top w:val="single" w:color="000000" w:sz="6" w:space="0"/>
              <w:left w:val="single" w:color="000000" w:sz="6" w:space="0"/>
              <w:right w:val="single" w:color="auto" w:sz="4" w:space="0"/>
            </w:tcBorders>
            <w:vAlign w:val="center"/>
          </w:tcPr>
          <w:p>
            <w:pPr>
              <w:shd w:val="clear"/>
              <w:wordWrap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其他承诺</w:t>
            </w:r>
          </w:p>
        </w:tc>
        <w:tc>
          <w:tcPr>
            <w:tcW w:w="7095" w:type="dxa"/>
            <w:tcBorders>
              <w:top w:val="single" w:color="auto" w:sz="4" w:space="0"/>
              <w:left w:val="single" w:color="auto" w:sz="4" w:space="0"/>
              <w:right w:val="single" w:color="000000" w:sz="6" w:space="0"/>
            </w:tcBorders>
            <w:vAlign w:val="center"/>
          </w:tcPr>
          <w:p>
            <w:pPr>
              <w:shd w:val="clear"/>
              <w:wordWrap w:val="0"/>
              <w:spacing w:line="360" w:lineRule="auto"/>
              <w:rPr>
                <w:rFonts w:hint="eastAsia" w:ascii="仿宋" w:hAnsi="仿宋" w:eastAsia="仿宋" w:cs="仿宋"/>
                <w:color w:val="auto"/>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14" w:hRule="atLeast"/>
          <w:jc w:val="center"/>
        </w:trPr>
        <w:tc>
          <w:tcPr>
            <w:tcW w:w="9440" w:type="dxa"/>
            <w:gridSpan w:val="2"/>
            <w:tcBorders>
              <w:top w:val="single" w:color="000000" w:sz="6" w:space="0"/>
              <w:left w:val="single" w:color="000000" w:sz="6" w:space="0"/>
              <w:bottom w:val="single" w:color="auto" w:sz="4" w:space="0"/>
              <w:right w:val="single" w:color="000000" w:sz="6" w:space="0"/>
            </w:tcBorders>
            <w:vAlign w:val="center"/>
          </w:tcPr>
          <w:p>
            <w:pPr>
              <w:shd w:val="clear"/>
              <w:wordWrap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（盖单位公章）</w:t>
            </w:r>
          </w:p>
          <w:p>
            <w:pPr>
              <w:shd w:val="clear"/>
              <w:wordWrap w:val="0"/>
              <w:spacing w:line="360" w:lineRule="auto"/>
              <w:rPr>
                <w:rFonts w:hint="eastAsia" w:ascii="仿宋" w:hAnsi="仿宋" w:eastAsia="仿宋" w:cs="仿宋"/>
                <w:color w:val="auto"/>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2470" w:hRule="atLeast"/>
          <w:jc w:val="center"/>
        </w:trPr>
        <w:tc>
          <w:tcPr>
            <w:tcW w:w="9440" w:type="dxa"/>
            <w:gridSpan w:val="2"/>
            <w:tcBorders>
              <w:top w:val="single" w:color="auto" w:sz="4" w:space="0"/>
              <w:left w:val="single" w:color="000000" w:sz="6" w:space="0"/>
              <w:bottom w:val="single" w:color="000000" w:sz="6" w:space="0"/>
              <w:right w:val="single" w:color="000000" w:sz="6" w:space="0"/>
            </w:tcBorders>
          </w:tcPr>
          <w:p>
            <w:pPr>
              <w:shd w:val="clear"/>
              <w:wordWrap w:val="0"/>
              <w:spacing w:line="360" w:lineRule="auto"/>
              <w:rPr>
                <w:rFonts w:hint="eastAsia" w:ascii="仿宋" w:hAnsi="仿宋" w:eastAsia="仿宋" w:cs="仿宋"/>
                <w:color w:val="auto"/>
                <w:sz w:val="24"/>
                <w:highlight w:val="none"/>
              </w:rPr>
            </w:pPr>
          </w:p>
          <w:p>
            <w:pPr>
              <w:shd w:val="clear"/>
              <w:wordWrap w:val="0"/>
              <w:spacing w:line="360" w:lineRule="auto"/>
              <w:rPr>
                <w:rFonts w:hint="eastAsia" w:ascii="仿宋" w:hAnsi="仿宋" w:eastAsia="仿宋" w:cs="仿宋"/>
                <w:color w:val="auto"/>
                <w:sz w:val="24"/>
                <w:highlight w:val="none"/>
              </w:rPr>
            </w:pPr>
          </w:p>
          <w:p>
            <w:pPr>
              <w:shd w:val="clear"/>
              <w:wordWrap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w:t>
            </w:r>
          </w:p>
          <w:p>
            <w:pPr>
              <w:shd w:val="clear"/>
              <w:wordWrap w:val="0"/>
              <w:spacing w:line="360" w:lineRule="auto"/>
              <w:jc w:val="right"/>
              <w:rPr>
                <w:rFonts w:hint="eastAsia" w:ascii="仿宋" w:hAnsi="仿宋" w:eastAsia="仿宋" w:cs="仿宋"/>
                <w:color w:val="auto"/>
                <w:sz w:val="24"/>
                <w:highlight w:val="none"/>
              </w:rPr>
            </w:pPr>
          </w:p>
          <w:p>
            <w:pPr>
              <w:shd w:val="clear"/>
              <w:wordWrap w:val="0"/>
              <w:spacing w:line="360" w:lineRule="auto"/>
              <w:ind w:right="600"/>
              <w:rPr>
                <w:rFonts w:hint="eastAsia" w:ascii="仿宋" w:hAnsi="仿宋" w:eastAsia="仿宋" w:cs="仿宋"/>
                <w:color w:val="auto"/>
                <w:sz w:val="24"/>
                <w:highlight w:val="none"/>
              </w:rPr>
            </w:pPr>
          </w:p>
          <w:p>
            <w:pPr>
              <w:shd w:val="clear"/>
              <w:wordWrap w:val="0"/>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tc>
      </w:tr>
    </w:tbl>
    <w:p>
      <w:pPr>
        <w:shd w:val="clear"/>
        <w:wordWrap w:val="0"/>
        <w:spacing w:line="360" w:lineRule="auto"/>
        <w:rPr>
          <w:rFonts w:hint="eastAsia" w:ascii="仿宋" w:hAnsi="仿宋" w:eastAsia="仿宋" w:cs="仿宋"/>
          <w:b/>
          <w:color w:val="auto"/>
          <w:sz w:val="28"/>
          <w:szCs w:val="28"/>
          <w:highlight w:val="none"/>
        </w:rPr>
      </w:pPr>
      <w:bookmarkStart w:id="130" w:name="_Toc420767701"/>
    </w:p>
    <w:p>
      <w:pPr>
        <w:shd w:val="clear"/>
        <w:wordWrap w:val="0"/>
        <w:spacing w:before="156" w:beforeLines="50" w:line="360" w:lineRule="auto"/>
        <w:jc w:val="center"/>
        <w:outlineLvl w:val="1"/>
        <w:rPr>
          <w:rFonts w:hint="eastAsia" w:ascii="仿宋" w:hAnsi="仿宋" w:eastAsia="仿宋" w:cs="仿宋"/>
          <w:bCs/>
          <w:color w:val="auto"/>
          <w:sz w:val="28"/>
          <w:szCs w:val="28"/>
          <w:highlight w:val="none"/>
        </w:rPr>
      </w:pPr>
      <w:r>
        <w:rPr>
          <w:rFonts w:hint="eastAsia" w:ascii="仿宋" w:hAnsi="仿宋" w:eastAsia="仿宋" w:cs="仿宋"/>
          <w:b/>
          <w:color w:val="auto"/>
          <w:kern w:val="0"/>
          <w:sz w:val="28"/>
          <w:szCs w:val="28"/>
          <w:highlight w:val="none"/>
        </w:rPr>
        <w:br w:type="page"/>
      </w:r>
      <w:bookmarkStart w:id="131" w:name="_Toc4482"/>
      <w:bookmarkStart w:id="132" w:name="_Toc786"/>
      <w:bookmarkStart w:id="133" w:name="_Toc17941"/>
      <w:r>
        <w:rPr>
          <w:rFonts w:hint="eastAsia" w:ascii="仿宋" w:hAnsi="仿宋" w:eastAsia="仿宋" w:cs="仿宋"/>
          <w:b/>
          <w:color w:val="auto"/>
          <w:kern w:val="0"/>
          <w:sz w:val="28"/>
          <w:szCs w:val="28"/>
          <w:highlight w:val="none"/>
        </w:rPr>
        <w:t>三、分项报价表</w:t>
      </w:r>
      <w:bookmarkEnd w:id="131"/>
      <w:bookmarkEnd w:id="132"/>
      <w:bookmarkEnd w:id="133"/>
    </w:p>
    <w:p>
      <w:pPr>
        <w:shd w:val="clear"/>
        <w:tabs>
          <w:tab w:val="left" w:pos="6729"/>
        </w:tabs>
        <w:spacing w:before="14" w:line="360" w:lineRule="auto"/>
        <w:ind w:right="2849" w:firstLine="276" w:firstLineChars="100"/>
        <w:jc w:val="left"/>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项目名称：</w:t>
      </w:r>
      <w:r>
        <w:rPr>
          <w:rFonts w:hint="eastAsia" w:ascii="仿宋" w:hAnsi="仿宋" w:eastAsia="仿宋" w:cs="仿宋"/>
          <w:color w:val="auto"/>
          <w:sz w:val="28"/>
          <w:szCs w:val="28"/>
          <w:highlight w:val="none"/>
          <w:u w:val="single" w:color="000000"/>
        </w:rPr>
        <w:t xml:space="preserve">   </w:t>
      </w:r>
      <w:r>
        <w:rPr>
          <w:rFonts w:hint="eastAsia" w:ascii="仿宋" w:hAnsi="仿宋" w:eastAsia="仿宋" w:cs="仿宋"/>
          <w:color w:val="auto"/>
          <w:sz w:val="28"/>
          <w:szCs w:val="28"/>
          <w:highlight w:val="none"/>
          <w:u w:val="single" w:color="000000"/>
        </w:rPr>
        <w:tab/>
      </w:r>
      <w:r>
        <w:rPr>
          <w:rFonts w:hint="eastAsia" w:ascii="仿宋" w:hAnsi="仿宋" w:eastAsia="仿宋" w:cs="仿宋"/>
          <w:color w:val="auto"/>
          <w:sz w:val="28"/>
          <w:szCs w:val="28"/>
          <w:highlight w:val="none"/>
          <w:u w:val="single" w:color="000000"/>
        </w:rPr>
        <w:t xml:space="preserve"> </w:t>
      </w:r>
    </w:p>
    <w:p>
      <w:pPr>
        <w:pStyle w:val="2"/>
        <w:shd w:val="clear"/>
        <w:tabs>
          <w:tab w:val="left" w:pos="6729"/>
        </w:tabs>
        <w:spacing w:before="59" w:line="360" w:lineRule="auto"/>
        <w:ind w:left="219"/>
        <w:jc w:val="left"/>
        <w:rPr>
          <w:rFonts w:hint="eastAsia" w:ascii="仿宋" w:hAnsi="仿宋" w:eastAsia="仿宋" w:cs="仿宋"/>
          <w:color w:val="auto"/>
          <w:highlight w:val="none"/>
        </w:rPr>
      </w:pPr>
      <w:r>
        <w:rPr>
          <w:rFonts w:hint="eastAsia" w:ascii="仿宋" w:hAnsi="仿宋" w:eastAsia="仿宋" w:cs="仿宋"/>
          <w:color w:val="auto"/>
          <w:spacing w:val="-2"/>
          <w:sz w:val="28"/>
          <w:szCs w:val="28"/>
          <w:highlight w:val="none"/>
          <w:lang w:val="en-US" w:eastAsia="zh-CN"/>
        </w:rPr>
        <w:t>项目</w:t>
      </w:r>
      <w:r>
        <w:rPr>
          <w:rFonts w:hint="eastAsia" w:ascii="仿宋" w:hAnsi="仿宋" w:eastAsia="仿宋" w:cs="仿宋"/>
          <w:color w:val="auto"/>
          <w:spacing w:val="-2"/>
          <w:sz w:val="28"/>
          <w:szCs w:val="28"/>
          <w:highlight w:val="none"/>
        </w:rPr>
        <w:t>编号：</w:t>
      </w:r>
    </w:p>
    <w:tbl>
      <w:tblPr>
        <w:tblStyle w:val="20"/>
        <w:tblW w:w="10096" w:type="dxa"/>
        <w:tblInd w:w="-257" w:type="dxa"/>
        <w:tblLayout w:type="fixed"/>
        <w:tblCellMar>
          <w:top w:w="0" w:type="dxa"/>
          <w:left w:w="108" w:type="dxa"/>
          <w:bottom w:w="0" w:type="dxa"/>
          <w:right w:w="108" w:type="dxa"/>
        </w:tblCellMar>
      </w:tblPr>
      <w:tblGrid>
        <w:gridCol w:w="1052"/>
        <w:gridCol w:w="1555"/>
        <w:gridCol w:w="1549"/>
        <w:gridCol w:w="1549"/>
        <w:gridCol w:w="843"/>
        <w:gridCol w:w="799"/>
        <w:gridCol w:w="1122"/>
        <w:gridCol w:w="946"/>
        <w:gridCol w:w="681"/>
      </w:tblGrid>
      <w:tr>
        <w:tblPrEx>
          <w:tblCellMar>
            <w:top w:w="0" w:type="dxa"/>
            <w:left w:w="108" w:type="dxa"/>
            <w:bottom w:w="0" w:type="dxa"/>
            <w:right w:w="108" w:type="dxa"/>
          </w:tblCellMar>
        </w:tblPrEx>
        <w:trPr>
          <w:trHeight w:val="1303" w:hRule="atLeast"/>
          <w:tblHeader/>
        </w:trPr>
        <w:tc>
          <w:tcPr>
            <w:tcW w:w="1052" w:type="dxa"/>
            <w:tcBorders>
              <w:top w:val="single" w:color="auto" w:sz="4" w:space="0"/>
              <w:left w:val="single" w:color="auto" w:sz="4" w:space="0"/>
              <w:bottom w:val="single" w:color="auto" w:sz="4" w:space="0"/>
              <w:right w:val="single" w:color="auto" w:sz="4" w:space="0"/>
            </w:tcBorders>
            <w:vAlign w:val="center"/>
          </w:tcPr>
          <w:p>
            <w:pPr>
              <w:widowControl/>
              <w:shd w:val="clear"/>
              <w:spacing w:line="400" w:lineRule="exact"/>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序号</w:t>
            </w:r>
          </w:p>
        </w:tc>
        <w:tc>
          <w:tcPr>
            <w:tcW w:w="1555" w:type="dxa"/>
            <w:tcBorders>
              <w:top w:val="single" w:color="auto" w:sz="4" w:space="0"/>
              <w:left w:val="single" w:color="auto" w:sz="4" w:space="0"/>
              <w:bottom w:val="single" w:color="auto" w:sz="4" w:space="0"/>
            </w:tcBorders>
            <w:vAlign w:val="center"/>
          </w:tcPr>
          <w:p>
            <w:pPr>
              <w:widowControl/>
              <w:shd w:val="clear"/>
              <w:spacing w:line="400" w:lineRule="exact"/>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产品（设备）名称</w:t>
            </w:r>
          </w:p>
        </w:tc>
        <w:tc>
          <w:tcPr>
            <w:tcW w:w="1549" w:type="dxa"/>
            <w:tcBorders>
              <w:top w:val="single" w:color="auto" w:sz="4" w:space="0"/>
              <w:left w:val="single" w:color="auto" w:sz="4" w:space="0"/>
              <w:bottom w:val="single" w:color="auto" w:sz="4" w:space="0"/>
              <w:right w:val="single" w:color="auto" w:sz="4" w:space="0"/>
            </w:tcBorders>
            <w:vAlign w:val="center"/>
          </w:tcPr>
          <w:p>
            <w:pPr>
              <w:widowControl/>
              <w:shd w:val="clear"/>
              <w:spacing w:line="400" w:lineRule="exact"/>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规格型号</w:t>
            </w:r>
          </w:p>
        </w:tc>
        <w:tc>
          <w:tcPr>
            <w:tcW w:w="1549" w:type="dxa"/>
            <w:tcBorders>
              <w:top w:val="single" w:color="auto" w:sz="4" w:space="0"/>
              <w:left w:val="single" w:color="auto" w:sz="4" w:space="0"/>
              <w:bottom w:val="single" w:color="auto" w:sz="4" w:space="0"/>
              <w:right w:val="single" w:color="auto" w:sz="4" w:space="0"/>
            </w:tcBorders>
            <w:vAlign w:val="center"/>
          </w:tcPr>
          <w:p>
            <w:pPr>
              <w:widowControl/>
              <w:shd w:val="clear"/>
              <w:spacing w:line="400" w:lineRule="exact"/>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制造商（生产商）名称/产品品牌</w:t>
            </w:r>
          </w:p>
        </w:tc>
        <w:tc>
          <w:tcPr>
            <w:tcW w:w="843" w:type="dxa"/>
            <w:tcBorders>
              <w:top w:val="single" w:color="auto" w:sz="4" w:space="0"/>
              <w:left w:val="single" w:color="auto" w:sz="4" w:space="0"/>
              <w:bottom w:val="single" w:color="auto" w:sz="4" w:space="0"/>
              <w:right w:val="single" w:color="auto" w:sz="4" w:space="0"/>
            </w:tcBorders>
            <w:vAlign w:val="center"/>
          </w:tcPr>
          <w:p>
            <w:pPr>
              <w:widowControl/>
              <w:shd w:val="clear"/>
              <w:spacing w:line="400" w:lineRule="exact"/>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数量</w:t>
            </w:r>
          </w:p>
        </w:tc>
        <w:tc>
          <w:tcPr>
            <w:tcW w:w="799" w:type="dxa"/>
            <w:tcBorders>
              <w:top w:val="single" w:color="auto" w:sz="4" w:space="0"/>
              <w:left w:val="nil"/>
              <w:bottom w:val="single" w:color="auto" w:sz="4" w:space="0"/>
              <w:right w:val="single" w:color="auto" w:sz="4" w:space="0"/>
            </w:tcBorders>
            <w:vAlign w:val="center"/>
          </w:tcPr>
          <w:p>
            <w:pPr>
              <w:shd w:val="clear"/>
              <w:spacing w:line="400" w:lineRule="exact"/>
              <w:jc w:val="cente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计量</w:t>
            </w:r>
          </w:p>
          <w:p>
            <w:pPr>
              <w:shd w:val="clear"/>
              <w:spacing w:line="400" w:lineRule="exact"/>
              <w:jc w:val="cente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单位</w:t>
            </w:r>
          </w:p>
        </w:tc>
        <w:tc>
          <w:tcPr>
            <w:tcW w:w="1122" w:type="dxa"/>
            <w:tcBorders>
              <w:top w:val="single" w:color="auto" w:sz="4" w:space="0"/>
              <w:left w:val="nil"/>
              <w:bottom w:val="single" w:color="auto" w:sz="4" w:space="0"/>
              <w:right w:val="single" w:color="auto" w:sz="4" w:space="0"/>
            </w:tcBorders>
            <w:vAlign w:val="center"/>
          </w:tcPr>
          <w:p>
            <w:pPr>
              <w:shd w:val="clear"/>
              <w:spacing w:line="400" w:lineRule="exact"/>
              <w:jc w:val="cente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单价（元）</w:t>
            </w:r>
          </w:p>
        </w:tc>
        <w:tc>
          <w:tcPr>
            <w:tcW w:w="946" w:type="dxa"/>
            <w:tcBorders>
              <w:top w:val="single" w:color="auto" w:sz="4" w:space="0"/>
              <w:left w:val="nil"/>
              <w:bottom w:val="single" w:color="auto" w:sz="4" w:space="0"/>
              <w:right w:val="single" w:color="auto" w:sz="4" w:space="0"/>
            </w:tcBorders>
            <w:vAlign w:val="center"/>
          </w:tcPr>
          <w:p>
            <w:pPr>
              <w:shd w:val="clear"/>
              <w:spacing w:line="400" w:lineRule="exact"/>
              <w:jc w:val="cente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lang w:val="en-US" w:eastAsia="zh-CN"/>
              </w:rPr>
              <w:t>合</w:t>
            </w:r>
            <w:r>
              <w:rPr>
                <w:rFonts w:hint="eastAsia" w:ascii="仿宋" w:hAnsi="仿宋" w:eastAsia="仿宋" w:cs="仿宋"/>
                <w:b/>
                <w:bCs/>
                <w:color w:val="auto"/>
                <w:kern w:val="0"/>
                <w:sz w:val="24"/>
                <w:highlight w:val="none"/>
              </w:rPr>
              <w:t>计（元）</w:t>
            </w:r>
          </w:p>
        </w:tc>
        <w:tc>
          <w:tcPr>
            <w:tcW w:w="681" w:type="dxa"/>
            <w:tcBorders>
              <w:top w:val="single" w:color="auto" w:sz="4" w:space="0"/>
              <w:left w:val="nil"/>
              <w:bottom w:val="single" w:color="auto" w:sz="4" w:space="0"/>
              <w:right w:val="single" w:color="auto" w:sz="4" w:space="0"/>
            </w:tcBorders>
            <w:vAlign w:val="center"/>
          </w:tcPr>
          <w:p>
            <w:pPr>
              <w:shd w:val="clear"/>
              <w:spacing w:line="400" w:lineRule="exact"/>
              <w:jc w:val="cente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备注</w:t>
            </w:r>
          </w:p>
        </w:tc>
      </w:tr>
      <w:tr>
        <w:tblPrEx>
          <w:tblCellMar>
            <w:top w:w="0" w:type="dxa"/>
            <w:left w:w="108" w:type="dxa"/>
            <w:bottom w:w="0" w:type="dxa"/>
            <w:right w:w="108" w:type="dxa"/>
          </w:tblCellMar>
        </w:tblPrEx>
        <w:trPr>
          <w:trHeight w:val="619" w:hRule="atLeast"/>
        </w:trPr>
        <w:tc>
          <w:tcPr>
            <w:tcW w:w="1052" w:type="dxa"/>
            <w:tcBorders>
              <w:top w:val="nil"/>
              <w:left w:val="single" w:color="auto" w:sz="4" w:space="0"/>
              <w:bottom w:val="single" w:color="auto" w:sz="4" w:space="0"/>
              <w:right w:val="single" w:color="auto" w:sz="4" w:space="0"/>
            </w:tcBorders>
            <w:vAlign w:val="center"/>
          </w:tcPr>
          <w:p>
            <w:pPr>
              <w:widowControl/>
              <w:shd w:val="clear"/>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w:t>
            </w:r>
          </w:p>
        </w:tc>
        <w:tc>
          <w:tcPr>
            <w:tcW w:w="1555" w:type="dxa"/>
            <w:tcBorders>
              <w:top w:val="nil"/>
              <w:left w:val="single" w:color="auto" w:sz="4" w:space="0"/>
              <w:bottom w:val="single" w:color="auto" w:sz="4" w:space="0"/>
            </w:tcBorders>
            <w:vAlign w:val="center"/>
          </w:tcPr>
          <w:p>
            <w:pPr>
              <w:shd w:val="clear"/>
              <w:jc w:val="center"/>
              <w:rPr>
                <w:rFonts w:hint="eastAsia" w:ascii="仿宋" w:hAnsi="仿宋" w:eastAsia="仿宋" w:cs="仿宋"/>
                <w:color w:val="auto"/>
                <w:kern w:val="0"/>
                <w:sz w:val="24"/>
                <w:highlight w:val="none"/>
              </w:rPr>
            </w:pPr>
          </w:p>
        </w:tc>
        <w:tc>
          <w:tcPr>
            <w:tcW w:w="1549" w:type="dxa"/>
            <w:tcBorders>
              <w:top w:val="single" w:color="auto" w:sz="4" w:space="0"/>
              <w:left w:val="single" w:color="auto" w:sz="4" w:space="0"/>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p>
        </w:tc>
        <w:tc>
          <w:tcPr>
            <w:tcW w:w="1549" w:type="dxa"/>
            <w:tcBorders>
              <w:top w:val="single" w:color="auto" w:sz="4" w:space="0"/>
              <w:left w:val="single" w:color="auto" w:sz="4" w:space="0"/>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p>
        </w:tc>
        <w:tc>
          <w:tcPr>
            <w:tcW w:w="843" w:type="dxa"/>
            <w:tcBorders>
              <w:top w:val="single" w:color="auto" w:sz="4" w:space="0"/>
              <w:left w:val="single" w:color="auto" w:sz="4" w:space="0"/>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p>
        </w:tc>
        <w:tc>
          <w:tcPr>
            <w:tcW w:w="799" w:type="dxa"/>
            <w:tcBorders>
              <w:top w:val="nil"/>
              <w:left w:val="nil"/>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p>
        </w:tc>
        <w:tc>
          <w:tcPr>
            <w:tcW w:w="1122" w:type="dxa"/>
            <w:tcBorders>
              <w:top w:val="nil"/>
              <w:left w:val="nil"/>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w:t>
            </w:r>
          </w:p>
        </w:tc>
        <w:tc>
          <w:tcPr>
            <w:tcW w:w="946" w:type="dxa"/>
            <w:tcBorders>
              <w:top w:val="nil"/>
              <w:left w:val="nil"/>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w:t>
            </w:r>
          </w:p>
        </w:tc>
        <w:tc>
          <w:tcPr>
            <w:tcW w:w="681" w:type="dxa"/>
            <w:tcBorders>
              <w:top w:val="nil"/>
              <w:left w:val="nil"/>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p>
        </w:tc>
      </w:tr>
      <w:tr>
        <w:tblPrEx>
          <w:tblCellMar>
            <w:top w:w="0" w:type="dxa"/>
            <w:left w:w="108" w:type="dxa"/>
            <w:bottom w:w="0" w:type="dxa"/>
            <w:right w:w="108" w:type="dxa"/>
          </w:tblCellMar>
        </w:tblPrEx>
        <w:trPr>
          <w:trHeight w:val="562" w:hRule="atLeast"/>
        </w:trPr>
        <w:tc>
          <w:tcPr>
            <w:tcW w:w="1052" w:type="dxa"/>
            <w:tcBorders>
              <w:top w:val="nil"/>
              <w:left w:val="single" w:color="auto" w:sz="4" w:space="0"/>
              <w:bottom w:val="single" w:color="auto" w:sz="4" w:space="0"/>
              <w:right w:val="single" w:color="auto" w:sz="4" w:space="0"/>
            </w:tcBorders>
            <w:vAlign w:val="center"/>
          </w:tcPr>
          <w:p>
            <w:pPr>
              <w:widowControl/>
              <w:shd w:val="clear"/>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w:t>
            </w:r>
          </w:p>
        </w:tc>
        <w:tc>
          <w:tcPr>
            <w:tcW w:w="1555" w:type="dxa"/>
            <w:tcBorders>
              <w:top w:val="nil"/>
              <w:left w:val="single" w:color="auto" w:sz="4" w:space="0"/>
              <w:bottom w:val="single" w:color="auto" w:sz="4" w:space="0"/>
            </w:tcBorders>
            <w:vAlign w:val="center"/>
          </w:tcPr>
          <w:p>
            <w:pPr>
              <w:shd w:val="clear"/>
              <w:jc w:val="center"/>
              <w:rPr>
                <w:rFonts w:hint="eastAsia" w:ascii="仿宋" w:hAnsi="仿宋" w:eastAsia="仿宋" w:cs="仿宋"/>
                <w:color w:val="auto"/>
                <w:kern w:val="0"/>
                <w:sz w:val="24"/>
                <w:highlight w:val="none"/>
              </w:rPr>
            </w:pPr>
          </w:p>
        </w:tc>
        <w:tc>
          <w:tcPr>
            <w:tcW w:w="1549" w:type="dxa"/>
            <w:tcBorders>
              <w:top w:val="single" w:color="auto" w:sz="4" w:space="0"/>
              <w:left w:val="single" w:color="auto" w:sz="4" w:space="0"/>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p>
        </w:tc>
        <w:tc>
          <w:tcPr>
            <w:tcW w:w="1549" w:type="dxa"/>
            <w:tcBorders>
              <w:top w:val="single" w:color="auto" w:sz="4" w:space="0"/>
              <w:left w:val="single" w:color="auto" w:sz="4" w:space="0"/>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p>
        </w:tc>
        <w:tc>
          <w:tcPr>
            <w:tcW w:w="843" w:type="dxa"/>
            <w:tcBorders>
              <w:top w:val="single" w:color="auto" w:sz="4" w:space="0"/>
              <w:left w:val="single" w:color="auto" w:sz="4" w:space="0"/>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p>
        </w:tc>
        <w:tc>
          <w:tcPr>
            <w:tcW w:w="799" w:type="dxa"/>
            <w:tcBorders>
              <w:top w:val="nil"/>
              <w:left w:val="nil"/>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p>
        </w:tc>
        <w:tc>
          <w:tcPr>
            <w:tcW w:w="1122" w:type="dxa"/>
            <w:tcBorders>
              <w:top w:val="nil"/>
              <w:left w:val="nil"/>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w:t>
            </w:r>
          </w:p>
        </w:tc>
        <w:tc>
          <w:tcPr>
            <w:tcW w:w="946" w:type="dxa"/>
            <w:tcBorders>
              <w:top w:val="nil"/>
              <w:left w:val="nil"/>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w:t>
            </w:r>
          </w:p>
        </w:tc>
        <w:tc>
          <w:tcPr>
            <w:tcW w:w="681" w:type="dxa"/>
            <w:tcBorders>
              <w:top w:val="nil"/>
              <w:left w:val="nil"/>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p>
        </w:tc>
      </w:tr>
      <w:tr>
        <w:tblPrEx>
          <w:tblCellMar>
            <w:top w:w="0" w:type="dxa"/>
            <w:left w:w="108" w:type="dxa"/>
            <w:bottom w:w="0" w:type="dxa"/>
            <w:right w:w="108" w:type="dxa"/>
          </w:tblCellMar>
        </w:tblPrEx>
        <w:trPr>
          <w:trHeight w:val="577" w:hRule="atLeast"/>
        </w:trPr>
        <w:tc>
          <w:tcPr>
            <w:tcW w:w="1052" w:type="dxa"/>
            <w:tcBorders>
              <w:top w:val="single" w:color="auto" w:sz="4" w:space="0"/>
              <w:left w:val="single" w:color="auto" w:sz="4" w:space="0"/>
              <w:bottom w:val="single" w:color="auto" w:sz="4" w:space="0"/>
              <w:right w:val="single" w:color="auto" w:sz="4" w:space="0"/>
            </w:tcBorders>
            <w:vAlign w:val="center"/>
          </w:tcPr>
          <w:p>
            <w:pPr>
              <w:widowControl/>
              <w:shd w:val="clear"/>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w:t>
            </w:r>
          </w:p>
        </w:tc>
        <w:tc>
          <w:tcPr>
            <w:tcW w:w="1555" w:type="dxa"/>
            <w:tcBorders>
              <w:top w:val="single" w:color="auto" w:sz="4" w:space="0"/>
              <w:left w:val="single" w:color="auto" w:sz="4" w:space="0"/>
              <w:bottom w:val="single" w:color="auto" w:sz="4" w:space="0"/>
            </w:tcBorders>
            <w:vAlign w:val="center"/>
          </w:tcPr>
          <w:p>
            <w:pPr>
              <w:shd w:val="clear"/>
              <w:jc w:val="center"/>
              <w:rPr>
                <w:rFonts w:hint="eastAsia" w:ascii="仿宋" w:hAnsi="仿宋" w:eastAsia="仿宋" w:cs="仿宋"/>
                <w:color w:val="auto"/>
                <w:kern w:val="0"/>
                <w:sz w:val="24"/>
                <w:highlight w:val="none"/>
              </w:rPr>
            </w:pPr>
          </w:p>
        </w:tc>
        <w:tc>
          <w:tcPr>
            <w:tcW w:w="1549" w:type="dxa"/>
            <w:tcBorders>
              <w:top w:val="single" w:color="auto" w:sz="4" w:space="0"/>
              <w:left w:val="single" w:color="auto" w:sz="4" w:space="0"/>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p>
        </w:tc>
        <w:tc>
          <w:tcPr>
            <w:tcW w:w="1549" w:type="dxa"/>
            <w:tcBorders>
              <w:top w:val="single" w:color="auto" w:sz="4" w:space="0"/>
              <w:left w:val="single" w:color="auto" w:sz="4" w:space="0"/>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p>
        </w:tc>
        <w:tc>
          <w:tcPr>
            <w:tcW w:w="843" w:type="dxa"/>
            <w:tcBorders>
              <w:top w:val="single" w:color="auto" w:sz="4" w:space="0"/>
              <w:left w:val="single" w:color="auto" w:sz="4" w:space="0"/>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p>
        </w:tc>
        <w:tc>
          <w:tcPr>
            <w:tcW w:w="799" w:type="dxa"/>
            <w:tcBorders>
              <w:top w:val="single" w:color="auto" w:sz="4" w:space="0"/>
              <w:left w:val="nil"/>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p>
        </w:tc>
        <w:tc>
          <w:tcPr>
            <w:tcW w:w="1122" w:type="dxa"/>
            <w:tcBorders>
              <w:top w:val="single" w:color="auto" w:sz="4" w:space="0"/>
              <w:left w:val="nil"/>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w:t>
            </w:r>
          </w:p>
        </w:tc>
        <w:tc>
          <w:tcPr>
            <w:tcW w:w="946" w:type="dxa"/>
            <w:tcBorders>
              <w:top w:val="single" w:color="auto" w:sz="4" w:space="0"/>
              <w:left w:val="nil"/>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w:t>
            </w:r>
          </w:p>
        </w:tc>
        <w:tc>
          <w:tcPr>
            <w:tcW w:w="681" w:type="dxa"/>
            <w:tcBorders>
              <w:top w:val="single" w:color="auto" w:sz="4" w:space="0"/>
              <w:left w:val="nil"/>
              <w:bottom w:val="single" w:color="auto" w:sz="4" w:space="0"/>
              <w:right w:val="single" w:color="auto" w:sz="4" w:space="0"/>
            </w:tcBorders>
            <w:vAlign w:val="center"/>
          </w:tcPr>
          <w:p>
            <w:pPr>
              <w:shd w:val="clear"/>
              <w:jc w:val="center"/>
              <w:rPr>
                <w:rFonts w:hint="eastAsia" w:ascii="仿宋" w:hAnsi="仿宋" w:eastAsia="仿宋" w:cs="仿宋"/>
                <w:color w:val="auto"/>
                <w:kern w:val="0"/>
                <w:sz w:val="24"/>
                <w:highlight w:val="none"/>
              </w:rPr>
            </w:pPr>
          </w:p>
        </w:tc>
      </w:tr>
      <w:tr>
        <w:tblPrEx>
          <w:tblCellMar>
            <w:top w:w="0" w:type="dxa"/>
            <w:left w:w="108" w:type="dxa"/>
            <w:bottom w:w="0" w:type="dxa"/>
            <w:right w:w="108" w:type="dxa"/>
          </w:tblCellMar>
        </w:tblPrEx>
        <w:trPr>
          <w:trHeight w:val="577" w:hRule="atLeast"/>
        </w:trPr>
        <w:tc>
          <w:tcPr>
            <w:tcW w:w="10096" w:type="dxa"/>
            <w:gridSpan w:val="9"/>
            <w:tcBorders>
              <w:top w:val="single" w:color="auto" w:sz="4" w:space="0"/>
              <w:left w:val="single" w:color="auto" w:sz="4" w:space="0"/>
              <w:bottom w:val="single" w:color="auto" w:sz="4" w:space="0"/>
              <w:right w:val="single" w:color="auto" w:sz="4" w:space="0"/>
            </w:tcBorders>
            <w:vAlign w:val="center"/>
          </w:tcPr>
          <w:p>
            <w:pPr>
              <w:shd w:val="clear"/>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投标总报价：</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元</w:t>
            </w:r>
          </w:p>
        </w:tc>
      </w:tr>
    </w:tbl>
    <w:p>
      <w:pPr>
        <w:shd w:val="clear"/>
        <w:spacing w:line="500" w:lineRule="exact"/>
        <w:rPr>
          <w:rFonts w:hint="eastAsia" w:ascii="仿宋" w:hAnsi="仿宋" w:eastAsia="仿宋" w:cs="仿宋"/>
          <w:bCs/>
          <w:color w:val="auto"/>
          <w:kern w:val="0"/>
          <w:sz w:val="24"/>
          <w:highlight w:val="none"/>
        </w:rPr>
      </w:pPr>
      <w:r>
        <w:rPr>
          <w:rFonts w:hint="eastAsia" w:ascii="仿宋" w:hAnsi="仿宋" w:eastAsia="仿宋" w:cs="仿宋"/>
          <w:b/>
          <w:bCs/>
          <w:color w:val="auto"/>
          <w:kern w:val="0"/>
          <w:sz w:val="24"/>
          <w:highlight w:val="none"/>
        </w:rPr>
        <w:t>注：</w:t>
      </w:r>
      <w:r>
        <w:rPr>
          <w:rFonts w:hint="eastAsia" w:ascii="仿宋" w:hAnsi="仿宋" w:eastAsia="仿宋" w:cs="仿宋"/>
          <w:bCs/>
          <w:color w:val="auto"/>
          <w:kern w:val="0"/>
          <w:sz w:val="24"/>
          <w:highlight w:val="none"/>
        </w:rPr>
        <w:t>1.分项报价表应包括本招标文件</w:t>
      </w:r>
      <w:r>
        <w:rPr>
          <w:rFonts w:hint="eastAsia" w:ascii="仿宋" w:hAnsi="仿宋" w:eastAsia="仿宋" w:cs="仿宋"/>
          <w:color w:val="auto"/>
          <w:kern w:val="0"/>
          <w:sz w:val="24"/>
          <w:highlight w:val="none"/>
        </w:rPr>
        <w:t>第四章“采购需求”</w:t>
      </w:r>
      <w:r>
        <w:rPr>
          <w:rFonts w:hint="eastAsia" w:ascii="仿宋" w:hAnsi="仿宋" w:eastAsia="仿宋" w:cs="仿宋"/>
          <w:bCs/>
          <w:color w:val="auto"/>
          <w:kern w:val="0"/>
          <w:sz w:val="24"/>
          <w:highlight w:val="none"/>
        </w:rPr>
        <w:t>中的所有产品，供应商须对本次采购的所有产品进行报价。</w:t>
      </w:r>
    </w:p>
    <w:p>
      <w:pPr>
        <w:shd w:val="clear"/>
        <w:spacing w:line="520" w:lineRule="exact"/>
        <w:ind w:firstLine="562"/>
        <w:rPr>
          <w:rFonts w:hint="eastAsia" w:ascii="仿宋" w:hAnsi="仿宋" w:eastAsia="仿宋" w:cs="仿宋"/>
          <w:color w:val="auto"/>
          <w:kern w:val="0"/>
          <w:sz w:val="24"/>
          <w:highlight w:val="none"/>
        </w:rPr>
      </w:pPr>
      <w:r>
        <w:rPr>
          <w:rFonts w:hint="eastAsia" w:ascii="仿宋" w:hAnsi="仿宋" w:eastAsia="仿宋" w:cs="仿宋"/>
          <w:bCs/>
          <w:color w:val="auto"/>
          <w:kern w:val="0"/>
          <w:sz w:val="24"/>
          <w:highlight w:val="none"/>
        </w:rPr>
        <w:t>2.投标</w:t>
      </w:r>
      <w:r>
        <w:rPr>
          <w:rFonts w:hint="eastAsia" w:ascii="仿宋" w:hAnsi="仿宋" w:eastAsia="仿宋" w:cs="仿宋"/>
          <w:color w:val="auto"/>
          <w:kern w:val="0"/>
          <w:sz w:val="24"/>
          <w:highlight w:val="none"/>
        </w:rPr>
        <w:t>总报价为供应商在投标文件中提出的各项支付金额的总和，应是供应商按采购人指定地点进行交货并完成本项目的全部费用，包含项目</w:t>
      </w:r>
      <w:r>
        <w:rPr>
          <w:rFonts w:hint="eastAsia" w:ascii="仿宋" w:hAnsi="仿宋" w:eastAsia="仿宋" w:cs="仿宋"/>
          <w:bCs/>
          <w:color w:val="auto"/>
          <w:sz w:val="24"/>
          <w:highlight w:val="none"/>
        </w:rPr>
        <w:t>产品、随配附件、备品、备件、工具等运抵指定交货地点产生的费用，现场安装、设备调试、组织验收、人员培训、售后服务、质量保修期内免费上门服务、产品验收不合格更换等产生的各种费用，辅助材料费、人员工资、差旅费、保险费、代理服务费、管理费、利润、税金及其他所有费用，供应商需按采购人要求提供与其单位名称一致的增值税发票。</w:t>
      </w:r>
    </w:p>
    <w:p>
      <w:pPr>
        <w:shd w:val="clear"/>
        <w:spacing w:line="500" w:lineRule="exact"/>
        <w:ind w:firstLine="567"/>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3.供应商须根据自身情况如实填报本表；如有瞒报、虚报或弄虚作假的，一经证实，其投标文件将作无效标书处理。</w:t>
      </w:r>
    </w:p>
    <w:p>
      <w:pPr>
        <w:shd w:val="clear"/>
        <w:wordWrap w:val="0"/>
        <w:spacing w:line="360" w:lineRule="auto"/>
        <w:ind w:firstLine="560" w:firstLineChars="200"/>
        <w:jc w:val="left"/>
        <w:rPr>
          <w:rFonts w:hint="eastAsia" w:ascii="仿宋" w:hAnsi="仿宋" w:eastAsia="仿宋" w:cs="仿宋"/>
          <w:color w:val="auto"/>
          <w:sz w:val="28"/>
          <w:szCs w:val="28"/>
          <w:highlight w:val="none"/>
        </w:rPr>
      </w:pPr>
    </w:p>
    <w:p>
      <w:pPr>
        <w:shd w:val="clear"/>
        <w:wordWrap w:val="0"/>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（盖单位公章）</w:t>
      </w:r>
    </w:p>
    <w:p>
      <w:pPr>
        <w:shd w:val="clear"/>
        <w:wordWrap w:val="0"/>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法定代表人或授权委托人：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pPr>
        <w:shd w:val="clear"/>
        <w:wordWrap w:val="0"/>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pPr>
        <w:shd w:val="clear"/>
        <w:spacing w:line="500" w:lineRule="exact"/>
        <w:jc w:val="center"/>
        <w:rPr>
          <w:rFonts w:hint="eastAsia" w:ascii="仿宋" w:hAnsi="仿宋" w:eastAsia="仿宋" w:cs="仿宋"/>
          <w:b/>
          <w:color w:val="auto"/>
          <w:sz w:val="28"/>
          <w:szCs w:val="28"/>
          <w:highlight w:val="none"/>
        </w:rPr>
      </w:pPr>
      <w:bookmarkStart w:id="134" w:name="四、技术内容偏离表"/>
      <w:bookmarkEnd w:id="134"/>
      <w:bookmarkStart w:id="135" w:name="_Toc18764"/>
      <w:bookmarkStart w:id="136" w:name="_Toc9975"/>
      <w:bookmarkStart w:id="137" w:name="_Toc28682"/>
      <w:bookmarkStart w:id="138" w:name="_Toc5679"/>
    </w:p>
    <w:p>
      <w:pPr>
        <w:shd w:val="clear"/>
        <w:spacing w:line="500" w:lineRule="exact"/>
        <w:jc w:val="center"/>
        <w:outlineLvl w:val="1"/>
        <w:rPr>
          <w:rFonts w:hint="eastAsia" w:ascii="仿宋" w:hAnsi="仿宋" w:eastAsia="仿宋" w:cs="仿宋"/>
          <w:b/>
          <w:color w:val="auto"/>
          <w:sz w:val="28"/>
          <w:szCs w:val="28"/>
          <w:highlight w:val="none"/>
        </w:rPr>
      </w:pPr>
      <w:bookmarkStart w:id="139" w:name="_Toc22951"/>
      <w:r>
        <w:rPr>
          <w:rFonts w:hint="eastAsia" w:ascii="仿宋" w:hAnsi="仿宋" w:eastAsia="仿宋" w:cs="仿宋"/>
          <w:b/>
          <w:color w:val="auto"/>
          <w:sz w:val="28"/>
          <w:szCs w:val="28"/>
          <w:highlight w:val="none"/>
        </w:rPr>
        <w:t>四、</w:t>
      </w:r>
      <w:bookmarkEnd w:id="135"/>
      <w:bookmarkEnd w:id="136"/>
      <w:r>
        <w:rPr>
          <w:rFonts w:hint="eastAsia" w:ascii="仿宋" w:hAnsi="仿宋" w:eastAsia="仿宋" w:cs="仿宋"/>
          <w:b/>
          <w:bCs/>
          <w:color w:val="auto"/>
          <w:spacing w:val="-1"/>
          <w:sz w:val="28"/>
          <w:szCs w:val="28"/>
          <w:highlight w:val="none"/>
        </w:rPr>
        <w:t>产品规格、技术参数及性能响应表</w:t>
      </w:r>
      <w:bookmarkEnd w:id="137"/>
      <w:bookmarkEnd w:id="139"/>
    </w:p>
    <w:tbl>
      <w:tblPr>
        <w:tblStyle w:val="20"/>
        <w:tblW w:w="9345" w:type="dxa"/>
        <w:jc w:val="center"/>
        <w:tblLayout w:type="fixed"/>
        <w:tblCellMar>
          <w:top w:w="0" w:type="dxa"/>
          <w:left w:w="108" w:type="dxa"/>
          <w:bottom w:w="0" w:type="dxa"/>
          <w:right w:w="108" w:type="dxa"/>
        </w:tblCellMar>
      </w:tblPr>
      <w:tblGrid>
        <w:gridCol w:w="878"/>
        <w:gridCol w:w="1488"/>
        <w:gridCol w:w="2300"/>
        <w:gridCol w:w="2583"/>
        <w:gridCol w:w="1048"/>
        <w:gridCol w:w="1048"/>
      </w:tblGrid>
      <w:tr>
        <w:tblPrEx>
          <w:tblCellMar>
            <w:top w:w="0" w:type="dxa"/>
            <w:left w:w="108" w:type="dxa"/>
            <w:bottom w:w="0" w:type="dxa"/>
            <w:right w:w="108" w:type="dxa"/>
          </w:tblCellMar>
        </w:tblPrEx>
        <w:trPr>
          <w:trHeight w:val="2677" w:hRule="atLeast"/>
          <w:jc w:val="center"/>
        </w:trPr>
        <w:tc>
          <w:tcPr>
            <w:tcW w:w="878" w:type="dxa"/>
            <w:tcBorders>
              <w:top w:val="single" w:color="000000" w:sz="4" w:space="0"/>
              <w:left w:val="single" w:color="000000" w:sz="4" w:space="0"/>
              <w:bottom w:val="single" w:color="000000" w:sz="4" w:space="0"/>
              <w:right w:val="single" w:color="000000" w:sz="4" w:space="0"/>
            </w:tcBorders>
            <w:vAlign w:val="center"/>
          </w:tcPr>
          <w:p>
            <w:pPr>
              <w:shd w:val="clear"/>
              <w:spacing w:line="5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序号</w:t>
            </w:r>
          </w:p>
        </w:tc>
        <w:tc>
          <w:tcPr>
            <w:tcW w:w="1488" w:type="dxa"/>
            <w:tcBorders>
              <w:top w:val="single" w:color="000000" w:sz="4" w:space="0"/>
              <w:left w:val="nil"/>
              <w:bottom w:val="single" w:color="000000" w:sz="4" w:space="0"/>
              <w:right w:val="single" w:color="000000" w:sz="4" w:space="0"/>
            </w:tcBorders>
            <w:vAlign w:val="center"/>
          </w:tcPr>
          <w:p>
            <w:pPr>
              <w:shd w:val="clear"/>
              <w:spacing w:line="5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产品名称</w:t>
            </w:r>
          </w:p>
        </w:tc>
        <w:tc>
          <w:tcPr>
            <w:tcW w:w="2300" w:type="dxa"/>
            <w:tcBorders>
              <w:top w:val="single" w:color="000000" w:sz="4" w:space="0"/>
              <w:left w:val="nil"/>
              <w:bottom w:val="single" w:color="000000" w:sz="4" w:space="0"/>
              <w:right w:val="single" w:color="000000" w:sz="4" w:space="0"/>
            </w:tcBorders>
            <w:vAlign w:val="center"/>
          </w:tcPr>
          <w:p>
            <w:pPr>
              <w:shd w:val="clear"/>
              <w:spacing w:line="5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招标文件要求采购需求及要求</w:t>
            </w:r>
          </w:p>
        </w:tc>
        <w:tc>
          <w:tcPr>
            <w:tcW w:w="2583" w:type="dxa"/>
            <w:tcBorders>
              <w:top w:val="single" w:color="000000" w:sz="4" w:space="0"/>
              <w:left w:val="nil"/>
              <w:bottom w:val="single" w:color="000000" w:sz="4" w:space="0"/>
              <w:right w:val="single" w:color="000000" w:sz="4" w:space="0"/>
            </w:tcBorders>
            <w:vAlign w:val="center"/>
          </w:tcPr>
          <w:p>
            <w:pPr>
              <w:shd w:val="clear"/>
              <w:spacing w:line="5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所投产品的采购需求及要求</w:t>
            </w:r>
          </w:p>
        </w:tc>
        <w:tc>
          <w:tcPr>
            <w:tcW w:w="1048" w:type="dxa"/>
            <w:tcBorders>
              <w:top w:val="single" w:color="000000" w:sz="4" w:space="0"/>
              <w:left w:val="nil"/>
              <w:bottom w:val="single" w:color="000000" w:sz="4" w:space="0"/>
              <w:right w:val="single" w:color="000000" w:sz="4" w:space="0"/>
            </w:tcBorders>
            <w:vAlign w:val="center"/>
          </w:tcPr>
          <w:p>
            <w:pPr>
              <w:shd w:val="clear"/>
              <w:spacing w:line="5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是否偏离</w:t>
            </w:r>
          </w:p>
        </w:tc>
        <w:tc>
          <w:tcPr>
            <w:tcW w:w="1048" w:type="dxa"/>
            <w:tcBorders>
              <w:top w:val="single" w:color="000000" w:sz="4" w:space="0"/>
              <w:left w:val="nil"/>
              <w:bottom w:val="single" w:color="000000" w:sz="4" w:space="0"/>
              <w:right w:val="single" w:color="000000" w:sz="4" w:space="0"/>
            </w:tcBorders>
            <w:vAlign w:val="center"/>
          </w:tcPr>
          <w:p>
            <w:pPr>
              <w:shd w:val="clear"/>
              <w:spacing w:line="5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说明</w:t>
            </w:r>
          </w:p>
        </w:tc>
      </w:tr>
      <w:tr>
        <w:tblPrEx>
          <w:tblCellMar>
            <w:top w:w="0" w:type="dxa"/>
            <w:left w:w="108" w:type="dxa"/>
            <w:bottom w:w="0" w:type="dxa"/>
            <w:right w:w="108" w:type="dxa"/>
          </w:tblCellMar>
        </w:tblPrEx>
        <w:trPr>
          <w:trHeight w:val="685" w:hRule="atLeast"/>
          <w:jc w:val="center"/>
        </w:trPr>
        <w:tc>
          <w:tcPr>
            <w:tcW w:w="878" w:type="dxa"/>
            <w:tcBorders>
              <w:top w:val="single" w:color="000000" w:sz="4" w:space="0"/>
              <w:left w:val="single" w:color="000000" w:sz="4" w:space="0"/>
              <w:bottom w:val="single" w:color="000000" w:sz="4" w:space="0"/>
              <w:right w:val="single" w:color="000000" w:sz="4" w:space="0"/>
            </w:tcBorders>
            <w:vAlign w:val="center"/>
          </w:tcPr>
          <w:p>
            <w:pPr>
              <w:shd w:val="clear"/>
              <w:spacing w:line="5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w:t>
            </w:r>
          </w:p>
        </w:tc>
        <w:tc>
          <w:tcPr>
            <w:tcW w:w="1488" w:type="dxa"/>
            <w:tcBorders>
              <w:top w:val="single" w:color="000000" w:sz="4" w:space="0"/>
              <w:left w:val="nil"/>
              <w:bottom w:val="single" w:color="000000" w:sz="4" w:space="0"/>
              <w:right w:val="single" w:color="000000" w:sz="4" w:space="0"/>
            </w:tcBorders>
            <w:vAlign w:val="center"/>
          </w:tcPr>
          <w:p>
            <w:pPr>
              <w:shd w:val="clear"/>
              <w:spacing w:line="500" w:lineRule="exact"/>
              <w:ind w:firstLine="560" w:firstLineChars="200"/>
              <w:jc w:val="left"/>
              <w:rPr>
                <w:rFonts w:hint="eastAsia" w:ascii="仿宋" w:hAnsi="仿宋" w:eastAsia="仿宋" w:cs="仿宋"/>
                <w:color w:val="auto"/>
                <w:kern w:val="0"/>
                <w:sz w:val="28"/>
                <w:szCs w:val="28"/>
                <w:highlight w:val="none"/>
              </w:rPr>
            </w:pPr>
          </w:p>
        </w:tc>
        <w:tc>
          <w:tcPr>
            <w:tcW w:w="2300" w:type="dxa"/>
            <w:tcBorders>
              <w:top w:val="single" w:color="000000" w:sz="4" w:space="0"/>
              <w:left w:val="nil"/>
              <w:bottom w:val="single" w:color="000000" w:sz="4" w:space="0"/>
              <w:right w:val="single" w:color="000000" w:sz="4" w:space="0"/>
            </w:tcBorders>
            <w:vAlign w:val="center"/>
          </w:tcPr>
          <w:p>
            <w:pPr>
              <w:shd w:val="clear"/>
              <w:spacing w:line="500" w:lineRule="exact"/>
              <w:ind w:firstLine="560" w:firstLineChars="200"/>
              <w:jc w:val="left"/>
              <w:rPr>
                <w:rFonts w:hint="eastAsia" w:ascii="仿宋" w:hAnsi="仿宋" w:eastAsia="仿宋" w:cs="仿宋"/>
                <w:color w:val="auto"/>
                <w:kern w:val="0"/>
                <w:sz w:val="28"/>
                <w:szCs w:val="28"/>
                <w:highlight w:val="none"/>
              </w:rPr>
            </w:pPr>
          </w:p>
        </w:tc>
        <w:tc>
          <w:tcPr>
            <w:tcW w:w="2583" w:type="dxa"/>
            <w:tcBorders>
              <w:top w:val="single" w:color="000000" w:sz="4" w:space="0"/>
              <w:left w:val="nil"/>
              <w:bottom w:val="single" w:color="000000" w:sz="4" w:space="0"/>
              <w:right w:val="single" w:color="000000" w:sz="4" w:space="0"/>
            </w:tcBorders>
            <w:vAlign w:val="center"/>
          </w:tcPr>
          <w:p>
            <w:pPr>
              <w:shd w:val="clear"/>
              <w:spacing w:line="500" w:lineRule="exact"/>
              <w:ind w:firstLine="560" w:firstLineChars="200"/>
              <w:jc w:val="left"/>
              <w:rPr>
                <w:rFonts w:hint="eastAsia" w:ascii="仿宋" w:hAnsi="仿宋" w:eastAsia="仿宋" w:cs="仿宋"/>
                <w:color w:val="auto"/>
                <w:kern w:val="0"/>
                <w:sz w:val="28"/>
                <w:szCs w:val="28"/>
                <w:highlight w:val="none"/>
              </w:rPr>
            </w:pPr>
          </w:p>
        </w:tc>
        <w:tc>
          <w:tcPr>
            <w:tcW w:w="1048" w:type="dxa"/>
            <w:tcBorders>
              <w:top w:val="single" w:color="000000" w:sz="4" w:space="0"/>
              <w:left w:val="nil"/>
              <w:bottom w:val="single" w:color="000000" w:sz="4" w:space="0"/>
              <w:right w:val="single" w:color="000000" w:sz="4" w:space="0"/>
            </w:tcBorders>
            <w:vAlign w:val="center"/>
          </w:tcPr>
          <w:p>
            <w:pPr>
              <w:shd w:val="clear"/>
              <w:spacing w:line="500" w:lineRule="exact"/>
              <w:ind w:firstLine="560" w:firstLineChars="200"/>
              <w:jc w:val="left"/>
              <w:rPr>
                <w:rFonts w:hint="eastAsia" w:ascii="仿宋" w:hAnsi="仿宋" w:eastAsia="仿宋" w:cs="仿宋"/>
                <w:color w:val="auto"/>
                <w:kern w:val="0"/>
                <w:sz w:val="28"/>
                <w:szCs w:val="28"/>
                <w:highlight w:val="none"/>
              </w:rPr>
            </w:pPr>
          </w:p>
        </w:tc>
        <w:tc>
          <w:tcPr>
            <w:tcW w:w="1048" w:type="dxa"/>
            <w:tcBorders>
              <w:top w:val="single" w:color="000000" w:sz="4" w:space="0"/>
              <w:left w:val="nil"/>
              <w:bottom w:val="single" w:color="000000" w:sz="4" w:space="0"/>
              <w:right w:val="single" w:color="000000" w:sz="4" w:space="0"/>
            </w:tcBorders>
            <w:vAlign w:val="center"/>
          </w:tcPr>
          <w:p>
            <w:pPr>
              <w:shd w:val="clear"/>
              <w:spacing w:line="500" w:lineRule="exact"/>
              <w:ind w:firstLine="560" w:firstLineChars="200"/>
              <w:jc w:val="left"/>
              <w:rPr>
                <w:rFonts w:hint="eastAsia" w:ascii="仿宋" w:hAnsi="仿宋" w:eastAsia="仿宋" w:cs="仿宋"/>
                <w:color w:val="auto"/>
                <w:kern w:val="0"/>
                <w:sz w:val="28"/>
                <w:szCs w:val="28"/>
                <w:highlight w:val="none"/>
              </w:rPr>
            </w:pPr>
          </w:p>
        </w:tc>
      </w:tr>
      <w:tr>
        <w:tblPrEx>
          <w:tblCellMar>
            <w:top w:w="0" w:type="dxa"/>
            <w:left w:w="108" w:type="dxa"/>
            <w:bottom w:w="0" w:type="dxa"/>
            <w:right w:w="108" w:type="dxa"/>
          </w:tblCellMar>
        </w:tblPrEx>
        <w:trPr>
          <w:trHeight w:val="685" w:hRule="atLeast"/>
          <w:jc w:val="center"/>
        </w:trPr>
        <w:tc>
          <w:tcPr>
            <w:tcW w:w="878" w:type="dxa"/>
            <w:tcBorders>
              <w:top w:val="single" w:color="000000" w:sz="4" w:space="0"/>
              <w:left w:val="single" w:color="000000" w:sz="4" w:space="0"/>
              <w:bottom w:val="single" w:color="000000" w:sz="4" w:space="0"/>
              <w:right w:val="single" w:color="000000" w:sz="4" w:space="0"/>
            </w:tcBorders>
            <w:vAlign w:val="center"/>
          </w:tcPr>
          <w:p>
            <w:pPr>
              <w:shd w:val="clear"/>
              <w:spacing w:line="5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w:t>
            </w:r>
          </w:p>
        </w:tc>
        <w:tc>
          <w:tcPr>
            <w:tcW w:w="1488" w:type="dxa"/>
            <w:tcBorders>
              <w:top w:val="single" w:color="000000" w:sz="4" w:space="0"/>
              <w:left w:val="nil"/>
              <w:bottom w:val="single" w:color="000000" w:sz="4" w:space="0"/>
              <w:right w:val="single" w:color="000000" w:sz="4" w:space="0"/>
            </w:tcBorders>
            <w:vAlign w:val="center"/>
          </w:tcPr>
          <w:p>
            <w:pPr>
              <w:shd w:val="clear"/>
              <w:spacing w:line="500" w:lineRule="exact"/>
              <w:ind w:firstLine="560" w:firstLineChars="200"/>
              <w:jc w:val="left"/>
              <w:rPr>
                <w:rFonts w:hint="eastAsia" w:ascii="仿宋" w:hAnsi="仿宋" w:eastAsia="仿宋" w:cs="仿宋"/>
                <w:color w:val="auto"/>
                <w:kern w:val="0"/>
                <w:sz w:val="28"/>
                <w:szCs w:val="28"/>
                <w:highlight w:val="none"/>
              </w:rPr>
            </w:pPr>
          </w:p>
        </w:tc>
        <w:tc>
          <w:tcPr>
            <w:tcW w:w="2300" w:type="dxa"/>
            <w:tcBorders>
              <w:top w:val="single" w:color="000000" w:sz="4" w:space="0"/>
              <w:left w:val="nil"/>
              <w:bottom w:val="single" w:color="000000" w:sz="4" w:space="0"/>
              <w:right w:val="single" w:color="000000" w:sz="4" w:space="0"/>
            </w:tcBorders>
            <w:vAlign w:val="center"/>
          </w:tcPr>
          <w:p>
            <w:pPr>
              <w:shd w:val="clear"/>
              <w:spacing w:line="500" w:lineRule="exact"/>
              <w:ind w:firstLine="560" w:firstLineChars="200"/>
              <w:jc w:val="left"/>
              <w:rPr>
                <w:rFonts w:hint="eastAsia" w:ascii="仿宋" w:hAnsi="仿宋" w:eastAsia="仿宋" w:cs="仿宋"/>
                <w:color w:val="auto"/>
                <w:kern w:val="0"/>
                <w:sz w:val="28"/>
                <w:szCs w:val="28"/>
                <w:highlight w:val="none"/>
              </w:rPr>
            </w:pPr>
          </w:p>
        </w:tc>
        <w:tc>
          <w:tcPr>
            <w:tcW w:w="2583" w:type="dxa"/>
            <w:tcBorders>
              <w:top w:val="single" w:color="000000" w:sz="4" w:space="0"/>
              <w:left w:val="nil"/>
              <w:bottom w:val="single" w:color="000000" w:sz="4" w:space="0"/>
              <w:right w:val="single" w:color="000000" w:sz="4" w:space="0"/>
            </w:tcBorders>
            <w:vAlign w:val="center"/>
          </w:tcPr>
          <w:p>
            <w:pPr>
              <w:shd w:val="clear"/>
              <w:spacing w:line="500" w:lineRule="exact"/>
              <w:ind w:firstLine="560" w:firstLineChars="200"/>
              <w:jc w:val="left"/>
              <w:rPr>
                <w:rFonts w:hint="eastAsia" w:ascii="仿宋" w:hAnsi="仿宋" w:eastAsia="仿宋" w:cs="仿宋"/>
                <w:color w:val="auto"/>
                <w:kern w:val="0"/>
                <w:sz w:val="28"/>
                <w:szCs w:val="28"/>
                <w:highlight w:val="none"/>
              </w:rPr>
            </w:pPr>
          </w:p>
        </w:tc>
        <w:tc>
          <w:tcPr>
            <w:tcW w:w="1048" w:type="dxa"/>
            <w:tcBorders>
              <w:top w:val="single" w:color="000000" w:sz="4" w:space="0"/>
              <w:left w:val="nil"/>
              <w:bottom w:val="single" w:color="000000" w:sz="4" w:space="0"/>
              <w:right w:val="single" w:color="000000" w:sz="4" w:space="0"/>
            </w:tcBorders>
            <w:vAlign w:val="center"/>
          </w:tcPr>
          <w:p>
            <w:pPr>
              <w:shd w:val="clear"/>
              <w:spacing w:line="500" w:lineRule="exact"/>
              <w:ind w:firstLine="560" w:firstLineChars="200"/>
              <w:jc w:val="left"/>
              <w:rPr>
                <w:rFonts w:hint="eastAsia" w:ascii="仿宋" w:hAnsi="仿宋" w:eastAsia="仿宋" w:cs="仿宋"/>
                <w:color w:val="auto"/>
                <w:kern w:val="0"/>
                <w:sz w:val="28"/>
                <w:szCs w:val="28"/>
                <w:highlight w:val="none"/>
              </w:rPr>
            </w:pPr>
          </w:p>
        </w:tc>
        <w:tc>
          <w:tcPr>
            <w:tcW w:w="1048" w:type="dxa"/>
            <w:tcBorders>
              <w:top w:val="single" w:color="000000" w:sz="4" w:space="0"/>
              <w:left w:val="nil"/>
              <w:bottom w:val="single" w:color="000000" w:sz="4" w:space="0"/>
              <w:right w:val="single" w:color="000000" w:sz="4" w:space="0"/>
            </w:tcBorders>
            <w:vAlign w:val="center"/>
          </w:tcPr>
          <w:p>
            <w:pPr>
              <w:shd w:val="clear"/>
              <w:spacing w:line="500" w:lineRule="exact"/>
              <w:ind w:firstLine="560" w:firstLineChars="200"/>
              <w:jc w:val="left"/>
              <w:rPr>
                <w:rFonts w:hint="eastAsia" w:ascii="仿宋" w:hAnsi="仿宋" w:eastAsia="仿宋" w:cs="仿宋"/>
                <w:color w:val="auto"/>
                <w:kern w:val="0"/>
                <w:sz w:val="28"/>
                <w:szCs w:val="28"/>
                <w:highlight w:val="none"/>
              </w:rPr>
            </w:pPr>
          </w:p>
        </w:tc>
      </w:tr>
      <w:tr>
        <w:tblPrEx>
          <w:tblCellMar>
            <w:top w:w="0" w:type="dxa"/>
            <w:left w:w="108" w:type="dxa"/>
            <w:bottom w:w="0" w:type="dxa"/>
            <w:right w:w="108" w:type="dxa"/>
          </w:tblCellMar>
        </w:tblPrEx>
        <w:trPr>
          <w:trHeight w:val="705" w:hRule="atLeast"/>
          <w:jc w:val="center"/>
        </w:trPr>
        <w:tc>
          <w:tcPr>
            <w:tcW w:w="878" w:type="dxa"/>
            <w:tcBorders>
              <w:top w:val="single" w:color="000000" w:sz="4" w:space="0"/>
              <w:left w:val="single" w:color="000000" w:sz="4" w:space="0"/>
              <w:bottom w:val="single" w:color="000000" w:sz="4" w:space="0"/>
              <w:right w:val="single" w:color="000000" w:sz="4" w:space="0"/>
            </w:tcBorders>
            <w:vAlign w:val="center"/>
          </w:tcPr>
          <w:p>
            <w:pPr>
              <w:shd w:val="clear"/>
              <w:spacing w:line="5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w:t>
            </w:r>
          </w:p>
        </w:tc>
        <w:tc>
          <w:tcPr>
            <w:tcW w:w="1488" w:type="dxa"/>
            <w:tcBorders>
              <w:top w:val="single" w:color="000000" w:sz="4" w:space="0"/>
              <w:left w:val="nil"/>
              <w:bottom w:val="single" w:color="000000" w:sz="4" w:space="0"/>
              <w:right w:val="single" w:color="000000" w:sz="4" w:space="0"/>
            </w:tcBorders>
            <w:vAlign w:val="center"/>
          </w:tcPr>
          <w:p>
            <w:pPr>
              <w:shd w:val="clear"/>
              <w:spacing w:line="500" w:lineRule="exact"/>
              <w:ind w:firstLine="560" w:firstLineChars="200"/>
              <w:jc w:val="left"/>
              <w:rPr>
                <w:rFonts w:hint="eastAsia" w:ascii="仿宋" w:hAnsi="仿宋" w:eastAsia="仿宋" w:cs="仿宋"/>
                <w:color w:val="auto"/>
                <w:kern w:val="0"/>
                <w:sz w:val="28"/>
                <w:szCs w:val="28"/>
                <w:highlight w:val="none"/>
              </w:rPr>
            </w:pPr>
          </w:p>
        </w:tc>
        <w:tc>
          <w:tcPr>
            <w:tcW w:w="2300" w:type="dxa"/>
            <w:tcBorders>
              <w:top w:val="single" w:color="000000" w:sz="4" w:space="0"/>
              <w:left w:val="nil"/>
              <w:bottom w:val="single" w:color="000000" w:sz="4" w:space="0"/>
              <w:right w:val="single" w:color="000000" w:sz="4" w:space="0"/>
            </w:tcBorders>
            <w:vAlign w:val="center"/>
          </w:tcPr>
          <w:p>
            <w:pPr>
              <w:shd w:val="clear"/>
              <w:spacing w:line="500" w:lineRule="exact"/>
              <w:ind w:firstLine="560" w:firstLineChars="200"/>
              <w:jc w:val="left"/>
              <w:rPr>
                <w:rFonts w:hint="eastAsia" w:ascii="仿宋" w:hAnsi="仿宋" w:eastAsia="仿宋" w:cs="仿宋"/>
                <w:color w:val="auto"/>
                <w:kern w:val="0"/>
                <w:sz w:val="28"/>
                <w:szCs w:val="28"/>
                <w:highlight w:val="none"/>
              </w:rPr>
            </w:pPr>
          </w:p>
        </w:tc>
        <w:tc>
          <w:tcPr>
            <w:tcW w:w="2583" w:type="dxa"/>
            <w:tcBorders>
              <w:top w:val="single" w:color="000000" w:sz="4" w:space="0"/>
              <w:left w:val="nil"/>
              <w:bottom w:val="single" w:color="000000" w:sz="4" w:space="0"/>
              <w:right w:val="single" w:color="000000" w:sz="4" w:space="0"/>
            </w:tcBorders>
            <w:vAlign w:val="center"/>
          </w:tcPr>
          <w:p>
            <w:pPr>
              <w:shd w:val="clear"/>
              <w:spacing w:line="500" w:lineRule="exact"/>
              <w:ind w:firstLine="560" w:firstLineChars="200"/>
              <w:jc w:val="left"/>
              <w:rPr>
                <w:rFonts w:hint="eastAsia" w:ascii="仿宋" w:hAnsi="仿宋" w:eastAsia="仿宋" w:cs="仿宋"/>
                <w:color w:val="auto"/>
                <w:kern w:val="0"/>
                <w:sz w:val="28"/>
                <w:szCs w:val="28"/>
                <w:highlight w:val="none"/>
              </w:rPr>
            </w:pPr>
          </w:p>
        </w:tc>
        <w:tc>
          <w:tcPr>
            <w:tcW w:w="1048" w:type="dxa"/>
            <w:tcBorders>
              <w:top w:val="single" w:color="000000" w:sz="4" w:space="0"/>
              <w:left w:val="nil"/>
              <w:bottom w:val="single" w:color="000000" w:sz="4" w:space="0"/>
              <w:right w:val="single" w:color="000000" w:sz="4" w:space="0"/>
            </w:tcBorders>
            <w:vAlign w:val="center"/>
          </w:tcPr>
          <w:p>
            <w:pPr>
              <w:shd w:val="clear"/>
              <w:spacing w:line="500" w:lineRule="exact"/>
              <w:ind w:firstLine="560" w:firstLineChars="200"/>
              <w:jc w:val="left"/>
              <w:rPr>
                <w:rFonts w:hint="eastAsia" w:ascii="仿宋" w:hAnsi="仿宋" w:eastAsia="仿宋" w:cs="仿宋"/>
                <w:color w:val="auto"/>
                <w:kern w:val="0"/>
                <w:sz w:val="28"/>
                <w:szCs w:val="28"/>
                <w:highlight w:val="none"/>
              </w:rPr>
            </w:pPr>
          </w:p>
        </w:tc>
        <w:tc>
          <w:tcPr>
            <w:tcW w:w="1048" w:type="dxa"/>
            <w:tcBorders>
              <w:top w:val="single" w:color="000000" w:sz="4" w:space="0"/>
              <w:left w:val="nil"/>
              <w:bottom w:val="single" w:color="000000" w:sz="4" w:space="0"/>
              <w:right w:val="single" w:color="000000" w:sz="4" w:space="0"/>
            </w:tcBorders>
            <w:vAlign w:val="center"/>
          </w:tcPr>
          <w:p>
            <w:pPr>
              <w:shd w:val="clear"/>
              <w:spacing w:line="500" w:lineRule="exact"/>
              <w:ind w:firstLine="560" w:firstLineChars="200"/>
              <w:jc w:val="left"/>
              <w:rPr>
                <w:rFonts w:hint="eastAsia" w:ascii="仿宋" w:hAnsi="仿宋" w:eastAsia="仿宋" w:cs="仿宋"/>
                <w:color w:val="auto"/>
                <w:kern w:val="0"/>
                <w:sz w:val="28"/>
                <w:szCs w:val="28"/>
                <w:highlight w:val="none"/>
              </w:rPr>
            </w:pPr>
          </w:p>
        </w:tc>
      </w:tr>
    </w:tbl>
    <w:p>
      <w:pPr>
        <w:shd w:val="clear"/>
        <w:spacing w:line="320" w:lineRule="exact"/>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注：1.供应商所投产品的实际内容逐条对应招标文件的“ 第四章 采购需求”中要求的采购需求的填写该表，不可复制粘贴。</w:t>
      </w:r>
    </w:p>
    <w:p>
      <w:pPr>
        <w:shd w:val="clear"/>
        <w:spacing w:line="320" w:lineRule="exact"/>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2.如投标产品完全响应招标文件要求为无偏离，优于招标文件要求为正偏离，低于招标文件要求为负偏离；若投标产品规格、技术参数发生偏离，需在</w:t>
      </w:r>
      <w:r>
        <w:rPr>
          <w:rFonts w:hint="eastAsia" w:ascii="仿宋" w:hAnsi="仿宋" w:eastAsia="仿宋" w:cs="仿宋"/>
          <w:b/>
          <w:bCs/>
          <w:color w:val="auto"/>
          <w:kern w:val="0"/>
          <w:sz w:val="24"/>
          <w:highlight w:val="none"/>
          <w:u w:val="single"/>
        </w:rPr>
        <w:t>说明</w:t>
      </w:r>
      <w:r>
        <w:rPr>
          <w:rFonts w:hint="eastAsia" w:ascii="仿宋" w:hAnsi="仿宋" w:eastAsia="仿宋" w:cs="仿宋"/>
          <w:color w:val="auto"/>
          <w:kern w:val="0"/>
          <w:sz w:val="24"/>
          <w:highlight w:val="none"/>
        </w:rPr>
        <w:t>一栏上注明偏离事项。</w:t>
      </w:r>
    </w:p>
    <w:p>
      <w:pPr>
        <w:shd w:val="clear"/>
        <w:spacing w:line="320" w:lineRule="exact"/>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说明：</w:t>
      </w:r>
    </w:p>
    <w:p>
      <w:pPr>
        <w:shd w:val="clear"/>
        <w:spacing w:line="320" w:lineRule="exact"/>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 序号请按招标文件“采购需求”中的序号填写；</w:t>
      </w:r>
    </w:p>
    <w:p>
      <w:pPr>
        <w:shd w:val="clear"/>
        <w:spacing w:line="320" w:lineRule="exact"/>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 此表为招标的重要依据，请认真慎重填写；</w:t>
      </w:r>
    </w:p>
    <w:p>
      <w:pPr>
        <w:shd w:val="clear"/>
        <w:spacing w:line="32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（3) 规格、技术参数、性能有偏离的产品，必须说明具体的偏离指标。</w:t>
      </w:r>
    </w:p>
    <w:p>
      <w:pPr>
        <w:shd w:val="clear"/>
        <w:wordWrap w:val="0"/>
        <w:spacing w:line="300" w:lineRule="exact"/>
        <w:ind w:firstLine="482" w:firstLineChars="200"/>
        <w:rPr>
          <w:rFonts w:hint="eastAsia" w:ascii="仿宋" w:hAnsi="仿宋" w:eastAsia="仿宋" w:cs="仿宋"/>
          <w:color w:val="auto"/>
          <w:sz w:val="28"/>
          <w:szCs w:val="28"/>
          <w:highlight w:val="none"/>
        </w:rPr>
      </w:pPr>
      <w:r>
        <w:rPr>
          <w:rFonts w:hint="eastAsia" w:ascii="仿宋" w:hAnsi="仿宋" w:eastAsia="仿宋" w:cs="仿宋"/>
          <w:b/>
          <w:bCs/>
          <w:color w:val="auto"/>
          <w:kern w:val="0"/>
          <w:sz w:val="24"/>
          <w:highlight w:val="none"/>
        </w:rPr>
        <w:t>（4）</w:t>
      </w:r>
      <w:r>
        <w:rPr>
          <w:rFonts w:hint="eastAsia" w:ascii="仿宋" w:hAnsi="仿宋" w:eastAsia="仿宋" w:cs="仿宋"/>
          <w:b/>
          <w:bCs/>
          <w:color w:val="auto"/>
          <w:sz w:val="24"/>
          <w:highlight w:val="none"/>
        </w:rPr>
        <w:t>本表后可附所投产品（设备）详细参数、文字、图片证明材料辅助材料等（如有），在功能上、应用上、设计安装上、稳定性以及其他相关产品（设备）优势等的证明材料（如有），附的相关材料应标明顺序、产品（设备）名称、资料名称(若不按顺序编排导致查找不到，供应商自行承担相应后果。)，以供评标委员会评审。</w:t>
      </w:r>
    </w:p>
    <w:p>
      <w:pPr>
        <w:shd w:val="clear"/>
        <w:spacing w:line="300" w:lineRule="exact"/>
        <w:ind w:firstLine="480" w:firstLineChars="200"/>
        <w:jc w:val="left"/>
        <w:rPr>
          <w:rFonts w:hint="eastAsia" w:ascii="仿宋" w:hAnsi="仿宋" w:eastAsia="仿宋" w:cs="仿宋"/>
          <w:color w:val="auto"/>
          <w:sz w:val="24"/>
          <w:highlight w:val="none"/>
        </w:rPr>
      </w:pPr>
    </w:p>
    <w:p>
      <w:pPr>
        <w:shd w:val="clear"/>
        <w:spacing w:line="300" w:lineRule="exact"/>
        <w:ind w:firstLine="480" w:firstLineChars="200"/>
        <w:jc w:val="left"/>
        <w:rPr>
          <w:rFonts w:hint="eastAsia" w:ascii="仿宋" w:hAnsi="仿宋" w:eastAsia="仿宋" w:cs="仿宋"/>
          <w:color w:val="auto"/>
          <w:sz w:val="24"/>
          <w:highlight w:val="none"/>
        </w:rPr>
      </w:pPr>
    </w:p>
    <w:p>
      <w:pPr>
        <w:shd w:val="clear"/>
        <w:spacing w:line="480" w:lineRule="auto"/>
        <w:ind w:firstLine="1680" w:firstLineChars="6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（盖单位公章）</w:t>
      </w:r>
    </w:p>
    <w:p>
      <w:pPr>
        <w:shd w:val="clear"/>
        <w:spacing w:line="480" w:lineRule="auto"/>
        <w:ind w:firstLine="1680" w:firstLineChars="6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pPr>
        <w:shd w:val="clear"/>
        <w:spacing w:line="480" w:lineRule="auto"/>
        <w:ind w:firstLine="1680" w:firstLineChars="600"/>
        <w:rPr>
          <w:rFonts w:hint="eastAsia" w:ascii="仿宋" w:hAnsi="仿宋" w:eastAsia="仿宋" w:cs="仿宋"/>
          <w:color w:val="auto"/>
          <w:sz w:val="28"/>
          <w:szCs w:val="28"/>
          <w:highlight w:val="none"/>
        </w:rPr>
        <w:sectPr>
          <w:pgSz w:w="11906" w:h="16838"/>
          <w:pgMar w:top="1417" w:right="1417" w:bottom="1417" w:left="1417" w:header="850" w:footer="992" w:gutter="0"/>
          <w:pgBorders>
            <w:top w:val="none" w:sz="0" w:space="0"/>
            <w:left w:val="none" w:sz="0" w:space="0"/>
            <w:bottom w:val="none" w:sz="0" w:space="0"/>
            <w:right w:val="none" w:sz="0" w:space="0"/>
          </w:pgBorders>
          <w:pgNumType w:fmt="decimal"/>
          <w:cols w:space="0" w:num="1"/>
          <w:docGrid w:type="lines" w:linePitch="312" w:charSpace="0"/>
        </w:sectPr>
      </w:pPr>
      <w:r>
        <w:rPr>
          <w:rFonts w:hint="eastAsia" w:ascii="仿宋" w:hAnsi="仿宋" w:eastAsia="仿宋" w:cs="仿宋"/>
          <w:color w:val="auto"/>
          <w:sz w:val="28"/>
          <w:szCs w:val="28"/>
          <w:highlight w:val="none"/>
        </w:rPr>
        <w:t>日  期：      年     月    日</w:t>
      </w:r>
    </w:p>
    <w:p>
      <w:pPr>
        <w:pStyle w:val="4"/>
        <w:shd w:val="clear"/>
        <w:wordWrap w:val="0"/>
        <w:spacing w:before="60" w:after="60" w:line="360" w:lineRule="auto"/>
        <w:jc w:val="center"/>
        <w:rPr>
          <w:rFonts w:hint="eastAsia" w:ascii="仿宋" w:hAnsi="仿宋" w:eastAsia="仿宋" w:cs="仿宋"/>
          <w:color w:val="auto"/>
          <w:sz w:val="28"/>
          <w:szCs w:val="28"/>
          <w:highlight w:val="none"/>
        </w:rPr>
      </w:pPr>
      <w:bookmarkStart w:id="140" w:name="_Toc4857"/>
      <w:bookmarkStart w:id="141" w:name="_Toc28844"/>
      <w:r>
        <w:rPr>
          <w:rFonts w:hint="eastAsia" w:ascii="仿宋" w:hAnsi="仿宋" w:eastAsia="仿宋" w:cs="仿宋"/>
          <w:color w:val="auto"/>
          <w:sz w:val="28"/>
          <w:highlight w:val="none"/>
        </w:rPr>
        <w:t>五、</w:t>
      </w:r>
      <w:r>
        <w:rPr>
          <w:rFonts w:hint="eastAsia" w:ascii="仿宋" w:hAnsi="仿宋" w:eastAsia="仿宋" w:cs="仿宋"/>
          <w:color w:val="auto"/>
          <w:sz w:val="28"/>
          <w:szCs w:val="28"/>
          <w:highlight w:val="none"/>
        </w:rPr>
        <w:t>法定代表人身份证明书及法定代表人授权委托书</w:t>
      </w:r>
      <w:bookmarkEnd w:id="138"/>
      <w:bookmarkEnd w:id="140"/>
      <w:bookmarkEnd w:id="141"/>
    </w:p>
    <w:p>
      <w:pPr>
        <w:shd w:val="clear"/>
        <w:wordWrap w:val="0"/>
        <w:spacing w:before="60" w:after="60" w:line="360" w:lineRule="auto"/>
        <w:jc w:val="center"/>
        <w:outlineLvl w:val="2"/>
        <w:rPr>
          <w:rFonts w:hint="eastAsia" w:ascii="仿宋" w:hAnsi="仿宋" w:eastAsia="仿宋" w:cs="仿宋"/>
          <w:b/>
          <w:bCs/>
          <w:color w:val="auto"/>
          <w:sz w:val="28"/>
          <w:szCs w:val="28"/>
          <w:highlight w:val="none"/>
        </w:rPr>
      </w:pPr>
      <w:bookmarkStart w:id="142" w:name="_Toc2245"/>
      <w:bookmarkStart w:id="143" w:name="_Toc17974"/>
      <w:bookmarkStart w:id="144" w:name="_Toc26816"/>
      <w:r>
        <w:rPr>
          <w:rFonts w:hint="eastAsia" w:ascii="仿宋" w:hAnsi="仿宋" w:eastAsia="仿宋" w:cs="仿宋"/>
          <w:b/>
          <w:bCs/>
          <w:color w:val="auto"/>
          <w:sz w:val="28"/>
          <w:szCs w:val="28"/>
          <w:highlight w:val="none"/>
        </w:rPr>
        <w:t>（一）法定代表人身份证明书</w:t>
      </w:r>
      <w:bookmarkEnd w:id="142"/>
      <w:bookmarkEnd w:id="143"/>
      <w:bookmarkEnd w:id="144"/>
    </w:p>
    <w:p>
      <w:pPr>
        <w:shd w:val="clear"/>
        <w:wordWrap w:val="0"/>
        <w:spacing w:line="360" w:lineRule="auto"/>
        <w:jc w:val="lef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供应商名称：</w:t>
      </w:r>
      <w:r>
        <w:rPr>
          <w:rFonts w:hint="eastAsia" w:ascii="仿宋" w:hAnsi="仿宋" w:eastAsia="仿宋" w:cs="仿宋"/>
          <w:color w:val="auto"/>
          <w:sz w:val="28"/>
          <w:szCs w:val="28"/>
          <w:highlight w:val="none"/>
          <w:u w:val="single"/>
        </w:rPr>
        <w:t xml:space="preserve">                              </w:t>
      </w:r>
    </w:p>
    <w:p>
      <w:pPr>
        <w:shd w:val="clear"/>
        <w:wordWrap w:val="0"/>
        <w:spacing w:line="360" w:lineRule="auto"/>
        <w:jc w:val="lef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单 位 性 质：</w:t>
      </w:r>
      <w:r>
        <w:rPr>
          <w:rFonts w:hint="eastAsia" w:ascii="仿宋" w:hAnsi="仿宋" w:eastAsia="仿宋" w:cs="仿宋"/>
          <w:color w:val="auto"/>
          <w:sz w:val="28"/>
          <w:szCs w:val="28"/>
          <w:highlight w:val="none"/>
          <w:u w:val="single"/>
        </w:rPr>
        <w:t xml:space="preserve">                             </w:t>
      </w:r>
    </w:p>
    <w:p>
      <w:pPr>
        <w:shd w:val="clear"/>
        <w:wordWrap w:val="0"/>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rPr>
        <w:t xml:space="preserve">                              </w:t>
      </w:r>
    </w:p>
    <w:p>
      <w:pPr>
        <w:shd w:val="clear"/>
        <w:wordWrap w:val="0"/>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 立 时 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pPr>
        <w:shd w:val="clear"/>
        <w:wordWrap w:val="0"/>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      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年龄：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职务：</w:t>
      </w:r>
      <w:r>
        <w:rPr>
          <w:rFonts w:hint="eastAsia" w:ascii="仿宋" w:hAnsi="仿宋" w:eastAsia="仿宋" w:cs="仿宋"/>
          <w:color w:val="auto"/>
          <w:sz w:val="28"/>
          <w:szCs w:val="28"/>
          <w:highlight w:val="none"/>
          <w:u w:val="single"/>
        </w:rPr>
        <w:t xml:space="preserve">          </w:t>
      </w:r>
    </w:p>
    <w:p>
      <w:pPr>
        <w:shd w:val="clear"/>
        <w:wordWrap w:val="0"/>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系</w:t>
      </w:r>
      <w:r>
        <w:rPr>
          <w:rFonts w:hint="eastAsia" w:ascii="仿宋" w:hAnsi="仿宋" w:eastAsia="仿宋" w:cs="仿宋"/>
          <w:color w:val="auto"/>
          <w:sz w:val="28"/>
          <w:szCs w:val="28"/>
          <w:highlight w:val="none"/>
          <w:u w:val="single"/>
        </w:rPr>
        <w:t xml:space="preserve">         （供应商名称）          </w:t>
      </w:r>
      <w:r>
        <w:rPr>
          <w:rFonts w:hint="eastAsia" w:ascii="仿宋" w:hAnsi="仿宋" w:eastAsia="仿宋" w:cs="仿宋"/>
          <w:color w:val="auto"/>
          <w:sz w:val="28"/>
          <w:szCs w:val="28"/>
          <w:highlight w:val="none"/>
        </w:rPr>
        <w:t>的法定代表人。</w:t>
      </w:r>
    </w:p>
    <w:p>
      <w:pPr>
        <w:shd w:val="clear"/>
        <w:wordWrap w:val="0"/>
        <w:spacing w:line="360" w:lineRule="auto"/>
        <w:ind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特此证明。</w:t>
      </w:r>
    </w:p>
    <w:p>
      <w:pPr>
        <w:shd w:val="clear"/>
        <w:wordWrap w:val="0"/>
        <w:spacing w:line="360" w:lineRule="auto"/>
        <w:ind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附：法定代表人有效身份证原件扫描件</w:t>
      </w:r>
    </w:p>
    <w:tbl>
      <w:tblPr>
        <w:tblStyle w:val="20"/>
        <w:tblW w:w="8691"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345"/>
        <w:gridCol w:w="4346"/>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3094" w:hRule="atLeast"/>
          <w:jc w:val="center"/>
        </w:trPr>
        <w:tc>
          <w:tcPr>
            <w:tcW w:w="4345" w:type="dxa"/>
            <w:vAlign w:val="center"/>
          </w:tcPr>
          <w:p>
            <w:pPr>
              <w:shd w:val="clear"/>
              <w:wordWrap w:val="0"/>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法定代表人身份证原件扫描件</w:t>
            </w:r>
          </w:p>
          <w:p>
            <w:pPr>
              <w:shd w:val="clear"/>
              <w:wordWrap w:val="0"/>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（正面）</w:t>
            </w:r>
          </w:p>
        </w:tc>
        <w:tc>
          <w:tcPr>
            <w:tcW w:w="4346" w:type="dxa"/>
            <w:vAlign w:val="center"/>
          </w:tcPr>
          <w:p>
            <w:pPr>
              <w:shd w:val="clear"/>
              <w:wordWrap w:val="0"/>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法定代表人身份证原件扫描件</w:t>
            </w:r>
          </w:p>
          <w:p>
            <w:pPr>
              <w:shd w:val="clear"/>
              <w:wordWrap w:val="0"/>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（背面）</w:t>
            </w:r>
          </w:p>
        </w:tc>
      </w:tr>
    </w:tbl>
    <w:p>
      <w:pPr>
        <w:shd w:val="clear"/>
        <w:wordWrap w:val="0"/>
        <w:spacing w:line="360" w:lineRule="auto"/>
        <w:rPr>
          <w:rFonts w:hint="eastAsia" w:ascii="仿宋" w:hAnsi="仿宋" w:eastAsia="仿宋" w:cs="仿宋"/>
          <w:color w:val="auto"/>
          <w:sz w:val="28"/>
          <w:szCs w:val="28"/>
          <w:highlight w:val="none"/>
        </w:rPr>
      </w:pPr>
    </w:p>
    <w:p>
      <w:pPr>
        <w:shd w:val="clear"/>
        <w:wordWrap w:val="0"/>
        <w:spacing w:line="360" w:lineRule="auto"/>
        <w:ind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（盖单位公章） </w:t>
      </w:r>
    </w:p>
    <w:p>
      <w:pPr>
        <w:shd w:val="clear"/>
        <w:wordWrap w:val="0"/>
        <w:spacing w:line="360" w:lineRule="auto"/>
        <w:ind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bookmarkStart w:id="145" w:name="_Toc420767708"/>
    </w:p>
    <w:p>
      <w:pPr>
        <w:shd w:val="clear"/>
        <w:wordWrap w:val="0"/>
        <w:spacing w:before="60" w:after="60" w:line="360" w:lineRule="auto"/>
        <w:jc w:val="center"/>
        <w:rPr>
          <w:rFonts w:hint="eastAsia" w:ascii="仿宋" w:hAnsi="仿宋" w:eastAsia="仿宋" w:cs="仿宋"/>
          <w:b/>
          <w:bCs/>
          <w:color w:val="auto"/>
          <w:sz w:val="28"/>
          <w:szCs w:val="28"/>
          <w:highlight w:val="none"/>
        </w:rPr>
        <w:sectPr>
          <w:footerReference r:id="rId12" w:type="default"/>
          <w:pgSz w:w="11906" w:h="16838"/>
          <w:pgMar w:top="1417" w:right="1417" w:bottom="1417" w:left="1417" w:header="850" w:footer="992" w:gutter="0"/>
          <w:pgBorders>
            <w:top w:val="none" w:sz="0" w:space="0"/>
            <w:left w:val="none" w:sz="0" w:space="0"/>
            <w:bottom w:val="none" w:sz="0" w:space="0"/>
            <w:right w:val="none" w:sz="0" w:space="0"/>
          </w:pgBorders>
          <w:pgNumType w:fmt="decimal"/>
          <w:cols w:space="0" w:num="1"/>
          <w:docGrid w:type="lines" w:linePitch="312" w:charSpace="0"/>
        </w:sectPr>
      </w:pPr>
    </w:p>
    <w:bookmarkEnd w:id="145"/>
    <w:p>
      <w:pPr>
        <w:shd w:val="clear"/>
        <w:wordWrap w:val="0"/>
        <w:spacing w:before="60" w:after="60" w:line="360" w:lineRule="auto"/>
        <w:jc w:val="center"/>
        <w:outlineLvl w:val="2"/>
        <w:rPr>
          <w:rFonts w:hint="eastAsia" w:ascii="仿宋" w:hAnsi="仿宋" w:eastAsia="仿宋" w:cs="仿宋"/>
          <w:b/>
          <w:bCs/>
          <w:color w:val="auto"/>
          <w:sz w:val="28"/>
          <w:szCs w:val="28"/>
          <w:highlight w:val="none"/>
        </w:rPr>
      </w:pPr>
      <w:bookmarkStart w:id="146" w:name="_Toc7442"/>
      <w:bookmarkStart w:id="147" w:name="_Toc17216"/>
      <w:bookmarkStart w:id="148" w:name="_Toc24781"/>
      <w:r>
        <w:rPr>
          <w:rFonts w:hint="eastAsia" w:ascii="仿宋" w:hAnsi="仿宋" w:eastAsia="仿宋" w:cs="仿宋"/>
          <w:b/>
          <w:bCs/>
          <w:color w:val="auto"/>
          <w:sz w:val="28"/>
          <w:szCs w:val="28"/>
          <w:highlight w:val="none"/>
        </w:rPr>
        <w:t>（二）法定代表人授权委托书</w:t>
      </w:r>
      <w:bookmarkEnd w:id="146"/>
      <w:bookmarkEnd w:id="147"/>
      <w:bookmarkEnd w:id="148"/>
    </w:p>
    <w:p>
      <w:pPr>
        <w:shd w:val="clear"/>
        <w:wordWrap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(法人亲自参与本项目的投标工作无需提供)</w:t>
      </w:r>
    </w:p>
    <w:p>
      <w:pPr>
        <w:shd w:val="clear"/>
        <w:wordWrap w:val="0"/>
        <w:spacing w:line="360" w:lineRule="auto"/>
        <w:jc w:val="center"/>
        <w:rPr>
          <w:rFonts w:hint="eastAsia" w:ascii="仿宋" w:hAnsi="仿宋" w:eastAsia="仿宋" w:cs="仿宋"/>
          <w:color w:val="auto"/>
          <w:sz w:val="24"/>
          <w:highlight w:val="none"/>
        </w:rPr>
      </w:pPr>
    </w:p>
    <w:p>
      <w:pPr>
        <w:shd w:val="clear"/>
        <w:wordWrap w:val="0"/>
        <w:spacing w:before="120" w:beforeLines="50"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本人</w:t>
      </w:r>
      <w:r>
        <w:rPr>
          <w:rFonts w:hint="eastAsia" w:ascii="仿宋" w:hAnsi="仿宋" w:eastAsia="仿宋" w:cs="仿宋"/>
          <w:color w:val="auto"/>
          <w:sz w:val="28"/>
          <w:szCs w:val="28"/>
          <w:highlight w:val="none"/>
          <w:u w:val="single"/>
        </w:rPr>
        <w:t xml:space="preserve">   （姓名）  </w:t>
      </w:r>
      <w:r>
        <w:rPr>
          <w:rFonts w:hint="eastAsia" w:ascii="仿宋" w:hAnsi="仿宋" w:eastAsia="仿宋" w:cs="仿宋"/>
          <w:color w:val="auto"/>
          <w:sz w:val="28"/>
          <w:szCs w:val="28"/>
          <w:highlight w:val="none"/>
        </w:rPr>
        <w:t>系</w:t>
      </w:r>
      <w:r>
        <w:rPr>
          <w:rFonts w:hint="eastAsia" w:ascii="仿宋" w:hAnsi="仿宋" w:eastAsia="仿宋" w:cs="仿宋"/>
          <w:color w:val="auto"/>
          <w:sz w:val="28"/>
          <w:szCs w:val="28"/>
          <w:highlight w:val="none"/>
          <w:u w:val="single"/>
        </w:rPr>
        <w:t xml:space="preserve">       （供应商名称）    </w:t>
      </w:r>
      <w:r>
        <w:rPr>
          <w:rFonts w:hint="eastAsia" w:ascii="仿宋" w:hAnsi="仿宋" w:eastAsia="仿宋" w:cs="仿宋"/>
          <w:color w:val="auto"/>
          <w:sz w:val="28"/>
          <w:szCs w:val="28"/>
          <w:highlight w:val="none"/>
        </w:rPr>
        <w:t>的法定代表人，现委托</w:t>
      </w:r>
      <w:r>
        <w:rPr>
          <w:rFonts w:hint="eastAsia" w:ascii="仿宋" w:hAnsi="仿宋" w:eastAsia="仿宋" w:cs="仿宋"/>
          <w:color w:val="auto"/>
          <w:sz w:val="28"/>
          <w:szCs w:val="28"/>
          <w:highlight w:val="none"/>
          <w:u w:val="single"/>
        </w:rPr>
        <w:t xml:space="preserve">      （姓名）    </w:t>
      </w:r>
      <w:r>
        <w:rPr>
          <w:rFonts w:hint="eastAsia" w:ascii="仿宋" w:hAnsi="仿宋" w:eastAsia="仿宋" w:cs="仿宋"/>
          <w:color w:val="auto"/>
          <w:sz w:val="28"/>
          <w:szCs w:val="28"/>
          <w:highlight w:val="none"/>
        </w:rPr>
        <w:t>为我方代理人。代理人根据授权，以我方名义签署、澄清、递交、撤回、修改</w:t>
      </w:r>
      <w:r>
        <w:rPr>
          <w:rFonts w:hint="eastAsia" w:ascii="仿宋" w:hAnsi="仿宋" w:eastAsia="仿宋" w:cs="仿宋"/>
          <w:color w:val="auto"/>
          <w:sz w:val="28"/>
          <w:szCs w:val="28"/>
          <w:highlight w:val="none"/>
          <w:u w:val="single"/>
        </w:rPr>
        <w:t xml:space="preserve">        （项目名称）      </w:t>
      </w:r>
      <w:r>
        <w:rPr>
          <w:rFonts w:hint="eastAsia" w:ascii="仿宋" w:hAnsi="仿宋" w:eastAsia="仿宋" w:cs="仿宋"/>
          <w:color w:val="auto"/>
          <w:sz w:val="28"/>
          <w:szCs w:val="28"/>
          <w:highlight w:val="none"/>
        </w:rPr>
        <w:t>响应文件，其法律后果由我方承担。</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代理人无转让委托权。</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附：被授权人有效身份证原件扫描件</w:t>
      </w:r>
    </w:p>
    <w:tbl>
      <w:tblPr>
        <w:tblStyle w:val="20"/>
        <w:tblW w:w="8691"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345"/>
        <w:gridCol w:w="4346"/>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548" w:hRule="atLeast"/>
          <w:jc w:val="center"/>
        </w:trPr>
        <w:tc>
          <w:tcPr>
            <w:tcW w:w="4345" w:type="dxa"/>
            <w:vAlign w:val="center"/>
          </w:tcPr>
          <w:p>
            <w:pPr>
              <w:shd w:val="clear"/>
              <w:wordWrap w:val="0"/>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被授权人身份证原件扫描件</w:t>
            </w:r>
          </w:p>
          <w:p>
            <w:pPr>
              <w:shd w:val="clear"/>
              <w:wordWrap w:val="0"/>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（正面）</w:t>
            </w:r>
          </w:p>
        </w:tc>
        <w:tc>
          <w:tcPr>
            <w:tcW w:w="4346" w:type="dxa"/>
            <w:vAlign w:val="center"/>
          </w:tcPr>
          <w:p>
            <w:pPr>
              <w:shd w:val="clear"/>
              <w:wordWrap w:val="0"/>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被授权人身份证原件扫描件</w:t>
            </w:r>
          </w:p>
          <w:p>
            <w:pPr>
              <w:shd w:val="clear"/>
              <w:wordWrap w:val="0"/>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（背面）</w:t>
            </w:r>
          </w:p>
        </w:tc>
      </w:tr>
    </w:tbl>
    <w:p>
      <w:pPr>
        <w:shd w:val="clear"/>
        <w:wordWrap w:val="0"/>
        <w:spacing w:line="360" w:lineRule="auto"/>
        <w:ind w:firstLine="560" w:firstLineChars="200"/>
        <w:rPr>
          <w:rFonts w:hint="eastAsia" w:ascii="仿宋" w:hAnsi="仿宋" w:eastAsia="仿宋" w:cs="仿宋"/>
          <w:color w:val="auto"/>
          <w:sz w:val="28"/>
          <w:szCs w:val="28"/>
          <w:highlight w:val="none"/>
        </w:rPr>
      </w:pP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 应 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（盖单位公章）</w:t>
      </w:r>
    </w:p>
    <w:p>
      <w:pPr>
        <w:shd w:val="clear"/>
        <w:wordWrap w:val="0"/>
        <w:spacing w:line="360" w:lineRule="auto"/>
        <w:ind w:firstLine="56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pPr>
        <w:shd w:val="clear"/>
        <w:wordWrap w:val="0"/>
        <w:spacing w:line="360" w:lineRule="auto"/>
        <w:ind w:firstLine="56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法人身份证号：</w:t>
      </w:r>
      <w:r>
        <w:rPr>
          <w:rFonts w:hint="eastAsia" w:ascii="仿宋" w:hAnsi="仿宋" w:eastAsia="仿宋" w:cs="仿宋"/>
          <w:color w:val="auto"/>
          <w:sz w:val="28"/>
          <w:szCs w:val="28"/>
          <w:highlight w:val="none"/>
          <w:u w:val="single"/>
        </w:rPr>
        <w:t xml:space="preserve">                     </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pPr>
        <w:shd w:val="clear"/>
        <w:wordWrap w:val="0"/>
        <w:spacing w:line="360" w:lineRule="auto"/>
        <w:ind w:firstLine="56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代理人身份证号：</w:t>
      </w:r>
      <w:r>
        <w:rPr>
          <w:rFonts w:hint="eastAsia" w:ascii="仿宋" w:hAnsi="仿宋" w:eastAsia="仿宋" w:cs="仿宋"/>
          <w:color w:val="auto"/>
          <w:sz w:val="28"/>
          <w:szCs w:val="28"/>
          <w:highlight w:val="none"/>
          <w:u w:val="single"/>
        </w:rPr>
        <w:t xml:space="preserve">                   </w:t>
      </w:r>
    </w:p>
    <w:p>
      <w:pPr>
        <w:shd w:val="clear"/>
        <w:wordWrap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pPr>
        <w:shd w:val="clear"/>
        <w:wordWrap w:val="0"/>
        <w:spacing w:line="360" w:lineRule="auto"/>
        <w:rPr>
          <w:rFonts w:hint="eastAsia" w:ascii="仿宋" w:hAnsi="仿宋" w:eastAsia="仿宋" w:cs="仿宋"/>
          <w:color w:val="auto"/>
          <w:sz w:val="28"/>
          <w:szCs w:val="28"/>
          <w:highlight w:val="none"/>
        </w:rPr>
      </w:pPr>
    </w:p>
    <w:p>
      <w:pPr>
        <w:pStyle w:val="27"/>
        <w:keepNext w:val="0"/>
        <w:keepLines w:val="0"/>
        <w:shd w:val="clear"/>
        <w:tabs>
          <w:tab w:val="clear" w:pos="1680"/>
        </w:tabs>
        <w:wordWrap w:val="0"/>
        <w:spacing w:before="0" w:after="0" w:line="360" w:lineRule="auto"/>
        <w:ind w:left="0" w:firstLine="0"/>
        <w:jc w:val="center"/>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br w:type="page"/>
      </w:r>
      <w:bookmarkStart w:id="149" w:name="_Toc20666"/>
      <w:bookmarkStart w:id="150" w:name="_Toc17739"/>
      <w:bookmarkStart w:id="151" w:name="_Toc14515"/>
      <w:r>
        <w:rPr>
          <w:rFonts w:hint="eastAsia" w:ascii="仿宋" w:hAnsi="仿宋" w:eastAsia="仿宋" w:cs="仿宋"/>
          <w:color w:val="auto"/>
          <w:sz w:val="28"/>
          <w:highlight w:val="none"/>
        </w:rPr>
        <w:t>六</w:t>
      </w:r>
      <w:r>
        <w:rPr>
          <w:rFonts w:hint="eastAsia" w:ascii="仿宋" w:hAnsi="仿宋" w:eastAsia="仿宋" w:cs="仿宋"/>
          <w:color w:val="auto"/>
          <w:sz w:val="28"/>
          <w:szCs w:val="28"/>
          <w:highlight w:val="none"/>
        </w:rPr>
        <w:t>、供应商基本情况表</w:t>
      </w:r>
      <w:bookmarkEnd w:id="149"/>
      <w:bookmarkEnd w:id="150"/>
      <w:bookmarkEnd w:id="151"/>
    </w:p>
    <w:p>
      <w:pPr>
        <w:shd w:val="clear"/>
        <w:wordWrap w:val="0"/>
        <w:spacing w:line="360" w:lineRule="auto"/>
        <w:rPr>
          <w:rFonts w:hint="eastAsia" w:ascii="仿宋" w:hAnsi="仿宋" w:eastAsia="仿宋" w:cs="仿宋"/>
          <w:color w:val="auto"/>
          <w:highlight w:val="none"/>
        </w:rPr>
      </w:pPr>
    </w:p>
    <w:tbl>
      <w:tblPr>
        <w:tblStyle w:val="20"/>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9"/>
        <w:gridCol w:w="2625"/>
        <w:gridCol w:w="1623"/>
        <w:gridCol w:w="1830"/>
        <w:gridCol w:w="23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9" w:type="dxa"/>
            <w:vAlign w:val="center"/>
          </w:tcPr>
          <w:p>
            <w:pPr>
              <w:shd w:val="clear"/>
              <w:spacing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2625" w:type="dxa"/>
            <w:vAlign w:val="center"/>
          </w:tcPr>
          <w:p>
            <w:pPr>
              <w:shd w:val="clear"/>
              <w:spacing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供应商名称</w:t>
            </w:r>
          </w:p>
        </w:tc>
        <w:tc>
          <w:tcPr>
            <w:tcW w:w="5764" w:type="dxa"/>
            <w:gridSpan w:val="3"/>
            <w:vAlign w:val="center"/>
          </w:tcPr>
          <w:p>
            <w:pPr>
              <w:shd w:val="clear"/>
              <w:spacing w:line="480" w:lineRule="exact"/>
              <w:rPr>
                <w:rFonts w:hint="eastAsia" w:ascii="仿宋" w:hAnsi="仿宋" w:eastAsia="仿宋" w:cs="仿宋"/>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9" w:type="dxa"/>
            <w:vAlign w:val="center"/>
          </w:tcPr>
          <w:p>
            <w:pPr>
              <w:shd w:val="clear"/>
              <w:spacing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2625" w:type="dxa"/>
            <w:vAlign w:val="center"/>
          </w:tcPr>
          <w:p>
            <w:pPr>
              <w:shd w:val="clear"/>
              <w:spacing w:line="48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统一社会信用代码</w:t>
            </w:r>
          </w:p>
        </w:tc>
        <w:tc>
          <w:tcPr>
            <w:tcW w:w="5764" w:type="dxa"/>
            <w:gridSpan w:val="3"/>
            <w:vAlign w:val="center"/>
          </w:tcPr>
          <w:p>
            <w:pPr>
              <w:shd w:val="clear"/>
              <w:spacing w:line="480" w:lineRule="exact"/>
              <w:rPr>
                <w:rFonts w:hint="eastAsia" w:ascii="仿宋" w:hAnsi="仿宋" w:eastAsia="仿宋" w:cs="仿宋"/>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9" w:type="dxa"/>
            <w:vAlign w:val="center"/>
          </w:tcPr>
          <w:p>
            <w:pPr>
              <w:shd w:val="clear"/>
              <w:spacing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2625" w:type="dxa"/>
            <w:vAlign w:val="center"/>
          </w:tcPr>
          <w:p>
            <w:pPr>
              <w:shd w:val="clear"/>
              <w:spacing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注册地址</w:t>
            </w:r>
          </w:p>
        </w:tc>
        <w:tc>
          <w:tcPr>
            <w:tcW w:w="5764" w:type="dxa"/>
            <w:gridSpan w:val="3"/>
            <w:vAlign w:val="center"/>
          </w:tcPr>
          <w:p>
            <w:pPr>
              <w:shd w:val="clear"/>
              <w:spacing w:line="480" w:lineRule="exact"/>
              <w:rPr>
                <w:rFonts w:hint="eastAsia" w:ascii="仿宋" w:hAnsi="仿宋" w:eastAsia="仿宋" w:cs="仿宋"/>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9" w:type="dxa"/>
            <w:vAlign w:val="center"/>
          </w:tcPr>
          <w:p>
            <w:pPr>
              <w:shd w:val="clear"/>
              <w:spacing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2625" w:type="dxa"/>
            <w:vAlign w:val="center"/>
          </w:tcPr>
          <w:p>
            <w:pPr>
              <w:shd w:val="clear"/>
              <w:spacing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注册资金</w:t>
            </w:r>
          </w:p>
        </w:tc>
        <w:tc>
          <w:tcPr>
            <w:tcW w:w="5764" w:type="dxa"/>
            <w:gridSpan w:val="3"/>
            <w:vAlign w:val="center"/>
          </w:tcPr>
          <w:p>
            <w:pPr>
              <w:shd w:val="clear"/>
              <w:spacing w:line="480" w:lineRule="exact"/>
              <w:rPr>
                <w:rFonts w:hint="eastAsia" w:ascii="仿宋" w:hAnsi="仿宋" w:eastAsia="仿宋" w:cs="仿宋"/>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9" w:type="dxa"/>
            <w:vAlign w:val="center"/>
          </w:tcPr>
          <w:p>
            <w:pPr>
              <w:shd w:val="clear"/>
              <w:spacing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p>
        </w:tc>
        <w:tc>
          <w:tcPr>
            <w:tcW w:w="2625" w:type="dxa"/>
            <w:vAlign w:val="center"/>
          </w:tcPr>
          <w:p>
            <w:pPr>
              <w:shd w:val="clear"/>
              <w:spacing w:line="48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公司类型</w:t>
            </w:r>
          </w:p>
        </w:tc>
        <w:tc>
          <w:tcPr>
            <w:tcW w:w="5764" w:type="dxa"/>
            <w:gridSpan w:val="3"/>
            <w:vAlign w:val="center"/>
          </w:tcPr>
          <w:p>
            <w:pPr>
              <w:shd w:val="clear"/>
              <w:spacing w:line="480" w:lineRule="exact"/>
              <w:rPr>
                <w:rFonts w:hint="eastAsia" w:ascii="仿宋" w:hAnsi="仿宋" w:eastAsia="仿宋" w:cs="仿宋"/>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9" w:type="dxa"/>
            <w:vAlign w:val="center"/>
          </w:tcPr>
          <w:p>
            <w:pPr>
              <w:shd w:val="clear"/>
              <w:spacing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p>
        </w:tc>
        <w:tc>
          <w:tcPr>
            <w:tcW w:w="2625" w:type="dxa"/>
            <w:vAlign w:val="center"/>
          </w:tcPr>
          <w:p>
            <w:pPr>
              <w:shd w:val="clear"/>
              <w:spacing w:line="48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成立日期</w:t>
            </w:r>
          </w:p>
        </w:tc>
        <w:tc>
          <w:tcPr>
            <w:tcW w:w="5764" w:type="dxa"/>
            <w:gridSpan w:val="3"/>
            <w:vAlign w:val="center"/>
          </w:tcPr>
          <w:p>
            <w:pPr>
              <w:shd w:val="clear"/>
              <w:spacing w:line="480" w:lineRule="exact"/>
              <w:rPr>
                <w:rFonts w:hint="eastAsia" w:ascii="仿宋" w:hAnsi="仿宋" w:eastAsia="仿宋" w:cs="仿宋"/>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9" w:type="dxa"/>
            <w:vAlign w:val="center"/>
          </w:tcPr>
          <w:p>
            <w:pPr>
              <w:shd w:val="clear"/>
              <w:spacing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p>
        </w:tc>
        <w:tc>
          <w:tcPr>
            <w:tcW w:w="2625" w:type="dxa"/>
            <w:vAlign w:val="center"/>
          </w:tcPr>
          <w:p>
            <w:pPr>
              <w:shd w:val="clear"/>
              <w:spacing w:line="48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w:t>
            </w:r>
          </w:p>
        </w:tc>
        <w:tc>
          <w:tcPr>
            <w:tcW w:w="5764" w:type="dxa"/>
            <w:gridSpan w:val="3"/>
            <w:vAlign w:val="center"/>
          </w:tcPr>
          <w:p>
            <w:pPr>
              <w:shd w:val="clear"/>
              <w:spacing w:line="480" w:lineRule="exact"/>
              <w:jc w:val="center"/>
              <w:rPr>
                <w:rFonts w:hint="eastAsia" w:ascii="仿宋" w:hAnsi="仿宋" w:eastAsia="仿宋" w:cs="仿宋"/>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9" w:type="dxa"/>
            <w:vAlign w:val="center"/>
          </w:tcPr>
          <w:p>
            <w:pPr>
              <w:shd w:val="clear"/>
              <w:spacing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w:t>
            </w:r>
          </w:p>
        </w:tc>
        <w:tc>
          <w:tcPr>
            <w:tcW w:w="2625" w:type="dxa"/>
            <w:vAlign w:val="center"/>
          </w:tcPr>
          <w:p>
            <w:pPr>
              <w:shd w:val="clear"/>
              <w:spacing w:line="48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本项目联系人</w:t>
            </w:r>
          </w:p>
        </w:tc>
        <w:tc>
          <w:tcPr>
            <w:tcW w:w="1623" w:type="dxa"/>
            <w:vAlign w:val="center"/>
          </w:tcPr>
          <w:p>
            <w:pPr>
              <w:shd w:val="clear"/>
              <w:spacing w:line="480" w:lineRule="exact"/>
              <w:jc w:val="center"/>
              <w:rPr>
                <w:rFonts w:hint="eastAsia" w:ascii="仿宋" w:hAnsi="仿宋" w:eastAsia="仿宋" w:cs="仿宋"/>
                <w:color w:val="auto"/>
                <w:kern w:val="0"/>
                <w:sz w:val="28"/>
                <w:szCs w:val="28"/>
                <w:highlight w:val="none"/>
              </w:rPr>
            </w:pPr>
          </w:p>
        </w:tc>
        <w:tc>
          <w:tcPr>
            <w:tcW w:w="1830" w:type="dxa"/>
            <w:vAlign w:val="center"/>
          </w:tcPr>
          <w:p>
            <w:pPr>
              <w:shd w:val="clear"/>
              <w:spacing w:line="48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联系人电话</w:t>
            </w:r>
          </w:p>
        </w:tc>
        <w:tc>
          <w:tcPr>
            <w:tcW w:w="2311" w:type="dxa"/>
            <w:vAlign w:val="center"/>
          </w:tcPr>
          <w:p>
            <w:pPr>
              <w:shd w:val="clear"/>
              <w:spacing w:line="480" w:lineRule="exact"/>
              <w:jc w:val="center"/>
              <w:rPr>
                <w:rFonts w:hint="eastAsia" w:ascii="仿宋" w:hAnsi="仿宋" w:eastAsia="仿宋" w:cs="仿宋"/>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9" w:type="dxa"/>
            <w:vAlign w:val="center"/>
          </w:tcPr>
          <w:p>
            <w:pPr>
              <w:shd w:val="clear"/>
              <w:spacing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p>
        </w:tc>
        <w:tc>
          <w:tcPr>
            <w:tcW w:w="2625" w:type="dxa"/>
            <w:vAlign w:val="center"/>
          </w:tcPr>
          <w:p>
            <w:pPr>
              <w:shd w:val="clear"/>
              <w:spacing w:line="48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公司电话</w:t>
            </w:r>
          </w:p>
        </w:tc>
        <w:tc>
          <w:tcPr>
            <w:tcW w:w="1623" w:type="dxa"/>
            <w:vAlign w:val="center"/>
          </w:tcPr>
          <w:p>
            <w:pPr>
              <w:shd w:val="clear"/>
              <w:spacing w:line="480" w:lineRule="exact"/>
              <w:jc w:val="center"/>
              <w:rPr>
                <w:rFonts w:hint="eastAsia" w:ascii="仿宋" w:hAnsi="仿宋" w:eastAsia="仿宋" w:cs="仿宋"/>
                <w:color w:val="auto"/>
                <w:kern w:val="0"/>
                <w:sz w:val="28"/>
                <w:szCs w:val="28"/>
                <w:highlight w:val="none"/>
              </w:rPr>
            </w:pPr>
          </w:p>
        </w:tc>
        <w:tc>
          <w:tcPr>
            <w:tcW w:w="1830" w:type="dxa"/>
            <w:vAlign w:val="center"/>
          </w:tcPr>
          <w:p>
            <w:pPr>
              <w:shd w:val="clear"/>
              <w:spacing w:line="48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公司传真</w:t>
            </w:r>
          </w:p>
        </w:tc>
        <w:tc>
          <w:tcPr>
            <w:tcW w:w="2311" w:type="dxa"/>
            <w:vAlign w:val="center"/>
          </w:tcPr>
          <w:p>
            <w:pPr>
              <w:shd w:val="clear"/>
              <w:spacing w:line="480" w:lineRule="exact"/>
              <w:jc w:val="center"/>
              <w:rPr>
                <w:rFonts w:hint="eastAsia" w:ascii="仿宋" w:hAnsi="仿宋" w:eastAsia="仿宋" w:cs="仿宋"/>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9" w:type="dxa"/>
            <w:vAlign w:val="center"/>
          </w:tcPr>
          <w:p>
            <w:pPr>
              <w:shd w:val="clear"/>
              <w:spacing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p>
        </w:tc>
        <w:tc>
          <w:tcPr>
            <w:tcW w:w="2625" w:type="dxa"/>
            <w:vAlign w:val="center"/>
          </w:tcPr>
          <w:p>
            <w:pPr>
              <w:shd w:val="clear"/>
              <w:spacing w:line="48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开户银行</w:t>
            </w:r>
          </w:p>
        </w:tc>
        <w:tc>
          <w:tcPr>
            <w:tcW w:w="1623" w:type="dxa"/>
            <w:vAlign w:val="center"/>
          </w:tcPr>
          <w:p>
            <w:pPr>
              <w:shd w:val="clear"/>
              <w:spacing w:line="480" w:lineRule="exact"/>
              <w:jc w:val="center"/>
              <w:rPr>
                <w:rFonts w:hint="eastAsia" w:ascii="仿宋" w:hAnsi="仿宋" w:eastAsia="仿宋" w:cs="仿宋"/>
                <w:color w:val="auto"/>
                <w:kern w:val="0"/>
                <w:sz w:val="28"/>
                <w:szCs w:val="28"/>
                <w:highlight w:val="none"/>
              </w:rPr>
            </w:pPr>
          </w:p>
        </w:tc>
        <w:tc>
          <w:tcPr>
            <w:tcW w:w="1830" w:type="dxa"/>
            <w:vAlign w:val="center"/>
          </w:tcPr>
          <w:p>
            <w:pPr>
              <w:shd w:val="clear"/>
              <w:spacing w:line="48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账号</w:t>
            </w:r>
          </w:p>
        </w:tc>
        <w:tc>
          <w:tcPr>
            <w:tcW w:w="2311" w:type="dxa"/>
            <w:vAlign w:val="center"/>
          </w:tcPr>
          <w:p>
            <w:pPr>
              <w:shd w:val="clear"/>
              <w:spacing w:line="480" w:lineRule="exact"/>
              <w:jc w:val="center"/>
              <w:rPr>
                <w:rFonts w:hint="eastAsia" w:ascii="仿宋" w:hAnsi="仿宋" w:eastAsia="仿宋" w:cs="仿宋"/>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1" w:hRule="atLeast"/>
          <w:jc w:val="center"/>
        </w:trPr>
        <w:tc>
          <w:tcPr>
            <w:tcW w:w="849" w:type="dxa"/>
            <w:vAlign w:val="center"/>
          </w:tcPr>
          <w:p>
            <w:pPr>
              <w:shd w:val="clear"/>
              <w:spacing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w:t>
            </w:r>
          </w:p>
        </w:tc>
        <w:tc>
          <w:tcPr>
            <w:tcW w:w="2625" w:type="dxa"/>
            <w:vAlign w:val="center"/>
          </w:tcPr>
          <w:p>
            <w:pPr>
              <w:shd w:val="clear"/>
              <w:spacing w:line="48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经营范围</w:t>
            </w:r>
          </w:p>
        </w:tc>
        <w:tc>
          <w:tcPr>
            <w:tcW w:w="5764" w:type="dxa"/>
            <w:gridSpan w:val="3"/>
            <w:vAlign w:val="center"/>
          </w:tcPr>
          <w:p>
            <w:pPr>
              <w:shd w:val="clear"/>
              <w:spacing w:line="480" w:lineRule="exact"/>
              <w:jc w:val="center"/>
              <w:rPr>
                <w:rFonts w:hint="eastAsia" w:ascii="仿宋" w:hAnsi="仿宋" w:eastAsia="仿宋" w:cs="仿宋"/>
                <w:color w:val="auto"/>
                <w:kern w:val="0"/>
                <w:sz w:val="28"/>
                <w:szCs w:val="28"/>
                <w:highlight w:val="none"/>
              </w:rPr>
            </w:pPr>
          </w:p>
        </w:tc>
      </w:tr>
    </w:tbl>
    <w:p>
      <w:pPr>
        <w:shd w:val="clear"/>
        <w:spacing w:line="480" w:lineRule="exact"/>
        <w:rPr>
          <w:rFonts w:hint="eastAsia" w:ascii="仿宋" w:hAnsi="仿宋" w:eastAsia="仿宋" w:cs="仿宋"/>
          <w:b/>
          <w:color w:val="auto"/>
          <w:sz w:val="28"/>
          <w:szCs w:val="28"/>
          <w:highlight w:val="none"/>
        </w:rPr>
        <w:sectPr>
          <w:pgSz w:w="11906" w:h="16838"/>
          <w:pgMar w:top="1440" w:right="1418" w:bottom="1440" w:left="1418"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仿宋" w:hAnsi="仿宋" w:eastAsia="仿宋" w:cs="仿宋"/>
          <w:b/>
          <w:color w:val="auto"/>
          <w:sz w:val="28"/>
          <w:szCs w:val="28"/>
          <w:highlight w:val="none"/>
        </w:rPr>
        <w:t>注：本表之后附营业执照及开户许可证。</w:t>
      </w:r>
    </w:p>
    <w:p>
      <w:pPr>
        <w:pStyle w:val="4"/>
        <w:shd w:val="clear"/>
        <w:wordWrap w:val="0"/>
        <w:spacing w:before="60" w:after="60" w:line="360" w:lineRule="auto"/>
        <w:jc w:val="center"/>
        <w:rPr>
          <w:rFonts w:hint="eastAsia" w:ascii="仿宋" w:hAnsi="仿宋" w:eastAsia="仿宋" w:cs="仿宋"/>
          <w:color w:val="auto"/>
          <w:sz w:val="28"/>
          <w:szCs w:val="28"/>
          <w:highlight w:val="none"/>
        </w:rPr>
      </w:pPr>
      <w:bookmarkStart w:id="152" w:name="_Toc12839"/>
      <w:bookmarkStart w:id="153" w:name="_Toc19945"/>
      <w:bookmarkStart w:id="154" w:name="_Toc28515"/>
      <w:r>
        <w:rPr>
          <w:rFonts w:hint="eastAsia" w:ascii="仿宋" w:hAnsi="仿宋" w:eastAsia="仿宋" w:cs="仿宋"/>
          <w:color w:val="auto"/>
          <w:sz w:val="28"/>
          <w:highlight w:val="none"/>
        </w:rPr>
        <w:t>七、</w:t>
      </w:r>
      <w:bookmarkEnd w:id="152"/>
      <w:r>
        <w:rPr>
          <w:rFonts w:hint="eastAsia" w:ascii="仿宋" w:hAnsi="仿宋" w:eastAsia="仿宋" w:cs="仿宋"/>
          <w:color w:val="auto"/>
          <w:sz w:val="28"/>
          <w:szCs w:val="28"/>
          <w:highlight w:val="none"/>
        </w:rPr>
        <w:t>供应商相关资格证件及相关证明材料</w:t>
      </w:r>
      <w:bookmarkEnd w:id="153"/>
      <w:bookmarkEnd w:id="154"/>
    </w:p>
    <w:bookmarkEnd w:id="130"/>
    <w:p>
      <w:pPr>
        <w:shd w:val="clear"/>
        <w:wordWrap w:val="0"/>
        <w:spacing w:line="360" w:lineRule="auto"/>
        <w:ind w:firstLine="560" w:firstLineChars="200"/>
        <w:jc w:val="both"/>
        <w:rPr>
          <w:rFonts w:hint="default" w:ascii="仿宋" w:hAnsi="仿宋" w:eastAsia="仿宋" w:cs="仿宋"/>
          <w:b/>
          <w:color w:val="auto"/>
          <w:sz w:val="28"/>
          <w:szCs w:val="28"/>
          <w:highlight w:val="none"/>
          <w:lang w:val="en-US" w:eastAsia="zh-CN"/>
        </w:rPr>
      </w:pPr>
      <w:r>
        <w:rPr>
          <w:rFonts w:hint="eastAsia" w:ascii="仿宋" w:hAnsi="仿宋" w:eastAsia="仿宋" w:cs="仿宋"/>
          <w:b w:val="0"/>
          <w:bCs/>
          <w:color w:val="auto"/>
          <w:sz w:val="28"/>
          <w:szCs w:val="28"/>
          <w:highlight w:val="none"/>
          <w:lang w:eastAsia="zh-CN"/>
        </w:rPr>
        <w:t>供应商依据</w:t>
      </w:r>
      <w:r>
        <w:rPr>
          <w:rFonts w:hint="eastAsia" w:ascii="仿宋" w:hAnsi="仿宋" w:eastAsia="仿宋" w:cs="仿宋"/>
          <w:b w:val="0"/>
          <w:bCs/>
          <w:color w:val="auto"/>
          <w:sz w:val="28"/>
          <w:szCs w:val="28"/>
          <w:highlight w:val="none"/>
        </w:rPr>
        <w:t>资格审查办法和</w:t>
      </w:r>
      <w:r>
        <w:rPr>
          <w:rFonts w:hint="eastAsia" w:ascii="仿宋" w:hAnsi="仿宋" w:eastAsia="仿宋" w:cs="仿宋"/>
          <w:b w:val="0"/>
          <w:bCs/>
          <w:color w:val="auto"/>
          <w:sz w:val="28"/>
          <w:szCs w:val="28"/>
          <w:highlight w:val="none"/>
          <w:lang w:eastAsia="zh-CN"/>
        </w:rPr>
        <w:t>评审</w:t>
      </w:r>
      <w:r>
        <w:rPr>
          <w:rFonts w:hint="eastAsia" w:ascii="仿宋" w:hAnsi="仿宋" w:eastAsia="仿宋" w:cs="仿宋"/>
          <w:b w:val="0"/>
          <w:bCs/>
          <w:color w:val="auto"/>
          <w:sz w:val="28"/>
          <w:szCs w:val="28"/>
          <w:highlight w:val="none"/>
        </w:rPr>
        <w:t>办法</w:t>
      </w:r>
      <w:r>
        <w:rPr>
          <w:rFonts w:hint="eastAsia" w:ascii="仿宋" w:hAnsi="仿宋" w:eastAsia="仿宋" w:cs="仿宋"/>
          <w:b w:val="0"/>
          <w:bCs/>
          <w:color w:val="auto"/>
          <w:sz w:val="28"/>
          <w:szCs w:val="28"/>
          <w:highlight w:val="none"/>
          <w:lang w:eastAsia="zh-CN"/>
        </w:rPr>
        <w:t>的</w:t>
      </w:r>
      <w:r>
        <w:rPr>
          <w:rFonts w:hint="eastAsia" w:ascii="仿宋" w:hAnsi="仿宋" w:eastAsia="仿宋" w:cs="仿宋"/>
          <w:b w:val="0"/>
          <w:bCs/>
          <w:color w:val="auto"/>
          <w:sz w:val="28"/>
          <w:szCs w:val="28"/>
          <w:highlight w:val="none"/>
        </w:rPr>
        <w:t>第一节资格审查办法</w:t>
      </w:r>
      <w:r>
        <w:rPr>
          <w:rFonts w:hint="eastAsia" w:ascii="仿宋" w:hAnsi="仿宋" w:eastAsia="仿宋" w:cs="仿宋"/>
          <w:b w:val="0"/>
          <w:bCs/>
          <w:color w:val="auto"/>
          <w:sz w:val="28"/>
          <w:szCs w:val="28"/>
          <w:highlight w:val="none"/>
          <w:lang w:val="en-US" w:eastAsia="zh-CN"/>
        </w:rPr>
        <w:t>1标段和2标段提供。</w:t>
      </w:r>
    </w:p>
    <w:p>
      <w:pPr>
        <w:shd w:val="clear"/>
        <w:wordWrap w:val="0"/>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、中小企业声明函（格式见“附件1”）；</w:t>
      </w:r>
    </w:p>
    <w:p>
      <w:pPr>
        <w:shd w:val="clear"/>
        <w:wordWrap w:val="0"/>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、监狱企业声明函 （格式见“附件2”）；</w:t>
      </w:r>
    </w:p>
    <w:p>
      <w:pPr>
        <w:shd w:val="clear"/>
        <w:wordWrap w:val="0"/>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、残疾人福利性单位声明函（格式见“附件3”）。</w:t>
      </w:r>
    </w:p>
    <w:p>
      <w:pPr>
        <w:shd w:val="clea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shd w:val="clear"/>
        <w:wordWrap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附件1：</w:t>
      </w:r>
    </w:p>
    <w:p>
      <w:pPr>
        <w:shd w:val="clear"/>
        <w:wordWrap w:val="0"/>
        <w:spacing w:line="360" w:lineRule="auto"/>
        <w:ind w:firstLine="2800" w:firstLineChars="1000"/>
        <w:rPr>
          <w:rFonts w:hint="eastAsia" w:ascii="仿宋" w:hAnsi="仿宋" w:eastAsia="仿宋" w:cs="仿宋"/>
          <w:color w:val="auto"/>
          <w:sz w:val="28"/>
          <w:szCs w:val="28"/>
          <w:highlight w:val="none"/>
          <w:lang w:val="en-US" w:eastAsia="zh-CN"/>
        </w:rPr>
      </w:pPr>
      <w:bookmarkStart w:id="155" w:name="OLE_LINK13"/>
      <w:bookmarkStart w:id="156" w:name="OLE_LINK14"/>
      <w:r>
        <w:rPr>
          <w:rFonts w:hint="eastAsia" w:ascii="仿宋" w:hAnsi="仿宋" w:eastAsia="仿宋" w:cs="仿宋"/>
          <w:color w:val="auto"/>
          <w:sz w:val="28"/>
          <w:szCs w:val="28"/>
          <w:highlight w:val="none"/>
          <w:lang w:val="en-US" w:eastAsia="zh-CN"/>
        </w:rPr>
        <w:t>中小企业声明函（货物）</w:t>
      </w:r>
    </w:p>
    <w:p>
      <w:pPr>
        <w:shd w:val="clear"/>
        <w:wordWrap w:val="0"/>
        <w:spacing w:line="360" w:lineRule="auto"/>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 </w:t>
      </w:r>
    </w:p>
    <w:p>
      <w:pPr>
        <w:shd w:val="clear"/>
        <w:wordWrap w:val="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 （标的名称） ，属于（采购文件中明确的所属行业）行业；制造商为（企业名称），从业人员 人，营业收入为 万元，资产总额为 万元 ，属于（</w:t>
      </w:r>
      <w:r>
        <w:rPr>
          <w:rFonts w:hint="eastAsia" w:ascii="仿宋" w:hAnsi="仿宋" w:eastAsia="仿宋" w:cs="仿宋"/>
          <w:color w:val="auto"/>
          <w:sz w:val="28"/>
          <w:szCs w:val="28"/>
          <w:highlight w:val="none"/>
          <w:lang w:val="en-US" w:eastAsia="zh-CN"/>
        </w:rPr>
        <w:sym w:font="Wingdings" w:char="00A8"/>
      </w:r>
      <w:r>
        <w:rPr>
          <w:rFonts w:hint="eastAsia" w:ascii="仿宋" w:hAnsi="仿宋" w:eastAsia="仿宋" w:cs="仿宋"/>
          <w:color w:val="auto"/>
          <w:sz w:val="28"/>
          <w:szCs w:val="28"/>
          <w:highlight w:val="none"/>
          <w:lang w:val="en-US" w:eastAsia="zh-CN"/>
        </w:rPr>
        <w:t>中型企业、</w:t>
      </w:r>
      <w:r>
        <w:rPr>
          <w:rFonts w:hint="eastAsia" w:ascii="仿宋" w:hAnsi="仿宋" w:eastAsia="仿宋" w:cs="仿宋"/>
          <w:color w:val="auto"/>
          <w:sz w:val="28"/>
          <w:szCs w:val="28"/>
          <w:highlight w:val="none"/>
          <w:lang w:val="en-US" w:eastAsia="zh-CN"/>
        </w:rPr>
        <w:sym w:font="Wingdings" w:char="00A8"/>
      </w:r>
      <w:r>
        <w:rPr>
          <w:rFonts w:hint="eastAsia" w:ascii="仿宋" w:hAnsi="仿宋" w:eastAsia="仿宋" w:cs="仿宋"/>
          <w:color w:val="auto"/>
          <w:sz w:val="28"/>
          <w:szCs w:val="28"/>
          <w:highlight w:val="none"/>
          <w:lang w:val="en-US" w:eastAsia="zh-CN"/>
        </w:rPr>
        <w:t>小型企业、</w:t>
      </w:r>
      <w:r>
        <w:rPr>
          <w:rFonts w:hint="eastAsia" w:ascii="仿宋" w:hAnsi="仿宋" w:eastAsia="仿宋" w:cs="仿宋"/>
          <w:color w:val="auto"/>
          <w:sz w:val="28"/>
          <w:szCs w:val="28"/>
          <w:highlight w:val="none"/>
          <w:lang w:val="en-US" w:eastAsia="zh-CN"/>
        </w:rPr>
        <w:sym w:font="Wingdings" w:char="00A8"/>
      </w:r>
      <w:r>
        <w:rPr>
          <w:rFonts w:hint="eastAsia" w:ascii="仿宋" w:hAnsi="仿宋" w:eastAsia="仿宋" w:cs="仿宋"/>
          <w:color w:val="auto"/>
          <w:sz w:val="28"/>
          <w:szCs w:val="28"/>
          <w:highlight w:val="none"/>
          <w:lang w:val="en-US" w:eastAsia="zh-CN"/>
        </w:rPr>
        <w:t xml:space="preserve">微型企业）； </w:t>
      </w:r>
    </w:p>
    <w:p>
      <w:pPr>
        <w:shd w:val="clear"/>
        <w:wordWrap w:val="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 （标的名称） ，属于（采购文件中明确的所属行业）行业；制造商为（企业名称），从业人员 人，营业收入为 万元，资产总额为 万元，属于（</w:t>
      </w:r>
      <w:r>
        <w:rPr>
          <w:rFonts w:hint="eastAsia" w:ascii="仿宋" w:hAnsi="仿宋" w:eastAsia="仿宋" w:cs="仿宋"/>
          <w:color w:val="auto"/>
          <w:sz w:val="28"/>
          <w:szCs w:val="28"/>
          <w:highlight w:val="none"/>
          <w:lang w:val="en-US" w:eastAsia="zh-CN"/>
        </w:rPr>
        <w:sym w:font="Wingdings" w:char="00A8"/>
      </w:r>
      <w:r>
        <w:rPr>
          <w:rFonts w:hint="eastAsia" w:ascii="仿宋" w:hAnsi="仿宋" w:eastAsia="仿宋" w:cs="仿宋"/>
          <w:color w:val="auto"/>
          <w:sz w:val="28"/>
          <w:szCs w:val="28"/>
          <w:highlight w:val="none"/>
          <w:lang w:val="en-US" w:eastAsia="zh-CN"/>
        </w:rPr>
        <w:t>中型企业、</w:t>
      </w:r>
      <w:r>
        <w:rPr>
          <w:rFonts w:hint="eastAsia" w:ascii="仿宋" w:hAnsi="仿宋" w:eastAsia="仿宋" w:cs="仿宋"/>
          <w:color w:val="auto"/>
          <w:sz w:val="28"/>
          <w:szCs w:val="28"/>
          <w:highlight w:val="none"/>
          <w:lang w:val="en-US" w:eastAsia="zh-CN"/>
        </w:rPr>
        <w:sym w:font="Wingdings" w:char="00A8"/>
      </w:r>
      <w:r>
        <w:rPr>
          <w:rFonts w:hint="eastAsia" w:ascii="仿宋" w:hAnsi="仿宋" w:eastAsia="仿宋" w:cs="仿宋"/>
          <w:color w:val="auto"/>
          <w:sz w:val="28"/>
          <w:szCs w:val="28"/>
          <w:highlight w:val="none"/>
          <w:lang w:val="en-US" w:eastAsia="zh-CN"/>
        </w:rPr>
        <w:t>小型企业、</w:t>
      </w:r>
      <w:r>
        <w:rPr>
          <w:rFonts w:hint="eastAsia" w:ascii="仿宋" w:hAnsi="仿宋" w:eastAsia="仿宋" w:cs="仿宋"/>
          <w:color w:val="auto"/>
          <w:sz w:val="28"/>
          <w:szCs w:val="28"/>
          <w:highlight w:val="none"/>
          <w:lang w:val="en-US" w:eastAsia="zh-CN"/>
        </w:rPr>
        <w:sym w:font="Wingdings" w:char="00A8"/>
      </w:r>
      <w:r>
        <w:rPr>
          <w:rFonts w:hint="eastAsia" w:ascii="仿宋" w:hAnsi="仿宋" w:eastAsia="仿宋" w:cs="仿宋"/>
          <w:color w:val="auto"/>
          <w:sz w:val="28"/>
          <w:szCs w:val="28"/>
          <w:highlight w:val="none"/>
          <w:lang w:val="en-US" w:eastAsia="zh-CN"/>
        </w:rPr>
        <w:t xml:space="preserve">微型企业）； </w:t>
      </w:r>
    </w:p>
    <w:p>
      <w:pPr>
        <w:shd w:val="clear"/>
        <w:wordWrap w:val="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w:t>
      </w:r>
    </w:p>
    <w:p>
      <w:pPr>
        <w:shd w:val="clear"/>
        <w:wordWrap w:val="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以上企业，不属于大企业的分支机构，不存在控股股东为大企业的情形，也不存在与大企业的负责人为同一人的情形。 </w:t>
      </w:r>
    </w:p>
    <w:p>
      <w:pPr>
        <w:shd w:val="clear"/>
        <w:wordWrap w:val="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本企业对上述声明内容的真实性负责。如有虚假，将依法承担相应责任。 </w:t>
      </w:r>
    </w:p>
    <w:p>
      <w:pPr>
        <w:shd w:val="clear"/>
        <w:wordWrap w:val="0"/>
        <w:spacing w:line="360" w:lineRule="auto"/>
        <w:rPr>
          <w:rFonts w:hint="eastAsia" w:ascii="仿宋" w:hAnsi="仿宋" w:eastAsia="仿宋" w:cs="仿宋"/>
          <w:color w:val="auto"/>
          <w:sz w:val="28"/>
          <w:szCs w:val="28"/>
          <w:highlight w:val="none"/>
          <w:lang w:val="en-US" w:eastAsia="zh-CN"/>
        </w:rPr>
      </w:pPr>
    </w:p>
    <w:p>
      <w:pPr>
        <w:shd w:val="clear"/>
        <w:wordWrap w:val="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企业名称（盖章）： </w:t>
      </w:r>
    </w:p>
    <w:p>
      <w:pPr>
        <w:shd w:val="clear"/>
        <w:wordWrap w:val="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日 期： </w:t>
      </w:r>
    </w:p>
    <w:p>
      <w:pPr>
        <w:widowControl/>
        <w:shd w:val="clear"/>
        <w:wordWrap w:val="0"/>
        <w:spacing w:after="312" w:afterLines="100" w:line="500" w:lineRule="exact"/>
        <w:jc w:val="lef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从业人员、营业收入、资产总额填报上一年度数据，无上一年度数据的新成立企业可不填报。</w:t>
      </w:r>
    </w:p>
    <w:p>
      <w:pPr>
        <w:pStyle w:val="2"/>
        <w:spacing w:line="440" w:lineRule="exact"/>
        <w:rPr>
          <w:rFonts w:ascii="Times New Roman" w:hAnsi="Times New Roman" w:eastAsia="方正仿宋_GBK" w:cs="Times New Roman"/>
          <w:color w:val="auto"/>
          <w:sz w:val="28"/>
          <w:szCs w:val="28"/>
          <w:highlight w:val="none"/>
        </w:rPr>
      </w:pPr>
    </w:p>
    <w:p>
      <w:pPr>
        <w:shd w:val="clear"/>
        <w:rPr>
          <w:rFonts w:hint="eastAsia" w:ascii="仿宋" w:hAnsi="仿宋" w:eastAsia="仿宋" w:cs="仿宋"/>
          <w:color w:val="auto"/>
          <w:sz w:val="28"/>
          <w:szCs w:val="28"/>
          <w:highlight w:val="none"/>
        </w:rPr>
      </w:pPr>
      <w:r>
        <w:rPr>
          <w:rFonts w:ascii="Times New Roman" w:hAnsi="Times New Roman" w:eastAsia="方正仿宋_GBK" w:cs="Times New Roman"/>
          <w:b/>
          <w:bCs/>
          <w:color w:val="auto"/>
          <w:szCs w:val="21"/>
          <w:highlight w:val="none"/>
        </w:rPr>
        <w:t>注：供应商根据自身情况自行决定是否填写本函。小微型企业查询渠道：“小微企业查询名录”网站（http://xwqy.gsxt.gov.cn/mirco/micro_lib）。供应商应按上述规定提供“中小企业声明函”，并将查询结果装订在响应文件中，依据政府采购相关政策，</w:t>
      </w:r>
      <w:r>
        <w:rPr>
          <w:rFonts w:ascii="Times New Roman" w:hAnsi="Times New Roman" w:eastAsia="方正仿宋_GBK" w:cs="Times New Roman"/>
          <w:b/>
          <w:bCs/>
          <w:color w:val="auto"/>
          <w:szCs w:val="21"/>
          <w:highlight w:val="none"/>
          <w:lang w:val="zh-CN"/>
        </w:rPr>
        <w:t>《财政部工业和信息化部关于印发〈关于进一步加大政府采购支持中小企业力度〉的通知》（财库〔2022〕19号）的规</w:t>
      </w:r>
      <w:r>
        <w:rPr>
          <w:rFonts w:ascii="Times New Roman" w:hAnsi="Times New Roman" w:eastAsia="方正仿宋_GBK" w:cs="Times New Roman"/>
          <w:b/>
          <w:bCs/>
          <w:color w:val="auto"/>
          <w:szCs w:val="21"/>
          <w:highlight w:val="none"/>
        </w:rPr>
        <w:t>定本</w:t>
      </w:r>
      <w:r>
        <w:rPr>
          <w:rFonts w:ascii="Times New Roman" w:hAnsi="Times New Roman" w:eastAsia="方正仿宋_GBK" w:cs="Times New Roman"/>
          <w:b/>
          <w:bCs/>
          <w:color w:val="auto"/>
          <w:szCs w:val="21"/>
          <w:highlight w:val="none"/>
          <w:lang w:val="zh-CN"/>
        </w:rPr>
        <w:t>项目</w:t>
      </w:r>
      <w:r>
        <w:rPr>
          <w:rFonts w:ascii="Times New Roman" w:hAnsi="Times New Roman" w:eastAsia="方正仿宋_GBK" w:cs="Times New Roman"/>
          <w:b/>
          <w:bCs/>
          <w:color w:val="auto"/>
          <w:szCs w:val="21"/>
          <w:highlight w:val="none"/>
        </w:rPr>
        <w:t>对小微企业的</w:t>
      </w:r>
      <w:r>
        <w:rPr>
          <w:rFonts w:hint="eastAsia" w:ascii="Times New Roman" w:hAnsi="Times New Roman" w:eastAsia="方正仿宋_GBK" w:cs="Times New Roman"/>
          <w:b/>
          <w:bCs/>
          <w:color w:val="auto"/>
          <w:szCs w:val="21"/>
          <w:highlight w:val="none"/>
        </w:rPr>
        <w:t>最终报价</w:t>
      </w:r>
      <w:r>
        <w:rPr>
          <w:rFonts w:ascii="Times New Roman" w:hAnsi="Times New Roman" w:eastAsia="方正仿宋_GBK" w:cs="Times New Roman"/>
          <w:b/>
          <w:bCs/>
          <w:color w:val="auto"/>
          <w:szCs w:val="21"/>
          <w:highlight w:val="none"/>
        </w:rPr>
        <w:t>给予</w:t>
      </w:r>
      <w:r>
        <w:rPr>
          <w:rFonts w:hint="eastAsia" w:ascii="Times New Roman" w:hAnsi="Times New Roman" w:eastAsia="方正仿宋_GBK" w:cs="Times New Roman"/>
          <w:b/>
          <w:bCs/>
          <w:color w:val="auto"/>
          <w:szCs w:val="21"/>
          <w:highlight w:val="none"/>
        </w:rPr>
        <w:t>10</w:t>
      </w:r>
      <w:r>
        <w:rPr>
          <w:rFonts w:ascii="Times New Roman" w:hAnsi="Times New Roman" w:eastAsia="方正仿宋_GBK" w:cs="Times New Roman"/>
          <w:b/>
          <w:bCs/>
          <w:color w:val="auto"/>
          <w:szCs w:val="21"/>
          <w:highlight w:val="none"/>
        </w:rPr>
        <w:t>%的扣除，用扣除后的价格参与评审（监狱企业、残疾人福利性单位视同小微企业）供应商仅能获得一种政策加分，不重复享受</w:t>
      </w:r>
      <w:r>
        <w:rPr>
          <w:rFonts w:hint="eastAsia" w:ascii="仿宋" w:hAnsi="仿宋" w:eastAsia="仿宋" w:cs="仿宋"/>
          <w:color w:val="auto"/>
          <w:sz w:val="28"/>
          <w:szCs w:val="28"/>
          <w:highlight w:val="none"/>
        </w:rPr>
        <w:br w:type="page"/>
      </w:r>
    </w:p>
    <w:p>
      <w:pPr>
        <w:shd w:val="clear"/>
        <w:wordWrap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附件2：</w:t>
      </w:r>
    </w:p>
    <w:p>
      <w:pPr>
        <w:shd w:val="clear"/>
        <w:wordWrap w:val="0"/>
        <w:spacing w:line="360" w:lineRule="auto"/>
        <w:jc w:val="center"/>
        <w:rPr>
          <w:rFonts w:hint="eastAsia" w:ascii="仿宋" w:hAnsi="仿宋" w:eastAsia="仿宋" w:cs="仿宋"/>
          <w:b/>
          <w:bCs/>
          <w:color w:val="auto"/>
          <w:w w:val="95"/>
          <w:sz w:val="28"/>
          <w:szCs w:val="28"/>
          <w:highlight w:val="none"/>
        </w:rPr>
      </w:pPr>
      <w:r>
        <w:rPr>
          <w:rFonts w:hint="eastAsia" w:ascii="仿宋" w:hAnsi="仿宋" w:eastAsia="仿宋" w:cs="仿宋"/>
          <w:b/>
          <w:color w:val="auto"/>
          <w:spacing w:val="6"/>
          <w:sz w:val="28"/>
          <w:szCs w:val="28"/>
          <w:highlight w:val="none"/>
        </w:rPr>
        <w:t>（二）</w:t>
      </w:r>
      <w:r>
        <w:rPr>
          <w:rFonts w:hint="eastAsia" w:ascii="仿宋" w:hAnsi="仿宋" w:eastAsia="仿宋" w:cs="仿宋"/>
          <w:b/>
          <w:bCs/>
          <w:color w:val="auto"/>
          <w:w w:val="95"/>
          <w:sz w:val="28"/>
          <w:szCs w:val="28"/>
          <w:highlight w:val="none"/>
        </w:rPr>
        <w:t>监狱企业声明函</w:t>
      </w:r>
    </w:p>
    <w:p>
      <w:pPr>
        <w:widowControl/>
        <w:shd w:val="clear"/>
        <w:wordWrap w:val="0"/>
        <w:spacing w:line="360" w:lineRule="auto"/>
        <w:ind w:firstLine="840" w:firstLineChars="300"/>
        <w:jc w:val="left"/>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 xml:space="preserve">公司郑重声明，根据《关于政府采购支持监狱企业发展有关问题的通知》 （财库[2014]68 号）的规定，本公司为监狱企业。 </w:t>
      </w:r>
    </w:p>
    <w:p>
      <w:pPr>
        <w:widowControl/>
        <w:shd w:val="clear"/>
        <w:wordWrap w:val="0"/>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 xml:space="preserve">根据上述标准，我公司属于监狱企业的理由为：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pPr>
        <w:widowControl/>
        <w:shd w:val="clear"/>
        <w:wordWrap w:val="0"/>
        <w:spacing w:line="360" w:lineRule="auto"/>
        <w:ind w:firstLine="560" w:firstLineChars="200"/>
        <w:jc w:val="left"/>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rPr>
        <w:t xml:space="preserve">本公司为参加 </w:t>
      </w:r>
      <w:r>
        <w:rPr>
          <w:rFonts w:hint="eastAsia" w:ascii="仿宋" w:hAnsi="仿宋" w:eastAsia="仿宋" w:cs="仿宋"/>
          <w:color w:val="auto"/>
          <w:kern w:val="0"/>
          <w:sz w:val="28"/>
          <w:szCs w:val="28"/>
          <w:highlight w:val="none"/>
          <w:u w:val="single"/>
        </w:rPr>
        <w:t>（项目名称）</w:t>
      </w:r>
      <w:r>
        <w:rPr>
          <w:rFonts w:hint="eastAsia" w:ascii="仿宋" w:hAnsi="仿宋" w:eastAsia="仿宋" w:cs="仿宋"/>
          <w:color w:val="auto"/>
          <w:kern w:val="0"/>
          <w:sz w:val="28"/>
          <w:szCs w:val="28"/>
          <w:highlight w:val="none"/>
        </w:rPr>
        <w:t xml:space="preserve"> 采购活动提供本企业（</w:t>
      </w:r>
      <w:r>
        <w:rPr>
          <w:rFonts w:hint="eastAsia" w:ascii="仿宋" w:hAnsi="仿宋" w:eastAsia="仿宋" w:cs="仿宋"/>
          <w:color w:val="auto"/>
          <w:kern w:val="0"/>
          <w:sz w:val="28"/>
          <w:szCs w:val="28"/>
          <w:highlight w:val="none"/>
          <w:u w:val="single"/>
        </w:rPr>
        <w:t xml:space="preserve">填写制造 </w:t>
      </w:r>
    </w:p>
    <w:p>
      <w:pPr>
        <w:widowControl/>
        <w:shd w:val="clear"/>
        <w:wordWrap w:val="0"/>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u w:val="single"/>
        </w:rPr>
        <w:t>的货物，由本企业承担工程、提供服务）</w:t>
      </w:r>
      <w:r>
        <w:rPr>
          <w:rFonts w:hint="eastAsia" w:ascii="仿宋" w:hAnsi="仿宋" w:eastAsia="仿宋" w:cs="仿宋"/>
          <w:color w:val="auto"/>
          <w:kern w:val="0"/>
          <w:sz w:val="28"/>
          <w:szCs w:val="28"/>
          <w:highlight w:val="none"/>
        </w:rPr>
        <w:t xml:space="preserve">。 </w:t>
      </w:r>
    </w:p>
    <w:p>
      <w:pPr>
        <w:widowControl/>
        <w:shd w:val="clear"/>
        <w:wordWrap w:val="0"/>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 xml:space="preserve">本条所称货物不包括使用大型企业注册商标的货物和服务。 </w:t>
      </w:r>
    </w:p>
    <w:p>
      <w:pPr>
        <w:widowControl/>
        <w:shd w:val="clear"/>
        <w:wordWrap w:val="0"/>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 xml:space="preserve">本公司对上述声明的真实性负责。如有虚假，将依法承担相应责任。 </w:t>
      </w:r>
    </w:p>
    <w:p>
      <w:pPr>
        <w:widowControl/>
        <w:shd w:val="clear"/>
        <w:wordWrap w:val="0"/>
        <w:spacing w:line="360" w:lineRule="auto"/>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      </w:t>
      </w:r>
    </w:p>
    <w:p>
      <w:pPr>
        <w:widowControl/>
        <w:shd w:val="clear"/>
        <w:wordWrap w:val="0"/>
        <w:spacing w:line="360" w:lineRule="auto"/>
        <w:jc w:val="center"/>
        <w:rPr>
          <w:rFonts w:hint="eastAsia" w:ascii="仿宋" w:hAnsi="仿宋" w:eastAsia="仿宋" w:cs="仿宋"/>
          <w:color w:val="auto"/>
          <w:kern w:val="0"/>
          <w:sz w:val="28"/>
          <w:szCs w:val="28"/>
          <w:highlight w:val="none"/>
        </w:rPr>
      </w:pPr>
    </w:p>
    <w:p>
      <w:pPr>
        <w:widowControl/>
        <w:shd w:val="clear"/>
        <w:wordWrap w:val="0"/>
        <w:spacing w:line="360" w:lineRule="auto"/>
        <w:jc w:val="center"/>
        <w:rPr>
          <w:rFonts w:hint="eastAsia" w:ascii="仿宋" w:hAnsi="仿宋" w:eastAsia="仿宋" w:cs="仿宋"/>
          <w:color w:val="auto"/>
          <w:kern w:val="0"/>
          <w:sz w:val="28"/>
          <w:szCs w:val="28"/>
          <w:highlight w:val="none"/>
        </w:rPr>
      </w:pPr>
    </w:p>
    <w:p>
      <w:pPr>
        <w:widowControl/>
        <w:shd w:val="clear"/>
        <w:wordWrap w:val="0"/>
        <w:spacing w:line="360" w:lineRule="auto"/>
        <w:ind w:firstLine="1960" w:firstLineChars="700"/>
        <w:jc w:val="both"/>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供应商：</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（盖章） </w:t>
      </w:r>
    </w:p>
    <w:p>
      <w:pPr>
        <w:widowControl/>
        <w:shd w:val="clear"/>
        <w:wordWrap w:val="0"/>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 xml:space="preserve">       </w:t>
      </w: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（签字） </w:t>
      </w:r>
    </w:p>
    <w:p>
      <w:pPr>
        <w:widowControl/>
        <w:shd w:val="clear"/>
        <w:wordWrap w:val="0"/>
        <w:spacing w:line="360" w:lineRule="auto"/>
        <w:ind w:firstLine="1960" w:firstLineChars="700"/>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日    期：</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日 </w:t>
      </w:r>
    </w:p>
    <w:p>
      <w:pPr>
        <w:shd w:val="clear"/>
        <w:wordWrap w:val="0"/>
        <w:spacing w:line="360" w:lineRule="auto"/>
        <w:rPr>
          <w:rFonts w:hint="eastAsia" w:ascii="仿宋" w:hAnsi="仿宋" w:eastAsia="仿宋" w:cs="仿宋"/>
          <w:b/>
          <w:color w:val="auto"/>
          <w:spacing w:val="6"/>
          <w:sz w:val="28"/>
          <w:szCs w:val="28"/>
          <w:highlight w:val="none"/>
        </w:rPr>
      </w:pPr>
      <w:r>
        <w:rPr>
          <w:rFonts w:hint="eastAsia" w:ascii="仿宋" w:hAnsi="仿宋" w:eastAsia="仿宋" w:cs="仿宋"/>
          <w:b/>
          <w:color w:val="auto"/>
          <w:spacing w:val="6"/>
          <w:sz w:val="28"/>
          <w:szCs w:val="28"/>
          <w:highlight w:val="none"/>
        </w:rPr>
        <w:br w:type="page"/>
      </w:r>
    </w:p>
    <w:p>
      <w:pPr>
        <w:shd w:val="clear"/>
        <w:wordWrap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附件3：</w:t>
      </w:r>
    </w:p>
    <w:p>
      <w:pPr>
        <w:shd w:val="clear"/>
        <w:wordWrap w:val="0"/>
        <w:spacing w:line="360" w:lineRule="auto"/>
        <w:jc w:val="center"/>
        <w:rPr>
          <w:rFonts w:hint="eastAsia" w:ascii="仿宋" w:hAnsi="仿宋" w:eastAsia="仿宋" w:cs="仿宋"/>
          <w:b/>
          <w:color w:val="auto"/>
          <w:spacing w:val="6"/>
          <w:sz w:val="28"/>
          <w:szCs w:val="28"/>
          <w:highlight w:val="none"/>
        </w:rPr>
      </w:pPr>
      <w:r>
        <w:rPr>
          <w:rFonts w:hint="eastAsia" w:ascii="仿宋" w:hAnsi="仿宋" w:eastAsia="仿宋" w:cs="仿宋"/>
          <w:b/>
          <w:color w:val="auto"/>
          <w:spacing w:val="6"/>
          <w:sz w:val="28"/>
          <w:szCs w:val="28"/>
          <w:highlight w:val="none"/>
        </w:rPr>
        <w:t>（三）残疾人福利性单位声明函</w:t>
      </w:r>
    </w:p>
    <w:bookmarkEnd w:id="155"/>
    <w:bookmarkEnd w:id="156"/>
    <w:p>
      <w:pPr>
        <w:shd w:val="clear"/>
        <w:wordWrap w:val="0"/>
        <w:spacing w:line="360" w:lineRule="auto"/>
        <w:rPr>
          <w:rFonts w:hint="eastAsia" w:ascii="仿宋" w:hAnsi="仿宋" w:eastAsia="仿宋" w:cs="仿宋"/>
          <w:b/>
          <w:color w:val="auto"/>
          <w:spacing w:val="6"/>
          <w:sz w:val="28"/>
          <w:szCs w:val="28"/>
          <w:highlight w:val="none"/>
        </w:rPr>
      </w:pPr>
    </w:p>
    <w:p>
      <w:pPr>
        <w:shd w:val="clear"/>
        <w:wordWrap w:val="0"/>
        <w:spacing w:line="360" w:lineRule="auto"/>
        <w:ind w:firstLine="584"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本单位郑重声明，根据《财政部民政部中国残疾人联合会关于促进残疾人就业政府采购政策的通知》（财库</w:t>
      </w:r>
      <w:r>
        <w:rPr>
          <w:rFonts w:hint="eastAsia" w:ascii="仿宋" w:hAnsi="仿宋" w:eastAsia="仿宋" w:cs="仿宋"/>
          <w:color w:val="auto"/>
          <w:sz w:val="28"/>
          <w:szCs w:val="28"/>
          <w:highlight w:val="none"/>
        </w:rPr>
        <w:t>〔2017〕141</w:t>
      </w:r>
      <w:r>
        <w:rPr>
          <w:rFonts w:hint="eastAsia" w:ascii="仿宋" w:hAnsi="仿宋" w:eastAsia="仿宋" w:cs="仿宋"/>
          <w:color w:val="auto"/>
          <w:spacing w:val="6"/>
          <w:sz w:val="28"/>
          <w:szCs w:val="28"/>
          <w:highlight w:val="none"/>
        </w:rPr>
        <w:t>号）的规定，本单位为符合条件的残疾人福利性单位，且本单位参加</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单位的项目采购活动提供服务。</w:t>
      </w:r>
    </w:p>
    <w:p>
      <w:pPr>
        <w:shd w:val="clear"/>
        <w:wordWrap w:val="0"/>
        <w:spacing w:line="360" w:lineRule="auto"/>
        <w:ind w:firstLine="584"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本单位对上述声明的真实性负责。如有虚假，将依法承担相应责任。</w:t>
      </w:r>
    </w:p>
    <w:p>
      <w:pPr>
        <w:shd w:val="clear"/>
        <w:wordWrap w:val="0"/>
        <w:spacing w:line="360" w:lineRule="auto"/>
        <w:ind w:firstLine="584" w:firstLineChars="200"/>
        <w:rPr>
          <w:rFonts w:hint="eastAsia" w:ascii="仿宋" w:hAnsi="仿宋" w:eastAsia="仿宋" w:cs="仿宋"/>
          <w:color w:val="auto"/>
          <w:spacing w:val="6"/>
          <w:sz w:val="28"/>
          <w:szCs w:val="28"/>
          <w:highlight w:val="none"/>
        </w:rPr>
      </w:pPr>
    </w:p>
    <w:p>
      <w:pPr>
        <w:shd w:val="clear"/>
        <w:wordWrap w:val="0"/>
        <w:spacing w:line="360" w:lineRule="auto"/>
        <w:ind w:firstLine="584" w:firstLineChars="200"/>
        <w:rPr>
          <w:rFonts w:hint="eastAsia" w:ascii="仿宋" w:hAnsi="仿宋" w:eastAsia="仿宋" w:cs="仿宋"/>
          <w:color w:val="auto"/>
          <w:spacing w:val="6"/>
          <w:sz w:val="28"/>
          <w:szCs w:val="28"/>
          <w:highlight w:val="none"/>
        </w:rPr>
      </w:pPr>
    </w:p>
    <w:p>
      <w:pPr>
        <w:pStyle w:val="2"/>
        <w:shd w:val="clear"/>
        <w:wordWrap w:val="0"/>
        <w:spacing w:line="360" w:lineRule="auto"/>
        <w:rPr>
          <w:rFonts w:hint="eastAsia" w:ascii="仿宋" w:hAnsi="仿宋" w:eastAsia="仿宋" w:cs="仿宋"/>
          <w:color w:val="auto"/>
          <w:highlight w:val="none"/>
        </w:rPr>
      </w:pPr>
    </w:p>
    <w:p>
      <w:pPr>
        <w:shd w:val="clear"/>
        <w:wordWrap w:val="0"/>
        <w:spacing w:line="360" w:lineRule="auto"/>
        <w:ind w:firstLine="876" w:firstLineChars="300"/>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       </w:t>
      </w:r>
      <w:r>
        <w:rPr>
          <w:rFonts w:hint="eastAsia" w:ascii="仿宋" w:hAnsi="仿宋" w:eastAsia="仿宋" w:cs="仿宋"/>
          <w:color w:val="auto"/>
          <w:sz w:val="28"/>
          <w:szCs w:val="28"/>
          <w:highlight w:val="none"/>
        </w:rPr>
        <w:t>供应商：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（盖单位公章）</w:t>
      </w:r>
    </w:p>
    <w:p>
      <w:pPr>
        <w:shd w:val="clear"/>
        <w:tabs>
          <w:tab w:val="left" w:pos="4860"/>
        </w:tabs>
        <w:wordWrap w:val="0"/>
        <w:spacing w:line="360" w:lineRule="auto"/>
        <w:ind w:right="1560" w:firstLine="560" w:firstLineChars="200"/>
        <w:jc w:val="center"/>
        <w:rPr>
          <w:rFonts w:hint="eastAsia" w:ascii="仿宋" w:hAnsi="仿宋" w:eastAsia="仿宋" w:cs="仿宋"/>
          <w:color w:val="auto"/>
          <w:spacing w:val="6"/>
          <w:sz w:val="28"/>
          <w:szCs w:val="28"/>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pPr>
        <w:shd w:val="clear"/>
        <w:wordWrap w:val="0"/>
        <w:spacing w:line="360" w:lineRule="auto"/>
        <w:rPr>
          <w:rFonts w:hint="eastAsia" w:ascii="仿宋" w:hAnsi="仿宋" w:eastAsia="仿宋" w:cs="仿宋"/>
          <w:color w:val="auto"/>
          <w:highlight w:val="none"/>
        </w:rPr>
      </w:pPr>
    </w:p>
    <w:p>
      <w:pPr>
        <w:pStyle w:val="2"/>
        <w:shd w:val="clear"/>
        <w:wordWrap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br w:type="page"/>
      </w:r>
    </w:p>
    <w:p>
      <w:pPr>
        <w:shd w:val="clear"/>
        <w:wordWrap w:val="0"/>
        <w:adjustRightInd w:val="0"/>
        <w:snapToGrid w:val="0"/>
        <w:spacing w:line="360" w:lineRule="auto"/>
        <w:jc w:val="center"/>
        <w:outlineLvl w:val="1"/>
        <w:rPr>
          <w:rFonts w:hint="eastAsia" w:ascii="仿宋" w:hAnsi="仿宋" w:eastAsia="仿宋" w:cs="仿宋"/>
          <w:b/>
          <w:bCs/>
          <w:color w:val="auto"/>
          <w:sz w:val="28"/>
          <w:szCs w:val="28"/>
          <w:highlight w:val="none"/>
        </w:rPr>
      </w:pPr>
      <w:bookmarkStart w:id="157" w:name="_Toc12267"/>
      <w:bookmarkStart w:id="158" w:name="_Toc12303"/>
      <w:bookmarkStart w:id="159" w:name="_Toc15431"/>
      <w:r>
        <w:rPr>
          <w:rFonts w:hint="eastAsia" w:ascii="仿宋" w:hAnsi="仿宋" w:eastAsia="仿宋" w:cs="仿宋"/>
          <w:b/>
          <w:color w:val="auto"/>
          <w:sz w:val="28"/>
          <w:szCs w:val="28"/>
          <w:highlight w:val="none"/>
        </w:rPr>
        <w:t>八、</w:t>
      </w:r>
      <w:bookmarkStart w:id="160" w:name="_Toc19597"/>
      <w:bookmarkStart w:id="161" w:name="_Toc5013"/>
      <w:bookmarkStart w:id="162" w:name="_Toc32085"/>
      <w:bookmarkStart w:id="163" w:name="_Toc27518"/>
      <w:bookmarkStart w:id="164" w:name="_Toc4172"/>
      <w:bookmarkStart w:id="165" w:name="_Toc2954"/>
      <w:bookmarkStart w:id="166" w:name="_Toc1646"/>
      <w:bookmarkStart w:id="167" w:name="_Toc6881"/>
      <w:r>
        <w:rPr>
          <w:rFonts w:hint="eastAsia" w:ascii="仿宋" w:hAnsi="仿宋" w:eastAsia="仿宋" w:cs="仿宋"/>
          <w:b/>
          <w:bCs/>
          <w:color w:val="auto"/>
          <w:sz w:val="28"/>
          <w:szCs w:val="28"/>
          <w:highlight w:val="none"/>
        </w:rPr>
        <w:t>声明书</w:t>
      </w:r>
      <w:bookmarkEnd w:id="160"/>
      <w:r>
        <w:rPr>
          <w:rFonts w:hint="eastAsia" w:ascii="仿宋" w:hAnsi="仿宋" w:eastAsia="仿宋" w:cs="仿宋"/>
          <w:b/>
          <w:bCs/>
          <w:color w:val="auto"/>
          <w:sz w:val="28"/>
          <w:szCs w:val="28"/>
          <w:highlight w:val="none"/>
        </w:rPr>
        <w:t>（承诺书）</w:t>
      </w:r>
      <w:bookmarkEnd w:id="157"/>
      <w:bookmarkEnd w:id="158"/>
      <w:bookmarkEnd w:id="159"/>
      <w:bookmarkEnd w:id="161"/>
      <w:bookmarkEnd w:id="162"/>
      <w:bookmarkEnd w:id="163"/>
      <w:bookmarkEnd w:id="164"/>
      <w:bookmarkEnd w:id="165"/>
      <w:bookmarkEnd w:id="166"/>
      <w:bookmarkEnd w:id="167"/>
    </w:p>
    <w:p>
      <w:pPr>
        <w:shd w:val="clear"/>
        <w:wordWrap w:val="0"/>
        <w:adjustRightInd w:val="0"/>
        <w:snapToGrid w:val="0"/>
        <w:spacing w:line="360" w:lineRule="auto"/>
        <w:jc w:val="center"/>
        <w:rPr>
          <w:rFonts w:hint="eastAsia" w:ascii="仿宋" w:hAnsi="仿宋" w:eastAsia="仿宋" w:cs="仿宋"/>
          <w:b/>
          <w:bCs/>
          <w:color w:val="auto"/>
          <w:spacing w:val="-11"/>
          <w:sz w:val="28"/>
          <w:szCs w:val="28"/>
          <w:highlight w:val="none"/>
        </w:rPr>
      </w:pPr>
      <w:bookmarkStart w:id="168" w:name="_Toc12630"/>
      <w:bookmarkStart w:id="169" w:name="_Toc15900"/>
    </w:p>
    <w:p>
      <w:pPr>
        <w:shd w:val="clear"/>
        <w:wordWrap w:val="0"/>
        <w:adjustRightInd w:val="0"/>
        <w:snapToGrid w:val="0"/>
        <w:spacing w:line="360" w:lineRule="auto"/>
        <w:jc w:val="center"/>
        <w:outlineLvl w:val="2"/>
        <w:rPr>
          <w:rFonts w:hint="eastAsia" w:ascii="仿宋" w:hAnsi="仿宋" w:eastAsia="仿宋" w:cs="仿宋"/>
          <w:b/>
          <w:bCs/>
          <w:color w:val="auto"/>
          <w:spacing w:val="-11"/>
          <w:sz w:val="28"/>
          <w:szCs w:val="28"/>
          <w:highlight w:val="none"/>
        </w:rPr>
      </w:pPr>
      <w:bookmarkStart w:id="170" w:name="_Toc1508"/>
      <w:bookmarkStart w:id="171" w:name="_Toc28349"/>
      <w:bookmarkStart w:id="172" w:name="_Toc31625"/>
      <w:r>
        <w:rPr>
          <w:rFonts w:hint="eastAsia" w:ascii="仿宋" w:hAnsi="仿宋" w:eastAsia="仿宋" w:cs="仿宋"/>
          <w:b/>
          <w:bCs/>
          <w:color w:val="auto"/>
          <w:spacing w:val="-11"/>
          <w:sz w:val="28"/>
          <w:szCs w:val="28"/>
          <w:highlight w:val="none"/>
        </w:rPr>
        <w:t>（一）具有履行合同所必需的设备和专业技术能力的声明书</w:t>
      </w:r>
      <w:bookmarkEnd w:id="168"/>
      <w:bookmarkEnd w:id="169"/>
      <w:bookmarkEnd w:id="170"/>
      <w:bookmarkEnd w:id="171"/>
      <w:bookmarkEnd w:id="172"/>
    </w:p>
    <w:p>
      <w:pPr>
        <w:shd w:val="clear"/>
        <w:wordWrap w:val="0"/>
        <w:adjustRightInd w:val="0"/>
        <w:snapToGrid w:val="0"/>
        <w:spacing w:line="360" w:lineRule="auto"/>
        <w:jc w:val="left"/>
        <w:rPr>
          <w:rFonts w:hint="eastAsia" w:ascii="仿宋" w:hAnsi="仿宋" w:eastAsia="仿宋" w:cs="仿宋"/>
          <w:color w:val="auto"/>
          <w:sz w:val="28"/>
          <w:szCs w:val="28"/>
          <w:highlight w:val="none"/>
          <w:u w:val="single"/>
        </w:rPr>
      </w:pPr>
    </w:p>
    <w:p>
      <w:pPr>
        <w:shd w:val="clear"/>
        <w:wordWrap w:val="0"/>
        <w:adjustRightInd w:val="0"/>
        <w:snapToGrid w:val="0"/>
        <w:spacing w:line="360" w:lineRule="auto"/>
        <w:jc w:val="lef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（采购人名称）  </w:t>
      </w:r>
      <w:r>
        <w:rPr>
          <w:rFonts w:hint="eastAsia" w:ascii="仿宋" w:hAnsi="仿宋" w:eastAsia="仿宋" w:cs="仿宋"/>
          <w:color w:val="auto"/>
          <w:sz w:val="28"/>
          <w:szCs w:val="28"/>
          <w:highlight w:val="none"/>
        </w:rPr>
        <w:t>：</w:t>
      </w:r>
    </w:p>
    <w:p>
      <w:pPr>
        <w:shd w:val="clear"/>
        <w:wordWrap w:val="0"/>
        <w:spacing w:line="360" w:lineRule="auto"/>
        <w:jc w:val="center"/>
        <w:rPr>
          <w:rFonts w:hint="eastAsia" w:ascii="仿宋" w:hAnsi="仿宋" w:eastAsia="仿宋" w:cs="仿宋"/>
          <w:b/>
          <w:bCs/>
          <w:color w:val="auto"/>
          <w:spacing w:val="-11"/>
          <w:sz w:val="28"/>
          <w:szCs w:val="28"/>
          <w:highlight w:val="none"/>
        </w:rPr>
      </w:pPr>
    </w:p>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我方参加</w:t>
      </w:r>
      <w:r>
        <w:rPr>
          <w:rFonts w:hint="eastAsia" w:ascii="仿宋" w:hAnsi="仿宋" w:eastAsia="仿宋" w:cs="仿宋"/>
          <w:color w:val="auto"/>
          <w:sz w:val="28"/>
          <w:szCs w:val="28"/>
          <w:highlight w:val="none"/>
          <w:u w:val="single"/>
        </w:rPr>
        <w:t xml:space="preserve">        项目名称     </w:t>
      </w:r>
      <w:r>
        <w:rPr>
          <w:rFonts w:hint="eastAsia" w:ascii="仿宋" w:hAnsi="仿宋" w:eastAsia="仿宋" w:cs="仿宋"/>
          <w:color w:val="auto"/>
          <w:sz w:val="28"/>
          <w:szCs w:val="28"/>
          <w:highlight w:val="none"/>
        </w:rPr>
        <w:t>（以下简称“本项目”）的投标，本公司郑重承诺：本公司具有履行合同所必需的设备和专业技术能力，符合政府采购法第二十二条规定的资格条件，本公司对上述承诺的真实性负责。如有虚假，将依法承担相应责任。</w:t>
      </w:r>
    </w:p>
    <w:p>
      <w:pPr>
        <w:shd w:val="clear"/>
        <w:wordWrap w:val="0"/>
        <w:adjustRightInd w:val="0"/>
        <w:snapToGrid w:val="0"/>
        <w:spacing w:line="360" w:lineRule="auto"/>
        <w:ind w:firstLine="465"/>
        <w:jc w:val="lef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特此声明</w:t>
      </w:r>
      <w:r>
        <w:rPr>
          <w:rFonts w:hint="eastAsia" w:ascii="仿宋" w:hAnsi="仿宋" w:eastAsia="仿宋" w:cs="仿宋"/>
          <w:color w:val="auto"/>
          <w:kern w:val="1"/>
          <w:sz w:val="28"/>
          <w:szCs w:val="28"/>
          <w:highlight w:val="none"/>
        </w:rPr>
        <w:t>！</w:t>
      </w:r>
    </w:p>
    <w:p>
      <w:pPr>
        <w:shd w:val="clear"/>
        <w:wordWrap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pPr>
        <w:shd w:val="clear"/>
        <w:wordWrap w:val="0"/>
        <w:spacing w:line="360" w:lineRule="auto"/>
        <w:ind w:firstLine="1400" w:firstLineChars="5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（盖单位公章）</w:t>
      </w:r>
    </w:p>
    <w:p>
      <w:pPr>
        <w:shd w:val="clear"/>
        <w:wordWrap w:val="0"/>
        <w:spacing w:line="360" w:lineRule="auto"/>
        <w:ind w:firstLine="1400" w:firstLineChars="5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（签字） </w:t>
      </w:r>
    </w:p>
    <w:p>
      <w:pPr>
        <w:shd w:val="clear"/>
        <w:wordWrap w:val="0"/>
        <w:spacing w:line="360" w:lineRule="auto"/>
        <w:ind w:firstLine="1400" w:firstLineChars="5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年     月     日</w:t>
      </w:r>
    </w:p>
    <w:p>
      <w:pPr>
        <w:shd w:val="clear"/>
        <w:wordWrap w:val="0"/>
        <w:spacing w:line="360" w:lineRule="auto"/>
        <w:rPr>
          <w:rFonts w:hint="eastAsia" w:ascii="仿宋" w:hAnsi="仿宋" w:eastAsia="仿宋" w:cs="仿宋"/>
          <w:color w:val="auto"/>
          <w:sz w:val="28"/>
          <w:szCs w:val="28"/>
          <w:highlight w:val="none"/>
        </w:rPr>
      </w:pPr>
    </w:p>
    <w:p>
      <w:pPr>
        <w:shd w:val="clear"/>
        <w:wordWrap w:val="0"/>
        <w:spacing w:line="360" w:lineRule="auto"/>
        <w:jc w:val="center"/>
        <w:rPr>
          <w:rFonts w:hint="eastAsia" w:ascii="仿宋" w:hAnsi="仿宋" w:eastAsia="仿宋" w:cs="仿宋"/>
          <w:b/>
          <w:bCs/>
          <w:color w:val="auto"/>
          <w:spacing w:val="-11"/>
          <w:sz w:val="28"/>
          <w:szCs w:val="28"/>
          <w:highlight w:val="none"/>
        </w:rPr>
        <w:sectPr>
          <w:pgSz w:w="11906" w:h="16838"/>
          <w:pgMar w:top="1417" w:right="1417" w:bottom="1417" w:left="1417" w:header="850" w:footer="992" w:gutter="0"/>
          <w:pgBorders>
            <w:top w:val="none" w:sz="0" w:space="0"/>
            <w:left w:val="none" w:sz="0" w:space="0"/>
            <w:bottom w:val="none" w:sz="0" w:space="0"/>
            <w:right w:val="none" w:sz="0" w:space="0"/>
          </w:pgBorders>
          <w:pgNumType w:fmt="decimal"/>
          <w:cols w:space="0" w:num="1"/>
          <w:docGrid w:type="lines" w:linePitch="312" w:charSpace="0"/>
        </w:sectPr>
      </w:pPr>
    </w:p>
    <w:p>
      <w:pPr>
        <w:shd w:val="clear"/>
        <w:wordWrap w:val="0"/>
        <w:spacing w:before="60" w:after="60" w:line="360" w:lineRule="auto"/>
        <w:jc w:val="center"/>
        <w:outlineLvl w:val="2"/>
        <w:rPr>
          <w:rFonts w:hint="eastAsia" w:ascii="仿宋" w:hAnsi="仿宋" w:eastAsia="仿宋" w:cs="仿宋"/>
          <w:b/>
          <w:bCs/>
          <w:color w:val="auto"/>
          <w:sz w:val="28"/>
          <w:szCs w:val="28"/>
          <w:highlight w:val="none"/>
        </w:rPr>
      </w:pPr>
      <w:bookmarkStart w:id="173" w:name="_Toc32142"/>
      <w:bookmarkStart w:id="174" w:name="_Toc21686"/>
      <w:bookmarkStart w:id="175" w:name="_Toc6796"/>
      <w:bookmarkStart w:id="176" w:name="_Toc23565"/>
      <w:bookmarkStart w:id="177" w:name="_Toc4685"/>
      <w:r>
        <w:rPr>
          <w:rFonts w:hint="eastAsia" w:ascii="仿宋" w:hAnsi="仿宋" w:eastAsia="仿宋" w:cs="仿宋"/>
          <w:b/>
          <w:bCs/>
          <w:color w:val="auto"/>
          <w:sz w:val="28"/>
          <w:szCs w:val="28"/>
          <w:highlight w:val="none"/>
        </w:rPr>
        <w:t>（二）参加政府采购活动前3年内，在经营活动中没有重大违法记录的声明书</w:t>
      </w:r>
      <w:bookmarkEnd w:id="173"/>
      <w:bookmarkEnd w:id="174"/>
      <w:bookmarkEnd w:id="175"/>
      <w:bookmarkEnd w:id="176"/>
      <w:bookmarkEnd w:id="177"/>
    </w:p>
    <w:p>
      <w:pPr>
        <w:shd w:val="clear"/>
        <w:wordWrap w:val="0"/>
        <w:adjustRightInd w:val="0"/>
        <w:snapToGrid w:val="0"/>
        <w:spacing w:line="360" w:lineRule="auto"/>
        <w:jc w:val="left"/>
        <w:rPr>
          <w:rFonts w:hint="eastAsia" w:ascii="仿宋" w:hAnsi="仿宋" w:eastAsia="仿宋" w:cs="仿宋"/>
          <w:color w:val="auto"/>
          <w:sz w:val="28"/>
          <w:szCs w:val="28"/>
          <w:highlight w:val="none"/>
          <w:u w:val="single"/>
        </w:rPr>
      </w:pPr>
    </w:p>
    <w:p>
      <w:pPr>
        <w:shd w:val="clear"/>
        <w:wordWrap w:val="0"/>
        <w:adjustRightInd w:val="0"/>
        <w:snapToGrid w:val="0"/>
        <w:spacing w:line="360" w:lineRule="auto"/>
        <w:jc w:val="lef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（采购人名称）       ：</w:t>
      </w:r>
    </w:p>
    <w:p>
      <w:pPr>
        <w:shd w:val="clear"/>
        <w:wordWrap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我方在此声明，我方参加</w:t>
      </w:r>
      <w:r>
        <w:rPr>
          <w:rFonts w:hint="eastAsia" w:ascii="仿宋" w:hAnsi="仿宋" w:eastAsia="仿宋" w:cs="仿宋"/>
          <w:color w:val="auto"/>
          <w:sz w:val="28"/>
          <w:szCs w:val="28"/>
          <w:highlight w:val="none"/>
          <w:u w:val="single"/>
        </w:rPr>
        <w:t xml:space="preserve"> （项目名称）</w:t>
      </w:r>
      <w:r>
        <w:rPr>
          <w:rFonts w:hint="eastAsia" w:ascii="仿宋" w:hAnsi="仿宋" w:eastAsia="仿宋" w:cs="仿宋"/>
          <w:color w:val="auto"/>
          <w:sz w:val="28"/>
          <w:szCs w:val="28"/>
          <w:highlight w:val="none"/>
        </w:rPr>
        <w:t>的政府采购活动前三年内在经营活动中没有重大违法记录</w:t>
      </w:r>
      <w:r>
        <w:rPr>
          <w:rFonts w:hint="eastAsia" w:ascii="仿宋" w:hAnsi="仿宋" w:eastAsia="仿宋" w:cs="仿宋"/>
          <w:bCs/>
          <w:color w:val="auto"/>
          <w:kern w:val="1"/>
          <w:sz w:val="28"/>
          <w:szCs w:val="28"/>
          <w:highlight w:val="none"/>
        </w:rPr>
        <w:t>（重大违法记录是指供应商因违法经营受到刑事处罚或者责令停产停业、吊销许可证或者执照、较大数额罚款等行政处罚）</w:t>
      </w:r>
      <w:r>
        <w:rPr>
          <w:rFonts w:hint="eastAsia" w:ascii="仿宋" w:hAnsi="仿宋" w:eastAsia="仿宋" w:cs="仿宋"/>
          <w:color w:val="auto"/>
          <w:sz w:val="28"/>
          <w:szCs w:val="28"/>
          <w:highlight w:val="none"/>
        </w:rPr>
        <w:t>。</w:t>
      </w:r>
    </w:p>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我方保证上述信息的真实和准确，并愿意承担因我方就此弄虚作假所引起的一切法律后果。</w:t>
      </w:r>
    </w:p>
    <w:p>
      <w:pPr>
        <w:shd w:val="clear"/>
        <w:wordWrap w:val="0"/>
        <w:adjustRightInd w:val="0"/>
        <w:snapToGrid w:val="0"/>
        <w:spacing w:line="360" w:lineRule="auto"/>
        <w:ind w:firstLine="465"/>
        <w:jc w:val="lef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特此声明</w:t>
      </w:r>
      <w:r>
        <w:rPr>
          <w:rFonts w:hint="eastAsia" w:ascii="仿宋" w:hAnsi="仿宋" w:eastAsia="仿宋" w:cs="仿宋"/>
          <w:color w:val="auto"/>
          <w:kern w:val="1"/>
          <w:sz w:val="28"/>
          <w:szCs w:val="28"/>
          <w:highlight w:val="none"/>
        </w:rPr>
        <w:t>！</w:t>
      </w:r>
    </w:p>
    <w:p>
      <w:pPr>
        <w:shd w:val="clear"/>
        <w:wordWrap w:val="0"/>
        <w:spacing w:line="360" w:lineRule="auto"/>
        <w:ind w:firstLine="2878" w:firstLineChars="1028"/>
        <w:rPr>
          <w:rFonts w:hint="eastAsia" w:ascii="仿宋" w:hAnsi="仿宋" w:eastAsia="仿宋" w:cs="仿宋"/>
          <w:color w:val="auto"/>
          <w:sz w:val="28"/>
          <w:szCs w:val="28"/>
          <w:highlight w:val="none"/>
        </w:rPr>
      </w:pPr>
    </w:p>
    <w:p>
      <w:pPr>
        <w:shd w:val="clear"/>
        <w:wordWrap w:val="0"/>
        <w:spacing w:line="360" w:lineRule="auto"/>
        <w:ind w:firstLine="1400" w:firstLineChars="5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（盖单位公章）</w:t>
      </w:r>
    </w:p>
    <w:p>
      <w:pPr>
        <w:shd w:val="clear"/>
        <w:wordWrap w:val="0"/>
        <w:spacing w:line="360" w:lineRule="auto"/>
        <w:ind w:firstLine="1400" w:firstLineChars="5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（签字） </w:t>
      </w:r>
    </w:p>
    <w:p>
      <w:pPr>
        <w:shd w:val="clear"/>
        <w:wordWrap w:val="0"/>
        <w:spacing w:line="360" w:lineRule="auto"/>
        <w:ind w:firstLine="1400" w:firstLineChars="5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年     月     日</w:t>
      </w:r>
    </w:p>
    <w:p>
      <w:pPr>
        <w:shd w:val="clear"/>
        <w:wordWrap w:val="0"/>
        <w:spacing w:line="360" w:lineRule="auto"/>
        <w:rPr>
          <w:rFonts w:hint="eastAsia" w:ascii="仿宋" w:hAnsi="仿宋" w:eastAsia="仿宋" w:cs="仿宋"/>
          <w:b/>
          <w:bCs/>
          <w:color w:val="auto"/>
          <w:sz w:val="28"/>
          <w:szCs w:val="28"/>
          <w:highlight w:val="none"/>
        </w:rPr>
        <w:sectPr>
          <w:footerReference r:id="rId13" w:type="default"/>
          <w:pgSz w:w="11900" w:h="16840"/>
          <w:pgMar w:top="1202" w:right="1280" w:bottom="1417" w:left="760" w:header="768" w:footer="765" w:gutter="0"/>
          <w:pgBorders>
            <w:top w:val="none" w:sz="0" w:space="0"/>
            <w:left w:val="none" w:sz="0" w:space="0"/>
            <w:bottom w:val="none" w:sz="0" w:space="0"/>
            <w:right w:val="none" w:sz="0" w:space="0"/>
          </w:pgBorders>
          <w:pgNumType w:fmt="decimal"/>
          <w:cols w:space="0" w:num="1"/>
        </w:sectPr>
      </w:pPr>
      <w:r>
        <w:rPr>
          <w:rFonts w:hint="eastAsia" w:ascii="仿宋" w:hAnsi="仿宋" w:eastAsia="仿宋" w:cs="仿宋"/>
          <w:color w:val="auto"/>
          <w:sz w:val="28"/>
          <w:szCs w:val="28"/>
          <w:highlight w:val="none"/>
          <w:u w:val="single"/>
        </w:rPr>
        <w:br w:type="page"/>
      </w:r>
    </w:p>
    <w:p>
      <w:pPr>
        <w:pStyle w:val="19"/>
        <w:shd w:val="clear"/>
        <w:wordWrap w:val="0"/>
        <w:spacing w:line="360" w:lineRule="auto"/>
        <w:outlineLvl w:val="2"/>
        <w:rPr>
          <w:rFonts w:hint="eastAsia" w:ascii="仿宋" w:hAnsi="仿宋" w:eastAsia="仿宋" w:cs="仿宋"/>
          <w:color w:val="auto"/>
          <w:kern w:val="1"/>
          <w:sz w:val="28"/>
          <w:szCs w:val="28"/>
          <w:highlight w:val="none"/>
        </w:rPr>
      </w:pPr>
      <w:bookmarkStart w:id="178" w:name="_Toc25426"/>
      <w:bookmarkStart w:id="179" w:name="_Toc3657"/>
      <w:bookmarkStart w:id="180" w:name="_Toc25616"/>
      <w:bookmarkStart w:id="181" w:name="_Toc24689"/>
      <w:bookmarkStart w:id="182" w:name="_Toc20827"/>
      <w:bookmarkStart w:id="183" w:name="_Toc8676"/>
      <w:r>
        <w:rPr>
          <w:rFonts w:hint="eastAsia" w:ascii="仿宋" w:hAnsi="仿宋" w:eastAsia="仿宋" w:cs="仿宋"/>
          <w:b/>
          <w:bCs/>
          <w:color w:val="auto"/>
          <w:sz w:val="28"/>
          <w:szCs w:val="28"/>
          <w:highlight w:val="none"/>
        </w:rPr>
        <w:t>（三）单位法人为同一人或存在控股、管理关系的不同单位，没有参加同一标段投标或者未划分标段的同一招标项目投标的</w:t>
      </w:r>
      <w:r>
        <w:rPr>
          <w:rFonts w:hint="eastAsia" w:ascii="仿宋" w:hAnsi="仿宋" w:eastAsia="仿宋" w:cs="仿宋"/>
          <w:b/>
          <w:bCs/>
          <w:color w:val="auto"/>
          <w:kern w:val="1"/>
          <w:sz w:val="28"/>
          <w:szCs w:val="28"/>
          <w:highlight w:val="none"/>
        </w:rPr>
        <w:t>承诺书</w:t>
      </w:r>
      <w:bookmarkEnd w:id="178"/>
      <w:bookmarkEnd w:id="179"/>
      <w:bookmarkEnd w:id="180"/>
      <w:bookmarkEnd w:id="181"/>
      <w:bookmarkEnd w:id="182"/>
      <w:bookmarkEnd w:id="183"/>
    </w:p>
    <w:p>
      <w:pPr>
        <w:pStyle w:val="19"/>
        <w:shd w:val="clear"/>
        <w:wordWrap w:val="0"/>
        <w:spacing w:line="360" w:lineRule="auto"/>
        <w:ind w:firstLine="560" w:firstLineChars="200"/>
        <w:rPr>
          <w:rFonts w:hint="eastAsia" w:ascii="仿宋" w:hAnsi="仿宋" w:eastAsia="仿宋" w:cs="仿宋"/>
          <w:color w:val="auto"/>
          <w:kern w:val="1"/>
          <w:sz w:val="28"/>
          <w:szCs w:val="28"/>
          <w:highlight w:val="none"/>
        </w:rPr>
      </w:pPr>
      <w:r>
        <w:rPr>
          <w:rFonts w:hint="eastAsia" w:ascii="仿宋" w:hAnsi="仿宋" w:eastAsia="仿宋" w:cs="仿宋"/>
          <w:color w:val="auto"/>
          <w:sz w:val="28"/>
          <w:szCs w:val="28"/>
          <w:highlight w:val="none"/>
          <w:u w:val="single"/>
        </w:rPr>
        <w:t xml:space="preserve">     （采购人名称）       ：</w:t>
      </w:r>
    </w:p>
    <w:p>
      <w:pPr>
        <w:pStyle w:val="19"/>
        <w:shd w:val="clear"/>
        <w:wordWrap w:val="0"/>
        <w:spacing w:line="360" w:lineRule="auto"/>
        <w:ind w:firstLine="560" w:firstLineChars="20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我公司参加贵单位</w:t>
      </w:r>
      <w:r>
        <w:rPr>
          <w:rFonts w:hint="eastAsia" w:ascii="仿宋" w:hAnsi="仿宋" w:eastAsia="仿宋" w:cs="仿宋"/>
          <w:color w:val="auto"/>
          <w:kern w:val="1"/>
          <w:sz w:val="28"/>
          <w:szCs w:val="28"/>
          <w:highlight w:val="none"/>
          <w:u w:val="single"/>
        </w:rPr>
        <w:t>（项目名称）</w:t>
      </w:r>
      <w:r>
        <w:rPr>
          <w:rFonts w:hint="eastAsia" w:ascii="仿宋" w:hAnsi="仿宋" w:eastAsia="仿宋" w:cs="仿宋"/>
          <w:color w:val="auto"/>
          <w:kern w:val="1"/>
          <w:sz w:val="28"/>
          <w:szCs w:val="28"/>
          <w:highlight w:val="none"/>
        </w:rPr>
        <w:t>的政府采购活动，现郑重承诺： 在参加本次政府采购活动中</w:t>
      </w:r>
      <w:r>
        <w:rPr>
          <w:rFonts w:hint="eastAsia" w:ascii="仿宋" w:hAnsi="仿宋" w:eastAsia="仿宋" w:cs="仿宋"/>
          <w:b/>
          <w:bCs/>
          <w:color w:val="auto"/>
          <w:kern w:val="1"/>
          <w:sz w:val="28"/>
          <w:szCs w:val="28"/>
          <w:highlight w:val="none"/>
        </w:rPr>
        <w:t>不存在</w:t>
      </w:r>
      <w:r>
        <w:rPr>
          <w:rFonts w:hint="eastAsia" w:ascii="仿宋" w:hAnsi="仿宋" w:eastAsia="仿宋" w:cs="仿宋"/>
          <w:b/>
          <w:color w:val="auto"/>
          <w:sz w:val="28"/>
          <w:szCs w:val="28"/>
          <w:highlight w:val="none"/>
        </w:rPr>
        <w:t>单位法人为同一人或者存在控股、管理关系的不同单位，参加同一标段投标或者未划分标段的同一招标项目投标的情形，</w:t>
      </w:r>
      <w:r>
        <w:rPr>
          <w:rFonts w:hint="eastAsia" w:ascii="仿宋" w:hAnsi="仿宋" w:eastAsia="仿宋" w:cs="仿宋"/>
          <w:b/>
          <w:color w:val="auto"/>
          <w:kern w:val="1"/>
          <w:sz w:val="28"/>
          <w:szCs w:val="28"/>
          <w:highlight w:val="none"/>
        </w:rPr>
        <w:t xml:space="preserve"> </w:t>
      </w:r>
      <w:r>
        <w:rPr>
          <w:rFonts w:hint="eastAsia" w:ascii="仿宋" w:hAnsi="仿宋" w:eastAsia="仿宋" w:cs="仿宋"/>
          <w:color w:val="auto"/>
          <w:kern w:val="1"/>
          <w:sz w:val="28"/>
          <w:szCs w:val="28"/>
          <w:highlight w:val="none"/>
        </w:rPr>
        <w:t>本公司对上述承诺的真实性负责。 如有虚假， 将依法承担相应责任。</w:t>
      </w:r>
    </w:p>
    <w:p>
      <w:pPr>
        <w:pStyle w:val="19"/>
        <w:shd w:val="clear"/>
        <w:wordWrap w:val="0"/>
        <w:spacing w:line="360" w:lineRule="auto"/>
        <w:ind w:firstLine="560" w:firstLineChars="20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特此承诺！</w:t>
      </w:r>
    </w:p>
    <w:p>
      <w:pPr>
        <w:shd w:val="clear"/>
        <w:wordWrap w:val="0"/>
        <w:spacing w:after="200" w:line="360" w:lineRule="auto"/>
        <w:jc w:val="center"/>
        <w:rPr>
          <w:rFonts w:hint="eastAsia" w:ascii="仿宋" w:hAnsi="仿宋" w:eastAsia="仿宋" w:cs="仿宋"/>
          <w:b/>
          <w:bCs/>
          <w:color w:val="auto"/>
          <w:sz w:val="28"/>
          <w:szCs w:val="28"/>
          <w:highlight w:val="none"/>
        </w:rPr>
      </w:pPr>
    </w:p>
    <w:p>
      <w:pPr>
        <w:shd w:val="clear"/>
        <w:wordWrap w:val="0"/>
        <w:spacing w:line="360" w:lineRule="auto"/>
        <w:ind w:firstLine="1400" w:firstLineChars="5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（盖单位公章）</w:t>
      </w:r>
    </w:p>
    <w:p>
      <w:pPr>
        <w:shd w:val="clear"/>
        <w:wordWrap w:val="0"/>
        <w:spacing w:line="360" w:lineRule="auto"/>
        <w:ind w:firstLine="1400" w:firstLineChars="5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（签字） </w:t>
      </w:r>
    </w:p>
    <w:p>
      <w:pPr>
        <w:shd w:val="clear"/>
        <w:wordWrap w:val="0"/>
        <w:spacing w:line="360" w:lineRule="auto"/>
        <w:ind w:firstLine="1400" w:firstLineChars="5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年     月     日</w:t>
      </w:r>
    </w:p>
    <w:p>
      <w:pPr>
        <w:pStyle w:val="2"/>
        <w:shd w:val="clear"/>
        <w:wordWrap w:val="0"/>
        <w:spacing w:line="360" w:lineRule="auto"/>
        <w:rPr>
          <w:rFonts w:hint="eastAsia" w:ascii="仿宋" w:hAnsi="仿宋" w:eastAsia="仿宋" w:cs="仿宋"/>
          <w:color w:val="auto"/>
          <w:sz w:val="28"/>
          <w:szCs w:val="28"/>
          <w:highlight w:val="none"/>
        </w:rPr>
      </w:pPr>
    </w:p>
    <w:p>
      <w:pPr>
        <w:shd w:val="clear"/>
        <w:wordWrap w:val="0"/>
        <w:spacing w:line="360" w:lineRule="auto"/>
        <w:rPr>
          <w:rFonts w:hint="eastAsia" w:ascii="仿宋" w:hAnsi="仿宋" w:eastAsia="仿宋" w:cs="仿宋"/>
          <w:color w:val="auto"/>
          <w:sz w:val="28"/>
          <w:szCs w:val="28"/>
          <w:highlight w:val="none"/>
        </w:rPr>
      </w:pPr>
    </w:p>
    <w:p>
      <w:pPr>
        <w:pStyle w:val="2"/>
        <w:shd w:val="clear"/>
        <w:wordWrap w:val="0"/>
        <w:spacing w:line="360" w:lineRule="auto"/>
        <w:rPr>
          <w:rFonts w:hint="eastAsia" w:ascii="仿宋" w:hAnsi="仿宋" w:eastAsia="仿宋" w:cs="仿宋"/>
          <w:color w:val="auto"/>
          <w:highlight w:val="none"/>
        </w:rPr>
      </w:pPr>
    </w:p>
    <w:p>
      <w:pPr>
        <w:widowControl/>
        <w:shd w:val="clear"/>
        <w:wordWrap w:val="0"/>
        <w:spacing w:line="360" w:lineRule="auto"/>
        <w:ind w:left="479" w:leftChars="228" w:firstLine="1120" w:firstLineChars="400"/>
        <w:jc w:val="left"/>
        <w:rPr>
          <w:rFonts w:hint="eastAsia" w:ascii="仿宋" w:hAnsi="仿宋" w:eastAsia="仿宋" w:cs="仿宋"/>
          <w:color w:val="auto"/>
          <w:sz w:val="28"/>
          <w:szCs w:val="28"/>
          <w:highlight w:val="none"/>
        </w:rPr>
      </w:pPr>
    </w:p>
    <w:p>
      <w:pPr>
        <w:shd w:val="clear"/>
        <w:spacing w:line="360" w:lineRule="auto"/>
        <w:jc w:val="center"/>
        <w:outlineLvl w:val="1"/>
        <w:rPr>
          <w:rFonts w:hint="eastAsia" w:ascii="仿宋" w:hAnsi="仿宋" w:eastAsia="仿宋" w:cs="仿宋"/>
          <w:color w:val="auto"/>
          <w:sz w:val="28"/>
          <w:szCs w:val="28"/>
          <w:highlight w:val="none"/>
        </w:rPr>
        <w:sectPr>
          <w:footerReference r:id="rId14" w:type="default"/>
          <w:pgSz w:w="11906" w:h="16838"/>
          <w:pgMar w:top="1417" w:right="1417" w:bottom="1417" w:left="1417" w:header="850" w:footer="992" w:gutter="0"/>
          <w:pgBorders>
            <w:top w:val="none" w:sz="0" w:space="0"/>
            <w:left w:val="none" w:sz="0" w:space="0"/>
            <w:bottom w:val="none" w:sz="0" w:space="0"/>
            <w:right w:val="none" w:sz="0" w:space="0"/>
          </w:pgBorders>
          <w:pgNumType w:fmt="decimal"/>
          <w:cols w:space="0" w:num="1"/>
          <w:docGrid w:type="lines" w:linePitch="312" w:charSpace="0"/>
        </w:sectPr>
      </w:pPr>
      <w:r>
        <w:rPr>
          <w:rFonts w:hint="eastAsia" w:ascii="仿宋" w:hAnsi="仿宋" w:eastAsia="仿宋" w:cs="仿宋"/>
          <w:color w:val="auto"/>
          <w:sz w:val="28"/>
          <w:szCs w:val="28"/>
          <w:highlight w:val="none"/>
        </w:rPr>
        <w:br w:type="page"/>
      </w:r>
      <w:bookmarkStart w:id="184" w:name="_Toc11366"/>
      <w:bookmarkStart w:id="185" w:name="_Toc30140"/>
      <w:bookmarkStart w:id="186" w:name="_Toc1483"/>
      <w:bookmarkStart w:id="187" w:name="_Toc14244"/>
      <w:bookmarkStart w:id="188" w:name="_Toc27034"/>
      <w:bookmarkStart w:id="189" w:name="_Toc7929"/>
    </w:p>
    <w:p>
      <w:pPr>
        <w:shd w:val="clear"/>
        <w:spacing w:line="360" w:lineRule="auto"/>
        <w:jc w:val="center"/>
        <w:outlineLvl w:val="1"/>
        <w:rPr>
          <w:rFonts w:hint="eastAsia" w:ascii="仿宋" w:hAnsi="仿宋" w:eastAsia="仿宋" w:cs="仿宋"/>
          <w:b/>
          <w:bCs/>
          <w:color w:val="auto"/>
          <w:sz w:val="28"/>
          <w:szCs w:val="28"/>
          <w:highlight w:val="none"/>
        </w:rPr>
      </w:pPr>
      <w:bookmarkStart w:id="190" w:name="_Toc32004"/>
      <w:bookmarkStart w:id="191" w:name="_Toc25342"/>
      <w:r>
        <w:rPr>
          <w:rFonts w:hint="eastAsia" w:ascii="仿宋" w:hAnsi="仿宋" w:eastAsia="仿宋" w:cs="仿宋"/>
          <w:b/>
          <w:bCs/>
          <w:color w:val="auto"/>
          <w:sz w:val="28"/>
          <w:szCs w:val="28"/>
          <w:highlight w:val="none"/>
        </w:rPr>
        <w:t>九、项目实施方案</w:t>
      </w:r>
      <w:bookmarkEnd w:id="190"/>
      <w:bookmarkEnd w:id="191"/>
    </w:p>
    <w:bookmarkEnd w:id="184"/>
    <w:bookmarkEnd w:id="185"/>
    <w:bookmarkEnd w:id="186"/>
    <w:bookmarkEnd w:id="187"/>
    <w:bookmarkEnd w:id="188"/>
    <w:p>
      <w:pPr>
        <w:shd w:val="clear"/>
        <w:spacing w:line="360" w:lineRule="auto"/>
        <w:jc w:val="center"/>
        <w:rPr>
          <w:rFonts w:hint="eastAsia" w:ascii="仿宋" w:hAnsi="仿宋" w:eastAsia="仿宋" w:cs="仿宋"/>
          <w:color w:val="auto"/>
          <w:sz w:val="28"/>
          <w:szCs w:val="28"/>
          <w:highlight w:val="none"/>
        </w:rPr>
      </w:pPr>
      <w:bookmarkStart w:id="192" w:name="_Toc29403"/>
      <w:bookmarkStart w:id="193" w:name="_Toc24644"/>
      <w:bookmarkStart w:id="194" w:name="_Toc32708"/>
      <w:bookmarkStart w:id="195" w:name="_Toc889"/>
      <w:bookmarkStart w:id="196" w:name="_Toc4386"/>
      <w:r>
        <w:rPr>
          <w:rFonts w:hint="eastAsia" w:ascii="仿宋" w:hAnsi="仿宋" w:eastAsia="仿宋" w:cs="仿宋"/>
          <w:color w:val="auto"/>
          <w:sz w:val="28"/>
          <w:szCs w:val="28"/>
          <w:highlight w:val="none"/>
        </w:rPr>
        <w:t>请各供应商认真查看招标文件第三章“资格审查办法和评标办法”中的技术部分、商务部分评分标准，根据招标文件的要求并结合自身情况编制服务方案，格式由供应商自拟，各供应商应编制提纲及目录。</w:t>
      </w:r>
    </w:p>
    <w:p>
      <w:pPr>
        <w:shd w:val="clea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shd w:val="clear"/>
        <w:spacing w:line="360" w:lineRule="auto"/>
        <w:jc w:val="center"/>
        <w:outlineLvl w:val="1"/>
        <w:rPr>
          <w:rFonts w:hint="eastAsia" w:ascii="仿宋" w:hAnsi="仿宋" w:eastAsia="仿宋" w:cs="仿宋"/>
          <w:b/>
          <w:bCs/>
          <w:color w:val="auto"/>
          <w:sz w:val="32"/>
          <w:szCs w:val="32"/>
          <w:highlight w:val="none"/>
        </w:rPr>
      </w:pPr>
      <w:bookmarkStart w:id="197" w:name="_Toc13247"/>
      <w:bookmarkStart w:id="198" w:name="_Toc15998"/>
      <w:r>
        <w:rPr>
          <w:rFonts w:hint="eastAsia" w:ascii="仿宋" w:hAnsi="仿宋" w:eastAsia="仿宋" w:cs="仿宋"/>
          <w:b/>
          <w:bCs/>
          <w:color w:val="auto"/>
          <w:sz w:val="28"/>
          <w:szCs w:val="28"/>
          <w:highlight w:val="none"/>
        </w:rPr>
        <w:t>十</w:t>
      </w:r>
      <w:r>
        <w:rPr>
          <w:rFonts w:hint="eastAsia" w:ascii="仿宋" w:hAnsi="仿宋" w:eastAsia="仿宋" w:cs="仿宋"/>
          <w:b/>
          <w:bCs/>
          <w:color w:val="auto"/>
          <w:sz w:val="32"/>
          <w:szCs w:val="32"/>
          <w:highlight w:val="none"/>
        </w:rPr>
        <w:t>、</w:t>
      </w:r>
      <w:bookmarkEnd w:id="189"/>
      <w:r>
        <w:rPr>
          <w:rFonts w:hint="eastAsia" w:ascii="仿宋" w:hAnsi="仿宋" w:eastAsia="仿宋" w:cs="仿宋"/>
          <w:b/>
          <w:bCs/>
          <w:color w:val="auto"/>
          <w:sz w:val="32"/>
          <w:szCs w:val="32"/>
          <w:highlight w:val="none"/>
        </w:rPr>
        <w:t>近三年类似项目业绩情况表</w:t>
      </w:r>
      <w:bookmarkEnd w:id="197"/>
      <w:bookmarkEnd w:id="198"/>
    </w:p>
    <w:p>
      <w:pPr>
        <w:shd w:val="clear"/>
        <w:tabs>
          <w:tab w:val="left" w:pos="6729"/>
        </w:tabs>
        <w:spacing w:before="14" w:line="360" w:lineRule="auto"/>
        <w:ind w:right="2849" w:firstLine="276" w:firstLineChars="100"/>
        <w:jc w:val="left"/>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项目名称：</w:t>
      </w:r>
      <w:r>
        <w:rPr>
          <w:rFonts w:hint="eastAsia" w:ascii="仿宋" w:hAnsi="仿宋" w:eastAsia="仿宋" w:cs="仿宋"/>
          <w:color w:val="auto"/>
          <w:sz w:val="28"/>
          <w:szCs w:val="28"/>
          <w:highlight w:val="none"/>
          <w:u w:val="single" w:color="000000"/>
        </w:rPr>
        <w:t xml:space="preserve"> </w:t>
      </w:r>
      <w:r>
        <w:rPr>
          <w:rFonts w:hint="eastAsia" w:ascii="仿宋" w:hAnsi="仿宋" w:eastAsia="仿宋" w:cs="仿宋"/>
          <w:color w:val="auto"/>
          <w:sz w:val="28"/>
          <w:szCs w:val="28"/>
          <w:highlight w:val="none"/>
          <w:u w:val="single" w:color="000000"/>
        </w:rPr>
        <w:tab/>
      </w:r>
    </w:p>
    <w:p>
      <w:pPr>
        <w:shd w:val="clear"/>
        <w:wordWrap w:val="0"/>
        <w:adjustRightInd w:val="0"/>
        <w:snapToGrid w:val="0"/>
        <w:spacing w:line="360" w:lineRule="auto"/>
        <w:ind w:firstLine="276" w:firstLineChars="100"/>
        <w:jc w:val="left"/>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lang w:val="en-US" w:eastAsia="zh-CN"/>
        </w:rPr>
        <w:t>包件</w:t>
      </w:r>
      <w:r>
        <w:rPr>
          <w:rFonts w:hint="eastAsia" w:ascii="仿宋" w:hAnsi="仿宋" w:eastAsia="仿宋" w:cs="仿宋"/>
          <w:color w:val="auto"/>
          <w:spacing w:val="-2"/>
          <w:sz w:val="28"/>
          <w:szCs w:val="28"/>
          <w:highlight w:val="none"/>
        </w:rPr>
        <w:t>编号：</w:t>
      </w:r>
    </w:p>
    <w:tbl>
      <w:tblPr>
        <w:tblStyle w:val="20"/>
        <w:tblW w:w="962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55"/>
        <w:gridCol w:w="1524"/>
        <w:gridCol w:w="2218"/>
        <w:gridCol w:w="2198"/>
        <w:gridCol w:w="1457"/>
        <w:gridCol w:w="127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3" w:hRule="atLeast"/>
        </w:trPr>
        <w:tc>
          <w:tcPr>
            <w:tcW w:w="955" w:type="dxa"/>
            <w:vAlign w:val="center"/>
          </w:tcPr>
          <w:p>
            <w:pPr>
              <w:shd w:val="clear"/>
              <w:wordWrap w:val="0"/>
              <w:adjustRightInd w:val="0"/>
              <w:snapToGrid w:val="0"/>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1524" w:type="dxa"/>
            <w:vAlign w:val="center"/>
          </w:tcPr>
          <w:p>
            <w:pPr>
              <w:shd w:val="clear"/>
              <w:wordWrap w:val="0"/>
              <w:adjustRightInd w:val="0"/>
              <w:snapToGrid w:val="0"/>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tc>
        <w:tc>
          <w:tcPr>
            <w:tcW w:w="2218" w:type="dxa"/>
            <w:tcBorders>
              <w:right w:val="single" w:color="auto" w:sz="4" w:space="0"/>
            </w:tcBorders>
            <w:vAlign w:val="center"/>
          </w:tcPr>
          <w:p>
            <w:pPr>
              <w:shd w:val="clear"/>
              <w:wordWrap w:val="0"/>
              <w:adjustRightInd w:val="0"/>
              <w:snapToGrid w:val="0"/>
              <w:spacing w:line="360" w:lineRule="auto"/>
              <w:ind w:firstLine="4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业主名称</w:t>
            </w:r>
          </w:p>
        </w:tc>
        <w:tc>
          <w:tcPr>
            <w:tcW w:w="2198" w:type="dxa"/>
            <w:tcBorders>
              <w:left w:val="single" w:color="auto" w:sz="4" w:space="0"/>
              <w:right w:val="single" w:color="auto" w:sz="4" w:space="0"/>
            </w:tcBorders>
            <w:vAlign w:val="center"/>
          </w:tcPr>
          <w:p>
            <w:pPr>
              <w:shd w:val="clear"/>
              <w:wordWrap w:val="0"/>
              <w:adjustRightInd w:val="0"/>
              <w:snapToGrid w:val="0"/>
              <w:spacing w:line="360" w:lineRule="auto"/>
              <w:ind w:firstLine="4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招标范围</w:t>
            </w:r>
          </w:p>
        </w:tc>
        <w:tc>
          <w:tcPr>
            <w:tcW w:w="1457" w:type="dxa"/>
            <w:tcBorders>
              <w:right w:val="single" w:color="auto" w:sz="4" w:space="0"/>
            </w:tcBorders>
            <w:vAlign w:val="center"/>
          </w:tcPr>
          <w:p>
            <w:pPr>
              <w:shd w:val="clear"/>
              <w:wordWrap w:val="0"/>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合同金额（万元）</w:t>
            </w:r>
          </w:p>
        </w:tc>
        <w:tc>
          <w:tcPr>
            <w:tcW w:w="1277" w:type="dxa"/>
            <w:vAlign w:val="center"/>
          </w:tcPr>
          <w:p>
            <w:pPr>
              <w:shd w:val="clear"/>
              <w:wordWrap w:val="0"/>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服务时间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3" w:hRule="atLeast"/>
        </w:trPr>
        <w:tc>
          <w:tcPr>
            <w:tcW w:w="955"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1524"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2218" w:type="dxa"/>
            <w:tcBorders>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2198" w:type="dxa"/>
            <w:tcBorders>
              <w:left w:val="single" w:color="auto" w:sz="4" w:space="0"/>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1457" w:type="dxa"/>
            <w:tcBorders>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1277"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78" w:hRule="atLeast"/>
        </w:trPr>
        <w:tc>
          <w:tcPr>
            <w:tcW w:w="955"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1524"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2218" w:type="dxa"/>
            <w:tcBorders>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2198" w:type="dxa"/>
            <w:tcBorders>
              <w:left w:val="single" w:color="auto" w:sz="4" w:space="0"/>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1457" w:type="dxa"/>
            <w:tcBorders>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1277"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3" w:hRule="atLeast"/>
        </w:trPr>
        <w:tc>
          <w:tcPr>
            <w:tcW w:w="955"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1524"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2218" w:type="dxa"/>
            <w:tcBorders>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2198" w:type="dxa"/>
            <w:tcBorders>
              <w:left w:val="single" w:color="auto" w:sz="4" w:space="0"/>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1457" w:type="dxa"/>
            <w:tcBorders>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1277"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3" w:hRule="atLeast"/>
        </w:trPr>
        <w:tc>
          <w:tcPr>
            <w:tcW w:w="955"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1524"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2218" w:type="dxa"/>
            <w:tcBorders>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2198" w:type="dxa"/>
            <w:tcBorders>
              <w:left w:val="single" w:color="auto" w:sz="4" w:space="0"/>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1457" w:type="dxa"/>
            <w:tcBorders>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1277"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3" w:hRule="atLeast"/>
        </w:trPr>
        <w:tc>
          <w:tcPr>
            <w:tcW w:w="955"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p>
        </w:tc>
        <w:tc>
          <w:tcPr>
            <w:tcW w:w="1524"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2218" w:type="dxa"/>
            <w:tcBorders>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2198" w:type="dxa"/>
            <w:tcBorders>
              <w:left w:val="single" w:color="auto" w:sz="4" w:space="0"/>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1457" w:type="dxa"/>
            <w:tcBorders>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1277"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3" w:hRule="atLeast"/>
        </w:trPr>
        <w:tc>
          <w:tcPr>
            <w:tcW w:w="955"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1524"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2218" w:type="dxa"/>
            <w:tcBorders>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2198" w:type="dxa"/>
            <w:tcBorders>
              <w:left w:val="single" w:color="auto" w:sz="4" w:space="0"/>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1457" w:type="dxa"/>
            <w:tcBorders>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1277"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3" w:hRule="atLeast"/>
        </w:trPr>
        <w:tc>
          <w:tcPr>
            <w:tcW w:w="955"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1524"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2218" w:type="dxa"/>
            <w:tcBorders>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2198" w:type="dxa"/>
            <w:tcBorders>
              <w:left w:val="single" w:color="auto" w:sz="4" w:space="0"/>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1457" w:type="dxa"/>
            <w:tcBorders>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1277"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3" w:hRule="atLeast"/>
        </w:trPr>
        <w:tc>
          <w:tcPr>
            <w:tcW w:w="955"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1524"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2218" w:type="dxa"/>
            <w:tcBorders>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2198" w:type="dxa"/>
            <w:tcBorders>
              <w:left w:val="single" w:color="auto" w:sz="4" w:space="0"/>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1457" w:type="dxa"/>
            <w:tcBorders>
              <w:right w:val="single" w:color="auto" w:sz="4" w:space="0"/>
            </w:tcBorders>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c>
          <w:tcPr>
            <w:tcW w:w="1277" w:type="dxa"/>
            <w:vAlign w:val="center"/>
          </w:tcPr>
          <w:p>
            <w:pPr>
              <w:shd w:val="clear"/>
              <w:wordWrap w:val="0"/>
              <w:adjustRightInd w:val="0"/>
              <w:snapToGrid w:val="0"/>
              <w:spacing w:line="360" w:lineRule="auto"/>
              <w:ind w:firstLine="465"/>
              <w:jc w:val="left"/>
              <w:rPr>
                <w:rFonts w:hint="eastAsia" w:ascii="仿宋" w:hAnsi="仿宋" w:eastAsia="仿宋" w:cs="仿宋"/>
                <w:color w:val="auto"/>
                <w:sz w:val="28"/>
                <w:szCs w:val="28"/>
                <w:highlight w:val="none"/>
              </w:rPr>
            </w:pPr>
          </w:p>
        </w:tc>
      </w:tr>
    </w:tbl>
    <w:p>
      <w:pPr>
        <w:shd w:val="clear"/>
        <w:wordWrap w:val="0"/>
        <w:adjustRightInd w:val="0"/>
        <w:snapToGrid w:val="0"/>
        <w:spacing w:line="360" w:lineRule="auto"/>
        <w:ind w:firstLine="465"/>
        <w:jc w:val="left"/>
        <w:rPr>
          <w:rFonts w:hint="eastAsia" w:ascii="仿宋" w:hAnsi="仿宋" w:eastAsia="仿宋" w:cs="仿宋"/>
          <w:b/>
          <w:bCs/>
          <w:color w:val="auto"/>
          <w:sz w:val="28"/>
          <w:szCs w:val="28"/>
          <w:highlight w:val="none"/>
        </w:rPr>
      </w:pPr>
    </w:p>
    <w:p>
      <w:pPr>
        <w:shd w:val="clear"/>
        <w:wordWrap w:val="0"/>
        <w:spacing w:before="60" w:after="60" w:line="360" w:lineRule="auto"/>
        <w:jc w:val="lef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注：</w:t>
      </w:r>
      <w:r>
        <w:rPr>
          <w:rFonts w:hint="eastAsia" w:ascii="仿宋" w:hAnsi="仿宋" w:eastAsia="仿宋" w:cs="仿宋"/>
          <w:b/>
          <w:bCs/>
          <w:color w:val="auto"/>
          <w:sz w:val="28"/>
          <w:szCs w:val="28"/>
          <w:highlight w:val="none"/>
          <w:lang w:val="en-US" w:eastAsia="zh-CN"/>
        </w:rPr>
        <w:t>根据投标人提供近3年(2022年3月1日至今)</w:t>
      </w:r>
      <w:r>
        <w:rPr>
          <w:rFonts w:hint="eastAsia" w:ascii="仿宋" w:hAnsi="仿宋" w:eastAsia="仿宋" w:cs="仿宋"/>
          <w:b/>
          <w:bCs/>
          <w:color w:val="auto"/>
          <w:sz w:val="28"/>
          <w:szCs w:val="28"/>
          <w:highlight w:val="none"/>
        </w:rPr>
        <w:t>类似项目业绩中标（成交）通知书或合同协议书的原件扫描件。</w:t>
      </w:r>
    </w:p>
    <w:p>
      <w:pPr>
        <w:shd w:val="clear"/>
        <w:wordWrap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bookmarkEnd w:id="192"/>
    <w:bookmarkEnd w:id="193"/>
    <w:bookmarkEnd w:id="194"/>
    <w:bookmarkEnd w:id="195"/>
    <w:bookmarkEnd w:id="196"/>
    <w:p>
      <w:pPr>
        <w:shd w:val="clear"/>
        <w:spacing w:line="360" w:lineRule="auto"/>
        <w:ind w:left="2520"/>
        <w:outlineLvl w:val="1"/>
        <w:rPr>
          <w:rFonts w:hint="eastAsia" w:ascii="仿宋" w:hAnsi="仿宋" w:eastAsia="仿宋" w:cs="仿宋"/>
          <w:b/>
          <w:color w:val="auto"/>
          <w:sz w:val="28"/>
          <w:szCs w:val="28"/>
          <w:highlight w:val="none"/>
        </w:rPr>
      </w:pPr>
      <w:bookmarkStart w:id="199" w:name="_Toc27166"/>
      <w:bookmarkStart w:id="200" w:name="_Toc892"/>
      <w:bookmarkStart w:id="201" w:name="_Toc28635"/>
      <w:r>
        <w:rPr>
          <w:rFonts w:hint="eastAsia" w:ascii="仿宋" w:hAnsi="仿宋" w:eastAsia="仿宋" w:cs="仿宋"/>
          <w:b/>
          <w:color w:val="auto"/>
          <w:sz w:val="28"/>
          <w:szCs w:val="28"/>
          <w:highlight w:val="none"/>
        </w:rPr>
        <w:t>十一、供应商认为应该提交的其他资料</w:t>
      </w:r>
      <w:bookmarkEnd w:id="199"/>
      <w:bookmarkEnd w:id="200"/>
      <w:bookmarkEnd w:id="201"/>
    </w:p>
    <w:p>
      <w:pPr>
        <w:shd w:val="clear"/>
        <w:wordWrap w:val="0"/>
        <w:spacing w:line="360" w:lineRule="auto"/>
        <w:rPr>
          <w:rFonts w:hint="eastAsia" w:ascii="仿宋" w:hAnsi="仿宋" w:eastAsia="仿宋" w:cs="仿宋"/>
          <w:color w:val="auto"/>
          <w:highlight w:val="none"/>
        </w:rPr>
      </w:pPr>
    </w:p>
    <w:p>
      <w:pPr>
        <w:shd w:val="clear"/>
        <w:wordWrap w:val="0"/>
        <w:spacing w:line="360" w:lineRule="auto"/>
        <w:jc w:val="center"/>
        <w:rPr>
          <w:rFonts w:hint="eastAsia" w:ascii="仿宋" w:hAnsi="仿宋" w:eastAsia="仿宋" w:cs="仿宋"/>
          <w:color w:val="auto"/>
          <w:highlight w:val="none"/>
        </w:rPr>
      </w:pPr>
      <w:r>
        <w:rPr>
          <w:rFonts w:hint="eastAsia" w:ascii="仿宋" w:hAnsi="仿宋" w:eastAsia="仿宋" w:cs="仿宋"/>
          <w:color w:val="auto"/>
          <w:sz w:val="28"/>
          <w:szCs w:val="28"/>
          <w:highlight w:val="none"/>
        </w:rPr>
        <w:t>（由供应商自行填写）</w:t>
      </w:r>
    </w:p>
    <w:p>
      <w:pPr>
        <w:shd w:val="clear"/>
        <w:spacing w:line="360" w:lineRule="auto"/>
        <w:rPr>
          <w:rFonts w:hint="eastAsia" w:ascii="仿宋" w:hAnsi="仿宋" w:eastAsia="仿宋" w:cs="仿宋"/>
          <w:b/>
          <w:bCs/>
          <w:color w:val="auto"/>
          <w:sz w:val="32"/>
          <w:szCs w:val="32"/>
          <w:highlight w:val="none"/>
        </w:rPr>
      </w:pPr>
      <w:bookmarkStart w:id="202" w:name="_Toc7439"/>
      <w:bookmarkStart w:id="203" w:name="_Toc1048"/>
      <w:bookmarkStart w:id="204" w:name="_Toc9602"/>
      <w:bookmarkStart w:id="205" w:name="_Toc13278"/>
      <w:bookmarkStart w:id="206" w:name="_Toc13765"/>
      <w:bookmarkStart w:id="207" w:name="_Toc4304"/>
      <w:bookmarkStart w:id="208" w:name="_Toc23412"/>
      <w:r>
        <w:rPr>
          <w:rFonts w:hint="eastAsia" w:ascii="仿宋" w:hAnsi="仿宋" w:eastAsia="仿宋" w:cs="仿宋"/>
          <w:b/>
          <w:bCs/>
          <w:color w:val="auto"/>
          <w:sz w:val="32"/>
          <w:szCs w:val="32"/>
          <w:highlight w:val="none"/>
        </w:rPr>
        <w:br w:type="page"/>
      </w:r>
    </w:p>
    <w:p>
      <w:pPr>
        <w:pStyle w:val="19"/>
        <w:shd w:val="clear"/>
        <w:wordWrap w:val="0"/>
        <w:spacing w:before="0" w:beforeAutospacing="0" w:after="0" w:afterAutospacing="0" w:line="360" w:lineRule="auto"/>
        <w:jc w:val="center"/>
        <w:outlineLvl w:val="0"/>
        <w:rPr>
          <w:rFonts w:hint="eastAsia" w:ascii="仿宋" w:hAnsi="仿宋" w:eastAsia="仿宋" w:cs="仿宋"/>
          <w:color w:val="auto"/>
          <w:highlight w:val="none"/>
        </w:rPr>
      </w:pPr>
      <w:bookmarkStart w:id="209" w:name="_Toc1798"/>
      <w:bookmarkStart w:id="210" w:name="_Toc17742"/>
      <w:bookmarkStart w:id="211" w:name="_Toc18785"/>
      <w:bookmarkStart w:id="212" w:name="_Toc28883"/>
      <w:r>
        <w:rPr>
          <w:rFonts w:hint="eastAsia" w:ascii="仿宋" w:hAnsi="仿宋" w:eastAsia="仿宋" w:cs="仿宋"/>
          <w:b/>
          <w:bCs/>
          <w:color w:val="auto"/>
          <w:sz w:val="32"/>
          <w:szCs w:val="32"/>
          <w:highlight w:val="none"/>
        </w:rPr>
        <w:t>第六章 合同条款及格式</w:t>
      </w:r>
      <w:bookmarkEnd w:id="202"/>
      <w:bookmarkEnd w:id="209"/>
      <w:bookmarkEnd w:id="210"/>
      <w:bookmarkEnd w:id="211"/>
      <w:bookmarkEnd w:id="212"/>
    </w:p>
    <w:p>
      <w:pPr>
        <w:pStyle w:val="2"/>
        <w:shd w:val="clear"/>
        <w:wordWrap w:val="0"/>
        <w:spacing w:line="360" w:lineRule="auto"/>
        <w:rPr>
          <w:rFonts w:hint="eastAsia" w:ascii="仿宋" w:hAnsi="仿宋" w:eastAsia="仿宋" w:cs="仿宋"/>
          <w:color w:val="auto"/>
          <w:highlight w:val="none"/>
        </w:rPr>
      </w:pPr>
    </w:p>
    <w:bookmarkEnd w:id="203"/>
    <w:bookmarkEnd w:id="204"/>
    <w:bookmarkEnd w:id="205"/>
    <w:bookmarkEnd w:id="206"/>
    <w:bookmarkEnd w:id="207"/>
    <w:bookmarkEnd w:id="208"/>
    <w:p>
      <w:pPr>
        <w:pStyle w:val="2"/>
        <w:shd w:val="clear"/>
        <w:rPr>
          <w:rFonts w:hint="eastAsia" w:ascii="仿宋" w:hAnsi="仿宋" w:eastAsia="仿宋" w:cs="仿宋"/>
          <w:color w:val="auto"/>
          <w:sz w:val="20"/>
          <w:highlight w:val="none"/>
        </w:rPr>
      </w:pPr>
    </w:p>
    <w:p>
      <w:pPr>
        <w:shd w:val="clear"/>
        <w:tabs>
          <w:tab w:val="left" w:pos="6750"/>
        </w:tabs>
        <w:spacing w:before="38" w:line="320" w:lineRule="exact"/>
        <w:ind w:left="102"/>
        <w:jc w:val="left"/>
        <w:rPr>
          <w:rFonts w:hint="eastAsia" w:ascii="仿宋" w:hAnsi="仿宋" w:eastAsia="仿宋" w:cs="仿宋"/>
          <w:color w:val="auto"/>
          <w:sz w:val="19"/>
          <w:highlight w:val="none"/>
        </w:rPr>
      </w:pPr>
      <w:r>
        <w:rPr>
          <w:rFonts w:hint="eastAsia" w:ascii="仿宋" w:hAnsi="仿宋" w:eastAsia="仿宋" w:cs="仿宋"/>
          <w:color w:val="auto"/>
          <w:sz w:val="24"/>
          <w:highlight w:val="none"/>
        </w:rPr>
        <w:t xml:space="preserve">合同编号：                               </w:t>
      </w:r>
      <w:r>
        <w:rPr>
          <w:rFonts w:hint="eastAsia" w:ascii="仿宋" w:hAnsi="仿宋" w:eastAsia="仿宋" w:cs="仿宋"/>
          <w:color w:val="auto"/>
          <w:spacing w:val="24"/>
          <w:position w:val="2"/>
          <w:sz w:val="19"/>
          <w:highlight w:val="none"/>
        </w:rPr>
        <w:t xml:space="preserve">  </w:t>
      </w:r>
      <w:r>
        <w:rPr>
          <w:rFonts w:hint="eastAsia" w:ascii="仿宋" w:hAnsi="仿宋" w:eastAsia="仿宋" w:cs="仿宋"/>
          <w:color w:val="auto"/>
          <w:sz w:val="24"/>
          <w:highlight w:val="none"/>
        </w:rPr>
        <w:t>合同自编号</w:t>
      </w:r>
      <w:r>
        <w:rPr>
          <w:rFonts w:hint="eastAsia" w:ascii="仿宋" w:hAnsi="仿宋" w:eastAsia="仿宋" w:cs="仿宋"/>
          <w:color w:val="auto"/>
          <w:sz w:val="19"/>
          <w:highlight w:val="none"/>
        </w:rPr>
        <w:t>：</w:t>
      </w:r>
      <w:r>
        <w:rPr>
          <w:rFonts w:hint="eastAsia" w:ascii="仿宋" w:hAnsi="仿宋" w:eastAsia="仿宋" w:cs="仿宋"/>
          <w:color w:val="auto"/>
          <w:sz w:val="19"/>
          <w:highlight w:val="none"/>
        </w:rPr>
        <w:tab/>
      </w:r>
      <w:r>
        <w:rPr>
          <w:rFonts w:hint="eastAsia" w:ascii="仿宋" w:hAnsi="仿宋" w:eastAsia="仿宋" w:cs="仿宋"/>
          <w:color w:val="auto"/>
          <w:sz w:val="19"/>
          <w:highlight w:val="none"/>
        </w:rPr>
        <w:t xml:space="preserve">      </w:t>
      </w:r>
      <w:r>
        <w:rPr>
          <w:rFonts w:hint="eastAsia" w:ascii="仿宋" w:hAnsi="仿宋" w:eastAsia="仿宋" w:cs="仿宋"/>
          <w:color w:val="auto"/>
          <w:sz w:val="24"/>
          <w:highlight w:val="none"/>
        </w:rPr>
        <w:t>招标编号</w:t>
      </w:r>
      <w:r>
        <w:rPr>
          <w:rFonts w:hint="eastAsia" w:ascii="仿宋" w:hAnsi="仿宋" w:eastAsia="仿宋" w:cs="仿宋"/>
          <w:color w:val="auto"/>
          <w:sz w:val="19"/>
          <w:highlight w:val="none"/>
        </w:rPr>
        <w:t>：</w:t>
      </w:r>
    </w:p>
    <w:p>
      <w:pPr>
        <w:shd w:val="clear"/>
        <w:spacing w:before="7" w:line="320" w:lineRule="exact"/>
        <w:rPr>
          <w:rFonts w:hint="eastAsia" w:ascii="仿宋" w:hAnsi="仿宋" w:eastAsia="仿宋" w:cs="仿宋"/>
          <w:color w:val="auto"/>
          <w:sz w:val="44"/>
          <w:highlight w:val="none"/>
        </w:rPr>
      </w:pPr>
    </w:p>
    <w:p>
      <w:pPr>
        <w:shd w:val="clear"/>
        <w:spacing w:line="320" w:lineRule="exact"/>
        <w:ind w:left="102"/>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●本合同须加盖甲乙双方骑缝章有效</w:t>
      </w:r>
    </w:p>
    <w:p>
      <w:pPr>
        <w:shd w:val="clear"/>
        <w:spacing w:line="320" w:lineRule="exact"/>
        <w:rPr>
          <w:rFonts w:hint="eastAsia" w:ascii="仿宋" w:hAnsi="仿宋" w:eastAsia="仿宋" w:cs="仿宋"/>
          <w:color w:val="auto"/>
          <w:sz w:val="32"/>
          <w:highlight w:val="none"/>
        </w:rPr>
      </w:pPr>
    </w:p>
    <w:p>
      <w:pPr>
        <w:shd w:val="clear"/>
        <w:rPr>
          <w:rFonts w:hint="eastAsia" w:ascii="仿宋" w:hAnsi="仿宋" w:eastAsia="仿宋" w:cs="仿宋"/>
          <w:color w:val="auto"/>
          <w:sz w:val="32"/>
          <w:highlight w:val="none"/>
        </w:rPr>
      </w:pPr>
    </w:p>
    <w:p>
      <w:pPr>
        <w:shd w:val="clear"/>
        <w:spacing w:before="5"/>
        <w:rPr>
          <w:rFonts w:hint="eastAsia" w:ascii="仿宋" w:hAnsi="仿宋" w:eastAsia="仿宋" w:cs="仿宋"/>
          <w:color w:val="auto"/>
          <w:sz w:val="16"/>
          <w:highlight w:val="none"/>
        </w:rPr>
      </w:pPr>
    </w:p>
    <w:p>
      <w:pPr>
        <w:shd w:val="clear"/>
        <w:ind w:left="720"/>
        <w:jc w:val="center"/>
        <w:rPr>
          <w:rFonts w:hint="eastAsia" w:ascii="仿宋" w:hAnsi="仿宋" w:eastAsia="仿宋" w:cs="仿宋"/>
          <w:color w:val="auto"/>
          <w:sz w:val="39"/>
          <w:highlight w:val="none"/>
        </w:rPr>
      </w:pPr>
      <w:r>
        <w:rPr>
          <w:rFonts w:hint="eastAsia" w:ascii="仿宋" w:hAnsi="仿宋" w:eastAsia="仿宋" w:cs="仿宋"/>
          <w:color w:val="auto"/>
          <w:sz w:val="39"/>
          <w:highlight w:val="none"/>
        </w:rPr>
        <w:t>云南省政府采购</w:t>
      </w:r>
    </w:p>
    <w:p>
      <w:pPr>
        <w:shd w:val="clear"/>
        <w:spacing w:before="300"/>
        <w:ind w:left="720" w:right="71"/>
        <w:jc w:val="center"/>
        <w:rPr>
          <w:rFonts w:hint="eastAsia" w:ascii="仿宋" w:hAnsi="仿宋" w:eastAsia="仿宋" w:cs="仿宋"/>
          <w:color w:val="auto"/>
          <w:highlight w:val="none"/>
        </w:rPr>
      </w:pPr>
      <w:r>
        <w:rPr>
          <w:rFonts w:hint="eastAsia" w:ascii="仿宋" w:hAnsi="仿宋" w:eastAsia="仿宋" w:cs="仿宋"/>
          <w:color w:val="auto"/>
          <w:w w:val="104"/>
          <w:highlight w:val="none"/>
        </w:rPr>
        <w:t>（委托采购）</w:t>
      </w:r>
    </w:p>
    <w:p>
      <w:pPr>
        <w:shd w:val="clear"/>
        <w:rPr>
          <w:rFonts w:hint="eastAsia" w:ascii="仿宋" w:hAnsi="仿宋" w:eastAsia="仿宋" w:cs="仿宋"/>
          <w:color w:val="auto"/>
          <w:sz w:val="26"/>
          <w:highlight w:val="none"/>
        </w:rPr>
      </w:pPr>
    </w:p>
    <w:p>
      <w:pPr>
        <w:shd w:val="clear"/>
        <w:rPr>
          <w:rFonts w:hint="eastAsia" w:ascii="仿宋" w:hAnsi="仿宋" w:eastAsia="仿宋" w:cs="仿宋"/>
          <w:color w:val="auto"/>
          <w:sz w:val="26"/>
          <w:highlight w:val="none"/>
        </w:rPr>
      </w:pPr>
    </w:p>
    <w:p>
      <w:pPr>
        <w:shd w:val="clear"/>
        <w:rPr>
          <w:rFonts w:hint="eastAsia" w:ascii="仿宋" w:hAnsi="仿宋" w:eastAsia="仿宋" w:cs="仿宋"/>
          <w:color w:val="auto"/>
          <w:sz w:val="26"/>
          <w:highlight w:val="none"/>
        </w:rPr>
      </w:pPr>
    </w:p>
    <w:p>
      <w:pPr>
        <w:shd w:val="clear"/>
        <w:rPr>
          <w:rFonts w:hint="eastAsia" w:ascii="仿宋" w:hAnsi="仿宋" w:eastAsia="仿宋" w:cs="仿宋"/>
          <w:color w:val="auto"/>
          <w:sz w:val="20"/>
          <w:highlight w:val="none"/>
        </w:rPr>
      </w:pPr>
    </w:p>
    <w:p>
      <w:pPr>
        <w:shd w:val="clear"/>
        <w:spacing w:before="1" w:line="307" w:lineRule="auto"/>
        <w:ind w:left="4629" w:right="3977"/>
        <w:rPr>
          <w:rFonts w:hint="eastAsia" w:ascii="仿宋" w:hAnsi="仿宋" w:eastAsia="仿宋" w:cs="仿宋"/>
          <w:color w:val="auto"/>
          <w:sz w:val="63"/>
          <w:highlight w:val="none"/>
        </w:rPr>
      </w:pPr>
      <w:r>
        <w:rPr>
          <w:rFonts w:hint="eastAsia" w:ascii="仿宋" w:hAnsi="仿宋" w:eastAsia="仿宋" w:cs="仿宋"/>
          <w:color w:val="auto"/>
          <w:sz w:val="63"/>
          <w:highlight w:val="none"/>
        </w:rPr>
        <w:t>合同书</w:t>
      </w:r>
    </w:p>
    <w:p>
      <w:pPr>
        <w:shd w:val="clear"/>
        <w:spacing w:before="433"/>
        <w:ind w:right="2330"/>
        <w:rPr>
          <w:rFonts w:hint="eastAsia" w:ascii="仿宋" w:hAnsi="仿宋" w:eastAsia="仿宋" w:cs="仿宋"/>
          <w:color w:val="auto"/>
          <w:highlight w:val="none"/>
        </w:rPr>
      </w:pPr>
      <w:r>
        <w:rPr>
          <w:rFonts w:hint="eastAsia" w:ascii="仿宋" w:hAnsi="仿宋" w:eastAsia="仿宋" w:cs="仿宋"/>
          <w:color w:val="auto"/>
          <w:highlight w:val="none"/>
        </w:rPr>
        <w:t>签订地点:</w:t>
      </w:r>
    </w:p>
    <w:p>
      <w:pPr>
        <w:pStyle w:val="2"/>
        <w:shd w:val="clear"/>
        <w:rPr>
          <w:rFonts w:hint="eastAsia" w:ascii="仿宋" w:hAnsi="仿宋" w:eastAsia="仿宋" w:cs="仿宋"/>
          <w:color w:val="auto"/>
          <w:highlight w:val="none"/>
        </w:rPr>
      </w:pPr>
    </w:p>
    <w:p>
      <w:pPr>
        <w:shd w:val="clear"/>
        <w:rPr>
          <w:rFonts w:hint="eastAsia" w:ascii="仿宋" w:hAnsi="仿宋" w:eastAsia="仿宋" w:cs="仿宋"/>
          <w:color w:val="auto"/>
          <w:highlight w:val="none"/>
        </w:rPr>
      </w:pPr>
    </w:p>
    <w:p>
      <w:pPr>
        <w:shd w:val="clear"/>
        <w:spacing w:before="1"/>
        <w:rPr>
          <w:rFonts w:hint="eastAsia" w:ascii="仿宋" w:hAnsi="仿宋" w:eastAsia="仿宋" w:cs="仿宋"/>
          <w:b/>
          <w:color w:val="auto"/>
          <w:sz w:val="42"/>
          <w:highlight w:val="none"/>
        </w:rPr>
      </w:pPr>
    </w:p>
    <w:p>
      <w:pPr>
        <w:shd w:val="clear"/>
        <w:tabs>
          <w:tab w:val="left" w:pos="2611"/>
        </w:tabs>
        <w:ind w:left="720"/>
        <w:jc w:val="center"/>
        <w:rPr>
          <w:rFonts w:hint="eastAsia" w:ascii="仿宋" w:hAnsi="仿宋" w:eastAsia="仿宋" w:cs="仿宋"/>
          <w:color w:val="auto"/>
          <w:sz w:val="27"/>
          <w:highlight w:val="none"/>
        </w:rPr>
        <w:sectPr>
          <w:pgSz w:w="11900" w:h="16840"/>
          <w:pgMar w:top="560" w:right="1680" w:bottom="480" w:left="980" w:header="227" w:footer="454" w:gutter="0"/>
          <w:pgBorders>
            <w:top w:val="none" w:sz="0" w:space="0"/>
            <w:left w:val="none" w:sz="0" w:space="0"/>
            <w:bottom w:val="none" w:sz="0" w:space="0"/>
            <w:right w:val="none" w:sz="0" w:space="0"/>
          </w:pgBorders>
          <w:pgNumType w:fmt="decimal"/>
          <w:cols w:space="708" w:num="1"/>
        </w:sectPr>
      </w:pPr>
      <w:r>
        <w:rPr>
          <w:rFonts w:hint="eastAsia" w:ascii="仿宋" w:hAnsi="仿宋" w:eastAsia="仿宋" w:cs="仿宋"/>
          <w:b/>
          <w:color w:val="auto"/>
          <w:sz w:val="27"/>
          <w:highlight w:val="none"/>
        </w:rPr>
        <w:t>云南省财政厅</w:t>
      </w:r>
      <w:r>
        <w:rPr>
          <w:rFonts w:hint="eastAsia" w:ascii="仿宋" w:hAnsi="仿宋" w:eastAsia="仿宋" w:cs="仿宋"/>
          <w:b/>
          <w:color w:val="auto"/>
          <w:sz w:val="27"/>
          <w:highlight w:val="none"/>
        </w:rPr>
        <w:tab/>
      </w:r>
      <w:r>
        <w:rPr>
          <w:rFonts w:hint="eastAsia" w:ascii="仿宋" w:hAnsi="仿宋" w:eastAsia="仿宋" w:cs="仿宋"/>
          <w:b/>
          <w:color w:val="auto"/>
          <w:sz w:val="27"/>
          <w:highlight w:val="none"/>
        </w:rPr>
        <w:t>制</w:t>
      </w:r>
    </w:p>
    <w:p>
      <w:pPr>
        <w:rPr>
          <w:rFonts w:hint="eastAsia" w:ascii="方正小标宋_GBK" w:hAnsi="方正小标宋_GBK" w:eastAsia="方正小标宋_GBK" w:cs="方正小标宋_GBK"/>
          <w:color w:val="auto"/>
          <w:sz w:val="32"/>
          <w:szCs w:val="32"/>
          <w:highlight w:val="none"/>
          <w:lang w:val="en-US" w:eastAsia="zh-CN"/>
        </w:rPr>
      </w:pPr>
    </w:p>
    <w:sectPr>
      <w:headerReference r:id="rId15" w:type="default"/>
      <w:footerReference r:id="rId16" w:type="default"/>
      <w:pgSz w:w="11906" w:h="16838"/>
      <w:pgMar w:top="1417" w:right="1417" w:bottom="1417" w:left="1417" w:header="567" w:footer="567"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9919639-6E10-4F73-9F89-0EA09289D05B}"/>
  </w:font>
  <w:font w:name="Arial">
    <w:panose1 w:val="020B0604020202020204"/>
    <w:charset w:val="01"/>
    <w:family w:val="swiss"/>
    <w:pitch w:val="default"/>
    <w:sig w:usb0="E0002AFF" w:usb1="C0007843" w:usb2="00000009" w:usb3="00000000" w:csb0="400001FF" w:csb1="FFFF0000"/>
    <w:embedRegular r:id="rId2" w:fontKey="{A72DBF8C-0E90-4245-B231-0E7A48228812}"/>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92163307-E386-4979-8279-9E809E8E67AD}"/>
  </w:font>
  <w:font w:name="新宋体">
    <w:panose1 w:val="02010609030101010101"/>
    <w:charset w:val="86"/>
    <w:family w:val="modern"/>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embedRegular r:id="rId4" w:fontKey="{E1E3318B-96C5-43F7-BE7B-BD69D00B25CC}"/>
  </w:font>
  <w:font w:name="仿宋_GB2312">
    <w:panose1 w:val="02010609030101010101"/>
    <w:charset w:val="86"/>
    <w:family w:val="modern"/>
    <w:pitch w:val="default"/>
    <w:sig w:usb0="00000001" w:usb1="080E0000" w:usb2="00000000" w:usb3="00000000" w:csb0="00040000" w:csb1="00000000"/>
    <w:embedRegular r:id="rId5" w:fontKey="{0D840EDA-4924-4099-8E9B-7AA920DA029D}"/>
  </w:font>
  <w:font w:name="方正小标宋_GBK">
    <w:panose1 w:val="03000509000000000000"/>
    <w:charset w:val="86"/>
    <w:family w:val="auto"/>
    <w:pitch w:val="default"/>
    <w:sig w:usb0="00000001" w:usb1="080E0000" w:usb2="00000000" w:usb3="00000000" w:csb0="00040000" w:csb1="00000000"/>
    <w:embedRegular r:id="rId6" w:fontKey="{EBAF08BF-3995-45CC-B56B-28D03CFF0CE3}"/>
  </w:font>
  <w:font w:name="方正仿宋_GBK">
    <w:panose1 w:val="03000509000000000000"/>
    <w:charset w:val="86"/>
    <w:family w:val="auto"/>
    <w:pitch w:val="default"/>
    <w:sig w:usb0="00000001" w:usb1="080E0000" w:usb2="00000000" w:usb3="00000000" w:csb0="00040000" w:csb1="00000000"/>
    <w:embedRegular r:id="rId7" w:fontKey="{98BCAF24-6947-43FE-96A4-0FF651BFE793}"/>
  </w:font>
  <w:font w:name="方正黑体_GBK">
    <w:panose1 w:val="03000509000000000000"/>
    <w:charset w:val="86"/>
    <w:family w:val="script"/>
    <w:pitch w:val="default"/>
    <w:sig w:usb0="00000001" w:usb1="080E0000" w:usb2="00000000" w:usb3="00000000" w:csb0="00040000" w:csb1="00000000"/>
    <w:embedRegular r:id="rId8" w:fontKey="{1FAB6D15-A86E-40F6-93B7-03241A183417}"/>
  </w:font>
  <w:font w:name="仿宋">
    <w:panose1 w:val="02010609060101010101"/>
    <w:charset w:val="86"/>
    <w:family w:val="modern"/>
    <w:pitch w:val="default"/>
    <w:sig w:usb0="800002BF" w:usb1="38CF7CFA" w:usb2="00000016" w:usb3="00000000" w:csb0="00040001" w:csb1="00000000"/>
    <w:embedRegular r:id="rId9" w:fontKey="{C415E43A-4FA2-48D2-B7DA-EB43AF448B96}"/>
  </w:font>
  <w:font w:name="方正楷体_GBK">
    <w:panose1 w:val="03000509000000000000"/>
    <w:charset w:val="86"/>
    <w:family w:val="script"/>
    <w:pitch w:val="default"/>
    <w:sig w:usb0="00000001" w:usb1="080E0000" w:usb2="00000000" w:usb3="00000000" w:csb0="00040000" w:csb1="00000000"/>
    <w:embedRegular r:id="rId10" w:fontKey="{D9EA6595-29E9-476B-BB67-48B512BFD00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ascii="仿宋_GB2312" w:eastAsia="仿宋_GB2312"/>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ascii="仿宋_GB2312" w:eastAsia="仿宋_GB2312"/>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sz w:val="20"/>
      </w:rPr>
      <mc:AlternateContent>
        <mc:Choice Requires="wps">
          <w:drawing>
            <wp:anchor distT="0" distB="0" distL="0" distR="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89" name="文本框 1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4"/>
                          </w:pPr>
                          <w:r>
                            <w:fldChar w:fldCharType="begin"/>
                          </w:r>
                          <w:r>
                            <w:instrText xml:space="preserve"> PAGE  \* MERGEFORMAT </w:instrText>
                          </w:r>
                          <w:r>
                            <w:fldChar w:fldCharType="separate"/>
                          </w:r>
                          <w:r>
                            <w:t>83</w:t>
                          </w:r>
                          <w:r>
                            <w:fldChar w:fldCharType="end"/>
                          </w:r>
                        </w:p>
                      </w:txbxContent>
                    </wps:txbx>
                    <wps:bodyPr vert="horz" wrap="none" lIns="0" tIns="0" rIns="0" bIns="0" anchor="t">
                      <a:spAutoFit/>
                    </wps:bodyPr>
                  </wps:wsp>
                </a:graphicData>
              </a:graphic>
            </wp:anchor>
          </w:drawing>
        </mc:Choice>
        <mc:Fallback>
          <w:pict>
            <v:rect id="文本框 11" o:spid="_x0000_s1026" o:spt="1"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G0+PJzKAQAAkwMAAA4AAAAAAAAAAQAgAAAAHwEAAGRycy9lMm9E&#10;b2MueG1sUEsFBgAAAAAGAAYAWQEAAFsFA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83</w:t>
                    </w:r>
                    <w: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sz w:val="20"/>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4"/>
                          </w:pPr>
                          <w:r>
                            <w:fldChar w:fldCharType="begin"/>
                          </w:r>
                          <w:r>
                            <w:instrText xml:space="preserve"> PAGE  \* MERGEFORMAT </w:instrText>
                          </w:r>
                          <w:r>
                            <w:fldChar w:fldCharType="separate"/>
                          </w:r>
                          <w:r>
                            <w:t>77</w:t>
                          </w:r>
                          <w:r>
                            <w:fldChar w:fldCharType="end"/>
                          </w:r>
                        </w:p>
                      </w:txbxContent>
                    </wps:txbx>
                    <wps:bodyPr vert="horz" wrap="none" lIns="0" tIns="0" rIns="0" bIns="0" anchor="t">
                      <a:spAutoFit/>
                    </wps:bodyPr>
                  </wps:wsp>
                </a:graphicData>
              </a:graphic>
            </wp:anchor>
          </w:drawing>
        </mc:Choice>
        <mc:Fallback>
          <w:pict>
            <v:rect id="文本框 9"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Ji8v5/KAQAAkgMAAA4AAAAAAAAAAQAgAAAAHwEAAGRycy9lMm9E&#10;b2MueG1sUEsFBgAAAAAGAAYAWQEAAFsFA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77</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sz w:val="20"/>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10"/>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4"/>
                          </w:pPr>
                          <w:r>
                            <w:fldChar w:fldCharType="begin"/>
                          </w:r>
                          <w:r>
                            <w:instrText xml:space="preserve"> PAGE  \* MERGEFORMAT </w:instrText>
                          </w:r>
                          <w:r>
                            <w:fldChar w:fldCharType="separate"/>
                          </w:r>
                          <w:r>
                            <w:t>78</w:t>
                          </w:r>
                          <w:r>
                            <w:fldChar w:fldCharType="end"/>
                          </w:r>
                        </w:p>
                      </w:txbxContent>
                    </wps:txbx>
                    <wps:bodyPr vert="horz" wrap="none" lIns="0" tIns="0" rIns="0" bIns="0" anchor="t">
                      <a:spAutoFit/>
                    </wps:bodyPr>
                  </wps:wsp>
                </a:graphicData>
              </a:graphic>
            </wp:anchor>
          </w:drawing>
        </mc:Choice>
        <mc:Fallback>
          <w:pict>
            <v:rect id="文本框 10"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l1uVLQAAAABQEAAA8AAAAAAAAAAQAgAAAAIgAAAGRycy9kb3ducmV2Lnht&#10;bFBLAQIUABQAAAAIAIdO4kAsYi5qyAEAAJMDAAAOAAAAAAAAAAEAIAAAAB8BAABkcnMvZTJvRG9j&#10;LnhtbFBLBQYAAAAABgAGAFkBAABZBQ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78</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sz w:val="20"/>
      </w:rPr>
      <mc:AlternateContent>
        <mc:Choice Requires="wps">
          <w:drawing>
            <wp:anchor distT="0" distB="0" distL="0" distR="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1" name="文本框 1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4"/>
                          </w:pPr>
                          <w:r>
                            <w:fldChar w:fldCharType="begin"/>
                          </w:r>
                          <w:r>
                            <w:instrText xml:space="preserve"> PAGE  \* MERGEFORMAT </w:instrText>
                          </w:r>
                          <w:r>
                            <w:fldChar w:fldCharType="separate"/>
                          </w:r>
                          <w:r>
                            <w:t>83</w:t>
                          </w:r>
                          <w:r>
                            <w:fldChar w:fldCharType="end"/>
                          </w:r>
                        </w:p>
                      </w:txbxContent>
                    </wps:txbx>
                    <wps:bodyPr vert="horz" wrap="none" lIns="0" tIns="0" rIns="0" bIns="0" anchor="t">
                      <a:spAutoFit/>
                    </wps:bodyPr>
                  </wps:wsp>
                </a:graphicData>
              </a:graphic>
            </wp:anchor>
          </w:drawing>
        </mc:Choice>
        <mc:Fallback>
          <w:pict>
            <v:rect id="文本框 11" o:spid="_x0000_s1026" o:spt="1"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EINNNTKAQAAkwMAAA4AAAAAAAAAAQAgAAAAHwEAAGRycy9lMm9E&#10;b2MueG1sUEsFBgAAAAAGAAYAWQEAAFsFA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83</w:t>
                    </w:r>
                    <w:r>
                      <w:fldChar w:fldCharType="end"/>
                    </w:r>
                  </w:p>
                </w:txbxContent>
              </v:textbox>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tabs>
        <w:tab w:val="center" w:pos="4535"/>
        <w:tab w:val="right" w:pos="8830"/>
      </w:tabs>
      <w:ind w:right="360"/>
      <w:rPr>
        <w:rFonts w:ascii="仿宋_GB2312" w:hAnsi="仿宋_GB2312" w:eastAsia="仿宋_GB2312" w:cs="仿宋_GB2312"/>
      </w:rP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2" name="文本框 1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4"/>
                          </w:pPr>
                          <w:r>
                            <w:fldChar w:fldCharType="begin"/>
                          </w:r>
                          <w:r>
                            <w:instrText xml:space="preserve"> PAGE  \* MERGEFORMAT </w:instrText>
                          </w:r>
                          <w:r>
                            <w:fldChar w:fldCharType="separate"/>
                          </w:r>
                          <w:r>
                            <w:t>88</w:t>
                          </w:r>
                          <w:r>
                            <w:fldChar w:fldCharType="end"/>
                          </w:r>
                        </w:p>
                      </w:txbxContent>
                    </wps:txbx>
                    <wps:bodyPr vert="horz" wrap="none" lIns="0" tIns="0" rIns="0" bIns="0" anchor="t">
                      <a:spAutoFit/>
                    </wps:bodyPr>
                  </wps:wsp>
                </a:graphicData>
              </a:graphic>
            </wp:anchor>
          </w:drawing>
        </mc:Choice>
        <mc:Fallback>
          <w:pict>
            <v:rect id="文本框 1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LG6a83KAQAAkwMAAA4AAAAAAAAAAQAgAAAAHwEAAGRycy9lMm9E&#10;b2MueG1sUEsFBgAAAAAGAAYAWQEAAFsFA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88</w:t>
                    </w:r>
                    <w:r>
                      <w:fldChar w:fldCharType="end"/>
                    </w:r>
                  </w:p>
                </w:txbxContent>
              </v:textbox>
            </v:rect>
          </w:pict>
        </mc:Fallback>
      </mc:AlternateContent>
    </w:r>
    <w:r>
      <w:rPr>
        <w:rFonts w:hint="eastAsia" w:ascii="仿宋_GB2312" w:hAnsi="仿宋_GB2312" w:eastAsia="仿宋_GB2312" w:cs="仿宋_GB2312"/>
      </w:rPr>
      <w:tab/>
    </w:r>
    <w:r>
      <w:rPr>
        <w:rFonts w:hint="eastAsia" w:ascii="仿宋_GB2312" w:hAnsi="仿宋_GB2312" w:eastAsia="仿宋_GB2312" w:cs="仿宋_GB2312"/>
      </w:rPr>
      <w:tab/>
    </w:r>
  </w:p>
  <w:p>
    <w:pPr>
      <w:pStyle w:val="14"/>
      <w:tabs>
        <w:tab w:val="center" w:pos="4535"/>
        <w:tab w:val="right" w:pos="8830"/>
      </w:tabs>
      <w:jc w:val="right"/>
      <w:rPr>
        <w:rFonts w:ascii="仿宋" w:hAnsi="仿宋" w:eastAsia="仿宋" w:cs="仿宋"/>
      </w:rPr>
    </w:pPr>
    <w:r>
      <w:rPr>
        <w:rFonts w:hint="eastAsia" w:ascii="仿宋_GB2312" w:hAnsi="仿宋_GB2312" w:eastAsia="仿宋_GB2312" w:cs="仿宋_GB2312"/>
      </w:rPr>
      <w:tab/>
    </w:r>
    <w:r>
      <w:rPr>
        <w:rFonts w:hint="eastAsia" w:ascii="仿宋_GB2312" w:hAnsi="仿宋_GB2312" w:eastAsia="仿宋_GB2312" w:cs="仿宋_GB2312"/>
      </w:rPr>
      <w:tab/>
    </w:r>
    <w:r>
      <w:rPr>
        <w:rFonts w:ascii="仿宋_GB2312" w:hAnsi="仿宋_GB2312" w:eastAsia="仿宋_GB2312" w:cs="仿宋_GB2312"/>
      </w:rPr>
      <mc:AlternateContent>
        <mc:Choice Requires="wps">
          <w:drawing>
            <wp:anchor distT="0" distB="0" distL="114300" distR="114300" simplePos="0" relativeHeight="251661312" behindDoc="0" locked="0" layoutInCell="1" allowOverlap="1">
              <wp:simplePos x="0" y="0"/>
              <wp:positionH relativeFrom="margin">
                <wp:posOffset>2813050</wp:posOffset>
              </wp:positionH>
              <wp:positionV relativeFrom="paragraph">
                <wp:posOffset>-265430</wp:posOffset>
              </wp:positionV>
              <wp:extent cx="114935" cy="153035"/>
              <wp:effectExtent l="0" t="0" r="0" b="0"/>
              <wp:wrapNone/>
              <wp:docPr id="1090" name="文本框 1090"/>
              <wp:cNvGraphicFramePr/>
              <a:graphic xmlns:a="http://schemas.openxmlformats.org/drawingml/2006/main">
                <a:graphicData uri="http://schemas.microsoft.com/office/word/2010/wordprocessingShape">
                  <wps:wsp>
                    <wps:cNvSpPr txBox="1"/>
                    <wps:spPr>
                      <a:xfrm>
                        <a:off x="0" y="0"/>
                        <a:ext cx="114935" cy="153035"/>
                      </a:xfrm>
                      <a:prstGeom prst="rect">
                        <a:avLst/>
                      </a:prstGeom>
                      <a:noFill/>
                      <a:ln>
                        <a:noFill/>
                      </a:ln>
                    </wps:spPr>
                    <wps:txbx>
                      <w:txbxContent>
                        <w:p/>
                      </w:txbxContent>
                    </wps:txbx>
                    <wps:bodyPr wrap="none" lIns="0" tIns="0" rIns="0" bIns="0" upright="1">
                      <a:spAutoFit/>
                    </wps:bodyPr>
                  </wps:wsp>
                </a:graphicData>
              </a:graphic>
            </wp:anchor>
          </w:drawing>
        </mc:Choice>
        <mc:Fallback>
          <w:pict>
            <v:shape id="_x0000_s1026" o:spid="_x0000_s1026" o:spt="202" type="#_x0000_t202" style="position:absolute;left:0pt;margin-left:221.5pt;margin-top:-20.9pt;height:12.05pt;width:9.05pt;mso-position-horizontal-relative:margin;mso-wrap-style:none;z-index:251661312;mso-width-relative:page;mso-height-relative:page;" filled="f" stroked="f" coordsize="21600,21600" o:gfxdata="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Br0jQHXAAAACwEAAA8AAAAAAAAAAQAgAAAAIgAA&#10;AGRycy9kb3ducmV2LnhtbFBLAQIUABQAAAAIAIdO4kBfalZ10AEAAJ0DAAAOAAAAAAAAAAEAIAAA&#10;ACYBAABkcnMvZTJvRG9jLnhtbFBLBQYAAAAABgAGAFkBAABoBQAAAAA=&#10;">
              <v:fill on="f" focussize="0,0"/>
              <v:stroke on="f"/>
              <v:imagedata o:title=""/>
              <o:lock v:ext="edit" aspectratio="f"/>
              <v:textbox inset="0mm,0mm,0mm,0mm" style="mso-fit-shape-to-text:t;">
                <w:txbxContent>
                  <w:p/>
                </w:txbxContent>
              </v:textbox>
            </v:shape>
          </w:pict>
        </mc:Fallback>
      </mc:AlternateContent>
    </w:r>
    <w:r>
      <w:rPr>
        <w:rFonts w:hint="eastAsia" w:ascii="仿宋_GB2312" w:hAnsi="仿宋_GB2312" w:eastAsia="仿宋_GB2312" w:cs="仿宋_GB2312"/>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both"/>
      <w:rPr>
        <w:rFonts w:hint="eastAsia" w:ascii="Times New Roman" w:hAnsi="Times New Roman" w:eastAsia="方正仿宋_GBK" w:cs="Times New Roman"/>
        <w:color w:val="auto"/>
        <w:sz w:val="18"/>
        <w:szCs w:val="18"/>
        <w:lang w:val="en-US" w:eastAsia="zh-CN"/>
      </w:rPr>
    </w:pPr>
    <w:r>
      <w:rPr>
        <w:rFonts w:hint="eastAsia" w:ascii="Times New Roman" w:hAnsi="Times New Roman" w:eastAsia="方正仿宋_GBK" w:cs="Times New Roman"/>
        <w:color w:val="auto"/>
        <w:sz w:val="18"/>
        <w:szCs w:val="18"/>
        <w:lang w:val="en-US" w:eastAsia="zh-CN"/>
      </w:rPr>
      <w:t>景洪市第四中学行政楼报告厅座椅更换采购</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single" w:color="auto" w:sz="4" w:space="0"/>
      </w:pBdr>
      <w:tabs>
        <w:tab w:val="clear" w:pos="4153"/>
      </w:tabs>
      <w:jc w:val="both"/>
      <w:rPr>
        <w:rFonts w:ascii="仿宋_GB2312" w:hAnsi="仿宋_GB2312" w:eastAsia="仿宋_GB2312" w:cs="仿宋_GB2312"/>
      </w:rPr>
    </w:pPr>
    <w:r>
      <w:rPr>
        <w:rFonts w:hint="eastAsia" w:ascii="Arial" w:hAnsi="Arial" w:eastAsia="宋体" w:cs="Arial"/>
        <w:i w:val="0"/>
        <w:iCs w:val="0"/>
        <w:caps w:val="0"/>
        <w:color w:val="333333"/>
        <w:spacing w:val="0"/>
        <w:sz w:val="18"/>
        <w:szCs w:val="18"/>
        <w:shd w:val="clear" w:fill="FFFFFF"/>
      </w:rPr>
      <w:t>景洪市第四中学行政楼报告厅座椅更换采购</w:t>
    </w:r>
    <w:r>
      <w:rPr>
        <w:rFonts w:hint="eastAsia" w:ascii="仿宋_GB2312" w:hAnsi="仿宋_GB2312" w:eastAsia="仿宋_GB2312" w:cs="仿宋_GB2312"/>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spacing w:line="500" w:lineRule="exact"/>
      <w:jc w:val="both"/>
      <w:rPr>
        <w:rFonts w:ascii="仿宋_GB2312" w:hAnsi="仿宋_GB2312" w:eastAsia="仿宋_GB2312" w:cs="仿宋_GB2312"/>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E2F1D6"/>
    <w:multiLevelType w:val="singleLevel"/>
    <w:tmpl w:val="ACE2F1D6"/>
    <w:lvl w:ilvl="0" w:tentative="0">
      <w:start w:val="1"/>
      <w:numFmt w:val="decimal"/>
      <w:lvlText w:val="(%1)"/>
      <w:lvlJc w:val="left"/>
      <w:pPr>
        <w:ind w:left="425" w:hanging="425"/>
      </w:pPr>
      <w:rPr>
        <w:rFonts w:hint="default"/>
      </w:rPr>
    </w:lvl>
  </w:abstractNum>
  <w:abstractNum w:abstractNumId="1">
    <w:nsid w:val="DB8BCCFA"/>
    <w:multiLevelType w:val="singleLevel"/>
    <w:tmpl w:val="DB8BCCFA"/>
    <w:lvl w:ilvl="0" w:tentative="0">
      <w:start w:val="1"/>
      <w:numFmt w:val="chineseCounting"/>
      <w:suff w:val="nothing"/>
      <w:lvlText w:val="（%1）"/>
      <w:lvlJc w:val="left"/>
      <w:rPr>
        <w:rFonts w:hint="eastAsia"/>
      </w:rPr>
    </w:lvl>
  </w:abstractNum>
  <w:abstractNum w:abstractNumId="2">
    <w:nsid w:val="0315620E"/>
    <w:multiLevelType w:val="multilevel"/>
    <w:tmpl w:val="0315620E"/>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1241DF22"/>
    <w:multiLevelType w:val="multilevel"/>
    <w:tmpl w:val="1241DF22"/>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4">
    <w:nsid w:val="3CB1BC74"/>
    <w:multiLevelType w:val="singleLevel"/>
    <w:tmpl w:val="3CB1BC74"/>
    <w:lvl w:ilvl="0" w:tentative="0">
      <w:start w:val="6"/>
      <w:numFmt w:val="chineseCounting"/>
      <w:suff w:val="nothing"/>
      <w:lvlText w:val="（%1）"/>
      <w:lvlJc w:val="left"/>
      <w:rPr>
        <w:rFonts w:hint="eastAsia"/>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5OWI3ZmEwYjU5NWZjNTk0OGRmY2Q0ZWJmYTdhMmEifQ=="/>
  </w:docVars>
  <w:rsids>
    <w:rsidRoot w:val="45CF5281"/>
    <w:rsid w:val="0002699E"/>
    <w:rsid w:val="00314EF0"/>
    <w:rsid w:val="004551D3"/>
    <w:rsid w:val="00515188"/>
    <w:rsid w:val="00605A96"/>
    <w:rsid w:val="0077732A"/>
    <w:rsid w:val="007A5278"/>
    <w:rsid w:val="009A3FD4"/>
    <w:rsid w:val="00AE4C7B"/>
    <w:rsid w:val="00F15B33"/>
    <w:rsid w:val="00F72919"/>
    <w:rsid w:val="00FA6F3E"/>
    <w:rsid w:val="010779C4"/>
    <w:rsid w:val="01193B05"/>
    <w:rsid w:val="012E3896"/>
    <w:rsid w:val="012F39B2"/>
    <w:rsid w:val="013435B0"/>
    <w:rsid w:val="01363129"/>
    <w:rsid w:val="013B7F92"/>
    <w:rsid w:val="01494EFA"/>
    <w:rsid w:val="015E3296"/>
    <w:rsid w:val="01782903"/>
    <w:rsid w:val="019C7D19"/>
    <w:rsid w:val="01A44C8B"/>
    <w:rsid w:val="01BB1547"/>
    <w:rsid w:val="01BC1D55"/>
    <w:rsid w:val="01C252BA"/>
    <w:rsid w:val="01C32649"/>
    <w:rsid w:val="01D24958"/>
    <w:rsid w:val="01D34B26"/>
    <w:rsid w:val="01F7238E"/>
    <w:rsid w:val="020B4799"/>
    <w:rsid w:val="020E37E2"/>
    <w:rsid w:val="02120F95"/>
    <w:rsid w:val="022344C5"/>
    <w:rsid w:val="022C20DD"/>
    <w:rsid w:val="02577C3D"/>
    <w:rsid w:val="02682687"/>
    <w:rsid w:val="027F2C6E"/>
    <w:rsid w:val="029472DA"/>
    <w:rsid w:val="02A84F62"/>
    <w:rsid w:val="02CD0936"/>
    <w:rsid w:val="02D4120C"/>
    <w:rsid w:val="02F1713A"/>
    <w:rsid w:val="02FE513E"/>
    <w:rsid w:val="0309134D"/>
    <w:rsid w:val="031E038B"/>
    <w:rsid w:val="03286F34"/>
    <w:rsid w:val="0336566E"/>
    <w:rsid w:val="03374A14"/>
    <w:rsid w:val="03390CA9"/>
    <w:rsid w:val="034578B0"/>
    <w:rsid w:val="036554AF"/>
    <w:rsid w:val="037402FC"/>
    <w:rsid w:val="03765E40"/>
    <w:rsid w:val="038F40F5"/>
    <w:rsid w:val="03A502FE"/>
    <w:rsid w:val="03BD253F"/>
    <w:rsid w:val="03C055D4"/>
    <w:rsid w:val="03D90E58"/>
    <w:rsid w:val="03DD31D3"/>
    <w:rsid w:val="03F22B53"/>
    <w:rsid w:val="04125B0B"/>
    <w:rsid w:val="04141CCF"/>
    <w:rsid w:val="042E41BB"/>
    <w:rsid w:val="044A79A0"/>
    <w:rsid w:val="044B34A8"/>
    <w:rsid w:val="04663882"/>
    <w:rsid w:val="04667594"/>
    <w:rsid w:val="0467633D"/>
    <w:rsid w:val="04A60DB9"/>
    <w:rsid w:val="04A64199"/>
    <w:rsid w:val="04AA7384"/>
    <w:rsid w:val="04BB21D0"/>
    <w:rsid w:val="04C44C50"/>
    <w:rsid w:val="04CD1346"/>
    <w:rsid w:val="04D60DFB"/>
    <w:rsid w:val="04DE4EAA"/>
    <w:rsid w:val="04F76E97"/>
    <w:rsid w:val="05051269"/>
    <w:rsid w:val="05235BA4"/>
    <w:rsid w:val="05416CC0"/>
    <w:rsid w:val="055567D5"/>
    <w:rsid w:val="056B53B2"/>
    <w:rsid w:val="05A6483C"/>
    <w:rsid w:val="05C626F8"/>
    <w:rsid w:val="05C81370"/>
    <w:rsid w:val="05E47D6D"/>
    <w:rsid w:val="05FB6747"/>
    <w:rsid w:val="061B1A5B"/>
    <w:rsid w:val="063B13A2"/>
    <w:rsid w:val="063B53E6"/>
    <w:rsid w:val="063B7DC3"/>
    <w:rsid w:val="063D1AF6"/>
    <w:rsid w:val="063F29EB"/>
    <w:rsid w:val="06437AAF"/>
    <w:rsid w:val="064667AB"/>
    <w:rsid w:val="065A6C23"/>
    <w:rsid w:val="067B2966"/>
    <w:rsid w:val="068138EC"/>
    <w:rsid w:val="06A079D8"/>
    <w:rsid w:val="06A909F1"/>
    <w:rsid w:val="06AB61FB"/>
    <w:rsid w:val="06B55240"/>
    <w:rsid w:val="06CD188C"/>
    <w:rsid w:val="06DC7463"/>
    <w:rsid w:val="06E26100"/>
    <w:rsid w:val="06EA32FF"/>
    <w:rsid w:val="06EB1901"/>
    <w:rsid w:val="06EE2970"/>
    <w:rsid w:val="06EF041B"/>
    <w:rsid w:val="06F56DDC"/>
    <w:rsid w:val="070F4684"/>
    <w:rsid w:val="071F677B"/>
    <w:rsid w:val="07212954"/>
    <w:rsid w:val="0737751C"/>
    <w:rsid w:val="07411A75"/>
    <w:rsid w:val="074E523F"/>
    <w:rsid w:val="07553DFE"/>
    <w:rsid w:val="07750A3E"/>
    <w:rsid w:val="0775249C"/>
    <w:rsid w:val="07793C96"/>
    <w:rsid w:val="077E1A2E"/>
    <w:rsid w:val="078169D3"/>
    <w:rsid w:val="079510E6"/>
    <w:rsid w:val="079B330B"/>
    <w:rsid w:val="07B2026A"/>
    <w:rsid w:val="07D955B6"/>
    <w:rsid w:val="07EA3F1D"/>
    <w:rsid w:val="07F1558F"/>
    <w:rsid w:val="07F2282F"/>
    <w:rsid w:val="07F91B02"/>
    <w:rsid w:val="08022F50"/>
    <w:rsid w:val="08155547"/>
    <w:rsid w:val="082068AE"/>
    <w:rsid w:val="0839002A"/>
    <w:rsid w:val="08437F47"/>
    <w:rsid w:val="084F324D"/>
    <w:rsid w:val="085207C5"/>
    <w:rsid w:val="086E7A65"/>
    <w:rsid w:val="08821147"/>
    <w:rsid w:val="08C4400E"/>
    <w:rsid w:val="08C828CF"/>
    <w:rsid w:val="08E96B30"/>
    <w:rsid w:val="08F11613"/>
    <w:rsid w:val="08FD5D24"/>
    <w:rsid w:val="08FE27C4"/>
    <w:rsid w:val="090231EC"/>
    <w:rsid w:val="09055817"/>
    <w:rsid w:val="09136BF6"/>
    <w:rsid w:val="093F6F9B"/>
    <w:rsid w:val="094852A7"/>
    <w:rsid w:val="099B521D"/>
    <w:rsid w:val="09B96F39"/>
    <w:rsid w:val="09CE4923"/>
    <w:rsid w:val="09E47288"/>
    <w:rsid w:val="09EB4811"/>
    <w:rsid w:val="09EC25C2"/>
    <w:rsid w:val="09EE0D95"/>
    <w:rsid w:val="0A022E71"/>
    <w:rsid w:val="0A045FAB"/>
    <w:rsid w:val="0A1A4EE1"/>
    <w:rsid w:val="0A28027D"/>
    <w:rsid w:val="0A535277"/>
    <w:rsid w:val="0A596C48"/>
    <w:rsid w:val="0A5D2076"/>
    <w:rsid w:val="0A695EBA"/>
    <w:rsid w:val="0A6F565B"/>
    <w:rsid w:val="0A7022DB"/>
    <w:rsid w:val="0A7C2C8C"/>
    <w:rsid w:val="0A915E62"/>
    <w:rsid w:val="0A990294"/>
    <w:rsid w:val="0AB524B6"/>
    <w:rsid w:val="0AC460B7"/>
    <w:rsid w:val="0ACC11FE"/>
    <w:rsid w:val="0AEE6925"/>
    <w:rsid w:val="0AEF31EF"/>
    <w:rsid w:val="0AFA5961"/>
    <w:rsid w:val="0B0B3BCC"/>
    <w:rsid w:val="0B144B78"/>
    <w:rsid w:val="0B1E4A30"/>
    <w:rsid w:val="0B281C38"/>
    <w:rsid w:val="0B314644"/>
    <w:rsid w:val="0B3C2CBC"/>
    <w:rsid w:val="0B6D2FFA"/>
    <w:rsid w:val="0B702323"/>
    <w:rsid w:val="0B7F3D8A"/>
    <w:rsid w:val="0B87635C"/>
    <w:rsid w:val="0BD60802"/>
    <w:rsid w:val="0BD671BE"/>
    <w:rsid w:val="0BF6439F"/>
    <w:rsid w:val="0C050CDF"/>
    <w:rsid w:val="0C324441"/>
    <w:rsid w:val="0C4865EF"/>
    <w:rsid w:val="0C5136C6"/>
    <w:rsid w:val="0C6A188F"/>
    <w:rsid w:val="0C6E1BE2"/>
    <w:rsid w:val="0C7F1F8B"/>
    <w:rsid w:val="0C9315A9"/>
    <w:rsid w:val="0C9C06CA"/>
    <w:rsid w:val="0CA60502"/>
    <w:rsid w:val="0CA64C62"/>
    <w:rsid w:val="0CD318A6"/>
    <w:rsid w:val="0CF65E19"/>
    <w:rsid w:val="0D174C6F"/>
    <w:rsid w:val="0D1E1D51"/>
    <w:rsid w:val="0D297263"/>
    <w:rsid w:val="0D7174CD"/>
    <w:rsid w:val="0D93029B"/>
    <w:rsid w:val="0D9A2285"/>
    <w:rsid w:val="0D9D22D1"/>
    <w:rsid w:val="0DB30FA2"/>
    <w:rsid w:val="0DBA1014"/>
    <w:rsid w:val="0DC54D40"/>
    <w:rsid w:val="0DD573C5"/>
    <w:rsid w:val="0DD83B7D"/>
    <w:rsid w:val="0DFC1BE2"/>
    <w:rsid w:val="0E050CCA"/>
    <w:rsid w:val="0E0C1DB5"/>
    <w:rsid w:val="0E5B44A3"/>
    <w:rsid w:val="0E621B12"/>
    <w:rsid w:val="0E7C5493"/>
    <w:rsid w:val="0E8D0FA5"/>
    <w:rsid w:val="0E9140C8"/>
    <w:rsid w:val="0EA442CD"/>
    <w:rsid w:val="0EAB393E"/>
    <w:rsid w:val="0EAC7C1E"/>
    <w:rsid w:val="0EBC6534"/>
    <w:rsid w:val="0EC416DA"/>
    <w:rsid w:val="0ED30520"/>
    <w:rsid w:val="0ED61698"/>
    <w:rsid w:val="0EE126C3"/>
    <w:rsid w:val="0EFC0511"/>
    <w:rsid w:val="0F03164D"/>
    <w:rsid w:val="0F0F1EBA"/>
    <w:rsid w:val="0F193B00"/>
    <w:rsid w:val="0F1966C6"/>
    <w:rsid w:val="0F1F57C0"/>
    <w:rsid w:val="0F2D7BDA"/>
    <w:rsid w:val="0F3B3D84"/>
    <w:rsid w:val="0F7A2BC8"/>
    <w:rsid w:val="0FA333C2"/>
    <w:rsid w:val="0FBA381F"/>
    <w:rsid w:val="0FBD6311"/>
    <w:rsid w:val="0FDE74F3"/>
    <w:rsid w:val="0FFC752A"/>
    <w:rsid w:val="0FFE5356"/>
    <w:rsid w:val="0FFF37F2"/>
    <w:rsid w:val="10011E86"/>
    <w:rsid w:val="100D0893"/>
    <w:rsid w:val="100F06A8"/>
    <w:rsid w:val="102568D0"/>
    <w:rsid w:val="102A5227"/>
    <w:rsid w:val="10332504"/>
    <w:rsid w:val="1035111F"/>
    <w:rsid w:val="1036530D"/>
    <w:rsid w:val="103C5584"/>
    <w:rsid w:val="104C7412"/>
    <w:rsid w:val="108C2756"/>
    <w:rsid w:val="10B50687"/>
    <w:rsid w:val="10B6073A"/>
    <w:rsid w:val="10CF5142"/>
    <w:rsid w:val="10DC0527"/>
    <w:rsid w:val="11067EA0"/>
    <w:rsid w:val="11112374"/>
    <w:rsid w:val="11242BF6"/>
    <w:rsid w:val="11412729"/>
    <w:rsid w:val="11497D9F"/>
    <w:rsid w:val="114A31EE"/>
    <w:rsid w:val="115F5ADE"/>
    <w:rsid w:val="11794CB4"/>
    <w:rsid w:val="117A0632"/>
    <w:rsid w:val="118110E5"/>
    <w:rsid w:val="118D4670"/>
    <w:rsid w:val="11913888"/>
    <w:rsid w:val="11925D28"/>
    <w:rsid w:val="11C01B0F"/>
    <w:rsid w:val="11C35AF2"/>
    <w:rsid w:val="11D233B5"/>
    <w:rsid w:val="11D272E1"/>
    <w:rsid w:val="11D60AF8"/>
    <w:rsid w:val="11E44277"/>
    <w:rsid w:val="11E54C2D"/>
    <w:rsid w:val="11E80BCD"/>
    <w:rsid w:val="12182728"/>
    <w:rsid w:val="122A699F"/>
    <w:rsid w:val="122B2B82"/>
    <w:rsid w:val="122B3DF2"/>
    <w:rsid w:val="12322A65"/>
    <w:rsid w:val="12391C16"/>
    <w:rsid w:val="123D07FD"/>
    <w:rsid w:val="12480818"/>
    <w:rsid w:val="124A2B84"/>
    <w:rsid w:val="126C5A2D"/>
    <w:rsid w:val="127A13F6"/>
    <w:rsid w:val="127B26FD"/>
    <w:rsid w:val="129F2DB9"/>
    <w:rsid w:val="12AC548D"/>
    <w:rsid w:val="12E00B78"/>
    <w:rsid w:val="12E26AEA"/>
    <w:rsid w:val="12E43105"/>
    <w:rsid w:val="12F90B0F"/>
    <w:rsid w:val="13003DC9"/>
    <w:rsid w:val="13274016"/>
    <w:rsid w:val="132F2C82"/>
    <w:rsid w:val="135B2F51"/>
    <w:rsid w:val="13665EF7"/>
    <w:rsid w:val="1386150D"/>
    <w:rsid w:val="1395279B"/>
    <w:rsid w:val="13B659CA"/>
    <w:rsid w:val="13D836E3"/>
    <w:rsid w:val="13E175CD"/>
    <w:rsid w:val="14320897"/>
    <w:rsid w:val="143A4D5F"/>
    <w:rsid w:val="144271B1"/>
    <w:rsid w:val="144B26B4"/>
    <w:rsid w:val="14513B63"/>
    <w:rsid w:val="145C7BA1"/>
    <w:rsid w:val="147D0ECB"/>
    <w:rsid w:val="14DA4125"/>
    <w:rsid w:val="14EA4C47"/>
    <w:rsid w:val="14F467E0"/>
    <w:rsid w:val="151B24AF"/>
    <w:rsid w:val="151B3398"/>
    <w:rsid w:val="154D4FB4"/>
    <w:rsid w:val="15821B02"/>
    <w:rsid w:val="15850D31"/>
    <w:rsid w:val="15DA5A29"/>
    <w:rsid w:val="15EA393D"/>
    <w:rsid w:val="161718FC"/>
    <w:rsid w:val="161A7395"/>
    <w:rsid w:val="161C3F65"/>
    <w:rsid w:val="16205719"/>
    <w:rsid w:val="163013BC"/>
    <w:rsid w:val="163707BE"/>
    <w:rsid w:val="165D4E84"/>
    <w:rsid w:val="165F7517"/>
    <w:rsid w:val="1681578B"/>
    <w:rsid w:val="16ED3BA9"/>
    <w:rsid w:val="16F71A32"/>
    <w:rsid w:val="16FB6B47"/>
    <w:rsid w:val="16FE1E42"/>
    <w:rsid w:val="17005083"/>
    <w:rsid w:val="17314FD1"/>
    <w:rsid w:val="174F7788"/>
    <w:rsid w:val="17623738"/>
    <w:rsid w:val="17867BE7"/>
    <w:rsid w:val="178E493D"/>
    <w:rsid w:val="17922A7E"/>
    <w:rsid w:val="17AB47FD"/>
    <w:rsid w:val="17CC2220"/>
    <w:rsid w:val="17F72B8D"/>
    <w:rsid w:val="182941E2"/>
    <w:rsid w:val="182B5CB1"/>
    <w:rsid w:val="183121A5"/>
    <w:rsid w:val="183A5313"/>
    <w:rsid w:val="183E279D"/>
    <w:rsid w:val="185D08F6"/>
    <w:rsid w:val="189B066A"/>
    <w:rsid w:val="18A361F8"/>
    <w:rsid w:val="18C2489A"/>
    <w:rsid w:val="18D86B9F"/>
    <w:rsid w:val="18E57854"/>
    <w:rsid w:val="18E9257E"/>
    <w:rsid w:val="190014F5"/>
    <w:rsid w:val="1906208C"/>
    <w:rsid w:val="191E12B2"/>
    <w:rsid w:val="19453ED5"/>
    <w:rsid w:val="194A5C14"/>
    <w:rsid w:val="195D3765"/>
    <w:rsid w:val="196C08A8"/>
    <w:rsid w:val="1985412A"/>
    <w:rsid w:val="19856C2E"/>
    <w:rsid w:val="198627C9"/>
    <w:rsid w:val="198E3933"/>
    <w:rsid w:val="19B8401D"/>
    <w:rsid w:val="19CE3121"/>
    <w:rsid w:val="19D96A7B"/>
    <w:rsid w:val="1A315844"/>
    <w:rsid w:val="1A386703"/>
    <w:rsid w:val="1A3C32E5"/>
    <w:rsid w:val="1A487B14"/>
    <w:rsid w:val="1A625F23"/>
    <w:rsid w:val="1A865FDD"/>
    <w:rsid w:val="1A896A4F"/>
    <w:rsid w:val="1A8E30BB"/>
    <w:rsid w:val="1AFD4D70"/>
    <w:rsid w:val="1B071223"/>
    <w:rsid w:val="1B12460E"/>
    <w:rsid w:val="1B361050"/>
    <w:rsid w:val="1B4D2961"/>
    <w:rsid w:val="1B617245"/>
    <w:rsid w:val="1B6437FD"/>
    <w:rsid w:val="1B753723"/>
    <w:rsid w:val="1B78343D"/>
    <w:rsid w:val="1B7868D7"/>
    <w:rsid w:val="1BAB04C1"/>
    <w:rsid w:val="1BBC05EC"/>
    <w:rsid w:val="1BC07068"/>
    <w:rsid w:val="1BD447A9"/>
    <w:rsid w:val="1BD66FBC"/>
    <w:rsid w:val="1BE12F43"/>
    <w:rsid w:val="1BE4423D"/>
    <w:rsid w:val="1BE63EE7"/>
    <w:rsid w:val="1BF34381"/>
    <w:rsid w:val="1C040420"/>
    <w:rsid w:val="1C1405E8"/>
    <w:rsid w:val="1C2901D4"/>
    <w:rsid w:val="1C295B57"/>
    <w:rsid w:val="1C2B46B4"/>
    <w:rsid w:val="1C681820"/>
    <w:rsid w:val="1C7454AD"/>
    <w:rsid w:val="1C895D01"/>
    <w:rsid w:val="1C8C33E3"/>
    <w:rsid w:val="1CBD6DF3"/>
    <w:rsid w:val="1CCA3765"/>
    <w:rsid w:val="1CDA047C"/>
    <w:rsid w:val="1CE11408"/>
    <w:rsid w:val="1CF1075C"/>
    <w:rsid w:val="1CF857A0"/>
    <w:rsid w:val="1CFE27E4"/>
    <w:rsid w:val="1D0E0277"/>
    <w:rsid w:val="1D152508"/>
    <w:rsid w:val="1D1C3A64"/>
    <w:rsid w:val="1D2463E8"/>
    <w:rsid w:val="1D320610"/>
    <w:rsid w:val="1D351590"/>
    <w:rsid w:val="1D47452C"/>
    <w:rsid w:val="1D4D06FC"/>
    <w:rsid w:val="1DB52BE7"/>
    <w:rsid w:val="1DB55E23"/>
    <w:rsid w:val="1DBC4825"/>
    <w:rsid w:val="1DD3108C"/>
    <w:rsid w:val="1DE2660C"/>
    <w:rsid w:val="1DE43D8A"/>
    <w:rsid w:val="1DF34F60"/>
    <w:rsid w:val="1E5D2DBF"/>
    <w:rsid w:val="1E855B63"/>
    <w:rsid w:val="1EA26318"/>
    <w:rsid w:val="1EA9102D"/>
    <w:rsid w:val="1EB5128E"/>
    <w:rsid w:val="1EC83FAC"/>
    <w:rsid w:val="1ED029EE"/>
    <w:rsid w:val="1EDB6BD1"/>
    <w:rsid w:val="1EDF1B86"/>
    <w:rsid w:val="1EFB2833"/>
    <w:rsid w:val="1F157D9B"/>
    <w:rsid w:val="1F207D7D"/>
    <w:rsid w:val="1F417C26"/>
    <w:rsid w:val="1F436B61"/>
    <w:rsid w:val="1F4E7B28"/>
    <w:rsid w:val="1F5428DB"/>
    <w:rsid w:val="1F6F6000"/>
    <w:rsid w:val="1F964FAA"/>
    <w:rsid w:val="1FAF6088"/>
    <w:rsid w:val="1FBF3A68"/>
    <w:rsid w:val="20031379"/>
    <w:rsid w:val="200C1F5C"/>
    <w:rsid w:val="200E1A0E"/>
    <w:rsid w:val="202960EA"/>
    <w:rsid w:val="202F6E90"/>
    <w:rsid w:val="205B573E"/>
    <w:rsid w:val="205F186C"/>
    <w:rsid w:val="206D4969"/>
    <w:rsid w:val="207D048C"/>
    <w:rsid w:val="20943C19"/>
    <w:rsid w:val="209926E3"/>
    <w:rsid w:val="20996F03"/>
    <w:rsid w:val="209F439A"/>
    <w:rsid w:val="20AC5306"/>
    <w:rsid w:val="20B5420C"/>
    <w:rsid w:val="20CA763A"/>
    <w:rsid w:val="20F2179F"/>
    <w:rsid w:val="20FA1A81"/>
    <w:rsid w:val="21056A68"/>
    <w:rsid w:val="210D1870"/>
    <w:rsid w:val="210E2C14"/>
    <w:rsid w:val="211A4097"/>
    <w:rsid w:val="211B7F36"/>
    <w:rsid w:val="213344AC"/>
    <w:rsid w:val="214B5A20"/>
    <w:rsid w:val="21604175"/>
    <w:rsid w:val="216838B7"/>
    <w:rsid w:val="216E2C41"/>
    <w:rsid w:val="217D2137"/>
    <w:rsid w:val="21972252"/>
    <w:rsid w:val="21A3612B"/>
    <w:rsid w:val="21C91EC8"/>
    <w:rsid w:val="21D261AC"/>
    <w:rsid w:val="21D8216A"/>
    <w:rsid w:val="21EB4D6E"/>
    <w:rsid w:val="21FC13FA"/>
    <w:rsid w:val="220C5224"/>
    <w:rsid w:val="225D5774"/>
    <w:rsid w:val="226233EF"/>
    <w:rsid w:val="226528D1"/>
    <w:rsid w:val="226D16CA"/>
    <w:rsid w:val="229A4F05"/>
    <w:rsid w:val="22A14DAF"/>
    <w:rsid w:val="22A95636"/>
    <w:rsid w:val="22B11944"/>
    <w:rsid w:val="22B45AAD"/>
    <w:rsid w:val="22B91B63"/>
    <w:rsid w:val="22D7539C"/>
    <w:rsid w:val="22DB500B"/>
    <w:rsid w:val="22E91373"/>
    <w:rsid w:val="22ED39ED"/>
    <w:rsid w:val="23292930"/>
    <w:rsid w:val="23295D86"/>
    <w:rsid w:val="232970F4"/>
    <w:rsid w:val="232E45A9"/>
    <w:rsid w:val="233174FD"/>
    <w:rsid w:val="2355666F"/>
    <w:rsid w:val="235D1C9B"/>
    <w:rsid w:val="237E0F18"/>
    <w:rsid w:val="23990ECD"/>
    <w:rsid w:val="239B0393"/>
    <w:rsid w:val="239D1AE5"/>
    <w:rsid w:val="239D5090"/>
    <w:rsid w:val="239E0FC8"/>
    <w:rsid w:val="23A955D5"/>
    <w:rsid w:val="23D94DA9"/>
    <w:rsid w:val="241222A7"/>
    <w:rsid w:val="243C25FD"/>
    <w:rsid w:val="243E05E2"/>
    <w:rsid w:val="24577C79"/>
    <w:rsid w:val="24653A9D"/>
    <w:rsid w:val="248A0AF4"/>
    <w:rsid w:val="24CB707F"/>
    <w:rsid w:val="24F74EBD"/>
    <w:rsid w:val="2521399E"/>
    <w:rsid w:val="25381B2F"/>
    <w:rsid w:val="254034BC"/>
    <w:rsid w:val="254926A4"/>
    <w:rsid w:val="254A7809"/>
    <w:rsid w:val="25513B7C"/>
    <w:rsid w:val="255E5A26"/>
    <w:rsid w:val="257529C8"/>
    <w:rsid w:val="258739FF"/>
    <w:rsid w:val="258F05DC"/>
    <w:rsid w:val="25924468"/>
    <w:rsid w:val="25A21B85"/>
    <w:rsid w:val="25B75D9D"/>
    <w:rsid w:val="25C4636D"/>
    <w:rsid w:val="25CA130B"/>
    <w:rsid w:val="25CF57E8"/>
    <w:rsid w:val="25D45DC8"/>
    <w:rsid w:val="25D80104"/>
    <w:rsid w:val="25E104AF"/>
    <w:rsid w:val="25FF2AE6"/>
    <w:rsid w:val="260603F8"/>
    <w:rsid w:val="262304B0"/>
    <w:rsid w:val="262510D4"/>
    <w:rsid w:val="263A1B3E"/>
    <w:rsid w:val="263A667F"/>
    <w:rsid w:val="26451311"/>
    <w:rsid w:val="266B2F8F"/>
    <w:rsid w:val="26744FE8"/>
    <w:rsid w:val="267B0369"/>
    <w:rsid w:val="268978B9"/>
    <w:rsid w:val="26900FE3"/>
    <w:rsid w:val="26A2162B"/>
    <w:rsid w:val="26C11CD0"/>
    <w:rsid w:val="26EB6DF2"/>
    <w:rsid w:val="26EE5C56"/>
    <w:rsid w:val="26F2723C"/>
    <w:rsid w:val="26FC0D18"/>
    <w:rsid w:val="2703272C"/>
    <w:rsid w:val="27132856"/>
    <w:rsid w:val="271A6ABA"/>
    <w:rsid w:val="273144F5"/>
    <w:rsid w:val="274D03F9"/>
    <w:rsid w:val="274F28A0"/>
    <w:rsid w:val="274F638D"/>
    <w:rsid w:val="27685F4D"/>
    <w:rsid w:val="277355EB"/>
    <w:rsid w:val="2779697B"/>
    <w:rsid w:val="277C7359"/>
    <w:rsid w:val="279B3876"/>
    <w:rsid w:val="27D7371F"/>
    <w:rsid w:val="28003AFF"/>
    <w:rsid w:val="28442B65"/>
    <w:rsid w:val="28484CCD"/>
    <w:rsid w:val="284A610A"/>
    <w:rsid w:val="284F6D24"/>
    <w:rsid w:val="285233C7"/>
    <w:rsid w:val="2852503E"/>
    <w:rsid w:val="28591E01"/>
    <w:rsid w:val="285E545C"/>
    <w:rsid w:val="28766A64"/>
    <w:rsid w:val="28786CD2"/>
    <w:rsid w:val="288A4866"/>
    <w:rsid w:val="28C11289"/>
    <w:rsid w:val="28C85FB5"/>
    <w:rsid w:val="28FE60D3"/>
    <w:rsid w:val="290C7C5A"/>
    <w:rsid w:val="29162E97"/>
    <w:rsid w:val="2982460D"/>
    <w:rsid w:val="298E25A1"/>
    <w:rsid w:val="2991598F"/>
    <w:rsid w:val="29B3304A"/>
    <w:rsid w:val="29C8440F"/>
    <w:rsid w:val="29F007B6"/>
    <w:rsid w:val="29FA6B15"/>
    <w:rsid w:val="29FB4545"/>
    <w:rsid w:val="2A0D4E74"/>
    <w:rsid w:val="2A15190E"/>
    <w:rsid w:val="2A170643"/>
    <w:rsid w:val="2A2007D1"/>
    <w:rsid w:val="2A497F4B"/>
    <w:rsid w:val="2A4B502D"/>
    <w:rsid w:val="2A8905F5"/>
    <w:rsid w:val="2A986E29"/>
    <w:rsid w:val="2AAA30CD"/>
    <w:rsid w:val="2AD5007E"/>
    <w:rsid w:val="2AD87F62"/>
    <w:rsid w:val="2AE05207"/>
    <w:rsid w:val="2AF915FA"/>
    <w:rsid w:val="2B35788B"/>
    <w:rsid w:val="2B370092"/>
    <w:rsid w:val="2B5B780D"/>
    <w:rsid w:val="2B5F4CB4"/>
    <w:rsid w:val="2B693174"/>
    <w:rsid w:val="2B947EB6"/>
    <w:rsid w:val="2B9A5CC0"/>
    <w:rsid w:val="2B9D5F82"/>
    <w:rsid w:val="2BA00F59"/>
    <w:rsid w:val="2BCC0737"/>
    <w:rsid w:val="2BD447D1"/>
    <w:rsid w:val="2BF052B9"/>
    <w:rsid w:val="2BF40C9D"/>
    <w:rsid w:val="2C052168"/>
    <w:rsid w:val="2C257D75"/>
    <w:rsid w:val="2C2B0C1F"/>
    <w:rsid w:val="2C414FA0"/>
    <w:rsid w:val="2C45026E"/>
    <w:rsid w:val="2C52796B"/>
    <w:rsid w:val="2C5837A8"/>
    <w:rsid w:val="2C6D429A"/>
    <w:rsid w:val="2C707B30"/>
    <w:rsid w:val="2C956603"/>
    <w:rsid w:val="2C961243"/>
    <w:rsid w:val="2CAD181D"/>
    <w:rsid w:val="2CB77B00"/>
    <w:rsid w:val="2CC82C80"/>
    <w:rsid w:val="2CD3487C"/>
    <w:rsid w:val="2CD501D6"/>
    <w:rsid w:val="2CDE7F4A"/>
    <w:rsid w:val="2CF747B2"/>
    <w:rsid w:val="2D0A3949"/>
    <w:rsid w:val="2D3C71B0"/>
    <w:rsid w:val="2D851C4D"/>
    <w:rsid w:val="2DAD10FD"/>
    <w:rsid w:val="2DAE6E20"/>
    <w:rsid w:val="2DE575B0"/>
    <w:rsid w:val="2DE6061F"/>
    <w:rsid w:val="2DFB7AA7"/>
    <w:rsid w:val="2E071173"/>
    <w:rsid w:val="2E0D6477"/>
    <w:rsid w:val="2E2850E5"/>
    <w:rsid w:val="2E2A67DE"/>
    <w:rsid w:val="2E4A503E"/>
    <w:rsid w:val="2E6524A8"/>
    <w:rsid w:val="2EB10FD1"/>
    <w:rsid w:val="2EB77387"/>
    <w:rsid w:val="2EC1235F"/>
    <w:rsid w:val="2EC7709D"/>
    <w:rsid w:val="2F0900C6"/>
    <w:rsid w:val="2F13120C"/>
    <w:rsid w:val="2F3552CA"/>
    <w:rsid w:val="2F3B010B"/>
    <w:rsid w:val="2F3F2C25"/>
    <w:rsid w:val="2F533196"/>
    <w:rsid w:val="2F713DC0"/>
    <w:rsid w:val="2F784614"/>
    <w:rsid w:val="2FA801C0"/>
    <w:rsid w:val="2FAF31BF"/>
    <w:rsid w:val="2FB32C72"/>
    <w:rsid w:val="2FB65DE6"/>
    <w:rsid w:val="2FCD76CF"/>
    <w:rsid w:val="2FCF462F"/>
    <w:rsid w:val="2FEC7E66"/>
    <w:rsid w:val="2FF60142"/>
    <w:rsid w:val="2FF96832"/>
    <w:rsid w:val="301B22E3"/>
    <w:rsid w:val="30747A0D"/>
    <w:rsid w:val="307963F0"/>
    <w:rsid w:val="307D04F0"/>
    <w:rsid w:val="309F368A"/>
    <w:rsid w:val="30A969D7"/>
    <w:rsid w:val="30C36792"/>
    <w:rsid w:val="30C908BC"/>
    <w:rsid w:val="310E54B3"/>
    <w:rsid w:val="312005C5"/>
    <w:rsid w:val="31206452"/>
    <w:rsid w:val="31231B2B"/>
    <w:rsid w:val="3145684F"/>
    <w:rsid w:val="314919C9"/>
    <w:rsid w:val="3173705E"/>
    <w:rsid w:val="3178767D"/>
    <w:rsid w:val="317877C7"/>
    <w:rsid w:val="317F713A"/>
    <w:rsid w:val="318671FC"/>
    <w:rsid w:val="318C0088"/>
    <w:rsid w:val="31922251"/>
    <w:rsid w:val="31A64C73"/>
    <w:rsid w:val="31BE0DB2"/>
    <w:rsid w:val="31C031BA"/>
    <w:rsid w:val="322159D3"/>
    <w:rsid w:val="322D36EB"/>
    <w:rsid w:val="324142D8"/>
    <w:rsid w:val="32530674"/>
    <w:rsid w:val="32571901"/>
    <w:rsid w:val="32724B38"/>
    <w:rsid w:val="32AF09B9"/>
    <w:rsid w:val="32B470A5"/>
    <w:rsid w:val="32B87C0F"/>
    <w:rsid w:val="32BB03A2"/>
    <w:rsid w:val="32CF4904"/>
    <w:rsid w:val="32F152B7"/>
    <w:rsid w:val="32F32808"/>
    <w:rsid w:val="33334C9C"/>
    <w:rsid w:val="3344712B"/>
    <w:rsid w:val="337732FC"/>
    <w:rsid w:val="338B6238"/>
    <w:rsid w:val="33A83EB8"/>
    <w:rsid w:val="340B4D3B"/>
    <w:rsid w:val="340B71C7"/>
    <w:rsid w:val="341823EE"/>
    <w:rsid w:val="34191DEB"/>
    <w:rsid w:val="341A2AF1"/>
    <w:rsid w:val="343E7878"/>
    <w:rsid w:val="344D01C6"/>
    <w:rsid w:val="34734A64"/>
    <w:rsid w:val="34782D6B"/>
    <w:rsid w:val="347B427F"/>
    <w:rsid w:val="34867623"/>
    <w:rsid w:val="348C3326"/>
    <w:rsid w:val="34C56ADE"/>
    <w:rsid w:val="34D5046D"/>
    <w:rsid w:val="34F36BA0"/>
    <w:rsid w:val="34F97E1D"/>
    <w:rsid w:val="350A2926"/>
    <w:rsid w:val="351667E1"/>
    <w:rsid w:val="35287C85"/>
    <w:rsid w:val="352D08E1"/>
    <w:rsid w:val="353253D9"/>
    <w:rsid w:val="35784945"/>
    <w:rsid w:val="35796614"/>
    <w:rsid w:val="357967C5"/>
    <w:rsid w:val="359F2A13"/>
    <w:rsid w:val="35A315A9"/>
    <w:rsid w:val="35A41F9B"/>
    <w:rsid w:val="35B076E8"/>
    <w:rsid w:val="35C501C8"/>
    <w:rsid w:val="35C872C7"/>
    <w:rsid w:val="35DE026F"/>
    <w:rsid w:val="35E448A7"/>
    <w:rsid w:val="36045B10"/>
    <w:rsid w:val="36347202"/>
    <w:rsid w:val="36640F7C"/>
    <w:rsid w:val="36674F52"/>
    <w:rsid w:val="3687545C"/>
    <w:rsid w:val="36AE4E7C"/>
    <w:rsid w:val="36B05E79"/>
    <w:rsid w:val="36DA014A"/>
    <w:rsid w:val="36EA5EE9"/>
    <w:rsid w:val="36F469AD"/>
    <w:rsid w:val="36FA69BB"/>
    <w:rsid w:val="37083F6D"/>
    <w:rsid w:val="371A3379"/>
    <w:rsid w:val="37240A4D"/>
    <w:rsid w:val="372528D5"/>
    <w:rsid w:val="37661389"/>
    <w:rsid w:val="376B7089"/>
    <w:rsid w:val="37D56053"/>
    <w:rsid w:val="37DB5C6C"/>
    <w:rsid w:val="37E25B06"/>
    <w:rsid w:val="37FE3074"/>
    <w:rsid w:val="38074190"/>
    <w:rsid w:val="381870B0"/>
    <w:rsid w:val="384D0B6A"/>
    <w:rsid w:val="385A1200"/>
    <w:rsid w:val="3884180C"/>
    <w:rsid w:val="38A24600"/>
    <w:rsid w:val="38BC44FE"/>
    <w:rsid w:val="38C229B7"/>
    <w:rsid w:val="38C56785"/>
    <w:rsid w:val="39007C46"/>
    <w:rsid w:val="39050107"/>
    <w:rsid w:val="390660D6"/>
    <w:rsid w:val="391C5C5F"/>
    <w:rsid w:val="39215A3E"/>
    <w:rsid w:val="39397E3C"/>
    <w:rsid w:val="39457647"/>
    <w:rsid w:val="394867BB"/>
    <w:rsid w:val="39492E8E"/>
    <w:rsid w:val="395C23C0"/>
    <w:rsid w:val="396E7F75"/>
    <w:rsid w:val="39851586"/>
    <w:rsid w:val="398E432B"/>
    <w:rsid w:val="399653F9"/>
    <w:rsid w:val="39A03084"/>
    <w:rsid w:val="39B172F0"/>
    <w:rsid w:val="39C242A7"/>
    <w:rsid w:val="39E01F12"/>
    <w:rsid w:val="3A167383"/>
    <w:rsid w:val="3A1C03BE"/>
    <w:rsid w:val="3A20232B"/>
    <w:rsid w:val="3A3A377C"/>
    <w:rsid w:val="3A3A3879"/>
    <w:rsid w:val="3A5A0B0F"/>
    <w:rsid w:val="3A681754"/>
    <w:rsid w:val="3A8062F8"/>
    <w:rsid w:val="3AA96565"/>
    <w:rsid w:val="3AC34213"/>
    <w:rsid w:val="3AC52A57"/>
    <w:rsid w:val="3AC72A91"/>
    <w:rsid w:val="3AF17A78"/>
    <w:rsid w:val="3AFC319A"/>
    <w:rsid w:val="3AFE516C"/>
    <w:rsid w:val="3B0F1E58"/>
    <w:rsid w:val="3B2E6471"/>
    <w:rsid w:val="3B3E13CB"/>
    <w:rsid w:val="3B407165"/>
    <w:rsid w:val="3B4552A1"/>
    <w:rsid w:val="3B615098"/>
    <w:rsid w:val="3B631693"/>
    <w:rsid w:val="3B980D81"/>
    <w:rsid w:val="3B9B0AC7"/>
    <w:rsid w:val="3B9C163D"/>
    <w:rsid w:val="3BBD68F6"/>
    <w:rsid w:val="3BC07B75"/>
    <w:rsid w:val="3BC17B79"/>
    <w:rsid w:val="3BEB5827"/>
    <w:rsid w:val="3BF83651"/>
    <w:rsid w:val="3BFF669A"/>
    <w:rsid w:val="3C004312"/>
    <w:rsid w:val="3C0C3BFD"/>
    <w:rsid w:val="3C164DE5"/>
    <w:rsid w:val="3C1B0393"/>
    <w:rsid w:val="3C213CC5"/>
    <w:rsid w:val="3C2B4468"/>
    <w:rsid w:val="3C3A611D"/>
    <w:rsid w:val="3C556D76"/>
    <w:rsid w:val="3C70701E"/>
    <w:rsid w:val="3C975C26"/>
    <w:rsid w:val="3CB62E74"/>
    <w:rsid w:val="3CD1533A"/>
    <w:rsid w:val="3CD434D9"/>
    <w:rsid w:val="3CD77D5A"/>
    <w:rsid w:val="3CF949E7"/>
    <w:rsid w:val="3D0837F5"/>
    <w:rsid w:val="3D1658BC"/>
    <w:rsid w:val="3D356957"/>
    <w:rsid w:val="3D4D5248"/>
    <w:rsid w:val="3DC17843"/>
    <w:rsid w:val="3DED266F"/>
    <w:rsid w:val="3E241C39"/>
    <w:rsid w:val="3E6C5F45"/>
    <w:rsid w:val="3EB06AC5"/>
    <w:rsid w:val="3EB36A6E"/>
    <w:rsid w:val="3ECD1E82"/>
    <w:rsid w:val="3EE06780"/>
    <w:rsid w:val="3EE547C2"/>
    <w:rsid w:val="3EEA6E97"/>
    <w:rsid w:val="3EF27F25"/>
    <w:rsid w:val="3EFB3DB2"/>
    <w:rsid w:val="3EFE1050"/>
    <w:rsid w:val="3F1D6ED1"/>
    <w:rsid w:val="3F6D5F32"/>
    <w:rsid w:val="3F706AED"/>
    <w:rsid w:val="3F75779A"/>
    <w:rsid w:val="3F764D78"/>
    <w:rsid w:val="3F855EE7"/>
    <w:rsid w:val="3F887374"/>
    <w:rsid w:val="3F9843A5"/>
    <w:rsid w:val="3FCC09B0"/>
    <w:rsid w:val="3FCD3705"/>
    <w:rsid w:val="3FD00372"/>
    <w:rsid w:val="3FD7317D"/>
    <w:rsid w:val="3FDD1074"/>
    <w:rsid w:val="3FDF4D78"/>
    <w:rsid w:val="3FE056A2"/>
    <w:rsid w:val="3FF071D0"/>
    <w:rsid w:val="3FFD319F"/>
    <w:rsid w:val="4011795D"/>
    <w:rsid w:val="40125C8C"/>
    <w:rsid w:val="40140273"/>
    <w:rsid w:val="401F2A3D"/>
    <w:rsid w:val="403B3991"/>
    <w:rsid w:val="405D6839"/>
    <w:rsid w:val="4063034C"/>
    <w:rsid w:val="40685E9A"/>
    <w:rsid w:val="407410B6"/>
    <w:rsid w:val="40762DA3"/>
    <w:rsid w:val="40785363"/>
    <w:rsid w:val="407967B6"/>
    <w:rsid w:val="40964919"/>
    <w:rsid w:val="40A4643B"/>
    <w:rsid w:val="40B335A8"/>
    <w:rsid w:val="40C94B7F"/>
    <w:rsid w:val="40C97203"/>
    <w:rsid w:val="40D73C78"/>
    <w:rsid w:val="40D77971"/>
    <w:rsid w:val="40E2036A"/>
    <w:rsid w:val="40F0129C"/>
    <w:rsid w:val="40F14884"/>
    <w:rsid w:val="40F32787"/>
    <w:rsid w:val="41026707"/>
    <w:rsid w:val="4112109F"/>
    <w:rsid w:val="41193120"/>
    <w:rsid w:val="413712FF"/>
    <w:rsid w:val="41383AEC"/>
    <w:rsid w:val="41416538"/>
    <w:rsid w:val="414C6D33"/>
    <w:rsid w:val="415836B1"/>
    <w:rsid w:val="417B4BB0"/>
    <w:rsid w:val="418848FE"/>
    <w:rsid w:val="4192062C"/>
    <w:rsid w:val="41B275C8"/>
    <w:rsid w:val="41D778BB"/>
    <w:rsid w:val="41DA75C5"/>
    <w:rsid w:val="41E80146"/>
    <w:rsid w:val="41F16039"/>
    <w:rsid w:val="42126CFD"/>
    <w:rsid w:val="42471032"/>
    <w:rsid w:val="425B33BE"/>
    <w:rsid w:val="426003F0"/>
    <w:rsid w:val="426B213B"/>
    <w:rsid w:val="427B6DCE"/>
    <w:rsid w:val="42827D5C"/>
    <w:rsid w:val="429C32EC"/>
    <w:rsid w:val="42A55E85"/>
    <w:rsid w:val="42CC5462"/>
    <w:rsid w:val="42D06540"/>
    <w:rsid w:val="42D37342"/>
    <w:rsid w:val="42EC4D1C"/>
    <w:rsid w:val="42F17DE3"/>
    <w:rsid w:val="430007FD"/>
    <w:rsid w:val="43127B6F"/>
    <w:rsid w:val="431C11CD"/>
    <w:rsid w:val="43356E05"/>
    <w:rsid w:val="433A2758"/>
    <w:rsid w:val="43572ADD"/>
    <w:rsid w:val="43646B18"/>
    <w:rsid w:val="436723AC"/>
    <w:rsid w:val="43B16B9F"/>
    <w:rsid w:val="43DC5066"/>
    <w:rsid w:val="43FF6457"/>
    <w:rsid w:val="440254B2"/>
    <w:rsid w:val="44057B34"/>
    <w:rsid w:val="441204F9"/>
    <w:rsid w:val="446A22A2"/>
    <w:rsid w:val="44736B28"/>
    <w:rsid w:val="448254D2"/>
    <w:rsid w:val="4496320C"/>
    <w:rsid w:val="44A15BBB"/>
    <w:rsid w:val="44BA7239"/>
    <w:rsid w:val="44BB5C91"/>
    <w:rsid w:val="44C957A9"/>
    <w:rsid w:val="44EB7B91"/>
    <w:rsid w:val="453C5FDF"/>
    <w:rsid w:val="454B5488"/>
    <w:rsid w:val="454E6000"/>
    <w:rsid w:val="45866451"/>
    <w:rsid w:val="45A52A5C"/>
    <w:rsid w:val="45AB4229"/>
    <w:rsid w:val="45AB6E41"/>
    <w:rsid w:val="45AE0AD2"/>
    <w:rsid w:val="45B975D9"/>
    <w:rsid w:val="45CF5281"/>
    <w:rsid w:val="45EA1B28"/>
    <w:rsid w:val="460837D5"/>
    <w:rsid w:val="4635526B"/>
    <w:rsid w:val="46517302"/>
    <w:rsid w:val="46525532"/>
    <w:rsid w:val="465838D0"/>
    <w:rsid w:val="46616A2A"/>
    <w:rsid w:val="469E69A2"/>
    <w:rsid w:val="46E35505"/>
    <w:rsid w:val="46E91286"/>
    <w:rsid w:val="46F225C3"/>
    <w:rsid w:val="46F3689E"/>
    <w:rsid w:val="46F92E2C"/>
    <w:rsid w:val="471D4F17"/>
    <w:rsid w:val="47285A9E"/>
    <w:rsid w:val="473A02FF"/>
    <w:rsid w:val="475B7AFA"/>
    <w:rsid w:val="47640727"/>
    <w:rsid w:val="4777084E"/>
    <w:rsid w:val="478440AE"/>
    <w:rsid w:val="47A36B2A"/>
    <w:rsid w:val="47B2522E"/>
    <w:rsid w:val="47CB6049"/>
    <w:rsid w:val="47D36A20"/>
    <w:rsid w:val="47E90E27"/>
    <w:rsid w:val="47F33B68"/>
    <w:rsid w:val="480E66F3"/>
    <w:rsid w:val="48141018"/>
    <w:rsid w:val="48184FDF"/>
    <w:rsid w:val="481A65BD"/>
    <w:rsid w:val="4851218B"/>
    <w:rsid w:val="48546E7F"/>
    <w:rsid w:val="4890464E"/>
    <w:rsid w:val="489906CD"/>
    <w:rsid w:val="48F072D8"/>
    <w:rsid w:val="48F120D8"/>
    <w:rsid w:val="48FF0635"/>
    <w:rsid w:val="493421D6"/>
    <w:rsid w:val="494044ED"/>
    <w:rsid w:val="496529B1"/>
    <w:rsid w:val="49730CE3"/>
    <w:rsid w:val="49995131"/>
    <w:rsid w:val="49CB21AB"/>
    <w:rsid w:val="49E61852"/>
    <w:rsid w:val="49EE3713"/>
    <w:rsid w:val="49F40BA2"/>
    <w:rsid w:val="49F91166"/>
    <w:rsid w:val="4A24362E"/>
    <w:rsid w:val="4A4D076D"/>
    <w:rsid w:val="4A5D4EF8"/>
    <w:rsid w:val="4AA64CEA"/>
    <w:rsid w:val="4AA945D5"/>
    <w:rsid w:val="4AB1646B"/>
    <w:rsid w:val="4AB62427"/>
    <w:rsid w:val="4AB6459C"/>
    <w:rsid w:val="4AC22B2A"/>
    <w:rsid w:val="4AD85FBA"/>
    <w:rsid w:val="4AD8632C"/>
    <w:rsid w:val="4ADD1934"/>
    <w:rsid w:val="4AE92DEF"/>
    <w:rsid w:val="4AF038B6"/>
    <w:rsid w:val="4AF141CB"/>
    <w:rsid w:val="4AF66E96"/>
    <w:rsid w:val="4B001AC4"/>
    <w:rsid w:val="4B0B2E7F"/>
    <w:rsid w:val="4B5400EC"/>
    <w:rsid w:val="4B595714"/>
    <w:rsid w:val="4B7E5092"/>
    <w:rsid w:val="4BA421C9"/>
    <w:rsid w:val="4BD91C81"/>
    <w:rsid w:val="4BD95E87"/>
    <w:rsid w:val="4BE21D6B"/>
    <w:rsid w:val="4BE43F40"/>
    <w:rsid w:val="4BE76A06"/>
    <w:rsid w:val="4BFD6000"/>
    <w:rsid w:val="4C012CB7"/>
    <w:rsid w:val="4C254F03"/>
    <w:rsid w:val="4C390BD9"/>
    <w:rsid w:val="4C3D40E0"/>
    <w:rsid w:val="4C657635"/>
    <w:rsid w:val="4C682C74"/>
    <w:rsid w:val="4C7700D5"/>
    <w:rsid w:val="4C7B1DA0"/>
    <w:rsid w:val="4CAD1487"/>
    <w:rsid w:val="4CB0200A"/>
    <w:rsid w:val="4CB15618"/>
    <w:rsid w:val="4CE40053"/>
    <w:rsid w:val="4D07287F"/>
    <w:rsid w:val="4D2F36C1"/>
    <w:rsid w:val="4D3B3A56"/>
    <w:rsid w:val="4D5C3390"/>
    <w:rsid w:val="4D976B37"/>
    <w:rsid w:val="4DA713FF"/>
    <w:rsid w:val="4DB77504"/>
    <w:rsid w:val="4DC719BA"/>
    <w:rsid w:val="4DF25083"/>
    <w:rsid w:val="4E002285"/>
    <w:rsid w:val="4E004CE0"/>
    <w:rsid w:val="4E1607BF"/>
    <w:rsid w:val="4E221B34"/>
    <w:rsid w:val="4E2338E1"/>
    <w:rsid w:val="4EB85418"/>
    <w:rsid w:val="4EC70790"/>
    <w:rsid w:val="4ED76EEB"/>
    <w:rsid w:val="4EE078F7"/>
    <w:rsid w:val="4EE56F42"/>
    <w:rsid w:val="4EEF483F"/>
    <w:rsid w:val="4EFB2A0B"/>
    <w:rsid w:val="4F0B13C2"/>
    <w:rsid w:val="4F0D28B0"/>
    <w:rsid w:val="4F130436"/>
    <w:rsid w:val="4F241809"/>
    <w:rsid w:val="4F4B74F0"/>
    <w:rsid w:val="4F4E1AA5"/>
    <w:rsid w:val="4F571BA6"/>
    <w:rsid w:val="4F6875D5"/>
    <w:rsid w:val="4F777B8A"/>
    <w:rsid w:val="4F796B25"/>
    <w:rsid w:val="4FAD7FF5"/>
    <w:rsid w:val="4FC2290C"/>
    <w:rsid w:val="4FC64E8E"/>
    <w:rsid w:val="4FCC1C1F"/>
    <w:rsid w:val="4FF37764"/>
    <w:rsid w:val="500E4CFA"/>
    <w:rsid w:val="50347B53"/>
    <w:rsid w:val="504927B4"/>
    <w:rsid w:val="508F0A67"/>
    <w:rsid w:val="50957A21"/>
    <w:rsid w:val="509E5507"/>
    <w:rsid w:val="50A970D9"/>
    <w:rsid w:val="50B5509E"/>
    <w:rsid w:val="50B64D4F"/>
    <w:rsid w:val="50B76070"/>
    <w:rsid w:val="50D80369"/>
    <w:rsid w:val="50ED10CD"/>
    <w:rsid w:val="50ED3B8B"/>
    <w:rsid w:val="50EE1217"/>
    <w:rsid w:val="50EF5BBE"/>
    <w:rsid w:val="50F275EA"/>
    <w:rsid w:val="50F822C0"/>
    <w:rsid w:val="50F96CFB"/>
    <w:rsid w:val="512D3BF7"/>
    <w:rsid w:val="514209A3"/>
    <w:rsid w:val="5145329D"/>
    <w:rsid w:val="5145628E"/>
    <w:rsid w:val="515815F8"/>
    <w:rsid w:val="5173421C"/>
    <w:rsid w:val="517F09D8"/>
    <w:rsid w:val="518E132E"/>
    <w:rsid w:val="51903E48"/>
    <w:rsid w:val="51B04DB2"/>
    <w:rsid w:val="51B645B8"/>
    <w:rsid w:val="51D11D27"/>
    <w:rsid w:val="51E30186"/>
    <w:rsid w:val="51EE5CBA"/>
    <w:rsid w:val="521C0A07"/>
    <w:rsid w:val="52236798"/>
    <w:rsid w:val="52563920"/>
    <w:rsid w:val="528246D9"/>
    <w:rsid w:val="528C3BD1"/>
    <w:rsid w:val="529E6B67"/>
    <w:rsid w:val="52BB1340"/>
    <w:rsid w:val="52C93850"/>
    <w:rsid w:val="52E962BF"/>
    <w:rsid w:val="531130C4"/>
    <w:rsid w:val="53261FD1"/>
    <w:rsid w:val="533219F8"/>
    <w:rsid w:val="534A3950"/>
    <w:rsid w:val="534A5830"/>
    <w:rsid w:val="534D718F"/>
    <w:rsid w:val="53506773"/>
    <w:rsid w:val="5360098B"/>
    <w:rsid w:val="53644FB5"/>
    <w:rsid w:val="536519A6"/>
    <w:rsid w:val="537258E4"/>
    <w:rsid w:val="539470F5"/>
    <w:rsid w:val="53953C95"/>
    <w:rsid w:val="539A3244"/>
    <w:rsid w:val="539C2ECF"/>
    <w:rsid w:val="53AC33F3"/>
    <w:rsid w:val="53F863B1"/>
    <w:rsid w:val="54155776"/>
    <w:rsid w:val="54322A18"/>
    <w:rsid w:val="546F31C6"/>
    <w:rsid w:val="54796CC0"/>
    <w:rsid w:val="548A7459"/>
    <w:rsid w:val="54A25ABB"/>
    <w:rsid w:val="54A80F9E"/>
    <w:rsid w:val="54B66755"/>
    <w:rsid w:val="54BA58E7"/>
    <w:rsid w:val="54BF53A8"/>
    <w:rsid w:val="54D63E45"/>
    <w:rsid w:val="54E62A95"/>
    <w:rsid w:val="54FD4305"/>
    <w:rsid w:val="554B0CBD"/>
    <w:rsid w:val="55642109"/>
    <w:rsid w:val="556C442B"/>
    <w:rsid w:val="55865187"/>
    <w:rsid w:val="558951D0"/>
    <w:rsid w:val="55BB4834"/>
    <w:rsid w:val="55D23005"/>
    <w:rsid w:val="55DC7791"/>
    <w:rsid w:val="55F512B4"/>
    <w:rsid w:val="560F2583"/>
    <w:rsid w:val="563F2AC4"/>
    <w:rsid w:val="564D4661"/>
    <w:rsid w:val="5659190C"/>
    <w:rsid w:val="56756C26"/>
    <w:rsid w:val="568B3685"/>
    <w:rsid w:val="56A56425"/>
    <w:rsid w:val="56AB614B"/>
    <w:rsid w:val="56BC4762"/>
    <w:rsid w:val="56BC7BAC"/>
    <w:rsid w:val="56CA7F22"/>
    <w:rsid w:val="56CD1C6B"/>
    <w:rsid w:val="56D34C09"/>
    <w:rsid w:val="5716587B"/>
    <w:rsid w:val="57195AF0"/>
    <w:rsid w:val="571B308D"/>
    <w:rsid w:val="57570910"/>
    <w:rsid w:val="575E1A82"/>
    <w:rsid w:val="576F2A2A"/>
    <w:rsid w:val="579C14AA"/>
    <w:rsid w:val="57A64212"/>
    <w:rsid w:val="57BE1A60"/>
    <w:rsid w:val="57C12910"/>
    <w:rsid w:val="57D05498"/>
    <w:rsid w:val="57FD6ADA"/>
    <w:rsid w:val="581A2E77"/>
    <w:rsid w:val="583453C4"/>
    <w:rsid w:val="583B29CE"/>
    <w:rsid w:val="583D3E01"/>
    <w:rsid w:val="587A1C40"/>
    <w:rsid w:val="587F62E2"/>
    <w:rsid w:val="58882C7E"/>
    <w:rsid w:val="58A30AD0"/>
    <w:rsid w:val="58AE7CCB"/>
    <w:rsid w:val="58B54B3E"/>
    <w:rsid w:val="58BF48F2"/>
    <w:rsid w:val="58CF34AB"/>
    <w:rsid w:val="58D0162C"/>
    <w:rsid w:val="58ED0031"/>
    <w:rsid w:val="58F73000"/>
    <w:rsid w:val="59054C3F"/>
    <w:rsid w:val="5910424E"/>
    <w:rsid w:val="591309DC"/>
    <w:rsid w:val="59151AE8"/>
    <w:rsid w:val="591C554A"/>
    <w:rsid w:val="5953001F"/>
    <w:rsid w:val="59815929"/>
    <w:rsid w:val="59862A00"/>
    <w:rsid w:val="59897A17"/>
    <w:rsid w:val="5991418E"/>
    <w:rsid w:val="59C905FD"/>
    <w:rsid w:val="59CB4AFA"/>
    <w:rsid w:val="59CD4AC0"/>
    <w:rsid w:val="59D718B7"/>
    <w:rsid w:val="59E54B97"/>
    <w:rsid w:val="5A0D3DFB"/>
    <w:rsid w:val="5A1515C5"/>
    <w:rsid w:val="5A604BCE"/>
    <w:rsid w:val="5A7149A4"/>
    <w:rsid w:val="5A737860"/>
    <w:rsid w:val="5A763C96"/>
    <w:rsid w:val="5A7F79EB"/>
    <w:rsid w:val="5AA035E3"/>
    <w:rsid w:val="5AE54A5E"/>
    <w:rsid w:val="5AF32D80"/>
    <w:rsid w:val="5AFC1EE4"/>
    <w:rsid w:val="5B405FA3"/>
    <w:rsid w:val="5B5618EB"/>
    <w:rsid w:val="5B613482"/>
    <w:rsid w:val="5B6167C2"/>
    <w:rsid w:val="5B653F88"/>
    <w:rsid w:val="5B700C50"/>
    <w:rsid w:val="5BDA52C8"/>
    <w:rsid w:val="5BEB399B"/>
    <w:rsid w:val="5C0101DD"/>
    <w:rsid w:val="5C250611"/>
    <w:rsid w:val="5C253C5B"/>
    <w:rsid w:val="5C2C67A9"/>
    <w:rsid w:val="5C324823"/>
    <w:rsid w:val="5C7B78BD"/>
    <w:rsid w:val="5C8E5377"/>
    <w:rsid w:val="5CD9727B"/>
    <w:rsid w:val="5CE72895"/>
    <w:rsid w:val="5CF36ADF"/>
    <w:rsid w:val="5D1801B0"/>
    <w:rsid w:val="5D215C0D"/>
    <w:rsid w:val="5D3537BB"/>
    <w:rsid w:val="5D3B5838"/>
    <w:rsid w:val="5D403A9E"/>
    <w:rsid w:val="5D4B2D1B"/>
    <w:rsid w:val="5D615F53"/>
    <w:rsid w:val="5D784569"/>
    <w:rsid w:val="5DBE2C5B"/>
    <w:rsid w:val="5DEF1BA9"/>
    <w:rsid w:val="5E382F49"/>
    <w:rsid w:val="5E3F0827"/>
    <w:rsid w:val="5E53232B"/>
    <w:rsid w:val="5E6271E3"/>
    <w:rsid w:val="5E7128C8"/>
    <w:rsid w:val="5E8C1901"/>
    <w:rsid w:val="5E8E2E84"/>
    <w:rsid w:val="5F0B222E"/>
    <w:rsid w:val="5F185195"/>
    <w:rsid w:val="5F303BC9"/>
    <w:rsid w:val="5F554721"/>
    <w:rsid w:val="5F57674C"/>
    <w:rsid w:val="5F694C48"/>
    <w:rsid w:val="5F9C3663"/>
    <w:rsid w:val="5FB45937"/>
    <w:rsid w:val="5FBF021C"/>
    <w:rsid w:val="5FCD2B60"/>
    <w:rsid w:val="5FD2364A"/>
    <w:rsid w:val="5FE113D3"/>
    <w:rsid w:val="5FE364E8"/>
    <w:rsid w:val="60093036"/>
    <w:rsid w:val="60327188"/>
    <w:rsid w:val="603502ED"/>
    <w:rsid w:val="60436E75"/>
    <w:rsid w:val="60471854"/>
    <w:rsid w:val="604F1AD1"/>
    <w:rsid w:val="604F7539"/>
    <w:rsid w:val="607D7EE1"/>
    <w:rsid w:val="60BC3456"/>
    <w:rsid w:val="60BC430D"/>
    <w:rsid w:val="60C46854"/>
    <w:rsid w:val="60D00354"/>
    <w:rsid w:val="60D071FA"/>
    <w:rsid w:val="60D2566E"/>
    <w:rsid w:val="60E25663"/>
    <w:rsid w:val="60E746E6"/>
    <w:rsid w:val="60F906E9"/>
    <w:rsid w:val="60FB53A6"/>
    <w:rsid w:val="60FE1A41"/>
    <w:rsid w:val="60FF6C7C"/>
    <w:rsid w:val="61046729"/>
    <w:rsid w:val="61273C92"/>
    <w:rsid w:val="61313438"/>
    <w:rsid w:val="613971DE"/>
    <w:rsid w:val="61773208"/>
    <w:rsid w:val="61C80563"/>
    <w:rsid w:val="61D421B0"/>
    <w:rsid w:val="621B7338"/>
    <w:rsid w:val="622C2A0F"/>
    <w:rsid w:val="62321D70"/>
    <w:rsid w:val="62422135"/>
    <w:rsid w:val="62557464"/>
    <w:rsid w:val="625D0A8E"/>
    <w:rsid w:val="625E3E5E"/>
    <w:rsid w:val="6270515F"/>
    <w:rsid w:val="629109DC"/>
    <w:rsid w:val="629F52AA"/>
    <w:rsid w:val="62E37FAA"/>
    <w:rsid w:val="62EA1564"/>
    <w:rsid w:val="62F22C78"/>
    <w:rsid w:val="632E3CAC"/>
    <w:rsid w:val="636E040E"/>
    <w:rsid w:val="637108B6"/>
    <w:rsid w:val="63CB3506"/>
    <w:rsid w:val="63CD254B"/>
    <w:rsid w:val="63CE644F"/>
    <w:rsid w:val="63D700B4"/>
    <w:rsid w:val="63D85FEA"/>
    <w:rsid w:val="63F06746"/>
    <w:rsid w:val="64300B2F"/>
    <w:rsid w:val="64330154"/>
    <w:rsid w:val="64395CEA"/>
    <w:rsid w:val="64760F22"/>
    <w:rsid w:val="647E0EEC"/>
    <w:rsid w:val="6494240B"/>
    <w:rsid w:val="64D43CC0"/>
    <w:rsid w:val="64D4791A"/>
    <w:rsid w:val="64D8390D"/>
    <w:rsid w:val="651D29E9"/>
    <w:rsid w:val="6532035F"/>
    <w:rsid w:val="65897B78"/>
    <w:rsid w:val="659348A4"/>
    <w:rsid w:val="65A749C4"/>
    <w:rsid w:val="65AD0918"/>
    <w:rsid w:val="65B527B5"/>
    <w:rsid w:val="65D33E68"/>
    <w:rsid w:val="65D376C0"/>
    <w:rsid w:val="65E44177"/>
    <w:rsid w:val="6627746B"/>
    <w:rsid w:val="66307104"/>
    <w:rsid w:val="665E743E"/>
    <w:rsid w:val="66607519"/>
    <w:rsid w:val="66970DED"/>
    <w:rsid w:val="66996DDE"/>
    <w:rsid w:val="669F5988"/>
    <w:rsid w:val="66B30BA9"/>
    <w:rsid w:val="66B60026"/>
    <w:rsid w:val="66C2104E"/>
    <w:rsid w:val="66CB590B"/>
    <w:rsid w:val="66D43260"/>
    <w:rsid w:val="66DB36AD"/>
    <w:rsid w:val="66F338E5"/>
    <w:rsid w:val="66FA2E59"/>
    <w:rsid w:val="670833C7"/>
    <w:rsid w:val="67227782"/>
    <w:rsid w:val="677B4B58"/>
    <w:rsid w:val="677B6814"/>
    <w:rsid w:val="677C539B"/>
    <w:rsid w:val="678701BB"/>
    <w:rsid w:val="67990728"/>
    <w:rsid w:val="679E597C"/>
    <w:rsid w:val="67A07027"/>
    <w:rsid w:val="67BB5D3B"/>
    <w:rsid w:val="67F35656"/>
    <w:rsid w:val="68081D5B"/>
    <w:rsid w:val="681A243F"/>
    <w:rsid w:val="684A7F8B"/>
    <w:rsid w:val="684C5FD5"/>
    <w:rsid w:val="68543D25"/>
    <w:rsid w:val="686E04E5"/>
    <w:rsid w:val="6885339B"/>
    <w:rsid w:val="68A66E42"/>
    <w:rsid w:val="68BD4DBA"/>
    <w:rsid w:val="68C755E0"/>
    <w:rsid w:val="68CE5144"/>
    <w:rsid w:val="68CE7600"/>
    <w:rsid w:val="68E24291"/>
    <w:rsid w:val="68E430EF"/>
    <w:rsid w:val="68EC1DFF"/>
    <w:rsid w:val="68EC5737"/>
    <w:rsid w:val="6911200B"/>
    <w:rsid w:val="6940218C"/>
    <w:rsid w:val="69465F5A"/>
    <w:rsid w:val="69483183"/>
    <w:rsid w:val="69720C77"/>
    <w:rsid w:val="6985795E"/>
    <w:rsid w:val="699C4035"/>
    <w:rsid w:val="69A5057F"/>
    <w:rsid w:val="69B538A1"/>
    <w:rsid w:val="69BC252E"/>
    <w:rsid w:val="69C60BE1"/>
    <w:rsid w:val="69CA4780"/>
    <w:rsid w:val="69D3175F"/>
    <w:rsid w:val="69E4713A"/>
    <w:rsid w:val="69F84487"/>
    <w:rsid w:val="69F96DC5"/>
    <w:rsid w:val="6A133470"/>
    <w:rsid w:val="6A2762D6"/>
    <w:rsid w:val="6A3063A6"/>
    <w:rsid w:val="6A4B2ED8"/>
    <w:rsid w:val="6A4C7CC1"/>
    <w:rsid w:val="6A6A7D1F"/>
    <w:rsid w:val="6A9045E3"/>
    <w:rsid w:val="6AB30B71"/>
    <w:rsid w:val="6AB37408"/>
    <w:rsid w:val="6ABB7471"/>
    <w:rsid w:val="6AC20539"/>
    <w:rsid w:val="6AC24F75"/>
    <w:rsid w:val="6AC94205"/>
    <w:rsid w:val="6AE6019A"/>
    <w:rsid w:val="6AF21F09"/>
    <w:rsid w:val="6AF54B1D"/>
    <w:rsid w:val="6B077202"/>
    <w:rsid w:val="6B1037CE"/>
    <w:rsid w:val="6B207381"/>
    <w:rsid w:val="6B257087"/>
    <w:rsid w:val="6B2D5607"/>
    <w:rsid w:val="6B2F4341"/>
    <w:rsid w:val="6B6E18F7"/>
    <w:rsid w:val="6B6F03ED"/>
    <w:rsid w:val="6B777BF1"/>
    <w:rsid w:val="6B885CF8"/>
    <w:rsid w:val="6B8F371D"/>
    <w:rsid w:val="6B9772FD"/>
    <w:rsid w:val="6BF25BF9"/>
    <w:rsid w:val="6C0123EF"/>
    <w:rsid w:val="6C026F54"/>
    <w:rsid w:val="6C2169AA"/>
    <w:rsid w:val="6C301F71"/>
    <w:rsid w:val="6C3F4339"/>
    <w:rsid w:val="6C567D5F"/>
    <w:rsid w:val="6C661E19"/>
    <w:rsid w:val="6C823695"/>
    <w:rsid w:val="6CAA39FE"/>
    <w:rsid w:val="6CB140C4"/>
    <w:rsid w:val="6CB35E29"/>
    <w:rsid w:val="6CD02EB0"/>
    <w:rsid w:val="6CDF5F31"/>
    <w:rsid w:val="6CF86F9A"/>
    <w:rsid w:val="6D003795"/>
    <w:rsid w:val="6D1B10DC"/>
    <w:rsid w:val="6D51004D"/>
    <w:rsid w:val="6D631D39"/>
    <w:rsid w:val="6D6B2062"/>
    <w:rsid w:val="6D8D6746"/>
    <w:rsid w:val="6D8E2AD7"/>
    <w:rsid w:val="6DA56705"/>
    <w:rsid w:val="6DBB0503"/>
    <w:rsid w:val="6DCE7262"/>
    <w:rsid w:val="6DE53394"/>
    <w:rsid w:val="6DFA4688"/>
    <w:rsid w:val="6E1E54DB"/>
    <w:rsid w:val="6E24485B"/>
    <w:rsid w:val="6E277F70"/>
    <w:rsid w:val="6E2A2B73"/>
    <w:rsid w:val="6E2B50DB"/>
    <w:rsid w:val="6E573CB0"/>
    <w:rsid w:val="6E5B168F"/>
    <w:rsid w:val="6E6235F5"/>
    <w:rsid w:val="6E6A76F8"/>
    <w:rsid w:val="6E706F1F"/>
    <w:rsid w:val="6E911DFF"/>
    <w:rsid w:val="6E9F6CC3"/>
    <w:rsid w:val="6EE23C91"/>
    <w:rsid w:val="6EFB6735"/>
    <w:rsid w:val="6F1620A4"/>
    <w:rsid w:val="6F2211BB"/>
    <w:rsid w:val="6F2D167C"/>
    <w:rsid w:val="6F3362FD"/>
    <w:rsid w:val="6F3631D4"/>
    <w:rsid w:val="6F687274"/>
    <w:rsid w:val="6F810E5A"/>
    <w:rsid w:val="6F8441CF"/>
    <w:rsid w:val="6F86184F"/>
    <w:rsid w:val="6F9D1F0B"/>
    <w:rsid w:val="6FA740EF"/>
    <w:rsid w:val="6FCB5048"/>
    <w:rsid w:val="6FCD428D"/>
    <w:rsid w:val="6FDB5F4B"/>
    <w:rsid w:val="6FE64CD5"/>
    <w:rsid w:val="702C6ABB"/>
    <w:rsid w:val="702E4173"/>
    <w:rsid w:val="70503031"/>
    <w:rsid w:val="706A5DBB"/>
    <w:rsid w:val="707D7CFD"/>
    <w:rsid w:val="708A121D"/>
    <w:rsid w:val="70AB13B2"/>
    <w:rsid w:val="70BE73F9"/>
    <w:rsid w:val="70C17BC6"/>
    <w:rsid w:val="70DF59D1"/>
    <w:rsid w:val="71034B37"/>
    <w:rsid w:val="710844DB"/>
    <w:rsid w:val="710A5E8E"/>
    <w:rsid w:val="711A4E19"/>
    <w:rsid w:val="713A6DBA"/>
    <w:rsid w:val="713F5427"/>
    <w:rsid w:val="715274A7"/>
    <w:rsid w:val="715A24C4"/>
    <w:rsid w:val="716D4A8F"/>
    <w:rsid w:val="718B240D"/>
    <w:rsid w:val="71967286"/>
    <w:rsid w:val="71971C19"/>
    <w:rsid w:val="719F56C0"/>
    <w:rsid w:val="71AC7BA0"/>
    <w:rsid w:val="71C73B03"/>
    <w:rsid w:val="71DD05F8"/>
    <w:rsid w:val="71E54794"/>
    <w:rsid w:val="72165DBD"/>
    <w:rsid w:val="72305005"/>
    <w:rsid w:val="724C6A0A"/>
    <w:rsid w:val="72924FE3"/>
    <w:rsid w:val="72940EEB"/>
    <w:rsid w:val="7298534F"/>
    <w:rsid w:val="72997B52"/>
    <w:rsid w:val="72DE0AAD"/>
    <w:rsid w:val="72E845F1"/>
    <w:rsid w:val="72F55277"/>
    <w:rsid w:val="73113509"/>
    <w:rsid w:val="734B32B7"/>
    <w:rsid w:val="734F1A4F"/>
    <w:rsid w:val="73616B17"/>
    <w:rsid w:val="738A37D2"/>
    <w:rsid w:val="73957E67"/>
    <w:rsid w:val="73D4453D"/>
    <w:rsid w:val="73EF48E4"/>
    <w:rsid w:val="73FC1339"/>
    <w:rsid w:val="74231776"/>
    <w:rsid w:val="743A557E"/>
    <w:rsid w:val="744A2B30"/>
    <w:rsid w:val="74552AE0"/>
    <w:rsid w:val="74597905"/>
    <w:rsid w:val="7479686D"/>
    <w:rsid w:val="748A16D6"/>
    <w:rsid w:val="74A51E94"/>
    <w:rsid w:val="74C81F15"/>
    <w:rsid w:val="74D74841"/>
    <w:rsid w:val="74DE4D74"/>
    <w:rsid w:val="74DF3E44"/>
    <w:rsid w:val="74F05716"/>
    <w:rsid w:val="752907D6"/>
    <w:rsid w:val="75533CA6"/>
    <w:rsid w:val="755578A7"/>
    <w:rsid w:val="75566723"/>
    <w:rsid w:val="755C0B73"/>
    <w:rsid w:val="755C7008"/>
    <w:rsid w:val="7568765B"/>
    <w:rsid w:val="757370BD"/>
    <w:rsid w:val="75877F1F"/>
    <w:rsid w:val="75A45B1C"/>
    <w:rsid w:val="75A6715A"/>
    <w:rsid w:val="75C503DF"/>
    <w:rsid w:val="75DB2F1E"/>
    <w:rsid w:val="75F762F2"/>
    <w:rsid w:val="75FF084B"/>
    <w:rsid w:val="761B1F21"/>
    <w:rsid w:val="76241C1E"/>
    <w:rsid w:val="76592B89"/>
    <w:rsid w:val="76601B36"/>
    <w:rsid w:val="7675575E"/>
    <w:rsid w:val="767B2A43"/>
    <w:rsid w:val="76AB4FF3"/>
    <w:rsid w:val="76B75C90"/>
    <w:rsid w:val="76B92F83"/>
    <w:rsid w:val="76BF6C4B"/>
    <w:rsid w:val="76C325A1"/>
    <w:rsid w:val="76ED1664"/>
    <w:rsid w:val="76F83DDE"/>
    <w:rsid w:val="77150CEF"/>
    <w:rsid w:val="77203A70"/>
    <w:rsid w:val="772A4E7D"/>
    <w:rsid w:val="777954CF"/>
    <w:rsid w:val="77845085"/>
    <w:rsid w:val="77996B7D"/>
    <w:rsid w:val="77B07739"/>
    <w:rsid w:val="77D60E99"/>
    <w:rsid w:val="78057953"/>
    <w:rsid w:val="780A4657"/>
    <w:rsid w:val="78122B2D"/>
    <w:rsid w:val="782B2547"/>
    <w:rsid w:val="78502923"/>
    <w:rsid w:val="7871162A"/>
    <w:rsid w:val="78717CF1"/>
    <w:rsid w:val="78752294"/>
    <w:rsid w:val="788677D9"/>
    <w:rsid w:val="788B13FF"/>
    <w:rsid w:val="789B18CD"/>
    <w:rsid w:val="78A62887"/>
    <w:rsid w:val="78AB7C62"/>
    <w:rsid w:val="78C7703F"/>
    <w:rsid w:val="78C95BF2"/>
    <w:rsid w:val="78CF0007"/>
    <w:rsid w:val="78E00E50"/>
    <w:rsid w:val="78E8639E"/>
    <w:rsid w:val="78F1164F"/>
    <w:rsid w:val="7902607B"/>
    <w:rsid w:val="79203F02"/>
    <w:rsid w:val="79405AC2"/>
    <w:rsid w:val="794A16C7"/>
    <w:rsid w:val="796B6421"/>
    <w:rsid w:val="798E159D"/>
    <w:rsid w:val="7997670C"/>
    <w:rsid w:val="799B5B14"/>
    <w:rsid w:val="79C32998"/>
    <w:rsid w:val="79D61BF9"/>
    <w:rsid w:val="79DF29C7"/>
    <w:rsid w:val="79F032CD"/>
    <w:rsid w:val="7A01731B"/>
    <w:rsid w:val="7A2A19A2"/>
    <w:rsid w:val="7A36432D"/>
    <w:rsid w:val="7A5737FC"/>
    <w:rsid w:val="7A9E5987"/>
    <w:rsid w:val="7AB82530"/>
    <w:rsid w:val="7ABB1FFB"/>
    <w:rsid w:val="7ACB292E"/>
    <w:rsid w:val="7ACF1B35"/>
    <w:rsid w:val="7AD26EC1"/>
    <w:rsid w:val="7AD91D9D"/>
    <w:rsid w:val="7AF73278"/>
    <w:rsid w:val="7B2C031F"/>
    <w:rsid w:val="7B33688B"/>
    <w:rsid w:val="7B3635B0"/>
    <w:rsid w:val="7B5F29C5"/>
    <w:rsid w:val="7B74242E"/>
    <w:rsid w:val="7B8652E9"/>
    <w:rsid w:val="7B907118"/>
    <w:rsid w:val="7B95174D"/>
    <w:rsid w:val="7BC40269"/>
    <w:rsid w:val="7BC76C55"/>
    <w:rsid w:val="7BD67807"/>
    <w:rsid w:val="7BDC50EB"/>
    <w:rsid w:val="7BEB7B08"/>
    <w:rsid w:val="7BEC4D30"/>
    <w:rsid w:val="7C2935AE"/>
    <w:rsid w:val="7C331B1C"/>
    <w:rsid w:val="7C510F48"/>
    <w:rsid w:val="7C565439"/>
    <w:rsid w:val="7C6314F2"/>
    <w:rsid w:val="7C7445AA"/>
    <w:rsid w:val="7C7E223A"/>
    <w:rsid w:val="7C8A21BF"/>
    <w:rsid w:val="7CA127E6"/>
    <w:rsid w:val="7CBD676E"/>
    <w:rsid w:val="7CD01585"/>
    <w:rsid w:val="7CD90A02"/>
    <w:rsid w:val="7D187608"/>
    <w:rsid w:val="7D1A21FA"/>
    <w:rsid w:val="7D2D1894"/>
    <w:rsid w:val="7D873951"/>
    <w:rsid w:val="7D94169E"/>
    <w:rsid w:val="7DAD7298"/>
    <w:rsid w:val="7DBD2B1F"/>
    <w:rsid w:val="7DC4655E"/>
    <w:rsid w:val="7DCC780C"/>
    <w:rsid w:val="7E067FE1"/>
    <w:rsid w:val="7E2553C3"/>
    <w:rsid w:val="7E3A4490"/>
    <w:rsid w:val="7E3B202F"/>
    <w:rsid w:val="7E4C44FB"/>
    <w:rsid w:val="7E502D91"/>
    <w:rsid w:val="7E5971D3"/>
    <w:rsid w:val="7E781E58"/>
    <w:rsid w:val="7EA11A3C"/>
    <w:rsid w:val="7EC17ECC"/>
    <w:rsid w:val="7ECB3B55"/>
    <w:rsid w:val="7EE037A4"/>
    <w:rsid w:val="7EE77E8E"/>
    <w:rsid w:val="7EE94008"/>
    <w:rsid w:val="7F3416CD"/>
    <w:rsid w:val="7F526EA5"/>
    <w:rsid w:val="7F610880"/>
    <w:rsid w:val="7F6B1AF8"/>
    <w:rsid w:val="7F6B4E48"/>
    <w:rsid w:val="7F780223"/>
    <w:rsid w:val="7FA253A4"/>
    <w:rsid w:val="7FBA3C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4">
    <w:name w:val="heading 2"/>
    <w:basedOn w:val="1"/>
    <w:next w:val="1"/>
    <w:unhideWhenUsed/>
    <w:qFormat/>
    <w:uiPriority w:val="0"/>
    <w:pPr>
      <w:keepNext/>
      <w:keepLines/>
      <w:tabs>
        <w:tab w:val="left" w:pos="420"/>
        <w:tab w:val="left" w:pos="6090"/>
      </w:tabs>
      <w:spacing w:before="260" w:after="260" w:line="240" w:lineRule="auto"/>
      <w:ind w:left="-2" w:leftChars="-1"/>
      <w:jc w:val="center"/>
      <w:outlineLvl w:val="1"/>
    </w:pPr>
    <w:rPr>
      <w:rFonts w:cs="Times New Roman"/>
      <w:b/>
      <w:bCs/>
      <w:sz w:val="30"/>
      <w:szCs w:val="28"/>
    </w:rPr>
  </w:style>
  <w:style w:type="paragraph" w:styleId="5">
    <w:name w:val="heading 4"/>
    <w:basedOn w:val="1"/>
    <w:next w:val="1"/>
    <w:semiHidden/>
    <w:unhideWhenUsed/>
    <w:qFormat/>
    <w:uiPriority w:val="0"/>
    <w:pPr>
      <w:keepNext/>
      <w:keepLines/>
      <w:numPr>
        <w:ilvl w:val="3"/>
        <w:numId w:val="2"/>
      </w:numPr>
      <w:spacing w:before="280" w:beforeLines="0" w:beforeAutospacing="0" w:after="290" w:afterLines="0" w:afterAutospacing="0" w:line="372" w:lineRule="auto"/>
      <w:ind w:left="0" w:firstLine="402"/>
      <w:outlineLvl w:val="3"/>
    </w:pPr>
    <w:rPr>
      <w:rFonts w:ascii="Arial" w:hAnsi="Arial" w:eastAsia="黑体"/>
      <w:b/>
      <w:sz w:val="28"/>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line="460" w:lineRule="exact"/>
    </w:pPr>
    <w:rPr>
      <w:rFonts w:ascii="宋体" w:hAnsi="宋体"/>
      <w:sz w:val="24"/>
    </w:rPr>
  </w:style>
  <w:style w:type="paragraph" w:styleId="6">
    <w:name w:val="Normal Indent"/>
    <w:basedOn w:val="1"/>
    <w:next w:val="1"/>
    <w:qFormat/>
    <w:uiPriority w:val="0"/>
    <w:pPr>
      <w:spacing w:line="300" w:lineRule="auto"/>
      <w:ind w:firstLine="420" w:firstLineChars="200"/>
    </w:pPr>
  </w:style>
  <w:style w:type="paragraph" w:styleId="7">
    <w:name w:val="toa heading"/>
    <w:basedOn w:val="1"/>
    <w:next w:val="1"/>
    <w:qFormat/>
    <w:uiPriority w:val="99"/>
    <w:pPr>
      <w:spacing w:before="120"/>
    </w:pPr>
    <w:rPr>
      <w:rFonts w:ascii="Arial" w:hAnsi="Arial" w:cs="Arial"/>
      <w:sz w:val="24"/>
    </w:rPr>
  </w:style>
  <w:style w:type="paragraph" w:styleId="8">
    <w:name w:val="annotation text"/>
    <w:basedOn w:val="1"/>
    <w:qFormat/>
    <w:uiPriority w:val="0"/>
    <w:pPr>
      <w:widowControl/>
      <w:jc w:val="left"/>
    </w:pPr>
    <w:rPr>
      <w:kern w:val="0"/>
      <w:szCs w:val="20"/>
    </w:rPr>
  </w:style>
  <w:style w:type="paragraph" w:styleId="9">
    <w:name w:val="Body Text Indent"/>
    <w:basedOn w:val="1"/>
    <w:next w:val="10"/>
    <w:qFormat/>
    <w:uiPriority w:val="0"/>
    <w:pPr>
      <w:ind w:firstLine="570"/>
    </w:pPr>
    <w:rPr>
      <w:rFonts w:ascii="宋体" w:hAnsi="宋体"/>
      <w:sz w:val="28"/>
      <w:szCs w:val="20"/>
    </w:rPr>
  </w:style>
  <w:style w:type="paragraph" w:styleId="10">
    <w:name w:val="Body Text First Indent 2"/>
    <w:basedOn w:val="9"/>
    <w:next w:val="1"/>
    <w:qFormat/>
    <w:uiPriority w:val="0"/>
    <w:pPr>
      <w:ind w:firstLine="420" w:firstLineChars="200"/>
    </w:pPr>
  </w:style>
  <w:style w:type="paragraph" w:styleId="11">
    <w:name w:val="Block Text"/>
    <w:basedOn w:val="1"/>
    <w:qFormat/>
    <w:uiPriority w:val="0"/>
    <w:pPr>
      <w:spacing w:after="120"/>
      <w:ind w:left="1440" w:leftChars="700" w:right="700" w:rightChars="700"/>
    </w:pPr>
  </w:style>
  <w:style w:type="paragraph" w:styleId="12">
    <w:name w:val="Plain Text"/>
    <w:basedOn w:val="1"/>
    <w:next w:val="1"/>
    <w:qFormat/>
    <w:uiPriority w:val="0"/>
    <w:rPr>
      <w:rFonts w:ascii="新宋体" w:hAnsi="新宋体" w:cs="新宋体"/>
      <w:kern w:val="2"/>
      <w:sz w:val="21"/>
      <w:szCs w:val="21"/>
    </w:rPr>
  </w:style>
  <w:style w:type="paragraph" w:styleId="13">
    <w:name w:val="Balloon Text"/>
    <w:basedOn w:val="1"/>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style>
  <w:style w:type="paragraph" w:styleId="17">
    <w:name w:val="Body Text 2"/>
    <w:basedOn w:val="1"/>
    <w:qFormat/>
    <w:uiPriority w:val="0"/>
    <w:rPr>
      <w:rFonts w:ascii="宋体"/>
      <w:sz w:val="13"/>
      <w:szCs w:val="20"/>
    </w:rPr>
  </w:style>
  <w:style w:type="paragraph" w:styleId="1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19">
    <w:name w:val="Normal (Web)"/>
    <w:basedOn w:val="1"/>
    <w:qFormat/>
    <w:uiPriority w:val="99"/>
    <w:pPr>
      <w:widowControl/>
      <w:spacing w:before="100" w:beforeAutospacing="1" w:after="100" w:afterAutospacing="1"/>
      <w:jc w:val="left"/>
    </w:pPr>
    <w:rPr>
      <w:rFonts w:ascii="宋体" w:hAnsi="宋体"/>
      <w:kern w:val="0"/>
      <w:sz w:val="24"/>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Hyperlink"/>
    <w:basedOn w:val="22"/>
    <w:qFormat/>
    <w:uiPriority w:val="0"/>
    <w:rPr>
      <w:rFonts w:hint="eastAsia" w:ascii="微软雅黑" w:hAnsi="微软雅黑" w:eastAsia="微软雅黑" w:cs="微软雅黑"/>
      <w:color w:val="428BCA"/>
      <w:u w:val="none"/>
    </w:rPr>
  </w:style>
  <w:style w:type="paragraph" w:customStyle="1" w:styleId="24">
    <w:name w:val="样式 正文文字缩进 + 小四 首行缩进:  2 字符"/>
    <w:basedOn w:val="1"/>
    <w:qFormat/>
    <w:uiPriority w:val="0"/>
    <w:pPr>
      <w:spacing w:line="600" w:lineRule="exact"/>
      <w:jc w:val="center"/>
    </w:pPr>
    <w:rPr>
      <w:rFonts w:ascii="宋体"/>
      <w:b/>
      <w:u w:val="double"/>
    </w:rPr>
  </w:style>
  <w:style w:type="paragraph" w:customStyle="1" w:styleId="25">
    <w:name w:val="样式 标题 2 + 仿宋_GB2312 黑色"/>
    <w:basedOn w:val="4"/>
    <w:qFormat/>
    <w:uiPriority w:val="0"/>
    <w:pPr>
      <w:jc w:val="center"/>
    </w:pPr>
    <w:rPr>
      <w:rFonts w:ascii="仿宋_GB2312" w:hAnsi="仿宋_GB2312" w:eastAsia="仿宋_GB2312"/>
      <w:color w:val="000000"/>
    </w:rPr>
  </w:style>
  <w:style w:type="character" w:customStyle="1" w:styleId="26">
    <w:name w:val="texthight1"/>
    <w:basedOn w:val="22"/>
    <w:qFormat/>
    <w:uiPriority w:val="99"/>
  </w:style>
  <w:style w:type="paragraph" w:customStyle="1" w:styleId="27">
    <w:name w:val="（标题二）"/>
    <w:basedOn w:val="4"/>
    <w:next w:val="1"/>
    <w:qFormat/>
    <w:uiPriority w:val="0"/>
    <w:pPr>
      <w:tabs>
        <w:tab w:val="left" w:pos="1680"/>
        <w:tab w:val="clear" w:pos="420"/>
        <w:tab w:val="clear" w:pos="6090"/>
      </w:tabs>
      <w:ind w:left="1680" w:hanging="420"/>
    </w:pPr>
    <w:rPr>
      <w:sz w:val="36"/>
    </w:rPr>
  </w:style>
  <w:style w:type="paragraph" w:customStyle="1" w:styleId="28">
    <w:name w:val="Default"/>
    <w:basedOn w:val="29"/>
    <w:qFormat/>
    <w:uiPriority w:val="0"/>
    <w:pPr>
      <w:widowControl w:val="0"/>
      <w:tabs>
        <w:tab w:val="left" w:pos="1800"/>
      </w:tabs>
      <w:autoSpaceDE w:val="0"/>
      <w:autoSpaceDN w:val="0"/>
      <w:adjustRightInd w:val="0"/>
    </w:pPr>
    <w:rPr>
      <w:rFonts w:ascii="宋体" w:hAnsi="Times New Roman" w:eastAsia="宋体" w:cs="宋体"/>
      <w:color w:val="000000"/>
      <w:sz w:val="24"/>
      <w:szCs w:val="24"/>
      <w:lang w:val="en-US" w:eastAsia="zh-CN" w:bidi="ar-SA"/>
    </w:rPr>
  </w:style>
  <w:style w:type="paragraph" w:customStyle="1" w:styleId="29">
    <w:name w:val="正文1"/>
    <w:basedOn w:val="1"/>
    <w:qFormat/>
    <w:uiPriority w:val="0"/>
    <w:pPr>
      <w:tabs>
        <w:tab w:val="left" w:pos="1800"/>
      </w:tabs>
      <w:spacing w:line="360" w:lineRule="auto"/>
      <w:jc w:val="left"/>
    </w:pPr>
    <w:rPr>
      <w:rFonts w:ascii="宋体" w:hAnsi="宋体" w:eastAsia="宋体" w:cs="Arial"/>
      <w:sz w:val="24"/>
    </w:rPr>
  </w:style>
  <w:style w:type="character" w:customStyle="1" w:styleId="30">
    <w:name w:val="font01"/>
    <w:basedOn w:val="22"/>
    <w:qFormat/>
    <w:uiPriority w:val="0"/>
    <w:rPr>
      <w:rFonts w:hint="eastAsia" w:ascii="宋体" w:hAnsi="宋体" w:eastAsia="宋体" w:cs="宋体"/>
      <w:color w:val="000000"/>
      <w:sz w:val="20"/>
      <w:szCs w:val="20"/>
      <w:u w:val="none"/>
    </w:rPr>
  </w:style>
  <w:style w:type="character" w:customStyle="1" w:styleId="31">
    <w:name w:val="font41"/>
    <w:basedOn w:val="22"/>
    <w:qFormat/>
    <w:uiPriority w:val="0"/>
    <w:rPr>
      <w:rFonts w:ascii="微软雅黑" w:hAnsi="微软雅黑" w:eastAsia="微软雅黑" w:cs="微软雅黑"/>
      <w:color w:val="000000"/>
      <w:sz w:val="20"/>
      <w:szCs w:val="20"/>
      <w:u w:val="none"/>
    </w:rPr>
  </w:style>
  <w:style w:type="paragraph" w:customStyle="1" w:styleId="32">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西双版纳州直属党政机关单位</Company>
  <Pages>88</Pages>
  <Words>17353</Words>
  <Characters>19500</Characters>
  <Lines>0</Lines>
  <Paragraphs>0</Paragraphs>
  <TotalTime>40</TotalTime>
  <ScaleCrop>false</ScaleCrop>
  <LinksUpToDate>false</LinksUpToDate>
  <CharactersWithSpaces>19683</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2024-07-03T02:47:00Z</dcterms:created>
  <dc:creator>唐海英</dc:creator>
  <cp:lastModifiedBy>Administrator</cp:lastModifiedBy>
  <cp:lastPrinted>2025-12-10T08:08:00Z</cp:lastPrinted>
  <dcterms:modified xsi:type="dcterms:W3CDTF">2026-05-19T03:23:14Z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9153641F503648A6B217CCC25B70C86B</vt:lpwstr>
  </property>
  <property fmtid="{D5CDD505-2E9C-101B-9397-08002B2CF9AE}" pid="4" name="KSOTemplateDocerSaveRecord">
    <vt:lpwstr>eyJoZGlkIjoiOWI4ZTg5NjRhMmIxYzNkZGVmY2U4ZmIxYjlkMDE1MjciLCJ1c2VySWQiOiIzMzQ1ODAzMDEifQ==</vt:lpwstr>
  </property>
</Properties>
</file>