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ECCE43"/>
    <w:p w14:paraId="6A656322">
      <w:bookmarkStart w:id="0" w:name="_Toc260908184"/>
      <w:bookmarkStart w:id="1" w:name="_Toc260907968"/>
      <w:bookmarkStart w:id="2" w:name="_Toc229583198"/>
      <w:bookmarkStart w:id="3" w:name="_Toc520748996"/>
    </w:p>
    <w:p w14:paraId="3F103D90">
      <w:pPr>
        <w:bidi w:val="0"/>
      </w:pPr>
    </w:p>
    <w:p w14:paraId="36F7FF4F">
      <w:pPr>
        <w:bidi w:val="0"/>
      </w:pPr>
    </w:p>
    <w:p w14:paraId="5D7BEB08">
      <w:pPr>
        <w:bidi w:val="0"/>
      </w:pPr>
    </w:p>
    <w:p w14:paraId="17BE67EB">
      <w:pPr>
        <w:pStyle w:val="18"/>
        <w:rPr>
          <w:rFonts w:hint="eastAsia" w:eastAsia="宋体"/>
          <w:sz w:val="48"/>
          <w:szCs w:val="48"/>
          <w:lang w:eastAsia="zh-CN"/>
        </w:rPr>
      </w:pPr>
      <w:r>
        <w:rPr>
          <w:rFonts w:hint="eastAsia"/>
          <w:sz w:val="48"/>
          <w:szCs w:val="48"/>
          <w:lang w:eastAsia="zh-CN"/>
        </w:rPr>
        <w:t>云南开放大学云南省干部在线学习学院2025年建设项目—学习平台设备运维项目（二次）</w:t>
      </w:r>
    </w:p>
    <w:p w14:paraId="6A0E630F">
      <w:pPr>
        <w:jc w:val="center"/>
        <w:rPr>
          <w:snapToGrid w:val="0"/>
          <w:kern w:val="0"/>
        </w:rPr>
      </w:pPr>
    </w:p>
    <w:p w14:paraId="68C8AC9E">
      <w:pPr>
        <w:pStyle w:val="18"/>
      </w:pPr>
    </w:p>
    <w:p w14:paraId="3C919CC6">
      <w:pPr>
        <w:pStyle w:val="18"/>
      </w:pPr>
    </w:p>
    <w:p w14:paraId="0D39357D">
      <w:pPr>
        <w:spacing w:line="360" w:lineRule="auto"/>
        <w:jc w:val="center"/>
        <w:rPr>
          <w:rFonts w:ascii="黑体" w:hAnsi="华文中宋" w:eastAsiaTheme="minorEastAsia"/>
          <w:b/>
          <w:snapToGrid w:val="0"/>
          <w:kern w:val="0"/>
          <w:sz w:val="31"/>
          <w:szCs w:val="21"/>
        </w:rPr>
      </w:pPr>
      <w:r>
        <w:rPr>
          <w:rFonts w:hint="eastAsia" w:ascii="黑体" w:hAnsi="华文中宋" w:eastAsiaTheme="minorEastAsia"/>
          <w:b/>
          <w:snapToGrid w:val="0"/>
          <w:kern w:val="0"/>
          <w:sz w:val="82"/>
          <w:szCs w:val="72"/>
        </w:rPr>
        <w:t>招标文件</w:t>
      </w:r>
    </w:p>
    <w:p w14:paraId="44F91FE5">
      <w:pPr>
        <w:spacing w:line="360" w:lineRule="auto"/>
        <w:jc w:val="center"/>
        <w:rPr>
          <w:rFonts w:ascii="黑体" w:hAnsi="宋体" w:eastAsia="黑体"/>
          <w:snapToGrid w:val="0"/>
          <w:kern w:val="0"/>
          <w:sz w:val="30"/>
          <w:szCs w:val="30"/>
        </w:rPr>
      </w:pPr>
      <w:r>
        <w:rPr>
          <w:rFonts w:hint="eastAsia" w:ascii="黑体" w:hAnsi="宋体" w:eastAsia="黑体"/>
          <w:snapToGrid w:val="0"/>
          <w:kern w:val="0"/>
          <w:sz w:val="30"/>
          <w:szCs w:val="30"/>
        </w:rPr>
        <w:t>项目编号：YNZC2025-G3-03800-GNZB-0009</w:t>
      </w:r>
    </w:p>
    <w:p w14:paraId="3BCB29AB">
      <w:pPr>
        <w:spacing w:line="360" w:lineRule="auto"/>
        <w:jc w:val="center"/>
        <w:rPr>
          <w:rFonts w:ascii="黑体" w:hAnsi="宋体" w:eastAsia="黑体"/>
          <w:snapToGrid w:val="0"/>
          <w:kern w:val="0"/>
          <w:sz w:val="32"/>
        </w:rPr>
      </w:pPr>
    </w:p>
    <w:p w14:paraId="0E7C54FC">
      <w:pPr>
        <w:pStyle w:val="18"/>
      </w:pPr>
    </w:p>
    <w:p w14:paraId="33E1DE2E">
      <w:pPr>
        <w:pStyle w:val="18"/>
      </w:pPr>
    </w:p>
    <w:p w14:paraId="03C5A978">
      <w:pPr>
        <w:rPr>
          <w:snapToGrid w:val="0"/>
          <w:kern w:val="0"/>
        </w:rPr>
      </w:pPr>
    </w:p>
    <w:p w14:paraId="3930BDD9">
      <w:pPr>
        <w:pStyle w:val="18"/>
      </w:pPr>
    </w:p>
    <w:p w14:paraId="62C29B84"/>
    <w:p w14:paraId="68C89DB5">
      <w:pPr>
        <w:pStyle w:val="18"/>
      </w:pPr>
    </w:p>
    <w:p w14:paraId="38D22D6D">
      <w:pPr>
        <w:snapToGrid w:val="0"/>
        <w:spacing w:line="360" w:lineRule="auto"/>
        <w:rPr>
          <w:rFonts w:ascii="宋体" w:hAnsi="宋体"/>
          <w:b/>
          <w:snapToGrid w:val="0"/>
          <w:kern w:val="0"/>
          <w:sz w:val="30"/>
          <w:szCs w:val="30"/>
        </w:rPr>
      </w:pPr>
    </w:p>
    <w:p w14:paraId="3CF08AB5">
      <w:pPr>
        <w:snapToGrid w:val="0"/>
        <w:spacing w:line="360" w:lineRule="auto"/>
        <w:rPr>
          <w:rFonts w:ascii="宋体" w:hAnsi="宋体"/>
          <w:b/>
          <w:snapToGrid w:val="0"/>
          <w:kern w:val="0"/>
          <w:sz w:val="30"/>
          <w:szCs w:val="30"/>
        </w:rPr>
      </w:pPr>
    </w:p>
    <w:p w14:paraId="044C9DDA">
      <w:pPr>
        <w:snapToGrid w:val="0"/>
        <w:spacing w:line="480" w:lineRule="auto"/>
        <w:jc w:val="center"/>
        <w:rPr>
          <w:rFonts w:ascii="宋体" w:hAnsi="宋体"/>
          <w:b/>
          <w:bCs/>
          <w:snapToGrid w:val="0"/>
          <w:kern w:val="0"/>
          <w:sz w:val="34"/>
          <w:szCs w:val="30"/>
          <w:u w:val="single"/>
        </w:rPr>
      </w:pPr>
      <w:r>
        <w:rPr>
          <w:rFonts w:hint="eastAsia" w:ascii="宋体" w:hAnsi="宋体"/>
          <w:b/>
          <w:snapToGrid w:val="0"/>
          <w:kern w:val="0"/>
          <w:sz w:val="34"/>
          <w:szCs w:val="30"/>
        </w:rPr>
        <w:t>采购人：云南开放大学</w:t>
      </w:r>
    </w:p>
    <w:p w14:paraId="7F512A66">
      <w:pPr>
        <w:snapToGrid w:val="0"/>
        <w:spacing w:line="480" w:lineRule="auto"/>
        <w:jc w:val="center"/>
        <w:rPr>
          <w:rFonts w:ascii="宋体" w:hAnsi="宋体"/>
          <w:b/>
          <w:snapToGrid w:val="0"/>
          <w:kern w:val="0"/>
          <w:sz w:val="34"/>
          <w:szCs w:val="30"/>
        </w:rPr>
      </w:pPr>
      <w:r>
        <w:rPr>
          <w:rFonts w:hint="eastAsia" w:ascii="宋体" w:hAnsi="宋体"/>
          <w:b/>
          <w:snapToGrid w:val="0"/>
          <w:kern w:val="0"/>
          <w:sz w:val="34"/>
          <w:szCs w:val="30"/>
        </w:rPr>
        <w:t>采购代理机构：云南国内招标有限公司</w:t>
      </w:r>
    </w:p>
    <w:p w14:paraId="6D07FC05">
      <w:pPr>
        <w:pStyle w:val="49"/>
        <w:spacing w:line="480" w:lineRule="auto"/>
        <w:ind w:left="0" w:leftChars="0" w:firstLine="0" w:firstLineChars="0"/>
        <w:jc w:val="center"/>
      </w:pPr>
      <w:r>
        <w:rPr>
          <w:rFonts w:hint="eastAsia" w:ascii="宋体" w:hAnsi="宋体"/>
          <w:b/>
          <w:snapToGrid w:val="0"/>
          <w:kern w:val="0"/>
          <w:sz w:val="34"/>
          <w:szCs w:val="30"/>
        </w:rPr>
        <w:t>日期：2025年</w:t>
      </w:r>
      <w:r>
        <w:rPr>
          <w:rFonts w:hint="eastAsia" w:ascii="宋体" w:hAnsi="宋体"/>
          <w:b/>
          <w:snapToGrid w:val="0"/>
          <w:kern w:val="0"/>
          <w:sz w:val="34"/>
          <w:szCs w:val="30"/>
          <w:lang w:val="en-US" w:eastAsia="zh-CN"/>
        </w:rPr>
        <w:t>6</w:t>
      </w:r>
      <w:r>
        <w:rPr>
          <w:rFonts w:hint="eastAsia" w:ascii="宋体" w:hAnsi="宋体"/>
          <w:b/>
          <w:snapToGrid w:val="0"/>
          <w:kern w:val="0"/>
          <w:sz w:val="34"/>
          <w:szCs w:val="30"/>
        </w:rPr>
        <w:t>月</w:t>
      </w:r>
      <w:r>
        <w:br w:type="page"/>
      </w:r>
    </w:p>
    <w:p w14:paraId="27D2B3CE">
      <w:pPr>
        <w:pStyle w:val="18"/>
      </w:pPr>
    </w:p>
    <w:p w14:paraId="1776E12E">
      <w:pPr>
        <w:wordWrap w:val="0"/>
        <w:spacing w:line="360" w:lineRule="auto"/>
        <w:jc w:val="center"/>
        <w:rPr>
          <w:rFonts w:ascii="宋体" w:hAnsi="宋体"/>
          <w:snapToGrid w:val="0"/>
          <w:kern w:val="0"/>
          <w:szCs w:val="21"/>
        </w:rPr>
      </w:pPr>
      <w:r>
        <w:rPr>
          <w:rFonts w:hint="eastAsia" w:ascii="黑体" w:eastAsia="黑体"/>
          <w:snapToGrid w:val="0"/>
          <w:kern w:val="0"/>
          <w:sz w:val="32"/>
          <w:szCs w:val="32"/>
        </w:rPr>
        <w:t>目    录</w:t>
      </w:r>
    </w:p>
    <w:p w14:paraId="586F5712">
      <w:pPr>
        <w:pStyle w:val="40"/>
        <w:tabs>
          <w:tab w:val="right" w:leader="dot" w:pos="9071"/>
        </w:tabs>
        <w:spacing w:line="360" w:lineRule="auto"/>
        <w:rPr>
          <w:sz w:val="21"/>
          <w:szCs w:val="21"/>
        </w:rPr>
      </w:pPr>
      <w:r>
        <w:rPr>
          <w:rFonts w:hint="eastAsia" w:cs="宋体" w:asciiTheme="minorEastAsia" w:hAnsiTheme="minorEastAsia" w:eastAsiaTheme="minorEastAsia"/>
          <w:caps/>
          <w:snapToGrid w:val="0"/>
          <w:sz w:val="21"/>
          <w:szCs w:val="21"/>
        </w:rPr>
        <w:fldChar w:fldCharType="begin"/>
      </w:r>
      <w:r>
        <w:rPr>
          <w:rFonts w:hint="eastAsia" w:cs="宋体" w:asciiTheme="minorEastAsia" w:hAnsiTheme="minorEastAsia" w:eastAsiaTheme="minorEastAsia"/>
          <w:caps/>
          <w:snapToGrid w:val="0"/>
          <w:sz w:val="21"/>
          <w:szCs w:val="21"/>
        </w:rPr>
        <w:instrText xml:space="preserve">TOC \o "1-3" \h \u </w:instrText>
      </w:r>
      <w:r>
        <w:rPr>
          <w:rFonts w:hint="eastAsia" w:cs="宋体" w:asciiTheme="minorEastAsia" w:hAnsiTheme="minorEastAsia" w:eastAsiaTheme="minorEastAsia"/>
          <w:caps/>
          <w:snapToGrid w:val="0"/>
          <w:sz w:val="21"/>
          <w:szCs w:val="21"/>
        </w:rPr>
        <w:fldChar w:fldCharType="separate"/>
      </w:r>
      <w:r>
        <w:fldChar w:fldCharType="begin"/>
      </w:r>
      <w:r>
        <w:instrText xml:space="preserve"> HYPERLINK \l "_Toc9165" </w:instrText>
      </w:r>
      <w:r>
        <w:fldChar w:fldCharType="separate"/>
      </w:r>
      <w:r>
        <w:rPr>
          <w:rFonts w:hint="eastAsia" w:ascii="黑体"/>
          <w:snapToGrid w:val="0"/>
          <w:sz w:val="21"/>
          <w:szCs w:val="21"/>
        </w:rPr>
        <w:t>第一章  招标公告</w:t>
      </w:r>
      <w:r>
        <w:rPr>
          <w:sz w:val="21"/>
          <w:szCs w:val="21"/>
        </w:rPr>
        <w:tab/>
      </w:r>
      <w:r>
        <w:rPr>
          <w:sz w:val="21"/>
          <w:szCs w:val="21"/>
        </w:rPr>
        <w:fldChar w:fldCharType="begin"/>
      </w:r>
      <w:r>
        <w:rPr>
          <w:sz w:val="21"/>
          <w:szCs w:val="21"/>
        </w:rPr>
        <w:instrText xml:space="preserve"> PAGEREF _Toc9165 \h </w:instrText>
      </w:r>
      <w:r>
        <w:rPr>
          <w:sz w:val="21"/>
          <w:szCs w:val="21"/>
        </w:rPr>
        <w:fldChar w:fldCharType="separate"/>
      </w:r>
      <w:r>
        <w:rPr>
          <w:sz w:val="21"/>
          <w:szCs w:val="21"/>
        </w:rPr>
        <w:t>3</w:t>
      </w:r>
      <w:r>
        <w:rPr>
          <w:sz w:val="21"/>
          <w:szCs w:val="21"/>
        </w:rPr>
        <w:fldChar w:fldCharType="end"/>
      </w:r>
      <w:r>
        <w:rPr>
          <w:sz w:val="21"/>
          <w:szCs w:val="21"/>
        </w:rPr>
        <w:fldChar w:fldCharType="end"/>
      </w:r>
    </w:p>
    <w:p w14:paraId="139C3FB5">
      <w:pPr>
        <w:pStyle w:val="40"/>
        <w:tabs>
          <w:tab w:val="right" w:leader="dot" w:pos="9071"/>
        </w:tabs>
        <w:spacing w:line="360" w:lineRule="auto"/>
        <w:rPr>
          <w:sz w:val="21"/>
          <w:szCs w:val="21"/>
        </w:rPr>
      </w:pPr>
      <w:r>
        <w:fldChar w:fldCharType="begin"/>
      </w:r>
      <w:r>
        <w:instrText xml:space="preserve"> HYPERLINK \l "_Toc27298" </w:instrText>
      </w:r>
      <w:r>
        <w:fldChar w:fldCharType="separate"/>
      </w:r>
      <w:r>
        <w:rPr>
          <w:rFonts w:hint="eastAsia" w:ascii="黑体"/>
          <w:snapToGrid w:val="0"/>
          <w:sz w:val="21"/>
          <w:szCs w:val="21"/>
        </w:rPr>
        <w:t>第二章  供应商须知及供应商须知前附表</w:t>
      </w:r>
      <w:r>
        <w:rPr>
          <w:sz w:val="21"/>
          <w:szCs w:val="21"/>
        </w:rPr>
        <w:tab/>
      </w:r>
      <w:r>
        <w:rPr>
          <w:sz w:val="21"/>
          <w:szCs w:val="21"/>
        </w:rPr>
        <w:fldChar w:fldCharType="begin"/>
      </w:r>
      <w:r>
        <w:rPr>
          <w:sz w:val="21"/>
          <w:szCs w:val="21"/>
        </w:rPr>
        <w:instrText xml:space="preserve"> PAGEREF _Toc27298 \h </w:instrText>
      </w:r>
      <w:r>
        <w:rPr>
          <w:sz w:val="21"/>
          <w:szCs w:val="21"/>
        </w:rPr>
        <w:fldChar w:fldCharType="separate"/>
      </w:r>
      <w:r>
        <w:rPr>
          <w:sz w:val="21"/>
          <w:szCs w:val="21"/>
        </w:rPr>
        <w:t>7</w:t>
      </w:r>
      <w:r>
        <w:rPr>
          <w:sz w:val="21"/>
          <w:szCs w:val="21"/>
        </w:rPr>
        <w:fldChar w:fldCharType="end"/>
      </w:r>
      <w:r>
        <w:rPr>
          <w:sz w:val="21"/>
          <w:szCs w:val="21"/>
        </w:rPr>
        <w:fldChar w:fldCharType="end"/>
      </w:r>
    </w:p>
    <w:p w14:paraId="336F2B2C">
      <w:pPr>
        <w:pStyle w:val="24"/>
        <w:tabs>
          <w:tab w:val="right" w:leader="dot" w:pos="9071"/>
        </w:tabs>
        <w:spacing w:line="360" w:lineRule="auto"/>
        <w:rPr>
          <w:sz w:val="21"/>
          <w:szCs w:val="21"/>
        </w:rPr>
      </w:pPr>
      <w:r>
        <w:fldChar w:fldCharType="begin"/>
      </w:r>
      <w:r>
        <w:instrText xml:space="preserve"> HYPERLINK \l "_Toc1846" </w:instrText>
      </w:r>
      <w:r>
        <w:fldChar w:fldCharType="separate"/>
      </w:r>
      <w:r>
        <w:rPr>
          <w:rFonts w:hint="eastAsia" w:ascii="宋体" w:hAnsi="宋体"/>
          <w:snapToGrid w:val="0"/>
          <w:sz w:val="21"/>
          <w:szCs w:val="21"/>
        </w:rPr>
        <w:t>一、供应商须知前附表</w:t>
      </w:r>
      <w:r>
        <w:rPr>
          <w:sz w:val="21"/>
          <w:szCs w:val="21"/>
        </w:rPr>
        <w:tab/>
      </w:r>
      <w:r>
        <w:rPr>
          <w:sz w:val="21"/>
          <w:szCs w:val="21"/>
        </w:rPr>
        <w:fldChar w:fldCharType="begin"/>
      </w:r>
      <w:r>
        <w:rPr>
          <w:sz w:val="21"/>
          <w:szCs w:val="21"/>
        </w:rPr>
        <w:instrText xml:space="preserve"> PAGEREF _Toc1846 \h </w:instrText>
      </w:r>
      <w:r>
        <w:rPr>
          <w:sz w:val="21"/>
          <w:szCs w:val="21"/>
        </w:rPr>
        <w:fldChar w:fldCharType="separate"/>
      </w:r>
      <w:r>
        <w:rPr>
          <w:sz w:val="21"/>
          <w:szCs w:val="21"/>
        </w:rPr>
        <w:t>7</w:t>
      </w:r>
      <w:r>
        <w:rPr>
          <w:sz w:val="21"/>
          <w:szCs w:val="21"/>
        </w:rPr>
        <w:fldChar w:fldCharType="end"/>
      </w:r>
      <w:r>
        <w:rPr>
          <w:sz w:val="21"/>
          <w:szCs w:val="21"/>
        </w:rPr>
        <w:fldChar w:fldCharType="end"/>
      </w:r>
    </w:p>
    <w:p w14:paraId="64DB7D5A">
      <w:pPr>
        <w:pStyle w:val="24"/>
        <w:tabs>
          <w:tab w:val="right" w:leader="dot" w:pos="9071"/>
        </w:tabs>
        <w:spacing w:line="360" w:lineRule="auto"/>
        <w:rPr>
          <w:sz w:val="21"/>
          <w:szCs w:val="21"/>
        </w:rPr>
      </w:pPr>
      <w:r>
        <w:fldChar w:fldCharType="begin"/>
      </w:r>
      <w:r>
        <w:instrText xml:space="preserve"> HYPERLINK \l "_Toc24501" </w:instrText>
      </w:r>
      <w:r>
        <w:fldChar w:fldCharType="separate"/>
      </w:r>
      <w:r>
        <w:rPr>
          <w:rFonts w:hint="eastAsia" w:ascii="宋体" w:hAnsi="宋体"/>
          <w:snapToGrid w:val="0"/>
          <w:sz w:val="21"/>
          <w:szCs w:val="21"/>
        </w:rPr>
        <w:t>二、供应商须知</w:t>
      </w:r>
      <w:r>
        <w:rPr>
          <w:sz w:val="21"/>
          <w:szCs w:val="21"/>
        </w:rPr>
        <w:tab/>
      </w:r>
      <w:r>
        <w:rPr>
          <w:sz w:val="21"/>
          <w:szCs w:val="21"/>
        </w:rPr>
        <w:fldChar w:fldCharType="begin"/>
      </w:r>
      <w:r>
        <w:rPr>
          <w:sz w:val="21"/>
          <w:szCs w:val="21"/>
        </w:rPr>
        <w:instrText xml:space="preserve"> PAGEREF _Toc24501 \h </w:instrText>
      </w:r>
      <w:r>
        <w:rPr>
          <w:sz w:val="21"/>
          <w:szCs w:val="21"/>
        </w:rPr>
        <w:fldChar w:fldCharType="separate"/>
      </w:r>
      <w:r>
        <w:rPr>
          <w:sz w:val="21"/>
          <w:szCs w:val="21"/>
        </w:rPr>
        <w:t>12</w:t>
      </w:r>
      <w:r>
        <w:rPr>
          <w:sz w:val="21"/>
          <w:szCs w:val="21"/>
        </w:rPr>
        <w:fldChar w:fldCharType="end"/>
      </w:r>
      <w:r>
        <w:rPr>
          <w:sz w:val="21"/>
          <w:szCs w:val="21"/>
        </w:rPr>
        <w:fldChar w:fldCharType="end"/>
      </w:r>
    </w:p>
    <w:p w14:paraId="2C08D57F">
      <w:pPr>
        <w:pStyle w:val="40"/>
        <w:tabs>
          <w:tab w:val="right" w:leader="dot" w:pos="9071"/>
        </w:tabs>
        <w:spacing w:line="360" w:lineRule="auto"/>
        <w:rPr>
          <w:sz w:val="21"/>
          <w:szCs w:val="21"/>
        </w:rPr>
      </w:pPr>
      <w:r>
        <w:fldChar w:fldCharType="begin"/>
      </w:r>
      <w:r>
        <w:instrText xml:space="preserve"> HYPERLINK \l "_Toc1847" </w:instrText>
      </w:r>
      <w:r>
        <w:fldChar w:fldCharType="separate"/>
      </w:r>
      <w:r>
        <w:rPr>
          <w:rFonts w:hint="eastAsia" w:ascii="黑体"/>
          <w:snapToGrid w:val="0"/>
          <w:sz w:val="21"/>
          <w:szCs w:val="21"/>
        </w:rPr>
        <w:t>第三章  资格审查</w:t>
      </w:r>
      <w:r>
        <w:rPr>
          <w:sz w:val="21"/>
          <w:szCs w:val="21"/>
        </w:rPr>
        <w:tab/>
      </w:r>
      <w:r>
        <w:rPr>
          <w:sz w:val="21"/>
          <w:szCs w:val="21"/>
        </w:rPr>
        <w:fldChar w:fldCharType="begin"/>
      </w:r>
      <w:r>
        <w:rPr>
          <w:sz w:val="21"/>
          <w:szCs w:val="21"/>
        </w:rPr>
        <w:instrText xml:space="preserve"> PAGEREF _Toc1847 \h </w:instrText>
      </w:r>
      <w:r>
        <w:rPr>
          <w:sz w:val="21"/>
          <w:szCs w:val="21"/>
        </w:rPr>
        <w:fldChar w:fldCharType="separate"/>
      </w:r>
      <w:r>
        <w:rPr>
          <w:sz w:val="21"/>
          <w:szCs w:val="21"/>
        </w:rPr>
        <w:t>19</w:t>
      </w:r>
      <w:r>
        <w:rPr>
          <w:sz w:val="21"/>
          <w:szCs w:val="21"/>
        </w:rPr>
        <w:fldChar w:fldCharType="end"/>
      </w:r>
      <w:r>
        <w:rPr>
          <w:sz w:val="21"/>
          <w:szCs w:val="21"/>
        </w:rPr>
        <w:fldChar w:fldCharType="end"/>
      </w:r>
    </w:p>
    <w:p w14:paraId="3C75859A">
      <w:pPr>
        <w:pStyle w:val="40"/>
        <w:tabs>
          <w:tab w:val="right" w:leader="dot" w:pos="9071"/>
        </w:tabs>
        <w:spacing w:line="360" w:lineRule="auto"/>
        <w:rPr>
          <w:sz w:val="21"/>
          <w:szCs w:val="21"/>
        </w:rPr>
      </w:pPr>
      <w:r>
        <w:fldChar w:fldCharType="begin"/>
      </w:r>
      <w:r>
        <w:instrText xml:space="preserve"> HYPERLINK \l "_Toc2725" </w:instrText>
      </w:r>
      <w:r>
        <w:fldChar w:fldCharType="separate"/>
      </w:r>
      <w:r>
        <w:rPr>
          <w:rFonts w:hint="eastAsia" w:ascii="黑体"/>
          <w:snapToGrid w:val="0"/>
          <w:sz w:val="21"/>
          <w:szCs w:val="21"/>
        </w:rPr>
        <w:t>第四章  评标办法</w:t>
      </w:r>
      <w:r>
        <w:rPr>
          <w:sz w:val="21"/>
          <w:szCs w:val="21"/>
        </w:rPr>
        <w:tab/>
      </w:r>
      <w:r>
        <w:rPr>
          <w:sz w:val="21"/>
          <w:szCs w:val="21"/>
        </w:rPr>
        <w:fldChar w:fldCharType="begin"/>
      </w:r>
      <w:r>
        <w:rPr>
          <w:sz w:val="21"/>
          <w:szCs w:val="21"/>
        </w:rPr>
        <w:instrText xml:space="preserve"> PAGEREF _Toc2725 \h </w:instrText>
      </w:r>
      <w:r>
        <w:rPr>
          <w:sz w:val="21"/>
          <w:szCs w:val="21"/>
        </w:rPr>
        <w:fldChar w:fldCharType="separate"/>
      </w:r>
      <w:r>
        <w:rPr>
          <w:sz w:val="21"/>
          <w:szCs w:val="21"/>
        </w:rPr>
        <w:t>21</w:t>
      </w:r>
      <w:r>
        <w:rPr>
          <w:sz w:val="21"/>
          <w:szCs w:val="21"/>
        </w:rPr>
        <w:fldChar w:fldCharType="end"/>
      </w:r>
      <w:r>
        <w:rPr>
          <w:sz w:val="21"/>
          <w:szCs w:val="21"/>
        </w:rPr>
        <w:fldChar w:fldCharType="end"/>
      </w:r>
    </w:p>
    <w:p w14:paraId="1A3CFC1A">
      <w:pPr>
        <w:pStyle w:val="24"/>
        <w:tabs>
          <w:tab w:val="right" w:leader="dot" w:pos="9071"/>
        </w:tabs>
        <w:spacing w:line="360" w:lineRule="auto"/>
        <w:rPr>
          <w:sz w:val="21"/>
          <w:szCs w:val="21"/>
        </w:rPr>
      </w:pPr>
      <w:r>
        <w:fldChar w:fldCharType="begin"/>
      </w:r>
      <w:r>
        <w:instrText xml:space="preserve"> HYPERLINK \l "_Toc11180" </w:instrText>
      </w:r>
      <w:r>
        <w:fldChar w:fldCharType="separate"/>
      </w:r>
      <w:r>
        <w:rPr>
          <w:rFonts w:hint="eastAsia" w:ascii="宋体" w:hAnsi="宋体"/>
          <w:snapToGrid w:val="0"/>
          <w:sz w:val="21"/>
          <w:szCs w:val="21"/>
        </w:rPr>
        <w:t>一、评标办法前附表</w:t>
      </w:r>
      <w:r>
        <w:rPr>
          <w:sz w:val="21"/>
          <w:szCs w:val="21"/>
        </w:rPr>
        <w:tab/>
      </w:r>
      <w:r>
        <w:rPr>
          <w:sz w:val="21"/>
          <w:szCs w:val="21"/>
        </w:rPr>
        <w:fldChar w:fldCharType="begin"/>
      </w:r>
      <w:r>
        <w:rPr>
          <w:sz w:val="21"/>
          <w:szCs w:val="21"/>
        </w:rPr>
        <w:instrText xml:space="preserve"> PAGEREF _Toc11180 \h </w:instrText>
      </w:r>
      <w:r>
        <w:rPr>
          <w:sz w:val="21"/>
          <w:szCs w:val="21"/>
        </w:rPr>
        <w:fldChar w:fldCharType="separate"/>
      </w:r>
      <w:r>
        <w:rPr>
          <w:sz w:val="21"/>
          <w:szCs w:val="21"/>
        </w:rPr>
        <w:t>21</w:t>
      </w:r>
      <w:r>
        <w:rPr>
          <w:sz w:val="21"/>
          <w:szCs w:val="21"/>
        </w:rPr>
        <w:fldChar w:fldCharType="end"/>
      </w:r>
      <w:r>
        <w:rPr>
          <w:sz w:val="21"/>
          <w:szCs w:val="21"/>
        </w:rPr>
        <w:fldChar w:fldCharType="end"/>
      </w:r>
    </w:p>
    <w:p w14:paraId="1AAD879B">
      <w:pPr>
        <w:pStyle w:val="24"/>
        <w:tabs>
          <w:tab w:val="right" w:leader="dot" w:pos="9071"/>
        </w:tabs>
        <w:spacing w:line="360" w:lineRule="auto"/>
        <w:rPr>
          <w:sz w:val="21"/>
          <w:szCs w:val="21"/>
        </w:rPr>
      </w:pPr>
      <w:r>
        <w:fldChar w:fldCharType="begin"/>
      </w:r>
      <w:r>
        <w:instrText xml:space="preserve"> HYPERLINK \l "_Toc15121" </w:instrText>
      </w:r>
      <w:r>
        <w:fldChar w:fldCharType="separate"/>
      </w:r>
      <w:r>
        <w:rPr>
          <w:rFonts w:hint="eastAsia" w:ascii="宋体" w:hAnsi="宋体"/>
          <w:snapToGrid w:val="0"/>
          <w:sz w:val="21"/>
          <w:szCs w:val="21"/>
        </w:rPr>
        <w:t>二、评标方法</w:t>
      </w:r>
      <w:r>
        <w:rPr>
          <w:sz w:val="21"/>
          <w:szCs w:val="21"/>
        </w:rPr>
        <w:tab/>
      </w:r>
      <w:r>
        <w:rPr>
          <w:sz w:val="21"/>
          <w:szCs w:val="21"/>
        </w:rPr>
        <w:fldChar w:fldCharType="begin"/>
      </w:r>
      <w:r>
        <w:rPr>
          <w:sz w:val="21"/>
          <w:szCs w:val="21"/>
        </w:rPr>
        <w:instrText xml:space="preserve"> PAGEREF _Toc15121 \h </w:instrText>
      </w:r>
      <w:r>
        <w:rPr>
          <w:sz w:val="21"/>
          <w:szCs w:val="21"/>
        </w:rPr>
        <w:fldChar w:fldCharType="separate"/>
      </w:r>
      <w:r>
        <w:rPr>
          <w:sz w:val="21"/>
          <w:szCs w:val="21"/>
        </w:rPr>
        <w:t>25</w:t>
      </w:r>
      <w:r>
        <w:rPr>
          <w:sz w:val="21"/>
          <w:szCs w:val="21"/>
        </w:rPr>
        <w:fldChar w:fldCharType="end"/>
      </w:r>
      <w:r>
        <w:rPr>
          <w:sz w:val="21"/>
          <w:szCs w:val="21"/>
        </w:rPr>
        <w:fldChar w:fldCharType="end"/>
      </w:r>
    </w:p>
    <w:p w14:paraId="1FEED6A7">
      <w:pPr>
        <w:pStyle w:val="24"/>
        <w:tabs>
          <w:tab w:val="right" w:leader="dot" w:pos="9071"/>
        </w:tabs>
        <w:spacing w:line="360" w:lineRule="auto"/>
        <w:rPr>
          <w:sz w:val="21"/>
          <w:szCs w:val="21"/>
        </w:rPr>
      </w:pPr>
      <w:r>
        <w:fldChar w:fldCharType="begin"/>
      </w:r>
      <w:r>
        <w:instrText xml:space="preserve"> HYPERLINK \l "_Toc6183" </w:instrText>
      </w:r>
      <w:r>
        <w:fldChar w:fldCharType="separate"/>
      </w:r>
      <w:r>
        <w:rPr>
          <w:rFonts w:hint="eastAsia" w:ascii="宋体" w:hAnsi="宋体"/>
          <w:snapToGrid w:val="0"/>
          <w:sz w:val="21"/>
          <w:szCs w:val="21"/>
        </w:rPr>
        <w:t>三、评标程序</w:t>
      </w:r>
      <w:r>
        <w:rPr>
          <w:sz w:val="21"/>
          <w:szCs w:val="21"/>
        </w:rPr>
        <w:tab/>
      </w:r>
      <w:r>
        <w:rPr>
          <w:sz w:val="21"/>
          <w:szCs w:val="21"/>
        </w:rPr>
        <w:fldChar w:fldCharType="begin"/>
      </w:r>
      <w:r>
        <w:rPr>
          <w:sz w:val="21"/>
          <w:szCs w:val="21"/>
        </w:rPr>
        <w:instrText xml:space="preserve"> PAGEREF _Toc6183 \h </w:instrText>
      </w:r>
      <w:r>
        <w:rPr>
          <w:sz w:val="21"/>
          <w:szCs w:val="21"/>
        </w:rPr>
        <w:fldChar w:fldCharType="separate"/>
      </w:r>
      <w:r>
        <w:rPr>
          <w:sz w:val="21"/>
          <w:szCs w:val="21"/>
        </w:rPr>
        <w:t>26</w:t>
      </w:r>
      <w:r>
        <w:rPr>
          <w:sz w:val="21"/>
          <w:szCs w:val="21"/>
        </w:rPr>
        <w:fldChar w:fldCharType="end"/>
      </w:r>
      <w:r>
        <w:rPr>
          <w:sz w:val="21"/>
          <w:szCs w:val="21"/>
        </w:rPr>
        <w:fldChar w:fldCharType="end"/>
      </w:r>
    </w:p>
    <w:p w14:paraId="4524105C">
      <w:pPr>
        <w:pStyle w:val="24"/>
        <w:tabs>
          <w:tab w:val="right" w:leader="dot" w:pos="9071"/>
        </w:tabs>
        <w:spacing w:line="360" w:lineRule="auto"/>
        <w:rPr>
          <w:sz w:val="21"/>
          <w:szCs w:val="21"/>
        </w:rPr>
      </w:pPr>
      <w:r>
        <w:fldChar w:fldCharType="begin"/>
      </w:r>
      <w:r>
        <w:instrText xml:space="preserve"> HYPERLINK \l "_Toc30470" </w:instrText>
      </w:r>
      <w:r>
        <w:fldChar w:fldCharType="separate"/>
      </w:r>
      <w:r>
        <w:rPr>
          <w:rFonts w:hint="eastAsia" w:ascii="宋体" w:hAnsi="宋体"/>
          <w:snapToGrid w:val="0"/>
          <w:sz w:val="21"/>
          <w:szCs w:val="21"/>
        </w:rPr>
        <w:t>四、汇总评标结果</w:t>
      </w:r>
      <w:r>
        <w:rPr>
          <w:sz w:val="21"/>
          <w:szCs w:val="21"/>
        </w:rPr>
        <w:tab/>
      </w:r>
      <w:r>
        <w:rPr>
          <w:sz w:val="21"/>
          <w:szCs w:val="21"/>
        </w:rPr>
        <w:fldChar w:fldCharType="begin"/>
      </w:r>
      <w:r>
        <w:rPr>
          <w:sz w:val="21"/>
          <w:szCs w:val="21"/>
        </w:rPr>
        <w:instrText xml:space="preserve"> PAGEREF _Toc30470 \h </w:instrText>
      </w:r>
      <w:r>
        <w:rPr>
          <w:sz w:val="21"/>
          <w:szCs w:val="21"/>
        </w:rPr>
        <w:fldChar w:fldCharType="separate"/>
      </w:r>
      <w:r>
        <w:rPr>
          <w:sz w:val="21"/>
          <w:szCs w:val="21"/>
        </w:rPr>
        <w:t>28</w:t>
      </w:r>
      <w:r>
        <w:rPr>
          <w:sz w:val="21"/>
          <w:szCs w:val="21"/>
        </w:rPr>
        <w:fldChar w:fldCharType="end"/>
      </w:r>
      <w:r>
        <w:rPr>
          <w:sz w:val="21"/>
          <w:szCs w:val="21"/>
        </w:rPr>
        <w:fldChar w:fldCharType="end"/>
      </w:r>
    </w:p>
    <w:p w14:paraId="6709C2D5">
      <w:pPr>
        <w:pStyle w:val="24"/>
        <w:tabs>
          <w:tab w:val="right" w:leader="dot" w:pos="9071"/>
        </w:tabs>
        <w:spacing w:line="360" w:lineRule="auto"/>
        <w:rPr>
          <w:sz w:val="21"/>
          <w:szCs w:val="21"/>
        </w:rPr>
      </w:pPr>
      <w:r>
        <w:fldChar w:fldCharType="begin"/>
      </w:r>
      <w:r>
        <w:instrText xml:space="preserve"> HYPERLINK \l "_Toc28727" </w:instrText>
      </w:r>
      <w:r>
        <w:fldChar w:fldCharType="separate"/>
      </w:r>
      <w:r>
        <w:rPr>
          <w:rFonts w:hint="eastAsia" w:ascii="宋体" w:hAnsi="宋体"/>
          <w:snapToGrid w:val="0"/>
          <w:sz w:val="21"/>
          <w:szCs w:val="21"/>
        </w:rPr>
        <w:t>五、推荐中标候选人</w:t>
      </w:r>
      <w:r>
        <w:rPr>
          <w:sz w:val="21"/>
          <w:szCs w:val="21"/>
        </w:rPr>
        <w:tab/>
      </w:r>
      <w:r>
        <w:rPr>
          <w:sz w:val="21"/>
          <w:szCs w:val="21"/>
        </w:rPr>
        <w:fldChar w:fldCharType="begin"/>
      </w:r>
      <w:r>
        <w:rPr>
          <w:sz w:val="21"/>
          <w:szCs w:val="21"/>
        </w:rPr>
        <w:instrText xml:space="preserve"> PAGEREF _Toc28727 \h </w:instrText>
      </w:r>
      <w:r>
        <w:rPr>
          <w:sz w:val="21"/>
          <w:szCs w:val="21"/>
        </w:rPr>
        <w:fldChar w:fldCharType="separate"/>
      </w:r>
      <w:r>
        <w:rPr>
          <w:sz w:val="21"/>
          <w:szCs w:val="21"/>
        </w:rPr>
        <w:t>28</w:t>
      </w:r>
      <w:r>
        <w:rPr>
          <w:sz w:val="21"/>
          <w:szCs w:val="21"/>
        </w:rPr>
        <w:fldChar w:fldCharType="end"/>
      </w:r>
      <w:r>
        <w:rPr>
          <w:sz w:val="21"/>
          <w:szCs w:val="21"/>
        </w:rPr>
        <w:fldChar w:fldCharType="end"/>
      </w:r>
    </w:p>
    <w:p w14:paraId="1A29157D">
      <w:pPr>
        <w:pStyle w:val="24"/>
        <w:tabs>
          <w:tab w:val="right" w:leader="dot" w:pos="9071"/>
        </w:tabs>
        <w:spacing w:line="360" w:lineRule="auto"/>
        <w:rPr>
          <w:sz w:val="21"/>
          <w:szCs w:val="21"/>
        </w:rPr>
      </w:pPr>
      <w:r>
        <w:fldChar w:fldCharType="begin"/>
      </w:r>
      <w:r>
        <w:instrText xml:space="preserve"> HYPERLINK \l "_Toc6824" </w:instrText>
      </w:r>
      <w:r>
        <w:fldChar w:fldCharType="separate"/>
      </w:r>
      <w:r>
        <w:rPr>
          <w:rFonts w:hint="eastAsia" w:ascii="宋体" w:hAnsi="宋体"/>
          <w:snapToGrid w:val="0"/>
          <w:sz w:val="21"/>
          <w:szCs w:val="21"/>
        </w:rPr>
        <w:t>六、特殊情况的处置程序</w:t>
      </w:r>
      <w:r>
        <w:rPr>
          <w:sz w:val="21"/>
          <w:szCs w:val="21"/>
        </w:rPr>
        <w:tab/>
      </w:r>
      <w:r>
        <w:rPr>
          <w:sz w:val="21"/>
          <w:szCs w:val="21"/>
        </w:rPr>
        <w:fldChar w:fldCharType="begin"/>
      </w:r>
      <w:r>
        <w:rPr>
          <w:sz w:val="21"/>
          <w:szCs w:val="21"/>
        </w:rPr>
        <w:instrText xml:space="preserve"> PAGEREF _Toc6824 \h </w:instrText>
      </w:r>
      <w:r>
        <w:rPr>
          <w:sz w:val="21"/>
          <w:szCs w:val="21"/>
        </w:rPr>
        <w:fldChar w:fldCharType="separate"/>
      </w:r>
      <w:r>
        <w:rPr>
          <w:sz w:val="21"/>
          <w:szCs w:val="21"/>
        </w:rPr>
        <w:t>28</w:t>
      </w:r>
      <w:r>
        <w:rPr>
          <w:sz w:val="21"/>
          <w:szCs w:val="21"/>
        </w:rPr>
        <w:fldChar w:fldCharType="end"/>
      </w:r>
      <w:r>
        <w:rPr>
          <w:sz w:val="21"/>
          <w:szCs w:val="21"/>
        </w:rPr>
        <w:fldChar w:fldCharType="end"/>
      </w:r>
    </w:p>
    <w:p w14:paraId="0F5774A6">
      <w:pPr>
        <w:pStyle w:val="40"/>
        <w:tabs>
          <w:tab w:val="right" w:leader="dot" w:pos="9071"/>
        </w:tabs>
        <w:spacing w:line="360" w:lineRule="auto"/>
        <w:rPr>
          <w:sz w:val="21"/>
          <w:szCs w:val="21"/>
        </w:rPr>
      </w:pPr>
      <w:r>
        <w:fldChar w:fldCharType="begin"/>
      </w:r>
      <w:r>
        <w:instrText xml:space="preserve"> HYPERLINK \l "_Toc4860" </w:instrText>
      </w:r>
      <w:r>
        <w:fldChar w:fldCharType="separate"/>
      </w:r>
      <w:r>
        <w:rPr>
          <w:rFonts w:hint="eastAsia" w:ascii="黑体"/>
          <w:snapToGrid w:val="0"/>
          <w:sz w:val="21"/>
          <w:szCs w:val="21"/>
        </w:rPr>
        <w:t>第五章  合同条款及格式</w:t>
      </w:r>
      <w:r>
        <w:rPr>
          <w:sz w:val="21"/>
          <w:szCs w:val="21"/>
        </w:rPr>
        <w:tab/>
      </w:r>
      <w:r>
        <w:rPr>
          <w:sz w:val="21"/>
          <w:szCs w:val="21"/>
        </w:rPr>
        <w:fldChar w:fldCharType="begin"/>
      </w:r>
      <w:r>
        <w:rPr>
          <w:sz w:val="21"/>
          <w:szCs w:val="21"/>
        </w:rPr>
        <w:instrText xml:space="preserve"> PAGEREF _Toc4860 \h </w:instrText>
      </w:r>
      <w:r>
        <w:rPr>
          <w:sz w:val="21"/>
          <w:szCs w:val="21"/>
        </w:rPr>
        <w:fldChar w:fldCharType="separate"/>
      </w:r>
      <w:r>
        <w:rPr>
          <w:sz w:val="21"/>
          <w:szCs w:val="21"/>
        </w:rPr>
        <w:t>30</w:t>
      </w:r>
      <w:r>
        <w:rPr>
          <w:sz w:val="21"/>
          <w:szCs w:val="21"/>
        </w:rPr>
        <w:fldChar w:fldCharType="end"/>
      </w:r>
      <w:r>
        <w:rPr>
          <w:sz w:val="21"/>
          <w:szCs w:val="21"/>
        </w:rPr>
        <w:fldChar w:fldCharType="end"/>
      </w:r>
    </w:p>
    <w:p w14:paraId="330F0FF9">
      <w:pPr>
        <w:pStyle w:val="24"/>
        <w:tabs>
          <w:tab w:val="right" w:leader="dot" w:pos="9071"/>
        </w:tabs>
        <w:spacing w:line="360" w:lineRule="auto"/>
        <w:rPr>
          <w:sz w:val="21"/>
          <w:szCs w:val="21"/>
        </w:rPr>
      </w:pPr>
      <w:r>
        <w:fldChar w:fldCharType="begin"/>
      </w:r>
      <w:r>
        <w:instrText xml:space="preserve"> HYPERLINK \l "_Toc22009" </w:instrText>
      </w:r>
      <w:r>
        <w:fldChar w:fldCharType="separate"/>
      </w:r>
      <w:r>
        <w:rPr>
          <w:rFonts w:hint="eastAsia" w:ascii="宋体" w:hAnsi="宋体"/>
          <w:snapToGrid w:val="0"/>
          <w:sz w:val="21"/>
          <w:szCs w:val="21"/>
        </w:rPr>
        <w:t>一、合同条件</w:t>
      </w:r>
      <w:r>
        <w:rPr>
          <w:sz w:val="21"/>
          <w:szCs w:val="21"/>
        </w:rPr>
        <w:tab/>
      </w:r>
      <w:r>
        <w:rPr>
          <w:sz w:val="21"/>
          <w:szCs w:val="21"/>
        </w:rPr>
        <w:fldChar w:fldCharType="begin"/>
      </w:r>
      <w:r>
        <w:rPr>
          <w:sz w:val="21"/>
          <w:szCs w:val="21"/>
        </w:rPr>
        <w:instrText xml:space="preserve"> PAGEREF _Toc22009 \h </w:instrText>
      </w:r>
      <w:r>
        <w:rPr>
          <w:sz w:val="21"/>
          <w:szCs w:val="21"/>
        </w:rPr>
        <w:fldChar w:fldCharType="separate"/>
      </w:r>
      <w:r>
        <w:rPr>
          <w:sz w:val="21"/>
          <w:szCs w:val="21"/>
        </w:rPr>
        <w:t>30</w:t>
      </w:r>
      <w:r>
        <w:rPr>
          <w:sz w:val="21"/>
          <w:szCs w:val="21"/>
        </w:rPr>
        <w:fldChar w:fldCharType="end"/>
      </w:r>
      <w:r>
        <w:rPr>
          <w:sz w:val="21"/>
          <w:szCs w:val="21"/>
        </w:rPr>
        <w:fldChar w:fldCharType="end"/>
      </w:r>
    </w:p>
    <w:p w14:paraId="4BBF42F0">
      <w:pPr>
        <w:pStyle w:val="24"/>
        <w:tabs>
          <w:tab w:val="right" w:leader="dot" w:pos="9071"/>
        </w:tabs>
        <w:spacing w:line="360" w:lineRule="auto"/>
        <w:rPr>
          <w:sz w:val="21"/>
          <w:szCs w:val="21"/>
        </w:rPr>
      </w:pPr>
      <w:r>
        <w:fldChar w:fldCharType="begin"/>
      </w:r>
      <w:r>
        <w:instrText xml:space="preserve"> HYPERLINK \l "_Toc4169" </w:instrText>
      </w:r>
      <w:r>
        <w:fldChar w:fldCharType="separate"/>
      </w:r>
      <w:r>
        <w:rPr>
          <w:rFonts w:hint="eastAsia" w:ascii="宋体" w:hAnsi="宋体"/>
          <w:snapToGrid w:val="0"/>
          <w:sz w:val="21"/>
          <w:szCs w:val="21"/>
        </w:rPr>
        <w:t>二、合同格式</w:t>
      </w:r>
      <w:r>
        <w:rPr>
          <w:sz w:val="21"/>
          <w:szCs w:val="21"/>
        </w:rPr>
        <w:tab/>
      </w:r>
      <w:r>
        <w:rPr>
          <w:sz w:val="21"/>
          <w:szCs w:val="21"/>
        </w:rPr>
        <w:fldChar w:fldCharType="begin"/>
      </w:r>
      <w:r>
        <w:rPr>
          <w:sz w:val="21"/>
          <w:szCs w:val="21"/>
        </w:rPr>
        <w:instrText xml:space="preserve"> PAGEREF _Toc4169 \h </w:instrText>
      </w:r>
      <w:r>
        <w:rPr>
          <w:sz w:val="21"/>
          <w:szCs w:val="21"/>
        </w:rPr>
        <w:fldChar w:fldCharType="separate"/>
      </w:r>
      <w:r>
        <w:rPr>
          <w:sz w:val="21"/>
          <w:szCs w:val="21"/>
        </w:rPr>
        <w:t>31</w:t>
      </w:r>
      <w:r>
        <w:rPr>
          <w:sz w:val="21"/>
          <w:szCs w:val="21"/>
        </w:rPr>
        <w:fldChar w:fldCharType="end"/>
      </w:r>
      <w:r>
        <w:rPr>
          <w:sz w:val="21"/>
          <w:szCs w:val="21"/>
        </w:rPr>
        <w:fldChar w:fldCharType="end"/>
      </w:r>
    </w:p>
    <w:p w14:paraId="11A87E5D">
      <w:pPr>
        <w:pStyle w:val="40"/>
        <w:tabs>
          <w:tab w:val="right" w:leader="dot" w:pos="9071"/>
        </w:tabs>
        <w:spacing w:line="360" w:lineRule="auto"/>
        <w:rPr>
          <w:sz w:val="21"/>
          <w:szCs w:val="21"/>
        </w:rPr>
      </w:pPr>
      <w:r>
        <w:fldChar w:fldCharType="begin"/>
      </w:r>
      <w:r>
        <w:instrText xml:space="preserve"> HYPERLINK \l "_Toc496" </w:instrText>
      </w:r>
      <w:r>
        <w:fldChar w:fldCharType="separate"/>
      </w:r>
      <w:r>
        <w:rPr>
          <w:rFonts w:hint="eastAsia" w:ascii="黑体"/>
          <w:snapToGrid w:val="0"/>
          <w:sz w:val="21"/>
          <w:szCs w:val="21"/>
        </w:rPr>
        <w:t>第六章  采购需求</w:t>
      </w:r>
      <w:r>
        <w:rPr>
          <w:sz w:val="21"/>
          <w:szCs w:val="21"/>
        </w:rPr>
        <w:tab/>
      </w:r>
      <w:r>
        <w:rPr>
          <w:sz w:val="21"/>
          <w:szCs w:val="21"/>
        </w:rPr>
        <w:fldChar w:fldCharType="begin"/>
      </w:r>
      <w:r>
        <w:rPr>
          <w:sz w:val="21"/>
          <w:szCs w:val="21"/>
        </w:rPr>
        <w:instrText xml:space="preserve"> PAGEREF _Toc496 \h </w:instrText>
      </w:r>
      <w:r>
        <w:rPr>
          <w:sz w:val="21"/>
          <w:szCs w:val="21"/>
        </w:rPr>
        <w:fldChar w:fldCharType="separate"/>
      </w:r>
      <w:r>
        <w:rPr>
          <w:sz w:val="21"/>
          <w:szCs w:val="21"/>
        </w:rPr>
        <w:t>39</w:t>
      </w:r>
      <w:r>
        <w:rPr>
          <w:sz w:val="21"/>
          <w:szCs w:val="21"/>
        </w:rPr>
        <w:fldChar w:fldCharType="end"/>
      </w:r>
      <w:r>
        <w:rPr>
          <w:sz w:val="21"/>
          <w:szCs w:val="21"/>
        </w:rPr>
        <w:fldChar w:fldCharType="end"/>
      </w:r>
    </w:p>
    <w:p w14:paraId="602A2060">
      <w:pPr>
        <w:pStyle w:val="24"/>
        <w:tabs>
          <w:tab w:val="right" w:leader="dot" w:pos="9071"/>
        </w:tabs>
        <w:spacing w:line="360" w:lineRule="auto"/>
        <w:rPr>
          <w:sz w:val="21"/>
          <w:szCs w:val="21"/>
        </w:rPr>
      </w:pPr>
      <w:r>
        <w:fldChar w:fldCharType="begin"/>
      </w:r>
      <w:r>
        <w:instrText xml:space="preserve"> HYPERLINK \l "_Toc3043" </w:instrText>
      </w:r>
      <w:r>
        <w:fldChar w:fldCharType="separate"/>
      </w:r>
      <w:r>
        <w:rPr>
          <w:rFonts w:hint="eastAsia" w:ascii="宋体" w:hAnsi="宋体"/>
          <w:snapToGrid w:val="0"/>
          <w:sz w:val="21"/>
          <w:szCs w:val="21"/>
        </w:rPr>
        <w:t>一、简要概况</w:t>
      </w:r>
      <w:r>
        <w:rPr>
          <w:sz w:val="21"/>
          <w:szCs w:val="21"/>
        </w:rPr>
        <w:tab/>
      </w:r>
      <w:r>
        <w:rPr>
          <w:sz w:val="21"/>
          <w:szCs w:val="21"/>
        </w:rPr>
        <w:fldChar w:fldCharType="begin"/>
      </w:r>
      <w:r>
        <w:rPr>
          <w:sz w:val="21"/>
          <w:szCs w:val="21"/>
        </w:rPr>
        <w:instrText xml:space="preserve"> PAGEREF _Toc3043 \h </w:instrText>
      </w:r>
      <w:r>
        <w:rPr>
          <w:sz w:val="21"/>
          <w:szCs w:val="21"/>
        </w:rPr>
        <w:fldChar w:fldCharType="separate"/>
      </w:r>
      <w:r>
        <w:rPr>
          <w:sz w:val="21"/>
          <w:szCs w:val="21"/>
        </w:rPr>
        <w:t>39</w:t>
      </w:r>
      <w:r>
        <w:rPr>
          <w:sz w:val="21"/>
          <w:szCs w:val="21"/>
        </w:rPr>
        <w:fldChar w:fldCharType="end"/>
      </w:r>
      <w:r>
        <w:rPr>
          <w:sz w:val="21"/>
          <w:szCs w:val="21"/>
        </w:rPr>
        <w:fldChar w:fldCharType="end"/>
      </w:r>
    </w:p>
    <w:p w14:paraId="4E57FC92">
      <w:pPr>
        <w:pStyle w:val="24"/>
        <w:tabs>
          <w:tab w:val="right" w:leader="dot" w:pos="9071"/>
        </w:tabs>
        <w:spacing w:line="360" w:lineRule="auto"/>
        <w:rPr>
          <w:sz w:val="21"/>
          <w:szCs w:val="21"/>
        </w:rPr>
      </w:pPr>
      <w:r>
        <w:fldChar w:fldCharType="begin"/>
      </w:r>
      <w:r>
        <w:instrText xml:space="preserve"> HYPERLINK \l "_Toc20295" </w:instrText>
      </w:r>
      <w:r>
        <w:fldChar w:fldCharType="separate"/>
      </w:r>
      <w:r>
        <w:rPr>
          <w:rFonts w:hint="eastAsia" w:ascii="宋体" w:hAnsi="宋体"/>
          <w:snapToGrid w:val="0"/>
          <w:sz w:val="21"/>
          <w:szCs w:val="21"/>
        </w:rPr>
        <w:t>二、需执行的国家相关标准、行业标准及规范</w:t>
      </w:r>
      <w:r>
        <w:rPr>
          <w:sz w:val="21"/>
          <w:szCs w:val="21"/>
        </w:rPr>
        <w:tab/>
      </w:r>
      <w:r>
        <w:rPr>
          <w:sz w:val="21"/>
          <w:szCs w:val="21"/>
        </w:rPr>
        <w:fldChar w:fldCharType="begin"/>
      </w:r>
      <w:r>
        <w:rPr>
          <w:sz w:val="21"/>
          <w:szCs w:val="21"/>
        </w:rPr>
        <w:instrText xml:space="preserve"> PAGEREF _Toc20295 \h </w:instrText>
      </w:r>
      <w:r>
        <w:rPr>
          <w:sz w:val="21"/>
          <w:szCs w:val="21"/>
        </w:rPr>
        <w:fldChar w:fldCharType="separate"/>
      </w:r>
      <w:r>
        <w:rPr>
          <w:sz w:val="21"/>
          <w:szCs w:val="21"/>
        </w:rPr>
        <w:t>39</w:t>
      </w:r>
      <w:r>
        <w:rPr>
          <w:sz w:val="21"/>
          <w:szCs w:val="21"/>
        </w:rPr>
        <w:fldChar w:fldCharType="end"/>
      </w:r>
      <w:r>
        <w:rPr>
          <w:sz w:val="21"/>
          <w:szCs w:val="21"/>
        </w:rPr>
        <w:fldChar w:fldCharType="end"/>
      </w:r>
    </w:p>
    <w:p w14:paraId="2C453FDE">
      <w:pPr>
        <w:pStyle w:val="24"/>
        <w:tabs>
          <w:tab w:val="right" w:leader="dot" w:pos="9071"/>
        </w:tabs>
        <w:spacing w:line="360" w:lineRule="auto"/>
        <w:rPr>
          <w:sz w:val="21"/>
          <w:szCs w:val="21"/>
        </w:rPr>
      </w:pPr>
      <w:r>
        <w:fldChar w:fldCharType="begin"/>
      </w:r>
      <w:r>
        <w:instrText xml:space="preserve"> HYPERLINK \l "_Toc10136" </w:instrText>
      </w:r>
      <w:r>
        <w:fldChar w:fldCharType="separate"/>
      </w:r>
      <w:r>
        <w:rPr>
          <w:rFonts w:hint="eastAsia" w:ascii="宋体" w:hAnsi="宋体"/>
          <w:snapToGrid w:val="0"/>
          <w:sz w:val="21"/>
          <w:szCs w:val="21"/>
        </w:rPr>
        <w:t>三、服务内容</w:t>
      </w:r>
      <w:r>
        <w:rPr>
          <w:sz w:val="21"/>
          <w:szCs w:val="21"/>
        </w:rPr>
        <w:tab/>
      </w:r>
      <w:r>
        <w:rPr>
          <w:sz w:val="21"/>
          <w:szCs w:val="21"/>
        </w:rPr>
        <w:fldChar w:fldCharType="begin"/>
      </w:r>
      <w:r>
        <w:rPr>
          <w:sz w:val="21"/>
          <w:szCs w:val="21"/>
        </w:rPr>
        <w:instrText xml:space="preserve"> PAGEREF _Toc10136 \h </w:instrText>
      </w:r>
      <w:r>
        <w:rPr>
          <w:sz w:val="21"/>
          <w:szCs w:val="21"/>
        </w:rPr>
        <w:fldChar w:fldCharType="separate"/>
      </w:r>
      <w:r>
        <w:rPr>
          <w:sz w:val="21"/>
          <w:szCs w:val="21"/>
        </w:rPr>
        <w:t>39</w:t>
      </w:r>
      <w:r>
        <w:rPr>
          <w:sz w:val="21"/>
          <w:szCs w:val="21"/>
        </w:rPr>
        <w:fldChar w:fldCharType="end"/>
      </w:r>
      <w:r>
        <w:rPr>
          <w:sz w:val="21"/>
          <w:szCs w:val="21"/>
        </w:rPr>
        <w:fldChar w:fldCharType="end"/>
      </w:r>
    </w:p>
    <w:p w14:paraId="3D9A4C69">
      <w:pPr>
        <w:pStyle w:val="24"/>
        <w:tabs>
          <w:tab w:val="right" w:leader="dot" w:pos="9071"/>
        </w:tabs>
        <w:spacing w:line="360" w:lineRule="auto"/>
        <w:rPr>
          <w:sz w:val="21"/>
          <w:szCs w:val="21"/>
        </w:rPr>
      </w:pPr>
      <w:r>
        <w:fldChar w:fldCharType="begin"/>
      </w:r>
      <w:r>
        <w:instrText xml:space="preserve"> HYPERLINK \l "_Toc9375" </w:instrText>
      </w:r>
      <w:r>
        <w:fldChar w:fldCharType="separate"/>
      </w:r>
      <w:r>
        <w:rPr>
          <w:rFonts w:hint="eastAsia" w:ascii="宋体" w:hAnsi="宋体"/>
          <w:snapToGrid w:val="0"/>
          <w:sz w:val="21"/>
          <w:szCs w:val="21"/>
        </w:rPr>
        <w:t>四</w:t>
      </w:r>
      <w:r>
        <w:rPr>
          <w:rFonts w:ascii="宋体" w:hAnsi="宋体"/>
          <w:snapToGrid w:val="0"/>
          <w:sz w:val="21"/>
          <w:szCs w:val="21"/>
        </w:rPr>
        <w:t>、</w:t>
      </w:r>
      <w:r>
        <w:rPr>
          <w:rFonts w:hint="eastAsia" w:ascii="宋体" w:hAnsi="宋体"/>
          <w:snapToGrid w:val="0"/>
          <w:sz w:val="21"/>
          <w:szCs w:val="21"/>
        </w:rPr>
        <w:t>目标需求</w:t>
      </w:r>
      <w:r>
        <w:rPr>
          <w:sz w:val="21"/>
          <w:szCs w:val="21"/>
        </w:rPr>
        <w:tab/>
      </w:r>
      <w:r>
        <w:rPr>
          <w:sz w:val="21"/>
          <w:szCs w:val="21"/>
        </w:rPr>
        <w:fldChar w:fldCharType="begin"/>
      </w:r>
      <w:r>
        <w:rPr>
          <w:sz w:val="21"/>
          <w:szCs w:val="21"/>
        </w:rPr>
        <w:instrText xml:space="preserve"> PAGEREF _Toc9375 \h </w:instrText>
      </w:r>
      <w:r>
        <w:rPr>
          <w:sz w:val="21"/>
          <w:szCs w:val="21"/>
        </w:rPr>
        <w:fldChar w:fldCharType="separate"/>
      </w:r>
      <w:r>
        <w:rPr>
          <w:sz w:val="21"/>
          <w:szCs w:val="21"/>
        </w:rPr>
        <w:t>42</w:t>
      </w:r>
      <w:r>
        <w:rPr>
          <w:sz w:val="21"/>
          <w:szCs w:val="21"/>
        </w:rPr>
        <w:fldChar w:fldCharType="end"/>
      </w:r>
      <w:r>
        <w:rPr>
          <w:sz w:val="21"/>
          <w:szCs w:val="21"/>
        </w:rPr>
        <w:fldChar w:fldCharType="end"/>
      </w:r>
    </w:p>
    <w:p w14:paraId="7A09C9C5">
      <w:pPr>
        <w:pStyle w:val="24"/>
        <w:tabs>
          <w:tab w:val="right" w:leader="dot" w:pos="9071"/>
        </w:tabs>
        <w:spacing w:line="360" w:lineRule="auto"/>
        <w:rPr>
          <w:sz w:val="21"/>
          <w:szCs w:val="21"/>
        </w:rPr>
      </w:pPr>
      <w:r>
        <w:fldChar w:fldCharType="begin"/>
      </w:r>
      <w:r>
        <w:instrText xml:space="preserve"> HYPERLINK \l "_Toc4939" </w:instrText>
      </w:r>
      <w:r>
        <w:fldChar w:fldCharType="separate"/>
      </w:r>
      <w:r>
        <w:rPr>
          <w:rFonts w:hint="eastAsia" w:ascii="宋体" w:hAnsi="宋体"/>
          <w:snapToGrid w:val="0"/>
          <w:sz w:val="21"/>
          <w:szCs w:val="21"/>
        </w:rPr>
        <w:t>五、人员组成</w:t>
      </w:r>
      <w:r>
        <w:rPr>
          <w:sz w:val="21"/>
          <w:szCs w:val="21"/>
        </w:rPr>
        <w:tab/>
      </w:r>
      <w:r>
        <w:rPr>
          <w:sz w:val="21"/>
          <w:szCs w:val="21"/>
        </w:rPr>
        <w:fldChar w:fldCharType="begin"/>
      </w:r>
      <w:r>
        <w:rPr>
          <w:sz w:val="21"/>
          <w:szCs w:val="21"/>
        </w:rPr>
        <w:instrText xml:space="preserve"> PAGEREF _Toc4939 \h </w:instrText>
      </w:r>
      <w:r>
        <w:rPr>
          <w:sz w:val="21"/>
          <w:szCs w:val="21"/>
        </w:rPr>
        <w:fldChar w:fldCharType="separate"/>
      </w:r>
      <w:r>
        <w:rPr>
          <w:sz w:val="21"/>
          <w:szCs w:val="21"/>
        </w:rPr>
        <w:t>43</w:t>
      </w:r>
      <w:r>
        <w:rPr>
          <w:sz w:val="21"/>
          <w:szCs w:val="21"/>
        </w:rPr>
        <w:fldChar w:fldCharType="end"/>
      </w:r>
      <w:r>
        <w:rPr>
          <w:sz w:val="21"/>
          <w:szCs w:val="21"/>
        </w:rPr>
        <w:fldChar w:fldCharType="end"/>
      </w:r>
    </w:p>
    <w:p w14:paraId="02A49E10">
      <w:pPr>
        <w:pStyle w:val="24"/>
        <w:tabs>
          <w:tab w:val="right" w:leader="dot" w:pos="9071"/>
        </w:tabs>
        <w:spacing w:line="360" w:lineRule="auto"/>
        <w:rPr>
          <w:sz w:val="21"/>
          <w:szCs w:val="21"/>
        </w:rPr>
      </w:pPr>
      <w:r>
        <w:fldChar w:fldCharType="begin"/>
      </w:r>
      <w:r>
        <w:instrText xml:space="preserve"> HYPERLINK \l "_Toc28402" </w:instrText>
      </w:r>
      <w:r>
        <w:fldChar w:fldCharType="separate"/>
      </w:r>
      <w:r>
        <w:rPr>
          <w:rFonts w:hint="eastAsia" w:ascii="宋体" w:hAnsi="宋体"/>
          <w:snapToGrid w:val="0"/>
          <w:sz w:val="21"/>
          <w:szCs w:val="21"/>
        </w:rPr>
        <w:t>六、服务</w:t>
      </w:r>
      <w:r>
        <w:rPr>
          <w:rFonts w:ascii="宋体" w:hAnsi="宋体"/>
          <w:snapToGrid w:val="0"/>
          <w:sz w:val="21"/>
          <w:szCs w:val="21"/>
        </w:rPr>
        <w:t>质量要求</w:t>
      </w:r>
      <w:r>
        <w:rPr>
          <w:sz w:val="21"/>
          <w:szCs w:val="21"/>
        </w:rPr>
        <w:tab/>
      </w:r>
      <w:r>
        <w:rPr>
          <w:sz w:val="21"/>
          <w:szCs w:val="21"/>
        </w:rPr>
        <w:fldChar w:fldCharType="begin"/>
      </w:r>
      <w:r>
        <w:rPr>
          <w:sz w:val="21"/>
          <w:szCs w:val="21"/>
        </w:rPr>
        <w:instrText xml:space="preserve"> PAGEREF _Toc28402 \h </w:instrText>
      </w:r>
      <w:r>
        <w:rPr>
          <w:sz w:val="21"/>
          <w:szCs w:val="21"/>
        </w:rPr>
        <w:fldChar w:fldCharType="separate"/>
      </w:r>
      <w:r>
        <w:rPr>
          <w:sz w:val="21"/>
          <w:szCs w:val="21"/>
        </w:rPr>
        <w:t>43</w:t>
      </w:r>
      <w:r>
        <w:rPr>
          <w:sz w:val="21"/>
          <w:szCs w:val="21"/>
        </w:rPr>
        <w:fldChar w:fldCharType="end"/>
      </w:r>
      <w:r>
        <w:rPr>
          <w:sz w:val="21"/>
          <w:szCs w:val="21"/>
        </w:rPr>
        <w:fldChar w:fldCharType="end"/>
      </w:r>
    </w:p>
    <w:p w14:paraId="600DE079">
      <w:pPr>
        <w:pStyle w:val="24"/>
        <w:tabs>
          <w:tab w:val="right" w:leader="dot" w:pos="9071"/>
        </w:tabs>
        <w:spacing w:line="360" w:lineRule="auto"/>
        <w:rPr>
          <w:sz w:val="21"/>
          <w:szCs w:val="21"/>
        </w:rPr>
      </w:pPr>
      <w:r>
        <w:fldChar w:fldCharType="begin"/>
      </w:r>
      <w:r>
        <w:instrText xml:space="preserve"> HYPERLINK \l "_Toc6697" </w:instrText>
      </w:r>
      <w:r>
        <w:fldChar w:fldCharType="separate"/>
      </w:r>
      <w:r>
        <w:rPr>
          <w:rFonts w:hint="eastAsia" w:ascii="宋体" w:hAnsi="宋体"/>
          <w:snapToGrid w:val="0"/>
          <w:sz w:val="21"/>
          <w:szCs w:val="21"/>
        </w:rPr>
        <w:t>七</w:t>
      </w:r>
      <w:r>
        <w:rPr>
          <w:rFonts w:ascii="宋体" w:hAnsi="宋体"/>
          <w:snapToGrid w:val="0"/>
          <w:sz w:val="21"/>
          <w:szCs w:val="21"/>
        </w:rPr>
        <w:t>、</w:t>
      </w:r>
      <w:r>
        <w:rPr>
          <w:rFonts w:hint="eastAsia" w:ascii="宋体" w:hAnsi="宋体"/>
          <w:snapToGrid w:val="0"/>
          <w:sz w:val="21"/>
          <w:szCs w:val="21"/>
        </w:rPr>
        <w:t>项目验收要求</w:t>
      </w:r>
      <w:r>
        <w:rPr>
          <w:sz w:val="21"/>
          <w:szCs w:val="21"/>
        </w:rPr>
        <w:tab/>
      </w:r>
      <w:r>
        <w:rPr>
          <w:sz w:val="21"/>
          <w:szCs w:val="21"/>
        </w:rPr>
        <w:fldChar w:fldCharType="begin"/>
      </w:r>
      <w:r>
        <w:rPr>
          <w:sz w:val="21"/>
          <w:szCs w:val="21"/>
        </w:rPr>
        <w:instrText xml:space="preserve"> PAGEREF _Toc6697 \h </w:instrText>
      </w:r>
      <w:r>
        <w:rPr>
          <w:sz w:val="21"/>
          <w:szCs w:val="21"/>
        </w:rPr>
        <w:fldChar w:fldCharType="separate"/>
      </w:r>
      <w:r>
        <w:rPr>
          <w:sz w:val="21"/>
          <w:szCs w:val="21"/>
        </w:rPr>
        <w:t>43</w:t>
      </w:r>
      <w:r>
        <w:rPr>
          <w:sz w:val="21"/>
          <w:szCs w:val="21"/>
        </w:rPr>
        <w:fldChar w:fldCharType="end"/>
      </w:r>
      <w:r>
        <w:rPr>
          <w:sz w:val="21"/>
          <w:szCs w:val="21"/>
        </w:rPr>
        <w:fldChar w:fldCharType="end"/>
      </w:r>
    </w:p>
    <w:p w14:paraId="4C3C1B90">
      <w:pPr>
        <w:pStyle w:val="40"/>
        <w:tabs>
          <w:tab w:val="right" w:leader="dot" w:pos="9071"/>
        </w:tabs>
        <w:spacing w:line="360" w:lineRule="auto"/>
        <w:rPr>
          <w:sz w:val="21"/>
          <w:szCs w:val="21"/>
        </w:rPr>
      </w:pPr>
      <w:r>
        <w:fldChar w:fldCharType="begin"/>
      </w:r>
      <w:r>
        <w:instrText xml:space="preserve"> HYPERLINK \l "_Toc32365" </w:instrText>
      </w:r>
      <w:r>
        <w:fldChar w:fldCharType="separate"/>
      </w:r>
      <w:r>
        <w:rPr>
          <w:rFonts w:hint="eastAsia" w:ascii="黑体"/>
          <w:snapToGrid w:val="0"/>
          <w:sz w:val="21"/>
          <w:szCs w:val="21"/>
        </w:rPr>
        <w:t>第七章  投标文件格式</w:t>
      </w:r>
      <w:r>
        <w:rPr>
          <w:sz w:val="21"/>
          <w:szCs w:val="21"/>
        </w:rPr>
        <w:tab/>
      </w:r>
      <w:r>
        <w:rPr>
          <w:sz w:val="21"/>
          <w:szCs w:val="21"/>
        </w:rPr>
        <w:fldChar w:fldCharType="begin"/>
      </w:r>
      <w:r>
        <w:rPr>
          <w:sz w:val="21"/>
          <w:szCs w:val="21"/>
        </w:rPr>
        <w:instrText xml:space="preserve"> PAGEREF _Toc32365 \h </w:instrText>
      </w:r>
      <w:r>
        <w:rPr>
          <w:sz w:val="21"/>
          <w:szCs w:val="21"/>
        </w:rPr>
        <w:fldChar w:fldCharType="separate"/>
      </w:r>
      <w:r>
        <w:rPr>
          <w:sz w:val="21"/>
          <w:szCs w:val="21"/>
        </w:rPr>
        <w:t>45</w:t>
      </w:r>
      <w:r>
        <w:rPr>
          <w:sz w:val="21"/>
          <w:szCs w:val="21"/>
        </w:rPr>
        <w:fldChar w:fldCharType="end"/>
      </w:r>
      <w:r>
        <w:rPr>
          <w:sz w:val="21"/>
          <w:szCs w:val="21"/>
        </w:rPr>
        <w:fldChar w:fldCharType="end"/>
      </w:r>
    </w:p>
    <w:p w14:paraId="22F13061">
      <w:pPr>
        <w:pStyle w:val="24"/>
        <w:tabs>
          <w:tab w:val="right" w:leader="dot" w:pos="9071"/>
        </w:tabs>
        <w:spacing w:line="360" w:lineRule="auto"/>
        <w:rPr>
          <w:sz w:val="21"/>
          <w:szCs w:val="21"/>
        </w:rPr>
      </w:pPr>
      <w:r>
        <w:fldChar w:fldCharType="begin"/>
      </w:r>
      <w:r>
        <w:instrText xml:space="preserve"> HYPERLINK \l "_Toc32409" </w:instrText>
      </w:r>
      <w:r>
        <w:fldChar w:fldCharType="separate"/>
      </w:r>
      <w:r>
        <w:rPr>
          <w:rFonts w:hint="eastAsia"/>
          <w:snapToGrid w:val="0"/>
          <w:sz w:val="21"/>
          <w:szCs w:val="21"/>
        </w:rPr>
        <w:t>一、投标报价（唱标）一览表</w:t>
      </w:r>
      <w:r>
        <w:rPr>
          <w:sz w:val="21"/>
          <w:szCs w:val="21"/>
        </w:rPr>
        <w:tab/>
      </w:r>
      <w:r>
        <w:rPr>
          <w:sz w:val="21"/>
          <w:szCs w:val="21"/>
        </w:rPr>
        <w:fldChar w:fldCharType="begin"/>
      </w:r>
      <w:r>
        <w:rPr>
          <w:sz w:val="21"/>
          <w:szCs w:val="21"/>
        </w:rPr>
        <w:instrText xml:space="preserve"> PAGEREF _Toc32409 \h </w:instrText>
      </w:r>
      <w:r>
        <w:rPr>
          <w:sz w:val="21"/>
          <w:szCs w:val="21"/>
        </w:rPr>
        <w:fldChar w:fldCharType="separate"/>
      </w:r>
      <w:r>
        <w:rPr>
          <w:sz w:val="21"/>
          <w:szCs w:val="21"/>
        </w:rPr>
        <w:t>46</w:t>
      </w:r>
      <w:r>
        <w:rPr>
          <w:sz w:val="21"/>
          <w:szCs w:val="21"/>
        </w:rPr>
        <w:fldChar w:fldCharType="end"/>
      </w:r>
      <w:r>
        <w:rPr>
          <w:sz w:val="21"/>
          <w:szCs w:val="21"/>
        </w:rPr>
        <w:fldChar w:fldCharType="end"/>
      </w:r>
    </w:p>
    <w:p w14:paraId="4F840F44">
      <w:pPr>
        <w:pStyle w:val="24"/>
        <w:tabs>
          <w:tab w:val="right" w:leader="dot" w:pos="9071"/>
        </w:tabs>
        <w:spacing w:line="360" w:lineRule="auto"/>
        <w:rPr>
          <w:sz w:val="21"/>
          <w:szCs w:val="21"/>
        </w:rPr>
      </w:pPr>
      <w:r>
        <w:fldChar w:fldCharType="begin"/>
      </w:r>
      <w:r>
        <w:instrText xml:space="preserve"> HYPERLINK \l "_Toc6940" </w:instrText>
      </w:r>
      <w:r>
        <w:fldChar w:fldCharType="separate"/>
      </w:r>
      <w:r>
        <w:rPr>
          <w:rFonts w:hint="eastAsia"/>
          <w:snapToGrid w:val="0"/>
          <w:sz w:val="21"/>
          <w:szCs w:val="21"/>
        </w:rPr>
        <w:t>二、资格审查部分格式</w:t>
      </w:r>
      <w:r>
        <w:rPr>
          <w:sz w:val="21"/>
          <w:szCs w:val="21"/>
        </w:rPr>
        <w:tab/>
      </w:r>
      <w:r>
        <w:rPr>
          <w:sz w:val="21"/>
          <w:szCs w:val="21"/>
        </w:rPr>
        <w:fldChar w:fldCharType="begin"/>
      </w:r>
      <w:r>
        <w:rPr>
          <w:sz w:val="21"/>
          <w:szCs w:val="21"/>
        </w:rPr>
        <w:instrText xml:space="preserve"> PAGEREF _Toc6940 \h </w:instrText>
      </w:r>
      <w:r>
        <w:rPr>
          <w:sz w:val="21"/>
          <w:szCs w:val="21"/>
        </w:rPr>
        <w:fldChar w:fldCharType="separate"/>
      </w:r>
      <w:r>
        <w:rPr>
          <w:sz w:val="21"/>
          <w:szCs w:val="21"/>
        </w:rPr>
        <w:t>47</w:t>
      </w:r>
      <w:r>
        <w:rPr>
          <w:sz w:val="21"/>
          <w:szCs w:val="21"/>
        </w:rPr>
        <w:fldChar w:fldCharType="end"/>
      </w:r>
      <w:r>
        <w:rPr>
          <w:sz w:val="21"/>
          <w:szCs w:val="21"/>
        </w:rPr>
        <w:fldChar w:fldCharType="end"/>
      </w:r>
    </w:p>
    <w:p w14:paraId="1C05C046">
      <w:pPr>
        <w:pStyle w:val="24"/>
        <w:tabs>
          <w:tab w:val="right" w:leader="dot" w:pos="9071"/>
        </w:tabs>
        <w:spacing w:line="360" w:lineRule="auto"/>
        <w:rPr>
          <w:sz w:val="21"/>
          <w:szCs w:val="21"/>
        </w:rPr>
      </w:pPr>
      <w:r>
        <w:fldChar w:fldCharType="begin"/>
      </w:r>
      <w:r>
        <w:instrText xml:space="preserve"> HYPERLINK \l "_Toc17069" </w:instrText>
      </w:r>
      <w:r>
        <w:fldChar w:fldCharType="separate"/>
      </w:r>
      <w:r>
        <w:rPr>
          <w:rFonts w:hint="eastAsia"/>
          <w:bCs/>
          <w:snapToGrid w:val="0"/>
          <w:sz w:val="21"/>
          <w:szCs w:val="21"/>
        </w:rPr>
        <w:t>三、商务部分格式</w:t>
      </w:r>
      <w:r>
        <w:rPr>
          <w:sz w:val="21"/>
          <w:szCs w:val="21"/>
        </w:rPr>
        <w:tab/>
      </w:r>
      <w:r>
        <w:rPr>
          <w:sz w:val="21"/>
          <w:szCs w:val="21"/>
        </w:rPr>
        <w:fldChar w:fldCharType="begin"/>
      </w:r>
      <w:r>
        <w:rPr>
          <w:sz w:val="21"/>
          <w:szCs w:val="21"/>
        </w:rPr>
        <w:instrText xml:space="preserve"> PAGEREF _Toc17069 \h </w:instrText>
      </w:r>
      <w:r>
        <w:rPr>
          <w:sz w:val="21"/>
          <w:szCs w:val="21"/>
        </w:rPr>
        <w:fldChar w:fldCharType="separate"/>
      </w:r>
      <w:r>
        <w:rPr>
          <w:sz w:val="21"/>
          <w:szCs w:val="21"/>
        </w:rPr>
        <w:t>51</w:t>
      </w:r>
      <w:r>
        <w:rPr>
          <w:sz w:val="21"/>
          <w:szCs w:val="21"/>
        </w:rPr>
        <w:fldChar w:fldCharType="end"/>
      </w:r>
      <w:r>
        <w:rPr>
          <w:sz w:val="21"/>
          <w:szCs w:val="21"/>
        </w:rPr>
        <w:fldChar w:fldCharType="end"/>
      </w:r>
    </w:p>
    <w:p w14:paraId="1378D919">
      <w:pPr>
        <w:pStyle w:val="24"/>
        <w:tabs>
          <w:tab w:val="right" w:leader="dot" w:pos="9071"/>
        </w:tabs>
        <w:spacing w:line="360" w:lineRule="auto"/>
        <w:rPr>
          <w:sz w:val="21"/>
          <w:szCs w:val="21"/>
        </w:rPr>
      </w:pPr>
      <w:r>
        <w:fldChar w:fldCharType="begin"/>
      </w:r>
      <w:r>
        <w:instrText xml:space="preserve"> HYPERLINK \l "_Toc6171" </w:instrText>
      </w:r>
      <w:r>
        <w:fldChar w:fldCharType="separate"/>
      </w:r>
      <w:r>
        <w:rPr>
          <w:rFonts w:hint="eastAsia"/>
          <w:bCs/>
          <w:snapToGrid w:val="0"/>
          <w:sz w:val="21"/>
          <w:szCs w:val="21"/>
        </w:rPr>
        <w:t>四、技术部分格式</w:t>
      </w:r>
      <w:r>
        <w:rPr>
          <w:sz w:val="21"/>
          <w:szCs w:val="21"/>
        </w:rPr>
        <w:tab/>
      </w:r>
      <w:r>
        <w:rPr>
          <w:sz w:val="21"/>
          <w:szCs w:val="21"/>
        </w:rPr>
        <w:fldChar w:fldCharType="begin"/>
      </w:r>
      <w:r>
        <w:rPr>
          <w:sz w:val="21"/>
          <w:szCs w:val="21"/>
        </w:rPr>
        <w:instrText xml:space="preserve"> PAGEREF _Toc6171 \h </w:instrText>
      </w:r>
      <w:r>
        <w:rPr>
          <w:sz w:val="21"/>
          <w:szCs w:val="21"/>
        </w:rPr>
        <w:fldChar w:fldCharType="separate"/>
      </w:r>
      <w:r>
        <w:rPr>
          <w:sz w:val="21"/>
          <w:szCs w:val="21"/>
        </w:rPr>
        <w:t>58</w:t>
      </w:r>
      <w:r>
        <w:rPr>
          <w:sz w:val="21"/>
          <w:szCs w:val="21"/>
        </w:rPr>
        <w:fldChar w:fldCharType="end"/>
      </w:r>
      <w:r>
        <w:rPr>
          <w:sz w:val="21"/>
          <w:szCs w:val="21"/>
        </w:rPr>
        <w:fldChar w:fldCharType="end"/>
      </w:r>
    </w:p>
    <w:p w14:paraId="7E8A5967">
      <w:pPr>
        <w:snapToGrid w:val="0"/>
        <w:spacing w:line="360" w:lineRule="auto"/>
        <w:rPr>
          <w:rFonts w:ascii="宋体" w:hAnsi="宋体" w:cs="宋体"/>
          <w:bCs/>
          <w:caps/>
          <w:snapToGrid w:val="0"/>
          <w:kern w:val="0"/>
          <w:szCs w:val="21"/>
        </w:rPr>
      </w:pPr>
      <w:r>
        <w:rPr>
          <w:rFonts w:hint="eastAsia" w:cs="宋体" w:asciiTheme="minorEastAsia" w:hAnsiTheme="minorEastAsia" w:eastAsiaTheme="minorEastAsia"/>
          <w:caps/>
          <w:snapToGrid w:val="0"/>
          <w:kern w:val="0"/>
          <w:szCs w:val="21"/>
        </w:rPr>
        <w:fldChar w:fldCharType="end"/>
      </w:r>
    </w:p>
    <w:p w14:paraId="6059EED4">
      <w:pPr>
        <w:pStyle w:val="3"/>
        <w:widowControl w:val="0"/>
        <w:snapToGrid w:val="0"/>
        <w:spacing w:line="360" w:lineRule="auto"/>
        <w:jc w:val="center"/>
        <w:rPr>
          <w:rFonts w:ascii="黑体"/>
          <w:snapToGrid w:val="0"/>
        </w:rPr>
      </w:pPr>
      <w:bookmarkStart w:id="4" w:name="_Toc260907959"/>
      <w:bookmarkStart w:id="5" w:name="_Toc260908175"/>
      <w:r>
        <w:rPr>
          <w:rFonts w:ascii="黑体"/>
          <w:snapToGrid w:val="0"/>
        </w:rPr>
        <w:br w:type="page"/>
      </w:r>
      <w:bookmarkStart w:id="6" w:name="_Toc520748995"/>
      <w:bookmarkStart w:id="7" w:name="_Toc9165"/>
      <w:r>
        <w:rPr>
          <w:rFonts w:hint="eastAsia" w:ascii="黑体"/>
          <w:snapToGrid w:val="0"/>
        </w:rPr>
        <w:t>第一章  招标公告</w:t>
      </w:r>
      <w:bookmarkEnd w:id="4"/>
      <w:bookmarkEnd w:id="5"/>
      <w:bookmarkEnd w:id="6"/>
      <w:bookmarkEnd w:id="7"/>
    </w:p>
    <w:p w14:paraId="30766CC2">
      <w:pPr>
        <w:pStyle w:val="18"/>
      </w:pPr>
      <w:bookmarkStart w:id="8" w:name="_Toc28359002"/>
      <w:bookmarkStart w:id="9" w:name="_Toc18306"/>
      <w:bookmarkStart w:id="10" w:name="_Toc270"/>
      <w:bookmarkStart w:id="11" w:name="_Toc24107"/>
      <w:bookmarkStart w:id="12" w:name="_Toc71823580"/>
      <w:bookmarkStart w:id="13" w:name="_Toc28359079"/>
      <w:bookmarkStart w:id="14" w:name="_Toc35393621"/>
      <w:bookmarkStart w:id="15" w:name="_Toc35393790"/>
      <w:bookmarkStart w:id="16" w:name="_Hlk24379207"/>
      <w:r>
        <w:rPr>
          <w:rFonts w:hint="eastAsia"/>
          <w:sz w:val="28"/>
          <w:szCs w:val="28"/>
          <w:lang w:eastAsia="zh-CN"/>
        </w:rPr>
        <w:t>云南开放大学云南省干部在线学习学院2025年建设项目—学习平台设备运维项目（二次）</w:t>
      </w:r>
      <w:r>
        <mc:AlternateContent>
          <mc:Choice Requires="wps">
            <w:drawing>
              <wp:inline distT="0" distB="0" distL="114300" distR="114300">
                <wp:extent cx="5768975" cy="1085850"/>
                <wp:effectExtent l="4445" t="4445" r="17780" b="6985"/>
                <wp:docPr id="1" name="文本框 2"/>
                <wp:cNvGraphicFramePr/>
                <a:graphic xmlns:a="http://schemas.openxmlformats.org/drawingml/2006/main">
                  <a:graphicData uri="http://schemas.microsoft.com/office/word/2010/wordprocessingShape">
                    <wps:wsp>
                      <wps:cNvSpPr txBox="1"/>
                      <wps:spPr>
                        <a:xfrm>
                          <a:off x="0" y="0"/>
                          <a:ext cx="5768975" cy="108585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2FBC0E4">
                            <w:pPr>
                              <w:spacing w:line="360" w:lineRule="auto"/>
                            </w:pPr>
                            <w:r>
                              <w:rPr>
                                <w:rFonts w:hint="eastAsia"/>
                              </w:rPr>
                              <w:t>项目概况</w:t>
                            </w:r>
                            <w:r>
                              <w:t>：</w:t>
                            </w:r>
                          </w:p>
                          <w:p w14:paraId="30F73D44">
                            <w:pPr>
                              <w:spacing w:line="360" w:lineRule="auto"/>
                              <w:ind w:firstLine="420" w:firstLineChars="200"/>
                            </w:pPr>
                            <w:r>
                              <w:rPr>
                                <w:rFonts w:hint="eastAsia"/>
                              </w:rPr>
                              <w:t>“</w:t>
                            </w:r>
                            <w:r>
                              <w:rPr>
                                <w:rFonts w:hint="eastAsia"/>
                                <w:lang w:eastAsia="zh-CN"/>
                              </w:rPr>
                              <w:t>云南开放大学云南省干部在线学习学院2025年建设项目—学习平台设备运维项目（二次）</w:t>
                            </w:r>
                            <w:r>
                              <w:rPr>
                                <w:rFonts w:hint="eastAsia"/>
                              </w:rPr>
                              <w:t>”的潜在供应商应登录政采云平台（http：//www.zcygov.cn）获取招标文件，并于2025年</w:t>
                            </w:r>
                            <w:r>
                              <w:rPr>
                                <w:rFonts w:hint="eastAsia"/>
                                <w:lang w:val="en-US" w:eastAsia="zh-CN"/>
                              </w:rPr>
                              <w:t>7</w:t>
                            </w:r>
                            <w:r>
                              <w:rPr>
                                <w:rFonts w:hint="eastAsia"/>
                              </w:rPr>
                              <w:t>月</w:t>
                            </w:r>
                            <w:r>
                              <w:rPr>
                                <w:rFonts w:hint="eastAsia"/>
                                <w:lang w:val="en-US" w:eastAsia="zh-CN"/>
                              </w:rPr>
                              <w:t>2</w:t>
                            </w:r>
                            <w:r>
                              <w:rPr>
                                <w:rFonts w:hint="eastAsia"/>
                              </w:rPr>
                              <w:t xml:space="preserve">1日上午9:00（北京时间）前递交投标文件。 </w:t>
                            </w:r>
                          </w:p>
                        </w:txbxContent>
                      </wps:txbx>
                      <wps:bodyPr upright="1"/>
                    </wps:wsp>
                  </a:graphicData>
                </a:graphic>
              </wp:inline>
            </w:drawing>
          </mc:Choice>
          <mc:Fallback>
            <w:pict>
              <v:shape id="文本框 2" o:spid="_x0000_s1026" o:spt="202" type="#_x0000_t202" style="height:85.5pt;width:454.25pt;" fillcolor="#FFFFFF" filled="t" stroked="t" coordsize="21600,21600" o:gfxdata="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jo04rdUAAAAFAQAADwAAAAAAAAABACAAAAAi&#10;AAAAZHJzL2Rvd25yZXYueG1sUEsBAhQAFAAAAAgAh07iQMkBKZINAgAANwQAAA4AAAAAAAAAAQAg&#10;AAAAJAEAAGRycy9lMm9Eb2MueG1sUEsFBgAAAAAGAAYAWQEAAKMFAAAAAA==&#10;">
                <v:fill on="t" focussize="0,0"/>
                <v:stroke color="#000000" joinstyle="miter"/>
                <v:imagedata o:title=""/>
                <o:lock v:ext="edit" aspectratio="f"/>
                <v:textbox>
                  <w:txbxContent>
                    <w:p w14:paraId="32FBC0E4">
                      <w:pPr>
                        <w:spacing w:line="360" w:lineRule="auto"/>
                      </w:pPr>
                      <w:r>
                        <w:rPr>
                          <w:rFonts w:hint="eastAsia"/>
                        </w:rPr>
                        <w:t>项目概况</w:t>
                      </w:r>
                      <w:r>
                        <w:t>：</w:t>
                      </w:r>
                    </w:p>
                    <w:p w14:paraId="30F73D44">
                      <w:pPr>
                        <w:spacing w:line="360" w:lineRule="auto"/>
                        <w:ind w:firstLine="420" w:firstLineChars="200"/>
                      </w:pPr>
                      <w:r>
                        <w:rPr>
                          <w:rFonts w:hint="eastAsia"/>
                        </w:rPr>
                        <w:t>“</w:t>
                      </w:r>
                      <w:r>
                        <w:rPr>
                          <w:rFonts w:hint="eastAsia"/>
                          <w:lang w:eastAsia="zh-CN"/>
                        </w:rPr>
                        <w:t>云南开放大学云南省干部在线学习学院2025年建设项目—学习平台设备运维项目（二次）</w:t>
                      </w:r>
                      <w:r>
                        <w:rPr>
                          <w:rFonts w:hint="eastAsia"/>
                        </w:rPr>
                        <w:t>”的潜在供应商应登录政采云平台（http：//www.zcygov.cn）获取招标文件，并于2025年</w:t>
                      </w:r>
                      <w:r>
                        <w:rPr>
                          <w:rFonts w:hint="eastAsia"/>
                          <w:lang w:val="en-US" w:eastAsia="zh-CN"/>
                        </w:rPr>
                        <w:t>7</w:t>
                      </w:r>
                      <w:r>
                        <w:rPr>
                          <w:rFonts w:hint="eastAsia"/>
                        </w:rPr>
                        <w:t>月</w:t>
                      </w:r>
                      <w:r>
                        <w:rPr>
                          <w:rFonts w:hint="eastAsia"/>
                          <w:lang w:val="en-US" w:eastAsia="zh-CN"/>
                        </w:rPr>
                        <w:t>2</w:t>
                      </w:r>
                      <w:r>
                        <w:rPr>
                          <w:rFonts w:hint="eastAsia"/>
                        </w:rPr>
                        <w:t xml:space="preserve">1日上午9:00（北京时间）前递交投标文件。 </w:t>
                      </w:r>
                    </w:p>
                  </w:txbxContent>
                </v:textbox>
                <w10:wrap type="none"/>
                <w10:anchorlock/>
              </v:shape>
            </w:pict>
          </mc:Fallback>
        </mc:AlternateContent>
      </w:r>
    </w:p>
    <w:p w14:paraId="72E6BE97">
      <w:pPr>
        <w:wordWrap w:val="0"/>
        <w:spacing w:before="120" w:beforeLines="50" w:line="360" w:lineRule="auto"/>
        <w:rPr>
          <w:b/>
          <w:bCs/>
          <w:snapToGrid w:val="0"/>
          <w:kern w:val="0"/>
          <w:szCs w:val="21"/>
        </w:rPr>
      </w:pPr>
      <w:r>
        <w:rPr>
          <w:rFonts w:hint="eastAsia"/>
          <w:b/>
          <w:bCs/>
          <w:snapToGrid w:val="0"/>
          <w:kern w:val="0"/>
          <w:szCs w:val="21"/>
        </w:rPr>
        <w:t>一、项目基本情况</w:t>
      </w:r>
      <w:bookmarkEnd w:id="8"/>
      <w:bookmarkEnd w:id="9"/>
      <w:bookmarkEnd w:id="10"/>
      <w:bookmarkEnd w:id="11"/>
      <w:bookmarkEnd w:id="12"/>
      <w:bookmarkEnd w:id="13"/>
      <w:bookmarkEnd w:id="14"/>
      <w:bookmarkEnd w:id="15"/>
    </w:p>
    <w:p w14:paraId="2F33E31C">
      <w:pPr>
        <w:wordWrap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1、项目编号：YNZC2025-G3-03800-GNZB-0009。</w:t>
      </w:r>
    </w:p>
    <w:p w14:paraId="3B941D70">
      <w:pPr>
        <w:wordWrap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2、项目名称：</w:t>
      </w:r>
      <w:r>
        <w:rPr>
          <w:rFonts w:hint="eastAsia" w:ascii="宋体" w:hAnsi="宋体" w:cs="宋体"/>
          <w:snapToGrid w:val="0"/>
          <w:kern w:val="0"/>
          <w:szCs w:val="21"/>
          <w:lang w:eastAsia="zh-CN"/>
        </w:rPr>
        <w:t>云南开放大学云南省干部在线学习学院2025年建设项目—学习平台设备运维项目（二次）</w:t>
      </w:r>
      <w:r>
        <w:rPr>
          <w:rFonts w:hint="eastAsia" w:ascii="宋体" w:hAnsi="宋体" w:cs="宋体"/>
          <w:snapToGrid w:val="0"/>
          <w:kern w:val="0"/>
          <w:szCs w:val="21"/>
        </w:rPr>
        <w:t>。</w:t>
      </w:r>
    </w:p>
    <w:p w14:paraId="1122E391">
      <w:pPr>
        <w:wordWrap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3、采购方式：公开招标。</w:t>
      </w:r>
    </w:p>
    <w:bookmarkEnd w:id="16"/>
    <w:p w14:paraId="21BE7F2A">
      <w:pPr>
        <w:wordWrap w:val="0"/>
        <w:spacing w:line="360" w:lineRule="auto"/>
        <w:ind w:firstLine="420" w:firstLineChars="200"/>
        <w:rPr>
          <w:rFonts w:ascii="宋体" w:hAnsi="宋体" w:cs="宋体"/>
          <w:snapToGrid w:val="0"/>
          <w:kern w:val="0"/>
          <w:szCs w:val="21"/>
        </w:rPr>
      </w:pPr>
      <w:r>
        <w:rPr>
          <w:rFonts w:ascii="宋体" w:hAnsi="宋体" w:cs="宋体"/>
          <w:snapToGrid w:val="0"/>
          <w:kern w:val="0"/>
          <w:szCs w:val="21"/>
        </w:rPr>
        <w:t>4</w:t>
      </w:r>
      <w:r>
        <w:rPr>
          <w:rFonts w:hint="eastAsia" w:ascii="宋体" w:hAnsi="宋体" w:cs="宋体"/>
          <w:snapToGrid w:val="0"/>
          <w:kern w:val="0"/>
          <w:szCs w:val="21"/>
        </w:rPr>
        <w:t>、预算金额：</w:t>
      </w:r>
      <w:r>
        <w:rPr>
          <w:rFonts w:ascii="宋体" w:hAnsi="宋体" w:cs="宋体"/>
          <w:snapToGrid w:val="0"/>
          <w:kern w:val="0"/>
          <w:szCs w:val="21"/>
        </w:rPr>
        <w:t>420,000.00</w:t>
      </w:r>
      <w:r>
        <w:rPr>
          <w:rFonts w:hint="eastAsia" w:ascii="宋体" w:hAnsi="宋体" w:cs="宋体"/>
          <w:snapToGrid w:val="0"/>
          <w:kern w:val="0"/>
          <w:szCs w:val="21"/>
        </w:rPr>
        <w:t>元。</w:t>
      </w:r>
    </w:p>
    <w:p w14:paraId="7F740A31">
      <w:pPr>
        <w:wordWrap w:val="0"/>
        <w:spacing w:line="360" w:lineRule="auto"/>
        <w:ind w:firstLine="420" w:firstLineChars="200"/>
        <w:rPr>
          <w:rFonts w:ascii="宋体" w:hAnsi="宋体" w:cs="宋体"/>
          <w:snapToGrid w:val="0"/>
          <w:kern w:val="0"/>
          <w:szCs w:val="21"/>
        </w:rPr>
      </w:pPr>
      <w:r>
        <w:rPr>
          <w:rFonts w:ascii="宋体" w:hAnsi="宋体" w:cs="宋体"/>
          <w:snapToGrid w:val="0"/>
          <w:kern w:val="0"/>
          <w:szCs w:val="21"/>
        </w:rPr>
        <w:t>5</w:t>
      </w:r>
      <w:r>
        <w:rPr>
          <w:rFonts w:hint="eastAsia" w:ascii="宋体" w:hAnsi="宋体" w:cs="宋体"/>
          <w:snapToGrid w:val="0"/>
          <w:kern w:val="0"/>
          <w:szCs w:val="21"/>
        </w:rPr>
        <w:t>、最高限价：420,000.00元。</w:t>
      </w:r>
    </w:p>
    <w:p w14:paraId="107799FE">
      <w:pPr>
        <w:wordWrap w:val="0"/>
        <w:spacing w:line="360" w:lineRule="auto"/>
        <w:ind w:firstLine="420" w:firstLineChars="200"/>
        <w:rPr>
          <w:rFonts w:ascii="宋体" w:hAnsi="宋体" w:cs="宋体"/>
          <w:snapToGrid w:val="0"/>
          <w:kern w:val="0"/>
          <w:szCs w:val="21"/>
        </w:rPr>
      </w:pPr>
      <w:r>
        <w:rPr>
          <w:rFonts w:ascii="宋体" w:hAnsi="宋体" w:cs="宋体"/>
          <w:snapToGrid w:val="0"/>
          <w:kern w:val="0"/>
          <w:szCs w:val="21"/>
        </w:rPr>
        <w:t>6</w:t>
      </w:r>
      <w:r>
        <w:rPr>
          <w:rFonts w:hint="eastAsia" w:ascii="宋体" w:hAnsi="宋体" w:cs="宋体"/>
          <w:snapToGrid w:val="0"/>
          <w:kern w:val="0"/>
          <w:szCs w:val="21"/>
        </w:rPr>
        <w:t>、采购内容：针对云南省干部在线学习平台（数据中心）提供一年期内的硬件设备维保和网络安全运维服务，包括：交换机、服务器、机房动力和环境集中监控动环系统、精密空调全套设备的维保；入侵检测系统、防火墙设备、数据库审计设备、运维堡垒机、日志审计系统、天融信安全隔离与信息交换系统的续保；网络安全运维服务等。</w:t>
      </w:r>
    </w:p>
    <w:p w14:paraId="627679DD">
      <w:pPr>
        <w:wordWrap w:val="0"/>
        <w:spacing w:line="360" w:lineRule="auto"/>
        <w:ind w:firstLine="420" w:firstLineChars="200"/>
        <w:rPr>
          <w:rFonts w:ascii="宋体" w:hAnsi="宋体" w:cs="宋体"/>
          <w:snapToGrid w:val="0"/>
          <w:kern w:val="0"/>
          <w:szCs w:val="21"/>
        </w:rPr>
      </w:pPr>
      <w:r>
        <w:rPr>
          <w:rFonts w:ascii="宋体" w:hAnsi="宋体" w:cs="宋体"/>
          <w:snapToGrid w:val="0"/>
          <w:kern w:val="0"/>
          <w:szCs w:val="21"/>
        </w:rPr>
        <w:t>7</w:t>
      </w:r>
      <w:r>
        <w:rPr>
          <w:rFonts w:hint="eastAsia" w:ascii="宋体" w:hAnsi="宋体" w:cs="宋体"/>
          <w:snapToGrid w:val="0"/>
          <w:kern w:val="0"/>
          <w:szCs w:val="21"/>
        </w:rPr>
        <w:t>、服务期限：合同签订后5个工作日内启用服务，服务期限为自启用服务之日起一年。</w:t>
      </w:r>
    </w:p>
    <w:p w14:paraId="4EC87D91">
      <w:pPr>
        <w:wordWrap w:val="0"/>
        <w:spacing w:line="360" w:lineRule="auto"/>
        <w:ind w:firstLine="420" w:firstLineChars="200"/>
        <w:rPr>
          <w:rFonts w:ascii="宋体" w:hAnsi="宋体" w:cs="宋体"/>
          <w:snapToGrid w:val="0"/>
          <w:kern w:val="0"/>
          <w:szCs w:val="21"/>
        </w:rPr>
      </w:pPr>
      <w:r>
        <w:rPr>
          <w:rFonts w:ascii="宋体" w:hAnsi="宋体" w:cs="宋体"/>
          <w:snapToGrid w:val="0"/>
          <w:kern w:val="0"/>
          <w:szCs w:val="21"/>
        </w:rPr>
        <w:t>8</w:t>
      </w:r>
      <w:r>
        <w:rPr>
          <w:rFonts w:hint="eastAsia" w:ascii="宋体" w:hAnsi="宋体" w:cs="宋体"/>
          <w:snapToGrid w:val="0"/>
          <w:kern w:val="0"/>
          <w:szCs w:val="21"/>
        </w:rPr>
        <w:t>、服务地点：云南开放大学学府校区。</w:t>
      </w:r>
    </w:p>
    <w:p w14:paraId="3480ECA9">
      <w:pPr>
        <w:wordWrap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9、资格审查：资格后审。</w:t>
      </w:r>
    </w:p>
    <w:p w14:paraId="40AF5088">
      <w:pPr>
        <w:wordWrap w:val="0"/>
        <w:spacing w:before="120" w:beforeLines="50" w:line="360" w:lineRule="auto"/>
        <w:rPr>
          <w:b/>
          <w:bCs/>
          <w:snapToGrid w:val="0"/>
          <w:kern w:val="0"/>
          <w:szCs w:val="21"/>
        </w:rPr>
      </w:pPr>
      <w:bookmarkStart w:id="17" w:name="_Toc35393622"/>
      <w:bookmarkStart w:id="18" w:name="_Toc71823581"/>
      <w:bookmarkStart w:id="19" w:name="_Toc21934"/>
      <w:bookmarkStart w:id="20" w:name="_Toc28542"/>
      <w:bookmarkStart w:id="21" w:name="_Toc11240"/>
      <w:bookmarkStart w:id="22" w:name="_Toc35393791"/>
      <w:bookmarkStart w:id="23" w:name="_Toc28359080"/>
      <w:bookmarkStart w:id="24" w:name="_Toc28359003"/>
      <w:r>
        <w:rPr>
          <w:rFonts w:hint="eastAsia"/>
          <w:b/>
          <w:bCs/>
          <w:snapToGrid w:val="0"/>
          <w:kern w:val="0"/>
          <w:szCs w:val="21"/>
        </w:rPr>
        <w:t>二、供应商的资格要求：</w:t>
      </w:r>
      <w:bookmarkEnd w:id="17"/>
      <w:bookmarkEnd w:id="18"/>
      <w:bookmarkEnd w:id="19"/>
      <w:bookmarkEnd w:id="20"/>
      <w:bookmarkEnd w:id="21"/>
      <w:bookmarkEnd w:id="22"/>
      <w:bookmarkEnd w:id="23"/>
      <w:bookmarkEnd w:id="24"/>
    </w:p>
    <w:p w14:paraId="0E803235">
      <w:pPr>
        <w:wordWrap w:val="0"/>
        <w:spacing w:line="360" w:lineRule="auto"/>
        <w:ind w:firstLine="422" w:firstLineChars="200"/>
        <w:rPr>
          <w:rFonts w:ascii="宋体" w:hAnsi="宋体" w:cs="宋体"/>
          <w:b/>
          <w:snapToGrid w:val="0"/>
          <w:kern w:val="0"/>
          <w:szCs w:val="21"/>
        </w:rPr>
      </w:pPr>
      <w:bookmarkStart w:id="25" w:name="_Toc28359004"/>
      <w:bookmarkStart w:id="26" w:name="_Toc28359081"/>
      <w:r>
        <w:rPr>
          <w:rFonts w:ascii="宋体" w:hAnsi="宋体" w:cs="宋体"/>
          <w:b/>
          <w:snapToGrid w:val="0"/>
          <w:kern w:val="0"/>
          <w:szCs w:val="21"/>
        </w:rPr>
        <w:t>1、供应商应当符合《中华人民共和国政府采购法》第二十二条规定的条件；</w:t>
      </w:r>
    </w:p>
    <w:p w14:paraId="6A5BB049">
      <w:pPr>
        <w:wordWrap w:val="0"/>
        <w:spacing w:line="360" w:lineRule="auto"/>
        <w:ind w:firstLine="420" w:firstLineChars="200"/>
        <w:rPr>
          <w:rFonts w:ascii="宋体" w:hAnsi="宋体" w:cs="宋体"/>
          <w:b/>
          <w:snapToGrid w:val="0"/>
          <w:kern w:val="0"/>
          <w:szCs w:val="21"/>
        </w:rPr>
      </w:pPr>
      <w:r>
        <w:rPr>
          <w:rFonts w:ascii="宋体" w:hAnsi="宋体" w:cs="宋体"/>
          <w:snapToGrid w:val="0"/>
          <w:kern w:val="0"/>
          <w:szCs w:val="21"/>
        </w:rPr>
        <w:t>1.1</w:t>
      </w:r>
      <w:r>
        <w:rPr>
          <w:rFonts w:hint="eastAsia" w:ascii="宋体" w:hAnsi="宋体" w:cs="宋体"/>
          <w:snapToGrid w:val="0"/>
          <w:kern w:val="0"/>
          <w:szCs w:val="21"/>
        </w:rPr>
        <w:t>、具有独立承担民事责任能力的法人或其他组织：提供有效的营业执照或事业单位法人证书（</w:t>
      </w:r>
      <w:r>
        <w:rPr>
          <w:rFonts w:ascii="宋体" w:hAnsi="宋体" w:cs="宋体"/>
          <w:snapToGrid w:val="0"/>
          <w:kern w:val="0"/>
          <w:szCs w:val="21"/>
        </w:rPr>
        <w:t>复印件）</w:t>
      </w:r>
      <w:r>
        <w:rPr>
          <w:rFonts w:hint="eastAsia" w:ascii="宋体" w:hAnsi="宋体" w:cs="宋体"/>
          <w:snapToGrid w:val="0"/>
          <w:kern w:val="0"/>
          <w:szCs w:val="21"/>
        </w:rPr>
        <w:t>。</w:t>
      </w:r>
    </w:p>
    <w:p w14:paraId="5F124EFD">
      <w:pPr>
        <w:wordWrap w:val="0"/>
        <w:spacing w:line="360" w:lineRule="auto"/>
        <w:ind w:firstLine="420" w:firstLineChars="200"/>
        <w:rPr>
          <w:rFonts w:ascii="宋体" w:hAnsi="宋体" w:cs="宋体"/>
          <w:snapToGrid w:val="0"/>
          <w:kern w:val="0"/>
          <w:szCs w:val="21"/>
        </w:rPr>
      </w:pPr>
      <w:r>
        <w:rPr>
          <w:rFonts w:ascii="宋体" w:hAnsi="宋体" w:cs="宋体"/>
          <w:snapToGrid w:val="0"/>
          <w:kern w:val="0"/>
          <w:szCs w:val="21"/>
        </w:rPr>
        <w:t>1.2、具有良好的商业信誉和健全的财务会计制度：提供最近一年的财务报表（复印件）；成立时间不足一年的，提供成立至今的财务报表（复印件）。</w:t>
      </w:r>
    </w:p>
    <w:p w14:paraId="627116DD">
      <w:pPr>
        <w:wordWrap w:val="0"/>
        <w:spacing w:line="360" w:lineRule="auto"/>
        <w:ind w:firstLine="420" w:firstLineChars="200"/>
        <w:rPr>
          <w:rFonts w:ascii="宋体" w:hAnsi="宋体" w:cs="宋体"/>
          <w:snapToGrid w:val="0"/>
          <w:kern w:val="0"/>
          <w:szCs w:val="21"/>
        </w:rPr>
      </w:pPr>
      <w:r>
        <w:rPr>
          <w:rFonts w:ascii="宋体" w:hAnsi="宋体" w:cs="宋体"/>
          <w:snapToGrid w:val="0"/>
          <w:kern w:val="0"/>
          <w:szCs w:val="21"/>
        </w:rPr>
        <w:t>1.3、</w:t>
      </w:r>
      <w:r>
        <w:rPr>
          <w:rFonts w:hint="eastAsia"/>
          <w:szCs w:val="21"/>
        </w:rPr>
        <w:t>具有履行合同所必需的设备和专业技术能力（提供书面声明）。</w:t>
      </w:r>
    </w:p>
    <w:p w14:paraId="09907904">
      <w:pPr>
        <w:wordWrap w:val="0"/>
        <w:spacing w:line="360" w:lineRule="auto"/>
        <w:ind w:firstLine="420" w:firstLineChars="200"/>
        <w:rPr>
          <w:rFonts w:ascii="宋体" w:hAnsi="宋体" w:cs="宋体"/>
          <w:snapToGrid w:val="0"/>
          <w:kern w:val="0"/>
          <w:szCs w:val="21"/>
        </w:rPr>
      </w:pPr>
      <w:r>
        <w:rPr>
          <w:rFonts w:ascii="宋体" w:hAnsi="宋体" w:cs="宋体"/>
          <w:snapToGrid w:val="0"/>
          <w:kern w:val="0"/>
          <w:szCs w:val="21"/>
        </w:rPr>
        <w:t>1.4、</w:t>
      </w:r>
      <w:bookmarkStart w:id="27" w:name="_Hlk50386862"/>
      <w:bookmarkEnd w:id="27"/>
      <w:r>
        <w:rPr>
          <w:rFonts w:hint="eastAsia"/>
          <w:szCs w:val="21"/>
        </w:rPr>
        <w:t>具有依法缴纳税收和社会保障资金的良好记录：</w:t>
      </w:r>
      <w:r>
        <w:rPr>
          <w:rFonts w:hint="eastAsia"/>
        </w:rPr>
        <w:t>提供2024年1月至今任意</w:t>
      </w:r>
      <w:r>
        <w:t>3</w:t>
      </w:r>
      <w:r>
        <w:rPr>
          <w:rFonts w:hint="eastAsia"/>
        </w:rPr>
        <w:t>个月的税收缴税凭证和社保缴税凭证（复印件）；成立未满</w:t>
      </w:r>
      <w:r>
        <w:t>3</w:t>
      </w:r>
      <w:r>
        <w:rPr>
          <w:rFonts w:hint="eastAsia"/>
        </w:rPr>
        <w:t>个月的供应商提供自成立以来的缴税凭证和社保缴纳凭证（或情况说明）；依法免税或免缴社保的，应提供相关证明文件</w:t>
      </w:r>
      <w:r>
        <w:rPr>
          <w:rFonts w:hint="eastAsia" w:ascii="宋体" w:hAnsi="宋体" w:cs="宋体"/>
          <w:snapToGrid w:val="0"/>
          <w:kern w:val="0"/>
          <w:szCs w:val="21"/>
        </w:rPr>
        <w:t>；</w:t>
      </w:r>
    </w:p>
    <w:p w14:paraId="142C9D3E">
      <w:pPr>
        <w:wordWrap w:val="0"/>
        <w:spacing w:line="360" w:lineRule="auto"/>
        <w:ind w:firstLine="420" w:firstLineChars="200"/>
        <w:rPr>
          <w:rFonts w:ascii="宋体" w:hAnsi="宋体" w:cs="宋体"/>
          <w:snapToGrid w:val="0"/>
          <w:kern w:val="0"/>
          <w:szCs w:val="21"/>
        </w:rPr>
      </w:pPr>
      <w:r>
        <w:rPr>
          <w:rFonts w:ascii="宋体" w:hAnsi="宋体" w:cs="宋体"/>
          <w:snapToGrid w:val="0"/>
          <w:kern w:val="0"/>
          <w:szCs w:val="21"/>
        </w:rPr>
        <w:t>1.5、供应商参加本项目采购活动前三年内，在经营活动中没有重大违法记录（提供书面声明函）。重大违法记录是指供应商因违法经营受到刑事处罚或者责令停产停业、吊销许可证或者执照、较大</w:t>
      </w:r>
      <w:r>
        <w:rPr>
          <w:rFonts w:hint="eastAsia" w:ascii="宋体" w:hAnsi="宋体" w:cs="宋体"/>
          <w:snapToGrid w:val="0"/>
          <w:kern w:val="0"/>
          <w:szCs w:val="21"/>
        </w:rPr>
        <w:t>数额罚款等行政处罚。</w:t>
      </w:r>
    </w:p>
    <w:p w14:paraId="7C632902">
      <w:pPr>
        <w:wordWrap w:val="0"/>
        <w:spacing w:line="360" w:lineRule="auto"/>
        <w:ind w:firstLine="420" w:firstLineChars="200"/>
        <w:rPr>
          <w:rFonts w:ascii="宋体" w:hAnsi="宋体"/>
          <w:b/>
          <w:snapToGrid w:val="0"/>
          <w:kern w:val="0"/>
          <w:szCs w:val="21"/>
        </w:rPr>
      </w:pPr>
      <w:r>
        <w:rPr>
          <w:rFonts w:hint="eastAsia" w:ascii="宋体" w:hAnsi="宋体" w:cs="宋体"/>
          <w:snapToGrid w:val="0"/>
          <w:kern w:val="0"/>
          <w:szCs w:val="21"/>
        </w:rPr>
        <w:t>2、</w:t>
      </w:r>
      <w:r>
        <w:rPr>
          <w:rFonts w:hint="eastAsia" w:ascii="宋体" w:hAnsi="宋体"/>
          <w:b/>
          <w:snapToGrid w:val="0"/>
          <w:kern w:val="0"/>
          <w:szCs w:val="21"/>
        </w:rPr>
        <w:t>落实政府采购政策需满足的资格要求：</w:t>
      </w:r>
    </w:p>
    <w:p w14:paraId="5E7B8F16">
      <w:pPr>
        <w:wordWrap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2.1、本项目为非专门面向中小企业采购项目，针对小微企业的产品或服务价格给予</w:t>
      </w:r>
      <w:r>
        <w:rPr>
          <w:rFonts w:ascii="宋体" w:hAnsi="宋体" w:cs="宋体"/>
          <w:snapToGrid w:val="0"/>
          <w:kern w:val="0"/>
          <w:szCs w:val="21"/>
        </w:rPr>
        <w:t>10%的扣除，用扣除后的价格参与评审（本项目对小微企业的行业划分为：软件和信息技术服务业）</w:t>
      </w:r>
      <w:r>
        <w:rPr>
          <w:rFonts w:hint="eastAsia" w:ascii="宋体" w:hAnsi="宋体" w:cs="宋体"/>
          <w:snapToGrid w:val="0"/>
          <w:kern w:val="0"/>
          <w:szCs w:val="21"/>
        </w:rPr>
        <w:t>。</w:t>
      </w:r>
    </w:p>
    <w:p w14:paraId="766A9F8E">
      <w:pPr>
        <w:wordWrap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2.2、支持监狱企业政策：按财政部《司法部关于政府采购支持监狱企业发展有关问题》的通知（财库〔2014〕68号）执行。</w:t>
      </w:r>
    </w:p>
    <w:p w14:paraId="2DA3FE97">
      <w:pPr>
        <w:wordWrap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2.3、支持残疾人福利性单位政策：按《三部门联合发布关于促进残疾人就业政府采购政策的通知》（财库〔2017〕141号）执行。</w:t>
      </w:r>
    </w:p>
    <w:p w14:paraId="4930283E">
      <w:pPr>
        <w:wordWrap w:val="0"/>
        <w:spacing w:line="360" w:lineRule="auto"/>
        <w:ind w:firstLine="420" w:firstLineChars="200"/>
        <w:rPr>
          <w:rFonts w:ascii="宋体" w:hAnsi="宋体"/>
          <w:b/>
          <w:snapToGrid w:val="0"/>
          <w:kern w:val="0"/>
          <w:szCs w:val="21"/>
        </w:rPr>
      </w:pPr>
      <w:r>
        <w:rPr>
          <w:rFonts w:ascii="宋体" w:hAnsi="宋体" w:cs="宋体"/>
          <w:snapToGrid w:val="0"/>
          <w:kern w:val="0"/>
          <w:szCs w:val="21"/>
        </w:rPr>
        <w:t>3、</w:t>
      </w:r>
      <w:r>
        <w:rPr>
          <w:rFonts w:hint="eastAsia" w:ascii="宋体" w:hAnsi="宋体"/>
          <w:b/>
          <w:snapToGrid w:val="0"/>
          <w:kern w:val="0"/>
          <w:szCs w:val="21"/>
        </w:rPr>
        <w:t>本项目的特定资格要求：</w:t>
      </w:r>
    </w:p>
    <w:p w14:paraId="268C5AD9">
      <w:pPr>
        <w:wordWrap w:val="0"/>
        <w:spacing w:line="360" w:lineRule="auto"/>
        <w:ind w:firstLine="420" w:firstLineChars="200"/>
        <w:rPr>
          <w:rFonts w:ascii="宋体" w:hAnsi="宋体" w:cs="宋体"/>
          <w:snapToGrid w:val="0"/>
          <w:kern w:val="0"/>
          <w:szCs w:val="21"/>
        </w:rPr>
      </w:pPr>
      <w:r>
        <w:rPr>
          <w:rFonts w:ascii="宋体" w:hAnsi="宋体" w:cs="宋体"/>
          <w:snapToGrid w:val="0"/>
          <w:kern w:val="0"/>
          <w:szCs w:val="21"/>
        </w:rPr>
        <w:t>3.1、未被列入</w:t>
      </w:r>
      <w:r>
        <w:rPr>
          <w:rFonts w:hint="eastAsia" w:ascii="宋体" w:hAnsi="宋体" w:cs="宋体"/>
          <w:snapToGrid w:val="0"/>
          <w:kern w:val="0"/>
          <w:szCs w:val="21"/>
        </w:rPr>
        <w:t>：</w:t>
      </w:r>
      <w:r>
        <w:rPr>
          <w:rFonts w:ascii="宋体" w:hAnsi="宋体" w:cs="宋体"/>
          <w:snapToGrid w:val="0"/>
          <w:kern w:val="0"/>
          <w:szCs w:val="21"/>
        </w:rPr>
        <w:t>①“信用中国”网站（www.creditchina.gov.cn）失信被执行人、重大税收违法失信主体，②中国政府采购网（www.ccgp.gov.cn）政府采购严重违法失信行为信息记录</w:t>
      </w:r>
      <w:r>
        <w:rPr>
          <w:rFonts w:hint="eastAsia" w:ascii="宋体" w:hAnsi="宋体"/>
          <w:szCs w:val="21"/>
        </w:rPr>
        <w:t>，以采购代理机构查询的结果为准</w:t>
      </w:r>
      <w:r>
        <w:rPr>
          <w:rFonts w:ascii="宋体" w:hAnsi="宋体" w:cs="宋体"/>
          <w:snapToGrid w:val="0"/>
          <w:kern w:val="0"/>
          <w:szCs w:val="21"/>
        </w:rPr>
        <w:t>。</w:t>
      </w:r>
    </w:p>
    <w:p w14:paraId="32FD6118">
      <w:pPr>
        <w:wordWrap w:val="0"/>
        <w:spacing w:line="360" w:lineRule="auto"/>
        <w:ind w:firstLine="420" w:firstLineChars="200"/>
        <w:rPr>
          <w:rFonts w:ascii="宋体" w:hAnsi="宋体" w:cs="宋体"/>
          <w:snapToGrid w:val="0"/>
          <w:kern w:val="0"/>
          <w:szCs w:val="21"/>
        </w:rPr>
      </w:pPr>
      <w:r>
        <w:rPr>
          <w:rFonts w:ascii="宋体" w:hAnsi="宋体" w:cs="宋体"/>
          <w:snapToGrid w:val="0"/>
          <w:kern w:val="0"/>
          <w:szCs w:val="21"/>
        </w:rPr>
        <w:t>3.2、供应商没有</w:t>
      </w:r>
      <w:r>
        <w:rPr>
          <w:rFonts w:hint="eastAsia" w:ascii="宋体" w:hAnsi="宋体" w:cs="宋体"/>
          <w:snapToGrid w:val="0"/>
          <w:kern w:val="0"/>
          <w:szCs w:val="21"/>
        </w:rPr>
        <w:t>处于被责令停业、</w:t>
      </w:r>
      <w:r>
        <w:rPr>
          <w:rFonts w:ascii="宋体" w:hAnsi="宋体" w:cs="宋体"/>
          <w:snapToGrid w:val="0"/>
          <w:kern w:val="0"/>
          <w:szCs w:val="21"/>
        </w:rPr>
        <w:t>财产被接管、冻结或破产状态，提供书面声明函。</w:t>
      </w:r>
    </w:p>
    <w:p w14:paraId="762B75F9">
      <w:pPr>
        <w:wordWrap w:val="0"/>
        <w:spacing w:line="360" w:lineRule="auto"/>
        <w:ind w:firstLine="420" w:firstLineChars="200"/>
        <w:rPr>
          <w:rFonts w:ascii="宋体" w:hAnsi="宋体" w:cs="宋体"/>
          <w:snapToGrid w:val="0"/>
          <w:kern w:val="0"/>
          <w:szCs w:val="21"/>
        </w:rPr>
      </w:pPr>
      <w:r>
        <w:rPr>
          <w:rFonts w:ascii="宋体" w:hAnsi="宋体" w:cs="宋体"/>
          <w:snapToGrid w:val="0"/>
          <w:kern w:val="0"/>
          <w:szCs w:val="21"/>
        </w:rPr>
        <w:t>3.3、单位负责人为同一人或者存在直接控股、管理关系的不同供应商，不得参加同一合同项下的政府采购活动，提供书面声明函</w:t>
      </w:r>
      <w:r>
        <w:rPr>
          <w:rFonts w:hint="eastAsia" w:ascii="宋体" w:hAnsi="宋体" w:cs="宋体"/>
          <w:snapToGrid w:val="0"/>
          <w:kern w:val="0"/>
          <w:szCs w:val="21"/>
        </w:rPr>
        <w:t>。</w:t>
      </w:r>
    </w:p>
    <w:p w14:paraId="2DEF9CDF">
      <w:pPr>
        <w:wordWrap w:val="0"/>
        <w:spacing w:line="360" w:lineRule="auto"/>
        <w:ind w:firstLine="420" w:firstLineChars="200"/>
        <w:rPr>
          <w:rFonts w:ascii="宋体" w:hAnsi="宋体" w:cs="宋体"/>
          <w:snapToGrid w:val="0"/>
          <w:kern w:val="0"/>
          <w:szCs w:val="21"/>
        </w:rPr>
      </w:pPr>
      <w:r>
        <w:rPr>
          <w:rFonts w:ascii="宋体" w:hAnsi="宋体" w:cs="宋体"/>
          <w:snapToGrid w:val="0"/>
          <w:kern w:val="0"/>
          <w:szCs w:val="21"/>
        </w:rPr>
        <w:t>3.4</w:t>
      </w:r>
      <w:r>
        <w:rPr>
          <w:rFonts w:hint="eastAsia" w:ascii="宋体" w:hAnsi="宋体" w:cs="宋体"/>
          <w:snapToGrid w:val="0"/>
          <w:kern w:val="0"/>
          <w:szCs w:val="21"/>
        </w:rPr>
        <w:t>、供应商应承担投标及履约中应承担的全部责任与义务，应遵守有关的国家法律、法令、条例和政府采购有关制度。一旦参加投标，则应承担相关法律责任，提供书面声明</w:t>
      </w:r>
      <w:r>
        <w:rPr>
          <w:rFonts w:ascii="宋体" w:hAnsi="宋体" w:cs="宋体"/>
          <w:snapToGrid w:val="0"/>
          <w:kern w:val="0"/>
          <w:szCs w:val="21"/>
        </w:rPr>
        <w:t>函</w:t>
      </w:r>
      <w:r>
        <w:rPr>
          <w:rFonts w:hint="eastAsia" w:ascii="宋体" w:hAnsi="宋体" w:cs="宋体"/>
          <w:snapToGrid w:val="0"/>
          <w:kern w:val="0"/>
          <w:szCs w:val="21"/>
        </w:rPr>
        <w:t>。</w:t>
      </w:r>
    </w:p>
    <w:p w14:paraId="479685C2">
      <w:pPr>
        <w:wordWrap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3.5、为本采购项目提供整体设计、规范编制或者项目管理、监理、检测等服务的供应商，不得再参加本采购项目的其他采购活动，提供书面声明</w:t>
      </w:r>
      <w:r>
        <w:rPr>
          <w:rFonts w:ascii="宋体" w:hAnsi="宋体" w:cs="宋体"/>
          <w:snapToGrid w:val="0"/>
          <w:kern w:val="0"/>
          <w:szCs w:val="21"/>
        </w:rPr>
        <w:t>函</w:t>
      </w:r>
      <w:r>
        <w:rPr>
          <w:rFonts w:hint="eastAsia" w:ascii="宋体" w:hAnsi="宋体" w:cs="宋体"/>
          <w:snapToGrid w:val="0"/>
          <w:kern w:val="0"/>
          <w:szCs w:val="21"/>
        </w:rPr>
        <w:t>。</w:t>
      </w:r>
    </w:p>
    <w:p w14:paraId="4B20E636">
      <w:pPr>
        <w:wordWrap w:val="0"/>
        <w:spacing w:line="360" w:lineRule="auto"/>
        <w:ind w:firstLine="420" w:firstLineChars="200"/>
      </w:pPr>
      <w:r>
        <w:rPr>
          <w:rFonts w:ascii="宋体" w:hAnsi="宋体" w:cs="宋体"/>
          <w:snapToGrid w:val="0"/>
          <w:kern w:val="0"/>
          <w:szCs w:val="21"/>
        </w:rPr>
        <w:t>4</w:t>
      </w:r>
      <w:r>
        <w:rPr>
          <w:rFonts w:hint="eastAsia" w:ascii="宋体" w:hAnsi="宋体" w:cs="宋体"/>
          <w:snapToGrid w:val="0"/>
          <w:kern w:val="0"/>
          <w:szCs w:val="21"/>
        </w:rPr>
        <w:t>、</w:t>
      </w:r>
      <w:r>
        <w:rPr>
          <w:rFonts w:hint="eastAsia" w:ascii="宋体" w:hAnsi="宋体"/>
          <w:b/>
          <w:snapToGrid w:val="0"/>
          <w:kern w:val="0"/>
          <w:szCs w:val="21"/>
        </w:rPr>
        <w:t>本项目不接受联合体投标。</w:t>
      </w:r>
    </w:p>
    <w:p w14:paraId="7A4CFC1E">
      <w:pPr>
        <w:wordWrap w:val="0"/>
        <w:spacing w:before="120" w:beforeLines="50" w:line="360" w:lineRule="auto"/>
        <w:rPr>
          <w:b/>
          <w:bCs/>
          <w:snapToGrid w:val="0"/>
          <w:kern w:val="0"/>
          <w:szCs w:val="21"/>
        </w:rPr>
      </w:pPr>
      <w:bookmarkStart w:id="28" w:name="_Toc35393792"/>
      <w:bookmarkStart w:id="29" w:name="_Toc10585"/>
      <w:bookmarkStart w:id="30" w:name="_Toc274"/>
      <w:bookmarkStart w:id="31" w:name="_Toc35393623"/>
      <w:bookmarkStart w:id="32" w:name="_Toc71823582"/>
      <w:r>
        <w:rPr>
          <w:rFonts w:hint="eastAsia"/>
          <w:b/>
          <w:bCs/>
          <w:snapToGrid w:val="0"/>
          <w:kern w:val="0"/>
          <w:szCs w:val="21"/>
        </w:rPr>
        <w:t>三、获取</w:t>
      </w:r>
      <w:bookmarkEnd w:id="25"/>
      <w:bookmarkEnd w:id="26"/>
      <w:bookmarkEnd w:id="28"/>
      <w:bookmarkEnd w:id="29"/>
      <w:bookmarkEnd w:id="30"/>
      <w:bookmarkEnd w:id="31"/>
      <w:r>
        <w:rPr>
          <w:rFonts w:hint="eastAsia"/>
          <w:b/>
          <w:bCs/>
          <w:snapToGrid w:val="0"/>
          <w:kern w:val="0"/>
          <w:szCs w:val="21"/>
        </w:rPr>
        <w:t>招标文件</w:t>
      </w:r>
      <w:bookmarkEnd w:id="32"/>
    </w:p>
    <w:p w14:paraId="10FB931F">
      <w:pPr>
        <w:wordWrap w:val="0"/>
        <w:spacing w:line="360" w:lineRule="auto"/>
        <w:ind w:firstLine="420" w:firstLineChars="200"/>
        <w:rPr>
          <w:rFonts w:ascii="宋体" w:hAnsi="宋体" w:cs="宋体"/>
          <w:snapToGrid w:val="0"/>
          <w:kern w:val="0"/>
          <w:szCs w:val="21"/>
        </w:rPr>
      </w:pPr>
      <w:bookmarkStart w:id="33" w:name="_Toc28359005"/>
      <w:bookmarkStart w:id="34" w:name="_Toc28359082"/>
      <w:bookmarkStart w:id="35" w:name="_Toc13372"/>
      <w:bookmarkStart w:id="36" w:name="_Toc12674"/>
      <w:bookmarkStart w:id="37" w:name="_Toc35393624"/>
      <w:bookmarkStart w:id="38" w:name="_Toc71823583"/>
      <w:bookmarkStart w:id="39" w:name="_Toc35393793"/>
      <w:bookmarkStart w:id="40" w:name="_Toc20401"/>
      <w:r>
        <w:rPr>
          <w:rFonts w:hint="eastAsia" w:ascii="宋体" w:hAnsi="宋体" w:cs="宋体"/>
          <w:snapToGrid w:val="0"/>
          <w:kern w:val="0"/>
          <w:szCs w:val="21"/>
        </w:rPr>
        <w:t>1、时间：2025年</w:t>
      </w:r>
      <w:r>
        <w:rPr>
          <w:rFonts w:hint="eastAsia" w:ascii="宋体" w:hAnsi="宋体" w:cs="宋体"/>
          <w:snapToGrid w:val="0"/>
          <w:kern w:val="0"/>
          <w:szCs w:val="21"/>
          <w:lang w:val="en-US" w:eastAsia="zh-CN"/>
        </w:rPr>
        <w:t>6</w:t>
      </w:r>
      <w:r>
        <w:rPr>
          <w:rFonts w:hint="eastAsia" w:ascii="宋体" w:hAnsi="宋体" w:cs="宋体"/>
          <w:snapToGrid w:val="0"/>
          <w:kern w:val="0"/>
          <w:szCs w:val="21"/>
        </w:rPr>
        <w:t>月</w:t>
      </w:r>
      <w:r>
        <w:rPr>
          <w:rFonts w:hint="eastAsia" w:ascii="宋体" w:hAnsi="宋体" w:cs="宋体"/>
          <w:snapToGrid w:val="0"/>
          <w:kern w:val="0"/>
          <w:szCs w:val="21"/>
          <w:lang w:val="en-US" w:eastAsia="zh-CN"/>
        </w:rPr>
        <w:t>30</w:t>
      </w:r>
      <w:r>
        <w:rPr>
          <w:rFonts w:ascii="宋体" w:hAnsi="宋体" w:cs="宋体"/>
          <w:snapToGrid w:val="0"/>
          <w:kern w:val="0"/>
          <w:szCs w:val="21"/>
        </w:rPr>
        <w:t>日</w:t>
      </w:r>
      <w:r>
        <w:rPr>
          <w:rFonts w:hint="eastAsia" w:ascii="宋体" w:hAnsi="宋体" w:cs="宋体"/>
          <w:snapToGrid w:val="0"/>
          <w:kern w:val="0"/>
          <w:szCs w:val="21"/>
        </w:rPr>
        <w:t>至2025年</w:t>
      </w:r>
      <w:r>
        <w:rPr>
          <w:rFonts w:hint="eastAsia" w:ascii="宋体" w:hAnsi="宋体" w:cs="宋体"/>
          <w:snapToGrid w:val="0"/>
          <w:kern w:val="0"/>
          <w:szCs w:val="21"/>
          <w:lang w:val="en-US" w:eastAsia="zh-CN"/>
        </w:rPr>
        <w:t>7</w:t>
      </w:r>
      <w:r>
        <w:rPr>
          <w:rFonts w:hint="eastAsia" w:ascii="宋体" w:hAnsi="宋体" w:cs="宋体"/>
          <w:snapToGrid w:val="0"/>
          <w:kern w:val="0"/>
          <w:szCs w:val="21"/>
        </w:rPr>
        <w:t>月</w:t>
      </w:r>
      <w:r>
        <w:rPr>
          <w:rFonts w:hint="eastAsia" w:ascii="宋体" w:hAnsi="宋体" w:cs="宋体"/>
          <w:snapToGrid w:val="0"/>
          <w:kern w:val="0"/>
          <w:szCs w:val="21"/>
          <w:lang w:val="en-US" w:eastAsia="zh-CN"/>
        </w:rPr>
        <w:t>7</w:t>
      </w:r>
      <w:r>
        <w:rPr>
          <w:rFonts w:ascii="宋体" w:hAnsi="宋体" w:cs="宋体"/>
          <w:snapToGrid w:val="0"/>
          <w:kern w:val="0"/>
          <w:szCs w:val="21"/>
        </w:rPr>
        <w:t>日</w:t>
      </w:r>
      <w:r>
        <w:rPr>
          <w:rFonts w:hint="eastAsia" w:ascii="宋体" w:hAnsi="宋体" w:cs="宋体"/>
          <w:snapToGrid w:val="0"/>
          <w:kern w:val="0"/>
          <w:szCs w:val="21"/>
        </w:rPr>
        <w:t>，每天0</w:t>
      </w:r>
      <w:r>
        <w:rPr>
          <w:rFonts w:ascii="宋体" w:hAnsi="宋体" w:cs="宋体"/>
          <w:snapToGrid w:val="0"/>
          <w:kern w:val="0"/>
          <w:szCs w:val="21"/>
        </w:rPr>
        <w:t>6</w:t>
      </w:r>
      <w:r>
        <w:rPr>
          <w:rFonts w:hint="eastAsia" w:ascii="宋体" w:hAnsi="宋体" w:cs="宋体"/>
          <w:snapToGrid w:val="0"/>
          <w:kern w:val="0"/>
          <w:szCs w:val="21"/>
        </w:rPr>
        <w:t>:00至23:59（北京时间，法定节假日除外）。</w:t>
      </w:r>
    </w:p>
    <w:p w14:paraId="35212CFF">
      <w:pPr>
        <w:wordWrap w:val="0"/>
        <w:spacing w:line="360" w:lineRule="auto"/>
        <w:ind w:firstLine="420" w:firstLineChars="200"/>
        <w:rPr>
          <w:rFonts w:ascii="宋体" w:hAnsi="宋体" w:cs="宋体"/>
          <w:snapToGrid w:val="0"/>
          <w:kern w:val="0"/>
          <w:szCs w:val="21"/>
        </w:rPr>
      </w:pPr>
      <w:r>
        <w:rPr>
          <w:rFonts w:ascii="宋体" w:hAnsi="宋体" w:cs="宋体"/>
          <w:snapToGrid w:val="0"/>
          <w:kern w:val="0"/>
          <w:szCs w:val="21"/>
        </w:rPr>
        <w:t>2</w:t>
      </w:r>
      <w:r>
        <w:rPr>
          <w:rFonts w:hint="eastAsia" w:ascii="宋体" w:hAnsi="宋体" w:cs="宋体"/>
          <w:snapToGrid w:val="0"/>
          <w:kern w:val="0"/>
          <w:szCs w:val="21"/>
        </w:rPr>
        <w:t>、地点：政采云平台（http：//www.zcygov.cn）线上获取，操作路径：登录政采云平台－项目采购－获取招标文件－找到本项目－点击“申请获取招标文件”。</w:t>
      </w:r>
    </w:p>
    <w:p w14:paraId="23B80F34">
      <w:pPr>
        <w:wordWrap w:val="0"/>
        <w:spacing w:line="360" w:lineRule="auto"/>
        <w:ind w:firstLine="420" w:firstLineChars="200"/>
        <w:rPr>
          <w:rFonts w:ascii="宋体" w:hAnsi="宋体" w:cs="宋体"/>
          <w:snapToGrid w:val="0"/>
          <w:kern w:val="0"/>
          <w:szCs w:val="21"/>
        </w:rPr>
      </w:pPr>
      <w:r>
        <w:rPr>
          <w:rFonts w:ascii="宋体" w:hAnsi="宋体" w:cs="宋体"/>
          <w:snapToGrid w:val="0"/>
          <w:kern w:val="0"/>
          <w:szCs w:val="21"/>
        </w:rPr>
        <w:t>3</w:t>
      </w:r>
      <w:r>
        <w:rPr>
          <w:rFonts w:hint="eastAsia" w:ascii="宋体" w:hAnsi="宋体" w:cs="宋体"/>
          <w:snapToGrid w:val="0"/>
          <w:kern w:val="0"/>
          <w:szCs w:val="21"/>
        </w:rPr>
        <w:t>、方式：</w:t>
      </w:r>
    </w:p>
    <w:p w14:paraId="6B31C262">
      <w:pPr>
        <w:wordWrap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①有意参加投标的供应商，须在政采云平台办理数字证书CA，并在政采云绑定数字证书CA后在网上获取采购文件及其它采购资料。</w:t>
      </w:r>
    </w:p>
    <w:p w14:paraId="2B099872">
      <w:pPr>
        <w:wordWrap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②CA申领链接：https://middle.zcygov.cn/ca/apply/list?_app_=zcy.sys或https://middle.zcygov.cn/ca/apply/edit?certType=32</w:t>
      </w:r>
      <w:r>
        <w:rPr>
          <w:rFonts w:ascii="宋体" w:hAnsi="宋体" w:cs="宋体"/>
          <w:snapToGrid w:val="0"/>
          <w:kern w:val="0"/>
          <w:szCs w:val="21"/>
        </w:rPr>
        <w:t>或</w:t>
      </w:r>
      <w:r>
        <w:rPr>
          <w:rFonts w:hint="eastAsia" w:ascii="宋体" w:hAnsi="宋体" w:cs="宋体"/>
          <w:snapToGrid w:val="0"/>
          <w:kern w:val="0"/>
          <w:szCs w:val="21"/>
        </w:rPr>
        <w:t>http://yzt.ynsmartcert.cn/cms/ca00056.html，客服热线：0871-67276028/19988166369，CA申领后需登陆政采云平台完成数字证书（CA）绑定才可以使用，数字证书（CA）详见其办理流程。</w:t>
      </w:r>
    </w:p>
    <w:p w14:paraId="5D597EAF">
      <w:pPr>
        <w:wordWrap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③云南本地供应商如之前已在云南CA在线数字证书办理网进行过注册并办理过企业数字证书CA，直接绑定即可，无需重复办理（2022年1月1日前办理的云南CA需到云南CA办理处进行升级）。省外供应商在政采云平台办理的其他CA可直接使用，无需重复办理。</w:t>
      </w:r>
    </w:p>
    <w:p w14:paraId="4CE644D3">
      <w:pPr>
        <w:wordWrap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④按上述要求获取文件的供应商视为合法获取了本项目采购文件，具备本项目的投标资格。</w:t>
      </w:r>
    </w:p>
    <w:p w14:paraId="3E55E3F2">
      <w:pPr>
        <w:wordWrap w:val="0"/>
        <w:spacing w:line="360" w:lineRule="auto"/>
        <w:ind w:firstLine="420" w:firstLineChars="200"/>
        <w:rPr>
          <w:rFonts w:ascii="宋体" w:hAnsi="宋体" w:cs="宋体"/>
          <w:snapToGrid w:val="0"/>
          <w:kern w:val="0"/>
          <w:szCs w:val="21"/>
        </w:rPr>
      </w:pPr>
      <w:r>
        <w:rPr>
          <w:rFonts w:ascii="宋体" w:hAnsi="宋体" w:cs="宋体"/>
          <w:snapToGrid w:val="0"/>
          <w:kern w:val="0"/>
          <w:szCs w:val="21"/>
        </w:rPr>
        <w:t>4</w:t>
      </w:r>
      <w:r>
        <w:rPr>
          <w:rFonts w:hint="eastAsia" w:ascii="宋体" w:hAnsi="宋体" w:cs="宋体"/>
          <w:snapToGrid w:val="0"/>
          <w:kern w:val="0"/>
          <w:szCs w:val="21"/>
        </w:rPr>
        <w:t>、售价：0元。</w:t>
      </w:r>
    </w:p>
    <w:p w14:paraId="33C8EA57">
      <w:pPr>
        <w:wordWrap w:val="0"/>
        <w:spacing w:before="120" w:beforeLines="50" w:line="360" w:lineRule="auto"/>
        <w:rPr>
          <w:b/>
          <w:bCs/>
          <w:snapToGrid w:val="0"/>
          <w:kern w:val="0"/>
          <w:szCs w:val="21"/>
        </w:rPr>
      </w:pPr>
      <w:r>
        <w:rPr>
          <w:rFonts w:hint="eastAsia"/>
          <w:b/>
          <w:bCs/>
          <w:snapToGrid w:val="0"/>
          <w:kern w:val="0"/>
          <w:szCs w:val="21"/>
        </w:rPr>
        <w:t>四、提交投标文件</w:t>
      </w:r>
      <w:bookmarkEnd w:id="33"/>
      <w:bookmarkEnd w:id="34"/>
      <w:r>
        <w:rPr>
          <w:rFonts w:hint="eastAsia"/>
          <w:b/>
          <w:bCs/>
          <w:snapToGrid w:val="0"/>
          <w:kern w:val="0"/>
          <w:szCs w:val="21"/>
        </w:rPr>
        <w:t>截止时间、开标时间和地点</w:t>
      </w:r>
      <w:bookmarkEnd w:id="35"/>
      <w:bookmarkEnd w:id="36"/>
      <w:bookmarkEnd w:id="37"/>
      <w:bookmarkEnd w:id="38"/>
      <w:bookmarkEnd w:id="39"/>
      <w:bookmarkEnd w:id="40"/>
    </w:p>
    <w:p w14:paraId="0636064F">
      <w:pPr>
        <w:wordWrap w:val="0"/>
        <w:spacing w:line="360" w:lineRule="auto"/>
        <w:ind w:firstLine="420" w:firstLineChars="200"/>
        <w:rPr>
          <w:rFonts w:ascii="宋体" w:hAnsi="宋体" w:cs="宋体"/>
          <w:snapToGrid w:val="0"/>
          <w:kern w:val="0"/>
          <w:szCs w:val="21"/>
        </w:rPr>
      </w:pPr>
      <w:bookmarkStart w:id="41" w:name="_Toc35393794"/>
      <w:bookmarkStart w:id="42" w:name="_Toc14836"/>
      <w:bookmarkStart w:id="43" w:name="_Toc28359007"/>
      <w:bookmarkStart w:id="44" w:name="_Toc35393625"/>
      <w:bookmarkStart w:id="45" w:name="_Toc28359084"/>
      <w:bookmarkStart w:id="46" w:name="_Toc21084"/>
      <w:bookmarkStart w:id="47" w:name="_Toc71823584"/>
      <w:bookmarkStart w:id="48" w:name="_Toc30221"/>
      <w:r>
        <w:rPr>
          <w:rFonts w:hint="eastAsia" w:ascii="宋体" w:hAnsi="宋体" w:cs="宋体"/>
          <w:snapToGrid w:val="0"/>
          <w:kern w:val="0"/>
          <w:szCs w:val="21"/>
        </w:rPr>
        <w:t>1、提交电子投标文件的截止时间：2025年</w:t>
      </w:r>
      <w:r>
        <w:rPr>
          <w:rFonts w:hint="eastAsia" w:ascii="宋体" w:hAnsi="宋体" w:cs="宋体"/>
          <w:snapToGrid w:val="0"/>
          <w:kern w:val="0"/>
          <w:szCs w:val="21"/>
          <w:lang w:val="en-US" w:eastAsia="zh-CN"/>
        </w:rPr>
        <w:t>7</w:t>
      </w:r>
      <w:r>
        <w:rPr>
          <w:rFonts w:hint="eastAsia" w:ascii="宋体" w:hAnsi="宋体" w:cs="宋体"/>
          <w:snapToGrid w:val="0"/>
          <w:kern w:val="0"/>
          <w:szCs w:val="21"/>
        </w:rPr>
        <w:t>月</w:t>
      </w:r>
      <w:r>
        <w:rPr>
          <w:rFonts w:hint="eastAsia" w:ascii="宋体" w:hAnsi="宋体" w:cs="宋体"/>
          <w:snapToGrid w:val="0"/>
          <w:kern w:val="0"/>
          <w:szCs w:val="21"/>
          <w:lang w:val="en-US" w:eastAsia="zh-CN"/>
        </w:rPr>
        <w:t>21</w:t>
      </w:r>
      <w:r>
        <w:rPr>
          <w:rFonts w:ascii="宋体" w:hAnsi="宋体" w:cs="宋体"/>
          <w:snapToGrid w:val="0"/>
          <w:kern w:val="0"/>
          <w:szCs w:val="21"/>
        </w:rPr>
        <w:t>日9时00分</w:t>
      </w:r>
      <w:r>
        <w:rPr>
          <w:rFonts w:hint="eastAsia" w:ascii="宋体" w:hAnsi="宋体" w:cs="宋体"/>
          <w:snapToGrid w:val="0"/>
          <w:kern w:val="0"/>
          <w:szCs w:val="21"/>
        </w:rPr>
        <w:t>（北京时间）</w:t>
      </w:r>
    </w:p>
    <w:p w14:paraId="3D3B0853">
      <w:pPr>
        <w:wordWrap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2、地点：政府采购云平台（http：//www.zcygov.cn），请登录政采云投标客户端投标</w:t>
      </w:r>
      <w:r>
        <w:rPr>
          <w:rFonts w:ascii="宋体" w:hAnsi="宋体" w:cs="宋体"/>
          <w:snapToGrid w:val="0"/>
          <w:kern w:val="0"/>
          <w:szCs w:val="21"/>
        </w:rPr>
        <w:t>。</w:t>
      </w:r>
    </w:p>
    <w:p w14:paraId="2AC6B682">
      <w:pPr>
        <w:wordWrap w:val="0"/>
        <w:spacing w:line="360" w:lineRule="auto"/>
        <w:ind w:firstLine="420" w:firstLineChars="200"/>
        <w:rPr>
          <w:rFonts w:ascii="宋体" w:hAnsi="宋体" w:cs="宋体"/>
          <w:snapToGrid w:val="0"/>
          <w:kern w:val="0"/>
          <w:szCs w:val="21"/>
        </w:rPr>
      </w:pPr>
      <w:r>
        <w:rPr>
          <w:rFonts w:ascii="宋体" w:hAnsi="宋体" w:cs="宋体"/>
          <w:snapToGrid w:val="0"/>
          <w:kern w:val="0"/>
          <w:szCs w:val="21"/>
        </w:rPr>
        <w:t>3</w:t>
      </w:r>
      <w:r>
        <w:rPr>
          <w:rFonts w:hint="eastAsia" w:ascii="宋体" w:hAnsi="宋体" w:cs="宋体"/>
          <w:snapToGrid w:val="0"/>
          <w:kern w:val="0"/>
          <w:szCs w:val="21"/>
        </w:rPr>
        <w:t>.本项目采用电子招标投标，投标文件提交截止时间前，供应商应根据招标文件要求登录</w:t>
      </w:r>
      <w:r>
        <w:rPr>
          <w:rFonts w:hint="eastAsia" w:ascii="宋体" w:hAnsi="宋体"/>
          <w:szCs w:val="21"/>
        </w:rPr>
        <w:t>政采云平台</w:t>
      </w:r>
      <w:r>
        <w:rPr>
          <w:rFonts w:hint="eastAsia" w:ascii="宋体" w:hAnsi="宋体" w:cs="宋体"/>
          <w:snapToGrid w:val="0"/>
          <w:kern w:val="0"/>
          <w:szCs w:val="21"/>
        </w:rPr>
        <w:t>（http：//www.zcygov.cn），在投标截止时间前完成电子投标文件的上传提交。逾期提交的电子投标文件为无效文件，不能进入开标阶段。供应商在政采云平台提交电子版投标文件时，请填写参加远程采购活动经办人联系方式。</w:t>
      </w:r>
    </w:p>
    <w:p w14:paraId="05CA5C4C">
      <w:pPr>
        <w:wordWrap w:val="0"/>
        <w:spacing w:before="120" w:beforeLines="50" w:line="360" w:lineRule="auto"/>
        <w:rPr>
          <w:b/>
          <w:bCs/>
          <w:snapToGrid w:val="0"/>
          <w:kern w:val="0"/>
          <w:szCs w:val="21"/>
        </w:rPr>
      </w:pPr>
      <w:r>
        <w:rPr>
          <w:rFonts w:hint="eastAsia"/>
          <w:b/>
          <w:bCs/>
          <w:snapToGrid w:val="0"/>
          <w:kern w:val="0"/>
          <w:szCs w:val="21"/>
        </w:rPr>
        <w:t>五、公告期限</w:t>
      </w:r>
    </w:p>
    <w:p w14:paraId="0CF2391F">
      <w:pPr>
        <w:wordWrap w:val="0"/>
        <w:spacing w:line="360" w:lineRule="auto"/>
        <w:ind w:firstLine="420" w:firstLineChars="200"/>
        <w:rPr>
          <w:rFonts w:ascii="宋体" w:hAnsi="宋体"/>
          <w:szCs w:val="21"/>
        </w:rPr>
      </w:pPr>
      <w:bookmarkStart w:id="49" w:name="_Toc71823585"/>
      <w:bookmarkStart w:id="50" w:name="_Toc10172"/>
      <w:bookmarkStart w:id="51" w:name="_Toc35393626"/>
      <w:bookmarkStart w:id="52" w:name="_Toc35393795"/>
      <w:bookmarkStart w:id="53" w:name="_Toc6200"/>
      <w:bookmarkStart w:id="54" w:name="_Toc8783"/>
      <w:r>
        <w:rPr>
          <w:rFonts w:hint="eastAsia" w:ascii="宋体" w:hAnsi="宋体"/>
          <w:szCs w:val="21"/>
        </w:rPr>
        <w:t>自本公告发布之日起5个工作日。</w:t>
      </w:r>
    </w:p>
    <w:p w14:paraId="3225577A">
      <w:pPr>
        <w:wordWrap w:val="0"/>
        <w:spacing w:before="120" w:beforeLines="50" w:line="360" w:lineRule="auto"/>
        <w:rPr>
          <w:b/>
          <w:bCs/>
          <w:snapToGrid w:val="0"/>
          <w:kern w:val="0"/>
          <w:szCs w:val="21"/>
        </w:rPr>
      </w:pPr>
      <w:r>
        <w:rPr>
          <w:rFonts w:hint="eastAsia"/>
          <w:b/>
          <w:bCs/>
          <w:snapToGrid w:val="0"/>
          <w:kern w:val="0"/>
          <w:szCs w:val="21"/>
        </w:rPr>
        <w:t>六、其他补充事宜</w:t>
      </w:r>
      <w:bookmarkEnd w:id="49"/>
      <w:bookmarkEnd w:id="50"/>
      <w:bookmarkEnd w:id="51"/>
      <w:bookmarkEnd w:id="52"/>
      <w:bookmarkEnd w:id="53"/>
      <w:bookmarkEnd w:id="54"/>
    </w:p>
    <w:p w14:paraId="4B3635E6">
      <w:pPr>
        <w:wordWrap w:val="0"/>
        <w:spacing w:line="360" w:lineRule="auto"/>
        <w:ind w:firstLine="420" w:firstLineChars="200"/>
        <w:rPr>
          <w:rFonts w:ascii="宋体" w:hAnsi="宋体"/>
          <w:szCs w:val="21"/>
        </w:rPr>
      </w:pPr>
      <w:r>
        <w:rPr>
          <w:rFonts w:hint="eastAsia" w:ascii="宋体" w:hAnsi="宋体"/>
          <w:szCs w:val="21"/>
        </w:rPr>
        <w:t>1.本项目招标公告在“云南省政府采购网”（http://www.yngp.com/</w:t>
      </w:r>
      <w:r>
        <w:rPr>
          <w:rFonts w:ascii="宋体" w:hAnsi="宋体"/>
          <w:szCs w:val="21"/>
        </w:rPr>
        <w:t>）</w:t>
      </w:r>
      <w:r>
        <w:rPr>
          <w:rFonts w:hint="eastAsia" w:ascii="宋体" w:hAnsi="宋体"/>
          <w:szCs w:val="21"/>
        </w:rPr>
        <w:t>、“政府采购云平台</w:t>
      </w:r>
      <w:r>
        <w:rPr>
          <w:rFonts w:ascii="宋体" w:hAnsi="宋体"/>
          <w:szCs w:val="21"/>
        </w:rPr>
        <w:t>”</w:t>
      </w:r>
      <w:r>
        <w:rPr>
          <w:rFonts w:hint="eastAsia" w:ascii="宋体" w:hAnsi="宋体" w:cs="宋体"/>
          <w:snapToGrid w:val="0"/>
          <w:kern w:val="0"/>
          <w:szCs w:val="21"/>
        </w:rPr>
        <w:t>（http：//www.zcygov.cn）</w:t>
      </w:r>
      <w:r>
        <w:rPr>
          <w:rFonts w:hint="eastAsia" w:ascii="宋体" w:hAnsi="宋体"/>
          <w:szCs w:val="21"/>
        </w:rPr>
        <w:t>上发布</w:t>
      </w:r>
      <w:r>
        <w:rPr>
          <w:rFonts w:hint="eastAsia"/>
          <w:snapToGrid w:val="0"/>
          <w:kern w:val="0"/>
          <w:szCs w:val="21"/>
        </w:rPr>
        <w:t>。</w:t>
      </w:r>
    </w:p>
    <w:p w14:paraId="25932E05">
      <w:pPr>
        <w:wordWrap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2.本项目实行网上智能开标、解密，开标时无需到现场出席开标会，供应商需要准备</w:t>
      </w:r>
      <w:r>
        <w:rPr>
          <w:rFonts w:ascii="宋体" w:hAnsi="宋体" w:cs="宋体"/>
          <w:snapToGrid w:val="0"/>
          <w:kern w:val="0"/>
          <w:szCs w:val="21"/>
        </w:rPr>
        <w:t>好</w:t>
      </w:r>
      <w:r>
        <w:rPr>
          <w:rFonts w:hint="eastAsia" w:ascii="宋体" w:hAnsi="宋体" w:cs="宋体"/>
          <w:snapToGrid w:val="0"/>
          <w:kern w:val="0"/>
          <w:szCs w:val="21"/>
        </w:rPr>
        <w:t>具备摄像头及语音功能且互联网网络状况良好的电脑，在投标截止时间前登录政采云平台远程开标大厅参加本次开标，做好解密准备。本项目解密时间为30分钟，若供应商未在规定时间完成解密，则视为撤销其投标文件。</w:t>
      </w:r>
    </w:p>
    <w:bookmarkEnd w:id="41"/>
    <w:bookmarkEnd w:id="42"/>
    <w:bookmarkEnd w:id="43"/>
    <w:bookmarkEnd w:id="44"/>
    <w:bookmarkEnd w:id="45"/>
    <w:bookmarkEnd w:id="46"/>
    <w:bookmarkEnd w:id="47"/>
    <w:bookmarkEnd w:id="48"/>
    <w:p w14:paraId="29FB1B52">
      <w:pPr>
        <w:wordWrap w:val="0"/>
        <w:spacing w:line="360" w:lineRule="auto"/>
        <w:ind w:firstLine="420" w:firstLineChars="200"/>
        <w:rPr>
          <w:rFonts w:ascii="宋体" w:hAnsi="宋体"/>
          <w:szCs w:val="21"/>
        </w:rPr>
      </w:pPr>
      <w:bookmarkStart w:id="55" w:name="_Toc35393627"/>
      <w:bookmarkStart w:id="56" w:name="_Toc16238"/>
      <w:bookmarkStart w:id="57" w:name="_Toc28359008"/>
      <w:bookmarkStart w:id="58" w:name="_Toc2036"/>
      <w:bookmarkStart w:id="59" w:name="_Toc71823586"/>
      <w:bookmarkStart w:id="60" w:name="_Toc28359085"/>
      <w:bookmarkStart w:id="61" w:name="_Toc7270"/>
      <w:bookmarkStart w:id="62" w:name="_Toc35393796"/>
      <w:r>
        <w:rPr>
          <w:rFonts w:ascii="宋体" w:hAnsi="宋体"/>
          <w:szCs w:val="21"/>
        </w:rPr>
        <w:t>3</w:t>
      </w:r>
      <w:r>
        <w:rPr>
          <w:rFonts w:hint="eastAsia" w:ascii="宋体" w:hAnsi="宋体"/>
          <w:szCs w:val="21"/>
        </w:rPr>
        <w:t>.供应商请至政采云公司网站（https://edu.zcygov.cn/luban/yunnan-dzjy-gys）查看、下载政采云电子交易客户端，安装完成后，可通过账号密码或CA登录客户端进行投标文件的制作。如因供应商自身原因导致在规定时间内无法正常解密的（如：浏览器故障、未安装相关驱动、网络故障、加密CA与解密CA不一致等），代理机构不予异常处理，视为供应商自动放弃投标。</w:t>
      </w:r>
    </w:p>
    <w:p w14:paraId="335A9092">
      <w:pPr>
        <w:wordWrap w:val="0"/>
        <w:spacing w:line="360" w:lineRule="auto"/>
        <w:ind w:firstLine="420" w:firstLineChars="200"/>
        <w:rPr>
          <w:rFonts w:ascii="宋体" w:hAnsi="宋体"/>
          <w:szCs w:val="21"/>
        </w:rPr>
      </w:pPr>
      <w:r>
        <w:rPr>
          <w:rFonts w:ascii="宋体" w:hAnsi="宋体"/>
          <w:szCs w:val="21"/>
        </w:rPr>
        <w:t>4</w:t>
      </w:r>
      <w:r>
        <w:rPr>
          <w:rFonts w:hint="eastAsia" w:ascii="宋体" w:hAnsi="宋体"/>
          <w:szCs w:val="21"/>
        </w:rPr>
        <w:t>.供应商应在开标前确保成为</w:t>
      </w:r>
      <w:bookmarkStart w:id="242" w:name="_GoBack"/>
      <w:bookmarkEnd w:id="242"/>
      <w:r>
        <w:rPr>
          <w:rFonts w:hint="eastAsia" w:ascii="宋体" w:hAnsi="宋体"/>
          <w:szCs w:val="21"/>
        </w:rPr>
        <w:t>政采云平台供应商，并完成CA数字证书申领。因未注册入库、未办理CA数字证书等原因造成无法投标或投标失败等后果由供应商自行承担。云南CA操作问题请致电4006727666或15288315056咨询，云南壹证通CA操作问题请致电4000040628或19988166369咨询。</w:t>
      </w:r>
    </w:p>
    <w:p w14:paraId="1CAD419C">
      <w:pPr>
        <w:wordWrap w:val="0"/>
        <w:spacing w:line="360" w:lineRule="auto"/>
        <w:ind w:firstLine="420" w:firstLineChars="200"/>
        <w:rPr>
          <w:rFonts w:ascii="宋体" w:hAnsi="宋体"/>
          <w:szCs w:val="21"/>
        </w:rPr>
      </w:pPr>
      <w:r>
        <w:rPr>
          <w:rFonts w:ascii="宋体" w:hAnsi="宋体"/>
          <w:szCs w:val="21"/>
        </w:rPr>
        <w:t>5</w:t>
      </w:r>
      <w:r>
        <w:rPr>
          <w:rFonts w:hint="eastAsia" w:ascii="宋体" w:hAnsi="宋体"/>
          <w:szCs w:val="21"/>
        </w:rPr>
        <w:t>.政采云投标客户端建议使用WIN7（64位）及以上操作系统，如有问题可拨打政采云客户服务热线400-881-7190进行咨询。</w:t>
      </w:r>
    </w:p>
    <w:p w14:paraId="1B11EDB4">
      <w:pPr>
        <w:wordWrap w:val="0"/>
        <w:spacing w:line="360" w:lineRule="auto"/>
        <w:ind w:firstLine="420" w:firstLineChars="200"/>
        <w:rPr>
          <w:rFonts w:ascii="宋体" w:hAnsi="宋体"/>
          <w:szCs w:val="21"/>
        </w:rPr>
      </w:pPr>
      <w:r>
        <w:rPr>
          <w:rFonts w:ascii="宋体" w:hAnsi="宋体"/>
          <w:szCs w:val="21"/>
        </w:rPr>
        <w:t>6.</w:t>
      </w:r>
      <w:r>
        <w:rPr>
          <w:rFonts w:hint="eastAsia" w:ascii="宋体" w:hAnsi="宋体"/>
          <w:szCs w:val="21"/>
        </w:rPr>
        <w:t>是否需要缴纳投标保证金：是。</w:t>
      </w:r>
    </w:p>
    <w:p w14:paraId="790C799E">
      <w:pPr>
        <w:wordWrap w:val="0"/>
        <w:spacing w:before="120" w:beforeLines="50" w:line="360" w:lineRule="auto"/>
        <w:rPr>
          <w:b/>
          <w:bCs/>
          <w:snapToGrid w:val="0"/>
          <w:kern w:val="0"/>
          <w:szCs w:val="21"/>
        </w:rPr>
      </w:pPr>
      <w:r>
        <w:rPr>
          <w:rFonts w:hint="eastAsia"/>
          <w:b/>
          <w:bCs/>
          <w:snapToGrid w:val="0"/>
          <w:kern w:val="0"/>
          <w:szCs w:val="21"/>
        </w:rPr>
        <w:t>七、对本次招标提出询问，请按以下方式联系。</w:t>
      </w:r>
      <w:bookmarkEnd w:id="55"/>
      <w:bookmarkEnd w:id="56"/>
      <w:bookmarkEnd w:id="57"/>
      <w:bookmarkEnd w:id="58"/>
      <w:bookmarkEnd w:id="59"/>
      <w:bookmarkEnd w:id="60"/>
      <w:bookmarkEnd w:id="61"/>
      <w:bookmarkEnd w:id="62"/>
    </w:p>
    <w:p w14:paraId="5E0F926A">
      <w:pPr>
        <w:spacing w:line="360" w:lineRule="auto"/>
        <w:ind w:firstLine="420" w:firstLineChars="200"/>
        <w:jc w:val="left"/>
        <w:rPr>
          <w:rFonts w:ascii="宋体" w:hAnsi="宋体"/>
        </w:rPr>
      </w:pPr>
      <w:r>
        <w:rPr>
          <w:rFonts w:hint="eastAsia" w:ascii="宋体" w:hAnsi="宋体"/>
        </w:rPr>
        <w:t>1.采购人信息</w:t>
      </w:r>
    </w:p>
    <w:p w14:paraId="4155DCFF">
      <w:pPr>
        <w:spacing w:line="360" w:lineRule="auto"/>
        <w:ind w:firstLine="420" w:firstLineChars="200"/>
        <w:jc w:val="left"/>
        <w:rPr>
          <w:rFonts w:ascii="宋体" w:hAnsi="宋体"/>
        </w:rPr>
      </w:pPr>
      <w:r>
        <w:rPr>
          <w:rFonts w:hint="eastAsia" w:ascii="宋体" w:hAnsi="宋体"/>
        </w:rPr>
        <w:t>名称：</w:t>
      </w:r>
      <w:r>
        <w:rPr>
          <w:rFonts w:hint="eastAsia" w:ascii="宋体" w:hAnsi="宋体"/>
          <w:szCs w:val="21"/>
        </w:rPr>
        <w:t>云南开放大学</w:t>
      </w:r>
    </w:p>
    <w:p w14:paraId="0F823FD2">
      <w:pPr>
        <w:spacing w:line="360" w:lineRule="auto"/>
        <w:ind w:firstLine="420" w:firstLineChars="200"/>
        <w:jc w:val="left"/>
        <w:rPr>
          <w:rFonts w:ascii="宋体" w:hAnsi="宋体"/>
        </w:rPr>
      </w:pPr>
      <w:r>
        <w:rPr>
          <w:rFonts w:hint="eastAsia" w:ascii="宋体" w:hAnsi="宋体"/>
        </w:rPr>
        <w:t>地址：</w:t>
      </w:r>
      <w:bookmarkStart w:id="63" w:name="_Toc28359086"/>
      <w:bookmarkStart w:id="64" w:name="_Toc28359009"/>
      <w:r>
        <w:rPr>
          <w:rFonts w:hint="eastAsia" w:ascii="宋体" w:hAnsi="宋体"/>
        </w:rPr>
        <w:t xml:space="preserve">云南省昆明市呈贡大学城启秀街318号 </w:t>
      </w:r>
    </w:p>
    <w:p w14:paraId="5EFB414B">
      <w:pPr>
        <w:spacing w:line="360" w:lineRule="auto"/>
        <w:ind w:firstLine="420" w:firstLineChars="200"/>
        <w:jc w:val="left"/>
        <w:rPr>
          <w:rFonts w:ascii="宋体" w:hAnsi="宋体"/>
        </w:rPr>
      </w:pPr>
      <w:r>
        <w:rPr>
          <w:rFonts w:hint="eastAsia" w:ascii="宋体" w:hAnsi="宋体"/>
        </w:rPr>
        <w:t>联系方式：任老师（</w:t>
      </w:r>
      <w:r>
        <w:rPr>
          <w:rFonts w:ascii="宋体" w:hAnsi="宋体"/>
        </w:rPr>
        <w:t>0871-65196605</w:t>
      </w:r>
      <w:r>
        <w:rPr>
          <w:rFonts w:hint="eastAsia" w:ascii="宋体" w:hAnsi="宋体"/>
        </w:rPr>
        <w:t>）</w:t>
      </w:r>
    </w:p>
    <w:p w14:paraId="2355B62A">
      <w:pPr>
        <w:spacing w:line="360" w:lineRule="auto"/>
        <w:ind w:firstLine="420" w:firstLineChars="200"/>
        <w:jc w:val="left"/>
        <w:rPr>
          <w:rFonts w:ascii="宋体" w:hAnsi="宋体"/>
        </w:rPr>
      </w:pPr>
      <w:r>
        <w:rPr>
          <w:rFonts w:hint="eastAsia" w:ascii="宋体" w:hAnsi="宋体"/>
        </w:rPr>
        <w:t>2.采购代理机构信息</w:t>
      </w:r>
      <w:bookmarkEnd w:id="63"/>
      <w:bookmarkEnd w:id="64"/>
    </w:p>
    <w:p w14:paraId="54090DB5">
      <w:pPr>
        <w:spacing w:line="360" w:lineRule="auto"/>
        <w:ind w:firstLine="420" w:firstLineChars="200"/>
        <w:jc w:val="left"/>
        <w:rPr>
          <w:rFonts w:ascii="宋体" w:hAnsi="宋体"/>
        </w:rPr>
      </w:pPr>
      <w:r>
        <w:rPr>
          <w:rFonts w:hint="eastAsia" w:ascii="宋体" w:hAnsi="宋体"/>
        </w:rPr>
        <w:t>名称：云南国内招标有限公司</w:t>
      </w:r>
    </w:p>
    <w:p w14:paraId="74F3EE94">
      <w:pPr>
        <w:spacing w:line="360" w:lineRule="auto"/>
        <w:ind w:firstLine="420" w:firstLineChars="200"/>
        <w:jc w:val="left"/>
        <w:rPr>
          <w:rFonts w:ascii="宋体" w:hAnsi="宋体"/>
        </w:rPr>
      </w:pPr>
      <w:r>
        <w:rPr>
          <w:rFonts w:hint="eastAsia" w:ascii="宋体" w:hAnsi="宋体"/>
        </w:rPr>
        <w:t>地址：</w:t>
      </w:r>
      <w:r>
        <w:rPr>
          <w:rFonts w:ascii="宋体" w:hAnsi="宋体"/>
        </w:rPr>
        <w:t>云南省</w:t>
      </w:r>
      <w:r>
        <w:rPr>
          <w:rFonts w:hint="eastAsia" w:ascii="宋体" w:hAnsi="宋体"/>
          <w:bCs/>
          <w:szCs w:val="21"/>
        </w:rPr>
        <w:t>昆明市丹霞路集成大厦11楼CD座</w:t>
      </w:r>
    </w:p>
    <w:p w14:paraId="794E9E2C">
      <w:pPr>
        <w:spacing w:line="360" w:lineRule="auto"/>
        <w:ind w:firstLine="420" w:firstLineChars="200"/>
        <w:jc w:val="left"/>
        <w:rPr>
          <w:rFonts w:ascii="宋体" w:hAnsi="宋体"/>
        </w:rPr>
      </w:pPr>
      <w:r>
        <w:rPr>
          <w:rFonts w:hint="eastAsia" w:ascii="宋体" w:hAnsi="宋体"/>
        </w:rPr>
        <w:t>联系方式：</w:t>
      </w:r>
      <w:bookmarkStart w:id="65" w:name="_Toc28359010"/>
      <w:bookmarkStart w:id="66" w:name="_Toc28359087"/>
      <w:r>
        <w:rPr>
          <w:rFonts w:ascii="宋体" w:hAnsi="宋体"/>
        </w:rPr>
        <w:t>13708867879</w:t>
      </w:r>
    </w:p>
    <w:p w14:paraId="6411A9C0">
      <w:pPr>
        <w:spacing w:line="360" w:lineRule="auto"/>
        <w:ind w:firstLine="420" w:firstLineChars="200"/>
        <w:jc w:val="left"/>
        <w:rPr>
          <w:rFonts w:ascii="宋体" w:hAnsi="宋体"/>
        </w:rPr>
      </w:pPr>
      <w:r>
        <w:rPr>
          <w:rFonts w:hint="eastAsia" w:ascii="宋体" w:hAnsi="宋体"/>
        </w:rPr>
        <w:t>3.项目</w:t>
      </w:r>
      <w:r>
        <w:rPr>
          <w:rFonts w:ascii="宋体" w:hAnsi="宋体"/>
        </w:rPr>
        <w:t>联系方式</w:t>
      </w:r>
      <w:bookmarkEnd w:id="65"/>
      <w:bookmarkEnd w:id="66"/>
    </w:p>
    <w:p w14:paraId="4B7E7950">
      <w:pPr>
        <w:spacing w:line="360" w:lineRule="auto"/>
        <w:ind w:firstLine="420" w:firstLineChars="200"/>
        <w:jc w:val="left"/>
        <w:rPr>
          <w:rFonts w:ascii="宋体" w:hAnsi="宋体"/>
        </w:rPr>
      </w:pPr>
      <w:r>
        <w:rPr>
          <w:rFonts w:hint="eastAsia" w:ascii="宋体" w:hAnsi="宋体"/>
        </w:rPr>
        <w:t>联系人：娄工  胡工</w:t>
      </w:r>
    </w:p>
    <w:p w14:paraId="482EF877">
      <w:pPr>
        <w:spacing w:line="360" w:lineRule="auto"/>
        <w:ind w:firstLine="420" w:firstLineChars="200"/>
        <w:jc w:val="left"/>
        <w:rPr>
          <w:rFonts w:ascii="宋体" w:hAnsi="宋体"/>
        </w:rPr>
      </w:pPr>
      <w:r>
        <w:rPr>
          <w:rFonts w:hint="eastAsia" w:ascii="宋体" w:hAnsi="宋体"/>
        </w:rPr>
        <w:t>电话：13708867879  13888453265</w:t>
      </w:r>
    </w:p>
    <w:p w14:paraId="5A4C1443"/>
    <w:p w14:paraId="04C4C338">
      <w:pPr>
        <w:wordWrap w:val="0"/>
        <w:rPr>
          <w:rFonts w:ascii="黑体"/>
          <w:snapToGrid w:val="0"/>
          <w:kern w:val="0"/>
        </w:rPr>
      </w:pPr>
      <w:r>
        <w:rPr>
          <w:rFonts w:hint="eastAsia" w:ascii="黑体"/>
          <w:snapToGrid w:val="0"/>
          <w:kern w:val="0"/>
        </w:rPr>
        <w:br w:type="page"/>
      </w:r>
    </w:p>
    <w:p w14:paraId="26184DCC">
      <w:pPr>
        <w:pStyle w:val="3"/>
        <w:widowControl w:val="0"/>
        <w:snapToGrid w:val="0"/>
        <w:spacing w:line="360" w:lineRule="auto"/>
        <w:jc w:val="center"/>
        <w:rPr>
          <w:rFonts w:ascii="黑体"/>
          <w:snapToGrid w:val="0"/>
        </w:rPr>
      </w:pPr>
      <w:bookmarkStart w:id="67" w:name="_Toc27298"/>
      <w:r>
        <w:rPr>
          <w:rFonts w:hint="eastAsia" w:ascii="黑体"/>
          <w:snapToGrid w:val="0"/>
        </w:rPr>
        <w:t>第二章  供应商须知及供应商须知前附表</w:t>
      </w:r>
      <w:bookmarkEnd w:id="0"/>
      <w:bookmarkEnd w:id="1"/>
      <w:bookmarkEnd w:id="2"/>
      <w:bookmarkEnd w:id="3"/>
      <w:bookmarkEnd w:id="67"/>
    </w:p>
    <w:p w14:paraId="289AA961">
      <w:pPr>
        <w:pStyle w:val="4"/>
      </w:pPr>
      <w:bookmarkStart w:id="68" w:name="_Toc270090081"/>
      <w:bookmarkStart w:id="69" w:name="_Toc260907969"/>
      <w:bookmarkStart w:id="70" w:name="_Toc1846"/>
      <w:bookmarkStart w:id="71" w:name="_Toc260908185"/>
      <w:bookmarkStart w:id="72" w:name="_Toc520748997"/>
      <w:bookmarkStart w:id="73" w:name="_Toc229583199"/>
      <w:bookmarkStart w:id="74" w:name="_Toc260907970"/>
      <w:bookmarkStart w:id="75" w:name="_Toc260908186"/>
      <w:bookmarkStart w:id="76" w:name="_Toc270090082"/>
      <w:bookmarkStart w:id="77" w:name="_Toc520748998"/>
      <w:r>
        <w:rPr>
          <w:rFonts w:hint="eastAsia"/>
        </w:rPr>
        <w:t>一、供应商须知前附表</w:t>
      </w:r>
      <w:bookmarkEnd w:id="68"/>
      <w:bookmarkEnd w:id="69"/>
      <w:bookmarkEnd w:id="70"/>
      <w:bookmarkEnd w:id="71"/>
      <w:bookmarkEnd w:id="72"/>
      <w:bookmarkEnd w:id="73"/>
    </w:p>
    <w:tbl>
      <w:tblPr>
        <w:tblStyle w:val="50"/>
        <w:tblW w:w="90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0"/>
        <w:gridCol w:w="2126"/>
        <w:gridCol w:w="5971"/>
      </w:tblGrid>
      <w:tr w14:paraId="4CC26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0" w:type="dxa"/>
            <w:tcBorders>
              <w:top w:val="single" w:color="auto" w:sz="4" w:space="0"/>
              <w:left w:val="single" w:color="auto" w:sz="4" w:space="0"/>
              <w:bottom w:val="single" w:color="auto" w:sz="4" w:space="0"/>
              <w:right w:val="single" w:color="auto" w:sz="4" w:space="0"/>
            </w:tcBorders>
            <w:vAlign w:val="center"/>
          </w:tcPr>
          <w:p w14:paraId="7075A0EE">
            <w:pPr>
              <w:snapToGrid w:val="0"/>
              <w:spacing w:line="300" w:lineRule="auto"/>
              <w:jc w:val="center"/>
              <w:rPr>
                <w:rFonts w:ascii="宋体" w:hAnsi="宋体"/>
                <w:snapToGrid w:val="0"/>
                <w:kern w:val="0"/>
                <w:szCs w:val="21"/>
              </w:rPr>
            </w:pPr>
            <w:r>
              <w:rPr>
                <w:rFonts w:ascii="宋体" w:hAnsi="宋体"/>
                <w:snapToGrid w:val="0"/>
                <w:kern w:val="0"/>
                <w:szCs w:val="21"/>
              </w:rPr>
              <w:t>条款号</w:t>
            </w:r>
          </w:p>
        </w:tc>
        <w:tc>
          <w:tcPr>
            <w:tcW w:w="2126" w:type="dxa"/>
            <w:tcBorders>
              <w:top w:val="single" w:color="auto" w:sz="4" w:space="0"/>
              <w:left w:val="single" w:color="auto" w:sz="4" w:space="0"/>
              <w:bottom w:val="single" w:color="auto" w:sz="4" w:space="0"/>
              <w:right w:val="single" w:color="auto" w:sz="4" w:space="0"/>
            </w:tcBorders>
            <w:vAlign w:val="center"/>
          </w:tcPr>
          <w:p w14:paraId="7153E5F1">
            <w:pPr>
              <w:snapToGrid w:val="0"/>
              <w:spacing w:line="300" w:lineRule="auto"/>
              <w:jc w:val="center"/>
              <w:rPr>
                <w:rFonts w:ascii="宋体" w:hAnsi="宋体"/>
                <w:snapToGrid w:val="0"/>
                <w:kern w:val="0"/>
                <w:szCs w:val="21"/>
              </w:rPr>
            </w:pPr>
            <w:r>
              <w:rPr>
                <w:rFonts w:hint="eastAsia" w:ascii="宋体" w:hAnsi="宋体"/>
                <w:snapToGrid w:val="0"/>
                <w:kern w:val="0"/>
                <w:szCs w:val="21"/>
              </w:rPr>
              <w:t>条款名称</w:t>
            </w:r>
          </w:p>
        </w:tc>
        <w:tc>
          <w:tcPr>
            <w:tcW w:w="5971" w:type="dxa"/>
            <w:tcBorders>
              <w:top w:val="single" w:color="auto" w:sz="4" w:space="0"/>
              <w:left w:val="single" w:color="auto" w:sz="4" w:space="0"/>
              <w:bottom w:val="single" w:color="auto" w:sz="4" w:space="0"/>
              <w:right w:val="single" w:color="auto" w:sz="4" w:space="0"/>
            </w:tcBorders>
            <w:vAlign w:val="center"/>
          </w:tcPr>
          <w:p w14:paraId="08E16E55">
            <w:pPr>
              <w:snapToGrid w:val="0"/>
              <w:spacing w:line="300" w:lineRule="auto"/>
              <w:jc w:val="center"/>
              <w:rPr>
                <w:rFonts w:ascii="宋体" w:hAnsi="宋体"/>
                <w:snapToGrid w:val="0"/>
                <w:kern w:val="0"/>
                <w:szCs w:val="21"/>
              </w:rPr>
            </w:pPr>
            <w:r>
              <w:rPr>
                <w:rFonts w:hint="eastAsia" w:ascii="宋体" w:hAnsi="宋体"/>
                <w:snapToGrid w:val="0"/>
                <w:kern w:val="0"/>
                <w:szCs w:val="21"/>
              </w:rPr>
              <w:t>编 列 内 容</w:t>
            </w:r>
          </w:p>
        </w:tc>
      </w:tr>
      <w:tr w14:paraId="6A140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0" w:type="dxa"/>
            <w:tcBorders>
              <w:top w:val="single" w:color="auto" w:sz="4" w:space="0"/>
              <w:left w:val="single" w:color="auto" w:sz="4" w:space="0"/>
              <w:bottom w:val="single" w:color="auto" w:sz="4" w:space="0"/>
              <w:right w:val="single" w:color="auto" w:sz="4" w:space="0"/>
            </w:tcBorders>
            <w:vAlign w:val="center"/>
          </w:tcPr>
          <w:p w14:paraId="54465ED9">
            <w:pPr>
              <w:snapToGrid w:val="0"/>
              <w:spacing w:line="300" w:lineRule="auto"/>
              <w:jc w:val="center"/>
              <w:rPr>
                <w:rFonts w:ascii="宋体" w:hAnsi="宋体"/>
                <w:snapToGrid w:val="0"/>
                <w:kern w:val="0"/>
                <w:szCs w:val="21"/>
              </w:rPr>
            </w:pPr>
            <w:r>
              <w:rPr>
                <w:rFonts w:ascii="宋体" w:hAnsi="宋体"/>
                <w:snapToGrid w:val="0"/>
                <w:kern w:val="0"/>
                <w:szCs w:val="21"/>
              </w:rPr>
              <w:t>1.1.2</w:t>
            </w:r>
          </w:p>
        </w:tc>
        <w:tc>
          <w:tcPr>
            <w:tcW w:w="2126" w:type="dxa"/>
            <w:tcBorders>
              <w:top w:val="single" w:color="auto" w:sz="4" w:space="0"/>
              <w:left w:val="single" w:color="auto" w:sz="4" w:space="0"/>
              <w:bottom w:val="single" w:color="auto" w:sz="4" w:space="0"/>
              <w:right w:val="single" w:color="auto" w:sz="4" w:space="0"/>
            </w:tcBorders>
            <w:vAlign w:val="center"/>
          </w:tcPr>
          <w:p w14:paraId="79BD390E">
            <w:pPr>
              <w:snapToGrid w:val="0"/>
              <w:spacing w:line="300" w:lineRule="auto"/>
              <w:jc w:val="center"/>
              <w:rPr>
                <w:rFonts w:ascii="宋体" w:hAnsi="宋体"/>
                <w:snapToGrid w:val="0"/>
                <w:kern w:val="0"/>
                <w:szCs w:val="21"/>
              </w:rPr>
            </w:pPr>
            <w:r>
              <w:rPr>
                <w:rFonts w:hint="eastAsia" w:ascii="宋体" w:hAnsi="宋体"/>
                <w:snapToGrid w:val="0"/>
                <w:kern w:val="0"/>
                <w:szCs w:val="21"/>
              </w:rPr>
              <w:t>采购人</w:t>
            </w:r>
          </w:p>
        </w:tc>
        <w:tc>
          <w:tcPr>
            <w:tcW w:w="5971" w:type="dxa"/>
            <w:tcBorders>
              <w:top w:val="single" w:color="auto" w:sz="4" w:space="0"/>
              <w:left w:val="single" w:color="auto" w:sz="4" w:space="0"/>
              <w:bottom w:val="single" w:color="auto" w:sz="4" w:space="0"/>
              <w:right w:val="single" w:color="auto" w:sz="4" w:space="0"/>
            </w:tcBorders>
            <w:vAlign w:val="center"/>
          </w:tcPr>
          <w:p w14:paraId="25D1D7D6">
            <w:pPr>
              <w:spacing w:line="300" w:lineRule="auto"/>
              <w:rPr>
                <w:rFonts w:ascii="宋体" w:hAnsi="宋体"/>
                <w:szCs w:val="21"/>
              </w:rPr>
            </w:pPr>
            <w:r>
              <w:rPr>
                <w:rFonts w:hint="eastAsia" w:ascii="宋体" w:hAnsi="宋体"/>
                <w:szCs w:val="21"/>
              </w:rPr>
              <w:t>名  称：云南开放大学</w:t>
            </w:r>
          </w:p>
          <w:p w14:paraId="7AA7A30E">
            <w:pPr>
              <w:spacing w:line="300" w:lineRule="auto"/>
              <w:rPr>
                <w:rFonts w:ascii="宋体" w:hAnsi="宋体"/>
                <w:szCs w:val="21"/>
              </w:rPr>
            </w:pPr>
            <w:r>
              <w:rPr>
                <w:rFonts w:hint="eastAsia" w:ascii="宋体" w:hAnsi="宋体"/>
                <w:szCs w:val="21"/>
              </w:rPr>
              <w:t>地  址：云南省昆明市呈贡大学城启秀街318号</w:t>
            </w:r>
          </w:p>
          <w:p w14:paraId="504EAF01">
            <w:pPr>
              <w:spacing w:line="300" w:lineRule="auto"/>
              <w:rPr>
                <w:rFonts w:ascii="宋体" w:hAnsi="宋体"/>
                <w:szCs w:val="21"/>
              </w:rPr>
            </w:pPr>
            <w:r>
              <w:rPr>
                <w:rFonts w:hint="eastAsia" w:ascii="宋体" w:hAnsi="宋体"/>
                <w:szCs w:val="21"/>
              </w:rPr>
              <w:t>联 系 人：任老师</w:t>
            </w:r>
          </w:p>
          <w:p w14:paraId="2A49A099">
            <w:pPr>
              <w:spacing w:line="300" w:lineRule="auto"/>
              <w:rPr>
                <w:rFonts w:ascii="宋体" w:hAnsi="宋体"/>
                <w:szCs w:val="21"/>
              </w:rPr>
            </w:pPr>
            <w:r>
              <w:rPr>
                <w:rFonts w:hint="eastAsia" w:ascii="宋体" w:hAnsi="宋体"/>
                <w:szCs w:val="21"/>
              </w:rPr>
              <w:t>联系电话：</w:t>
            </w:r>
            <w:r>
              <w:rPr>
                <w:rFonts w:ascii="宋体" w:hAnsi="宋体"/>
                <w:szCs w:val="21"/>
              </w:rPr>
              <w:t>0871-65196605</w:t>
            </w:r>
          </w:p>
        </w:tc>
      </w:tr>
      <w:tr w14:paraId="493A8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9" w:hRule="atLeast"/>
          <w:jc w:val="center"/>
        </w:trPr>
        <w:tc>
          <w:tcPr>
            <w:tcW w:w="960" w:type="dxa"/>
            <w:tcBorders>
              <w:top w:val="single" w:color="auto" w:sz="4" w:space="0"/>
              <w:left w:val="single" w:color="auto" w:sz="4" w:space="0"/>
              <w:bottom w:val="single" w:color="auto" w:sz="4" w:space="0"/>
              <w:right w:val="single" w:color="auto" w:sz="4" w:space="0"/>
            </w:tcBorders>
            <w:vAlign w:val="center"/>
          </w:tcPr>
          <w:p w14:paraId="3F9317CA">
            <w:pPr>
              <w:snapToGrid w:val="0"/>
              <w:spacing w:line="300" w:lineRule="auto"/>
              <w:jc w:val="center"/>
              <w:rPr>
                <w:rFonts w:ascii="宋体" w:hAnsi="宋体"/>
                <w:snapToGrid w:val="0"/>
                <w:kern w:val="0"/>
                <w:szCs w:val="21"/>
              </w:rPr>
            </w:pPr>
            <w:r>
              <w:rPr>
                <w:rFonts w:ascii="宋体" w:hAnsi="宋体"/>
                <w:snapToGrid w:val="0"/>
                <w:kern w:val="0"/>
                <w:szCs w:val="21"/>
              </w:rPr>
              <w:t>1.1.3</w:t>
            </w:r>
          </w:p>
        </w:tc>
        <w:tc>
          <w:tcPr>
            <w:tcW w:w="2126" w:type="dxa"/>
            <w:tcBorders>
              <w:top w:val="single" w:color="auto" w:sz="4" w:space="0"/>
              <w:left w:val="single" w:color="auto" w:sz="4" w:space="0"/>
              <w:bottom w:val="single" w:color="auto" w:sz="4" w:space="0"/>
              <w:right w:val="single" w:color="auto" w:sz="4" w:space="0"/>
            </w:tcBorders>
            <w:vAlign w:val="center"/>
          </w:tcPr>
          <w:p w14:paraId="2B20C298">
            <w:pPr>
              <w:snapToGrid w:val="0"/>
              <w:spacing w:line="300" w:lineRule="auto"/>
              <w:jc w:val="center"/>
              <w:rPr>
                <w:rFonts w:ascii="宋体" w:hAnsi="宋体"/>
                <w:snapToGrid w:val="0"/>
                <w:kern w:val="0"/>
                <w:szCs w:val="21"/>
              </w:rPr>
            </w:pPr>
            <w:r>
              <w:rPr>
                <w:rFonts w:hint="eastAsia" w:ascii="宋体" w:hAnsi="宋体"/>
                <w:snapToGrid w:val="0"/>
                <w:kern w:val="0"/>
                <w:szCs w:val="21"/>
              </w:rPr>
              <w:t>采购代理机构</w:t>
            </w:r>
          </w:p>
        </w:tc>
        <w:tc>
          <w:tcPr>
            <w:tcW w:w="5971" w:type="dxa"/>
            <w:tcBorders>
              <w:top w:val="single" w:color="auto" w:sz="4" w:space="0"/>
              <w:left w:val="single" w:color="auto" w:sz="4" w:space="0"/>
              <w:bottom w:val="single" w:color="auto" w:sz="4" w:space="0"/>
              <w:right w:val="single" w:color="auto" w:sz="4" w:space="0"/>
            </w:tcBorders>
            <w:vAlign w:val="center"/>
          </w:tcPr>
          <w:p w14:paraId="27147786">
            <w:pPr>
              <w:spacing w:line="300" w:lineRule="auto"/>
              <w:rPr>
                <w:rFonts w:ascii="宋体" w:hAnsi="宋体"/>
                <w:szCs w:val="21"/>
              </w:rPr>
            </w:pPr>
            <w:r>
              <w:rPr>
                <w:rFonts w:hint="eastAsia" w:ascii="宋体" w:hAnsi="宋体"/>
                <w:szCs w:val="21"/>
              </w:rPr>
              <w:t xml:space="preserve">名  称：云南国内招标有限公司 </w:t>
            </w:r>
          </w:p>
          <w:p w14:paraId="1C722065">
            <w:pPr>
              <w:spacing w:line="300" w:lineRule="auto"/>
              <w:rPr>
                <w:rFonts w:ascii="宋体" w:hAnsi="宋体"/>
                <w:szCs w:val="21"/>
              </w:rPr>
            </w:pPr>
            <w:r>
              <w:rPr>
                <w:rFonts w:hint="eastAsia" w:ascii="宋体" w:hAnsi="宋体"/>
                <w:szCs w:val="21"/>
              </w:rPr>
              <w:t>地  址：昆明市丹霞路集成大厦11楼CD座</w:t>
            </w:r>
          </w:p>
          <w:p w14:paraId="4C7D0774">
            <w:pPr>
              <w:spacing w:line="300" w:lineRule="auto"/>
              <w:rPr>
                <w:rFonts w:ascii="宋体" w:hAnsi="宋体"/>
                <w:szCs w:val="21"/>
              </w:rPr>
            </w:pPr>
            <w:r>
              <w:rPr>
                <w:rFonts w:hint="eastAsia" w:ascii="宋体" w:hAnsi="宋体"/>
                <w:szCs w:val="21"/>
              </w:rPr>
              <w:t>联系人：胡工、娄工</w:t>
            </w:r>
          </w:p>
          <w:p w14:paraId="5E7E5224">
            <w:pPr>
              <w:spacing w:line="300" w:lineRule="auto"/>
              <w:rPr>
                <w:rFonts w:ascii="宋体" w:hAnsi="宋体"/>
                <w:szCs w:val="21"/>
              </w:rPr>
            </w:pPr>
            <w:r>
              <w:rPr>
                <w:rFonts w:hint="eastAsia" w:ascii="宋体" w:hAnsi="宋体"/>
                <w:szCs w:val="21"/>
              </w:rPr>
              <w:t>联系电话：</w:t>
            </w:r>
            <w:r>
              <w:rPr>
                <w:rFonts w:ascii="宋体" w:hAnsi="宋体"/>
                <w:szCs w:val="21"/>
              </w:rPr>
              <w:t>13708867879</w:t>
            </w:r>
          </w:p>
          <w:p w14:paraId="49D6CBAD">
            <w:pPr>
              <w:spacing w:line="300" w:lineRule="auto"/>
              <w:rPr>
                <w:rFonts w:ascii="宋体" w:hAnsi="宋体"/>
                <w:smallCaps/>
                <w:szCs w:val="21"/>
              </w:rPr>
            </w:pPr>
            <w:r>
              <w:rPr>
                <w:rFonts w:ascii="宋体" w:hAnsi="宋体"/>
                <w:szCs w:val="21"/>
              </w:rPr>
              <w:t>邮箱：yngnzb</w:t>
            </w:r>
            <w:r>
              <w:rPr>
                <w:rFonts w:hint="eastAsia" w:ascii="宋体" w:hAnsi="宋体"/>
                <w:szCs w:val="21"/>
              </w:rPr>
              <w:t>@163.com</w:t>
            </w:r>
          </w:p>
        </w:tc>
      </w:tr>
      <w:tr w14:paraId="5EA90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0" w:type="dxa"/>
            <w:tcBorders>
              <w:top w:val="single" w:color="auto" w:sz="4" w:space="0"/>
              <w:left w:val="single" w:color="auto" w:sz="4" w:space="0"/>
              <w:bottom w:val="single" w:color="auto" w:sz="4" w:space="0"/>
              <w:right w:val="single" w:color="auto" w:sz="4" w:space="0"/>
            </w:tcBorders>
            <w:vAlign w:val="center"/>
          </w:tcPr>
          <w:p w14:paraId="2AB808B1">
            <w:pPr>
              <w:snapToGrid w:val="0"/>
              <w:spacing w:line="300" w:lineRule="auto"/>
              <w:jc w:val="center"/>
              <w:rPr>
                <w:rFonts w:ascii="宋体" w:hAnsi="宋体"/>
                <w:snapToGrid w:val="0"/>
                <w:kern w:val="0"/>
                <w:szCs w:val="21"/>
              </w:rPr>
            </w:pPr>
            <w:r>
              <w:rPr>
                <w:rFonts w:ascii="宋体" w:hAnsi="宋体"/>
                <w:snapToGrid w:val="0"/>
                <w:kern w:val="0"/>
                <w:szCs w:val="21"/>
              </w:rPr>
              <w:t>1.1.4</w:t>
            </w:r>
          </w:p>
        </w:tc>
        <w:tc>
          <w:tcPr>
            <w:tcW w:w="2126" w:type="dxa"/>
            <w:tcBorders>
              <w:top w:val="single" w:color="auto" w:sz="4" w:space="0"/>
              <w:left w:val="single" w:color="auto" w:sz="4" w:space="0"/>
              <w:bottom w:val="single" w:color="auto" w:sz="4" w:space="0"/>
              <w:right w:val="single" w:color="auto" w:sz="4" w:space="0"/>
            </w:tcBorders>
            <w:vAlign w:val="center"/>
          </w:tcPr>
          <w:p w14:paraId="00D0A74D">
            <w:pPr>
              <w:snapToGrid w:val="0"/>
              <w:spacing w:line="300" w:lineRule="auto"/>
              <w:jc w:val="center"/>
              <w:rPr>
                <w:rFonts w:ascii="宋体" w:hAnsi="宋体"/>
                <w:snapToGrid w:val="0"/>
                <w:kern w:val="0"/>
                <w:szCs w:val="21"/>
              </w:rPr>
            </w:pPr>
            <w:r>
              <w:rPr>
                <w:rFonts w:hint="eastAsia" w:ascii="宋体" w:hAnsi="宋体"/>
                <w:snapToGrid w:val="0"/>
                <w:kern w:val="0"/>
                <w:szCs w:val="21"/>
              </w:rPr>
              <w:t>项目名称</w:t>
            </w:r>
          </w:p>
        </w:tc>
        <w:tc>
          <w:tcPr>
            <w:tcW w:w="5971" w:type="dxa"/>
            <w:tcBorders>
              <w:top w:val="single" w:color="auto" w:sz="4" w:space="0"/>
              <w:left w:val="single" w:color="auto" w:sz="4" w:space="0"/>
              <w:bottom w:val="single" w:color="auto" w:sz="4" w:space="0"/>
              <w:right w:val="single" w:color="auto" w:sz="4" w:space="0"/>
            </w:tcBorders>
            <w:vAlign w:val="center"/>
          </w:tcPr>
          <w:p w14:paraId="53759AA3">
            <w:pPr>
              <w:snapToGrid w:val="0"/>
              <w:spacing w:line="300" w:lineRule="auto"/>
              <w:rPr>
                <w:rFonts w:hint="eastAsia" w:ascii="宋体" w:hAnsi="宋体" w:eastAsia="宋体"/>
                <w:snapToGrid w:val="0"/>
                <w:kern w:val="0"/>
                <w:szCs w:val="21"/>
                <w:lang w:eastAsia="zh-CN"/>
              </w:rPr>
            </w:pPr>
            <w:r>
              <w:rPr>
                <w:rFonts w:hint="eastAsia" w:ascii="宋体" w:hAnsi="宋体"/>
                <w:snapToGrid w:val="0"/>
                <w:kern w:val="0"/>
                <w:szCs w:val="21"/>
                <w:lang w:eastAsia="zh-CN"/>
              </w:rPr>
              <w:t>云南开放大学云南省干部在线学习学院2025年建设项目—学习平台设备运维项目（二次）</w:t>
            </w:r>
          </w:p>
        </w:tc>
      </w:tr>
      <w:tr w14:paraId="5473C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0" w:type="dxa"/>
            <w:tcBorders>
              <w:top w:val="single" w:color="auto" w:sz="4" w:space="0"/>
              <w:left w:val="single" w:color="auto" w:sz="4" w:space="0"/>
              <w:bottom w:val="single" w:color="auto" w:sz="4" w:space="0"/>
              <w:right w:val="single" w:color="auto" w:sz="4" w:space="0"/>
            </w:tcBorders>
            <w:vAlign w:val="center"/>
          </w:tcPr>
          <w:p w14:paraId="3CD24683">
            <w:pPr>
              <w:snapToGrid w:val="0"/>
              <w:spacing w:line="300" w:lineRule="auto"/>
              <w:jc w:val="center"/>
              <w:rPr>
                <w:rFonts w:ascii="宋体" w:hAnsi="宋体"/>
                <w:snapToGrid w:val="0"/>
                <w:kern w:val="0"/>
                <w:szCs w:val="21"/>
              </w:rPr>
            </w:pPr>
            <w:r>
              <w:rPr>
                <w:rFonts w:ascii="宋体" w:hAnsi="宋体"/>
                <w:snapToGrid w:val="0"/>
                <w:kern w:val="0"/>
                <w:szCs w:val="21"/>
              </w:rPr>
              <w:t>1.1.5</w:t>
            </w:r>
          </w:p>
        </w:tc>
        <w:tc>
          <w:tcPr>
            <w:tcW w:w="2126" w:type="dxa"/>
            <w:tcBorders>
              <w:top w:val="single" w:color="auto" w:sz="4" w:space="0"/>
              <w:left w:val="single" w:color="auto" w:sz="4" w:space="0"/>
              <w:bottom w:val="single" w:color="auto" w:sz="4" w:space="0"/>
              <w:right w:val="single" w:color="auto" w:sz="4" w:space="0"/>
            </w:tcBorders>
            <w:vAlign w:val="center"/>
          </w:tcPr>
          <w:p w14:paraId="19E913E2">
            <w:pPr>
              <w:snapToGrid w:val="0"/>
              <w:spacing w:line="300" w:lineRule="auto"/>
              <w:jc w:val="center"/>
              <w:rPr>
                <w:rFonts w:ascii="宋体" w:hAnsi="宋体"/>
                <w:snapToGrid w:val="0"/>
                <w:kern w:val="0"/>
                <w:szCs w:val="21"/>
              </w:rPr>
            </w:pPr>
            <w:r>
              <w:rPr>
                <w:rFonts w:hint="eastAsia" w:ascii="宋体" w:hAnsi="宋体"/>
                <w:snapToGrid w:val="0"/>
                <w:kern w:val="0"/>
                <w:szCs w:val="21"/>
              </w:rPr>
              <w:t>服务地点</w:t>
            </w:r>
          </w:p>
        </w:tc>
        <w:tc>
          <w:tcPr>
            <w:tcW w:w="5971" w:type="dxa"/>
            <w:tcBorders>
              <w:top w:val="single" w:color="auto" w:sz="4" w:space="0"/>
              <w:left w:val="single" w:color="auto" w:sz="4" w:space="0"/>
              <w:bottom w:val="single" w:color="auto" w:sz="4" w:space="0"/>
              <w:right w:val="single" w:color="auto" w:sz="4" w:space="0"/>
            </w:tcBorders>
            <w:vAlign w:val="center"/>
          </w:tcPr>
          <w:p w14:paraId="2C07354D">
            <w:pPr>
              <w:snapToGrid w:val="0"/>
              <w:spacing w:line="300" w:lineRule="auto"/>
              <w:rPr>
                <w:rFonts w:ascii="宋体" w:hAnsi="宋体"/>
                <w:snapToGrid w:val="0"/>
                <w:kern w:val="0"/>
                <w:szCs w:val="21"/>
              </w:rPr>
            </w:pPr>
            <w:r>
              <w:rPr>
                <w:rFonts w:hint="eastAsia" w:ascii="宋体" w:hAnsi="宋体" w:cs="宋体"/>
                <w:snapToGrid w:val="0"/>
                <w:kern w:val="0"/>
                <w:szCs w:val="21"/>
              </w:rPr>
              <w:t>见招标公告第一条中</w:t>
            </w:r>
            <w:r>
              <w:rPr>
                <w:rFonts w:hint="eastAsia" w:ascii="宋体" w:hAnsi="宋体" w:cs="宋体"/>
                <w:b/>
                <w:bCs/>
                <w:snapToGrid w:val="0"/>
                <w:kern w:val="0"/>
                <w:szCs w:val="21"/>
              </w:rPr>
              <w:t>“服务</w:t>
            </w:r>
            <w:r>
              <w:rPr>
                <w:rFonts w:ascii="宋体" w:hAnsi="宋体" w:cs="宋体"/>
                <w:b/>
                <w:bCs/>
                <w:snapToGrid w:val="0"/>
                <w:kern w:val="0"/>
                <w:szCs w:val="21"/>
              </w:rPr>
              <w:t>地点</w:t>
            </w:r>
            <w:r>
              <w:rPr>
                <w:rFonts w:hint="eastAsia" w:ascii="宋体" w:hAnsi="宋体" w:cs="宋体"/>
                <w:b/>
                <w:bCs/>
                <w:snapToGrid w:val="0"/>
                <w:kern w:val="0"/>
                <w:szCs w:val="21"/>
              </w:rPr>
              <w:t>”</w:t>
            </w:r>
          </w:p>
        </w:tc>
      </w:tr>
      <w:tr w14:paraId="61EEF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0" w:type="dxa"/>
            <w:tcBorders>
              <w:top w:val="single" w:color="auto" w:sz="4" w:space="0"/>
              <w:left w:val="single" w:color="auto" w:sz="4" w:space="0"/>
              <w:bottom w:val="single" w:color="auto" w:sz="4" w:space="0"/>
              <w:right w:val="single" w:color="auto" w:sz="4" w:space="0"/>
            </w:tcBorders>
            <w:vAlign w:val="center"/>
          </w:tcPr>
          <w:p w14:paraId="36020DB6">
            <w:pPr>
              <w:snapToGrid w:val="0"/>
              <w:spacing w:line="300" w:lineRule="auto"/>
              <w:jc w:val="center"/>
              <w:rPr>
                <w:rFonts w:ascii="宋体" w:hAnsi="宋体"/>
                <w:snapToGrid w:val="0"/>
                <w:kern w:val="0"/>
                <w:szCs w:val="21"/>
              </w:rPr>
            </w:pPr>
            <w:r>
              <w:rPr>
                <w:rFonts w:hint="eastAsia" w:ascii="宋体" w:hAnsi="宋体"/>
                <w:snapToGrid w:val="0"/>
                <w:kern w:val="0"/>
                <w:szCs w:val="21"/>
              </w:rPr>
              <w:t>1.2.1</w:t>
            </w:r>
          </w:p>
        </w:tc>
        <w:tc>
          <w:tcPr>
            <w:tcW w:w="2126" w:type="dxa"/>
            <w:tcBorders>
              <w:top w:val="single" w:color="auto" w:sz="4" w:space="0"/>
              <w:left w:val="single" w:color="auto" w:sz="4" w:space="0"/>
              <w:bottom w:val="single" w:color="auto" w:sz="4" w:space="0"/>
              <w:right w:val="single" w:color="auto" w:sz="4" w:space="0"/>
            </w:tcBorders>
            <w:vAlign w:val="center"/>
          </w:tcPr>
          <w:p w14:paraId="3F4C3A39">
            <w:pPr>
              <w:spacing w:line="300" w:lineRule="auto"/>
              <w:jc w:val="center"/>
              <w:rPr>
                <w:rFonts w:ascii="宋体" w:hAnsi="宋体"/>
                <w:snapToGrid w:val="0"/>
                <w:kern w:val="0"/>
                <w:szCs w:val="21"/>
              </w:rPr>
            </w:pPr>
            <w:r>
              <w:rPr>
                <w:rFonts w:hint="eastAsia" w:ascii="宋体" w:hAnsi="宋体"/>
                <w:snapToGrid w:val="0"/>
                <w:kern w:val="0"/>
                <w:szCs w:val="21"/>
              </w:rPr>
              <w:t>资金</w:t>
            </w:r>
            <w:r>
              <w:rPr>
                <w:rFonts w:ascii="宋体" w:hAnsi="宋体"/>
                <w:snapToGrid w:val="0"/>
                <w:kern w:val="0"/>
                <w:szCs w:val="21"/>
              </w:rPr>
              <w:t>来源</w:t>
            </w:r>
          </w:p>
        </w:tc>
        <w:tc>
          <w:tcPr>
            <w:tcW w:w="5971" w:type="dxa"/>
            <w:tcBorders>
              <w:top w:val="single" w:color="auto" w:sz="4" w:space="0"/>
              <w:left w:val="single" w:color="auto" w:sz="4" w:space="0"/>
              <w:bottom w:val="single" w:color="auto" w:sz="4" w:space="0"/>
              <w:right w:val="single" w:color="auto" w:sz="4" w:space="0"/>
            </w:tcBorders>
            <w:vAlign w:val="center"/>
          </w:tcPr>
          <w:p w14:paraId="7B1E9F18">
            <w:pPr>
              <w:snapToGrid w:val="0"/>
              <w:spacing w:line="300" w:lineRule="auto"/>
              <w:rPr>
                <w:rFonts w:ascii="宋体" w:hAnsi="宋体" w:cs="宋体"/>
                <w:snapToGrid w:val="0"/>
                <w:kern w:val="0"/>
                <w:szCs w:val="21"/>
              </w:rPr>
            </w:pPr>
            <w:r>
              <w:rPr>
                <w:rFonts w:hint="eastAsia" w:ascii="宋体" w:hAnsi="宋体" w:cs="宋体"/>
                <w:snapToGrid w:val="0"/>
                <w:kern w:val="0"/>
                <w:szCs w:val="21"/>
              </w:rPr>
              <w:t>财政</w:t>
            </w:r>
            <w:r>
              <w:rPr>
                <w:rFonts w:ascii="宋体" w:hAnsi="宋体" w:cs="宋体"/>
                <w:snapToGrid w:val="0"/>
                <w:kern w:val="0"/>
                <w:szCs w:val="21"/>
              </w:rPr>
              <w:t>拨款</w:t>
            </w:r>
          </w:p>
        </w:tc>
      </w:tr>
      <w:tr w14:paraId="5F8B8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0" w:type="dxa"/>
            <w:tcBorders>
              <w:top w:val="single" w:color="auto" w:sz="4" w:space="0"/>
              <w:left w:val="single" w:color="auto" w:sz="4" w:space="0"/>
              <w:bottom w:val="single" w:color="auto" w:sz="4" w:space="0"/>
              <w:right w:val="single" w:color="auto" w:sz="4" w:space="0"/>
            </w:tcBorders>
            <w:vAlign w:val="center"/>
          </w:tcPr>
          <w:p w14:paraId="67910CA6">
            <w:pPr>
              <w:snapToGrid w:val="0"/>
              <w:spacing w:line="300" w:lineRule="auto"/>
              <w:jc w:val="center"/>
              <w:rPr>
                <w:rFonts w:ascii="宋体" w:hAnsi="宋体"/>
                <w:snapToGrid w:val="0"/>
                <w:kern w:val="0"/>
                <w:szCs w:val="21"/>
              </w:rPr>
            </w:pPr>
            <w:r>
              <w:rPr>
                <w:rFonts w:hint="eastAsia" w:ascii="宋体" w:hAnsi="宋体"/>
                <w:snapToGrid w:val="0"/>
                <w:kern w:val="0"/>
                <w:szCs w:val="21"/>
              </w:rPr>
              <w:t>1.2.</w:t>
            </w:r>
            <w:r>
              <w:rPr>
                <w:rFonts w:ascii="宋体" w:hAnsi="宋体"/>
                <w:snapToGrid w:val="0"/>
                <w:kern w:val="0"/>
                <w:szCs w:val="21"/>
              </w:rPr>
              <w:t>2</w:t>
            </w:r>
          </w:p>
        </w:tc>
        <w:tc>
          <w:tcPr>
            <w:tcW w:w="2126" w:type="dxa"/>
            <w:tcBorders>
              <w:top w:val="single" w:color="auto" w:sz="4" w:space="0"/>
              <w:left w:val="single" w:color="auto" w:sz="4" w:space="0"/>
              <w:bottom w:val="single" w:color="auto" w:sz="4" w:space="0"/>
              <w:right w:val="single" w:color="auto" w:sz="4" w:space="0"/>
            </w:tcBorders>
            <w:vAlign w:val="center"/>
          </w:tcPr>
          <w:p w14:paraId="2853AAE3">
            <w:pPr>
              <w:spacing w:line="300" w:lineRule="auto"/>
              <w:jc w:val="center"/>
              <w:rPr>
                <w:rFonts w:ascii="宋体" w:hAnsi="宋体"/>
                <w:snapToGrid w:val="0"/>
                <w:kern w:val="0"/>
                <w:szCs w:val="21"/>
              </w:rPr>
            </w:pPr>
            <w:r>
              <w:rPr>
                <w:rFonts w:hint="eastAsia" w:ascii="宋体" w:hAnsi="宋体"/>
                <w:snapToGrid w:val="0"/>
                <w:kern w:val="0"/>
                <w:szCs w:val="21"/>
              </w:rPr>
              <w:t>采购预算</w:t>
            </w:r>
          </w:p>
        </w:tc>
        <w:tc>
          <w:tcPr>
            <w:tcW w:w="5971" w:type="dxa"/>
            <w:tcBorders>
              <w:top w:val="single" w:color="auto" w:sz="4" w:space="0"/>
              <w:left w:val="single" w:color="auto" w:sz="4" w:space="0"/>
              <w:bottom w:val="single" w:color="auto" w:sz="4" w:space="0"/>
              <w:right w:val="single" w:color="auto" w:sz="4" w:space="0"/>
            </w:tcBorders>
            <w:vAlign w:val="center"/>
          </w:tcPr>
          <w:p w14:paraId="75608B1A">
            <w:pPr>
              <w:snapToGrid w:val="0"/>
              <w:spacing w:line="300" w:lineRule="auto"/>
              <w:rPr>
                <w:rFonts w:ascii="宋体" w:hAnsi="宋体" w:cs="宋体"/>
                <w:snapToGrid w:val="0"/>
                <w:kern w:val="0"/>
                <w:szCs w:val="21"/>
              </w:rPr>
            </w:pPr>
            <w:r>
              <w:rPr>
                <w:rFonts w:hint="eastAsia" w:ascii="宋体" w:hAnsi="宋体" w:cs="宋体"/>
                <w:snapToGrid w:val="0"/>
                <w:kern w:val="0"/>
                <w:szCs w:val="21"/>
              </w:rPr>
              <w:t>见招标公告第一条中</w:t>
            </w:r>
            <w:r>
              <w:rPr>
                <w:rFonts w:hint="eastAsia" w:ascii="宋体" w:hAnsi="宋体" w:cs="宋体"/>
                <w:b/>
                <w:bCs/>
                <w:snapToGrid w:val="0"/>
                <w:kern w:val="0"/>
                <w:szCs w:val="21"/>
              </w:rPr>
              <w:t>“预算金额”</w:t>
            </w:r>
          </w:p>
        </w:tc>
      </w:tr>
      <w:tr w14:paraId="2B008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0" w:type="dxa"/>
            <w:tcBorders>
              <w:top w:val="single" w:color="auto" w:sz="4" w:space="0"/>
              <w:left w:val="single" w:color="auto" w:sz="4" w:space="0"/>
              <w:bottom w:val="single" w:color="auto" w:sz="4" w:space="0"/>
              <w:right w:val="single" w:color="auto" w:sz="4" w:space="0"/>
            </w:tcBorders>
            <w:vAlign w:val="center"/>
          </w:tcPr>
          <w:p w14:paraId="0A912791">
            <w:pPr>
              <w:snapToGrid w:val="0"/>
              <w:spacing w:line="300" w:lineRule="auto"/>
              <w:jc w:val="center"/>
              <w:rPr>
                <w:rFonts w:ascii="宋体" w:hAnsi="宋体"/>
                <w:snapToGrid w:val="0"/>
                <w:kern w:val="0"/>
                <w:szCs w:val="21"/>
              </w:rPr>
            </w:pPr>
            <w:r>
              <w:rPr>
                <w:rFonts w:hint="eastAsia" w:ascii="宋体" w:hAnsi="宋体"/>
                <w:snapToGrid w:val="0"/>
                <w:kern w:val="0"/>
                <w:szCs w:val="21"/>
              </w:rPr>
              <w:t>1.3.1</w:t>
            </w:r>
          </w:p>
        </w:tc>
        <w:tc>
          <w:tcPr>
            <w:tcW w:w="2126" w:type="dxa"/>
            <w:tcBorders>
              <w:top w:val="single" w:color="auto" w:sz="4" w:space="0"/>
              <w:left w:val="single" w:color="auto" w:sz="4" w:space="0"/>
              <w:bottom w:val="single" w:color="auto" w:sz="4" w:space="0"/>
              <w:right w:val="single" w:color="auto" w:sz="4" w:space="0"/>
            </w:tcBorders>
            <w:vAlign w:val="center"/>
          </w:tcPr>
          <w:p w14:paraId="6AEA2FC4">
            <w:pPr>
              <w:spacing w:line="300" w:lineRule="auto"/>
              <w:jc w:val="center"/>
              <w:rPr>
                <w:rFonts w:ascii="宋体" w:hAnsi="宋体"/>
                <w:snapToGrid w:val="0"/>
                <w:kern w:val="0"/>
                <w:szCs w:val="21"/>
              </w:rPr>
            </w:pPr>
            <w:r>
              <w:rPr>
                <w:rFonts w:hint="eastAsia" w:ascii="宋体" w:hAnsi="宋体"/>
                <w:snapToGrid w:val="0"/>
                <w:kern w:val="0"/>
                <w:szCs w:val="21"/>
              </w:rPr>
              <w:t>采购内容</w:t>
            </w:r>
          </w:p>
        </w:tc>
        <w:tc>
          <w:tcPr>
            <w:tcW w:w="5971" w:type="dxa"/>
            <w:tcBorders>
              <w:top w:val="single" w:color="auto" w:sz="4" w:space="0"/>
              <w:left w:val="single" w:color="auto" w:sz="4" w:space="0"/>
              <w:bottom w:val="single" w:color="auto" w:sz="4" w:space="0"/>
              <w:right w:val="single" w:color="auto" w:sz="4" w:space="0"/>
            </w:tcBorders>
            <w:vAlign w:val="center"/>
          </w:tcPr>
          <w:p w14:paraId="63C93811">
            <w:pPr>
              <w:spacing w:line="300" w:lineRule="auto"/>
              <w:rPr>
                <w:rFonts w:ascii="宋体" w:hAnsi="宋体" w:cs="宋体"/>
                <w:snapToGrid w:val="0"/>
                <w:kern w:val="0"/>
                <w:szCs w:val="21"/>
              </w:rPr>
            </w:pPr>
            <w:r>
              <w:rPr>
                <w:rFonts w:hint="eastAsia" w:ascii="宋体" w:hAnsi="宋体" w:cs="宋体"/>
                <w:snapToGrid w:val="0"/>
                <w:kern w:val="0"/>
                <w:szCs w:val="21"/>
              </w:rPr>
              <w:t>见招标公告第一条中</w:t>
            </w:r>
            <w:r>
              <w:rPr>
                <w:rFonts w:hint="eastAsia" w:ascii="宋体" w:hAnsi="宋体" w:cs="宋体"/>
                <w:b/>
                <w:bCs/>
                <w:snapToGrid w:val="0"/>
                <w:kern w:val="0"/>
                <w:szCs w:val="21"/>
              </w:rPr>
              <w:t>“采购</w:t>
            </w:r>
            <w:r>
              <w:rPr>
                <w:rFonts w:ascii="宋体" w:hAnsi="宋体" w:cs="宋体"/>
                <w:b/>
                <w:bCs/>
                <w:snapToGrid w:val="0"/>
                <w:kern w:val="0"/>
                <w:szCs w:val="21"/>
              </w:rPr>
              <w:t>内容</w:t>
            </w:r>
            <w:r>
              <w:rPr>
                <w:rFonts w:hint="eastAsia" w:ascii="宋体" w:hAnsi="宋体" w:cs="宋体"/>
                <w:b/>
                <w:bCs/>
                <w:snapToGrid w:val="0"/>
                <w:kern w:val="0"/>
                <w:szCs w:val="21"/>
              </w:rPr>
              <w:t>”</w:t>
            </w:r>
          </w:p>
        </w:tc>
      </w:tr>
      <w:tr w14:paraId="24525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0" w:type="dxa"/>
            <w:tcBorders>
              <w:top w:val="single" w:color="auto" w:sz="4" w:space="0"/>
              <w:left w:val="single" w:color="auto" w:sz="4" w:space="0"/>
              <w:bottom w:val="single" w:color="auto" w:sz="4" w:space="0"/>
              <w:right w:val="single" w:color="auto" w:sz="4" w:space="0"/>
            </w:tcBorders>
            <w:vAlign w:val="center"/>
          </w:tcPr>
          <w:p w14:paraId="10A661BA">
            <w:pPr>
              <w:snapToGrid w:val="0"/>
              <w:spacing w:line="300" w:lineRule="auto"/>
              <w:jc w:val="center"/>
              <w:rPr>
                <w:rFonts w:ascii="宋体" w:hAnsi="宋体"/>
                <w:snapToGrid w:val="0"/>
                <w:kern w:val="0"/>
                <w:szCs w:val="21"/>
              </w:rPr>
            </w:pPr>
            <w:r>
              <w:rPr>
                <w:rFonts w:ascii="宋体" w:hAnsi="宋体"/>
                <w:snapToGrid w:val="0"/>
                <w:kern w:val="0"/>
                <w:szCs w:val="21"/>
              </w:rPr>
              <w:t>1.3.</w:t>
            </w:r>
            <w:r>
              <w:rPr>
                <w:rFonts w:hint="eastAsia" w:ascii="宋体" w:hAnsi="宋体"/>
                <w:snapToGrid w:val="0"/>
                <w:kern w:val="0"/>
                <w:szCs w:val="21"/>
              </w:rPr>
              <w:t>2</w:t>
            </w:r>
          </w:p>
        </w:tc>
        <w:tc>
          <w:tcPr>
            <w:tcW w:w="2126" w:type="dxa"/>
            <w:tcBorders>
              <w:top w:val="single" w:color="auto" w:sz="4" w:space="0"/>
              <w:left w:val="single" w:color="auto" w:sz="4" w:space="0"/>
              <w:bottom w:val="single" w:color="auto" w:sz="4" w:space="0"/>
              <w:right w:val="single" w:color="auto" w:sz="4" w:space="0"/>
            </w:tcBorders>
            <w:vAlign w:val="center"/>
          </w:tcPr>
          <w:p w14:paraId="2BE35D07">
            <w:pPr>
              <w:spacing w:line="300" w:lineRule="auto"/>
              <w:jc w:val="center"/>
              <w:rPr>
                <w:rFonts w:ascii="宋体" w:hAnsi="宋体"/>
                <w:snapToGrid w:val="0"/>
                <w:kern w:val="0"/>
                <w:szCs w:val="21"/>
              </w:rPr>
            </w:pPr>
            <w:r>
              <w:rPr>
                <w:rFonts w:hint="eastAsia" w:ascii="宋体" w:hAnsi="宋体"/>
                <w:snapToGrid w:val="0"/>
                <w:kern w:val="0"/>
                <w:szCs w:val="21"/>
              </w:rPr>
              <w:t>服务期限</w:t>
            </w:r>
          </w:p>
        </w:tc>
        <w:tc>
          <w:tcPr>
            <w:tcW w:w="5971" w:type="dxa"/>
            <w:tcBorders>
              <w:top w:val="single" w:color="auto" w:sz="4" w:space="0"/>
              <w:left w:val="single" w:color="auto" w:sz="4" w:space="0"/>
              <w:bottom w:val="single" w:color="auto" w:sz="4" w:space="0"/>
              <w:right w:val="single" w:color="auto" w:sz="4" w:space="0"/>
            </w:tcBorders>
            <w:vAlign w:val="center"/>
          </w:tcPr>
          <w:p w14:paraId="68D88244">
            <w:pPr>
              <w:spacing w:line="300" w:lineRule="auto"/>
              <w:rPr>
                <w:rFonts w:ascii="宋体" w:hAnsi="宋体"/>
                <w:snapToGrid w:val="0"/>
                <w:kern w:val="0"/>
                <w:szCs w:val="21"/>
              </w:rPr>
            </w:pPr>
            <w:r>
              <w:rPr>
                <w:rFonts w:hint="eastAsia" w:ascii="宋体" w:hAnsi="宋体" w:cs="宋体"/>
                <w:snapToGrid w:val="0"/>
                <w:kern w:val="0"/>
                <w:szCs w:val="21"/>
              </w:rPr>
              <w:t>见招标公告第一条中</w:t>
            </w:r>
            <w:r>
              <w:rPr>
                <w:rFonts w:hint="eastAsia" w:ascii="宋体" w:hAnsi="宋体" w:cs="宋体"/>
                <w:b/>
                <w:bCs/>
                <w:snapToGrid w:val="0"/>
                <w:kern w:val="0"/>
                <w:szCs w:val="21"/>
              </w:rPr>
              <w:t>“服务期限”</w:t>
            </w:r>
          </w:p>
        </w:tc>
      </w:tr>
      <w:tr w14:paraId="4A19E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0" w:type="dxa"/>
            <w:tcBorders>
              <w:top w:val="single" w:color="auto" w:sz="4" w:space="0"/>
              <w:left w:val="single" w:color="auto" w:sz="4" w:space="0"/>
              <w:bottom w:val="single" w:color="auto" w:sz="4" w:space="0"/>
              <w:right w:val="single" w:color="auto" w:sz="4" w:space="0"/>
            </w:tcBorders>
            <w:vAlign w:val="center"/>
          </w:tcPr>
          <w:p w14:paraId="7A62DFA9">
            <w:pPr>
              <w:snapToGrid w:val="0"/>
              <w:spacing w:line="300" w:lineRule="auto"/>
              <w:jc w:val="center"/>
              <w:rPr>
                <w:rFonts w:ascii="宋体" w:hAnsi="宋体"/>
                <w:snapToGrid w:val="0"/>
                <w:kern w:val="0"/>
                <w:szCs w:val="21"/>
              </w:rPr>
            </w:pPr>
            <w:r>
              <w:rPr>
                <w:rFonts w:hint="eastAsia" w:ascii="宋体" w:hAnsi="宋体"/>
                <w:snapToGrid w:val="0"/>
                <w:kern w:val="0"/>
                <w:szCs w:val="21"/>
              </w:rPr>
              <w:t>1.3.3</w:t>
            </w:r>
          </w:p>
        </w:tc>
        <w:tc>
          <w:tcPr>
            <w:tcW w:w="2126" w:type="dxa"/>
            <w:tcBorders>
              <w:top w:val="single" w:color="auto" w:sz="4" w:space="0"/>
              <w:left w:val="single" w:color="auto" w:sz="4" w:space="0"/>
              <w:bottom w:val="single" w:color="auto" w:sz="4" w:space="0"/>
              <w:right w:val="single" w:color="auto" w:sz="4" w:space="0"/>
            </w:tcBorders>
            <w:vAlign w:val="center"/>
          </w:tcPr>
          <w:p w14:paraId="0D749186">
            <w:pPr>
              <w:snapToGrid w:val="0"/>
              <w:spacing w:line="300" w:lineRule="auto"/>
              <w:jc w:val="center"/>
              <w:rPr>
                <w:rFonts w:ascii="宋体" w:hAnsi="宋体"/>
                <w:snapToGrid w:val="0"/>
                <w:kern w:val="0"/>
                <w:szCs w:val="21"/>
              </w:rPr>
            </w:pPr>
            <w:r>
              <w:rPr>
                <w:rFonts w:hint="eastAsia" w:ascii="宋体" w:hAnsi="宋体"/>
                <w:snapToGrid w:val="0"/>
                <w:kern w:val="0"/>
                <w:szCs w:val="21"/>
              </w:rPr>
              <w:t>服务标准</w:t>
            </w:r>
          </w:p>
        </w:tc>
        <w:tc>
          <w:tcPr>
            <w:tcW w:w="5971" w:type="dxa"/>
            <w:tcBorders>
              <w:top w:val="single" w:color="auto" w:sz="4" w:space="0"/>
              <w:left w:val="single" w:color="auto" w:sz="4" w:space="0"/>
              <w:bottom w:val="single" w:color="auto" w:sz="4" w:space="0"/>
              <w:right w:val="single" w:color="auto" w:sz="4" w:space="0"/>
            </w:tcBorders>
            <w:vAlign w:val="center"/>
          </w:tcPr>
          <w:p w14:paraId="739AFFB5">
            <w:pPr>
              <w:autoSpaceDE w:val="0"/>
              <w:autoSpaceDN w:val="0"/>
              <w:adjustRightInd w:val="0"/>
              <w:snapToGrid w:val="0"/>
              <w:spacing w:line="300" w:lineRule="auto"/>
              <w:rPr>
                <w:rFonts w:ascii="宋体" w:hAnsi="宋体" w:cs="宋体"/>
                <w:snapToGrid w:val="0"/>
                <w:kern w:val="0"/>
                <w:szCs w:val="21"/>
              </w:rPr>
            </w:pPr>
            <w:r>
              <w:rPr>
                <w:rFonts w:hint="eastAsia" w:ascii="宋体" w:hAnsi="宋体" w:cs="宋体"/>
                <w:snapToGrid w:val="0"/>
                <w:kern w:val="0"/>
                <w:szCs w:val="21"/>
              </w:rPr>
              <w:t>见招标文件第六章。</w:t>
            </w:r>
          </w:p>
        </w:tc>
      </w:tr>
      <w:tr w14:paraId="34711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0" w:type="dxa"/>
            <w:tcBorders>
              <w:top w:val="single" w:color="auto" w:sz="4" w:space="0"/>
              <w:left w:val="single" w:color="auto" w:sz="4" w:space="0"/>
              <w:bottom w:val="single" w:color="auto" w:sz="4" w:space="0"/>
              <w:right w:val="single" w:color="auto" w:sz="4" w:space="0"/>
            </w:tcBorders>
            <w:vAlign w:val="center"/>
          </w:tcPr>
          <w:p w14:paraId="6D5FED15">
            <w:pPr>
              <w:snapToGrid w:val="0"/>
              <w:spacing w:line="300" w:lineRule="auto"/>
              <w:jc w:val="center"/>
              <w:rPr>
                <w:rFonts w:ascii="宋体" w:hAnsi="宋体"/>
                <w:snapToGrid w:val="0"/>
                <w:kern w:val="0"/>
                <w:szCs w:val="21"/>
              </w:rPr>
            </w:pPr>
            <w:r>
              <w:rPr>
                <w:rFonts w:ascii="宋体" w:hAnsi="宋体"/>
                <w:snapToGrid w:val="0"/>
                <w:kern w:val="0"/>
                <w:szCs w:val="21"/>
              </w:rPr>
              <w:t>1.4.1</w:t>
            </w:r>
          </w:p>
        </w:tc>
        <w:tc>
          <w:tcPr>
            <w:tcW w:w="2126" w:type="dxa"/>
            <w:tcBorders>
              <w:top w:val="single" w:color="auto" w:sz="4" w:space="0"/>
              <w:left w:val="single" w:color="auto" w:sz="4" w:space="0"/>
              <w:bottom w:val="single" w:color="auto" w:sz="4" w:space="0"/>
              <w:right w:val="single" w:color="auto" w:sz="4" w:space="0"/>
            </w:tcBorders>
            <w:vAlign w:val="center"/>
          </w:tcPr>
          <w:p w14:paraId="0B070020">
            <w:pPr>
              <w:snapToGrid w:val="0"/>
              <w:spacing w:line="300" w:lineRule="auto"/>
              <w:jc w:val="center"/>
              <w:rPr>
                <w:rFonts w:ascii="宋体" w:hAnsi="宋体"/>
                <w:snapToGrid w:val="0"/>
                <w:kern w:val="0"/>
                <w:szCs w:val="21"/>
              </w:rPr>
            </w:pPr>
            <w:r>
              <w:rPr>
                <w:rFonts w:hint="eastAsia" w:ascii="宋体" w:hAnsi="宋体"/>
                <w:snapToGrid w:val="0"/>
                <w:kern w:val="0"/>
                <w:szCs w:val="21"/>
              </w:rPr>
              <w:t>供应商资格要求</w:t>
            </w:r>
          </w:p>
        </w:tc>
        <w:tc>
          <w:tcPr>
            <w:tcW w:w="5971" w:type="dxa"/>
            <w:tcBorders>
              <w:top w:val="single" w:color="auto" w:sz="4" w:space="0"/>
              <w:left w:val="single" w:color="auto" w:sz="4" w:space="0"/>
              <w:bottom w:val="single" w:color="auto" w:sz="4" w:space="0"/>
              <w:right w:val="single" w:color="auto" w:sz="4" w:space="0"/>
            </w:tcBorders>
            <w:vAlign w:val="center"/>
          </w:tcPr>
          <w:p w14:paraId="74E8B7DD">
            <w:pPr>
              <w:autoSpaceDE w:val="0"/>
              <w:autoSpaceDN w:val="0"/>
              <w:adjustRightInd w:val="0"/>
              <w:snapToGrid w:val="0"/>
              <w:spacing w:line="300" w:lineRule="auto"/>
              <w:rPr>
                <w:rFonts w:ascii="宋体" w:hAnsi="宋体" w:cs="宋体"/>
                <w:snapToGrid w:val="0"/>
                <w:kern w:val="0"/>
                <w:szCs w:val="21"/>
              </w:rPr>
            </w:pPr>
            <w:r>
              <w:rPr>
                <w:rFonts w:hint="eastAsia" w:ascii="宋体" w:hAnsi="宋体" w:cs="宋体"/>
                <w:snapToGrid w:val="0"/>
                <w:kern w:val="0"/>
                <w:szCs w:val="21"/>
              </w:rPr>
              <w:t>见招标公告第二条</w:t>
            </w:r>
            <w:r>
              <w:rPr>
                <w:rFonts w:hint="eastAsia" w:ascii="宋体" w:hAnsi="宋体" w:cs="宋体"/>
                <w:b/>
                <w:bCs/>
                <w:snapToGrid w:val="0"/>
                <w:kern w:val="0"/>
                <w:szCs w:val="21"/>
              </w:rPr>
              <w:t>“供应商的资格要求”</w:t>
            </w:r>
          </w:p>
        </w:tc>
      </w:tr>
      <w:tr w14:paraId="0DD67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0" w:type="dxa"/>
            <w:tcBorders>
              <w:top w:val="single" w:color="auto" w:sz="4" w:space="0"/>
              <w:left w:val="single" w:color="auto" w:sz="4" w:space="0"/>
              <w:bottom w:val="single" w:color="auto" w:sz="4" w:space="0"/>
              <w:right w:val="single" w:color="auto" w:sz="4" w:space="0"/>
            </w:tcBorders>
            <w:vAlign w:val="center"/>
          </w:tcPr>
          <w:p w14:paraId="4BD094C2">
            <w:pPr>
              <w:snapToGrid w:val="0"/>
              <w:spacing w:line="300" w:lineRule="auto"/>
              <w:jc w:val="center"/>
              <w:rPr>
                <w:rFonts w:ascii="宋体" w:hAnsi="宋体"/>
                <w:snapToGrid w:val="0"/>
                <w:kern w:val="0"/>
                <w:szCs w:val="21"/>
              </w:rPr>
            </w:pPr>
            <w:r>
              <w:rPr>
                <w:rFonts w:ascii="宋体" w:hAnsi="宋体"/>
                <w:snapToGrid w:val="0"/>
                <w:kern w:val="0"/>
                <w:szCs w:val="21"/>
              </w:rPr>
              <w:t>1.4.2</w:t>
            </w:r>
          </w:p>
        </w:tc>
        <w:tc>
          <w:tcPr>
            <w:tcW w:w="2126" w:type="dxa"/>
            <w:tcBorders>
              <w:top w:val="single" w:color="auto" w:sz="4" w:space="0"/>
              <w:left w:val="single" w:color="auto" w:sz="4" w:space="0"/>
              <w:bottom w:val="single" w:color="auto" w:sz="4" w:space="0"/>
              <w:right w:val="single" w:color="auto" w:sz="4" w:space="0"/>
            </w:tcBorders>
            <w:vAlign w:val="center"/>
          </w:tcPr>
          <w:p w14:paraId="37473B93">
            <w:pPr>
              <w:snapToGrid w:val="0"/>
              <w:spacing w:line="300" w:lineRule="auto"/>
              <w:jc w:val="center"/>
              <w:rPr>
                <w:rFonts w:ascii="宋体" w:hAnsi="宋体"/>
                <w:snapToGrid w:val="0"/>
                <w:kern w:val="0"/>
                <w:szCs w:val="21"/>
              </w:rPr>
            </w:pPr>
            <w:r>
              <w:rPr>
                <w:rFonts w:hint="eastAsia" w:ascii="宋体" w:hAnsi="宋体"/>
                <w:snapToGrid w:val="0"/>
                <w:kern w:val="0"/>
                <w:szCs w:val="21"/>
              </w:rPr>
              <w:t>是否接受联合体投标</w:t>
            </w:r>
          </w:p>
        </w:tc>
        <w:tc>
          <w:tcPr>
            <w:tcW w:w="5971" w:type="dxa"/>
            <w:tcBorders>
              <w:top w:val="single" w:color="auto" w:sz="4" w:space="0"/>
              <w:left w:val="single" w:color="auto" w:sz="4" w:space="0"/>
              <w:bottom w:val="single" w:color="auto" w:sz="4" w:space="0"/>
              <w:right w:val="single" w:color="auto" w:sz="4" w:space="0"/>
            </w:tcBorders>
            <w:vAlign w:val="center"/>
          </w:tcPr>
          <w:p w14:paraId="1AE85030">
            <w:pPr>
              <w:spacing w:line="300" w:lineRule="auto"/>
              <w:rPr>
                <w:szCs w:val="21"/>
              </w:rPr>
            </w:pPr>
            <w:r>
              <w:rPr>
                <w:rFonts w:hint="eastAsia"/>
                <w:snapToGrid w:val="0"/>
                <w:kern w:val="0"/>
                <w:szCs w:val="21"/>
              </w:rPr>
              <w:t>不</w:t>
            </w:r>
            <w:r>
              <w:rPr>
                <w:snapToGrid w:val="0"/>
                <w:kern w:val="0"/>
                <w:szCs w:val="21"/>
              </w:rPr>
              <w:t>接受</w:t>
            </w:r>
          </w:p>
        </w:tc>
      </w:tr>
      <w:tr w14:paraId="6F4C9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1" w:hRule="atLeast"/>
          <w:jc w:val="center"/>
        </w:trPr>
        <w:tc>
          <w:tcPr>
            <w:tcW w:w="960" w:type="dxa"/>
            <w:tcBorders>
              <w:top w:val="single" w:color="auto" w:sz="4" w:space="0"/>
              <w:left w:val="single" w:color="auto" w:sz="4" w:space="0"/>
              <w:bottom w:val="single" w:color="auto" w:sz="4" w:space="0"/>
              <w:right w:val="single" w:color="auto" w:sz="4" w:space="0"/>
            </w:tcBorders>
            <w:vAlign w:val="center"/>
          </w:tcPr>
          <w:p w14:paraId="4A1024AD">
            <w:pPr>
              <w:snapToGrid w:val="0"/>
              <w:spacing w:line="300" w:lineRule="auto"/>
              <w:jc w:val="center"/>
              <w:rPr>
                <w:rFonts w:ascii="宋体" w:hAnsi="宋体"/>
                <w:snapToGrid w:val="0"/>
                <w:kern w:val="0"/>
                <w:szCs w:val="21"/>
              </w:rPr>
            </w:pPr>
            <w:r>
              <w:rPr>
                <w:rFonts w:hint="eastAsia" w:ascii="宋体" w:hAnsi="宋体"/>
                <w:snapToGrid w:val="0"/>
                <w:kern w:val="0"/>
                <w:szCs w:val="21"/>
              </w:rPr>
              <w:t>1.5.2</w:t>
            </w:r>
          </w:p>
        </w:tc>
        <w:tc>
          <w:tcPr>
            <w:tcW w:w="2126" w:type="dxa"/>
            <w:tcBorders>
              <w:top w:val="single" w:color="auto" w:sz="4" w:space="0"/>
              <w:left w:val="single" w:color="auto" w:sz="4" w:space="0"/>
              <w:bottom w:val="single" w:color="auto" w:sz="4" w:space="0"/>
              <w:right w:val="single" w:color="auto" w:sz="4" w:space="0"/>
            </w:tcBorders>
            <w:vAlign w:val="center"/>
          </w:tcPr>
          <w:p w14:paraId="7190CE58">
            <w:pPr>
              <w:snapToGrid w:val="0"/>
              <w:spacing w:line="300" w:lineRule="auto"/>
              <w:jc w:val="center"/>
              <w:rPr>
                <w:rFonts w:ascii="宋体" w:hAnsi="宋体"/>
                <w:snapToGrid w:val="0"/>
                <w:kern w:val="0"/>
                <w:szCs w:val="21"/>
              </w:rPr>
            </w:pPr>
            <w:r>
              <w:rPr>
                <w:rFonts w:hint="eastAsia" w:ascii="宋体" w:hAnsi="宋体"/>
                <w:snapToGrid w:val="0"/>
                <w:kern w:val="0"/>
                <w:szCs w:val="21"/>
              </w:rPr>
              <w:t>招标代理</w:t>
            </w:r>
            <w:r>
              <w:rPr>
                <w:rFonts w:ascii="宋体" w:hAnsi="宋体"/>
                <w:snapToGrid w:val="0"/>
                <w:kern w:val="0"/>
                <w:szCs w:val="21"/>
              </w:rPr>
              <w:t>服务费</w:t>
            </w:r>
          </w:p>
        </w:tc>
        <w:tc>
          <w:tcPr>
            <w:tcW w:w="5971" w:type="dxa"/>
            <w:tcBorders>
              <w:top w:val="single" w:color="auto" w:sz="4" w:space="0"/>
              <w:left w:val="single" w:color="auto" w:sz="4" w:space="0"/>
              <w:bottom w:val="single" w:color="auto" w:sz="4" w:space="0"/>
              <w:right w:val="single" w:color="auto" w:sz="4" w:space="0"/>
            </w:tcBorders>
            <w:vAlign w:val="center"/>
          </w:tcPr>
          <w:p w14:paraId="3A0FC303">
            <w:pPr>
              <w:spacing w:line="300" w:lineRule="auto"/>
              <w:rPr>
                <w:rFonts w:ascii="宋体" w:hAnsi="宋体"/>
                <w:szCs w:val="21"/>
              </w:rPr>
            </w:pPr>
            <w:r>
              <w:rPr>
                <w:rFonts w:hint="eastAsia" w:ascii="宋体" w:hAnsi="宋体"/>
                <w:szCs w:val="21"/>
              </w:rPr>
              <w:t>按</w:t>
            </w:r>
            <w:r>
              <w:rPr>
                <w:rFonts w:ascii="宋体" w:hAnsi="宋体"/>
                <w:szCs w:val="21"/>
              </w:rPr>
              <w:t>下表</w:t>
            </w:r>
            <w:r>
              <w:rPr>
                <w:rFonts w:hint="eastAsia" w:ascii="宋体" w:hAnsi="宋体"/>
                <w:szCs w:val="21"/>
              </w:rPr>
              <w:t>收费标准下浮20%</w:t>
            </w:r>
            <w:r>
              <w:rPr>
                <w:rFonts w:ascii="宋体" w:hAnsi="宋体"/>
                <w:szCs w:val="21"/>
              </w:rPr>
              <w:t>计算收取</w:t>
            </w:r>
            <w:r>
              <w:rPr>
                <w:rFonts w:hint="eastAsia" w:ascii="宋体" w:hAnsi="宋体"/>
                <w:szCs w:val="21"/>
              </w:rPr>
              <w:t>（以成交价为计费基数</w:t>
            </w:r>
            <w:r>
              <w:rPr>
                <w:rFonts w:ascii="宋体" w:hAnsi="宋体"/>
                <w:szCs w:val="21"/>
              </w:rPr>
              <w:t>）</w:t>
            </w:r>
            <w:r>
              <w:rPr>
                <w:rFonts w:hint="eastAsia" w:ascii="宋体" w:hAnsi="宋体"/>
                <w:szCs w:val="21"/>
              </w:rPr>
              <w:t>，由</w:t>
            </w:r>
            <w:r>
              <w:rPr>
                <w:rFonts w:ascii="宋体" w:hAnsi="宋体"/>
                <w:szCs w:val="21"/>
              </w:rPr>
              <w:t>成交供应商</w:t>
            </w:r>
            <w:r>
              <w:rPr>
                <w:rFonts w:hint="eastAsia" w:ascii="宋体" w:hAnsi="宋体"/>
                <w:szCs w:val="21"/>
              </w:rPr>
              <w:t>在领取成交通知书时向代理机构一次性支付。</w:t>
            </w:r>
          </w:p>
          <w:p w14:paraId="22BDAC30">
            <w:pPr>
              <w:spacing w:line="300" w:lineRule="auto"/>
              <w:ind w:firstLine="420"/>
              <w:jc w:val="center"/>
              <w:rPr>
                <w:rFonts w:ascii="宋体" w:hAnsi="宋体"/>
                <w:snapToGrid w:val="0"/>
                <w:kern w:val="0"/>
                <w:szCs w:val="21"/>
              </w:rPr>
            </w:pPr>
            <w:r>
              <w:rPr>
                <w:rFonts w:hint="eastAsia" w:ascii="宋体" w:hAnsi="宋体"/>
                <w:snapToGrid w:val="0"/>
                <w:kern w:val="0"/>
                <w:szCs w:val="21"/>
              </w:rPr>
              <w:t>招标代理服务收费标准（按差额定率累进法计算）</w:t>
            </w:r>
          </w:p>
          <w:tbl>
            <w:tblPr>
              <w:tblStyle w:val="50"/>
              <w:tblW w:w="579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676"/>
              <w:gridCol w:w="2115"/>
            </w:tblGrid>
            <w:tr w14:paraId="226F56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6" w:hRule="atLeast"/>
                <w:jc w:val="center"/>
              </w:trPr>
              <w:tc>
                <w:tcPr>
                  <w:tcW w:w="3676" w:type="dxa"/>
                  <w:tcBorders>
                    <w:top w:val="single" w:color="auto" w:sz="4" w:space="0"/>
                    <w:left w:val="single" w:color="auto" w:sz="4" w:space="0"/>
                    <w:bottom w:val="single" w:color="auto" w:sz="4" w:space="0"/>
                    <w:right w:val="single" w:color="auto" w:sz="4" w:space="0"/>
                  </w:tcBorders>
                </w:tcPr>
                <w:p w14:paraId="06A5C47A">
                  <w:pPr>
                    <w:spacing w:line="300" w:lineRule="auto"/>
                    <w:jc w:val="center"/>
                    <w:rPr>
                      <w:szCs w:val="21"/>
                    </w:rPr>
                  </w:pPr>
                  <w:r>
                    <w:rPr>
                      <w:szCs w:val="21"/>
                    </w:rPr>
                    <mc:AlternateContent>
                      <mc:Choice Requires="wps">
                        <w:drawing>
                          <wp:anchor distT="0" distB="0" distL="114300" distR="114300" simplePos="0" relativeHeight="251660288" behindDoc="0" locked="0" layoutInCell="0" allowOverlap="1">
                            <wp:simplePos x="0" y="0"/>
                            <wp:positionH relativeFrom="column">
                              <wp:posOffset>-114300</wp:posOffset>
                            </wp:positionH>
                            <wp:positionV relativeFrom="paragraph">
                              <wp:posOffset>-6350</wp:posOffset>
                            </wp:positionV>
                            <wp:extent cx="0" cy="0"/>
                            <wp:effectExtent l="0" t="0" r="0" b="0"/>
                            <wp:wrapNone/>
                            <wp:docPr id="1952666448" name="Line 2"/>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ln>
                                    <a:effectLst/>
                                  </wps:spPr>
                                  <wps:bodyPr/>
                                </wps:wsp>
                              </a:graphicData>
                            </a:graphic>
                          </wp:anchor>
                        </w:drawing>
                      </mc:Choice>
                      <mc:Fallback>
                        <w:pict>
                          <v:line id="Line 2" o:spid="_x0000_s1026" o:spt="20" style="position:absolute;left:0pt;margin-left:-9pt;margin-top:-0.5pt;height:0pt;width:0pt;z-index:251660288;mso-width-relative:page;mso-height-relative:page;" filled="f" stroked="t" coordsize="21600,21600" o:allowincell="f" o:gfxdata="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G0d729IAAAAJAQAADwAAAAAAAAABACAAAAAiAAAAZHJzL2Rv&#10;d25yZXYueG1sUEsBAhQAFAAAAAgAh07iQBR/KcfOAQAAsAMAAA4AAAAAAAAAAQAgAAAAIQEAAGRy&#10;cy9lMm9Eb2MueG1sUEsFBgAAAAAGAAYAWQEAAGEFAAAAAA==&#10;">
                            <v:fill on="f" focussize="0,0"/>
                            <v:stroke color="#000000" joinstyle="round"/>
                            <v:imagedata o:title=""/>
                            <o:lock v:ext="edit" aspectratio="f"/>
                          </v:line>
                        </w:pict>
                      </mc:Fallback>
                    </mc:AlternateContent>
                  </w:r>
                  <w:r>
                    <w:rPr>
                      <w:rFonts w:hint="eastAsia"/>
                      <w:szCs w:val="21"/>
                    </w:rPr>
                    <w:t>项目中标或成交</w:t>
                  </w:r>
                  <w:r>
                    <w:rPr>
                      <w:szCs w:val="21"/>
                    </w:rPr>
                    <w:t>金额</w:t>
                  </w:r>
                  <w:r>
                    <w:rPr>
                      <w:rFonts w:hint="eastAsia"/>
                      <w:szCs w:val="21"/>
                    </w:rPr>
                    <w:t>（</w:t>
                  </w:r>
                  <w:r>
                    <w:rPr>
                      <w:szCs w:val="21"/>
                    </w:rPr>
                    <w:t>万元）</w:t>
                  </w:r>
                </w:p>
              </w:tc>
              <w:tc>
                <w:tcPr>
                  <w:tcW w:w="2115" w:type="dxa"/>
                  <w:tcBorders>
                    <w:top w:val="single" w:color="auto" w:sz="4" w:space="0"/>
                    <w:left w:val="single" w:color="auto" w:sz="4" w:space="0"/>
                    <w:bottom w:val="single" w:color="auto" w:sz="4" w:space="0"/>
                    <w:right w:val="single" w:color="auto" w:sz="4" w:space="0"/>
                  </w:tcBorders>
                  <w:vAlign w:val="center"/>
                </w:tcPr>
                <w:p w14:paraId="60242D18">
                  <w:pPr>
                    <w:spacing w:line="300" w:lineRule="auto"/>
                    <w:jc w:val="center"/>
                    <w:rPr>
                      <w:szCs w:val="21"/>
                    </w:rPr>
                  </w:pPr>
                  <w:r>
                    <w:rPr>
                      <w:rFonts w:hint="eastAsia"/>
                      <w:szCs w:val="21"/>
                    </w:rPr>
                    <w:t>费率</w:t>
                  </w:r>
                </w:p>
              </w:tc>
            </w:tr>
            <w:tr w14:paraId="6C5E1A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3676" w:type="dxa"/>
                  <w:tcBorders>
                    <w:top w:val="single" w:color="auto" w:sz="4" w:space="0"/>
                    <w:left w:val="single" w:color="auto" w:sz="4" w:space="0"/>
                    <w:bottom w:val="single" w:color="auto" w:sz="4" w:space="0"/>
                    <w:right w:val="single" w:color="auto" w:sz="4" w:space="0"/>
                  </w:tcBorders>
                </w:tcPr>
                <w:p w14:paraId="50EDFE54">
                  <w:pPr>
                    <w:spacing w:line="300" w:lineRule="auto"/>
                    <w:jc w:val="center"/>
                    <w:rPr>
                      <w:szCs w:val="21"/>
                    </w:rPr>
                  </w:pPr>
                  <w:r>
                    <w:rPr>
                      <w:szCs w:val="21"/>
                    </w:rPr>
                    <w:t>100</w:t>
                  </w:r>
                  <w:r>
                    <w:rPr>
                      <w:rFonts w:hint="eastAsia"/>
                      <w:szCs w:val="21"/>
                    </w:rPr>
                    <w:t>以下</w:t>
                  </w:r>
                </w:p>
              </w:tc>
              <w:tc>
                <w:tcPr>
                  <w:tcW w:w="2115" w:type="dxa"/>
                  <w:tcBorders>
                    <w:top w:val="single" w:color="auto" w:sz="4" w:space="0"/>
                    <w:left w:val="single" w:color="auto" w:sz="4" w:space="0"/>
                    <w:bottom w:val="single" w:color="auto" w:sz="4" w:space="0"/>
                    <w:right w:val="single" w:color="auto" w:sz="4" w:space="0"/>
                  </w:tcBorders>
                </w:tcPr>
                <w:p w14:paraId="2A0B3217">
                  <w:pPr>
                    <w:spacing w:line="300" w:lineRule="auto"/>
                    <w:jc w:val="center"/>
                    <w:rPr>
                      <w:szCs w:val="21"/>
                    </w:rPr>
                  </w:pPr>
                  <w:r>
                    <w:rPr>
                      <w:szCs w:val="21"/>
                    </w:rPr>
                    <w:t>1.5%</w:t>
                  </w:r>
                </w:p>
              </w:tc>
            </w:tr>
            <w:tr w14:paraId="038EF2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3676" w:type="dxa"/>
                  <w:tcBorders>
                    <w:top w:val="single" w:color="auto" w:sz="4" w:space="0"/>
                    <w:left w:val="single" w:color="auto" w:sz="4" w:space="0"/>
                    <w:bottom w:val="single" w:color="auto" w:sz="4" w:space="0"/>
                    <w:right w:val="single" w:color="auto" w:sz="4" w:space="0"/>
                  </w:tcBorders>
                </w:tcPr>
                <w:p w14:paraId="698048F9">
                  <w:pPr>
                    <w:spacing w:line="300" w:lineRule="auto"/>
                    <w:jc w:val="center"/>
                    <w:rPr>
                      <w:szCs w:val="21"/>
                    </w:rPr>
                  </w:pPr>
                  <w:r>
                    <w:rPr>
                      <w:szCs w:val="21"/>
                    </w:rPr>
                    <w:t>100-500</w:t>
                  </w:r>
                </w:p>
              </w:tc>
              <w:tc>
                <w:tcPr>
                  <w:tcW w:w="2115" w:type="dxa"/>
                  <w:tcBorders>
                    <w:top w:val="single" w:color="auto" w:sz="4" w:space="0"/>
                    <w:left w:val="single" w:color="auto" w:sz="4" w:space="0"/>
                    <w:bottom w:val="single" w:color="auto" w:sz="4" w:space="0"/>
                    <w:right w:val="single" w:color="auto" w:sz="4" w:space="0"/>
                  </w:tcBorders>
                </w:tcPr>
                <w:p w14:paraId="7291858F">
                  <w:pPr>
                    <w:spacing w:line="300" w:lineRule="auto"/>
                    <w:jc w:val="center"/>
                    <w:rPr>
                      <w:szCs w:val="21"/>
                    </w:rPr>
                  </w:pPr>
                  <w:r>
                    <w:rPr>
                      <w:szCs w:val="21"/>
                    </w:rPr>
                    <w:t>0.8%</w:t>
                  </w:r>
                </w:p>
              </w:tc>
            </w:tr>
            <w:tr w14:paraId="00685F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3676" w:type="dxa"/>
                  <w:tcBorders>
                    <w:top w:val="single" w:color="auto" w:sz="4" w:space="0"/>
                    <w:left w:val="single" w:color="auto" w:sz="4" w:space="0"/>
                    <w:bottom w:val="single" w:color="auto" w:sz="4" w:space="0"/>
                    <w:right w:val="single" w:color="auto" w:sz="4" w:space="0"/>
                  </w:tcBorders>
                </w:tcPr>
                <w:p w14:paraId="37ACC14C">
                  <w:pPr>
                    <w:spacing w:line="300" w:lineRule="auto"/>
                    <w:jc w:val="center"/>
                    <w:rPr>
                      <w:szCs w:val="21"/>
                    </w:rPr>
                  </w:pPr>
                  <w:r>
                    <w:rPr>
                      <w:szCs w:val="21"/>
                    </w:rPr>
                    <w:t>500-1000</w:t>
                  </w:r>
                </w:p>
              </w:tc>
              <w:tc>
                <w:tcPr>
                  <w:tcW w:w="2115" w:type="dxa"/>
                  <w:tcBorders>
                    <w:top w:val="single" w:color="auto" w:sz="4" w:space="0"/>
                    <w:left w:val="single" w:color="auto" w:sz="4" w:space="0"/>
                    <w:bottom w:val="single" w:color="auto" w:sz="4" w:space="0"/>
                    <w:right w:val="single" w:color="auto" w:sz="4" w:space="0"/>
                  </w:tcBorders>
                </w:tcPr>
                <w:p w14:paraId="76FB2ABD">
                  <w:pPr>
                    <w:spacing w:line="300" w:lineRule="auto"/>
                    <w:jc w:val="center"/>
                    <w:rPr>
                      <w:szCs w:val="21"/>
                    </w:rPr>
                  </w:pPr>
                  <w:r>
                    <w:rPr>
                      <w:szCs w:val="21"/>
                    </w:rPr>
                    <w:t>0.45%</w:t>
                  </w:r>
                </w:p>
              </w:tc>
            </w:tr>
          </w:tbl>
          <w:p w14:paraId="39F3282B">
            <w:pPr>
              <w:spacing w:line="300" w:lineRule="auto"/>
              <w:rPr>
                <w:szCs w:val="21"/>
              </w:rPr>
            </w:pPr>
          </w:p>
        </w:tc>
      </w:tr>
      <w:tr w14:paraId="11FEE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0" w:type="dxa"/>
            <w:tcBorders>
              <w:top w:val="single" w:color="auto" w:sz="4" w:space="0"/>
              <w:left w:val="single" w:color="auto" w:sz="4" w:space="0"/>
              <w:bottom w:val="single" w:color="auto" w:sz="4" w:space="0"/>
              <w:right w:val="single" w:color="auto" w:sz="4" w:space="0"/>
            </w:tcBorders>
            <w:vAlign w:val="center"/>
          </w:tcPr>
          <w:p w14:paraId="3FCACC6E">
            <w:pPr>
              <w:snapToGrid w:val="0"/>
              <w:spacing w:line="300" w:lineRule="auto"/>
              <w:jc w:val="center"/>
              <w:rPr>
                <w:rFonts w:ascii="宋体" w:hAnsi="宋体"/>
                <w:snapToGrid w:val="0"/>
                <w:kern w:val="0"/>
                <w:szCs w:val="21"/>
              </w:rPr>
            </w:pPr>
            <w:r>
              <w:rPr>
                <w:rFonts w:ascii="宋体" w:hAnsi="宋体"/>
                <w:snapToGrid w:val="0"/>
                <w:kern w:val="0"/>
                <w:szCs w:val="21"/>
              </w:rPr>
              <w:t>1.10</w:t>
            </w:r>
          </w:p>
        </w:tc>
        <w:tc>
          <w:tcPr>
            <w:tcW w:w="2126" w:type="dxa"/>
            <w:tcBorders>
              <w:top w:val="single" w:color="auto" w:sz="4" w:space="0"/>
              <w:left w:val="single" w:color="auto" w:sz="4" w:space="0"/>
              <w:bottom w:val="single" w:color="auto" w:sz="4" w:space="0"/>
              <w:right w:val="single" w:color="auto" w:sz="4" w:space="0"/>
            </w:tcBorders>
            <w:vAlign w:val="center"/>
          </w:tcPr>
          <w:p w14:paraId="712DD7E5">
            <w:pPr>
              <w:snapToGrid w:val="0"/>
              <w:spacing w:line="300" w:lineRule="auto"/>
              <w:jc w:val="center"/>
              <w:rPr>
                <w:rFonts w:ascii="宋体" w:hAnsi="宋体"/>
                <w:snapToGrid w:val="0"/>
                <w:kern w:val="0"/>
                <w:szCs w:val="21"/>
              </w:rPr>
            </w:pPr>
            <w:r>
              <w:rPr>
                <w:rFonts w:hint="eastAsia" w:ascii="宋体" w:hAnsi="宋体"/>
                <w:snapToGrid w:val="0"/>
                <w:kern w:val="0"/>
                <w:szCs w:val="21"/>
              </w:rPr>
              <w:t>踏勘现场</w:t>
            </w:r>
          </w:p>
        </w:tc>
        <w:tc>
          <w:tcPr>
            <w:tcW w:w="5971" w:type="dxa"/>
            <w:tcBorders>
              <w:top w:val="single" w:color="auto" w:sz="4" w:space="0"/>
              <w:left w:val="single" w:color="auto" w:sz="4" w:space="0"/>
              <w:bottom w:val="single" w:color="auto" w:sz="4" w:space="0"/>
              <w:right w:val="single" w:color="auto" w:sz="4" w:space="0"/>
            </w:tcBorders>
            <w:vAlign w:val="center"/>
          </w:tcPr>
          <w:p w14:paraId="672B1EDF">
            <w:pPr>
              <w:snapToGrid w:val="0"/>
              <w:spacing w:line="300" w:lineRule="auto"/>
              <w:rPr>
                <w:rFonts w:ascii="宋体" w:hAnsi="宋体"/>
                <w:snapToGrid w:val="0"/>
                <w:kern w:val="0"/>
                <w:szCs w:val="21"/>
              </w:rPr>
            </w:pPr>
            <w:r>
              <w:rPr>
                <w:rFonts w:hint="eastAsia" w:ascii="宋体" w:hAnsi="宋体"/>
                <w:snapToGrid w:val="0"/>
                <w:kern w:val="0"/>
                <w:szCs w:val="21"/>
              </w:rPr>
              <w:t>不组织</w:t>
            </w:r>
          </w:p>
        </w:tc>
      </w:tr>
      <w:tr w14:paraId="31FDD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0" w:type="dxa"/>
            <w:tcBorders>
              <w:top w:val="single" w:color="auto" w:sz="4" w:space="0"/>
              <w:left w:val="single" w:color="auto" w:sz="4" w:space="0"/>
              <w:bottom w:val="single" w:color="auto" w:sz="4" w:space="0"/>
              <w:right w:val="single" w:color="auto" w:sz="4" w:space="0"/>
            </w:tcBorders>
            <w:vAlign w:val="center"/>
          </w:tcPr>
          <w:p w14:paraId="643EB4A7">
            <w:pPr>
              <w:snapToGrid w:val="0"/>
              <w:spacing w:line="300" w:lineRule="auto"/>
              <w:jc w:val="center"/>
              <w:rPr>
                <w:rFonts w:ascii="宋体" w:hAnsi="宋体"/>
                <w:snapToGrid w:val="0"/>
                <w:kern w:val="0"/>
                <w:szCs w:val="21"/>
              </w:rPr>
            </w:pPr>
            <w:r>
              <w:rPr>
                <w:rFonts w:ascii="宋体" w:hAnsi="宋体"/>
                <w:snapToGrid w:val="0"/>
                <w:kern w:val="0"/>
                <w:szCs w:val="21"/>
              </w:rPr>
              <w:t>1.11.1</w:t>
            </w:r>
          </w:p>
        </w:tc>
        <w:tc>
          <w:tcPr>
            <w:tcW w:w="2126" w:type="dxa"/>
            <w:tcBorders>
              <w:top w:val="single" w:color="auto" w:sz="4" w:space="0"/>
              <w:left w:val="single" w:color="auto" w:sz="4" w:space="0"/>
              <w:bottom w:val="single" w:color="auto" w:sz="4" w:space="0"/>
              <w:right w:val="single" w:color="auto" w:sz="4" w:space="0"/>
            </w:tcBorders>
            <w:vAlign w:val="center"/>
          </w:tcPr>
          <w:p w14:paraId="7AAB83DF">
            <w:pPr>
              <w:snapToGrid w:val="0"/>
              <w:spacing w:line="300" w:lineRule="auto"/>
              <w:jc w:val="center"/>
              <w:rPr>
                <w:rFonts w:ascii="宋体" w:hAnsi="宋体"/>
                <w:snapToGrid w:val="0"/>
                <w:kern w:val="0"/>
                <w:szCs w:val="21"/>
              </w:rPr>
            </w:pPr>
            <w:r>
              <w:rPr>
                <w:rFonts w:hint="eastAsia" w:ascii="宋体" w:hAnsi="宋体"/>
                <w:snapToGrid w:val="0"/>
                <w:kern w:val="0"/>
                <w:szCs w:val="21"/>
              </w:rPr>
              <w:t>投标预备会</w:t>
            </w:r>
          </w:p>
        </w:tc>
        <w:tc>
          <w:tcPr>
            <w:tcW w:w="5971" w:type="dxa"/>
            <w:tcBorders>
              <w:top w:val="single" w:color="auto" w:sz="4" w:space="0"/>
              <w:left w:val="single" w:color="auto" w:sz="4" w:space="0"/>
              <w:bottom w:val="single" w:color="auto" w:sz="4" w:space="0"/>
              <w:right w:val="single" w:color="auto" w:sz="4" w:space="0"/>
            </w:tcBorders>
            <w:vAlign w:val="center"/>
          </w:tcPr>
          <w:p w14:paraId="7B966DAB">
            <w:pPr>
              <w:snapToGrid w:val="0"/>
              <w:spacing w:line="300" w:lineRule="auto"/>
              <w:rPr>
                <w:rFonts w:ascii="宋体" w:hAnsi="宋体"/>
                <w:snapToGrid w:val="0"/>
                <w:kern w:val="0"/>
                <w:szCs w:val="21"/>
              </w:rPr>
            </w:pPr>
            <w:r>
              <w:rPr>
                <w:rFonts w:hint="eastAsia" w:ascii="宋体" w:hAnsi="宋体"/>
                <w:snapToGrid w:val="0"/>
                <w:kern w:val="0"/>
                <w:szCs w:val="21"/>
              </w:rPr>
              <w:t>不召开</w:t>
            </w:r>
          </w:p>
        </w:tc>
      </w:tr>
      <w:tr w14:paraId="08073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jc w:val="center"/>
        </w:trPr>
        <w:tc>
          <w:tcPr>
            <w:tcW w:w="960" w:type="dxa"/>
            <w:tcBorders>
              <w:top w:val="single" w:color="auto" w:sz="4" w:space="0"/>
              <w:left w:val="single" w:color="auto" w:sz="4" w:space="0"/>
              <w:bottom w:val="single" w:color="auto" w:sz="4" w:space="0"/>
              <w:right w:val="single" w:color="auto" w:sz="4" w:space="0"/>
            </w:tcBorders>
            <w:vAlign w:val="center"/>
          </w:tcPr>
          <w:p w14:paraId="68D14718">
            <w:pPr>
              <w:snapToGrid w:val="0"/>
              <w:spacing w:line="300" w:lineRule="auto"/>
              <w:jc w:val="center"/>
              <w:rPr>
                <w:rFonts w:ascii="宋体" w:hAnsi="宋体"/>
                <w:snapToGrid w:val="0"/>
                <w:kern w:val="0"/>
                <w:szCs w:val="21"/>
              </w:rPr>
            </w:pPr>
            <w:r>
              <w:rPr>
                <w:rFonts w:ascii="宋体" w:hAnsi="宋体"/>
                <w:snapToGrid w:val="0"/>
                <w:kern w:val="0"/>
                <w:szCs w:val="21"/>
              </w:rPr>
              <w:t>1.11.2</w:t>
            </w:r>
          </w:p>
        </w:tc>
        <w:tc>
          <w:tcPr>
            <w:tcW w:w="2126" w:type="dxa"/>
            <w:tcBorders>
              <w:top w:val="single" w:color="auto" w:sz="4" w:space="0"/>
              <w:left w:val="single" w:color="auto" w:sz="4" w:space="0"/>
              <w:bottom w:val="single" w:color="auto" w:sz="4" w:space="0"/>
              <w:right w:val="single" w:color="auto" w:sz="4" w:space="0"/>
            </w:tcBorders>
            <w:vAlign w:val="center"/>
          </w:tcPr>
          <w:p w14:paraId="65AA5E41">
            <w:pPr>
              <w:snapToGrid w:val="0"/>
              <w:spacing w:line="300" w:lineRule="auto"/>
              <w:jc w:val="center"/>
              <w:rPr>
                <w:rFonts w:ascii="宋体" w:hAnsi="宋体"/>
                <w:snapToGrid w:val="0"/>
                <w:kern w:val="0"/>
                <w:szCs w:val="21"/>
              </w:rPr>
            </w:pPr>
            <w:r>
              <w:rPr>
                <w:rFonts w:hint="eastAsia" w:ascii="宋体" w:hAnsi="宋体"/>
                <w:snapToGrid w:val="0"/>
                <w:kern w:val="0"/>
                <w:szCs w:val="21"/>
              </w:rPr>
              <w:t>供应商提出问题的截止时间和方法</w:t>
            </w:r>
          </w:p>
        </w:tc>
        <w:tc>
          <w:tcPr>
            <w:tcW w:w="5971" w:type="dxa"/>
            <w:tcBorders>
              <w:top w:val="single" w:color="auto" w:sz="4" w:space="0"/>
              <w:left w:val="single" w:color="auto" w:sz="4" w:space="0"/>
              <w:bottom w:val="single" w:color="auto" w:sz="4" w:space="0"/>
              <w:right w:val="single" w:color="auto" w:sz="4" w:space="0"/>
            </w:tcBorders>
            <w:vAlign w:val="center"/>
          </w:tcPr>
          <w:p w14:paraId="34661CE0">
            <w:pPr>
              <w:snapToGrid w:val="0"/>
              <w:spacing w:line="300" w:lineRule="auto"/>
              <w:rPr>
                <w:rFonts w:ascii="宋体" w:hAnsi="宋体"/>
                <w:snapToGrid w:val="0"/>
                <w:kern w:val="0"/>
                <w:szCs w:val="21"/>
              </w:rPr>
            </w:pPr>
            <w:r>
              <w:rPr>
                <w:rFonts w:hint="eastAsia" w:ascii="宋体" w:hAnsi="宋体" w:cs="宋体"/>
                <w:snapToGrid w:val="0"/>
                <w:kern w:val="0"/>
                <w:szCs w:val="21"/>
              </w:rPr>
              <w:t>在</w:t>
            </w:r>
            <w:r>
              <w:rPr>
                <w:rFonts w:ascii="宋体" w:hAnsi="宋体" w:cs="宋体"/>
                <w:snapToGrid w:val="0"/>
                <w:kern w:val="0"/>
                <w:szCs w:val="21"/>
              </w:rPr>
              <w:t>投标截止时间前</w:t>
            </w:r>
            <w:r>
              <w:rPr>
                <w:rFonts w:hint="eastAsia" w:ascii="宋体" w:hAnsi="宋体" w:cs="宋体"/>
                <w:snapToGrid w:val="0"/>
                <w:kern w:val="0"/>
                <w:szCs w:val="21"/>
              </w:rPr>
              <w:t>10日前</w:t>
            </w:r>
            <w:r>
              <w:rPr>
                <w:rFonts w:ascii="宋体" w:hAnsi="宋体" w:cs="宋体"/>
                <w:snapToGrid w:val="0"/>
                <w:kern w:val="0"/>
                <w:szCs w:val="21"/>
              </w:rPr>
              <w:t>，</w:t>
            </w:r>
            <w:r>
              <w:rPr>
                <w:rFonts w:hint="eastAsia" w:ascii="宋体" w:hAnsi="宋体" w:cs="宋体"/>
                <w:snapToGrid w:val="0"/>
                <w:kern w:val="0"/>
                <w:szCs w:val="21"/>
              </w:rPr>
              <w:t>所有获取了招标文件的潜在供应商可凭企业数字证书CA登录政采云平台，通过在线方式匿名进行询问、质疑。</w:t>
            </w:r>
          </w:p>
        </w:tc>
      </w:tr>
      <w:tr w14:paraId="7122F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4" w:hRule="atLeast"/>
          <w:jc w:val="center"/>
        </w:trPr>
        <w:tc>
          <w:tcPr>
            <w:tcW w:w="960" w:type="dxa"/>
            <w:tcBorders>
              <w:top w:val="single" w:color="auto" w:sz="4" w:space="0"/>
              <w:left w:val="single" w:color="auto" w:sz="4" w:space="0"/>
              <w:bottom w:val="single" w:color="auto" w:sz="4" w:space="0"/>
              <w:right w:val="single" w:color="auto" w:sz="4" w:space="0"/>
            </w:tcBorders>
            <w:vAlign w:val="center"/>
          </w:tcPr>
          <w:p w14:paraId="280519D2">
            <w:pPr>
              <w:snapToGrid w:val="0"/>
              <w:spacing w:line="300" w:lineRule="auto"/>
              <w:jc w:val="center"/>
              <w:rPr>
                <w:rFonts w:ascii="宋体" w:hAnsi="宋体"/>
                <w:snapToGrid w:val="0"/>
                <w:kern w:val="0"/>
                <w:szCs w:val="21"/>
              </w:rPr>
            </w:pPr>
            <w:r>
              <w:rPr>
                <w:rFonts w:ascii="宋体" w:hAnsi="宋体"/>
                <w:snapToGrid w:val="0"/>
                <w:kern w:val="0"/>
                <w:szCs w:val="21"/>
              </w:rPr>
              <w:t>1.11.3</w:t>
            </w:r>
          </w:p>
        </w:tc>
        <w:tc>
          <w:tcPr>
            <w:tcW w:w="2126" w:type="dxa"/>
            <w:tcBorders>
              <w:top w:val="single" w:color="auto" w:sz="4" w:space="0"/>
              <w:left w:val="single" w:color="auto" w:sz="4" w:space="0"/>
              <w:bottom w:val="single" w:color="auto" w:sz="4" w:space="0"/>
              <w:right w:val="single" w:color="auto" w:sz="4" w:space="0"/>
            </w:tcBorders>
            <w:vAlign w:val="center"/>
          </w:tcPr>
          <w:p w14:paraId="59B77CA2">
            <w:pPr>
              <w:snapToGrid w:val="0"/>
              <w:spacing w:line="300" w:lineRule="auto"/>
              <w:jc w:val="center"/>
              <w:rPr>
                <w:rFonts w:ascii="宋体" w:hAnsi="宋体"/>
                <w:snapToGrid w:val="0"/>
                <w:kern w:val="0"/>
                <w:szCs w:val="21"/>
              </w:rPr>
            </w:pPr>
            <w:r>
              <w:rPr>
                <w:rFonts w:hint="eastAsia" w:ascii="宋体" w:hAnsi="宋体"/>
                <w:snapToGrid w:val="0"/>
                <w:kern w:val="0"/>
                <w:szCs w:val="21"/>
              </w:rPr>
              <w:t>采购人澄清的时间和方法</w:t>
            </w:r>
          </w:p>
        </w:tc>
        <w:tc>
          <w:tcPr>
            <w:tcW w:w="5971" w:type="dxa"/>
            <w:tcBorders>
              <w:top w:val="single" w:color="auto" w:sz="4" w:space="0"/>
              <w:left w:val="single" w:color="auto" w:sz="4" w:space="0"/>
              <w:bottom w:val="single" w:color="auto" w:sz="4" w:space="0"/>
              <w:right w:val="single" w:color="auto" w:sz="4" w:space="0"/>
            </w:tcBorders>
            <w:vAlign w:val="center"/>
          </w:tcPr>
          <w:p w14:paraId="30A4E802">
            <w:pPr>
              <w:snapToGrid w:val="0"/>
              <w:spacing w:line="300" w:lineRule="auto"/>
              <w:rPr>
                <w:rFonts w:ascii="宋体" w:hAnsi="宋体"/>
                <w:snapToGrid w:val="0"/>
                <w:kern w:val="0"/>
                <w:szCs w:val="21"/>
              </w:rPr>
            </w:pPr>
            <w:r>
              <w:rPr>
                <w:rFonts w:hint="eastAsia" w:ascii="宋体" w:hAnsi="宋体" w:cs="宋体"/>
                <w:snapToGrid w:val="0"/>
                <w:kern w:val="0"/>
                <w:szCs w:val="21"/>
              </w:rPr>
              <w:t>在</w:t>
            </w:r>
            <w:r>
              <w:rPr>
                <w:rFonts w:ascii="宋体" w:hAnsi="宋体" w:cs="宋体"/>
                <w:snapToGrid w:val="0"/>
                <w:kern w:val="0"/>
                <w:szCs w:val="21"/>
              </w:rPr>
              <w:t>投标截止时间前</w:t>
            </w:r>
            <w:r>
              <w:rPr>
                <w:rFonts w:hint="eastAsia" w:ascii="宋体" w:hAnsi="宋体" w:cs="宋体"/>
                <w:snapToGrid w:val="0"/>
                <w:kern w:val="0"/>
                <w:szCs w:val="21"/>
              </w:rPr>
              <w:t>10日前</w:t>
            </w:r>
            <w:r>
              <w:rPr>
                <w:rFonts w:ascii="宋体" w:hAnsi="宋体" w:cs="宋体"/>
                <w:snapToGrid w:val="0"/>
                <w:kern w:val="0"/>
                <w:szCs w:val="21"/>
              </w:rPr>
              <w:t>，</w:t>
            </w:r>
            <w:r>
              <w:rPr>
                <w:rFonts w:hint="eastAsia" w:ascii="宋体" w:hAnsi="宋体" w:cs="宋体"/>
                <w:snapToGrid w:val="0"/>
                <w:kern w:val="0"/>
                <w:szCs w:val="21"/>
              </w:rPr>
              <w:t>以政采云平台、云南省政府采购网上发布公告的形式通知潜在供应商。</w:t>
            </w:r>
          </w:p>
        </w:tc>
      </w:tr>
      <w:tr w14:paraId="14404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960" w:type="dxa"/>
            <w:tcBorders>
              <w:top w:val="single" w:color="auto" w:sz="4" w:space="0"/>
              <w:left w:val="single" w:color="auto" w:sz="4" w:space="0"/>
              <w:bottom w:val="single" w:color="auto" w:sz="4" w:space="0"/>
              <w:right w:val="single" w:color="auto" w:sz="4" w:space="0"/>
            </w:tcBorders>
            <w:vAlign w:val="center"/>
          </w:tcPr>
          <w:p w14:paraId="2FABF003">
            <w:pPr>
              <w:snapToGrid w:val="0"/>
              <w:spacing w:line="300" w:lineRule="auto"/>
              <w:jc w:val="center"/>
              <w:rPr>
                <w:rFonts w:ascii="宋体" w:hAnsi="宋体"/>
                <w:snapToGrid w:val="0"/>
                <w:kern w:val="0"/>
                <w:szCs w:val="21"/>
              </w:rPr>
            </w:pPr>
            <w:r>
              <w:rPr>
                <w:rFonts w:ascii="宋体" w:hAnsi="宋体"/>
                <w:snapToGrid w:val="0"/>
                <w:kern w:val="0"/>
                <w:szCs w:val="21"/>
              </w:rPr>
              <w:t>2.2.1</w:t>
            </w:r>
          </w:p>
        </w:tc>
        <w:tc>
          <w:tcPr>
            <w:tcW w:w="2126" w:type="dxa"/>
            <w:tcBorders>
              <w:top w:val="single" w:color="auto" w:sz="4" w:space="0"/>
              <w:left w:val="single" w:color="auto" w:sz="4" w:space="0"/>
              <w:bottom w:val="single" w:color="auto" w:sz="4" w:space="0"/>
              <w:right w:val="single" w:color="auto" w:sz="4" w:space="0"/>
            </w:tcBorders>
            <w:vAlign w:val="center"/>
          </w:tcPr>
          <w:p w14:paraId="32F507D6">
            <w:pPr>
              <w:snapToGrid w:val="0"/>
              <w:spacing w:line="300" w:lineRule="auto"/>
              <w:jc w:val="center"/>
              <w:rPr>
                <w:rFonts w:ascii="宋体" w:hAnsi="宋体"/>
                <w:snapToGrid w:val="0"/>
                <w:kern w:val="0"/>
                <w:szCs w:val="21"/>
              </w:rPr>
            </w:pPr>
            <w:r>
              <w:rPr>
                <w:rFonts w:hint="eastAsia" w:ascii="宋体" w:hAnsi="宋体"/>
                <w:snapToGrid w:val="0"/>
                <w:kern w:val="0"/>
                <w:szCs w:val="21"/>
              </w:rPr>
              <w:t>供应商要求澄清招标文件的截止时间和方法</w:t>
            </w:r>
          </w:p>
        </w:tc>
        <w:tc>
          <w:tcPr>
            <w:tcW w:w="5971" w:type="dxa"/>
            <w:tcBorders>
              <w:top w:val="single" w:color="auto" w:sz="4" w:space="0"/>
              <w:left w:val="single" w:color="auto" w:sz="4" w:space="0"/>
              <w:bottom w:val="single" w:color="auto" w:sz="4" w:space="0"/>
              <w:right w:val="single" w:color="auto" w:sz="4" w:space="0"/>
            </w:tcBorders>
            <w:vAlign w:val="center"/>
          </w:tcPr>
          <w:p w14:paraId="1641EA1E">
            <w:pPr>
              <w:spacing w:line="300" w:lineRule="auto"/>
              <w:rPr>
                <w:rFonts w:ascii="宋体" w:hAnsi="宋体"/>
                <w:snapToGrid w:val="0"/>
                <w:kern w:val="0"/>
                <w:szCs w:val="21"/>
              </w:rPr>
            </w:pPr>
            <w:r>
              <w:rPr>
                <w:rFonts w:hint="eastAsia" w:ascii="宋体" w:hAnsi="宋体"/>
                <w:szCs w:val="21"/>
              </w:rPr>
              <w:t>同1</w:t>
            </w:r>
            <w:r>
              <w:rPr>
                <w:rFonts w:ascii="宋体" w:hAnsi="宋体"/>
                <w:szCs w:val="21"/>
              </w:rPr>
              <w:t>.11.2</w:t>
            </w:r>
            <w:r>
              <w:rPr>
                <w:rFonts w:hint="eastAsia" w:ascii="宋体" w:hAnsi="宋体"/>
                <w:szCs w:val="21"/>
              </w:rPr>
              <w:t>要求。</w:t>
            </w:r>
          </w:p>
        </w:tc>
      </w:tr>
      <w:tr w14:paraId="69A34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960" w:type="dxa"/>
            <w:tcBorders>
              <w:top w:val="single" w:color="auto" w:sz="4" w:space="0"/>
              <w:left w:val="single" w:color="auto" w:sz="4" w:space="0"/>
              <w:bottom w:val="single" w:color="auto" w:sz="4" w:space="0"/>
              <w:right w:val="single" w:color="auto" w:sz="4" w:space="0"/>
            </w:tcBorders>
            <w:vAlign w:val="center"/>
          </w:tcPr>
          <w:p w14:paraId="579B581E">
            <w:pPr>
              <w:snapToGrid w:val="0"/>
              <w:spacing w:line="300" w:lineRule="auto"/>
              <w:jc w:val="center"/>
              <w:rPr>
                <w:rFonts w:ascii="宋体" w:hAnsi="宋体"/>
                <w:snapToGrid w:val="0"/>
                <w:kern w:val="0"/>
                <w:szCs w:val="21"/>
              </w:rPr>
            </w:pPr>
            <w:r>
              <w:rPr>
                <w:rFonts w:ascii="宋体" w:hAnsi="宋体"/>
                <w:snapToGrid w:val="0"/>
                <w:kern w:val="0"/>
                <w:szCs w:val="21"/>
              </w:rPr>
              <w:t>2.2.2</w:t>
            </w:r>
          </w:p>
        </w:tc>
        <w:tc>
          <w:tcPr>
            <w:tcW w:w="2126" w:type="dxa"/>
            <w:tcBorders>
              <w:top w:val="single" w:color="auto" w:sz="4" w:space="0"/>
              <w:left w:val="single" w:color="auto" w:sz="4" w:space="0"/>
              <w:bottom w:val="single" w:color="auto" w:sz="4" w:space="0"/>
              <w:right w:val="single" w:color="auto" w:sz="4" w:space="0"/>
            </w:tcBorders>
            <w:vAlign w:val="center"/>
          </w:tcPr>
          <w:p w14:paraId="4E64BBCF">
            <w:pPr>
              <w:snapToGrid w:val="0"/>
              <w:spacing w:line="300" w:lineRule="auto"/>
              <w:jc w:val="center"/>
              <w:rPr>
                <w:rFonts w:ascii="宋体" w:hAnsi="宋体"/>
                <w:snapToGrid w:val="0"/>
                <w:kern w:val="0"/>
                <w:szCs w:val="21"/>
              </w:rPr>
            </w:pPr>
            <w:r>
              <w:rPr>
                <w:rFonts w:hint="eastAsia" w:ascii="宋体" w:hAnsi="宋体"/>
                <w:snapToGrid w:val="0"/>
                <w:kern w:val="0"/>
                <w:szCs w:val="21"/>
              </w:rPr>
              <w:t>投标截止时间</w:t>
            </w:r>
          </w:p>
        </w:tc>
        <w:tc>
          <w:tcPr>
            <w:tcW w:w="5971" w:type="dxa"/>
            <w:tcBorders>
              <w:top w:val="single" w:color="auto" w:sz="4" w:space="0"/>
              <w:left w:val="single" w:color="auto" w:sz="4" w:space="0"/>
              <w:bottom w:val="single" w:color="auto" w:sz="4" w:space="0"/>
              <w:right w:val="single" w:color="auto" w:sz="4" w:space="0"/>
            </w:tcBorders>
            <w:vAlign w:val="center"/>
          </w:tcPr>
          <w:p w14:paraId="7E08A4A8">
            <w:pPr>
              <w:snapToGrid w:val="0"/>
              <w:spacing w:line="300" w:lineRule="auto"/>
              <w:rPr>
                <w:rFonts w:ascii="宋体" w:hAnsi="宋体"/>
                <w:snapToGrid w:val="0"/>
                <w:kern w:val="0"/>
                <w:szCs w:val="21"/>
              </w:rPr>
            </w:pPr>
            <w:r>
              <w:rPr>
                <w:rFonts w:hint="eastAsia" w:ascii="宋体" w:hAnsi="宋体" w:cs="宋体"/>
                <w:snapToGrid w:val="0"/>
                <w:kern w:val="0"/>
                <w:szCs w:val="21"/>
              </w:rPr>
              <w:t>2025年</w:t>
            </w:r>
            <w:r>
              <w:rPr>
                <w:rFonts w:hint="eastAsia" w:ascii="宋体" w:hAnsi="宋体" w:cs="宋体"/>
                <w:snapToGrid w:val="0"/>
                <w:kern w:val="0"/>
                <w:szCs w:val="21"/>
                <w:lang w:val="en-US" w:eastAsia="zh-CN"/>
              </w:rPr>
              <w:t>7</w:t>
            </w:r>
            <w:r>
              <w:rPr>
                <w:rFonts w:hint="eastAsia" w:ascii="宋体" w:hAnsi="宋体" w:cs="宋体"/>
                <w:snapToGrid w:val="0"/>
                <w:kern w:val="0"/>
                <w:szCs w:val="21"/>
              </w:rPr>
              <w:t>月</w:t>
            </w:r>
            <w:r>
              <w:rPr>
                <w:rFonts w:hint="eastAsia" w:ascii="宋体" w:hAnsi="宋体" w:cs="宋体"/>
                <w:snapToGrid w:val="0"/>
                <w:kern w:val="0"/>
                <w:szCs w:val="21"/>
                <w:lang w:val="en-US" w:eastAsia="zh-CN"/>
              </w:rPr>
              <w:t>21</w:t>
            </w:r>
            <w:r>
              <w:rPr>
                <w:rFonts w:hint="eastAsia" w:ascii="宋体" w:hAnsi="宋体" w:cs="宋体"/>
                <w:snapToGrid w:val="0"/>
                <w:kern w:val="0"/>
                <w:szCs w:val="21"/>
              </w:rPr>
              <w:t>日09时00分</w:t>
            </w:r>
            <w:r>
              <w:rPr>
                <w:rFonts w:hint="eastAsia" w:ascii="宋体" w:hAnsi="宋体"/>
                <w:snapToGrid w:val="0"/>
                <w:kern w:val="0"/>
                <w:szCs w:val="21"/>
              </w:rPr>
              <w:t>。</w:t>
            </w:r>
          </w:p>
        </w:tc>
      </w:tr>
      <w:tr w14:paraId="6CA13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5" w:hRule="atLeast"/>
          <w:jc w:val="center"/>
        </w:trPr>
        <w:tc>
          <w:tcPr>
            <w:tcW w:w="960" w:type="dxa"/>
            <w:tcBorders>
              <w:top w:val="single" w:color="auto" w:sz="4" w:space="0"/>
              <w:left w:val="single" w:color="auto" w:sz="4" w:space="0"/>
              <w:bottom w:val="single" w:color="auto" w:sz="4" w:space="0"/>
              <w:right w:val="single" w:color="auto" w:sz="4" w:space="0"/>
            </w:tcBorders>
            <w:vAlign w:val="center"/>
          </w:tcPr>
          <w:p w14:paraId="2204D5E5">
            <w:pPr>
              <w:snapToGrid w:val="0"/>
              <w:spacing w:line="300" w:lineRule="auto"/>
              <w:jc w:val="center"/>
              <w:rPr>
                <w:rFonts w:ascii="宋体" w:hAnsi="宋体"/>
                <w:snapToGrid w:val="0"/>
                <w:kern w:val="0"/>
                <w:szCs w:val="21"/>
              </w:rPr>
            </w:pPr>
            <w:r>
              <w:rPr>
                <w:rFonts w:ascii="宋体" w:hAnsi="宋体"/>
                <w:snapToGrid w:val="0"/>
                <w:kern w:val="0"/>
                <w:szCs w:val="21"/>
              </w:rPr>
              <w:t>2.2.3</w:t>
            </w:r>
          </w:p>
        </w:tc>
        <w:tc>
          <w:tcPr>
            <w:tcW w:w="2126" w:type="dxa"/>
            <w:tcBorders>
              <w:top w:val="single" w:color="auto" w:sz="4" w:space="0"/>
              <w:left w:val="single" w:color="auto" w:sz="4" w:space="0"/>
              <w:bottom w:val="single" w:color="auto" w:sz="4" w:space="0"/>
              <w:right w:val="single" w:color="auto" w:sz="4" w:space="0"/>
            </w:tcBorders>
            <w:vAlign w:val="center"/>
          </w:tcPr>
          <w:p w14:paraId="00C6E66F">
            <w:pPr>
              <w:snapToGrid w:val="0"/>
              <w:spacing w:line="300" w:lineRule="auto"/>
              <w:jc w:val="center"/>
              <w:rPr>
                <w:rFonts w:ascii="宋体" w:hAnsi="宋体"/>
                <w:snapToGrid w:val="0"/>
                <w:kern w:val="0"/>
                <w:szCs w:val="21"/>
              </w:rPr>
            </w:pPr>
            <w:r>
              <w:rPr>
                <w:rFonts w:hint="eastAsia" w:ascii="宋体" w:hAnsi="宋体"/>
                <w:snapToGrid w:val="0"/>
                <w:kern w:val="0"/>
                <w:szCs w:val="21"/>
              </w:rPr>
              <w:t>供应商确认收到招标文件澄清的时间和方法</w:t>
            </w:r>
          </w:p>
        </w:tc>
        <w:tc>
          <w:tcPr>
            <w:tcW w:w="5971" w:type="dxa"/>
            <w:tcBorders>
              <w:top w:val="single" w:color="auto" w:sz="4" w:space="0"/>
              <w:left w:val="single" w:color="auto" w:sz="4" w:space="0"/>
              <w:bottom w:val="single" w:color="auto" w:sz="4" w:space="0"/>
              <w:right w:val="single" w:color="auto" w:sz="4" w:space="0"/>
            </w:tcBorders>
            <w:vAlign w:val="center"/>
          </w:tcPr>
          <w:p w14:paraId="5337FCE2">
            <w:pPr>
              <w:spacing w:line="300" w:lineRule="auto"/>
              <w:rPr>
                <w:rFonts w:ascii="宋体" w:hAnsi="宋体"/>
                <w:szCs w:val="21"/>
              </w:rPr>
            </w:pPr>
            <w:r>
              <w:rPr>
                <w:rFonts w:hint="eastAsia" w:ascii="宋体" w:hAnsi="宋体"/>
                <w:szCs w:val="21"/>
              </w:rPr>
              <w:t>澄清通知</w:t>
            </w:r>
            <w:r>
              <w:rPr>
                <w:rFonts w:hint="eastAsia" w:ascii="宋体" w:hAnsi="宋体" w:cs="宋体"/>
                <w:snapToGrid w:val="0"/>
                <w:kern w:val="0"/>
                <w:szCs w:val="21"/>
              </w:rPr>
              <w:t>以政采云平台、云南省政府采购网上发布公告的形式通知潜在供应商，</w:t>
            </w:r>
            <w:r>
              <w:rPr>
                <w:rFonts w:ascii="宋体" w:hAnsi="宋体" w:cs="宋体"/>
                <w:snapToGrid w:val="0"/>
                <w:kern w:val="0"/>
                <w:szCs w:val="21"/>
              </w:rPr>
              <w:t>供应商</w:t>
            </w:r>
            <w:r>
              <w:rPr>
                <w:rFonts w:hint="eastAsia" w:ascii="宋体" w:hAnsi="宋体" w:cs="宋体"/>
                <w:snapToGrid w:val="0"/>
                <w:kern w:val="0"/>
                <w:szCs w:val="21"/>
              </w:rPr>
              <w:t>须</w:t>
            </w:r>
            <w:r>
              <w:rPr>
                <w:rFonts w:ascii="宋体" w:hAnsi="宋体" w:cs="宋体"/>
                <w:snapToGrid w:val="0"/>
                <w:kern w:val="0"/>
                <w:szCs w:val="21"/>
              </w:rPr>
              <w:t>自行关注</w:t>
            </w:r>
            <w:r>
              <w:rPr>
                <w:rFonts w:hint="eastAsia" w:ascii="宋体" w:hAnsi="宋体" w:cs="宋体"/>
                <w:snapToGrid w:val="0"/>
                <w:kern w:val="0"/>
                <w:szCs w:val="21"/>
              </w:rPr>
              <w:t>无需</w:t>
            </w:r>
            <w:r>
              <w:rPr>
                <w:rFonts w:hint="eastAsia"/>
                <w:szCs w:val="21"/>
              </w:rPr>
              <w:t>回函确认。</w:t>
            </w:r>
          </w:p>
        </w:tc>
      </w:tr>
      <w:tr w14:paraId="45D47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8" w:hRule="atLeast"/>
          <w:jc w:val="center"/>
        </w:trPr>
        <w:tc>
          <w:tcPr>
            <w:tcW w:w="960" w:type="dxa"/>
            <w:tcBorders>
              <w:top w:val="single" w:color="auto" w:sz="4" w:space="0"/>
              <w:left w:val="single" w:color="auto" w:sz="4" w:space="0"/>
              <w:bottom w:val="single" w:color="auto" w:sz="4" w:space="0"/>
              <w:right w:val="single" w:color="auto" w:sz="4" w:space="0"/>
            </w:tcBorders>
            <w:vAlign w:val="center"/>
          </w:tcPr>
          <w:p w14:paraId="2F951892">
            <w:pPr>
              <w:snapToGrid w:val="0"/>
              <w:spacing w:line="300" w:lineRule="auto"/>
              <w:jc w:val="center"/>
              <w:rPr>
                <w:rFonts w:ascii="宋体" w:hAnsi="宋体"/>
                <w:snapToGrid w:val="0"/>
                <w:kern w:val="0"/>
                <w:szCs w:val="21"/>
              </w:rPr>
            </w:pPr>
            <w:r>
              <w:rPr>
                <w:rFonts w:ascii="宋体" w:hAnsi="宋体"/>
                <w:snapToGrid w:val="0"/>
                <w:kern w:val="0"/>
                <w:szCs w:val="21"/>
              </w:rPr>
              <w:t>2.3.2</w:t>
            </w:r>
          </w:p>
        </w:tc>
        <w:tc>
          <w:tcPr>
            <w:tcW w:w="2126" w:type="dxa"/>
            <w:tcBorders>
              <w:top w:val="single" w:color="auto" w:sz="4" w:space="0"/>
              <w:left w:val="single" w:color="auto" w:sz="4" w:space="0"/>
              <w:bottom w:val="single" w:color="auto" w:sz="4" w:space="0"/>
              <w:right w:val="single" w:color="auto" w:sz="4" w:space="0"/>
            </w:tcBorders>
            <w:vAlign w:val="center"/>
          </w:tcPr>
          <w:p w14:paraId="771FAD3F">
            <w:pPr>
              <w:snapToGrid w:val="0"/>
              <w:spacing w:line="300" w:lineRule="auto"/>
              <w:jc w:val="center"/>
              <w:rPr>
                <w:rFonts w:ascii="宋体" w:hAnsi="宋体"/>
                <w:snapToGrid w:val="0"/>
                <w:kern w:val="0"/>
                <w:szCs w:val="21"/>
              </w:rPr>
            </w:pPr>
            <w:r>
              <w:rPr>
                <w:rFonts w:hint="eastAsia" w:ascii="宋体" w:hAnsi="宋体"/>
                <w:snapToGrid w:val="0"/>
                <w:kern w:val="0"/>
                <w:szCs w:val="21"/>
              </w:rPr>
              <w:t>供应商确认收到招标文件修改的时间和方法</w:t>
            </w:r>
          </w:p>
        </w:tc>
        <w:tc>
          <w:tcPr>
            <w:tcW w:w="5971" w:type="dxa"/>
            <w:tcBorders>
              <w:top w:val="single" w:color="auto" w:sz="4" w:space="0"/>
              <w:left w:val="single" w:color="auto" w:sz="4" w:space="0"/>
              <w:bottom w:val="single" w:color="auto" w:sz="4" w:space="0"/>
              <w:right w:val="single" w:color="auto" w:sz="4" w:space="0"/>
            </w:tcBorders>
            <w:vAlign w:val="center"/>
          </w:tcPr>
          <w:p w14:paraId="1A043D57">
            <w:pPr>
              <w:spacing w:line="300" w:lineRule="auto"/>
              <w:rPr>
                <w:rFonts w:ascii="宋体" w:hAnsi="宋体"/>
                <w:szCs w:val="21"/>
              </w:rPr>
            </w:pPr>
            <w:r>
              <w:rPr>
                <w:rFonts w:hint="eastAsia" w:ascii="宋体" w:hAnsi="宋体"/>
                <w:szCs w:val="21"/>
              </w:rPr>
              <w:t>修改通知以政采云平台、云南省政府采购网上发布公告的形式通知潜在供应商，</w:t>
            </w:r>
            <w:r>
              <w:rPr>
                <w:rFonts w:ascii="宋体" w:hAnsi="宋体"/>
                <w:szCs w:val="21"/>
              </w:rPr>
              <w:t>供应商</w:t>
            </w:r>
            <w:r>
              <w:rPr>
                <w:rFonts w:hint="eastAsia" w:ascii="宋体" w:hAnsi="宋体"/>
                <w:szCs w:val="21"/>
              </w:rPr>
              <w:t>须</w:t>
            </w:r>
            <w:r>
              <w:rPr>
                <w:rFonts w:ascii="宋体" w:hAnsi="宋体"/>
                <w:szCs w:val="21"/>
              </w:rPr>
              <w:t>自行关注</w:t>
            </w:r>
            <w:r>
              <w:rPr>
                <w:rFonts w:hint="eastAsia" w:ascii="宋体" w:hAnsi="宋体"/>
                <w:szCs w:val="21"/>
              </w:rPr>
              <w:t>无需回函确认。</w:t>
            </w:r>
          </w:p>
        </w:tc>
      </w:tr>
      <w:tr w14:paraId="48D1B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60" w:type="dxa"/>
            <w:tcBorders>
              <w:top w:val="single" w:color="auto" w:sz="4" w:space="0"/>
              <w:left w:val="single" w:color="auto" w:sz="4" w:space="0"/>
              <w:bottom w:val="single" w:color="auto" w:sz="4" w:space="0"/>
              <w:right w:val="single" w:color="auto" w:sz="4" w:space="0"/>
            </w:tcBorders>
            <w:vAlign w:val="center"/>
          </w:tcPr>
          <w:p w14:paraId="67542298">
            <w:pPr>
              <w:snapToGrid w:val="0"/>
              <w:spacing w:line="300" w:lineRule="auto"/>
              <w:jc w:val="center"/>
              <w:rPr>
                <w:rFonts w:ascii="宋体" w:hAnsi="宋体"/>
                <w:snapToGrid w:val="0"/>
                <w:kern w:val="0"/>
                <w:szCs w:val="21"/>
              </w:rPr>
            </w:pPr>
            <w:r>
              <w:rPr>
                <w:rFonts w:ascii="宋体" w:hAnsi="宋体"/>
                <w:snapToGrid w:val="0"/>
                <w:kern w:val="0"/>
                <w:szCs w:val="21"/>
              </w:rPr>
              <w:t>3.2.2</w:t>
            </w:r>
          </w:p>
        </w:tc>
        <w:tc>
          <w:tcPr>
            <w:tcW w:w="2126" w:type="dxa"/>
            <w:tcBorders>
              <w:top w:val="single" w:color="auto" w:sz="4" w:space="0"/>
              <w:left w:val="single" w:color="auto" w:sz="4" w:space="0"/>
              <w:bottom w:val="single" w:color="auto" w:sz="4" w:space="0"/>
              <w:right w:val="single" w:color="auto" w:sz="4" w:space="0"/>
            </w:tcBorders>
            <w:vAlign w:val="center"/>
          </w:tcPr>
          <w:p w14:paraId="2C7E0704">
            <w:pPr>
              <w:snapToGrid w:val="0"/>
              <w:spacing w:line="300" w:lineRule="auto"/>
              <w:jc w:val="center"/>
              <w:rPr>
                <w:rFonts w:ascii="宋体" w:hAnsi="宋体"/>
                <w:snapToGrid w:val="0"/>
                <w:kern w:val="0"/>
                <w:szCs w:val="21"/>
              </w:rPr>
            </w:pPr>
            <w:r>
              <w:rPr>
                <w:rFonts w:hint="eastAsia" w:ascii="宋体" w:hAnsi="宋体"/>
                <w:snapToGrid w:val="0"/>
                <w:kern w:val="0"/>
                <w:szCs w:val="21"/>
              </w:rPr>
              <w:t>报价方式</w:t>
            </w:r>
          </w:p>
        </w:tc>
        <w:tc>
          <w:tcPr>
            <w:tcW w:w="5971" w:type="dxa"/>
            <w:tcBorders>
              <w:top w:val="single" w:color="auto" w:sz="4" w:space="0"/>
              <w:left w:val="single" w:color="auto" w:sz="4" w:space="0"/>
              <w:bottom w:val="single" w:color="auto" w:sz="4" w:space="0"/>
              <w:right w:val="single" w:color="auto" w:sz="4" w:space="0"/>
            </w:tcBorders>
            <w:vAlign w:val="center"/>
          </w:tcPr>
          <w:p w14:paraId="76A57A34">
            <w:pPr>
              <w:spacing w:line="300" w:lineRule="auto"/>
              <w:rPr>
                <w:rFonts w:ascii="宋体" w:hAnsi="宋体"/>
                <w:b/>
                <w:szCs w:val="21"/>
              </w:rPr>
            </w:pPr>
            <w:r>
              <w:rPr>
                <w:rFonts w:hint="eastAsia" w:ascii="宋体" w:hAnsi="宋体"/>
                <w:b/>
                <w:szCs w:val="21"/>
              </w:rPr>
              <w:t>按总价</w:t>
            </w:r>
            <w:r>
              <w:rPr>
                <w:rFonts w:ascii="宋体" w:hAnsi="宋体"/>
                <w:b/>
                <w:szCs w:val="21"/>
              </w:rPr>
              <w:t>包干</w:t>
            </w:r>
            <w:r>
              <w:rPr>
                <w:rFonts w:hint="eastAsia" w:ascii="宋体" w:hAnsi="宋体"/>
                <w:b/>
                <w:szCs w:val="21"/>
              </w:rPr>
              <w:t>的</w:t>
            </w:r>
            <w:r>
              <w:rPr>
                <w:rFonts w:ascii="宋体" w:hAnsi="宋体"/>
                <w:b/>
                <w:szCs w:val="21"/>
              </w:rPr>
              <w:t>方式</w:t>
            </w:r>
            <w:r>
              <w:rPr>
                <w:rFonts w:hint="eastAsia" w:ascii="宋体" w:hAnsi="宋体"/>
                <w:b/>
                <w:szCs w:val="21"/>
              </w:rPr>
              <w:t>进行报价，报价应为完成所有采购服务内容</w:t>
            </w:r>
            <w:r>
              <w:rPr>
                <w:rFonts w:ascii="宋体" w:hAnsi="宋体"/>
                <w:b/>
                <w:szCs w:val="21"/>
              </w:rPr>
              <w:t>的</w:t>
            </w:r>
            <w:r>
              <w:rPr>
                <w:rFonts w:hint="eastAsia" w:ascii="宋体" w:hAnsi="宋体"/>
                <w:b/>
                <w:szCs w:val="21"/>
              </w:rPr>
              <w:t>全部费用（其中</w:t>
            </w:r>
            <w:r>
              <w:rPr>
                <w:rFonts w:ascii="宋体" w:hAnsi="宋体"/>
                <w:b/>
                <w:szCs w:val="21"/>
              </w:rPr>
              <w:t>应包含招标代理服务费</w:t>
            </w:r>
            <w:r>
              <w:rPr>
                <w:rFonts w:hint="eastAsia" w:ascii="宋体" w:hAnsi="宋体"/>
                <w:b/>
                <w:szCs w:val="21"/>
              </w:rPr>
              <w:t>）。</w:t>
            </w:r>
          </w:p>
        </w:tc>
      </w:tr>
      <w:tr w14:paraId="52ECC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jc w:val="center"/>
        </w:trPr>
        <w:tc>
          <w:tcPr>
            <w:tcW w:w="960" w:type="dxa"/>
            <w:tcBorders>
              <w:top w:val="single" w:color="auto" w:sz="4" w:space="0"/>
              <w:left w:val="single" w:color="auto" w:sz="4" w:space="0"/>
              <w:bottom w:val="single" w:color="auto" w:sz="4" w:space="0"/>
              <w:right w:val="single" w:color="auto" w:sz="4" w:space="0"/>
            </w:tcBorders>
            <w:vAlign w:val="center"/>
          </w:tcPr>
          <w:p w14:paraId="3471E6BF">
            <w:pPr>
              <w:snapToGrid w:val="0"/>
              <w:spacing w:line="300" w:lineRule="auto"/>
              <w:jc w:val="center"/>
              <w:rPr>
                <w:rFonts w:ascii="宋体" w:hAnsi="宋体"/>
                <w:snapToGrid w:val="0"/>
                <w:kern w:val="0"/>
                <w:szCs w:val="21"/>
              </w:rPr>
            </w:pPr>
            <w:r>
              <w:rPr>
                <w:rFonts w:hint="eastAsia" w:ascii="宋体" w:hAnsi="宋体"/>
                <w:snapToGrid w:val="0"/>
                <w:kern w:val="0"/>
                <w:szCs w:val="21"/>
              </w:rPr>
              <w:t>3.2.5</w:t>
            </w:r>
          </w:p>
        </w:tc>
        <w:tc>
          <w:tcPr>
            <w:tcW w:w="2126" w:type="dxa"/>
            <w:tcBorders>
              <w:top w:val="single" w:color="auto" w:sz="4" w:space="0"/>
              <w:left w:val="single" w:color="auto" w:sz="4" w:space="0"/>
              <w:bottom w:val="single" w:color="auto" w:sz="4" w:space="0"/>
              <w:right w:val="single" w:color="auto" w:sz="4" w:space="0"/>
            </w:tcBorders>
            <w:vAlign w:val="center"/>
          </w:tcPr>
          <w:p w14:paraId="209AE778">
            <w:pPr>
              <w:snapToGrid w:val="0"/>
              <w:spacing w:line="300" w:lineRule="auto"/>
              <w:jc w:val="center"/>
              <w:rPr>
                <w:rFonts w:ascii="宋体" w:hAnsi="宋体"/>
                <w:snapToGrid w:val="0"/>
                <w:kern w:val="0"/>
                <w:szCs w:val="21"/>
              </w:rPr>
            </w:pPr>
            <w:r>
              <w:rPr>
                <w:rFonts w:hint="eastAsia" w:ascii="宋体" w:hAnsi="宋体"/>
                <w:snapToGrid w:val="0"/>
                <w:kern w:val="0"/>
                <w:szCs w:val="21"/>
              </w:rPr>
              <w:t>投标最高限价</w:t>
            </w:r>
          </w:p>
        </w:tc>
        <w:tc>
          <w:tcPr>
            <w:tcW w:w="5971" w:type="dxa"/>
            <w:tcBorders>
              <w:top w:val="single" w:color="auto" w:sz="4" w:space="0"/>
              <w:left w:val="single" w:color="auto" w:sz="4" w:space="0"/>
              <w:bottom w:val="single" w:color="auto" w:sz="4" w:space="0"/>
              <w:right w:val="single" w:color="auto" w:sz="4" w:space="0"/>
            </w:tcBorders>
            <w:vAlign w:val="center"/>
          </w:tcPr>
          <w:p w14:paraId="2EA38A6A">
            <w:pPr>
              <w:spacing w:line="300" w:lineRule="auto"/>
              <w:rPr>
                <w:rFonts w:ascii="宋体" w:hAnsi="宋体"/>
                <w:szCs w:val="21"/>
              </w:rPr>
            </w:pPr>
            <w:r>
              <w:rPr>
                <w:rFonts w:hint="eastAsia" w:ascii="宋体" w:hAnsi="宋体"/>
                <w:szCs w:val="21"/>
              </w:rPr>
              <w:t>采购人</w:t>
            </w:r>
            <w:r>
              <w:rPr>
                <w:rFonts w:ascii="宋体" w:hAnsi="宋体"/>
                <w:szCs w:val="21"/>
              </w:rPr>
              <w:t>设有最高限价，详见</w:t>
            </w:r>
            <w:r>
              <w:rPr>
                <w:rFonts w:hint="eastAsia" w:ascii="宋体" w:hAnsi="宋体"/>
                <w:szCs w:val="21"/>
              </w:rPr>
              <w:t>招标公告第一条中“最高</w:t>
            </w:r>
            <w:r>
              <w:rPr>
                <w:rFonts w:ascii="宋体" w:hAnsi="宋体"/>
                <w:szCs w:val="21"/>
              </w:rPr>
              <w:t>限价</w:t>
            </w:r>
            <w:r>
              <w:rPr>
                <w:rFonts w:hint="eastAsia" w:ascii="宋体" w:hAnsi="宋体"/>
                <w:szCs w:val="21"/>
              </w:rPr>
              <w:t>”。</w:t>
            </w:r>
          </w:p>
          <w:p w14:paraId="47F4A589">
            <w:pPr>
              <w:spacing w:line="300" w:lineRule="auto"/>
            </w:pPr>
            <w:r>
              <w:rPr>
                <w:rFonts w:hint="eastAsia" w:ascii="宋体" w:hAnsi="宋体"/>
                <w:szCs w:val="21"/>
              </w:rPr>
              <w:t>供应商的</w:t>
            </w:r>
            <w:r>
              <w:rPr>
                <w:rFonts w:ascii="宋体" w:hAnsi="宋体"/>
                <w:szCs w:val="21"/>
              </w:rPr>
              <w:t>报价超过最高限价的，</w:t>
            </w:r>
            <w:r>
              <w:rPr>
                <w:rFonts w:hint="eastAsia" w:ascii="宋体" w:hAnsi="宋体"/>
                <w:szCs w:val="21"/>
              </w:rPr>
              <w:t>其</w:t>
            </w:r>
            <w:r>
              <w:rPr>
                <w:rFonts w:ascii="宋体" w:hAnsi="宋体"/>
                <w:szCs w:val="21"/>
              </w:rPr>
              <w:t>投标无效。</w:t>
            </w:r>
          </w:p>
        </w:tc>
      </w:tr>
      <w:tr w14:paraId="63307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jc w:val="center"/>
        </w:trPr>
        <w:tc>
          <w:tcPr>
            <w:tcW w:w="960" w:type="dxa"/>
            <w:tcBorders>
              <w:top w:val="single" w:color="auto" w:sz="4" w:space="0"/>
              <w:left w:val="single" w:color="auto" w:sz="4" w:space="0"/>
              <w:bottom w:val="single" w:color="auto" w:sz="4" w:space="0"/>
              <w:right w:val="single" w:color="auto" w:sz="4" w:space="0"/>
            </w:tcBorders>
            <w:vAlign w:val="center"/>
          </w:tcPr>
          <w:p w14:paraId="25A4C903">
            <w:pPr>
              <w:snapToGrid w:val="0"/>
              <w:spacing w:line="300" w:lineRule="auto"/>
              <w:jc w:val="center"/>
              <w:rPr>
                <w:rFonts w:ascii="宋体" w:hAnsi="宋体"/>
                <w:snapToGrid w:val="0"/>
                <w:kern w:val="0"/>
                <w:szCs w:val="21"/>
              </w:rPr>
            </w:pPr>
            <w:r>
              <w:rPr>
                <w:rFonts w:hint="eastAsia" w:ascii="宋体" w:hAnsi="宋体"/>
                <w:snapToGrid w:val="0"/>
                <w:kern w:val="0"/>
                <w:szCs w:val="21"/>
              </w:rPr>
              <w:t>3.2.6</w:t>
            </w:r>
          </w:p>
        </w:tc>
        <w:tc>
          <w:tcPr>
            <w:tcW w:w="2126" w:type="dxa"/>
            <w:tcBorders>
              <w:top w:val="single" w:color="auto" w:sz="4" w:space="0"/>
              <w:left w:val="single" w:color="auto" w:sz="4" w:space="0"/>
              <w:bottom w:val="single" w:color="auto" w:sz="4" w:space="0"/>
              <w:right w:val="single" w:color="auto" w:sz="4" w:space="0"/>
            </w:tcBorders>
            <w:vAlign w:val="center"/>
          </w:tcPr>
          <w:p w14:paraId="36507E12">
            <w:pPr>
              <w:snapToGrid w:val="0"/>
              <w:spacing w:line="300" w:lineRule="auto"/>
              <w:jc w:val="center"/>
              <w:rPr>
                <w:rFonts w:ascii="宋体" w:hAnsi="宋体"/>
                <w:snapToGrid w:val="0"/>
                <w:kern w:val="0"/>
                <w:szCs w:val="21"/>
              </w:rPr>
            </w:pPr>
            <w:r>
              <w:rPr>
                <w:rFonts w:hint="eastAsia" w:ascii="宋体" w:hAnsi="宋体"/>
                <w:snapToGrid w:val="0"/>
                <w:kern w:val="0"/>
                <w:szCs w:val="21"/>
              </w:rPr>
              <w:t>合同</w:t>
            </w:r>
            <w:r>
              <w:rPr>
                <w:rFonts w:ascii="宋体" w:hAnsi="宋体"/>
                <w:snapToGrid w:val="0"/>
                <w:kern w:val="0"/>
                <w:szCs w:val="21"/>
              </w:rPr>
              <w:t>价款支付</w:t>
            </w:r>
          </w:p>
        </w:tc>
        <w:tc>
          <w:tcPr>
            <w:tcW w:w="5971" w:type="dxa"/>
            <w:tcBorders>
              <w:top w:val="single" w:color="auto" w:sz="4" w:space="0"/>
              <w:left w:val="single" w:color="auto" w:sz="4" w:space="0"/>
              <w:bottom w:val="single" w:color="auto" w:sz="4" w:space="0"/>
              <w:right w:val="single" w:color="auto" w:sz="4" w:space="0"/>
            </w:tcBorders>
            <w:vAlign w:val="center"/>
          </w:tcPr>
          <w:p w14:paraId="7EA120A6">
            <w:pPr>
              <w:spacing w:line="300" w:lineRule="auto"/>
              <w:rPr>
                <w:rFonts w:ascii="宋体" w:hAnsi="宋体"/>
                <w:szCs w:val="21"/>
              </w:rPr>
            </w:pPr>
            <w:r>
              <w:rPr>
                <w:rFonts w:hint="eastAsia" w:ascii="宋体" w:hAnsi="宋体"/>
                <w:szCs w:val="21"/>
              </w:rPr>
              <w:t>1、项目一阶段：一阶段验收通过后，乙方提供合同价款60%的发票和甲乙双方共同签署的《云南开放大学采购项目阶段性验收表》，甲方据此向乙方支付合同价款的60%。</w:t>
            </w:r>
          </w:p>
          <w:p w14:paraId="4DE6C2D3">
            <w:pPr>
              <w:spacing w:line="300" w:lineRule="auto"/>
              <w:rPr>
                <w:rFonts w:ascii="宋体" w:hAnsi="宋体"/>
                <w:szCs w:val="21"/>
              </w:rPr>
            </w:pPr>
            <w:r>
              <w:rPr>
                <w:rFonts w:hint="eastAsia" w:ascii="宋体" w:hAnsi="宋体"/>
                <w:szCs w:val="21"/>
              </w:rPr>
              <w:t>2、项目二阶段：二阶段验收通过后，乙方提供合同价款35%的发票和甲乙双方共同签署的《云南开放大学采购项目阶段性验收表》，甲方据此向乙方支付合同价款的35%。</w:t>
            </w:r>
          </w:p>
          <w:p w14:paraId="1A4E0438">
            <w:pPr>
              <w:spacing w:line="300" w:lineRule="auto"/>
              <w:rPr>
                <w:rFonts w:ascii="宋体" w:hAnsi="宋体"/>
                <w:szCs w:val="21"/>
              </w:rPr>
            </w:pPr>
            <w:r>
              <w:rPr>
                <w:rFonts w:hint="eastAsia" w:ascii="宋体" w:hAnsi="宋体"/>
                <w:szCs w:val="21"/>
              </w:rPr>
              <w:t>3、项目三阶段：三阶段验收通过后，乙方提供合同价款5%的发票和甲乙双方共同签署的《云南开放大学采购项目验收报告表》，甲方据此向乙方支付合同价款的5%。</w:t>
            </w:r>
          </w:p>
        </w:tc>
      </w:tr>
      <w:tr w14:paraId="040AF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960" w:type="dxa"/>
            <w:tcBorders>
              <w:top w:val="single" w:color="auto" w:sz="4" w:space="0"/>
              <w:left w:val="single" w:color="auto" w:sz="4" w:space="0"/>
              <w:bottom w:val="single" w:color="auto" w:sz="4" w:space="0"/>
              <w:right w:val="single" w:color="auto" w:sz="4" w:space="0"/>
            </w:tcBorders>
            <w:vAlign w:val="center"/>
          </w:tcPr>
          <w:p w14:paraId="45228DA6">
            <w:pPr>
              <w:snapToGrid w:val="0"/>
              <w:spacing w:line="300" w:lineRule="auto"/>
              <w:jc w:val="center"/>
              <w:rPr>
                <w:rFonts w:ascii="宋体" w:hAnsi="宋体"/>
                <w:snapToGrid w:val="0"/>
                <w:kern w:val="0"/>
                <w:szCs w:val="21"/>
              </w:rPr>
            </w:pPr>
            <w:r>
              <w:rPr>
                <w:rFonts w:ascii="宋体" w:hAnsi="宋体"/>
                <w:snapToGrid w:val="0"/>
                <w:kern w:val="0"/>
                <w:szCs w:val="21"/>
              </w:rPr>
              <w:t>3.3.1</w:t>
            </w:r>
          </w:p>
        </w:tc>
        <w:tc>
          <w:tcPr>
            <w:tcW w:w="2126" w:type="dxa"/>
            <w:tcBorders>
              <w:top w:val="single" w:color="auto" w:sz="4" w:space="0"/>
              <w:left w:val="single" w:color="auto" w:sz="4" w:space="0"/>
              <w:bottom w:val="single" w:color="auto" w:sz="4" w:space="0"/>
              <w:right w:val="single" w:color="auto" w:sz="4" w:space="0"/>
            </w:tcBorders>
            <w:vAlign w:val="center"/>
          </w:tcPr>
          <w:p w14:paraId="5A86DF2B">
            <w:pPr>
              <w:snapToGrid w:val="0"/>
              <w:spacing w:line="300" w:lineRule="auto"/>
              <w:jc w:val="center"/>
              <w:rPr>
                <w:rFonts w:ascii="宋体" w:hAnsi="宋体"/>
                <w:snapToGrid w:val="0"/>
                <w:kern w:val="0"/>
                <w:szCs w:val="21"/>
              </w:rPr>
            </w:pPr>
            <w:r>
              <w:rPr>
                <w:rFonts w:hint="eastAsia" w:ascii="宋体" w:hAnsi="宋体"/>
                <w:snapToGrid w:val="0"/>
                <w:kern w:val="0"/>
                <w:szCs w:val="21"/>
              </w:rPr>
              <w:t>投标有效期</w:t>
            </w:r>
          </w:p>
        </w:tc>
        <w:tc>
          <w:tcPr>
            <w:tcW w:w="5971" w:type="dxa"/>
            <w:tcBorders>
              <w:top w:val="single" w:color="auto" w:sz="4" w:space="0"/>
              <w:left w:val="single" w:color="auto" w:sz="4" w:space="0"/>
              <w:bottom w:val="single" w:color="auto" w:sz="4" w:space="0"/>
              <w:right w:val="single" w:color="auto" w:sz="4" w:space="0"/>
            </w:tcBorders>
            <w:vAlign w:val="center"/>
          </w:tcPr>
          <w:p w14:paraId="46429D59">
            <w:pPr>
              <w:snapToGrid w:val="0"/>
              <w:spacing w:line="300" w:lineRule="auto"/>
              <w:rPr>
                <w:rFonts w:ascii="宋体" w:hAnsi="宋体"/>
                <w:snapToGrid w:val="0"/>
                <w:kern w:val="0"/>
                <w:szCs w:val="21"/>
              </w:rPr>
            </w:pPr>
            <w:r>
              <w:rPr>
                <w:rFonts w:hint="eastAsia" w:ascii="宋体" w:hAnsi="宋体"/>
                <w:snapToGrid w:val="0"/>
                <w:kern w:val="0"/>
                <w:szCs w:val="21"/>
              </w:rPr>
              <w:t>90日历天，从投标截止之日算起。</w:t>
            </w:r>
          </w:p>
        </w:tc>
      </w:tr>
      <w:tr w14:paraId="2F3A5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0" w:type="dxa"/>
            <w:tcBorders>
              <w:top w:val="single" w:color="auto" w:sz="4" w:space="0"/>
              <w:left w:val="single" w:color="auto" w:sz="4" w:space="0"/>
              <w:bottom w:val="single" w:color="auto" w:sz="4" w:space="0"/>
              <w:right w:val="single" w:color="auto" w:sz="4" w:space="0"/>
            </w:tcBorders>
            <w:vAlign w:val="center"/>
          </w:tcPr>
          <w:p w14:paraId="02318B1C">
            <w:pPr>
              <w:snapToGrid w:val="0"/>
              <w:spacing w:line="300" w:lineRule="auto"/>
              <w:jc w:val="center"/>
              <w:rPr>
                <w:rFonts w:ascii="宋体" w:hAnsi="宋体"/>
                <w:snapToGrid w:val="0"/>
                <w:kern w:val="0"/>
                <w:szCs w:val="21"/>
              </w:rPr>
            </w:pPr>
            <w:r>
              <w:rPr>
                <w:rFonts w:ascii="宋体" w:hAnsi="宋体"/>
                <w:snapToGrid w:val="0"/>
                <w:kern w:val="0"/>
                <w:szCs w:val="21"/>
              </w:rPr>
              <w:t>3.4.1</w:t>
            </w:r>
          </w:p>
        </w:tc>
        <w:tc>
          <w:tcPr>
            <w:tcW w:w="2126" w:type="dxa"/>
            <w:tcBorders>
              <w:top w:val="single" w:color="auto" w:sz="4" w:space="0"/>
              <w:left w:val="single" w:color="auto" w:sz="4" w:space="0"/>
              <w:bottom w:val="single" w:color="auto" w:sz="4" w:space="0"/>
              <w:right w:val="single" w:color="auto" w:sz="4" w:space="0"/>
            </w:tcBorders>
            <w:vAlign w:val="center"/>
          </w:tcPr>
          <w:p w14:paraId="5CA97659">
            <w:pPr>
              <w:snapToGrid w:val="0"/>
              <w:spacing w:line="300" w:lineRule="auto"/>
              <w:jc w:val="center"/>
              <w:rPr>
                <w:rFonts w:ascii="宋体" w:hAnsi="宋体"/>
                <w:snapToGrid w:val="0"/>
                <w:kern w:val="0"/>
                <w:szCs w:val="21"/>
              </w:rPr>
            </w:pPr>
            <w:r>
              <w:rPr>
                <w:rFonts w:hint="eastAsia" w:ascii="宋体" w:hAnsi="宋体"/>
                <w:snapToGrid w:val="0"/>
                <w:kern w:val="0"/>
                <w:szCs w:val="21"/>
              </w:rPr>
              <w:t>投标保证金</w:t>
            </w:r>
          </w:p>
        </w:tc>
        <w:tc>
          <w:tcPr>
            <w:tcW w:w="5971" w:type="dxa"/>
            <w:tcBorders>
              <w:top w:val="single" w:color="auto" w:sz="4" w:space="0"/>
              <w:left w:val="single" w:color="auto" w:sz="4" w:space="0"/>
              <w:bottom w:val="single" w:color="auto" w:sz="4" w:space="0"/>
              <w:right w:val="single" w:color="auto" w:sz="4" w:space="0"/>
            </w:tcBorders>
            <w:vAlign w:val="center"/>
          </w:tcPr>
          <w:p w14:paraId="6694DE32">
            <w:pPr>
              <w:snapToGrid w:val="0"/>
              <w:spacing w:line="300" w:lineRule="auto"/>
              <w:rPr>
                <w:rFonts w:ascii="宋体" w:hAnsi="宋体"/>
                <w:snapToGrid w:val="0"/>
                <w:kern w:val="0"/>
                <w:szCs w:val="21"/>
              </w:rPr>
            </w:pPr>
            <w:r>
              <w:rPr>
                <w:rFonts w:hint="eastAsia" w:ascii="宋体" w:hAnsi="宋体"/>
                <w:snapToGrid w:val="0"/>
                <w:kern w:val="0"/>
                <w:szCs w:val="21"/>
              </w:rPr>
              <w:t>保证金金额：人民币5</w:t>
            </w:r>
            <w:r>
              <w:rPr>
                <w:rFonts w:ascii="宋体" w:hAnsi="宋体"/>
                <w:snapToGrid w:val="0"/>
                <w:kern w:val="0"/>
                <w:szCs w:val="21"/>
              </w:rPr>
              <w:t>,000.00元（大写：</w:t>
            </w:r>
            <w:r>
              <w:rPr>
                <w:rFonts w:hint="eastAsia" w:ascii="宋体" w:hAnsi="宋体"/>
                <w:snapToGrid w:val="0"/>
                <w:kern w:val="0"/>
                <w:szCs w:val="21"/>
              </w:rPr>
              <w:t>伍仟元</w:t>
            </w:r>
            <w:r>
              <w:rPr>
                <w:rFonts w:ascii="宋体" w:hAnsi="宋体"/>
                <w:snapToGrid w:val="0"/>
                <w:kern w:val="0"/>
                <w:szCs w:val="21"/>
              </w:rPr>
              <w:t>整）</w:t>
            </w:r>
            <w:r>
              <w:rPr>
                <w:rFonts w:hint="eastAsia" w:ascii="宋体" w:hAnsi="宋体"/>
                <w:snapToGrid w:val="0"/>
                <w:kern w:val="0"/>
                <w:szCs w:val="21"/>
              </w:rPr>
              <w:t>。</w:t>
            </w:r>
          </w:p>
          <w:p w14:paraId="61AFDE6B">
            <w:pPr>
              <w:snapToGrid w:val="0"/>
              <w:spacing w:line="300" w:lineRule="auto"/>
              <w:rPr>
                <w:rFonts w:ascii="宋体" w:hAnsi="宋体"/>
                <w:snapToGrid w:val="0"/>
                <w:kern w:val="0"/>
                <w:szCs w:val="21"/>
              </w:rPr>
            </w:pPr>
            <w:r>
              <w:rPr>
                <w:rFonts w:hint="eastAsia" w:ascii="宋体" w:hAnsi="宋体"/>
                <w:snapToGrid w:val="0"/>
                <w:kern w:val="0"/>
                <w:szCs w:val="21"/>
              </w:rPr>
              <w:t>提交形式：银行转账、电汇、网银、银行保函等。</w:t>
            </w:r>
          </w:p>
          <w:p w14:paraId="555A909F">
            <w:pPr>
              <w:snapToGrid w:val="0"/>
              <w:spacing w:line="300" w:lineRule="auto"/>
              <w:rPr>
                <w:rFonts w:ascii="宋体" w:hAnsi="宋体"/>
                <w:snapToGrid w:val="0"/>
                <w:kern w:val="0"/>
                <w:szCs w:val="21"/>
              </w:rPr>
            </w:pPr>
            <w:r>
              <w:rPr>
                <w:rFonts w:hint="eastAsia" w:ascii="宋体" w:hAnsi="宋体"/>
                <w:snapToGrid w:val="0"/>
                <w:kern w:val="0"/>
                <w:szCs w:val="21"/>
              </w:rPr>
              <w:t>一、采用银行转账、电汇、网银形式的，请按以下要求提交：</w:t>
            </w:r>
          </w:p>
          <w:p w14:paraId="411C89EC">
            <w:pPr>
              <w:snapToGrid w:val="0"/>
              <w:spacing w:line="300" w:lineRule="auto"/>
              <w:rPr>
                <w:rFonts w:ascii="宋体" w:hAnsi="宋体"/>
                <w:snapToGrid w:val="0"/>
                <w:kern w:val="0"/>
                <w:szCs w:val="21"/>
              </w:rPr>
            </w:pPr>
            <w:r>
              <w:rPr>
                <w:rFonts w:hint="eastAsia" w:ascii="宋体" w:hAnsi="宋体"/>
                <w:snapToGrid w:val="0"/>
                <w:kern w:val="0"/>
                <w:szCs w:val="21"/>
              </w:rPr>
              <w:t>（一）账号信息：</w:t>
            </w:r>
          </w:p>
          <w:p w14:paraId="3E904875">
            <w:pPr>
              <w:snapToGrid w:val="0"/>
              <w:spacing w:line="300" w:lineRule="auto"/>
              <w:rPr>
                <w:rFonts w:ascii="宋体" w:hAnsi="宋体"/>
                <w:snapToGrid w:val="0"/>
                <w:kern w:val="0"/>
                <w:szCs w:val="21"/>
              </w:rPr>
            </w:pPr>
            <w:r>
              <w:rPr>
                <w:rFonts w:hint="eastAsia" w:ascii="宋体" w:hAnsi="宋体"/>
                <w:snapToGrid w:val="0"/>
                <w:kern w:val="0"/>
                <w:szCs w:val="21"/>
              </w:rPr>
              <w:t>账户名称：云南国内招标有限公司</w:t>
            </w:r>
          </w:p>
          <w:p w14:paraId="41E20368">
            <w:pPr>
              <w:snapToGrid w:val="0"/>
              <w:spacing w:line="300" w:lineRule="auto"/>
              <w:rPr>
                <w:rFonts w:ascii="宋体" w:hAnsi="宋体"/>
                <w:snapToGrid w:val="0"/>
                <w:kern w:val="0"/>
                <w:szCs w:val="21"/>
              </w:rPr>
            </w:pPr>
            <w:r>
              <w:rPr>
                <w:rFonts w:hint="eastAsia" w:ascii="宋体" w:hAnsi="宋体"/>
                <w:snapToGrid w:val="0"/>
                <w:kern w:val="0"/>
                <w:szCs w:val="21"/>
              </w:rPr>
              <w:t>开户行：中国银行昆明市丹霞路支行</w:t>
            </w:r>
          </w:p>
          <w:p w14:paraId="3E86A8DE">
            <w:pPr>
              <w:snapToGrid w:val="0"/>
              <w:spacing w:line="300" w:lineRule="auto"/>
              <w:rPr>
                <w:rFonts w:ascii="宋体" w:hAnsi="宋体"/>
                <w:snapToGrid w:val="0"/>
                <w:kern w:val="0"/>
                <w:szCs w:val="21"/>
              </w:rPr>
            </w:pPr>
            <w:r>
              <w:rPr>
                <w:rFonts w:hint="eastAsia" w:ascii="宋体" w:hAnsi="宋体"/>
                <w:snapToGrid w:val="0"/>
                <w:kern w:val="0"/>
                <w:szCs w:val="21"/>
              </w:rPr>
              <w:t>账号：134065200356</w:t>
            </w:r>
          </w:p>
          <w:p w14:paraId="352F1ACB">
            <w:pPr>
              <w:snapToGrid w:val="0"/>
              <w:spacing w:line="300" w:lineRule="auto"/>
              <w:rPr>
                <w:rFonts w:ascii="宋体" w:hAnsi="宋体"/>
                <w:snapToGrid w:val="0"/>
                <w:kern w:val="0"/>
                <w:szCs w:val="21"/>
              </w:rPr>
            </w:pPr>
            <w:r>
              <w:rPr>
                <w:rFonts w:hint="eastAsia" w:ascii="宋体" w:hAnsi="宋体"/>
                <w:snapToGrid w:val="0"/>
                <w:kern w:val="0"/>
                <w:szCs w:val="21"/>
              </w:rPr>
              <w:t>（二）提交时间：保证金截止时间为投标截止时间，以实际到达专用账户时间为准，请供应商合理安排递交时间，未在投标截止时间之前到账导致投标无效的后果由供应商自行承担。</w:t>
            </w:r>
          </w:p>
          <w:p w14:paraId="1AC48D98">
            <w:pPr>
              <w:snapToGrid w:val="0"/>
              <w:spacing w:line="300" w:lineRule="auto"/>
              <w:rPr>
                <w:rFonts w:ascii="宋体" w:hAnsi="宋体"/>
                <w:snapToGrid w:val="0"/>
                <w:kern w:val="0"/>
                <w:szCs w:val="21"/>
              </w:rPr>
            </w:pPr>
            <w:r>
              <w:rPr>
                <w:rFonts w:hint="eastAsia" w:ascii="宋体" w:hAnsi="宋体"/>
                <w:snapToGrid w:val="0"/>
                <w:kern w:val="0"/>
                <w:szCs w:val="21"/>
              </w:rPr>
              <w:t>（三）供应商应将保证金的付款凭证复印件附于投标文件中。</w:t>
            </w:r>
          </w:p>
          <w:p w14:paraId="15EBB547">
            <w:pPr>
              <w:snapToGrid w:val="0"/>
              <w:spacing w:line="300" w:lineRule="auto"/>
              <w:rPr>
                <w:rFonts w:ascii="宋体" w:hAnsi="宋体"/>
                <w:snapToGrid w:val="0"/>
                <w:kern w:val="0"/>
                <w:szCs w:val="21"/>
              </w:rPr>
            </w:pPr>
            <w:r>
              <w:rPr>
                <w:rFonts w:hint="eastAsia" w:ascii="宋体" w:hAnsi="宋体"/>
                <w:snapToGrid w:val="0"/>
                <w:kern w:val="0"/>
                <w:szCs w:val="21"/>
              </w:rPr>
              <w:t>二、采用银行保函形式的，请按以下要求提交：</w:t>
            </w:r>
          </w:p>
          <w:p w14:paraId="07A0C75E">
            <w:pPr>
              <w:snapToGrid w:val="0"/>
              <w:spacing w:line="300" w:lineRule="auto"/>
              <w:rPr>
                <w:rFonts w:ascii="宋体" w:hAnsi="宋体"/>
                <w:snapToGrid w:val="0"/>
                <w:kern w:val="0"/>
                <w:szCs w:val="21"/>
              </w:rPr>
            </w:pPr>
            <w:r>
              <w:rPr>
                <w:rFonts w:hint="eastAsia" w:ascii="宋体" w:hAnsi="宋体"/>
                <w:snapToGrid w:val="0"/>
                <w:kern w:val="0"/>
                <w:szCs w:val="21"/>
              </w:rPr>
              <w:t>（一）提交时间：保函原件的扫描件必须附于投标文件中，否则视为未提交。</w:t>
            </w:r>
          </w:p>
          <w:p w14:paraId="3D62B83F">
            <w:pPr>
              <w:snapToGrid w:val="0"/>
              <w:spacing w:line="300" w:lineRule="auto"/>
              <w:rPr>
                <w:rFonts w:ascii="宋体" w:hAnsi="宋体"/>
                <w:snapToGrid w:val="0"/>
                <w:kern w:val="0"/>
                <w:szCs w:val="21"/>
              </w:rPr>
            </w:pPr>
            <w:r>
              <w:rPr>
                <w:rFonts w:hint="eastAsia" w:ascii="宋体" w:hAnsi="宋体"/>
                <w:snapToGrid w:val="0"/>
                <w:kern w:val="0"/>
                <w:szCs w:val="21"/>
              </w:rPr>
              <w:t>（二）保函的申请人必须是投标供应商，受益人必须是采购人。</w:t>
            </w:r>
          </w:p>
          <w:p w14:paraId="7DCAB502">
            <w:pPr>
              <w:snapToGrid w:val="0"/>
              <w:spacing w:line="300" w:lineRule="auto"/>
              <w:rPr>
                <w:rFonts w:ascii="宋体" w:hAnsi="宋体"/>
                <w:snapToGrid w:val="0"/>
                <w:kern w:val="0"/>
                <w:szCs w:val="21"/>
              </w:rPr>
            </w:pPr>
            <w:r>
              <w:rPr>
                <w:rFonts w:hint="eastAsia" w:ascii="宋体" w:hAnsi="宋体"/>
                <w:snapToGrid w:val="0"/>
                <w:kern w:val="0"/>
                <w:szCs w:val="21"/>
              </w:rPr>
              <w:t>（三）银行保函必须正确填写受益人和申请人的全称，并与招标文件规定的名称相一致，以免造成投标无效。</w:t>
            </w:r>
          </w:p>
          <w:p w14:paraId="3473E6E4">
            <w:pPr>
              <w:snapToGrid w:val="0"/>
              <w:spacing w:line="300" w:lineRule="auto"/>
            </w:pPr>
            <w:r>
              <w:rPr>
                <w:rFonts w:hint="eastAsia" w:ascii="宋体" w:hAnsi="宋体"/>
                <w:snapToGrid w:val="0"/>
                <w:kern w:val="0"/>
                <w:szCs w:val="21"/>
              </w:rPr>
              <w:t>三、保证金应以供应商自身名义提交，不得以分支机构等其他名义提交（按照规定，供应商可以为自然人的项目除外）。</w:t>
            </w:r>
          </w:p>
        </w:tc>
      </w:tr>
      <w:tr w14:paraId="4D977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960" w:type="dxa"/>
            <w:tcBorders>
              <w:top w:val="single" w:color="auto" w:sz="4" w:space="0"/>
              <w:left w:val="single" w:color="auto" w:sz="4" w:space="0"/>
              <w:bottom w:val="single" w:color="auto" w:sz="4" w:space="0"/>
              <w:right w:val="single" w:color="auto" w:sz="4" w:space="0"/>
            </w:tcBorders>
            <w:vAlign w:val="center"/>
          </w:tcPr>
          <w:p w14:paraId="4B3DBD5F">
            <w:pPr>
              <w:snapToGrid w:val="0"/>
              <w:spacing w:line="300" w:lineRule="auto"/>
              <w:jc w:val="center"/>
              <w:rPr>
                <w:rFonts w:ascii="宋体" w:hAnsi="宋体"/>
                <w:snapToGrid w:val="0"/>
                <w:kern w:val="0"/>
                <w:szCs w:val="21"/>
              </w:rPr>
            </w:pPr>
            <w:r>
              <w:rPr>
                <w:rFonts w:ascii="宋体" w:hAnsi="宋体"/>
                <w:snapToGrid w:val="0"/>
                <w:kern w:val="0"/>
                <w:szCs w:val="21"/>
              </w:rPr>
              <w:t>3.6</w:t>
            </w:r>
          </w:p>
        </w:tc>
        <w:tc>
          <w:tcPr>
            <w:tcW w:w="2126" w:type="dxa"/>
            <w:tcBorders>
              <w:top w:val="single" w:color="auto" w:sz="4" w:space="0"/>
              <w:left w:val="single" w:color="auto" w:sz="4" w:space="0"/>
              <w:bottom w:val="single" w:color="auto" w:sz="4" w:space="0"/>
              <w:right w:val="single" w:color="auto" w:sz="4" w:space="0"/>
            </w:tcBorders>
            <w:vAlign w:val="center"/>
          </w:tcPr>
          <w:p w14:paraId="32ABFF33">
            <w:pPr>
              <w:snapToGrid w:val="0"/>
              <w:spacing w:line="300" w:lineRule="auto"/>
              <w:jc w:val="center"/>
              <w:rPr>
                <w:rFonts w:ascii="宋体" w:hAnsi="宋体"/>
                <w:snapToGrid w:val="0"/>
                <w:kern w:val="0"/>
                <w:szCs w:val="21"/>
              </w:rPr>
            </w:pPr>
            <w:r>
              <w:rPr>
                <w:rFonts w:hint="eastAsia" w:ascii="宋体" w:hAnsi="宋体"/>
                <w:snapToGrid w:val="0"/>
                <w:kern w:val="0"/>
                <w:szCs w:val="21"/>
              </w:rPr>
              <w:t>是否允许递交备选投标方案</w:t>
            </w:r>
          </w:p>
        </w:tc>
        <w:tc>
          <w:tcPr>
            <w:tcW w:w="5971" w:type="dxa"/>
            <w:tcBorders>
              <w:top w:val="single" w:color="auto" w:sz="4" w:space="0"/>
              <w:left w:val="single" w:color="auto" w:sz="4" w:space="0"/>
              <w:bottom w:val="single" w:color="auto" w:sz="4" w:space="0"/>
              <w:right w:val="single" w:color="auto" w:sz="4" w:space="0"/>
            </w:tcBorders>
            <w:vAlign w:val="center"/>
          </w:tcPr>
          <w:p w14:paraId="26397F68">
            <w:pPr>
              <w:snapToGrid w:val="0"/>
              <w:spacing w:line="300" w:lineRule="auto"/>
              <w:rPr>
                <w:rFonts w:ascii="宋体" w:hAnsi="宋体"/>
                <w:snapToGrid w:val="0"/>
                <w:kern w:val="0"/>
                <w:szCs w:val="21"/>
              </w:rPr>
            </w:pPr>
            <w:r>
              <w:rPr>
                <w:rFonts w:hint="eastAsia" w:ascii="宋体" w:hAnsi="宋体"/>
                <w:snapToGrid w:val="0"/>
                <w:kern w:val="0"/>
                <w:szCs w:val="21"/>
              </w:rPr>
              <w:t>不允许</w:t>
            </w:r>
          </w:p>
        </w:tc>
      </w:tr>
      <w:tr w14:paraId="5A69E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7" w:hRule="atLeast"/>
          <w:jc w:val="center"/>
        </w:trPr>
        <w:tc>
          <w:tcPr>
            <w:tcW w:w="960" w:type="dxa"/>
            <w:tcBorders>
              <w:top w:val="single" w:color="auto" w:sz="4" w:space="0"/>
              <w:left w:val="single" w:color="auto" w:sz="4" w:space="0"/>
              <w:bottom w:val="single" w:color="auto" w:sz="4" w:space="0"/>
              <w:right w:val="single" w:color="auto" w:sz="4" w:space="0"/>
            </w:tcBorders>
            <w:vAlign w:val="center"/>
          </w:tcPr>
          <w:p w14:paraId="792FDC34">
            <w:pPr>
              <w:snapToGrid w:val="0"/>
              <w:spacing w:line="300" w:lineRule="auto"/>
              <w:jc w:val="center"/>
              <w:rPr>
                <w:rFonts w:ascii="宋体" w:hAnsi="宋体"/>
                <w:snapToGrid w:val="0"/>
                <w:kern w:val="0"/>
                <w:szCs w:val="21"/>
              </w:rPr>
            </w:pPr>
            <w:r>
              <w:rPr>
                <w:rFonts w:ascii="宋体" w:hAnsi="宋体"/>
                <w:snapToGrid w:val="0"/>
                <w:kern w:val="0"/>
                <w:szCs w:val="21"/>
              </w:rPr>
              <w:t>3.7.1</w:t>
            </w:r>
          </w:p>
        </w:tc>
        <w:tc>
          <w:tcPr>
            <w:tcW w:w="2126" w:type="dxa"/>
            <w:tcBorders>
              <w:top w:val="single" w:color="auto" w:sz="4" w:space="0"/>
              <w:left w:val="single" w:color="auto" w:sz="4" w:space="0"/>
              <w:bottom w:val="single" w:color="auto" w:sz="4" w:space="0"/>
              <w:right w:val="single" w:color="auto" w:sz="4" w:space="0"/>
            </w:tcBorders>
            <w:vAlign w:val="center"/>
          </w:tcPr>
          <w:p w14:paraId="632CB0E3">
            <w:pPr>
              <w:spacing w:line="300" w:lineRule="auto"/>
              <w:jc w:val="center"/>
              <w:rPr>
                <w:rFonts w:ascii="宋体" w:hAnsi="宋体"/>
                <w:snapToGrid w:val="0"/>
                <w:kern w:val="0"/>
                <w:szCs w:val="21"/>
              </w:rPr>
            </w:pPr>
            <w:r>
              <w:rPr>
                <w:rFonts w:hint="eastAsia" w:ascii="宋体" w:hAnsi="宋体"/>
                <w:snapToGrid w:val="0"/>
                <w:kern w:val="0"/>
                <w:szCs w:val="21"/>
              </w:rPr>
              <w:t>投标文件编制</w:t>
            </w:r>
          </w:p>
        </w:tc>
        <w:tc>
          <w:tcPr>
            <w:tcW w:w="5971" w:type="dxa"/>
            <w:tcBorders>
              <w:top w:val="single" w:color="auto" w:sz="4" w:space="0"/>
              <w:left w:val="single" w:color="auto" w:sz="4" w:space="0"/>
              <w:bottom w:val="single" w:color="auto" w:sz="4" w:space="0"/>
              <w:right w:val="single" w:color="auto" w:sz="4" w:space="0"/>
            </w:tcBorders>
            <w:vAlign w:val="center"/>
          </w:tcPr>
          <w:p w14:paraId="01B1D82D">
            <w:pPr>
              <w:snapToGrid w:val="0"/>
              <w:spacing w:line="300" w:lineRule="auto"/>
              <w:rPr>
                <w:rFonts w:ascii="宋体" w:hAnsi="宋体"/>
                <w:snapToGrid w:val="0"/>
                <w:kern w:val="0"/>
                <w:szCs w:val="21"/>
              </w:rPr>
            </w:pPr>
            <w:r>
              <w:rPr>
                <w:rFonts w:hint="eastAsia" w:ascii="宋体" w:hAnsi="宋体"/>
                <w:snapToGrid w:val="0"/>
                <w:kern w:val="0"/>
                <w:szCs w:val="21"/>
              </w:rPr>
              <w:t>（1）本项目为全流程电子化项目，通过“政采云”平台实行在线电子响应，供应商应先前往“政采云”平台下载安装“政采云电子交易客户端”，并按照本项目招标文件和“政采云”平台的要求编制投标文件、进行电子签章及加密后在投标截止时间前通过网络上传至“政采云”平台，提交电子版投标文件时，请填写参加远程采购活动的经办人联系方式。</w:t>
            </w:r>
          </w:p>
          <w:p w14:paraId="2A5F9D0B">
            <w:pPr>
              <w:snapToGrid w:val="0"/>
              <w:spacing w:line="300" w:lineRule="auto"/>
              <w:rPr>
                <w:rFonts w:ascii="宋体" w:hAnsi="宋体"/>
                <w:snapToGrid w:val="0"/>
                <w:kern w:val="0"/>
                <w:szCs w:val="21"/>
              </w:rPr>
            </w:pPr>
            <w:r>
              <w:rPr>
                <w:rFonts w:hint="eastAsia" w:ascii="宋体" w:hAnsi="宋体"/>
                <w:snapToGrid w:val="0"/>
                <w:kern w:val="0"/>
                <w:szCs w:val="21"/>
              </w:rPr>
              <w:t>（2）供应商对网上递交的投标文件必须加密，如果供应商使用某个数字证书CA对投标文件进行了加密，需要在开标过程中使用该数字证书CA进行解密，才能读取或导入投标文件，因供应商原因造成投标文件未解密的，视为撤回其投标文件。</w:t>
            </w:r>
          </w:p>
          <w:p w14:paraId="16D133D5">
            <w:pPr>
              <w:snapToGrid w:val="0"/>
              <w:spacing w:line="300" w:lineRule="auto"/>
              <w:rPr>
                <w:rFonts w:ascii="宋体" w:hAnsi="宋体"/>
                <w:snapToGrid w:val="0"/>
                <w:kern w:val="0"/>
                <w:szCs w:val="21"/>
              </w:rPr>
            </w:pPr>
            <w:r>
              <w:rPr>
                <w:rFonts w:hint="eastAsia" w:ascii="宋体" w:hAnsi="宋体"/>
                <w:snapToGrid w:val="0"/>
                <w:kern w:val="0"/>
                <w:szCs w:val="21"/>
              </w:rPr>
              <w:t>（3）供应商应当在投标文件提交截止时间前完成电子投标文件的上传、递交，投标文件提交截止时间前可以补充、修改或者撤回投标文件。补充或者修改投标文件的，应当先行撤回原文件，补充、修改后重新上传、递交。响应截止时间前未完成上传、递交的，视为撤回投标文件。投标文件提交截止时间以后上传递交的投标文件的，“政采云”平台将予以拒收。</w:t>
            </w:r>
          </w:p>
          <w:p w14:paraId="3D97B4EC">
            <w:pPr>
              <w:snapToGrid w:val="0"/>
              <w:spacing w:line="300" w:lineRule="auto"/>
              <w:rPr>
                <w:rFonts w:ascii="宋体" w:hAnsi="宋体"/>
                <w:snapToGrid w:val="0"/>
                <w:kern w:val="0"/>
                <w:szCs w:val="21"/>
              </w:rPr>
            </w:pPr>
            <w:r>
              <w:rPr>
                <w:rFonts w:hint="eastAsia" w:ascii="宋体" w:hAnsi="宋体"/>
                <w:snapToGrid w:val="0"/>
                <w:kern w:val="0"/>
                <w:szCs w:val="21"/>
              </w:rPr>
              <w:t>（4）CA证书在线解密：投标文件开启时，需要供应商登录“政采云”平台电子开标大厅按规定时间对加密的投标文件进行解密，否则后果自负。</w:t>
            </w:r>
          </w:p>
          <w:p w14:paraId="73BE1D28">
            <w:pPr>
              <w:snapToGrid w:val="0"/>
              <w:spacing w:line="300" w:lineRule="auto"/>
              <w:rPr>
                <w:rFonts w:ascii="宋体" w:hAnsi="宋体"/>
                <w:snapToGrid w:val="0"/>
                <w:kern w:val="0"/>
                <w:szCs w:val="21"/>
              </w:rPr>
            </w:pPr>
            <w:r>
              <w:rPr>
                <w:rFonts w:hint="eastAsia" w:ascii="宋体" w:hAnsi="宋体"/>
                <w:snapToGrid w:val="0"/>
                <w:kern w:val="0"/>
                <w:szCs w:val="21"/>
              </w:rPr>
              <w:t>（5）供应商需要在具备摄像头及语音功能且互联网网络状况良好的电脑登录“政采云”平台远程开标大厅参与本次投标否则后果自负。</w:t>
            </w:r>
          </w:p>
          <w:p w14:paraId="0E3046F8">
            <w:pPr>
              <w:snapToGrid w:val="0"/>
              <w:spacing w:line="300" w:lineRule="auto"/>
              <w:rPr>
                <w:rFonts w:ascii="宋体" w:hAnsi="宋体"/>
                <w:snapToGrid w:val="0"/>
                <w:kern w:val="0"/>
                <w:szCs w:val="21"/>
              </w:rPr>
            </w:pPr>
            <w:r>
              <w:rPr>
                <w:rFonts w:hint="eastAsia" w:ascii="宋体" w:hAnsi="宋体"/>
                <w:snapToGrid w:val="0"/>
                <w:kern w:val="0"/>
                <w:szCs w:val="21"/>
              </w:rPr>
              <w:t>（6）如供应商提交的电子标书不符合上述要求或开标时无法读取导入或解密，其投标文件将不予受理，后果由</w:t>
            </w:r>
            <w:r>
              <w:rPr>
                <w:rFonts w:ascii="宋体" w:hAnsi="宋体"/>
                <w:snapToGrid w:val="0"/>
                <w:kern w:val="0"/>
                <w:szCs w:val="21"/>
              </w:rPr>
              <w:t>投标人</w:t>
            </w:r>
            <w:r>
              <w:rPr>
                <w:rFonts w:hint="eastAsia" w:ascii="宋体" w:hAnsi="宋体"/>
                <w:snapToGrid w:val="0"/>
                <w:kern w:val="0"/>
                <w:szCs w:val="21"/>
              </w:rPr>
              <w:t>自负。</w:t>
            </w:r>
          </w:p>
        </w:tc>
      </w:tr>
      <w:tr w14:paraId="78E56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960" w:type="dxa"/>
            <w:tcBorders>
              <w:top w:val="single" w:color="auto" w:sz="4" w:space="0"/>
              <w:left w:val="single" w:color="auto" w:sz="4" w:space="0"/>
              <w:bottom w:val="single" w:color="auto" w:sz="4" w:space="0"/>
              <w:right w:val="single" w:color="auto" w:sz="4" w:space="0"/>
            </w:tcBorders>
            <w:vAlign w:val="center"/>
          </w:tcPr>
          <w:p w14:paraId="5522C4DB">
            <w:pPr>
              <w:snapToGrid w:val="0"/>
              <w:spacing w:line="300" w:lineRule="auto"/>
              <w:jc w:val="center"/>
              <w:rPr>
                <w:rFonts w:ascii="宋体" w:hAnsi="宋体"/>
                <w:snapToGrid w:val="0"/>
                <w:kern w:val="0"/>
                <w:szCs w:val="21"/>
              </w:rPr>
            </w:pPr>
            <w:r>
              <w:rPr>
                <w:rFonts w:hint="eastAsia" w:ascii="宋体" w:hAnsi="宋体"/>
                <w:snapToGrid w:val="0"/>
                <w:kern w:val="0"/>
                <w:szCs w:val="21"/>
              </w:rPr>
              <w:t>3.7.3</w:t>
            </w:r>
          </w:p>
        </w:tc>
        <w:tc>
          <w:tcPr>
            <w:tcW w:w="2126" w:type="dxa"/>
            <w:tcBorders>
              <w:top w:val="single" w:color="auto" w:sz="4" w:space="0"/>
              <w:left w:val="single" w:color="auto" w:sz="4" w:space="0"/>
              <w:bottom w:val="single" w:color="auto" w:sz="4" w:space="0"/>
              <w:right w:val="single" w:color="auto" w:sz="4" w:space="0"/>
            </w:tcBorders>
            <w:vAlign w:val="center"/>
          </w:tcPr>
          <w:p w14:paraId="0917D197">
            <w:pPr>
              <w:snapToGrid w:val="0"/>
              <w:spacing w:line="300" w:lineRule="auto"/>
              <w:jc w:val="center"/>
              <w:rPr>
                <w:szCs w:val="21"/>
              </w:rPr>
            </w:pPr>
            <w:r>
              <w:rPr>
                <w:rFonts w:hint="eastAsia" w:ascii="宋体" w:hAnsi="宋体"/>
                <w:snapToGrid w:val="0"/>
                <w:kern w:val="0"/>
                <w:szCs w:val="21"/>
              </w:rPr>
              <w:t>投标文件签署</w:t>
            </w:r>
          </w:p>
        </w:tc>
        <w:tc>
          <w:tcPr>
            <w:tcW w:w="5971" w:type="dxa"/>
            <w:tcBorders>
              <w:top w:val="single" w:color="auto" w:sz="4" w:space="0"/>
              <w:left w:val="single" w:color="auto" w:sz="4" w:space="0"/>
              <w:bottom w:val="single" w:color="auto" w:sz="4" w:space="0"/>
              <w:right w:val="single" w:color="auto" w:sz="4" w:space="0"/>
            </w:tcBorders>
            <w:vAlign w:val="center"/>
          </w:tcPr>
          <w:p w14:paraId="7870D7E8">
            <w:pPr>
              <w:snapToGrid w:val="0"/>
              <w:spacing w:line="300" w:lineRule="auto"/>
              <w:rPr>
                <w:rFonts w:ascii="宋体" w:hAnsi="宋体"/>
                <w:snapToGrid w:val="0"/>
                <w:kern w:val="0"/>
                <w:szCs w:val="21"/>
              </w:rPr>
            </w:pPr>
            <w:r>
              <w:rPr>
                <w:rFonts w:hint="eastAsia" w:ascii="宋体" w:hAnsi="宋体"/>
                <w:snapToGrid w:val="0"/>
                <w:kern w:val="0"/>
                <w:szCs w:val="21"/>
              </w:rPr>
              <w:t>投标文件应由法定代表人或其委托代理人在规定签字处逐一电子签名或盖电子签字章，要求盖电子公章处应盖单位的电子公章。</w:t>
            </w:r>
          </w:p>
        </w:tc>
      </w:tr>
      <w:tr w14:paraId="49489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0" w:type="dxa"/>
            <w:tcBorders>
              <w:top w:val="single" w:color="auto" w:sz="4" w:space="0"/>
              <w:left w:val="single" w:color="auto" w:sz="4" w:space="0"/>
              <w:bottom w:val="single" w:color="auto" w:sz="4" w:space="0"/>
              <w:right w:val="single" w:color="auto" w:sz="4" w:space="0"/>
            </w:tcBorders>
            <w:vAlign w:val="center"/>
          </w:tcPr>
          <w:p w14:paraId="061DAD70">
            <w:pPr>
              <w:snapToGrid w:val="0"/>
              <w:spacing w:line="300" w:lineRule="auto"/>
              <w:jc w:val="center"/>
              <w:rPr>
                <w:rFonts w:ascii="宋体" w:hAnsi="宋体"/>
                <w:snapToGrid w:val="0"/>
                <w:kern w:val="0"/>
                <w:szCs w:val="21"/>
              </w:rPr>
            </w:pPr>
            <w:r>
              <w:rPr>
                <w:rFonts w:hint="eastAsia" w:ascii="宋体" w:hAnsi="宋体"/>
                <w:snapToGrid w:val="0"/>
                <w:kern w:val="0"/>
                <w:szCs w:val="21"/>
              </w:rPr>
              <w:t>4.</w:t>
            </w:r>
            <w:r>
              <w:rPr>
                <w:rFonts w:ascii="宋体" w:hAnsi="宋体"/>
                <w:snapToGrid w:val="0"/>
                <w:kern w:val="0"/>
                <w:szCs w:val="21"/>
              </w:rPr>
              <w:t>1</w:t>
            </w:r>
            <w:r>
              <w:rPr>
                <w:rFonts w:hint="eastAsia" w:ascii="宋体" w:hAnsi="宋体"/>
                <w:snapToGrid w:val="0"/>
                <w:kern w:val="0"/>
                <w:szCs w:val="21"/>
              </w:rPr>
              <w:t>.</w:t>
            </w:r>
            <w:r>
              <w:rPr>
                <w:rFonts w:ascii="宋体" w:hAnsi="宋体"/>
                <w:snapToGrid w:val="0"/>
                <w:kern w:val="0"/>
                <w:szCs w:val="21"/>
              </w:rPr>
              <w:t>3</w:t>
            </w:r>
          </w:p>
        </w:tc>
        <w:tc>
          <w:tcPr>
            <w:tcW w:w="2126" w:type="dxa"/>
            <w:tcBorders>
              <w:top w:val="single" w:color="auto" w:sz="4" w:space="0"/>
              <w:left w:val="single" w:color="auto" w:sz="4" w:space="0"/>
              <w:bottom w:val="single" w:color="auto" w:sz="4" w:space="0"/>
              <w:right w:val="single" w:color="auto" w:sz="4" w:space="0"/>
            </w:tcBorders>
            <w:vAlign w:val="center"/>
          </w:tcPr>
          <w:p w14:paraId="38C16362">
            <w:pPr>
              <w:snapToGrid w:val="0"/>
              <w:spacing w:line="300" w:lineRule="auto"/>
              <w:jc w:val="center"/>
              <w:rPr>
                <w:rFonts w:ascii="宋体" w:hAnsi="宋体"/>
                <w:snapToGrid w:val="0"/>
                <w:kern w:val="0"/>
                <w:szCs w:val="21"/>
              </w:rPr>
            </w:pPr>
            <w:r>
              <w:rPr>
                <w:rFonts w:hint="eastAsia" w:ascii="宋体" w:hAnsi="宋体"/>
                <w:snapToGrid w:val="0"/>
                <w:kern w:val="0"/>
                <w:szCs w:val="21"/>
              </w:rPr>
              <w:t>退还</w:t>
            </w:r>
            <w:r>
              <w:rPr>
                <w:rFonts w:ascii="宋体" w:hAnsi="宋体"/>
                <w:snapToGrid w:val="0"/>
                <w:kern w:val="0"/>
                <w:szCs w:val="21"/>
              </w:rPr>
              <w:t>投标文件</w:t>
            </w:r>
          </w:p>
        </w:tc>
        <w:tc>
          <w:tcPr>
            <w:tcW w:w="5971" w:type="dxa"/>
            <w:tcBorders>
              <w:top w:val="single" w:color="auto" w:sz="4" w:space="0"/>
              <w:left w:val="single" w:color="auto" w:sz="4" w:space="0"/>
              <w:bottom w:val="single" w:color="auto" w:sz="4" w:space="0"/>
              <w:right w:val="single" w:color="auto" w:sz="4" w:space="0"/>
            </w:tcBorders>
            <w:vAlign w:val="center"/>
          </w:tcPr>
          <w:p w14:paraId="0EE10CF0">
            <w:pPr>
              <w:snapToGrid w:val="0"/>
              <w:spacing w:line="300" w:lineRule="auto"/>
              <w:rPr>
                <w:rFonts w:ascii="宋体" w:hAnsi="宋体"/>
                <w:snapToGrid w:val="0"/>
                <w:kern w:val="0"/>
                <w:szCs w:val="21"/>
              </w:rPr>
            </w:pPr>
            <w:r>
              <w:rPr>
                <w:rFonts w:hint="eastAsia" w:ascii="宋体" w:hAnsi="宋体"/>
                <w:snapToGrid w:val="0"/>
                <w:kern w:val="0"/>
                <w:szCs w:val="21"/>
              </w:rPr>
              <w:t>不</w:t>
            </w:r>
            <w:r>
              <w:rPr>
                <w:rFonts w:ascii="宋体" w:hAnsi="宋体"/>
                <w:snapToGrid w:val="0"/>
                <w:kern w:val="0"/>
                <w:szCs w:val="21"/>
              </w:rPr>
              <w:t>退还</w:t>
            </w:r>
          </w:p>
        </w:tc>
      </w:tr>
      <w:tr w14:paraId="48A5A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jc w:val="center"/>
        </w:trPr>
        <w:tc>
          <w:tcPr>
            <w:tcW w:w="960" w:type="dxa"/>
            <w:tcBorders>
              <w:top w:val="single" w:color="auto" w:sz="4" w:space="0"/>
              <w:left w:val="single" w:color="auto" w:sz="4" w:space="0"/>
              <w:bottom w:val="single" w:color="auto" w:sz="4" w:space="0"/>
              <w:right w:val="single" w:color="auto" w:sz="4" w:space="0"/>
            </w:tcBorders>
            <w:vAlign w:val="center"/>
          </w:tcPr>
          <w:p w14:paraId="241FBE61">
            <w:pPr>
              <w:snapToGrid w:val="0"/>
              <w:spacing w:line="300" w:lineRule="auto"/>
              <w:jc w:val="center"/>
              <w:rPr>
                <w:rFonts w:ascii="宋体" w:hAnsi="宋体"/>
                <w:snapToGrid w:val="0"/>
                <w:kern w:val="0"/>
                <w:szCs w:val="21"/>
              </w:rPr>
            </w:pPr>
            <w:r>
              <w:rPr>
                <w:rFonts w:ascii="宋体" w:hAnsi="宋体"/>
                <w:snapToGrid w:val="0"/>
                <w:kern w:val="0"/>
                <w:szCs w:val="21"/>
              </w:rPr>
              <w:t>5.1</w:t>
            </w:r>
          </w:p>
        </w:tc>
        <w:tc>
          <w:tcPr>
            <w:tcW w:w="2126" w:type="dxa"/>
            <w:tcBorders>
              <w:top w:val="single" w:color="auto" w:sz="4" w:space="0"/>
              <w:left w:val="single" w:color="auto" w:sz="4" w:space="0"/>
              <w:bottom w:val="single" w:color="auto" w:sz="4" w:space="0"/>
              <w:right w:val="single" w:color="auto" w:sz="4" w:space="0"/>
            </w:tcBorders>
            <w:vAlign w:val="center"/>
          </w:tcPr>
          <w:p w14:paraId="7EBD4D16">
            <w:pPr>
              <w:snapToGrid w:val="0"/>
              <w:spacing w:line="300" w:lineRule="auto"/>
              <w:jc w:val="center"/>
              <w:rPr>
                <w:rFonts w:ascii="宋体" w:hAnsi="宋体"/>
                <w:snapToGrid w:val="0"/>
                <w:kern w:val="0"/>
                <w:szCs w:val="21"/>
              </w:rPr>
            </w:pPr>
            <w:r>
              <w:rPr>
                <w:rFonts w:hint="eastAsia" w:ascii="宋体" w:hAnsi="宋体"/>
                <w:snapToGrid w:val="0"/>
                <w:kern w:val="0"/>
                <w:szCs w:val="21"/>
              </w:rPr>
              <w:t>开标时间和地点</w:t>
            </w:r>
          </w:p>
        </w:tc>
        <w:tc>
          <w:tcPr>
            <w:tcW w:w="5971" w:type="dxa"/>
            <w:tcBorders>
              <w:top w:val="single" w:color="auto" w:sz="4" w:space="0"/>
              <w:left w:val="single" w:color="auto" w:sz="4" w:space="0"/>
              <w:bottom w:val="single" w:color="auto" w:sz="4" w:space="0"/>
              <w:right w:val="single" w:color="auto" w:sz="4" w:space="0"/>
            </w:tcBorders>
            <w:vAlign w:val="center"/>
          </w:tcPr>
          <w:p w14:paraId="7A658989">
            <w:pPr>
              <w:snapToGrid w:val="0"/>
              <w:spacing w:line="300" w:lineRule="auto"/>
              <w:rPr>
                <w:rFonts w:ascii="宋体" w:hAnsi="宋体"/>
                <w:snapToGrid w:val="0"/>
                <w:kern w:val="0"/>
                <w:szCs w:val="21"/>
              </w:rPr>
            </w:pPr>
            <w:r>
              <w:rPr>
                <w:rFonts w:hint="eastAsia" w:ascii="宋体" w:hAnsi="宋体"/>
                <w:snapToGrid w:val="0"/>
                <w:kern w:val="0"/>
                <w:szCs w:val="21"/>
              </w:rPr>
              <w:t>开标时间：同投标截止时间</w:t>
            </w:r>
          </w:p>
          <w:p w14:paraId="1C6FFA7F">
            <w:pPr>
              <w:snapToGrid w:val="0"/>
              <w:spacing w:line="300" w:lineRule="auto"/>
              <w:rPr>
                <w:snapToGrid w:val="0"/>
                <w:kern w:val="0"/>
                <w:szCs w:val="21"/>
              </w:rPr>
            </w:pPr>
            <w:r>
              <w:rPr>
                <w:rFonts w:hint="eastAsia" w:ascii="宋体" w:hAnsi="宋体"/>
                <w:snapToGrid w:val="0"/>
                <w:kern w:val="0"/>
                <w:szCs w:val="21"/>
              </w:rPr>
              <w:t>开标地点：</w:t>
            </w:r>
            <w:r>
              <w:rPr>
                <w:rFonts w:hint="eastAsia" w:ascii="宋体" w:hAnsi="宋体" w:cs="宋体"/>
                <w:snapToGrid w:val="0"/>
                <w:kern w:val="0"/>
                <w:szCs w:val="21"/>
              </w:rPr>
              <w:t>政府采购云平台（http：//www.zcygov.cn）</w:t>
            </w:r>
          </w:p>
        </w:tc>
      </w:tr>
      <w:tr w14:paraId="246DD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0" w:hRule="atLeast"/>
          <w:jc w:val="center"/>
        </w:trPr>
        <w:tc>
          <w:tcPr>
            <w:tcW w:w="960" w:type="dxa"/>
            <w:tcBorders>
              <w:top w:val="single" w:color="auto" w:sz="4" w:space="0"/>
              <w:left w:val="single" w:color="auto" w:sz="4" w:space="0"/>
              <w:bottom w:val="single" w:color="auto" w:sz="4" w:space="0"/>
              <w:right w:val="single" w:color="auto" w:sz="4" w:space="0"/>
            </w:tcBorders>
            <w:vAlign w:val="center"/>
          </w:tcPr>
          <w:p w14:paraId="03F8466F">
            <w:pPr>
              <w:snapToGrid w:val="0"/>
              <w:spacing w:line="300" w:lineRule="auto"/>
              <w:jc w:val="center"/>
              <w:rPr>
                <w:rFonts w:ascii="宋体" w:hAnsi="宋体"/>
                <w:snapToGrid w:val="0"/>
                <w:kern w:val="0"/>
                <w:szCs w:val="21"/>
              </w:rPr>
            </w:pPr>
            <w:r>
              <w:rPr>
                <w:rFonts w:ascii="宋体" w:hAnsi="宋体"/>
                <w:snapToGrid w:val="0"/>
                <w:kern w:val="0"/>
                <w:szCs w:val="21"/>
              </w:rPr>
              <w:t>5.2.1</w:t>
            </w:r>
          </w:p>
        </w:tc>
        <w:tc>
          <w:tcPr>
            <w:tcW w:w="2126" w:type="dxa"/>
            <w:tcBorders>
              <w:top w:val="single" w:color="auto" w:sz="4" w:space="0"/>
              <w:left w:val="single" w:color="auto" w:sz="4" w:space="0"/>
              <w:bottom w:val="single" w:color="auto" w:sz="4" w:space="0"/>
              <w:right w:val="single" w:color="auto" w:sz="4" w:space="0"/>
            </w:tcBorders>
            <w:vAlign w:val="center"/>
          </w:tcPr>
          <w:p w14:paraId="30FB7A55">
            <w:pPr>
              <w:snapToGrid w:val="0"/>
              <w:spacing w:line="300" w:lineRule="auto"/>
              <w:jc w:val="center"/>
              <w:rPr>
                <w:rFonts w:ascii="宋体" w:hAnsi="宋体"/>
                <w:snapToGrid w:val="0"/>
                <w:kern w:val="0"/>
                <w:szCs w:val="21"/>
              </w:rPr>
            </w:pPr>
            <w:r>
              <w:rPr>
                <w:rFonts w:hint="eastAsia" w:ascii="宋体" w:hAnsi="宋体"/>
                <w:snapToGrid w:val="0"/>
                <w:kern w:val="0"/>
                <w:szCs w:val="21"/>
              </w:rPr>
              <w:t>投标文件</w:t>
            </w:r>
            <w:r>
              <w:rPr>
                <w:rFonts w:ascii="宋体" w:hAnsi="宋体"/>
                <w:snapToGrid w:val="0"/>
                <w:kern w:val="0"/>
                <w:szCs w:val="21"/>
              </w:rPr>
              <w:t>解密</w:t>
            </w:r>
          </w:p>
        </w:tc>
        <w:tc>
          <w:tcPr>
            <w:tcW w:w="5971" w:type="dxa"/>
            <w:tcBorders>
              <w:top w:val="single" w:color="auto" w:sz="4" w:space="0"/>
              <w:left w:val="single" w:color="auto" w:sz="4" w:space="0"/>
              <w:bottom w:val="single" w:color="auto" w:sz="4" w:space="0"/>
              <w:right w:val="single" w:color="auto" w:sz="4" w:space="0"/>
            </w:tcBorders>
            <w:vAlign w:val="center"/>
          </w:tcPr>
          <w:p w14:paraId="672AE5AD">
            <w:pPr>
              <w:snapToGrid w:val="0"/>
              <w:spacing w:line="300" w:lineRule="auto"/>
              <w:rPr>
                <w:rFonts w:ascii="宋体" w:hAnsi="宋体"/>
                <w:snapToGrid w:val="0"/>
                <w:kern w:val="0"/>
                <w:szCs w:val="21"/>
              </w:rPr>
            </w:pPr>
            <w:r>
              <w:rPr>
                <w:rFonts w:hint="eastAsia" w:ascii="宋体" w:hAnsi="宋体"/>
                <w:snapToGrid w:val="0"/>
                <w:kern w:val="0"/>
                <w:szCs w:val="21"/>
              </w:rPr>
              <w:t>采购代理机构将依托电子交易平台发起开始解密指令，供应商登录到“政采云”平台电子开标大厅并签到，凭加密时所用的CA锁在发起解密指令之时起30分钟内完成对电子投标文件在线解密。未按时解密的，视为投标文件无效。</w:t>
            </w:r>
          </w:p>
        </w:tc>
      </w:tr>
      <w:tr w14:paraId="27D08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5" w:hRule="atLeast"/>
          <w:jc w:val="center"/>
        </w:trPr>
        <w:tc>
          <w:tcPr>
            <w:tcW w:w="960" w:type="dxa"/>
            <w:tcBorders>
              <w:top w:val="single" w:color="auto" w:sz="4" w:space="0"/>
              <w:left w:val="single" w:color="auto" w:sz="4" w:space="0"/>
              <w:bottom w:val="single" w:color="auto" w:sz="4" w:space="0"/>
              <w:right w:val="single" w:color="auto" w:sz="4" w:space="0"/>
            </w:tcBorders>
            <w:vAlign w:val="center"/>
          </w:tcPr>
          <w:p w14:paraId="5EB98DE4">
            <w:pPr>
              <w:snapToGrid w:val="0"/>
              <w:spacing w:line="300" w:lineRule="auto"/>
              <w:jc w:val="center"/>
              <w:rPr>
                <w:rFonts w:ascii="宋体" w:hAnsi="宋体"/>
                <w:snapToGrid w:val="0"/>
                <w:kern w:val="0"/>
                <w:szCs w:val="21"/>
              </w:rPr>
            </w:pPr>
            <w:r>
              <w:rPr>
                <w:rFonts w:ascii="宋体" w:hAnsi="宋体"/>
                <w:snapToGrid w:val="0"/>
                <w:kern w:val="0"/>
                <w:szCs w:val="21"/>
              </w:rPr>
              <w:t>6.1.1</w:t>
            </w:r>
          </w:p>
        </w:tc>
        <w:tc>
          <w:tcPr>
            <w:tcW w:w="2126" w:type="dxa"/>
            <w:tcBorders>
              <w:top w:val="single" w:color="auto" w:sz="4" w:space="0"/>
              <w:left w:val="single" w:color="auto" w:sz="4" w:space="0"/>
              <w:bottom w:val="single" w:color="auto" w:sz="4" w:space="0"/>
              <w:right w:val="single" w:color="auto" w:sz="4" w:space="0"/>
            </w:tcBorders>
            <w:vAlign w:val="center"/>
          </w:tcPr>
          <w:p w14:paraId="5AF1EF51">
            <w:pPr>
              <w:snapToGrid w:val="0"/>
              <w:spacing w:line="300" w:lineRule="auto"/>
              <w:jc w:val="center"/>
              <w:rPr>
                <w:rFonts w:ascii="宋体" w:hAnsi="宋体"/>
                <w:snapToGrid w:val="0"/>
                <w:kern w:val="0"/>
                <w:szCs w:val="21"/>
              </w:rPr>
            </w:pPr>
            <w:r>
              <w:rPr>
                <w:rFonts w:hint="eastAsia" w:ascii="宋体" w:hAnsi="宋体"/>
                <w:snapToGrid w:val="0"/>
                <w:kern w:val="0"/>
                <w:szCs w:val="21"/>
              </w:rPr>
              <w:t>评标委员会的组建</w:t>
            </w:r>
          </w:p>
        </w:tc>
        <w:tc>
          <w:tcPr>
            <w:tcW w:w="5971" w:type="dxa"/>
            <w:tcBorders>
              <w:top w:val="single" w:color="auto" w:sz="4" w:space="0"/>
              <w:left w:val="single" w:color="auto" w:sz="4" w:space="0"/>
              <w:bottom w:val="single" w:color="auto" w:sz="4" w:space="0"/>
              <w:right w:val="single" w:color="auto" w:sz="4" w:space="0"/>
            </w:tcBorders>
            <w:vAlign w:val="center"/>
          </w:tcPr>
          <w:p w14:paraId="2D57D7AA">
            <w:pPr>
              <w:snapToGrid w:val="0"/>
              <w:spacing w:line="300" w:lineRule="auto"/>
              <w:rPr>
                <w:rFonts w:ascii="宋体" w:hAnsi="宋体"/>
                <w:snapToGrid w:val="0"/>
                <w:kern w:val="0"/>
                <w:szCs w:val="21"/>
              </w:rPr>
            </w:pPr>
            <w:r>
              <w:rPr>
                <w:rFonts w:hint="eastAsia" w:ascii="宋体" w:hAnsi="宋体"/>
                <w:snapToGrid w:val="0"/>
                <w:kern w:val="0"/>
                <w:szCs w:val="21"/>
              </w:rPr>
              <w:t>评标委员会人</w:t>
            </w:r>
            <w:r>
              <w:rPr>
                <w:rFonts w:ascii="宋体" w:hAnsi="宋体"/>
                <w:snapToGrid w:val="0"/>
                <w:kern w:val="0"/>
                <w:szCs w:val="21"/>
              </w:rPr>
              <w:t>数：5人</w:t>
            </w:r>
            <w:r>
              <w:rPr>
                <w:rFonts w:hint="eastAsia" w:ascii="宋体" w:hAnsi="宋体"/>
                <w:snapToGrid w:val="0"/>
                <w:kern w:val="0"/>
                <w:szCs w:val="21"/>
              </w:rPr>
              <w:t>及</w:t>
            </w:r>
            <w:r>
              <w:rPr>
                <w:rFonts w:ascii="宋体" w:hAnsi="宋体"/>
                <w:snapToGrid w:val="0"/>
                <w:kern w:val="0"/>
                <w:szCs w:val="21"/>
              </w:rPr>
              <w:t>以上单数</w:t>
            </w:r>
            <w:r>
              <w:rPr>
                <w:rFonts w:hint="eastAsia" w:ascii="宋体" w:hAnsi="宋体"/>
                <w:snapToGrid w:val="0"/>
                <w:kern w:val="0"/>
                <w:szCs w:val="21"/>
              </w:rPr>
              <w:t>，由采购人代表和评审专家组成，其中技术、经济方面的评审专家不少于评标委员会人数2/3。</w:t>
            </w:r>
          </w:p>
          <w:p w14:paraId="3F81DBB7">
            <w:pPr>
              <w:snapToGrid w:val="0"/>
              <w:spacing w:line="300" w:lineRule="auto"/>
              <w:rPr>
                <w:rFonts w:ascii="宋体" w:hAnsi="宋体"/>
                <w:snapToGrid w:val="0"/>
                <w:kern w:val="0"/>
                <w:szCs w:val="21"/>
              </w:rPr>
            </w:pPr>
            <w:r>
              <w:rPr>
                <w:rFonts w:hint="eastAsia" w:ascii="宋体" w:hAnsi="宋体"/>
                <w:snapToGrid w:val="0"/>
                <w:kern w:val="0"/>
                <w:szCs w:val="21"/>
              </w:rPr>
              <w:t>评审专家确定方式：在云南省政府采购评审专家库中随机抽取。</w:t>
            </w:r>
          </w:p>
        </w:tc>
      </w:tr>
      <w:tr w14:paraId="5FCDF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8" w:hRule="atLeast"/>
          <w:jc w:val="center"/>
        </w:trPr>
        <w:tc>
          <w:tcPr>
            <w:tcW w:w="960" w:type="dxa"/>
            <w:tcBorders>
              <w:top w:val="single" w:color="auto" w:sz="4" w:space="0"/>
              <w:left w:val="single" w:color="auto" w:sz="4" w:space="0"/>
              <w:bottom w:val="single" w:color="auto" w:sz="4" w:space="0"/>
              <w:right w:val="single" w:color="auto" w:sz="4" w:space="0"/>
            </w:tcBorders>
            <w:vAlign w:val="center"/>
          </w:tcPr>
          <w:p w14:paraId="0A4A2FE0">
            <w:pPr>
              <w:snapToGrid w:val="0"/>
              <w:spacing w:line="300" w:lineRule="auto"/>
              <w:jc w:val="center"/>
              <w:rPr>
                <w:rFonts w:ascii="宋体" w:hAnsi="宋体"/>
                <w:snapToGrid w:val="0"/>
                <w:kern w:val="0"/>
                <w:szCs w:val="21"/>
              </w:rPr>
            </w:pPr>
            <w:r>
              <w:rPr>
                <w:rFonts w:ascii="宋体" w:hAnsi="宋体"/>
                <w:snapToGrid w:val="0"/>
                <w:kern w:val="0"/>
                <w:szCs w:val="21"/>
              </w:rPr>
              <w:t>7.1</w:t>
            </w:r>
          </w:p>
        </w:tc>
        <w:tc>
          <w:tcPr>
            <w:tcW w:w="2126" w:type="dxa"/>
            <w:tcBorders>
              <w:top w:val="single" w:color="auto" w:sz="4" w:space="0"/>
              <w:left w:val="single" w:color="auto" w:sz="4" w:space="0"/>
              <w:bottom w:val="single" w:color="auto" w:sz="4" w:space="0"/>
              <w:right w:val="single" w:color="auto" w:sz="4" w:space="0"/>
            </w:tcBorders>
            <w:vAlign w:val="center"/>
          </w:tcPr>
          <w:p w14:paraId="04E70D25">
            <w:pPr>
              <w:snapToGrid w:val="0"/>
              <w:spacing w:line="300" w:lineRule="auto"/>
              <w:jc w:val="center"/>
              <w:rPr>
                <w:rFonts w:ascii="宋体" w:hAnsi="宋体"/>
                <w:snapToGrid w:val="0"/>
                <w:kern w:val="0"/>
                <w:szCs w:val="21"/>
              </w:rPr>
            </w:pPr>
            <w:r>
              <w:rPr>
                <w:rFonts w:hint="eastAsia" w:ascii="宋体" w:hAnsi="宋体"/>
                <w:snapToGrid w:val="0"/>
                <w:kern w:val="0"/>
                <w:szCs w:val="21"/>
              </w:rPr>
              <w:t>是否授权评标委员会确定中标单位</w:t>
            </w:r>
          </w:p>
        </w:tc>
        <w:tc>
          <w:tcPr>
            <w:tcW w:w="5971" w:type="dxa"/>
            <w:tcBorders>
              <w:top w:val="single" w:color="auto" w:sz="4" w:space="0"/>
              <w:left w:val="single" w:color="auto" w:sz="4" w:space="0"/>
              <w:bottom w:val="single" w:color="auto" w:sz="4" w:space="0"/>
              <w:right w:val="single" w:color="auto" w:sz="4" w:space="0"/>
            </w:tcBorders>
            <w:vAlign w:val="center"/>
          </w:tcPr>
          <w:p w14:paraId="397CD6E2">
            <w:pPr>
              <w:snapToGrid w:val="0"/>
              <w:spacing w:line="300" w:lineRule="auto"/>
              <w:rPr>
                <w:rFonts w:ascii="宋体" w:hAnsi="宋体"/>
                <w:snapToGrid w:val="0"/>
                <w:kern w:val="0"/>
                <w:szCs w:val="21"/>
              </w:rPr>
            </w:pPr>
            <w:r>
              <w:rPr>
                <w:rFonts w:hint="eastAsia" w:ascii="宋体" w:hAnsi="宋体"/>
                <w:snapToGrid w:val="0"/>
                <w:kern w:val="0"/>
                <w:szCs w:val="21"/>
              </w:rPr>
              <w:t>否。</w:t>
            </w:r>
          </w:p>
          <w:p w14:paraId="4CE44836">
            <w:pPr>
              <w:snapToGrid w:val="0"/>
              <w:spacing w:line="300" w:lineRule="auto"/>
              <w:rPr>
                <w:rFonts w:ascii="宋体" w:hAnsi="宋体"/>
                <w:snapToGrid w:val="0"/>
                <w:kern w:val="0"/>
                <w:szCs w:val="21"/>
              </w:rPr>
            </w:pPr>
            <w:r>
              <w:rPr>
                <w:rFonts w:hint="eastAsia" w:ascii="宋体" w:hAnsi="宋体"/>
                <w:snapToGrid w:val="0"/>
                <w:kern w:val="0"/>
                <w:szCs w:val="21"/>
              </w:rPr>
              <w:t>由评标委员会推荐1</w:t>
            </w:r>
            <w:r>
              <w:rPr>
                <w:rFonts w:hint="eastAsia" w:ascii="仿宋_GB2312" w:hAnsi="仿宋_GB2312" w:eastAsia="仿宋_GB2312" w:cs="仿宋_GB2312"/>
                <w:snapToGrid w:val="0"/>
                <w:kern w:val="0"/>
                <w:szCs w:val="21"/>
              </w:rPr>
              <w:t>～</w:t>
            </w:r>
            <w:r>
              <w:rPr>
                <w:rFonts w:hint="eastAsia" w:ascii="宋体" w:hAnsi="宋体"/>
                <w:snapToGrid w:val="0"/>
                <w:kern w:val="0"/>
                <w:szCs w:val="21"/>
              </w:rPr>
              <w:t>3名中标候选人，采购人根据相关规定确定中标人。</w:t>
            </w:r>
          </w:p>
        </w:tc>
      </w:tr>
      <w:tr w14:paraId="3E1C6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7" w:hRule="atLeast"/>
          <w:jc w:val="center"/>
        </w:trPr>
        <w:tc>
          <w:tcPr>
            <w:tcW w:w="960" w:type="dxa"/>
            <w:tcBorders>
              <w:top w:val="single" w:color="auto" w:sz="4" w:space="0"/>
              <w:left w:val="single" w:color="auto" w:sz="4" w:space="0"/>
              <w:bottom w:val="single" w:color="auto" w:sz="4" w:space="0"/>
              <w:right w:val="single" w:color="auto" w:sz="4" w:space="0"/>
            </w:tcBorders>
            <w:vAlign w:val="center"/>
          </w:tcPr>
          <w:p w14:paraId="5F9AAC5A">
            <w:pPr>
              <w:snapToGrid w:val="0"/>
              <w:spacing w:line="300" w:lineRule="auto"/>
              <w:jc w:val="center"/>
              <w:rPr>
                <w:rFonts w:ascii="宋体" w:hAnsi="宋体"/>
                <w:snapToGrid w:val="0"/>
                <w:kern w:val="0"/>
                <w:szCs w:val="21"/>
              </w:rPr>
            </w:pPr>
            <w:r>
              <w:rPr>
                <w:rFonts w:hint="eastAsia" w:ascii="宋体" w:hAnsi="宋体"/>
                <w:snapToGrid w:val="0"/>
                <w:kern w:val="0"/>
                <w:szCs w:val="21"/>
              </w:rPr>
              <w:t>7.3</w:t>
            </w:r>
          </w:p>
        </w:tc>
        <w:tc>
          <w:tcPr>
            <w:tcW w:w="2126" w:type="dxa"/>
            <w:tcBorders>
              <w:top w:val="single" w:color="auto" w:sz="4" w:space="0"/>
              <w:left w:val="single" w:color="auto" w:sz="4" w:space="0"/>
              <w:bottom w:val="single" w:color="auto" w:sz="4" w:space="0"/>
              <w:right w:val="single" w:color="auto" w:sz="4" w:space="0"/>
            </w:tcBorders>
            <w:vAlign w:val="center"/>
          </w:tcPr>
          <w:p w14:paraId="285C0CBF">
            <w:pPr>
              <w:snapToGrid w:val="0"/>
              <w:spacing w:line="300" w:lineRule="auto"/>
              <w:jc w:val="center"/>
              <w:rPr>
                <w:rFonts w:ascii="宋体" w:hAnsi="宋体"/>
                <w:snapToGrid w:val="0"/>
                <w:kern w:val="0"/>
                <w:szCs w:val="21"/>
              </w:rPr>
            </w:pPr>
            <w:r>
              <w:rPr>
                <w:rFonts w:hint="eastAsia" w:ascii="宋体" w:hAnsi="宋体"/>
                <w:snapToGrid w:val="0"/>
                <w:kern w:val="0"/>
                <w:szCs w:val="21"/>
              </w:rPr>
              <w:t>履约担保</w:t>
            </w:r>
          </w:p>
        </w:tc>
        <w:tc>
          <w:tcPr>
            <w:tcW w:w="5971" w:type="dxa"/>
            <w:tcBorders>
              <w:top w:val="single" w:color="auto" w:sz="4" w:space="0"/>
              <w:left w:val="single" w:color="auto" w:sz="4" w:space="0"/>
              <w:bottom w:val="single" w:color="auto" w:sz="4" w:space="0"/>
              <w:right w:val="single" w:color="auto" w:sz="4" w:space="0"/>
            </w:tcBorders>
            <w:vAlign w:val="center"/>
          </w:tcPr>
          <w:p w14:paraId="6CB682D4">
            <w:pPr>
              <w:snapToGrid w:val="0"/>
              <w:spacing w:line="300" w:lineRule="auto"/>
              <w:rPr>
                <w:rFonts w:ascii="宋体" w:hAnsi="宋体"/>
                <w:snapToGrid w:val="0"/>
                <w:kern w:val="0"/>
                <w:szCs w:val="21"/>
              </w:rPr>
            </w:pPr>
            <w:r>
              <w:rPr>
                <w:rFonts w:hint="eastAsia" w:ascii="宋体" w:hAnsi="宋体"/>
                <w:snapToGrid w:val="0"/>
                <w:kern w:val="0"/>
                <w:szCs w:val="21"/>
              </w:rPr>
              <w:t>采购人是否收取履约保证金：是。</w:t>
            </w:r>
          </w:p>
          <w:p w14:paraId="07914ECA">
            <w:pPr>
              <w:snapToGrid w:val="0"/>
              <w:spacing w:line="300" w:lineRule="auto"/>
              <w:rPr>
                <w:rFonts w:ascii="宋体" w:hAnsi="宋体"/>
                <w:snapToGrid w:val="0"/>
                <w:kern w:val="0"/>
                <w:szCs w:val="21"/>
              </w:rPr>
            </w:pPr>
            <w:r>
              <w:rPr>
                <w:rFonts w:hint="eastAsia" w:ascii="宋体" w:hAnsi="宋体"/>
                <w:snapToGrid w:val="0"/>
                <w:kern w:val="0"/>
                <w:szCs w:val="21"/>
              </w:rPr>
              <w:t>比率：合同总价的5%。</w:t>
            </w:r>
          </w:p>
          <w:p w14:paraId="57AEC1FB">
            <w:pPr>
              <w:snapToGrid w:val="0"/>
              <w:spacing w:line="300" w:lineRule="auto"/>
              <w:rPr>
                <w:rFonts w:ascii="宋体" w:hAnsi="宋体"/>
                <w:snapToGrid w:val="0"/>
                <w:kern w:val="0"/>
                <w:szCs w:val="21"/>
              </w:rPr>
            </w:pPr>
            <w:r>
              <w:rPr>
                <w:rFonts w:hint="eastAsia" w:ascii="宋体" w:hAnsi="宋体"/>
                <w:snapToGrid w:val="0"/>
                <w:kern w:val="0"/>
                <w:szCs w:val="21"/>
              </w:rPr>
              <w:t>支付方式：合同签订后十五个日历日内，供应商向采购人缴纳合同金额5%的履约保证金。待项目三阶段验收合格后3个月，且无质量问题，采购人无息退还履约保证金。</w:t>
            </w:r>
          </w:p>
          <w:p w14:paraId="3DF60A38">
            <w:pPr>
              <w:snapToGrid w:val="0"/>
              <w:spacing w:line="300" w:lineRule="auto"/>
              <w:rPr>
                <w:rFonts w:ascii="宋体" w:hAnsi="宋体"/>
                <w:snapToGrid w:val="0"/>
                <w:kern w:val="0"/>
                <w:szCs w:val="21"/>
              </w:rPr>
            </w:pPr>
            <w:r>
              <w:rPr>
                <w:rFonts w:hint="eastAsia" w:ascii="宋体" w:hAnsi="宋体"/>
                <w:snapToGrid w:val="0"/>
                <w:kern w:val="0"/>
                <w:szCs w:val="21"/>
              </w:rPr>
              <w:t>账户名称：云南开放大学</w:t>
            </w:r>
          </w:p>
          <w:p w14:paraId="4D5E7CE4">
            <w:pPr>
              <w:snapToGrid w:val="0"/>
              <w:spacing w:line="300" w:lineRule="auto"/>
              <w:rPr>
                <w:rFonts w:ascii="宋体" w:hAnsi="宋体"/>
                <w:snapToGrid w:val="0"/>
                <w:kern w:val="0"/>
                <w:szCs w:val="21"/>
              </w:rPr>
            </w:pPr>
            <w:r>
              <w:rPr>
                <w:rFonts w:hint="eastAsia" w:ascii="宋体" w:hAnsi="宋体"/>
                <w:snapToGrid w:val="0"/>
                <w:kern w:val="0"/>
                <w:szCs w:val="21"/>
              </w:rPr>
              <w:t>账号：137284354714</w:t>
            </w:r>
          </w:p>
          <w:p w14:paraId="73838CB9">
            <w:pPr>
              <w:snapToGrid w:val="0"/>
              <w:spacing w:line="300" w:lineRule="auto"/>
              <w:rPr>
                <w:rFonts w:ascii="宋体" w:hAnsi="宋体"/>
                <w:snapToGrid w:val="0"/>
                <w:kern w:val="0"/>
                <w:szCs w:val="21"/>
              </w:rPr>
            </w:pPr>
            <w:r>
              <w:rPr>
                <w:rFonts w:hint="eastAsia" w:ascii="宋体" w:hAnsi="宋体"/>
                <w:snapToGrid w:val="0"/>
                <w:kern w:val="0"/>
                <w:szCs w:val="21"/>
              </w:rPr>
              <w:t>开户行：中国银行昆明市聚贤街支行</w:t>
            </w:r>
          </w:p>
          <w:p w14:paraId="3A612D59">
            <w:pPr>
              <w:snapToGrid w:val="0"/>
              <w:spacing w:line="300" w:lineRule="auto"/>
              <w:rPr>
                <w:rFonts w:ascii="宋体" w:hAnsi="宋体"/>
                <w:snapToGrid w:val="0"/>
                <w:kern w:val="0"/>
                <w:szCs w:val="21"/>
              </w:rPr>
            </w:pPr>
            <w:r>
              <w:rPr>
                <w:rFonts w:hint="eastAsia" w:ascii="宋体" w:hAnsi="宋体"/>
                <w:snapToGrid w:val="0"/>
                <w:kern w:val="0"/>
                <w:szCs w:val="21"/>
              </w:rPr>
              <w:t>支付方式：银行转账、电汇、网银、银行保函等。</w:t>
            </w:r>
          </w:p>
        </w:tc>
      </w:tr>
      <w:tr w14:paraId="2B79F6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4" w:hRule="atLeast"/>
          <w:jc w:val="center"/>
        </w:trPr>
        <w:tc>
          <w:tcPr>
            <w:tcW w:w="960" w:type="dxa"/>
            <w:tcBorders>
              <w:bottom w:val="single" w:color="000000" w:sz="4" w:space="0"/>
            </w:tcBorders>
            <w:vAlign w:val="center"/>
          </w:tcPr>
          <w:p w14:paraId="2E295115">
            <w:pPr>
              <w:snapToGrid w:val="0"/>
              <w:spacing w:line="300" w:lineRule="auto"/>
              <w:jc w:val="center"/>
              <w:rPr>
                <w:rFonts w:ascii="宋体" w:hAnsi="宋体"/>
                <w:snapToGrid w:val="0"/>
                <w:kern w:val="0"/>
                <w:szCs w:val="21"/>
              </w:rPr>
            </w:pPr>
            <w:r>
              <w:rPr>
                <w:rFonts w:ascii="宋体" w:hAnsi="宋体"/>
                <w:snapToGrid w:val="0"/>
                <w:kern w:val="0"/>
                <w:szCs w:val="21"/>
              </w:rPr>
              <w:t>1</w:t>
            </w:r>
            <w:r>
              <w:rPr>
                <w:rFonts w:hint="eastAsia" w:ascii="宋体" w:hAnsi="宋体"/>
                <w:snapToGrid w:val="0"/>
                <w:kern w:val="0"/>
                <w:szCs w:val="21"/>
              </w:rPr>
              <w:t>1</w:t>
            </w:r>
            <w:r>
              <w:rPr>
                <w:rFonts w:ascii="宋体" w:hAnsi="宋体"/>
                <w:snapToGrid w:val="0"/>
                <w:kern w:val="0"/>
                <w:szCs w:val="21"/>
              </w:rPr>
              <w:t>.1</w:t>
            </w:r>
          </w:p>
        </w:tc>
        <w:tc>
          <w:tcPr>
            <w:tcW w:w="2126" w:type="dxa"/>
            <w:tcBorders>
              <w:bottom w:val="single" w:color="000000" w:sz="4" w:space="0"/>
            </w:tcBorders>
            <w:vAlign w:val="center"/>
          </w:tcPr>
          <w:p w14:paraId="0DEB3DE3">
            <w:pPr>
              <w:snapToGrid w:val="0"/>
              <w:spacing w:line="300" w:lineRule="auto"/>
              <w:jc w:val="center"/>
              <w:rPr>
                <w:rFonts w:ascii="宋体" w:hAnsi="宋体"/>
                <w:snapToGrid w:val="0"/>
                <w:kern w:val="0"/>
                <w:szCs w:val="21"/>
              </w:rPr>
            </w:pPr>
            <w:r>
              <w:rPr>
                <w:rFonts w:hint="eastAsia" w:ascii="宋体" w:hAnsi="宋体"/>
                <w:snapToGrid w:val="0"/>
                <w:kern w:val="0"/>
                <w:szCs w:val="21"/>
              </w:rPr>
              <w:t>中标公示</w:t>
            </w:r>
          </w:p>
        </w:tc>
        <w:tc>
          <w:tcPr>
            <w:tcW w:w="5971" w:type="dxa"/>
            <w:tcBorders>
              <w:bottom w:val="single" w:color="000000" w:sz="4" w:space="0"/>
            </w:tcBorders>
            <w:vAlign w:val="center"/>
          </w:tcPr>
          <w:p w14:paraId="271AC024">
            <w:pPr>
              <w:snapToGrid w:val="0"/>
              <w:spacing w:line="300" w:lineRule="auto"/>
              <w:rPr>
                <w:rFonts w:ascii="宋体" w:hAnsi="宋体"/>
                <w:snapToGrid w:val="0"/>
                <w:kern w:val="0"/>
                <w:szCs w:val="21"/>
              </w:rPr>
            </w:pPr>
            <w:r>
              <w:rPr>
                <w:rFonts w:ascii="宋体" w:hAnsi="宋体"/>
                <w:snapToGrid w:val="0"/>
                <w:kern w:val="0"/>
                <w:szCs w:val="21"/>
              </w:rPr>
              <w:t>采购人将</w:t>
            </w:r>
            <w:r>
              <w:rPr>
                <w:rFonts w:hint="eastAsia" w:ascii="宋体" w:hAnsi="宋体"/>
                <w:snapToGrid w:val="0"/>
                <w:kern w:val="0"/>
                <w:szCs w:val="21"/>
              </w:rPr>
              <w:t>中标</w:t>
            </w:r>
            <w:r>
              <w:rPr>
                <w:rFonts w:ascii="宋体" w:hAnsi="宋体"/>
                <w:snapToGrid w:val="0"/>
                <w:kern w:val="0"/>
                <w:szCs w:val="21"/>
              </w:rPr>
              <w:t>候选人的情况在</w:t>
            </w:r>
            <w:r>
              <w:rPr>
                <w:rFonts w:hint="eastAsia" w:ascii="宋体" w:hAnsi="宋体"/>
                <w:snapToGrid w:val="0"/>
                <w:kern w:val="0"/>
                <w:szCs w:val="21"/>
              </w:rPr>
              <w:t>发布</w:t>
            </w:r>
            <w:r>
              <w:rPr>
                <w:rFonts w:ascii="宋体" w:hAnsi="宋体"/>
                <w:snapToGrid w:val="0"/>
                <w:kern w:val="0"/>
                <w:szCs w:val="21"/>
              </w:rPr>
              <w:t>招标公告</w:t>
            </w:r>
            <w:r>
              <w:rPr>
                <w:rFonts w:hint="eastAsia" w:ascii="宋体" w:hAnsi="宋体"/>
                <w:snapToGrid w:val="0"/>
                <w:kern w:val="0"/>
                <w:szCs w:val="21"/>
              </w:rPr>
              <w:t>的</w:t>
            </w:r>
            <w:r>
              <w:rPr>
                <w:rFonts w:ascii="宋体" w:hAnsi="宋体"/>
                <w:snapToGrid w:val="0"/>
                <w:kern w:val="0"/>
                <w:szCs w:val="21"/>
              </w:rPr>
              <w:t>相同媒介予以公示，公示期不少于</w:t>
            </w:r>
            <w:r>
              <w:rPr>
                <w:rFonts w:hint="eastAsia" w:ascii="宋体" w:hAnsi="宋体"/>
                <w:snapToGrid w:val="0"/>
                <w:kern w:val="0"/>
                <w:szCs w:val="21"/>
              </w:rPr>
              <w:t>1个工作</w:t>
            </w:r>
            <w:r>
              <w:rPr>
                <w:rFonts w:ascii="宋体" w:hAnsi="宋体"/>
                <w:snapToGrid w:val="0"/>
                <w:kern w:val="0"/>
                <w:szCs w:val="21"/>
              </w:rPr>
              <w:t>日。</w:t>
            </w:r>
          </w:p>
        </w:tc>
      </w:tr>
      <w:tr w14:paraId="333F9F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55" w:hRule="atLeast"/>
          <w:jc w:val="center"/>
        </w:trPr>
        <w:tc>
          <w:tcPr>
            <w:tcW w:w="960" w:type="dxa"/>
            <w:tcBorders>
              <w:bottom w:val="single" w:color="000000" w:sz="4" w:space="0"/>
            </w:tcBorders>
            <w:vAlign w:val="center"/>
          </w:tcPr>
          <w:p w14:paraId="129D9BE3">
            <w:pPr>
              <w:snapToGrid w:val="0"/>
              <w:spacing w:line="300" w:lineRule="auto"/>
              <w:jc w:val="center"/>
              <w:rPr>
                <w:rFonts w:ascii="宋体" w:hAnsi="宋体"/>
                <w:snapToGrid w:val="0"/>
                <w:kern w:val="0"/>
                <w:szCs w:val="21"/>
              </w:rPr>
            </w:pPr>
            <w:r>
              <w:rPr>
                <w:rFonts w:ascii="宋体" w:hAnsi="宋体"/>
                <w:snapToGrid w:val="0"/>
                <w:kern w:val="0"/>
                <w:szCs w:val="21"/>
              </w:rPr>
              <w:t>1</w:t>
            </w:r>
            <w:r>
              <w:rPr>
                <w:rFonts w:hint="eastAsia" w:ascii="宋体" w:hAnsi="宋体"/>
                <w:snapToGrid w:val="0"/>
                <w:kern w:val="0"/>
                <w:szCs w:val="21"/>
              </w:rPr>
              <w:t>1</w:t>
            </w:r>
            <w:r>
              <w:rPr>
                <w:rFonts w:ascii="宋体" w:hAnsi="宋体"/>
                <w:snapToGrid w:val="0"/>
                <w:kern w:val="0"/>
                <w:szCs w:val="21"/>
              </w:rPr>
              <w:t>.2</w:t>
            </w:r>
          </w:p>
        </w:tc>
        <w:tc>
          <w:tcPr>
            <w:tcW w:w="2126" w:type="dxa"/>
            <w:tcBorders>
              <w:bottom w:val="single" w:color="000000" w:sz="4" w:space="0"/>
            </w:tcBorders>
            <w:vAlign w:val="center"/>
          </w:tcPr>
          <w:p w14:paraId="51356D36">
            <w:pPr>
              <w:snapToGrid w:val="0"/>
              <w:spacing w:line="300" w:lineRule="auto"/>
              <w:jc w:val="center"/>
              <w:rPr>
                <w:rFonts w:ascii="宋体" w:hAnsi="宋体"/>
                <w:snapToGrid w:val="0"/>
                <w:kern w:val="0"/>
                <w:szCs w:val="21"/>
              </w:rPr>
            </w:pPr>
            <w:r>
              <w:rPr>
                <w:rFonts w:hint="eastAsia" w:ascii="宋体" w:hAnsi="宋体"/>
                <w:snapToGrid w:val="0"/>
                <w:kern w:val="0"/>
                <w:szCs w:val="21"/>
              </w:rPr>
              <w:t>知识产权</w:t>
            </w:r>
          </w:p>
        </w:tc>
        <w:tc>
          <w:tcPr>
            <w:tcW w:w="5971" w:type="dxa"/>
            <w:tcBorders>
              <w:bottom w:val="single" w:color="000000" w:sz="4" w:space="0"/>
            </w:tcBorders>
            <w:vAlign w:val="center"/>
          </w:tcPr>
          <w:p w14:paraId="5695AB65">
            <w:pPr>
              <w:snapToGrid w:val="0"/>
              <w:spacing w:line="300" w:lineRule="auto"/>
              <w:rPr>
                <w:rFonts w:ascii="宋体" w:hAnsi="宋体"/>
                <w:snapToGrid w:val="0"/>
                <w:kern w:val="0"/>
                <w:szCs w:val="21"/>
              </w:rPr>
            </w:pPr>
            <w:r>
              <w:rPr>
                <w:rFonts w:hint="eastAsia" w:ascii="宋体" w:hAnsi="宋体"/>
                <w:snapToGrid w:val="0"/>
                <w:kern w:val="0"/>
                <w:szCs w:val="21"/>
              </w:rPr>
              <w:t>构成本招标文件各个组成部分的文件，未经采购人书面同意，供应商不得擅自复印和用于非本招标项目所需的其他目的。采购人全部或者部分使用未中标方投标文件中的技术成果或技术方案时，需征得其书面同意，并不得擅自复印或提供给第三人。</w:t>
            </w:r>
          </w:p>
        </w:tc>
      </w:tr>
      <w:tr w14:paraId="5D33FA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8" w:hRule="atLeast"/>
          <w:jc w:val="center"/>
        </w:trPr>
        <w:tc>
          <w:tcPr>
            <w:tcW w:w="960" w:type="dxa"/>
            <w:tcBorders>
              <w:bottom w:val="single" w:color="000000" w:sz="4" w:space="0"/>
            </w:tcBorders>
            <w:vAlign w:val="center"/>
          </w:tcPr>
          <w:p w14:paraId="5729BE45">
            <w:pPr>
              <w:snapToGrid w:val="0"/>
              <w:spacing w:line="300" w:lineRule="auto"/>
              <w:jc w:val="center"/>
              <w:rPr>
                <w:rFonts w:ascii="宋体" w:hAnsi="宋体"/>
                <w:snapToGrid w:val="0"/>
                <w:kern w:val="0"/>
                <w:szCs w:val="21"/>
              </w:rPr>
            </w:pPr>
            <w:r>
              <w:rPr>
                <w:rFonts w:ascii="宋体" w:hAnsi="宋体"/>
                <w:snapToGrid w:val="0"/>
                <w:kern w:val="0"/>
                <w:szCs w:val="21"/>
              </w:rPr>
              <w:t>1</w:t>
            </w:r>
            <w:r>
              <w:rPr>
                <w:rFonts w:hint="eastAsia" w:ascii="宋体" w:hAnsi="宋体"/>
                <w:snapToGrid w:val="0"/>
                <w:kern w:val="0"/>
                <w:szCs w:val="21"/>
              </w:rPr>
              <w:t>1</w:t>
            </w:r>
            <w:r>
              <w:rPr>
                <w:rFonts w:ascii="宋体" w:hAnsi="宋体"/>
                <w:snapToGrid w:val="0"/>
                <w:kern w:val="0"/>
                <w:szCs w:val="21"/>
              </w:rPr>
              <w:t>.3</w:t>
            </w:r>
          </w:p>
        </w:tc>
        <w:tc>
          <w:tcPr>
            <w:tcW w:w="2126" w:type="dxa"/>
            <w:tcBorders>
              <w:bottom w:val="single" w:color="000000" w:sz="4" w:space="0"/>
            </w:tcBorders>
            <w:vAlign w:val="center"/>
          </w:tcPr>
          <w:p w14:paraId="6473027B">
            <w:pPr>
              <w:snapToGrid w:val="0"/>
              <w:spacing w:line="300" w:lineRule="auto"/>
              <w:jc w:val="center"/>
              <w:rPr>
                <w:rFonts w:ascii="宋体" w:hAnsi="宋体"/>
                <w:snapToGrid w:val="0"/>
                <w:kern w:val="0"/>
                <w:szCs w:val="21"/>
              </w:rPr>
            </w:pPr>
            <w:r>
              <w:rPr>
                <w:rFonts w:hint="eastAsia" w:ascii="宋体" w:hAnsi="宋体"/>
                <w:snapToGrid w:val="0"/>
                <w:kern w:val="0"/>
                <w:szCs w:val="21"/>
              </w:rPr>
              <w:t>监督</w:t>
            </w:r>
          </w:p>
        </w:tc>
        <w:tc>
          <w:tcPr>
            <w:tcW w:w="5971" w:type="dxa"/>
            <w:tcBorders>
              <w:bottom w:val="single" w:color="000000" w:sz="4" w:space="0"/>
            </w:tcBorders>
            <w:vAlign w:val="center"/>
          </w:tcPr>
          <w:p w14:paraId="2FC84D51">
            <w:pPr>
              <w:snapToGrid w:val="0"/>
              <w:spacing w:line="300" w:lineRule="auto"/>
              <w:rPr>
                <w:rFonts w:ascii="宋体" w:hAnsi="宋体"/>
                <w:snapToGrid w:val="0"/>
                <w:kern w:val="0"/>
                <w:szCs w:val="21"/>
              </w:rPr>
            </w:pPr>
            <w:r>
              <w:rPr>
                <w:rFonts w:hint="eastAsia" w:ascii="宋体" w:hAnsi="宋体"/>
                <w:snapToGrid w:val="0"/>
                <w:kern w:val="0"/>
                <w:szCs w:val="21"/>
              </w:rPr>
              <w:t>本项目的招标投标活动及其相关当事人应当接受有管辖权的政府采购部门依法实施的监督。</w:t>
            </w:r>
          </w:p>
        </w:tc>
      </w:tr>
      <w:tr w14:paraId="6D02FF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80" w:hRule="atLeast"/>
          <w:jc w:val="center"/>
        </w:trPr>
        <w:tc>
          <w:tcPr>
            <w:tcW w:w="960" w:type="dxa"/>
            <w:vAlign w:val="center"/>
          </w:tcPr>
          <w:p w14:paraId="2E314F80">
            <w:pPr>
              <w:snapToGrid w:val="0"/>
              <w:spacing w:line="300" w:lineRule="auto"/>
              <w:jc w:val="center"/>
              <w:rPr>
                <w:rFonts w:ascii="宋体" w:hAnsi="宋体"/>
                <w:snapToGrid w:val="0"/>
                <w:kern w:val="0"/>
                <w:szCs w:val="21"/>
              </w:rPr>
            </w:pPr>
            <w:r>
              <w:rPr>
                <w:rFonts w:ascii="宋体" w:hAnsi="宋体"/>
                <w:snapToGrid w:val="0"/>
                <w:kern w:val="0"/>
                <w:szCs w:val="21"/>
              </w:rPr>
              <w:t>1</w:t>
            </w:r>
            <w:r>
              <w:rPr>
                <w:rFonts w:hint="eastAsia" w:ascii="宋体" w:hAnsi="宋体"/>
                <w:snapToGrid w:val="0"/>
                <w:kern w:val="0"/>
                <w:szCs w:val="21"/>
              </w:rPr>
              <w:t>1</w:t>
            </w:r>
            <w:r>
              <w:rPr>
                <w:rFonts w:ascii="宋体" w:hAnsi="宋体"/>
                <w:snapToGrid w:val="0"/>
                <w:kern w:val="0"/>
                <w:szCs w:val="21"/>
              </w:rPr>
              <w:t>.4</w:t>
            </w:r>
          </w:p>
        </w:tc>
        <w:tc>
          <w:tcPr>
            <w:tcW w:w="2126" w:type="dxa"/>
            <w:vAlign w:val="center"/>
          </w:tcPr>
          <w:p w14:paraId="0FC03F03">
            <w:pPr>
              <w:snapToGrid w:val="0"/>
              <w:spacing w:line="300" w:lineRule="auto"/>
              <w:jc w:val="center"/>
              <w:rPr>
                <w:rFonts w:ascii="宋体" w:hAnsi="宋体"/>
                <w:snapToGrid w:val="0"/>
                <w:kern w:val="0"/>
                <w:szCs w:val="21"/>
              </w:rPr>
            </w:pPr>
            <w:r>
              <w:rPr>
                <w:rFonts w:hint="eastAsia" w:ascii="宋体" w:hAnsi="宋体"/>
                <w:snapToGrid w:val="0"/>
                <w:kern w:val="0"/>
                <w:szCs w:val="21"/>
              </w:rPr>
              <w:t>招标文件的解释</w:t>
            </w:r>
          </w:p>
        </w:tc>
        <w:tc>
          <w:tcPr>
            <w:tcW w:w="5971" w:type="dxa"/>
            <w:vAlign w:val="center"/>
          </w:tcPr>
          <w:p w14:paraId="3D22C7DA">
            <w:pPr>
              <w:snapToGrid w:val="0"/>
              <w:spacing w:line="300" w:lineRule="auto"/>
              <w:rPr>
                <w:rFonts w:ascii="宋体" w:hAnsi="宋体"/>
                <w:snapToGrid w:val="0"/>
                <w:kern w:val="0"/>
                <w:szCs w:val="21"/>
              </w:rPr>
            </w:pPr>
            <w:r>
              <w:rPr>
                <w:rFonts w:hint="eastAsia" w:ascii="宋体" w:hAnsi="宋体"/>
                <w:snapToGrid w:val="0"/>
                <w:kern w:val="0"/>
                <w:szCs w:val="21"/>
              </w:rPr>
              <w:t>构成本招标文件的各个组成文件应互为解释，互为说明；如有不明确或不一致，构成合同文件组成内容的，以合同文件约定内容为准；除招标文件中有特别规定外，仅适用于招标投标阶段的规定，按招标公告（投标邀请书）、供应商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r w14:paraId="3D3818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47" w:hRule="atLeast"/>
          <w:jc w:val="center"/>
        </w:trPr>
        <w:tc>
          <w:tcPr>
            <w:tcW w:w="960" w:type="dxa"/>
            <w:vAlign w:val="center"/>
          </w:tcPr>
          <w:p w14:paraId="4007872D">
            <w:pPr>
              <w:snapToGrid w:val="0"/>
              <w:spacing w:line="300" w:lineRule="auto"/>
              <w:jc w:val="center"/>
              <w:rPr>
                <w:rFonts w:ascii="宋体" w:hAnsi="宋体"/>
                <w:snapToGrid w:val="0"/>
                <w:kern w:val="0"/>
                <w:szCs w:val="21"/>
              </w:rPr>
            </w:pPr>
            <w:r>
              <w:rPr>
                <w:rFonts w:hint="eastAsia" w:ascii="宋体" w:hAnsi="宋体"/>
                <w:snapToGrid w:val="0"/>
                <w:kern w:val="0"/>
                <w:szCs w:val="21"/>
              </w:rPr>
              <w:t>11.5</w:t>
            </w:r>
          </w:p>
        </w:tc>
        <w:tc>
          <w:tcPr>
            <w:tcW w:w="2126" w:type="dxa"/>
            <w:vAlign w:val="center"/>
          </w:tcPr>
          <w:p w14:paraId="09494A34">
            <w:pPr>
              <w:snapToGrid w:val="0"/>
              <w:spacing w:line="300" w:lineRule="auto"/>
              <w:ind w:firstLine="420"/>
              <w:jc w:val="center"/>
              <w:rPr>
                <w:rFonts w:ascii="宋体" w:hAnsi="宋体"/>
                <w:b/>
                <w:snapToGrid w:val="0"/>
                <w:kern w:val="0"/>
                <w:szCs w:val="21"/>
              </w:rPr>
            </w:pPr>
            <w:r>
              <w:rPr>
                <w:rFonts w:hint="eastAsia" w:ascii="宋体" w:hAnsi="宋体"/>
                <w:b/>
                <w:snapToGrid w:val="0"/>
                <w:kern w:val="0"/>
                <w:szCs w:val="21"/>
              </w:rPr>
              <w:t>温馨提示</w:t>
            </w:r>
          </w:p>
        </w:tc>
        <w:tc>
          <w:tcPr>
            <w:tcW w:w="5971" w:type="dxa"/>
            <w:vAlign w:val="center"/>
          </w:tcPr>
          <w:p w14:paraId="700B4DB6">
            <w:pPr>
              <w:snapToGrid w:val="0"/>
              <w:spacing w:line="300" w:lineRule="auto"/>
              <w:rPr>
                <w:rFonts w:ascii="宋体" w:hAnsi="宋体"/>
                <w:b/>
                <w:snapToGrid w:val="0"/>
                <w:kern w:val="0"/>
                <w:szCs w:val="21"/>
              </w:rPr>
            </w:pPr>
            <w:r>
              <w:rPr>
                <w:rFonts w:hint="eastAsia" w:ascii="宋体" w:hAnsi="宋体"/>
                <w:b/>
                <w:snapToGrid w:val="0"/>
                <w:kern w:val="0"/>
                <w:szCs w:val="21"/>
              </w:rPr>
              <w:t>1、本项目为全流程电子化的政府采购项目，供应商应提前熟悉“政采云”相关投标程序，提前在自有场地配置可音视频通话（带摄像头及话筒的计算机）的稳定网络环境，并按“政采云”开标大厅中的提示完成采购活动。</w:t>
            </w:r>
          </w:p>
          <w:p w14:paraId="143DDE21">
            <w:pPr>
              <w:snapToGrid w:val="0"/>
              <w:spacing w:line="300" w:lineRule="auto"/>
              <w:rPr>
                <w:rFonts w:ascii="宋体" w:hAnsi="宋体"/>
                <w:b/>
                <w:snapToGrid w:val="0"/>
                <w:kern w:val="0"/>
                <w:szCs w:val="21"/>
              </w:rPr>
            </w:pPr>
            <w:r>
              <w:rPr>
                <w:rFonts w:hint="eastAsia" w:ascii="宋体" w:hAnsi="宋体"/>
                <w:b/>
                <w:snapToGrid w:val="0"/>
                <w:kern w:val="0"/>
                <w:szCs w:val="21"/>
              </w:rPr>
              <w:t>2、请各供应商认真阅读本项目提供的关于“政采云”及“云南CA”的相关办理及操作流程，以免影响投标。</w:t>
            </w:r>
          </w:p>
          <w:p w14:paraId="0B89CBD0">
            <w:pPr>
              <w:snapToGrid w:val="0"/>
              <w:spacing w:line="300" w:lineRule="auto"/>
              <w:rPr>
                <w:rFonts w:ascii="宋体" w:hAnsi="宋体"/>
                <w:b/>
                <w:snapToGrid w:val="0"/>
                <w:kern w:val="0"/>
                <w:szCs w:val="21"/>
              </w:rPr>
            </w:pPr>
            <w:r>
              <w:rPr>
                <w:rFonts w:hint="eastAsia" w:ascii="宋体" w:hAnsi="宋体"/>
                <w:b/>
                <w:snapToGrid w:val="0"/>
                <w:kern w:val="0"/>
                <w:szCs w:val="21"/>
              </w:rPr>
              <w:t>3、投标期间，如有技术问题可致电“政采云”及“云南CA”进行咨询。</w:t>
            </w:r>
          </w:p>
          <w:p w14:paraId="2A7F8AAF">
            <w:pPr>
              <w:snapToGrid w:val="0"/>
              <w:spacing w:line="300" w:lineRule="auto"/>
              <w:rPr>
                <w:rFonts w:ascii="宋体" w:hAnsi="宋体"/>
                <w:b/>
                <w:snapToGrid w:val="0"/>
                <w:kern w:val="0"/>
                <w:szCs w:val="21"/>
              </w:rPr>
            </w:pPr>
            <w:r>
              <w:rPr>
                <w:rFonts w:hint="eastAsia" w:ascii="宋体" w:hAnsi="宋体"/>
                <w:b/>
                <w:snapToGrid w:val="0"/>
                <w:kern w:val="0"/>
                <w:szCs w:val="21"/>
              </w:rPr>
              <w:t>政采云技术支持电话：4008817190（客服热线）；</w:t>
            </w:r>
          </w:p>
          <w:p w14:paraId="66046CF4">
            <w:pPr>
              <w:snapToGrid w:val="0"/>
              <w:spacing w:line="300" w:lineRule="auto"/>
              <w:rPr>
                <w:rFonts w:ascii="宋体" w:hAnsi="宋体"/>
                <w:b/>
                <w:snapToGrid w:val="0"/>
                <w:kern w:val="0"/>
                <w:szCs w:val="21"/>
              </w:rPr>
            </w:pPr>
            <w:r>
              <w:rPr>
                <w:rFonts w:hint="eastAsia" w:ascii="宋体" w:hAnsi="宋体"/>
                <w:b/>
                <w:snapToGrid w:val="0"/>
                <w:kern w:val="0"/>
                <w:szCs w:val="21"/>
              </w:rPr>
              <w:t>云南CA技术支持电话：4006727666；</w:t>
            </w:r>
          </w:p>
          <w:p w14:paraId="73C98094">
            <w:pPr>
              <w:snapToGrid w:val="0"/>
              <w:spacing w:line="300" w:lineRule="auto"/>
              <w:rPr>
                <w:rFonts w:ascii="宋体" w:hAnsi="宋体"/>
                <w:b/>
                <w:snapToGrid w:val="0"/>
                <w:kern w:val="0"/>
                <w:szCs w:val="21"/>
              </w:rPr>
            </w:pPr>
            <w:r>
              <w:rPr>
                <w:rFonts w:hint="eastAsia" w:ascii="宋体" w:hAnsi="宋体"/>
                <w:b/>
                <w:snapToGrid w:val="0"/>
                <w:kern w:val="0"/>
                <w:szCs w:val="21"/>
              </w:rPr>
              <w:t>云南CA紧急联系电话：15288315056。</w:t>
            </w:r>
          </w:p>
        </w:tc>
      </w:tr>
    </w:tbl>
    <w:p w14:paraId="5B1E95C5">
      <w:pPr>
        <w:pStyle w:val="49"/>
        <w:wordWrap w:val="0"/>
        <w:rPr>
          <w:snapToGrid w:val="0"/>
          <w:kern w:val="0"/>
        </w:rPr>
      </w:pPr>
    </w:p>
    <w:p w14:paraId="105058F0">
      <w:pPr>
        <w:wordWrap w:val="0"/>
        <w:ind w:firstLine="602"/>
        <w:rPr>
          <w:rFonts w:ascii="黑体" w:hAnsi="黑体" w:eastAsia="黑体"/>
          <w:snapToGrid w:val="0"/>
          <w:kern w:val="0"/>
          <w:sz w:val="30"/>
          <w:szCs w:val="30"/>
        </w:rPr>
      </w:pPr>
      <w:bookmarkStart w:id="78" w:name="_Toc71823588"/>
      <w:r>
        <w:rPr>
          <w:rFonts w:hint="eastAsia" w:ascii="黑体" w:hAnsi="黑体" w:eastAsia="黑体"/>
          <w:snapToGrid w:val="0"/>
          <w:kern w:val="0"/>
          <w:sz w:val="30"/>
          <w:szCs w:val="30"/>
        </w:rPr>
        <w:br w:type="page"/>
      </w:r>
    </w:p>
    <w:p w14:paraId="2460C5EE">
      <w:pPr>
        <w:pStyle w:val="4"/>
      </w:pPr>
      <w:bookmarkStart w:id="79" w:name="_Toc8337"/>
      <w:bookmarkStart w:id="80" w:name="_Toc24501"/>
      <w:r>
        <w:rPr>
          <w:rFonts w:hint="eastAsia"/>
        </w:rPr>
        <w:t>二、供应商须知</w:t>
      </w:r>
      <w:bookmarkEnd w:id="74"/>
      <w:bookmarkEnd w:id="75"/>
      <w:bookmarkEnd w:id="76"/>
      <w:bookmarkEnd w:id="77"/>
      <w:bookmarkEnd w:id="78"/>
      <w:bookmarkEnd w:id="79"/>
      <w:bookmarkEnd w:id="80"/>
    </w:p>
    <w:p w14:paraId="2A5C0739">
      <w:pPr>
        <w:pStyle w:val="5"/>
        <w:rPr>
          <w:snapToGrid w:val="0"/>
        </w:rPr>
      </w:pPr>
      <w:bookmarkStart w:id="81" w:name="_Toc260908187"/>
      <w:bookmarkStart w:id="82" w:name="_Toc260907971"/>
      <w:r>
        <w:rPr>
          <w:rFonts w:hint="eastAsia"/>
          <w:snapToGrid w:val="0"/>
        </w:rPr>
        <w:t>（一）总则</w:t>
      </w:r>
      <w:bookmarkEnd w:id="81"/>
      <w:bookmarkEnd w:id="82"/>
    </w:p>
    <w:p w14:paraId="2B5D6249">
      <w:pPr>
        <w:pStyle w:val="6"/>
        <w:widowControl w:val="0"/>
        <w:wordWrap w:val="0"/>
        <w:spacing w:line="360" w:lineRule="auto"/>
        <w:ind w:firstLine="480"/>
        <w:rPr>
          <w:rFonts w:ascii="黑体" w:hAnsi="黑体" w:eastAsia="黑体"/>
          <w:snapToGrid w:val="0"/>
          <w:sz w:val="24"/>
          <w:szCs w:val="24"/>
        </w:rPr>
      </w:pPr>
      <w:r>
        <w:rPr>
          <w:rFonts w:hint="eastAsia" w:ascii="黑体" w:hAnsi="黑体" w:eastAsia="黑体"/>
          <w:snapToGrid w:val="0"/>
          <w:sz w:val="24"/>
          <w:szCs w:val="24"/>
        </w:rPr>
        <w:t>1.1 项目概况</w:t>
      </w:r>
    </w:p>
    <w:p w14:paraId="7749BC26">
      <w:pPr>
        <w:wordWrap w:val="0"/>
        <w:spacing w:line="360" w:lineRule="auto"/>
        <w:ind w:firstLine="472" w:firstLineChars="225"/>
        <w:rPr>
          <w:snapToGrid w:val="0"/>
          <w:kern w:val="0"/>
          <w:szCs w:val="21"/>
        </w:rPr>
      </w:pPr>
      <w:r>
        <w:rPr>
          <w:rFonts w:hint="eastAsia"/>
          <w:snapToGrid w:val="0"/>
          <w:kern w:val="0"/>
          <w:szCs w:val="21"/>
        </w:rPr>
        <w:t>1.1.1根据</w:t>
      </w:r>
      <w:r>
        <w:rPr>
          <w:rFonts w:hint="eastAsia" w:ascii="宋体" w:hAnsi="宋体" w:cs="宋体"/>
          <w:snapToGrid w:val="0"/>
          <w:kern w:val="0"/>
          <w:szCs w:val="21"/>
        </w:rPr>
        <w:t>《中华人民共和国政府采购法》《中华人民共和国政府采购法实施条例》《政府采购货物和服务招标投标管理办法》（财政部87号令）等有关法律法规和规章的规定</w:t>
      </w:r>
      <w:r>
        <w:rPr>
          <w:rFonts w:hint="eastAsia"/>
          <w:snapToGrid w:val="0"/>
          <w:kern w:val="0"/>
          <w:szCs w:val="21"/>
        </w:rPr>
        <w:t>，本招标项目已具备招标条件，现对本项目进行招标。</w:t>
      </w:r>
    </w:p>
    <w:p w14:paraId="4C523E87">
      <w:pPr>
        <w:wordWrap w:val="0"/>
        <w:spacing w:line="360" w:lineRule="auto"/>
        <w:ind w:firstLine="472" w:firstLineChars="225"/>
        <w:rPr>
          <w:snapToGrid w:val="0"/>
          <w:kern w:val="0"/>
          <w:szCs w:val="21"/>
        </w:rPr>
      </w:pPr>
      <w:r>
        <w:rPr>
          <w:rFonts w:hint="eastAsia"/>
          <w:snapToGrid w:val="0"/>
          <w:kern w:val="0"/>
          <w:szCs w:val="21"/>
        </w:rPr>
        <w:t>1.1.2 本招标项目采购人：见供应商须知前附表。</w:t>
      </w:r>
    </w:p>
    <w:p w14:paraId="3F705541">
      <w:pPr>
        <w:wordWrap w:val="0"/>
        <w:spacing w:line="360" w:lineRule="auto"/>
        <w:ind w:firstLine="472" w:firstLineChars="225"/>
        <w:rPr>
          <w:snapToGrid w:val="0"/>
          <w:kern w:val="0"/>
          <w:szCs w:val="21"/>
        </w:rPr>
      </w:pPr>
      <w:r>
        <w:rPr>
          <w:rFonts w:hint="eastAsia"/>
          <w:snapToGrid w:val="0"/>
          <w:kern w:val="0"/>
          <w:szCs w:val="21"/>
        </w:rPr>
        <w:t>1.1.3 本招标项目采购代理机构：见供应商须知前附表。</w:t>
      </w:r>
    </w:p>
    <w:p w14:paraId="1C1D190B">
      <w:pPr>
        <w:wordWrap w:val="0"/>
        <w:spacing w:line="360" w:lineRule="auto"/>
        <w:ind w:firstLine="472" w:firstLineChars="225"/>
        <w:rPr>
          <w:snapToGrid w:val="0"/>
          <w:kern w:val="0"/>
          <w:szCs w:val="21"/>
        </w:rPr>
      </w:pPr>
      <w:r>
        <w:rPr>
          <w:rFonts w:hint="eastAsia"/>
          <w:snapToGrid w:val="0"/>
          <w:kern w:val="0"/>
          <w:szCs w:val="21"/>
        </w:rPr>
        <w:t>1.1.4 本招标项目名称：见供应商须知前附表。</w:t>
      </w:r>
    </w:p>
    <w:p w14:paraId="1D72675C">
      <w:pPr>
        <w:wordWrap w:val="0"/>
        <w:spacing w:line="360" w:lineRule="auto"/>
        <w:ind w:firstLine="472" w:firstLineChars="225"/>
        <w:rPr>
          <w:rFonts w:ascii="宋体" w:hAnsi="宋体"/>
          <w:snapToGrid w:val="0"/>
          <w:kern w:val="0"/>
          <w:szCs w:val="21"/>
        </w:rPr>
      </w:pPr>
      <w:r>
        <w:rPr>
          <w:rFonts w:hint="eastAsia"/>
          <w:snapToGrid w:val="0"/>
          <w:kern w:val="0"/>
          <w:szCs w:val="21"/>
        </w:rPr>
        <w:t>1.1.5 本招标项目服务地点：见供应商须知前附表</w:t>
      </w:r>
      <w:r>
        <w:rPr>
          <w:rFonts w:hint="eastAsia" w:ascii="宋体" w:hAnsi="宋体"/>
          <w:snapToGrid w:val="0"/>
          <w:kern w:val="0"/>
          <w:szCs w:val="21"/>
        </w:rPr>
        <w:t>。</w:t>
      </w:r>
    </w:p>
    <w:p w14:paraId="13A2EA49">
      <w:pPr>
        <w:pStyle w:val="6"/>
        <w:widowControl w:val="0"/>
        <w:wordWrap w:val="0"/>
        <w:spacing w:line="360" w:lineRule="auto"/>
        <w:ind w:firstLine="480"/>
        <w:rPr>
          <w:rFonts w:ascii="黑体" w:hAnsi="黑体" w:eastAsia="黑体"/>
          <w:snapToGrid w:val="0"/>
          <w:sz w:val="24"/>
          <w:szCs w:val="24"/>
        </w:rPr>
      </w:pPr>
      <w:r>
        <w:rPr>
          <w:rFonts w:hint="eastAsia" w:ascii="黑体" w:hAnsi="黑体" w:eastAsia="黑体"/>
          <w:snapToGrid w:val="0"/>
          <w:sz w:val="24"/>
          <w:szCs w:val="24"/>
        </w:rPr>
        <w:t>1.2资金来源、出资比例和落实情况</w:t>
      </w:r>
    </w:p>
    <w:p w14:paraId="32B1072B">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1.2.1 本招标项目的资金来源：见供应商须知前附表。</w:t>
      </w:r>
    </w:p>
    <w:p w14:paraId="5458E403">
      <w:pPr>
        <w:wordWrap w:val="0"/>
        <w:spacing w:line="360" w:lineRule="auto"/>
        <w:ind w:firstLine="472" w:firstLineChars="225"/>
        <w:rPr>
          <w:snapToGrid w:val="0"/>
          <w:kern w:val="0"/>
        </w:rPr>
      </w:pPr>
      <w:r>
        <w:rPr>
          <w:rFonts w:hint="eastAsia" w:ascii="宋体" w:hAnsi="宋体"/>
          <w:snapToGrid w:val="0"/>
          <w:kern w:val="0"/>
          <w:szCs w:val="21"/>
        </w:rPr>
        <w:t>1.2.</w:t>
      </w:r>
      <w:r>
        <w:rPr>
          <w:rFonts w:ascii="宋体" w:hAnsi="宋体"/>
          <w:snapToGrid w:val="0"/>
          <w:kern w:val="0"/>
          <w:szCs w:val="21"/>
        </w:rPr>
        <w:t>2</w:t>
      </w:r>
      <w:r>
        <w:rPr>
          <w:rFonts w:hint="eastAsia" w:ascii="宋体" w:hAnsi="宋体"/>
          <w:snapToGrid w:val="0"/>
          <w:kern w:val="0"/>
          <w:szCs w:val="21"/>
        </w:rPr>
        <w:t xml:space="preserve"> 本招标项目的采购预算：见供应商须知前附表。</w:t>
      </w:r>
    </w:p>
    <w:p w14:paraId="7FF28889">
      <w:pPr>
        <w:pStyle w:val="6"/>
        <w:widowControl w:val="0"/>
        <w:wordWrap w:val="0"/>
        <w:spacing w:line="360" w:lineRule="auto"/>
        <w:ind w:firstLine="480"/>
        <w:rPr>
          <w:rFonts w:ascii="黑体" w:hAnsi="黑体" w:eastAsia="黑体"/>
          <w:snapToGrid w:val="0"/>
          <w:sz w:val="24"/>
          <w:szCs w:val="24"/>
        </w:rPr>
      </w:pPr>
      <w:r>
        <w:rPr>
          <w:rFonts w:hint="eastAsia" w:ascii="黑体" w:hAnsi="黑体" w:eastAsia="黑体"/>
          <w:snapToGrid w:val="0"/>
          <w:sz w:val="24"/>
          <w:szCs w:val="24"/>
        </w:rPr>
        <w:t>1.3采购需求、服务期限、服务标准和标包划分</w:t>
      </w:r>
    </w:p>
    <w:p w14:paraId="3C3DBD7B">
      <w:pPr>
        <w:wordWrap w:val="0"/>
        <w:spacing w:line="360" w:lineRule="auto"/>
        <w:ind w:firstLine="420" w:firstLineChars="200"/>
        <w:rPr>
          <w:snapToGrid w:val="0"/>
          <w:kern w:val="0"/>
          <w:szCs w:val="21"/>
        </w:rPr>
      </w:pPr>
      <w:r>
        <w:rPr>
          <w:rFonts w:hint="eastAsia"/>
          <w:snapToGrid w:val="0"/>
          <w:kern w:val="0"/>
          <w:szCs w:val="21"/>
        </w:rPr>
        <w:t>1.3.1本招标项目的采购需求（服务内容）：见供应商须知前附表。</w:t>
      </w:r>
    </w:p>
    <w:p w14:paraId="3F450633">
      <w:pPr>
        <w:wordWrap w:val="0"/>
        <w:spacing w:line="360" w:lineRule="auto"/>
        <w:ind w:firstLine="420" w:firstLineChars="200"/>
        <w:rPr>
          <w:snapToGrid w:val="0"/>
          <w:kern w:val="0"/>
          <w:szCs w:val="21"/>
        </w:rPr>
      </w:pPr>
      <w:r>
        <w:rPr>
          <w:rFonts w:hint="eastAsia"/>
          <w:snapToGrid w:val="0"/>
          <w:kern w:val="0"/>
          <w:szCs w:val="21"/>
        </w:rPr>
        <w:t>1.3.2 本招标项目的服务期限：见供应商须知前附表。</w:t>
      </w:r>
    </w:p>
    <w:p w14:paraId="63F9F3C1">
      <w:pPr>
        <w:wordWrap w:val="0"/>
        <w:spacing w:line="360" w:lineRule="auto"/>
        <w:ind w:firstLine="420" w:firstLineChars="200"/>
        <w:rPr>
          <w:snapToGrid w:val="0"/>
          <w:kern w:val="0"/>
          <w:szCs w:val="21"/>
        </w:rPr>
      </w:pPr>
      <w:r>
        <w:rPr>
          <w:rFonts w:hint="eastAsia"/>
          <w:snapToGrid w:val="0"/>
          <w:kern w:val="0"/>
          <w:szCs w:val="21"/>
        </w:rPr>
        <w:t>1.3.</w:t>
      </w:r>
      <w:r>
        <w:rPr>
          <w:snapToGrid w:val="0"/>
          <w:kern w:val="0"/>
          <w:szCs w:val="21"/>
        </w:rPr>
        <w:t>3</w:t>
      </w:r>
      <w:r>
        <w:rPr>
          <w:rFonts w:hint="eastAsia"/>
          <w:snapToGrid w:val="0"/>
          <w:kern w:val="0"/>
          <w:szCs w:val="21"/>
        </w:rPr>
        <w:t>本招标项目的服务标准：见供应商须知前附表。</w:t>
      </w:r>
    </w:p>
    <w:p w14:paraId="23ED2310">
      <w:pPr>
        <w:pStyle w:val="6"/>
        <w:widowControl w:val="0"/>
        <w:wordWrap w:val="0"/>
        <w:spacing w:line="360" w:lineRule="auto"/>
        <w:ind w:firstLine="480"/>
        <w:rPr>
          <w:rFonts w:ascii="黑体" w:hAnsi="黑体" w:eastAsia="黑体"/>
          <w:snapToGrid w:val="0"/>
          <w:sz w:val="24"/>
          <w:szCs w:val="24"/>
        </w:rPr>
      </w:pPr>
      <w:r>
        <w:rPr>
          <w:rFonts w:hint="eastAsia" w:ascii="黑体" w:hAnsi="黑体" w:eastAsia="黑体"/>
          <w:snapToGrid w:val="0"/>
          <w:sz w:val="24"/>
          <w:szCs w:val="24"/>
        </w:rPr>
        <w:t>1.4供应商资格要求</w:t>
      </w:r>
    </w:p>
    <w:p w14:paraId="5263CA05">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1.4.1 供应商应具备承担本项目资格条件：详见供应商须知前附表。</w:t>
      </w:r>
    </w:p>
    <w:p w14:paraId="2F05FC30">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1.4.2本项目是否接受联合体投标：详见供应商须知前附表。</w:t>
      </w:r>
    </w:p>
    <w:p w14:paraId="7E3EF59E">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1.4.3 供应商不得存在下列情形之一：</w:t>
      </w:r>
    </w:p>
    <w:p w14:paraId="30DAA16C">
      <w:pPr>
        <w:pStyle w:val="49"/>
        <w:wordWrap w:val="0"/>
        <w:spacing w:line="360" w:lineRule="auto"/>
        <w:ind w:left="0" w:leftChars="0"/>
        <w:rPr>
          <w:snapToGrid w:val="0"/>
          <w:kern w:val="0"/>
        </w:rPr>
      </w:pPr>
      <w:r>
        <w:rPr>
          <w:rFonts w:hint="eastAsia" w:ascii="宋体" w:hAnsi="宋体"/>
          <w:snapToGrid w:val="0"/>
          <w:kern w:val="0"/>
          <w:szCs w:val="21"/>
        </w:rPr>
        <w:t>（1）供应商单位负责人为同一人或者存在直接控股、管理关系的不同供应商，参加同一合同项下的政府采购活动的</w:t>
      </w:r>
    </w:p>
    <w:p w14:paraId="58C3A27A">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（2）为采购人不具有独立法人资格的附属机构（单位）；</w:t>
      </w:r>
    </w:p>
    <w:p w14:paraId="0437CECE">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（3）为本项目提供采购代理服务的；</w:t>
      </w:r>
    </w:p>
    <w:p w14:paraId="45E25372">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（4）被责令停业的；</w:t>
      </w:r>
    </w:p>
    <w:p w14:paraId="6C4E5583">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（5）被暂停或取消投标资格的；</w:t>
      </w:r>
    </w:p>
    <w:p w14:paraId="1EC1D2FE">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（6）财产被接管或冻结的；</w:t>
      </w:r>
    </w:p>
    <w:p w14:paraId="16912B12">
      <w:pPr>
        <w:wordWrap w:val="0"/>
        <w:spacing w:line="360" w:lineRule="auto"/>
        <w:ind w:firstLine="472" w:firstLineChars="225"/>
        <w:rPr>
          <w:strike/>
          <w:snapToGrid w:val="0"/>
          <w:kern w:val="0"/>
        </w:rPr>
      </w:pPr>
      <w:r>
        <w:rPr>
          <w:rFonts w:hint="eastAsia" w:ascii="宋体" w:hAnsi="宋体"/>
          <w:snapToGrid w:val="0"/>
          <w:kern w:val="0"/>
          <w:szCs w:val="21"/>
        </w:rPr>
        <w:t>（7）在最近三年内有骗取中标或严重违约或重大产品质量问题的。</w:t>
      </w:r>
    </w:p>
    <w:p w14:paraId="6D97541D">
      <w:pPr>
        <w:pStyle w:val="6"/>
        <w:widowControl w:val="0"/>
        <w:wordWrap w:val="0"/>
        <w:spacing w:line="360" w:lineRule="auto"/>
        <w:ind w:firstLine="480"/>
        <w:rPr>
          <w:rFonts w:ascii="黑体" w:hAnsi="黑体" w:eastAsia="黑体"/>
          <w:snapToGrid w:val="0"/>
          <w:sz w:val="24"/>
          <w:szCs w:val="24"/>
        </w:rPr>
      </w:pPr>
      <w:r>
        <w:rPr>
          <w:rFonts w:hint="eastAsia" w:ascii="黑体" w:hAnsi="黑体" w:eastAsia="黑体"/>
          <w:snapToGrid w:val="0"/>
          <w:sz w:val="24"/>
          <w:szCs w:val="24"/>
        </w:rPr>
        <w:t>1.5费用承担</w:t>
      </w:r>
    </w:p>
    <w:p w14:paraId="50A2E82C">
      <w:pPr>
        <w:wordWrap w:val="0"/>
        <w:spacing w:line="360" w:lineRule="auto"/>
        <w:ind w:firstLine="420" w:firstLineChars="200"/>
        <w:rPr>
          <w:rFonts w:ascii="宋体" w:hAnsi="宋体"/>
          <w:snapToGrid w:val="0"/>
          <w:kern w:val="0"/>
          <w:szCs w:val="21"/>
        </w:rPr>
      </w:pPr>
      <w:r>
        <w:rPr>
          <w:rFonts w:hint="eastAsia" w:ascii="宋体" w:hAnsi="宋体"/>
          <w:snapToGrid w:val="0"/>
          <w:kern w:val="0"/>
          <w:szCs w:val="21"/>
        </w:rPr>
        <w:t>1.5.1供应商</w:t>
      </w:r>
      <w:r>
        <w:rPr>
          <w:rFonts w:ascii="宋体" w:hAnsi="宋体"/>
          <w:snapToGrid w:val="0"/>
          <w:kern w:val="0"/>
          <w:szCs w:val="21"/>
        </w:rPr>
        <w:t>准备和参加投标活动发生的费用自理</w:t>
      </w:r>
      <w:r>
        <w:rPr>
          <w:rFonts w:hint="eastAsia" w:ascii="宋体" w:hAnsi="宋体"/>
          <w:snapToGrid w:val="0"/>
          <w:kern w:val="0"/>
          <w:szCs w:val="21"/>
        </w:rPr>
        <w:t>；</w:t>
      </w:r>
    </w:p>
    <w:p w14:paraId="0D04A9DB">
      <w:pPr>
        <w:wordWrap w:val="0"/>
        <w:spacing w:line="360" w:lineRule="auto"/>
        <w:ind w:firstLine="420" w:firstLineChars="200"/>
        <w:rPr>
          <w:rFonts w:ascii="宋体" w:hAnsi="宋体"/>
          <w:snapToGrid w:val="0"/>
          <w:kern w:val="0"/>
          <w:szCs w:val="21"/>
        </w:rPr>
      </w:pPr>
      <w:r>
        <w:rPr>
          <w:rFonts w:ascii="宋体" w:hAnsi="宋体"/>
          <w:snapToGrid w:val="0"/>
          <w:kern w:val="0"/>
          <w:szCs w:val="21"/>
        </w:rPr>
        <w:t>1.5.2</w:t>
      </w:r>
      <w:r>
        <w:rPr>
          <w:rFonts w:hint="eastAsia" w:ascii="宋体" w:hAnsi="宋体"/>
          <w:snapToGrid w:val="0"/>
          <w:kern w:val="0"/>
          <w:szCs w:val="21"/>
        </w:rPr>
        <w:t>招标代理服务费</w:t>
      </w:r>
      <w:r>
        <w:rPr>
          <w:rFonts w:hint="eastAsia"/>
          <w:snapToGrid w:val="0"/>
          <w:kern w:val="0"/>
          <w:szCs w:val="21"/>
        </w:rPr>
        <w:t>：见供应商须知前附表。</w:t>
      </w:r>
    </w:p>
    <w:p w14:paraId="6FE05A2C">
      <w:pPr>
        <w:wordWrap w:val="0"/>
        <w:spacing w:line="360" w:lineRule="auto"/>
        <w:ind w:firstLine="420" w:firstLineChars="200"/>
        <w:rPr>
          <w:rFonts w:ascii="宋体" w:hAnsi="宋体"/>
          <w:snapToGrid w:val="0"/>
          <w:kern w:val="0"/>
          <w:szCs w:val="21"/>
        </w:rPr>
      </w:pPr>
      <w:r>
        <w:rPr>
          <w:rFonts w:ascii="宋体" w:hAnsi="宋体"/>
          <w:snapToGrid w:val="0"/>
          <w:kern w:val="0"/>
          <w:szCs w:val="21"/>
        </w:rPr>
        <w:t>1.5.</w:t>
      </w:r>
      <w:r>
        <w:rPr>
          <w:rFonts w:hint="eastAsia" w:ascii="宋体" w:hAnsi="宋体"/>
          <w:snapToGrid w:val="0"/>
          <w:kern w:val="0"/>
          <w:szCs w:val="21"/>
        </w:rPr>
        <w:t>3中标人应承担其参加本次招投标活动所发生的相关费用。</w:t>
      </w:r>
    </w:p>
    <w:p w14:paraId="0237132F">
      <w:pPr>
        <w:pStyle w:val="6"/>
        <w:widowControl w:val="0"/>
        <w:wordWrap w:val="0"/>
        <w:spacing w:line="360" w:lineRule="auto"/>
        <w:ind w:firstLine="480"/>
        <w:rPr>
          <w:rFonts w:ascii="黑体" w:hAnsi="黑体" w:eastAsia="黑体"/>
          <w:snapToGrid w:val="0"/>
          <w:sz w:val="24"/>
          <w:szCs w:val="24"/>
        </w:rPr>
      </w:pPr>
      <w:r>
        <w:rPr>
          <w:rFonts w:hint="eastAsia" w:ascii="黑体" w:hAnsi="黑体" w:eastAsia="黑体"/>
          <w:snapToGrid w:val="0"/>
          <w:sz w:val="24"/>
          <w:szCs w:val="24"/>
        </w:rPr>
        <w:t>1.6保密</w:t>
      </w:r>
    </w:p>
    <w:p w14:paraId="70773F85">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参与招标投标活动的各方应对招标文件和投标文件中的商业和技术等秘密保密，违者应对由此造成的后果承担法律责任。</w:t>
      </w:r>
    </w:p>
    <w:p w14:paraId="7B298A2E">
      <w:pPr>
        <w:pStyle w:val="6"/>
        <w:widowControl w:val="0"/>
        <w:wordWrap w:val="0"/>
        <w:spacing w:line="360" w:lineRule="auto"/>
        <w:ind w:firstLine="480"/>
        <w:rPr>
          <w:rFonts w:ascii="黑体" w:hAnsi="黑体" w:eastAsia="黑体"/>
          <w:snapToGrid w:val="0"/>
          <w:sz w:val="24"/>
          <w:szCs w:val="24"/>
        </w:rPr>
      </w:pPr>
      <w:r>
        <w:rPr>
          <w:rFonts w:hint="eastAsia" w:ascii="黑体" w:hAnsi="黑体" w:eastAsia="黑体"/>
          <w:snapToGrid w:val="0"/>
          <w:sz w:val="24"/>
          <w:szCs w:val="24"/>
        </w:rPr>
        <w:t>1.7语言文字</w:t>
      </w:r>
    </w:p>
    <w:p w14:paraId="410DBAC8">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除专用术语外，与招标投标有关的语言均使用中文。必要时专用术语应附中文注释。</w:t>
      </w:r>
    </w:p>
    <w:p w14:paraId="6394CA52">
      <w:pPr>
        <w:pStyle w:val="6"/>
        <w:widowControl w:val="0"/>
        <w:wordWrap w:val="0"/>
        <w:spacing w:line="360" w:lineRule="auto"/>
        <w:ind w:firstLine="480"/>
        <w:rPr>
          <w:rFonts w:ascii="黑体" w:hAnsi="黑体" w:eastAsia="黑体"/>
          <w:snapToGrid w:val="0"/>
          <w:sz w:val="24"/>
          <w:szCs w:val="24"/>
        </w:rPr>
      </w:pPr>
      <w:r>
        <w:rPr>
          <w:rFonts w:hint="eastAsia" w:ascii="黑体" w:hAnsi="黑体" w:eastAsia="黑体"/>
          <w:snapToGrid w:val="0"/>
          <w:sz w:val="24"/>
          <w:szCs w:val="24"/>
        </w:rPr>
        <w:t>1.8计量单位</w:t>
      </w:r>
    </w:p>
    <w:p w14:paraId="7E372E4A">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所有计量均采用中华人民共和国法定计量单位。</w:t>
      </w:r>
    </w:p>
    <w:p w14:paraId="58AF8752">
      <w:pPr>
        <w:pStyle w:val="6"/>
        <w:widowControl w:val="0"/>
        <w:wordWrap w:val="0"/>
        <w:spacing w:line="360" w:lineRule="auto"/>
        <w:ind w:firstLine="480"/>
        <w:rPr>
          <w:rFonts w:ascii="黑体" w:hAnsi="黑体" w:eastAsia="黑体"/>
          <w:snapToGrid w:val="0"/>
          <w:sz w:val="24"/>
          <w:szCs w:val="24"/>
        </w:rPr>
      </w:pPr>
      <w:r>
        <w:rPr>
          <w:rFonts w:hint="eastAsia" w:ascii="黑体" w:hAnsi="黑体" w:eastAsia="黑体"/>
          <w:snapToGrid w:val="0"/>
          <w:sz w:val="24"/>
          <w:szCs w:val="24"/>
        </w:rPr>
        <w:t>1.9数据及资料</w:t>
      </w:r>
    </w:p>
    <w:p w14:paraId="5BC89528">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采购人向供应商提供的有关服务的数据、资料或需求，是采购人现有的能被供应商利用的资料，采购人对供应商做出的任何推论、理解和结论均不负责任。</w:t>
      </w:r>
    </w:p>
    <w:p w14:paraId="53B51088">
      <w:pPr>
        <w:pStyle w:val="6"/>
        <w:widowControl w:val="0"/>
        <w:wordWrap w:val="0"/>
        <w:spacing w:line="360" w:lineRule="auto"/>
        <w:ind w:firstLine="480"/>
        <w:rPr>
          <w:rFonts w:ascii="黑体" w:hAnsi="黑体" w:eastAsia="黑体"/>
          <w:snapToGrid w:val="0"/>
          <w:sz w:val="24"/>
          <w:szCs w:val="24"/>
        </w:rPr>
      </w:pPr>
      <w:r>
        <w:rPr>
          <w:rFonts w:hint="eastAsia" w:ascii="黑体" w:hAnsi="黑体" w:eastAsia="黑体"/>
          <w:snapToGrid w:val="0"/>
          <w:sz w:val="24"/>
          <w:szCs w:val="24"/>
        </w:rPr>
        <w:t>1.10踏勘现场</w:t>
      </w:r>
    </w:p>
    <w:p w14:paraId="0D2A94F6">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见供应商须知前附表。</w:t>
      </w:r>
    </w:p>
    <w:p w14:paraId="1D69D1D1">
      <w:pPr>
        <w:pStyle w:val="6"/>
        <w:widowControl w:val="0"/>
        <w:wordWrap w:val="0"/>
        <w:spacing w:line="360" w:lineRule="auto"/>
        <w:ind w:firstLine="480"/>
        <w:rPr>
          <w:rFonts w:ascii="黑体" w:hAnsi="黑体" w:eastAsia="黑体"/>
          <w:snapToGrid w:val="0"/>
          <w:sz w:val="24"/>
          <w:szCs w:val="24"/>
        </w:rPr>
      </w:pPr>
      <w:r>
        <w:rPr>
          <w:rFonts w:hint="eastAsia" w:ascii="黑体" w:hAnsi="黑体" w:eastAsia="黑体"/>
          <w:snapToGrid w:val="0"/>
          <w:sz w:val="24"/>
          <w:szCs w:val="24"/>
        </w:rPr>
        <w:t>1.1</w:t>
      </w:r>
      <w:r>
        <w:rPr>
          <w:rFonts w:ascii="黑体" w:hAnsi="黑体" w:eastAsia="黑体"/>
          <w:snapToGrid w:val="0"/>
          <w:sz w:val="24"/>
          <w:szCs w:val="24"/>
        </w:rPr>
        <w:t>1</w:t>
      </w:r>
      <w:r>
        <w:rPr>
          <w:rFonts w:hint="eastAsia" w:ascii="黑体" w:hAnsi="黑体" w:eastAsia="黑体"/>
          <w:snapToGrid w:val="0"/>
          <w:sz w:val="24"/>
          <w:szCs w:val="24"/>
        </w:rPr>
        <w:t>投标预备会</w:t>
      </w:r>
    </w:p>
    <w:p w14:paraId="325AF440">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1.1</w:t>
      </w:r>
      <w:r>
        <w:rPr>
          <w:rFonts w:ascii="宋体" w:hAnsi="宋体"/>
          <w:snapToGrid w:val="0"/>
          <w:kern w:val="0"/>
          <w:szCs w:val="21"/>
        </w:rPr>
        <w:t>1</w:t>
      </w:r>
      <w:r>
        <w:rPr>
          <w:rFonts w:hint="eastAsia" w:ascii="宋体" w:hAnsi="宋体"/>
          <w:snapToGrid w:val="0"/>
          <w:kern w:val="0"/>
          <w:szCs w:val="21"/>
        </w:rPr>
        <w:t>.1 投标预备会：见供应商须知前附表。</w:t>
      </w:r>
    </w:p>
    <w:p w14:paraId="60AC4FDB">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1.1</w:t>
      </w:r>
      <w:r>
        <w:rPr>
          <w:rFonts w:ascii="宋体" w:hAnsi="宋体"/>
          <w:snapToGrid w:val="0"/>
          <w:kern w:val="0"/>
          <w:szCs w:val="21"/>
        </w:rPr>
        <w:t>1</w:t>
      </w:r>
      <w:r>
        <w:rPr>
          <w:rFonts w:hint="eastAsia" w:ascii="宋体" w:hAnsi="宋体"/>
          <w:snapToGrid w:val="0"/>
          <w:kern w:val="0"/>
          <w:szCs w:val="21"/>
        </w:rPr>
        <w:t>.2 供应商提出问题的截止时间和方法：见供应商须知前附表</w:t>
      </w:r>
    </w:p>
    <w:p w14:paraId="328BCD6A">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1.1</w:t>
      </w:r>
      <w:r>
        <w:rPr>
          <w:rFonts w:ascii="宋体" w:hAnsi="宋体"/>
          <w:snapToGrid w:val="0"/>
          <w:kern w:val="0"/>
          <w:szCs w:val="21"/>
        </w:rPr>
        <w:t>1</w:t>
      </w:r>
      <w:r>
        <w:rPr>
          <w:rFonts w:hint="eastAsia" w:ascii="宋体" w:hAnsi="宋体"/>
          <w:snapToGrid w:val="0"/>
          <w:kern w:val="0"/>
          <w:szCs w:val="21"/>
        </w:rPr>
        <w:t>.3 采购人澄清的时间和方法：见供应商须知前附表。</w:t>
      </w:r>
    </w:p>
    <w:p w14:paraId="167BF7B0">
      <w:pPr>
        <w:pStyle w:val="6"/>
        <w:widowControl w:val="0"/>
        <w:wordWrap w:val="0"/>
        <w:spacing w:line="360" w:lineRule="auto"/>
        <w:ind w:firstLine="480"/>
        <w:rPr>
          <w:rFonts w:ascii="黑体" w:hAnsi="黑体" w:eastAsia="黑体"/>
          <w:snapToGrid w:val="0"/>
          <w:sz w:val="24"/>
          <w:szCs w:val="24"/>
        </w:rPr>
      </w:pPr>
      <w:r>
        <w:rPr>
          <w:rFonts w:hint="eastAsia" w:ascii="黑体" w:hAnsi="黑体" w:eastAsia="黑体"/>
          <w:snapToGrid w:val="0"/>
          <w:sz w:val="24"/>
          <w:szCs w:val="24"/>
        </w:rPr>
        <w:t>1.1</w:t>
      </w:r>
      <w:r>
        <w:rPr>
          <w:rFonts w:ascii="黑体" w:hAnsi="黑体" w:eastAsia="黑体"/>
          <w:snapToGrid w:val="0"/>
          <w:sz w:val="24"/>
          <w:szCs w:val="24"/>
        </w:rPr>
        <w:t>2</w:t>
      </w:r>
      <w:r>
        <w:rPr>
          <w:rFonts w:hint="eastAsia" w:ascii="黑体" w:hAnsi="黑体" w:eastAsia="黑体"/>
          <w:snapToGrid w:val="0"/>
          <w:sz w:val="24"/>
          <w:szCs w:val="24"/>
        </w:rPr>
        <w:t>分包</w:t>
      </w:r>
    </w:p>
    <w:p w14:paraId="267AA50E">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不允许分包。</w:t>
      </w:r>
    </w:p>
    <w:p w14:paraId="0E1FEF0C">
      <w:pPr>
        <w:pStyle w:val="18"/>
      </w:pPr>
    </w:p>
    <w:p w14:paraId="012BA25B">
      <w:pPr>
        <w:pStyle w:val="5"/>
        <w:rPr>
          <w:snapToGrid w:val="0"/>
        </w:rPr>
      </w:pPr>
      <w:bookmarkStart w:id="83" w:name="_Toc260907972"/>
      <w:bookmarkStart w:id="84" w:name="_Toc260908188"/>
      <w:r>
        <w:rPr>
          <w:rFonts w:hint="eastAsia"/>
          <w:snapToGrid w:val="0"/>
        </w:rPr>
        <w:t>（二）</w:t>
      </w:r>
      <w:bookmarkEnd w:id="83"/>
      <w:bookmarkEnd w:id="84"/>
      <w:r>
        <w:rPr>
          <w:rFonts w:hint="eastAsia"/>
          <w:snapToGrid w:val="0"/>
        </w:rPr>
        <w:t>招标文件</w:t>
      </w:r>
    </w:p>
    <w:p w14:paraId="458BE2B8">
      <w:pPr>
        <w:pStyle w:val="6"/>
        <w:widowControl w:val="0"/>
        <w:wordWrap w:val="0"/>
        <w:spacing w:line="360" w:lineRule="auto"/>
        <w:ind w:firstLine="480"/>
        <w:rPr>
          <w:rFonts w:ascii="黑体" w:hAnsi="黑体" w:eastAsia="黑体"/>
          <w:snapToGrid w:val="0"/>
          <w:sz w:val="24"/>
          <w:szCs w:val="24"/>
        </w:rPr>
      </w:pPr>
      <w:r>
        <w:rPr>
          <w:rFonts w:hint="eastAsia" w:ascii="黑体" w:hAnsi="黑体" w:eastAsia="黑体"/>
          <w:snapToGrid w:val="0"/>
          <w:sz w:val="24"/>
          <w:szCs w:val="24"/>
        </w:rPr>
        <w:t>2.1招标文件的组成</w:t>
      </w:r>
    </w:p>
    <w:p w14:paraId="6E21F2A9">
      <w:pPr>
        <w:wordWrap w:val="0"/>
        <w:spacing w:line="360" w:lineRule="auto"/>
        <w:ind w:firstLine="472" w:firstLineChars="225"/>
      </w:pPr>
      <w:r>
        <w:rPr>
          <w:rFonts w:hint="eastAsia" w:ascii="宋体" w:hAnsi="宋体"/>
          <w:snapToGrid w:val="0"/>
          <w:kern w:val="0"/>
          <w:szCs w:val="21"/>
        </w:rPr>
        <w:t>2.1.1本招标文件包括：招标公告、供应商须知、资格审查、评标办法、合同条款及格式、采购需求、投标文件格式等</w:t>
      </w:r>
      <w:r>
        <w:rPr>
          <w:rFonts w:ascii="宋体" w:hAnsi="宋体"/>
          <w:snapToGrid w:val="0"/>
          <w:kern w:val="0"/>
          <w:szCs w:val="21"/>
        </w:rPr>
        <w:t>。</w:t>
      </w:r>
    </w:p>
    <w:p w14:paraId="127C8602">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2.1.</w:t>
      </w:r>
      <w:r>
        <w:rPr>
          <w:rFonts w:ascii="宋体" w:hAnsi="宋体"/>
          <w:snapToGrid w:val="0"/>
          <w:kern w:val="0"/>
          <w:szCs w:val="21"/>
        </w:rPr>
        <w:t>2</w:t>
      </w:r>
      <w:r>
        <w:rPr>
          <w:rFonts w:hint="eastAsia" w:ascii="宋体" w:hAnsi="宋体"/>
          <w:snapToGrid w:val="0"/>
          <w:kern w:val="0"/>
          <w:szCs w:val="21"/>
        </w:rPr>
        <w:t>根据本章第1.1</w:t>
      </w:r>
      <w:r>
        <w:rPr>
          <w:rFonts w:ascii="宋体" w:hAnsi="宋体"/>
          <w:snapToGrid w:val="0"/>
          <w:kern w:val="0"/>
          <w:szCs w:val="21"/>
        </w:rPr>
        <w:t>1</w:t>
      </w:r>
      <w:r>
        <w:rPr>
          <w:rFonts w:hint="eastAsia" w:ascii="宋体" w:hAnsi="宋体"/>
          <w:snapToGrid w:val="0"/>
          <w:kern w:val="0"/>
          <w:szCs w:val="21"/>
        </w:rPr>
        <w:t>款、第2.2款和第2.3款对招标文件所作的澄清、修改，构成招标文件的组成部分。</w:t>
      </w:r>
    </w:p>
    <w:p w14:paraId="0B381BDD">
      <w:pPr>
        <w:pStyle w:val="6"/>
        <w:widowControl w:val="0"/>
        <w:wordWrap w:val="0"/>
        <w:spacing w:line="360" w:lineRule="auto"/>
        <w:ind w:firstLine="480"/>
        <w:rPr>
          <w:rFonts w:ascii="黑体" w:hAnsi="黑体" w:eastAsia="黑体"/>
          <w:snapToGrid w:val="0"/>
          <w:sz w:val="24"/>
          <w:szCs w:val="24"/>
        </w:rPr>
      </w:pPr>
      <w:r>
        <w:rPr>
          <w:rFonts w:hint="eastAsia" w:ascii="黑体" w:hAnsi="黑体" w:eastAsia="黑体"/>
          <w:snapToGrid w:val="0"/>
          <w:sz w:val="24"/>
          <w:szCs w:val="24"/>
        </w:rPr>
        <w:t>2.2招标文件的澄清</w:t>
      </w:r>
    </w:p>
    <w:p w14:paraId="31D17A5A">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2.2.1供应商应仔细阅读和检查招标文件的全部内容。如发现缺页或附件不全，应及时向采购人提出以便补齐。如有疑问，应在供应商须知前附表规定的时间前以在线不署名方式提交质疑，要求采购人对招标文件予以澄清。</w:t>
      </w:r>
    </w:p>
    <w:p w14:paraId="75762BF6">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2.2.2投标截止时间：见供应商须知前附表。</w:t>
      </w:r>
    </w:p>
    <w:p w14:paraId="1962D7F5">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2.2</w:t>
      </w:r>
      <w:r>
        <w:rPr>
          <w:rFonts w:ascii="宋体" w:hAnsi="宋体"/>
          <w:snapToGrid w:val="0"/>
          <w:kern w:val="0"/>
          <w:szCs w:val="21"/>
        </w:rPr>
        <w:t>.3</w:t>
      </w:r>
      <w:r>
        <w:rPr>
          <w:rFonts w:hint="eastAsia" w:ascii="宋体" w:hAnsi="宋体"/>
          <w:snapToGrid w:val="0"/>
          <w:kern w:val="0"/>
          <w:szCs w:val="21"/>
        </w:rPr>
        <w:t>供应商确认收到招标文件澄清的时间和方法：见供应商须知前附表。</w:t>
      </w:r>
    </w:p>
    <w:p w14:paraId="7C35DF57">
      <w:pPr>
        <w:pStyle w:val="6"/>
        <w:widowControl w:val="0"/>
        <w:wordWrap w:val="0"/>
        <w:spacing w:line="360" w:lineRule="auto"/>
        <w:ind w:firstLine="480"/>
        <w:rPr>
          <w:rFonts w:ascii="黑体" w:hAnsi="黑体" w:eastAsia="黑体"/>
          <w:snapToGrid w:val="0"/>
          <w:sz w:val="24"/>
          <w:szCs w:val="24"/>
        </w:rPr>
      </w:pPr>
      <w:r>
        <w:rPr>
          <w:rFonts w:hint="eastAsia" w:ascii="黑体" w:hAnsi="黑体" w:eastAsia="黑体"/>
          <w:snapToGrid w:val="0"/>
          <w:sz w:val="24"/>
          <w:szCs w:val="24"/>
        </w:rPr>
        <w:t>2.3招标文件的修改</w:t>
      </w:r>
    </w:p>
    <w:p w14:paraId="54081EA1">
      <w:pPr>
        <w:wordWrap w:val="0"/>
        <w:spacing w:line="360" w:lineRule="auto"/>
        <w:ind w:firstLine="420" w:firstLineChars="200"/>
        <w:rPr>
          <w:snapToGrid w:val="0"/>
          <w:kern w:val="0"/>
          <w:szCs w:val="21"/>
        </w:rPr>
      </w:pPr>
      <w:bookmarkStart w:id="85" w:name="_Toc260907973"/>
      <w:bookmarkStart w:id="86" w:name="_Toc229583203"/>
      <w:bookmarkStart w:id="87" w:name="_Toc260908189"/>
      <w:r>
        <w:rPr>
          <w:snapToGrid w:val="0"/>
          <w:kern w:val="0"/>
          <w:szCs w:val="21"/>
        </w:rPr>
        <w:t>2.3.1</w:t>
      </w:r>
      <w:r>
        <w:rPr>
          <w:rFonts w:hint="eastAsia"/>
          <w:snapToGrid w:val="0"/>
          <w:kern w:val="0"/>
          <w:szCs w:val="21"/>
        </w:rPr>
        <w:t>在投标截止时间15天前，采购人确需变更招标文件内容的，可主动或在解答供应商提出的澄清问题时对招标文件进行修改，招标文件的修改作为招标文件的组成部分，并具有约束力。同时发布补遗文件进行说明，以保证各供应商都能重新下载并用于编制电子投标文件。</w:t>
      </w:r>
    </w:p>
    <w:p w14:paraId="674D8680">
      <w:pPr>
        <w:wordWrap w:val="0"/>
        <w:spacing w:line="360" w:lineRule="auto"/>
        <w:ind w:firstLine="420" w:firstLineChars="200"/>
        <w:rPr>
          <w:snapToGrid w:val="0"/>
          <w:kern w:val="0"/>
          <w:szCs w:val="21"/>
        </w:rPr>
      </w:pPr>
      <w:r>
        <w:rPr>
          <w:rFonts w:hint="eastAsia"/>
          <w:snapToGrid w:val="0"/>
          <w:kern w:val="0"/>
          <w:szCs w:val="21"/>
        </w:rPr>
        <w:t>2.3.2供应商应认真查看招标文件的答疑、补遗内容。否则，由此引起的投标损失自负。</w:t>
      </w:r>
    </w:p>
    <w:p w14:paraId="4EACB3E4">
      <w:pPr>
        <w:wordWrap w:val="0"/>
        <w:spacing w:line="360" w:lineRule="auto"/>
        <w:ind w:firstLine="420" w:firstLineChars="200"/>
        <w:rPr>
          <w:snapToGrid w:val="0"/>
          <w:kern w:val="0"/>
          <w:szCs w:val="21"/>
        </w:rPr>
      </w:pPr>
      <w:r>
        <w:rPr>
          <w:rFonts w:hint="eastAsia"/>
          <w:snapToGrid w:val="0"/>
          <w:kern w:val="0"/>
          <w:szCs w:val="21"/>
        </w:rPr>
        <w:t>2.3.3招标文件澄清、修改内容均以网上电子文件为准，当招标文件、招标文件澄清、招标文件修改内容前后相互矛盾时，以最新发布的招标文件为准。</w:t>
      </w:r>
    </w:p>
    <w:p w14:paraId="37398CE8">
      <w:pPr>
        <w:wordWrap w:val="0"/>
        <w:spacing w:line="360" w:lineRule="auto"/>
        <w:ind w:firstLine="420" w:firstLineChars="200"/>
        <w:rPr>
          <w:snapToGrid w:val="0"/>
          <w:kern w:val="0"/>
          <w:szCs w:val="21"/>
        </w:rPr>
      </w:pPr>
      <w:r>
        <w:rPr>
          <w:rFonts w:hint="eastAsia"/>
          <w:snapToGrid w:val="0"/>
          <w:kern w:val="0"/>
          <w:szCs w:val="21"/>
        </w:rPr>
        <w:t>2.</w:t>
      </w:r>
      <w:r>
        <w:rPr>
          <w:snapToGrid w:val="0"/>
          <w:kern w:val="0"/>
          <w:szCs w:val="21"/>
        </w:rPr>
        <w:t>3.4</w:t>
      </w:r>
      <w:r>
        <w:rPr>
          <w:rFonts w:hint="eastAsia"/>
          <w:snapToGrid w:val="0"/>
          <w:kern w:val="0"/>
          <w:szCs w:val="21"/>
        </w:rPr>
        <w:t>招标文件的澄清或</w:t>
      </w:r>
      <w:r>
        <w:rPr>
          <w:snapToGrid w:val="0"/>
          <w:kern w:val="0"/>
          <w:szCs w:val="21"/>
        </w:rPr>
        <w:t>修改</w:t>
      </w:r>
      <w:r>
        <w:rPr>
          <w:rFonts w:hint="eastAsia"/>
          <w:snapToGrid w:val="0"/>
          <w:kern w:val="0"/>
          <w:szCs w:val="21"/>
        </w:rPr>
        <w:t>将在“政采云”平台、云南省政府采购网上以公告的形式发布，各供应商应密切关注平台</w:t>
      </w:r>
      <w:r>
        <w:rPr>
          <w:snapToGrid w:val="0"/>
          <w:kern w:val="0"/>
          <w:szCs w:val="21"/>
        </w:rPr>
        <w:t>信息，</w:t>
      </w:r>
      <w:r>
        <w:rPr>
          <w:rFonts w:hint="eastAsia"/>
          <w:snapToGrid w:val="0"/>
          <w:kern w:val="0"/>
          <w:szCs w:val="21"/>
        </w:rPr>
        <w:t>因供应商不及时访问获取信息而导致的一切后果自行承担</w:t>
      </w:r>
      <w:r>
        <w:rPr>
          <w:snapToGrid w:val="0"/>
          <w:kern w:val="0"/>
          <w:szCs w:val="21"/>
        </w:rPr>
        <w:t>。</w:t>
      </w:r>
    </w:p>
    <w:p w14:paraId="737E59C0">
      <w:pPr>
        <w:pStyle w:val="18"/>
      </w:pPr>
    </w:p>
    <w:p w14:paraId="5B7C6C31">
      <w:pPr>
        <w:pStyle w:val="5"/>
        <w:rPr>
          <w:snapToGrid w:val="0"/>
        </w:rPr>
      </w:pPr>
      <w:r>
        <w:rPr>
          <w:rFonts w:hint="eastAsia"/>
          <w:snapToGrid w:val="0"/>
        </w:rPr>
        <w:t>（三）投标文件</w:t>
      </w:r>
      <w:bookmarkEnd w:id="85"/>
      <w:bookmarkEnd w:id="86"/>
      <w:bookmarkEnd w:id="87"/>
    </w:p>
    <w:p w14:paraId="2AC11B2C">
      <w:pPr>
        <w:pStyle w:val="6"/>
        <w:widowControl w:val="0"/>
        <w:wordWrap w:val="0"/>
        <w:spacing w:line="360" w:lineRule="auto"/>
        <w:ind w:firstLine="480"/>
        <w:rPr>
          <w:rFonts w:ascii="黑体" w:hAnsi="黑体" w:eastAsia="黑体"/>
          <w:snapToGrid w:val="0"/>
          <w:sz w:val="24"/>
          <w:szCs w:val="24"/>
        </w:rPr>
      </w:pPr>
      <w:r>
        <w:rPr>
          <w:rFonts w:hint="eastAsia" w:ascii="黑体" w:hAnsi="黑体" w:eastAsia="黑体"/>
          <w:snapToGrid w:val="0"/>
          <w:sz w:val="24"/>
          <w:szCs w:val="24"/>
        </w:rPr>
        <w:t>3.1投标文件的组成</w:t>
      </w:r>
    </w:p>
    <w:p w14:paraId="1D81F82F">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3.1.1投标文件由资格审查部分、商务部分及技术部分组成。</w:t>
      </w:r>
    </w:p>
    <w:p w14:paraId="667FB73D">
      <w:pPr>
        <w:pStyle w:val="6"/>
        <w:widowControl w:val="0"/>
        <w:wordWrap w:val="0"/>
        <w:spacing w:line="360" w:lineRule="auto"/>
        <w:ind w:firstLine="480"/>
        <w:rPr>
          <w:rFonts w:ascii="黑体" w:hAnsi="黑体" w:eastAsia="黑体"/>
          <w:snapToGrid w:val="0"/>
          <w:sz w:val="24"/>
          <w:szCs w:val="24"/>
        </w:rPr>
      </w:pPr>
      <w:r>
        <w:rPr>
          <w:rFonts w:hint="eastAsia" w:ascii="黑体" w:hAnsi="黑体" w:eastAsia="黑体"/>
          <w:snapToGrid w:val="0"/>
          <w:sz w:val="24"/>
          <w:szCs w:val="24"/>
        </w:rPr>
        <w:t>3.2 投标报价</w:t>
      </w:r>
    </w:p>
    <w:p w14:paraId="685E1395">
      <w:pPr>
        <w:wordWrap w:val="0"/>
        <w:spacing w:line="360" w:lineRule="auto"/>
        <w:ind w:left="210" w:leftChars="100" w:firstLine="403" w:firstLineChars="192"/>
        <w:rPr>
          <w:rFonts w:ascii="宋体" w:hAnsi="宋体"/>
          <w:snapToGrid w:val="0"/>
          <w:kern w:val="0"/>
          <w:szCs w:val="21"/>
        </w:rPr>
      </w:pPr>
      <w:r>
        <w:rPr>
          <w:rFonts w:hint="eastAsia" w:ascii="宋体" w:hAnsi="宋体"/>
          <w:snapToGrid w:val="0"/>
          <w:kern w:val="0"/>
          <w:szCs w:val="21"/>
        </w:rPr>
        <w:t>3.2.1本项目的报价币种为人民币；</w:t>
      </w:r>
    </w:p>
    <w:p w14:paraId="5F6C1161">
      <w:pPr>
        <w:wordWrap w:val="0"/>
        <w:spacing w:line="360" w:lineRule="auto"/>
        <w:ind w:left="210" w:leftChars="100" w:firstLine="403" w:firstLineChars="192"/>
        <w:rPr>
          <w:rFonts w:ascii="宋体" w:hAnsi="宋体"/>
          <w:snapToGrid w:val="0"/>
          <w:kern w:val="0"/>
          <w:szCs w:val="21"/>
        </w:rPr>
      </w:pPr>
      <w:r>
        <w:rPr>
          <w:rFonts w:hint="eastAsia" w:ascii="宋体" w:hAnsi="宋体"/>
          <w:snapToGrid w:val="0"/>
          <w:kern w:val="0"/>
          <w:szCs w:val="21"/>
        </w:rPr>
        <w:t>3.2.2供应商应根据市场情况并结合自身实力进行报价，见供应商须知前附表。</w:t>
      </w:r>
    </w:p>
    <w:p w14:paraId="0EDBA887">
      <w:pPr>
        <w:wordWrap w:val="0"/>
        <w:spacing w:line="360" w:lineRule="auto"/>
        <w:ind w:left="210" w:leftChars="100" w:firstLine="403" w:firstLineChars="192"/>
        <w:rPr>
          <w:rFonts w:ascii="宋体" w:hAnsi="宋体"/>
          <w:snapToGrid w:val="0"/>
          <w:kern w:val="0"/>
          <w:szCs w:val="21"/>
        </w:rPr>
      </w:pPr>
      <w:r>
        <w:rPr>
          <w:rFonts w:hint="eastAsia" w:ascii="宋体" w:hAnsi="宋体"/>
          <w:snapToGrid w:val="0"/>
          <w:kern w:val="0"/>
          <w:szCs w:val="21"/>
        </w:rPr>
        <w:t>3.2.</w:t>
      </w:r>
      <w:r>
        <w:rPr>
          <w:rFonts w:ascii="宋体" w:hAnsi="宋体"/>
          <w:snapToGrid w:val="0"/>
          <w:kern w:val="0"/>
          <w:szCs w:val="21"/>
        </w:rPr>
        <w:t>3</w:t>
      </w:r>
      <w:r>
        <w:rPr>
          <w:rFonts w:hint="eastAsia" w:ascii="宋体" w:hAnsi="宋体"/>
          <w:snapToGrid w:val="0"/>
          <w:kern w:val="0"/>
          <w:szCs w:val="21"/>
        </w:rPr>
        <w:t>本项目的投标报价，包括但不限于直接成本、间接成本、税金、利润等为完成所有服务内容所需的全部费用。该报价应符合质量</w:t>
      </w:r>
      <w:r>
        <w:rPr>
          <w:rFonts w:ascii="宋体" w:hAnsi="宋体"/>
          <w:snapToGrid w:val="0"/>
          <w:kern w:val="0"/>
          <w:szCs w:val="21"/>
        </w:rPr>
        <w:t>标准</w:t>
      </w:r>
      <w:r>
        <w:rPr>
          <w:rFonts w:hint="eastAsia" w:ascii="宋体" w:hAnsi="宋体"/>
          <w:snapToGrid w:val="0"/>
          <w:kern w:val="0"/>
          <w:szCs w:val="21"/>
        </w:rPr>
        <w:t>并能保证供应商完成履行合同所需的一切工作，并承担合同中明示和暗示的一切责任。</w:t>
      </w:r>
    </w:p>
    <w:p w14:paraId="3BC72BD3">
      <w:pPr>
        <w:wordWrap w:val="0"/>
        <w:spacing w:line="360" w:lineRule="auto"/>
        <w:ind w:left="210" w:leftChars="100" w:firstLine="403" w:firstLineChars="192"/>
        <w:rPr>
          <w:rFonts w:ascii="宋体" w:hAnsi="宋体"/>
          <w:snapToGrid w:val="0"/>
          <w:kern w:val="0"/>
          <w:szCs w:val="21"/>
        </w:rPr>
      </w:pPr>
      <w:r>
        <w:rPr>
          <w:rFonts w:hint="eastAsia" w:ascii="宋体" w:hAnsi="宋体"/>
          <w:snapToGrid w:val="0"/>
          <w:kern w:val="0"/>
          <w:szCs w:val="21"/>
        </w:rPr>
        <w:t>3.2.</w:t>
      </w:r>
      <w:r>
        <w:rPr>
          <w:rFonts w:ascii="宋体" w:hAnsi="宋体"/>
          <w:snapToGrid w:val="0"/>
          <w:kern w:val="0"/>
          <w:szCs w:val="21"/>
        </w:rPr>
        <w:t>4</w:t>
      </w:r>
      <w:r>
        <w:rPr>
          <w:rFonts w:hint="eastAsia" w:ascii="宋体" w:hAnsi="宋体"/>
          <w:snapToGrid w:val="0"/>
          <w:kern w:val="0"/>
          <w:szCs w:val="21"/>
        </w:rPr>
        <w:t>当成交后由于中标人的责任而发生费用增加和服务期限延长的，均由供应商自行负责，并不得提出调整成交价、合同主要条款等投标文件及招标文件的实质性内容；</w:t>
      </w:r>
    </w:p>
    <w:p w14:paraId="35F6E606">
      <w:pPr>
        <w:wordWrap w:val="0"/>
        <w:spacing w:line="360" w:lineRule="auto"/>
        <w:ind w:left="210" w:leftChars="100" w:firstLine="403" w:firstLineChars="192"/>
        <w:rPr>
          <w:rFonts w:ascii="宋体" w:hAnsi="宋体"/>
          <w:snapToGrid w:val="0"/>
          <w:kern w:val="0"/>
          <w:szCs w:val="21"/>
        </w:rPr>
      </w:pPr>
      <w:r>
        <w:rPr>
          <w:rFonts w:hint="eastAsia" w:ascii="宋体" w:hAnsi="宋体"/>
          <w:snapToGrid w:val="0"/>
          <w:kern w:val="0"/>
          <w:szCs w:val="21"/>
        </w:rPr>
        <w:t>3.2.</w:t>
      </w:r>
      <w:r>
        <w:rPr>
          <w:rFonts w:ascii="宋体" w:hAnsi="宋体"/>
          <w:snapToGrid w:val="0"/>
          <w:kern w:val="0"/>
          <w:szCs w:val="21"/>
        </w:rPr>
        <w:t>5</w:t>
      </w:r>
      <w:r>
        <w:rPr>
          <w:rFonts w:hint="eastAsia" w:ascii="宋体" w:hAnsi="宋体"/>
          <w:snapToGrid w:val="0"/>
          <w:kern w:val="0"/>
          <w:szCs w:val="21"/>
        </w:rPr>
        <w:t>本项目投标最高限价：见供应商须知前附表。供应商的投标报价高于投标最高限价的，按否决投标处理。</w:t>
      </w:r>
    </w:p>
    <w:p w14:paraId="456E997B">
      <w:pPr>
        <w:wordWrap w:val="0"/>
        <w:spacing w:line="360" w:lineRule="auto"/>
        <w:ind w:left="210" w:leftChars="100" w:firstLine="403" w:firstLineChars="192"/>
        <w:rPr>
          <w:rFonts w:ascii="宋体" w:hAnsi="宋体"/>
          <w:snapToGrid w:val="0"/>
          <w:kern w:val="0"/>
          <w:szCs w:val="21"/>
        </w:rPr>
      </w:pPr>
      <w:r>
        <w:rPr>
          <w:rFonts w:hint="eastAsia" w:ascii="宋体" w:hAnsi="宋体"/>
          <w:snapToGrid w:val="0"/>
          <w:kern w:val="0"/>
          <w:szCs w:val="21"/>
        </w:rPr>
        <w:t>3.2.</w:t>
      </w:r>
      <w:r>
        <w:rPr>
          <w:rFonts w:ascii="宋体" w:hAnsi="宋体"/>
          <w:snapToGrid w:val="0"/>
          <w:kern w:val="0"/>
          <w:szCs w:val="21"/>
        </w:rPr>
        <w:t>6</w:t>
      </w:r>
      <w:r>
        <w:rPr>
          <w:rFonts w:hint="eastAsia" w:ascii="宋体" w:hAnsi="宋体"/>
          <w:snapToGrid w:val="0"/>
          <w:kern w:val="0"/>
          <w:szCs w:val="21"/>
        </w:rPr>
        <w:t>合同</w:t>
      </w:r>
      <w:r>
        <w:rPr>
          <w:rFonts w:ascii="宋体" w:hAnsi="宋体"/>
          <w:snapToGrid w:val="0"/>
          <w:kern w:val="0"/>
          <w:szCs w:val="21"/>
        </w:rPr>
        <w:t>价款支付</w:t>
      </w:r>
      <w:r>
        <w:rPr>
          <w:rFonts w:hint="eastAsia" w:ascii="宋体" w:hAnsi="宋体"/>
          <w:snapToGrid w:val="0"/>
          <w:kern w:val="0"/>
          <w:szCs w:val="21"/>
        </w:rPr>
        <w:t>：见供应商须知前附表。</w:t>
      </w:r>
    </w:p>
    <w:p w14:paraId="6B16AEB7">
      <w:pPr>
        <w:pStyle w:val="6"/>
        <w:widowControl w:val="0"/>
        <w:wordWrap w:val="0"/>
        <w:spacing w:line="360" w:lineRule="auto"/>
        <w:ind w:firstLine="480"/>
        <w:rPr>
          <w:rFonts w:ascii="黑体" w:hAnsi="黑体" w:eastAsia="黑体"/>
          <w:snapToGrid w:val="0"/>
          <w:sz w:val="24"/>
          <w:szCs w:val="24"/>
        </w:rPr>
      </w:pPr>
      <w:r>
        <w:rPr>
          <w:rFonts w:hint="eastAsia" w:ascii="黑体" w:hAnsi="黑体" w:eastAsia="黑体"/>
          <w:snapToGrid w:val="0"/>
          <w:sz w:val="24"/>
          <w:szCs w:val="24"/>
        </w:rPr>
        <w:t>3.3 投标有效期</w:t>
      </w:r>
    </w:p>
    <w:p w14:paraId="0A77813E">
      <w:pPr>
        <w:wordWrap w:val="0"/>
        <w:spacing w:line="360" w:lineRule="auto"/>
        <w:ind w:left="210" w:leftChars="100" w:firstLine="403" w:firstLineChars="192"/>
        <w:rPr>
          <w:rFonts w:ascii="宋体" w:hAnsi="宋体"/>
          <w:snapToGrid w:val="0"/>
          <w:kern w:val="0"/>
          <w:szCs w:val="21"/>
        </w:rPr>
      </w:pPr>
      <w:r>
        <w:rPr>
          <w:rFonts w:hint="eastAsia" w:ascii="宋体" w:hAnsi="宋体"/>
          <w:snapToGrid w:val="0"/>
          <w:kern w:val="0"/>
          <w:szCs w:val="21"/>
        </w:rPr>
        <w:t>3.3.1 在供应商须知前附表规定的投标有效期内，供应商不得要求撤销或修改其投标文件。</w:t>
      </w:r>
    </w:p>
    <w:p w14:paraId="58ACEEA7">
      <w:pPr>
        <w:wordWrap w:val="0"/>
        <w:spacing w:line="360" w:lineRule="auto"/>
        <w:ind w:left="210" w:leftChars="100" w:firstLine="403" w:firstLineChars="192"/>
        <w:rPr>
          <w:rFonts w:ascii="宋体" w:hAnsi="宋体"/>
          <w:snapToGrid w:val="0"/>
          <w:kern w:val="0"/>
          <w:szCs w:val="21"/>
        </w:rPr>
      </w:pPr>
      <w:r>
        <w:rPr>
          <w:rFonts w:hint="eastAsia" w:ascii="宋体" w:hAnsi="宋体"/>
          <w:snapToGrid w:val="0"/>
          <w:kern w:val="0"/>
          <w:szCs w:val="21"/>
        </w:rPr>
        <w:t>3.3.2 出现特殊情况需要延长投标有效期的，采购人以书面形式通知所有供应商延长投标有效期。供应商同意延长的，应相应延长其投标保证金的有效期，但不得要求或被允许修改或撤销其投标文件；供应商拒绝延长的，其投标失效，但供应商有权收回其投标保证金。</w:t>
      </w:r>
    </w:p>
    <w:p w14:paraId="4C77EA18">
      <w:pPr>
        <w:pStyle w:val="6"/>
        <w:widowControl w:val="0"/>
        <w:wordWrap w:val="0"/>
        <w:spacing w:line="360" w:lineRule="auto"/>
        <w:ind w:firstLine="480"/>
        <w:rPr>
          <w:rFonts w:ascii="黑体" w:hAnsi="黑体" w:eastAsia="黑体"/>
          <w:snapToGrid w:val="0"/>
          <w:sz w:val="24"/>
          <w:szCs w:val="24"/>
        </w:rPr>
      </w:pPr>
      <w:r>
        <w:rPr>
          <w:rFonts w:hint="eastAsia" w:ascii="黑体" w:hAnsi="黑体" w:eastAsia="黑体"/>
          <w:snapToGrid w:val="0"/>
          <w:sz w:val="24"/>
          <w:szCs w:val="24"/>
        </w:rPr>
        <w:t>3.4 投标保证金</w:t>
      </w:r>
    </w:p>
    <w:p w14:paraId="23C35AA0">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3.4.1供应商在递交投标文件的同时，应按供应商须知前附表的规定递交投标保证金。联合体投标的，其投标保证金由牵头人递交，并应符合供应商须知前附表的规定。</w:t>
      </w:r>
    </w:p>
    <w:p w14:paraId="7516079F">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3.4.2供应商不按本章第3.4.1项要求提交投标保证金的，其投标文件按无效处理。</w:t>
      </w:r>
    </w:p>
    <w:p w14:paraId="1D580A30">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3.4.3投标保证金退还到供应商的基本账户。</w:t>
      </w:r>
    </w:p>
    <w:p w14:paraId="7B988995">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3.4.4投标保证金不予退还的情形：</w:t>
      </w:r>
    </w:p>
    <w:p w14:paraId="549785E8">
      <w:pPr>
        <w:pStyle w:val="49"/>
        <w:wordWrap w:val="0"/>
        <w:spacing w:line="360" w:lineRule="auto"/>
        <w:ind w:left="0" w:leftChars="0"/>
        <w:rPr>
          <w:snapToGrid w:val="0"/>
          <w:kern w:val="0"/>
        </w:rPr>
      </w:pPr>
      <w:r>
        <w:rPr>
          <w:rFonts w:hint="eastAsia"/>
          <w:snapToGrid w:val="0"/>
          <w:kern w:val="0"/>
        </w:rPr>
        <w:t>（1）供应商在提交投标文件截止时间后撤销投标文件的；</w:t>
      </w:r>
    </w:p>
    <w:p w14:paraId="1DD129EC">
      <w:pPr>
        <w:pStyle w:val="49"/>
        <w:wordWrap w:val="0"/>
        <w:spacing w:line="360" w:lineRule="auto"/>
        <w:ind w:left="0" w:leftChars="0"/>
        <w:rPr>
          <w:snapToGrid w:val="0"/>
          <w:kern w:val="0"/>
        </w:rPr>
      </w:pPr>
      <w:r>
        <w:rPr>
          <w:rFonts w:hint="eastAsia"/>
          <w:snapToGrid w:val="0"/>
          <w:kern w:val="0"/>
        </w:rPr>
        <w:t>（2）供应商在投标文件中提供虚假材料的；</w:t>
      </w:r>
    </w:p>
    <w:p w14:paraId="7797AEB5">
      <w:pPr>
        <w:pStyle w:val="49"/>
        <w:wordWrap w:val="0"/>
        <w:spacing w:line="360" w:lineRule="auto"/>
        <w:ind w:left="0" w:leftChars="0"/>
        <w:rPr>
          <w:snapToGrid w:val="0"/>
          <w:kern w:val="0"/>
        </w:rPr>
      </w:pPr>
      <w:r>
        <w:rPr>
          <w:rFonts w:hint="eastAsia"/>
          <w:snapToGrid w:val="0"/>
          <w:kern w:val="0"/>
        </w:rPr>
        <w:t>（3）除因不可抗力或招标文件认可的情形以外，中标人不与采购人签订合同的；</w:t>
      </w:r>
    </w:p>
    <w:p w14:paraId="0CB1BE19">
      <w:pPr>
        <w:pStyle w:val="49"/>
        <w:wordWrap w:val="0"/>
        <w:spacing w:line="360" w:lineRule="auto"/>
        <w:ind w:left="0" w:leftChars="0"/>
        <w:rPr>
          <w:snapToGrid w:val="0"/>
          <w:kern w:val="0"/>
        </w:rPr>
      </w:pPr>
      <w:r>
        <w:rPr>
          <w:rFonts w:hint="eastAsia"/>
          <w:snapToGrid w:val="0"/>
          <w:kern w:val="0"/>
        </w:rPr>
        <w:t>（4）供应商与采购人、其他供应商或者采购代理机构恶意串通的；</w:t>
      </w:r>
    </w:p>
    <w:p w14:paraId="08D41F8B">
      <w:pPr>
        <w:pStyle w:val="49"/>
        <w:wordWrap w:val="0"/>
        <w:spacing w:line="360" w:lineRule="auto"/>
        <w:ind w:left="0" w:leftChars="0"/>
        <w:rPr>
          <w:snapToGrid w:val="0"/>
          <w:kern w:val="0"/>
        </w:rPr>
      </w:pPr>
      <w:r>
        <w:rPr>
          <w:rFonts w:hint="eastAsia"/>
          <w:snapToGrid w:val="0"/>
          <w:kern w:val="0"/>
        </w:rPr>
        <w:t>（5）招标文件规定的其他情形。</w:t>
      </w:r>
    </w:p>
    <w:p w14:paraId="35F74967">
      <w:pPr>
        <w:pStyle w:val="6"/>
        <w:widowControl w:val="0"/>
        <w:wordWrap w:val="0"/>
        <w:spacing w:line="360" w:lineRule="auto"/>
        <w:ind w:firstLine="480"/>
        <w:rPr>
          <w:rFonts w:ascii="黑体" w:hAnsi="黑体" w:eastAsia="黑体"/>
          <w:snapToGrid w:val="0"/>
          <w:sz w:val="24"/>
          <w:szCs w:val="24"/>
        </w:rPr>
      </w:pPr>
      <w:r>
        <w:rPr>
          <w:rFonts w:hint="eastAsia" w:ascii="黑体" w:hAnsi="黑体" w:eastAsia="黑体"/>
          <w:snapToGrid w:val="0"/>
          <w:sz w:val="24"/>
          <w:szCs w:val="24"/>
        </w:rPr>
        <w:t>3.5资格审查资料</w:t>
      </w:r>
    </w:p>
    <w:p w14:paraId="7248BE10">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投标文件</w:t>
      </w:r>
      <w:r>
        <w:rPr>
          <w:rFonts w:ascii="宋体" w:hAnsi="宋体"/>
          <w:snapToGrid w:val="0"/>
          <w:kern w:val="0"/>
          <w:szCs w:val="21"/>
        </w:rPr>
        <w:t>应按招标公告中</w:t>
      </w:r>
      <w:r>
        <w:rPr>
          <w:rFonts w:hint="eastAsia" w:ascii="宋体" w:hAnsi="宋体"/>
          <w:snapToGrid w:val="0"/>
          <w:kern w:val="0"/>
          <w:szCs w:val="21"/>
        </w:rPr>
        <w:t>供应商资格</w:t>
      </w:r>
      <w:r>
        <w:rPr>
          <w:rFonts w:ascii="宋体" w:hAnsi="宋体"/>
          <w:snapToGrid w:val="0"/>
          <w:kern w:val="0"/>
          <w:szCs w:val="21"/>
        </w:rPr>
        <w:t>要求提供相关</w:t>
      </w:r>
      <w:r>
        <w:rPr>
          <w:rFonts w:hint="eastAsia" w:ascii="宋体" w:hAnsi="宋体"/>
          <w:snapToGrid w:val="0"/>
          <w:kern w:val="0"/>
          <w:szCs w:val="21"/>
        </w:rPr>
        <w:t>的</w:t>
      </w:r>
      <w:r>
        <w:rPr>
          <w:rFonts w:ascii="宋体" w:hAnsi="宋体"/>
          <w:snapToGrid w:val="0"/>
          <w:kern w:val="0"/>
          <w:szCs w:val="21"/>
        </w:rPr>
        <w:t>证明材料。</w:t>
      </w:r>
    </w:p>
    <w:p w14:paraId="37B0B2B2">
      <w:pPr>
        <w:pStyle w:val="6"/>
        <w:widowControl w:val="0"/>
        <w:wordWrap w:val="0"/>
        <w:spacing w:line="360" w:lineRule="auto"/>
        <w:ind w:firstLine="480"/>
        <w:rPr>
          <w:rFonts w:ascii="黑体" w:hAnsi="黑体" w:eastAsia="黑体"/>
          <w:snapToGrid w:val="0"/>
          <w:sz w:val="24"/>
          <w:szCs w:val="24"/>
        </w:rPr>
      </w:pPr>
      <w:r>
        <w:rPr>
          <w:rFonts w:hint="eastAsia" w:ascii="黑体" w:hAnsi="黑体" w:eastAsia="黑体"/>
          <w:snapToGrid w:val="0"/>
          <w:sz w:val="24"/>
          <w:szCs w:val="24"/>
        </w:rPr>
        <w:t>3.6备选投标方案</w:t>
      </w:r>
    </w:p>
    <w:p w14:paraId="26C8F821">
      <w:pPr>
        <w:wordWrap w:val="0"/>
        <w:spacing w:line="360" w:lineRule="auto"/>
        <w:ind w:firstLine="420" w:firstLineChars="200"/>
        <w:rPr>
          <w:rFonts w:ascii="宋体" w:hAnsi="宋体"/>
          <w:snapToGrid w:val="0"/>
          <w:kern w:val="0"/>
          <w:szCs w:val="21"/>
        </w:rPr>
      </w:pPr>
      <w:r>
        <w:rPr>
          <w:rFonts w:hint="eastAsia" w:ascii="宋体" w:hAnsi="宋体"/>
          <w:snapToGrid w:val="0"/>
          <w:kern w:val="0"/>
          <w:szCs w:val="21"/>
        </w:rPr>
        <w:t>除供应商须知前附表另有规定外，供应商不得递交备选投标方案。</w:t>
      </w:r>
    </w:p>
    <w:p w14:paraId="1EA6A7D0">
      <w:pPr>
        <w:pStyle w:val="6"/>
        <w:widowControl w:val="0"/>
        <w:wordWrap w:val="0"/>
        <w:spacing w:line="360" w:lineRule="auto"/>
        <w:ind w:firstLine="480"/>
        <w:rPr>
          <w:rFonts w:ascii="黑体" w:hAnsi="黑体" w:eastAsia="黑体"/>
          <w:snapToGrid w:val="0"/>
          <w:sz w:val="24"/>
          <w:szCs w:val="24"/>
        </w:rPr>
      </w:pPr>
      <w:r>
        <w:rPr>
          <w:rFonts w:hint="eastAsia" w:ascii="黑体" w:hAnsi="黑体" w:eastAsia="黑体"/>
          <w:snapToGrid w:val="0"/>
          <w:sz w:val="24"/>
          <w:szCs w:val="24"/>
        </w:rPr>
        <w:t>3.7投标文件的编制</w:t>
      </w:r>
    </w:p>
    <w:p w14:paraId="4C466034">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3.7.1投标文件编制：见供应商须知前附表。</w:t>
      </w:r>
    </w:p>
    <w:p w14:paraId="0A1EE2FE">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3.7.2投标文件应当对招标文件有关采购内容、服务期限、服务</w:t>
      </w:r>
      <w:r>
        <w:rPr>
          <w:rFonts w:ascii="宋体" w:hAnsi="宋体"/>
          <w:snapToGrid w:val="0"/>
          <w:kern w:val="0"/>
          <w:szCs w:val="21"/>
        </w:rPr>
        <w:t>地点、</w:t>
      </w:r>
      <w:r>
        <w:rPr>
          <w:rFonts w:hint="eastAsia" w:ascii="宋体" w:hAnsi="宋体"/>
          <w:snapToGrid w:val="0"/>
          <w:kern w:val="0"/>
          <w:szCs w:val="21"/>
        </w:rPr>
        <w:t>质量标准、投标有效期等实质性内容作出响应。</w:t>
      </w:r>
    </w:p>
    <w:p w14:paraId="42F357B3">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3.7.</w:t>
      </w:r>
      <w:r>
        <w:rPr>
          <w:rFonts w:ascii="宋体" w:hAnsi="宋体"/>
          <w:snapToGrid w:val="0"/>
          <w:kern w:val="0"/>
          <w:szCs w:val="21"/>
        </w:rPr>
        <w:t>3</w:t>
      </w:r>
      <w:r>
        <w:rPr>
          <w:rFonts w:hint="eastAsia" w:ascii="宋体" w:hAnsi="宋体"/>
          <w:snapToGrid w:val="0"/>
          <w:kern w:val="0"/>
          <w:szCs w:val="21"/>
        </w:rPr>
        <w:t>投标文件签署：见供应商须知前附表。</w:t>
      </w:r>
    </w:p>
    <w:p w14:paraId="5707B225">
      <w:pPr>
        <w:pStyle w:val="18"/>
      </w:pPr>
    </w:p>
    <w:p w14:paraId="01485C50">
      <w:pPr>
        <w:pStyle w:val="5"/>
        <w:rPr>
          <w:snapToGrid w:val="0"/>
        </w:rPr>
      </w:pPr>
      <w:bookmarkStart w:id="88" w:name="_Toc260907974"/>
      <w:bookmarkStart w:id="89" w:name="_Toc260908190"/>
      <w:bookmarkStart w:id="90" w:name="_Toc229583204"/>
      <w:r>
        <w:rPr>
          <w:rFonts w:hint="eastAsia"/>
          <w:snapToGrid w:val="0"/>
        </w:rPr>
        <w:t>（四）投标</w:t>
      </w:r>
      <w:bookmarkEnd w:id="88"/>
      <w:bookmarkEnd w:id="89"/>
      <w:bookmarkEnd w:id="90"/>
    </w:p>
    <w:p w14:paraId="39FD24EA">
      <w:pPr>
        <w:pStyle w:val="6"/>
        <w:widowControl w:val="0"/>
        <w:wordWrap w:val="0"/>
        <w:spacing w:line="360" w:lineRule="auto"/>
        <w:ind w:firstLine="480"/>
        <w:rPr>
          <w:rFonts w:ascii="黑体" w:hAnsi="黑体" w:eastAsia="黑体"/>
          <w:snapToGrid w:val="0"/>
          <w:sz w:val="24"/>
          <w:szCs w:val="24"/>
        </w:rPr>
      </w:pPr>
      <w:r>
        <w:rPr>
          <w:rFonts w:hint="eastAsia" w:ascii="黑体" w:hAnsi="黑体" w:eastAsia="黑体"/>
          <w:snapToGrid w:val="0"/>
          <w:sz w:val="24"/>
          <w:szCs w:val="24"/>
        </w:rPr>
        <w:t>4.</w:t>
      </w:r>
      <w:r>
        <w:rPr>
          <w:rFonts w:ascii="黑体" w:hAnsi="黑体" w:eastAsia="黑体"/>
          <w:snapToGrid w:val="0"/>
          <w:sz w:val="24"/>
          <w:szCs w:val="24"/>
        </w:rPr>
        <w:t>1</w:t>
      </w:r>
      <w:r>
        <w:rPr>
          <w:rFonts w:hint="eastAsia" w:ascii="黑体" w:hAnsi="黑体" w:eastAsia="黑体"/>
          <w:snapToGrid w:val="0"/>
          <w:sz w:val="24"/>
          <w:szCs w:val="24"/>
        </w:rPr>
        <w:t>投标文件的递交</w:t>
      </w:r>
    </w:p>
    <w:p w14:paraId="5D4D7A57">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4.</w:t>
      </w:r>
      <w:r>
        <w:rPr>
          <w:rFonts w:ascii="宋体" w:hAnsi="宋体"/>
          <w:snapToGrid w:val="0"/>
          <w:kern w:val="0"/>
          <w:szCs w:val="21"/>
        </w:rPr>
        <w:t>1</w:t>
      </w:r>
      <w:r>
        <w:rPr>
          <w:rFonts w:hint="eastAsia" w:ascii="宋体" w:hAnsi="宋体"/>
          <w:snapToGrid w:val="0"/>
          <w:kern w:val="0"/>
          <w:szCs w:val="21"/>
        </w:rPr>
        <w:t>.1投标人应在本章第2.2.2项规定的投标截止时间前递交投标文件。</w:t>
      </w:r>
    </w:p>
    <w:p w14:paraId="4831BEEF">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4.</w:t>
      </w:r>
      <w:r>
        <w:rPr>
          <w:rFonts w:ascii="宋体" w:hAnsi="宋体"/>
          <w:snapToGrid w:val="0"/>
          <w:kern w:val="0"/>
          <w:szCs w:val="21"/>
        </w:rPr>
        <w:t>1</w:t>
      </w:r>
      <w:r>
        <w:rPr>
          <w:rFonts w:hint="eastAsia" w:ascii="宋体" w:hAnsi="宋体"/>
          <w:snapToGrid w:val="0"/>
          <w:kern w:val="0"/>
          <w:szCs w:val="21"/>
        </w:rPr>
        <w:t>.2投标文件网</w:t>
      </w:r>
      <w:r>
        <w:rPr>
          <w:rFonts w:ascii="宋体" w:hAnsi="宋体"/>
          <w:snapToGrid w:val="0"/>
          <w:kern w:val="0"/>
          <w:szCs w:val="21"/>
        </w:rPr>
        <w:t>上</w:t>
      </w:r>
      <w:r>
        <w:rPr>
          <w:rFonts w:hint="eastAsia" w:ascii="宋体" w:hAnsi="宋体"/>
          <w:snapToGrid w:val="0"/>
          <w:kern w:val="0"/>
          <w:szCs w:val="21"/>
        </w:rPr>
        <w:t>递交。</w:t>
      </w:r>
    </w:p>
    <w:p w14:paraId="1085CD69">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4.</w:t>
      </w:r>
      <w:r>
        <w:rPr>
          <w:rFonts w:ascii="宋体" w:hAnsi="宋体"/>
          <w:snapToGrid w:val="0"/>
          <w:kern w:val="0"/>
          <w:szCs w:val="21"/>
        </w:rPr>
        <w:t>1</w:t>
      </w:r>
      <w:r>
        <w:rPr>
          <w:rFonts w:hint="eastAsia" w:ascii="宋体" w:hAnsi="宋体"/>
          <w:snapToGrid w:val="0"/>
          <w:kern w:val="0"/>
          <w:szCs w:val="21"/>
        </w:rPr>
        <w:t>.3除投标人须知前附表另有规定外，投标人所递交的投标文件不予退还。</w:t>
      </w:r>
    </w:p>
    <w:p w14:paraId="3F8E5EC9">
      <w:pPr>
        <w:pStyle w:val="6"/>
        <w:widowControl w:val="0"/>
        <w:wordWrap w:val="0"/>
        <w:spacing w:line="360" w:lineRule="auto"/>
        <w:ind w:firstLine="480"/>
        <w:rPr>
          <w:rFonts w:ascii="黑体" w:hAnsi="黑体" w:eastAsia="黑体"/>
          <w:snapToGrid w:val="0"/>
          <w:sz w:val="24"/>
          <w:szCs w:val="24"/>
        </w:rPr>
      </w:pPr>
      <w:r>
        <w:rPr>
          <w:rFonts w:hint="eastAsia" w:ascii="黑体" w:hAnsi="黑体" w:eastAsia="黑体"/>
          <w:snapToGrid w:val="0"/>
          <w:sz w:val="24"/>
          <w:szCs w:val="24"/>
        </w:rPr>
        <w:t>4.</w:t>
      </w:r>
      <w:r>
        <w:rPr>
          <w:rFonts w:ascii="黑体" w:hAnsi="黑体" w:eastAsia="黑体"/>
          <w:snapToGrid w:val="0"/>
          <w:sz w:val="24"/>
          <w:szCs w:val="24"/>
        </w:rPr>
        <w:t>2</w:t>
      </w:r>
      <w:r>
        <w:rPr>
          <w:rFonts w:hint="eastAsia" w:ascii="黑体" w:hAnsi="黑体" w:eastAsia="黑体"/>
          <w:snapToGrid w:val="0"/>
          <w:sz w:val="24"/>
          <w:szCs w:val="24"/>
        </w:rPr>
        <w:t>投标文件的修改与撤回</w:t>
      </w:r>
    </w:p>
    <w:p w14:paraId="284CB99E">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4.</w:t>
      </w:r>
      <w:r>
        <w:rPr>
          <w:rFonts w:ascii="宋体" w:hAnsi="宋体"/>
          <w:snapToGrid w:val="0"/>
          <w:kern w:val="0"/>
          <w:szCs w:val="21"/>
        </w:rPr>
        <w:t>2</w:t>
      </w:r>
      <w:r>
        <w:rPr>
          <w:rFonts w:hint="eastAsia" w:ascii="宋体" w:hAnsi="宋体"/>
          <w:snapToGrid w:val="0"/>
          <w:kern w:val="0"/>
          <w:szCs w:val="21"/>
        </w:rPr>
        <w:t>.1在本章第2.2.2项规定的投标截止时间前，投标人可以修改或撤回递交的投标文件。</w:t>
      </w:r>
    </w:p>
    <w:p w14:paraId="1A78CC91">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4.</w:t>
      </w:r>
      <w:r>
        <w:rPr>
          <w:rFonts w:ascii="宋体" w:hAnsi="宋体"/>
          <w:snapToGrid w:val="0"/>
          <w:kern w:val="0"/>
          <w:szCs w:val="21"/>
        </w:rPr>
        <w:t>2</w:t>
      </w:r>
      <w:r>
        <w:rPr>
          <w:rFonts w:hint="eastAsia" w:ascii="宋体" w:hAnsi="宋体"/>
          <w:snapToGrid w:val="0"/>
          <w:kern w:val="0"/>
          <w:szCs w:val="21"/>
        </w:rPr>
        <w:t>.2修改的投标文件应按照本章第3</w:t>
      </w:r>
      <w:r>
        <w:rPr>
          <w:rFonts w:ascii="宋体" w:hAnsi="宋体"/>
          <w:snapToGrid w:val="0"/>
          <w:kern w:val="0"/>
          <w:szCs w:val="21"/>
        </w:rPr>
        <w:t>.7</w:t>
      </w:r>
      <w:r>
        <w:rPr>
          <w:rFonts w:hint="eastAsia" w:ascii="宋体" w:hAnsi="宋体"/>
          <w:snapToGrid w:val="0"/>
          <w:kern w:val="0"/>
          <w:szCs w:val="21"/>
        </w:rPr>
        <w:t>条、第4</w:t>
      </w:r>
      <w:r>
        <w:rPr>
          <w:rFonts w:ascii="宋体" w:hAnsi="宋体"/>
          <w:snapToGrid w:val="0"/>
          <w:kern w:val="0"/>
          <w:szCs w:val="21"/>
        </w:rPr>
        <w:t>.1</w:t>
      </w:r>
      <w:r>
        <w:rPr>
          <w:rFonts w:hint="eastAsia" w:ascii="宋体" w:hAnsi="宋体"/>
          <w:snapToGrid w:val="0"/>
          <w:kern w:val="0"/>
          <w:szCs w:val="21"/>
        </w:rPr>
        <w:t>条规定进行编制、加密和递交。</w:t>
      </w:r>
    </w:p>
    <w:p w14:paraId="0005F721">
      <w:pPr>
        <w:wordWrap w:val="0"/>
        <w:spacing w:line="360" w:lineRule="auto"/>
        <w:ind w:firstLine="472" w:firstLineChars="225"/>
        <w:rPr>
          <w:rFonts w:ascii="宋体" w:hAnsi="宋体"/>
          <w:snapToGrid w:val="0"/>
          <w:kern w:val="0"/>
          <w:szCs w:val="21"/>
        </w:rPr>
      </w:pPr>
    </w:p>
    <w:p w14:paraId="1C9E3DE0">
      <w:pPr>
        <w:pStyle w:val="5"/>
        <w:rPr>
          <w:snapToGrid w:val="0"/>
        </w:rPr>
      </w:pPr>
      <w:bookmarkStart w:id="91" w:name="_Toc260908191"/>
      <w:bookmarkStart w:id="92" w:name="_Toc229583205"/>
      <w:bookmarkStart w:id="93" w:name="_Toc260907975"/>
      <w:r>
        <w:rPr>
          <w:rFonts w:hint="eastAsia"/>
          <w:snapToGrid w:val="0"/>
        </w:rPr>
        <w:t>（五）开标</w:t>
      </w:r>
      <w:bookmarkEnd w:id="91"/>
      <w:bookmarkEnd w:id="92"/>
      <w:bookmarkEnd w:id="93"/>
    </w:p>
    <w:p w14:paraId="04832A3E">
      <w:pPr>
        <w:pStyle w:val="6"/>
        <w:widowControl w:val="0"/>
        <w:wordWrap w:val="0"/>
        <w:spacing w:line="360" w:lineRule="auto"/>
        <w:ind w:firstLine="480"/>
        <w:rPr>
          <w:rFonts w:ascii="黑体" w:hAnsi="黑体" w:eastAsia="黑体"/>
          <w:snapToGrid w:val="0"/>
          <w:sz w:val="24"/>
          <w:szCs w:val="24"/>
        </w:rPr>
      </w:pPr>
      <w:r>
        <w:rPr>
          <w:rFonts w:hint="eastAsia" w:ascii="黑体" w:hAnsi="黑体" w:eastAsia="黑体"/>
          <w:snapToGrid w:val="0"/>
          <w:sz w:val="24"/>
          <w:szCs w:val="24"/>
        </w:rPr>
        <w:t>5.1开标时间和地点</w:t>
      </w:r>
    </w:p>
    <w:p w14:paraId="0FEE27AB">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采购人在本章第2.2.2项规定的投标截止时间（开标时间）和供应商须知前附表规定的地点公开开标，并邀请所有供应商的法定代表人或其委托代理人准时参加。</w:t>
      </w:r>
    </w:p>
    <w:p w14:paraId="1CC6728C">
      <w:pPr>
        <w:pStyle w:val="6"/>
        <w:widowControl w:val="0"/>
        <w:wordWrap w:val="0"/>
        <w:spacing w:line="360" w:lineRule="auto"/>
        <w:ind w:firstLine="480"/>
        <w:rPr>
          <w:rFonts w:ascii="黑体" w:hAnsi="黑体" w:eastAsia="黑体"/>
          <w:snapToGrid w:val="0"/>
          <w:sz w:val="24"/>
          <w:szCs w:val="24"/>
        </w:rPr>
      </w:pPr>
      <w:r>
        <w:rPr>
          <w:rFonts w:hint="eastAsia" w:ascii="黑体" w:hAnsi="黑体" w:eastAsia="黑体"/>
          <w:snapToGrid w:val="0"/>
          <w:sz w:val="24"/>
          <w:szCs w:val="24"/>
        </w:rPr>
        <w:t>5.2投标文件</w:t>
      </w:r>
      <w:r>
        <w:rPr>
          <w:rFonts w:ascii="黑体" w:hAnsi="黑体" w:eastAsia="黑体"/>
          <w:snapToGrid w:val="0"/>
          <w:sz w:val="24"/>
          <w:szCs w:val="24"/>
        </w:rPr>
        <w:t>解密</w:t>
      </w:r>
    </w:p>
    <w:p w14:paraId="52AF0ABE">
      <w:pPr>
        <w:wordWrap w:val="0"/>
        <w:spacing w:line="360" w:lineRule="auto"/>
        <w:ind w:firstLine="472" w:firstLineChars="225"/>
        <w:rPr>
          <w:rFonts w:ascii="宋体" w:hAnsi="宋体"/>
          <w:snapToGrid w:val="0"/>
          <w:kern w:val="0"/>
          <w:szCs w:val="21"/>
        </w:rPr>
      </w:pPr>
      <w:r>
        <w:rPr>
          <w:rFonts w:ascii="宋体" w:hAnsi="宋体"/>
          <w:snapToGrid w:val="0"/>
          <w:kern w:val="0"/>
          <w:szCs w:val="21"/>
        </w:rPr>
        <w:t>5</w:t>
      </w:r>
      <w:r>
        <w:rPr>
          <w:rFonts w:hint="eastAsia" w:ascii="宋体" w:hAnsi="宋体"/>
          <w:snapToGrid w:val="0"/>
          <w:kern w:val="0"/>
          <w:szCs w:val="21"/>
        </w:rPr>
        <w:t>.</w:t>
      </w:r>
      <w:r>
        <w:rPr>
          <w:rFonts w:ascii="宋体" w:hAnsi="宋体"/>
          <w:snapToGrid w:val="0"/>
          <w:kern w:val="0"/>
          <w:szCs w:val="21"/>
        </w:rPr>
        <w:t>2.</w:t>
      </w:r>
      <w:r>
        <w:rPr>
          <w:rFonts w:hint="eastAsia" w:ascii="宋体" w:hAnsi="宋体"/>
          <w:snapToGrid w:val="0"/>
          <w:kern w:val="0"/>
          <w:szCs w:val="21"/>
        </w:rPr>
        <w:t>1采购代理机构将在开标时间通过电子交易平台组织投标文件开启并解密。</w:t>
      </w:r>
    </w:p>
    <w:p w14:paraId="26489C8F">
      <w:pPr>
        <w:wordWrap w:val="0"/>
        <w:spacing w:line="360" w:lineRule="auto"/>
        <w:ind w:firstLine="472" w:firstLineChars="225"/>
        <w:rPr>
          <w:rFonts w:ascii="宋体" w:hAnsi="宋体"/>
          <w:snapToGrid w:val="0"/>
          <w:kern w:val="0"/>
          <w:szCs w:val="21"/>
        </w:rPr>
      </w:pPr>
      <w:r>
        <w:rPr>
          <w:rFonts w:ascii="宋体" w:hAnsi="宋体"/>
          <w:snapToGrid w:val="0"/>
          <w:kern w:val="0"/>
          <w:szCs w:val="21"/>
        </w:rPr>
        <w:t>5</w:t>
      </w:r>
      <w:r>
        <w:rPr>
          <w:rFonts w:hint="eastAsia" w:ascii="宋体" w:hAnsi="宋体"/>
          <w:snapToGrid w:val="0"/>
          <w:kern w:val="0"/>
          <w:szCs w:val="21"/>
        </w:rPr>
        <w:t>.2</w:t>
      </w:r>
      <w:r>
        <w:rPr>
          <w:rFonts w:ascii="宋体" w:hAnsi="宋体"/>
          <w:snapToGrid w:val="0"/>
          <w:kern w:val="0"/>
          <w:szCs w:val="21"/>
        </w:rPr>
        <w:t>.2</w:t>
      </w:r>
      <w:r>
        <w:rPr>
          <w:rFonts w:hint="eastAsia" w:ascii="宋体" w:hAnsi="宋体"/>
          <w:snapToGrid w:val="0"/>
          <w:kern w:val="0"/>
          <w:szCs w:val="21"/>
        </w:rPr>
        <w:t>电子交易活动的中止。采购过程中出现以下情形，导致电子交易平台无法正常运行，或者无法保证电子交易的公平、公正和安全时，采购机构可中止电子交易活动：</w:t>
      </w:r>
    </w:p>
    <w:p w14:paraId="3C9988D0">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（1）电子交易平台发生故障而无法登录访问的；</w:t>
      </w:r>
    </w:p>
    <w:p w14:paraId="5BA4163A">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（2）电子交易平台应用或数据库出现错误，不能进行正常操作的；</w:t>
      </w:r>
    </w:p>
    <w:p w14:paraId="50512FD8">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（3）电子交易平台发现严重安全漏洞，有潜在泄密危险的；</w:t>
      </w:r>
    </w:p>
    <w:p w14:paraId="09EAB048">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（4）病毒发作导致不能进行正常操作的；</w:t>
      </w:r>
    </w:p>
    <w:p w14:paraId="636EAF08">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（5）其他无法保证电子交易的公平、公正和安全的情况。</w:t>
      </w:r>
    </w:p>
    <w:p w14:paraId="5C0793C6">
      <w:pPr>
        <w:wordWrap w:val="0"/>
        <w:spacing w:line="360" w:lineRule="auto"/>
        <w:ind w:firstLine="472" w:firstLineChars="225"/>
        <w:rPr>
          <w:rFonts w:ascii="宋体" w:hAnsi="宋体"/>
          <w:snapToGrid w:val="0"/>
          <w:kern w:val="0"/>
          <w:szCs w:val="21"/>
        </w:rPr>
      </w:pPr>
      <w:r>
        <w:rPr>
          <w:rFonts w:ascii="宋体" w:hAnsi="宋体"/>
          <w:snapToGrid w:val="0"/>
          <w:kern w:val="0"/>
          <w:szCs w:val="21"/>
        </w:rPr>
        <w:t>5.2.3</w:t>
      </w:r>
      <w:r>
        <w:rPr>
          <w:rFonts w:hint="eastAsia" w:ascii="宋体" w:hAnsi="宋体"/>
          <w:snapToGrid w:val="0"/>
          <w:kern w:val="0"/>
          <w:szCs w:val="21"/>
        </w:rPr>
        <w:t>出现以上情形，不影响采购公平、公正性的，采购组织机构可以待上述情形消除后继续组织电子交易活动；影响或可能影响采购公平、公正性的，经采购代理机构确认后，应当重新采购。采购代理机构必须对原有的资料及信息妥善处理，并报财政部门备案。</w:t>
      </w:r>
    </w:p>
    <w:p w14:paraId="05442307">
      <w:pPr>
        <w:pStyle w:val="6"/>
        <w:widowControl w:val="0"/>
        <w:wordWrap w:val="0"/>
        <w:spacing w:line="360" w:lineRule="auto"/>
        <w:ind w:firstLine="480"/>
        <w:rPr>
          <w:rFonts w:ascii="黑体" w:hAnsi="黑体" w:eastAsia="黑体"/>
          <w:snapToGrid w:val="0"/>
          <w:sz w:val="24"/>
          <w:szCs w:val="24"/>
        </w:rPr>
      </w:pPr>
      <w:r>
        <w:rPr>
          <w:rFonts w:hint="eastAsia" w:ascii="黑体" w:hAnsi="黑体" w:eastAsia="黑体"/>
          <w:snapToGrid w:val="0"/>
          <w:sz w:val="24"/>
          <w:szCs w:val="24"/>
        </w:rPr>
        <w:t>5.</w:t>
      </w:r>
      <w:r>
        <w:rPr>
          <w:rFonts w:ascii="黑体" w:hAnsi="黑体" w:eastAsia="黑体"/>
          <w:snapToGrid w:val="0"/>
          <w:sz w:val="24"/>
          <w:szCs w:val="24"/>
        </w:rPr>
        <w:t>3</w:t>
      </w:r>
      <w:r>
        <w:rPr>
          <w:rFonts w:hint="eastAsia" w:ascii="黑体" w:hAnsi="黑体" w:eastAsia="黑体"/>
          <w:snapToGrid w:val="0"/>
          <w:sz w:val="24"/>
          <w:szCs w:val="24"/>
        </w:rPr>
        <w:t>开标程序</w:t>
      </w:r>
    </w:p>
    <w:p w14:paraId="7833B2E9">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5.</w:t>
      </w:r>
      <w:r>
        <w:rPr>
          <w:rFonts w:ascii="宋体" w:hAnsi="宋体"/>
          <w:snapToGrid w:val="0"/>
          <w:kern w:val="0"/>
          <w:szCs w:val="21"/>
        </w:rPr>
        <w:t>3</w:t>
      </w:r>
      <w:r>
        <w:rPr>
          <w:rFonts w:hint="eastAsia" w:ascii="宋体" w:hAnsi="宋体"/>
          <w:snapToGrid w:val="0"/>
          <w:kern w:val="0"/>
          <w:szCs w:val="21"/>
        </w:rPr>
        <w:t>.1主持人按照下列程序进行开标：</w:t>
      </w:r>
    </w:p>
    <w:p w14:paraId="2A3B51E1">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（1）宣布开标纪律；</w:t>
      </w:r>
    </w:p>
    <w:p w14:paraId="44ABF3B0">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（2）公布在投标截止时间前递交投标文件的供应商名称；</w:t>
      </w:r>
    </w:p>
    <w:p w14:paraId="1EC8B7E8">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（3）宣布开标人、唱标人、记录人、监标人等有关人员姓名；</w:t>
      </w:r>
    </w:p>
    <w:p w14:paraId="498C1828">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（4）投标文件解密；</w:t>
      </w:r>
    </w:p>
    <w:p w14:paraId="06DCBAB1">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（5）按照政采云系统的顺序进行唱标；</w:t>
      </w:r>
    </w:p>
    <w:p w14:paraId="64E677B2">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（6）开标结束。</w:t>
      </w:r>
    </w:p>
    <w:p w14:paraId="72A65281">
      <w:pPr>
        <w:wordWrap w:val="0"/>
        <w:spacing w:line="360" w:lineRule="auto"/>
        <w:ind w:firstLine="472" w:firstLineChars="225"/>
      </w:pPr>
      <w:r>
        <w:rPr>
          <w:rFonts w:hint="eastAsia" w:ascii="宋体" w:hAnsi="宋体"/>
          <w:snapToGrid w:val="0"/>
          <w:kern w:val="0"/>
          <w:szCs w:val="21"/>
        </w:rPr>
        <w:t>5.</w:t>
      </w:r>
      <w:r>
        <w:rPr>
          <w:rFonts w:ascii="宋体" w:hAnsi="宋体"/>
          <w:snapToGrid w:val="0"/>
          <w:kern w:val="0"/>
          <w:szCs w:val="21"/>
        </w:rPr>
        <w:t>3</w:t>
      </w:r>
      <w:r>
        <w:rPr>
          <w:rFonts w:hint="eastAsia" w:ascii="宋体" w:hAnsi="宋体"/>
          <w:snapToGrid w:val="0"/>
          <w:kern w:val="0"/>
          <w:szCs w:val="21"/>
        </w:rPr>
        <w:t>.</w:t>
      </w:r>
      <w:r>
        <w:rPr>
          <w:rFonts w:ascii="宋体" w:hAnsi="宋体"/>
          <w:snapToGrid w:val="0"/>
          <w:kern w:val="0"/>
          <w:szCs w:val="21"/>
        </w:rPr>
        <w:t>2</w:t>
      </w:r>
      <w:r>
        <w:rPr>
          <w:rFonts w:hint="eastAsia" w:ascii="宋体" w:hAnsi="宋体"/>
          <w:snapToGrid w:val="0"/>
          <w:kern w:val="0"/>
          <w:szCs w:val="21"/>
        </w:rPr>
        <w:t>投标人</w:t>
      </w:r>
      <w:r>
        <w:rPr>
          <w:rFonts w:ascii="宋体" w:hAnsi="宋体"/>
          <w:snapToGrid w:val="0"/>
          <w:kern w:val="0"/>
          <w:szCs w:val="21"/>
        </w:rPr>
        <w:t>不足</w:t>
      </w:r>
      <w:r>
        <w:rPr>
          <w:rFonts w:hint="eastAsia" w:ascii="宋体" w:hAnsi="宋体"/>
          <w:snapToGrid w:val="0"/>
          <w:kern w:val="0"/>
          <w:szCs w:val="21"/>
        </w:rPr>
        <w:t>3家</w:t>
      </w:r>
      <w:r>
        <w:rPr>
          <w:rFonts w:ascii="宋体" w:hAnsi="宋体"/>
          <w:snapToGrid w:val="0"/>
          <w:kern w:val="0"/>
          <w:szCs w:val="21"/>
        </w:rPr>
        <w:t>的，不得开标。</w:t>
      </w:r>
    </w:p>
    <w:p w14:paraId="0A8D2F95">
      <w:pPr>
        <w:pStyle w:val="6"/>
        <w:widowControl w:val="0"/>
        <w:wordWrap w:val="0"/>
        <w:spacing w:line="360" w:lineRule="auto"/>
        <w:ind w:firstLine="480"/>
        <w:rPr>
          <w:rFonts w:ascii="黑体" w:hAnsi="黑体" w:eastAsia="黑体"/>
          <w:snapToGrid w:val="0"/>
          <w:sz w:val="24"/>
          <w:szCs w:val="24"/>
        </w:rPr>
      </w:pPr>
      <w:r>
        <w:rPr>
          <w:rFonts w:hint="eastAsia" w:ascii="黑体" w:hAnsi="黑体" w:eastAsia="黑体"/>
          <w:snapToGrid w:val="0"/>
          <w:sz w:val="24"/>
          <w:szCs w:val="24"/>
        </w:rPr>
        <w:t>5.</w:t>
      </w:r>
      <w:r>
        <w:rPr>
          <w:rFonts w:ascii="黑体" w:hAnsi="黑体" w:eastAsia="黑体"/>
          <w:snapToGrid w:val="0"/>
          <w:sz w:val="24"/>
          <w:szCs w:val="24"/>
        </w:rPr>
        <w:t>4</w:t>
      </w:r>
      <w:r>
        <w:rPr>
          <w:rFonts w:hint="eastAsia" w:ascii="黑体" w:hAnsi="黑体" w:eastAsia="黑体"/>
          <w:snapToGrid w:val="0"/>
          <w:sz w:val="24"/>
          <w:szCs w:val="24"/>
        </w:rPr>
        <w:t xml:space="preserve"> 投标文件不予受理情形</w:t>
      </w:r>
    </w:p>
    <w:p w14:paraId="76E677A7">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5.</w:t>
      </w:r>
      <w:r>
        <w:rPr>
          <w:rFonts w:ascii="宋体" w:hAnsi="宋体"/>
          <w:snapToGrid w:val="0"/>
          <w:kern w:val="0"/>
          <w:szCs w:val="21"/>
        </w:rPr>
        <w:t>4</w:t>
      </w:r>
      <w:r>
        <w:rPr>
          <w:rFonts w:hint="eastAsia" w:ascii="宋体" w:hAnsi="宋体"/>
          <w:snapToGrid w:val="0"/>
          <w:kern w:val="0"/>
          <w:szCs w:val="21"/>
        </w:rPr>
        <w:t>.1投标文件有下列情形之一的，采购人不予受理：</w:t>
      </w:r>
    </w:p>
    <w:p w14:paraId="33C6E7D6">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5.</w:t>
      </w:r>
      <w:r>
        <w:rPr>
          <w:rFonts w:ascii="宋体" w:hAnsi="宋体"/>
          <w:snapToGrid w:val="0"/>
          <w:kern w:val="0"/>
          <w:szCs w:val="21"/>
        </w:rPr>
        <w:t>4</w:t>
      </w:r>
      <w:r>
        <w:rPr>
          <w:rFonts w:hint="eastAsia" w:ascii="宋体" w:hAnsi="宋体"/>
          <w:snapToGrid w:val="0"/>
          <w:kern w:val="0"/>
          <w:szCs w:val="21"/>
        </w:rPr>
        <w:t>.1.1在2.2.2项规定的“投标截止时间”以后上传</w:t>
      </w:r>
      <w:r>
        <w:rPr>
          <w:rFonts w:ascii="宋体" w:hAnsi="宋体"/>
          <w:snapToGrid w:val="0"/>
          <w:kern w:val="0"/>
          <w:szCs w:val="21"/>
        </w:rPr>
        <w:t>投标文件</w:t>
      </w:r>
      <w:r>
        <w:rPr>
          <w:rFonts w:hint="eastAsia" w:ascii="宋体" w:hAnsi="宋体"/>
          <w:snapToGrid w:val="0"/>
          <w:kern w:val="0"/>
          <w:szCs w:val="21"/>
        </w:rPr>
        <w:t>的；</w:t>
      </w:r>
    </w:p>
    <w:p w14:paraId="0D1CCF22">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5.</w:t>
      </w:r>
      <w:r>
        <w:rPr>
          <w:rFonts w:ascii="宋体" w:hAnsi="宋体"/>
          <w:snapToGrid w:val="0"/>
          <w:kern w:val="0"/>
          <w:szCs w:val="21"/>
        </w:rPr>
        <w:t>4</w:t>
      </w:r>
      <w:r>
        <w:rPr>
          <w:rFonts w:hint="eastAsia" w:ascii="宋体" w:hAnsi="宋体"/>
          <w:snapToGrid w:val="0"/>
          <w:kern w:val="0"/>
          <w:szCs w:val="21"/>
        </w:rPr>
        <w:t>.1.2不符合第3.7.</w:t>
      </w:r>
      <w:r>
        <w:rPr>
          <w:rFonts w:ascii="宋体" w:hAnsi="宋体"/>
          <w:snapToGrid w:val="0"/>
          <w:kern w:val="0"/>
          <w:szCs w:val="21"/>
        </w:rPr>
        <w:t>1</w:t>
      </w:r>
      <w:r>
        <w:rPr>
          <w:rFonts w:hint="eastAsia" w:ascii="宋体" w:hAnsi="宋体"/>
          <w:snapToGrid w:val="0"/>
          <w:kern w:val="0"/>
          <w:szCs w:val="21"/>
        </w:rPr>
        <w:t>项规定的。</w:t>
      </w:r>
    </w:p>
    <w:p w14:paraId="067BFC3F">
      <w:pPr>
        <w:pStyle w:val="18"/>
      </w:pPr>
    </w:p>
    <w:p w14:paraId="26B74A22">
      <w:pPr>
        <w:pStyle w:val="5"/>
        <w:rPr>
          <w:snapToGrid w:val="0"/>
        </w:rPr>
      </w:pPr>
      <w:bookmarkStart w:id="94" w:name="_Toc260907976"/>
      <w:bookmarkStart w:id="95" w:name="_Toc229583206"/>
      <w:bookmarkStart w:id="96" w:name="_Toc260908192"/>
      <w:r>
        <w:rPr>
          <w:rFonts w:hint="eastAsia"/>
          <w:snapToGrid w:val="0"/>
        </w:rPr>
        <w:t>（六）评标</w:t>
      </w:r>
      <w:bookmarkEnd w:id="94"/>
      <w:bookmarkEnd w:id="95"/>
      <w:bookmarkEnd w:id="96"/>
    </w:p>
    <w:p w14:paraId="22F48185">
      <w:pPr>
        <w:pStyle w:val="6"/>
        <w:widowControl w:val="0"/>
        <w:wordWrap w:val="0"/>
        <w:spacing w:line="360" w:lineRule="auto"/>
        <w:ind w:firstLine="480"/>
        <w:rPr>
          <w:rFonts w:ascii="黑体" w:hAnsi="黑体" w:eastAsia="黑体"/>
          <w:snapToGrid w:val="0"/>
          <w:sz w:val="24"/>
          <w:szCs w:val="24"/>
        </w:rPr>
      </w:pPr>
      <w:r>
        <w:rPr>
          <w:rFonts w:hint="eastAsia" w:ascii="黑体" w:hAnsi="黑体" w:eastAsia="黑体"/>
          <w:snapToGrid w:val="0"/>
          <w:sz w:val="24"/>
          <w:szCs w:val="24"/>
        </w:rPr>
        <w:t>6.1评标委员会</w:t>
      </w:r>
    </w:p>
    <w:p w14:paraId="6E1F2668">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6.1.1评标由采购人依法组建的评标委员会负责。评标委员会由采购人代表以及有关技术、经济等方面的专家组成。评标委员会成员人数以及技术、经济等方面专家的确定方式见供应商须知前附表。</w:t>
      </w:r>
    </w:p>
    <w:p w14:paraId="1C4EBB4C">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6.1.2评标委员会成员有下列情形之一的，应当回避：</w:t>
      </w:r>
    </w:p>
    <w:p w14:paraId="5671C4A1">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（1）采购人或供应商的主要负责人的近亲属；</w:t>
      </w:r>
    </w:p>
    <w:p w14:paraId="68AA6520">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（2）项目主管部门或者行政监督部门的人员：</w:t>
      </w:r>
    </w:p>
    <w:p w14:paraId="7503AD02">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（3）与供应商有经济利益关系，可能影响对投标公正评审的；</w:t>
      </w:r>
    </w:p>
    <w:p w14:paraId="142BC389">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（4）曾因在招标、评标以及其他与招标投标有关活动中从事违法行为而受过行政处罚或刑事处罚的。</w:t>
      </w:r>
    </w:p>
    <w:p w14:paraId="32B31766">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6.1.3评审委员会成员应当客观、公正地履行职责，遵守职业道德，对所提出的评审意见承担个人责任。</w:t>
      </w:r>
    </w:p>
    <w:p w14:paraId="68CA5290">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评审委员会成员和与评标活动有关的工作人员不得透露对投标文件的评审和比较、中标候选人的推荐情况以及与评标有关的其他情况。</w:t>
      </w:r>
    </w:p>
    <w:p w14:paraId="04A24ABC">
      <w:pPr>
        <w:pStyle w:val="6"/>
        <w:widowControl w:val="0"/>
        <w:wordWrap w:val="0"/>
        <w:spacing w:line="360" w:lineRule="auto"/>
        <w:ind w:firstLine="480"/>
        <w:rPr>
          <w:rFonts w:ascii="黑体" w:hAnsi="黑体" w:eastAsia="黑体"/>
          <w:snapToGrid w:val="0"/>
          <w:sz w:val="24"/>
          <w:szCs w:val="24"/>
        </w:rPr>
      </w:pPr>
      <w:r>
        <w:rPr>
          <w:rFonts w:hint="eastAsia" w:ascii="黑体" w:hAnsi="黑体" w:eastAsia="黑体"/>
          <w:snapToGrid w:val="0"/>
          <w:sz w:val="24"/>
          <w:szCs w:val="24"/>
        </w:rPr>
        <w:t>6.2评标原则</w:t>
      </w:r>
    </w:p>
    <w:p w14:paraId="1B041871">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评标活动应遵循公平、公正、科学、择优的原则。</w:t>
      </w:r>
    </w:p>
    <w:p w14:paraId="2CDDFACA">
      <w:pPr>
        <w:pStyle w:val="6"/>
        <w:widowControl w:val="0"/>
        <w:wordWrap w:val="0"/>
        <w:spacing w:line="360" w:lineRule="auto"/>
        <w:ind w:firstLine="480"/>
        <w:rPr>
          <w:rFonts w:ascii="黑体" w:hAnsi="黑体" w:eastAsia="黑体"/>
          <w:snapToGrid w:val="0"/>
          <w:sz w:val="24"/>
          <w:szCs w:val="24"/>
        </w:rPr>
      </w:pPr>
      <w:r>
        <w:rPr>
          <w:rFonts w:hint="eastAsia" w:ascii="黑体" w:hAnsi="黑体" w:eastAsia="黑体"/>
          <w:snapToGrid w:val="0"/>
          <w:sz w:val="24"/>
          <w:szCs w:val="24"/>
        </w:rPr>
        <w:t>6.3评标</w:t>
      </w:r>
    </w:p>
    <w:p w14:paraId="02F45978">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评标委员会按照第四章“评标办法”规定的方法、评审因素、标准和程序对投标文件进行评审。第四章“评标办法”没有规定的方法、评审因素和标准，不作为评标依据。</w:t>
      </w:r>
    </w:p>
    <w:p w14:paraId="6FB32C2E">
      <w:pPr>
        <w:pStyle w:val="18"/>
      </w:pPr>
    </w:p>
    <w:p w14:paraId="5B544CCB">
      <w:pPr>
        <w:pStyle w:val="5"/>
        <w:rPr>
          <w:snapToGrid w:val="0"/>
        </w:rPr>
      </w:pPr>
      <w:bookmarkStart w:id="97" w:name="_Toc260908193"/>
      <w:bookmarkStart w:id="98" w:name="_Toc260907977"/>
      <w:bookmarkStart w:id="99" w:name="_Toc229583207"/>
      <w:r>
        <w:rPr>
          <w:rFonts w:hint="eastAsia"/>
          <w:snapToGrid w:val="0"/>
        </w:rPr>
        <w:t>（七）合同授予</w:t>
      </w:r>
      <w:bookmarkEnd w:id="97"/>
      <w:bookmarkEnd w:id="98"/>
      <w:bookmarkEnd w:id="99"/>
    </w:p>
    <w:p w14:paraId="1C33B4FD">
      <w:pPr>
        <w:pStyle w:val="6"/>
        <w:widowControl w:val="0"/>
        <w:wordWrap w:val="0"/>
        <w:spacing w:line="360" w:lineRule="auto"/>
        <w:ind w:firstLine="480"/>
        <w:rPr>
          <w:rFonts w:ascii="黑体" w:hAnsi="黑体" w:eastAsia="黑体"/>
          <w:snapToGrid w:val="0"/>
          <w:sz w:val="24"/>
          <w:szCs w:val="24"/>
        </w:rPr>
      </w:pPr>
      <w:r>
        <w:rPr>
          <w:rFonts w:hint="eastAsia" w:ascii="黑体" w:hAnsi="黑体" w:eastAsia="黑体"/>
          <w:snapToGrid w:val="0"/>
          <w:sz w:val="24"/>
          <w:szCs w:val="24"/>
        </w:rPr>
        <w:t>7.1定标方式</w:t>
      </w:r>
    </w:p>
    <w:p w14:paraId="4448989C">
      <w:pPr>
        <w:wordWrap w:val="0"/>
        <w:spacing w:line="360" w:lineRule="auto"/>
        <w:ind w:firstLine="420" w:firstLineChars="200"/>
        <w:rPr>
          <w:rFonts w:ascii="宋体" w:hAnsi="宋体"/>
          <w:snapToGrid w:val="0"/>
          <w:kern w:val="0"/>
          <w:szCs w:val="21"/>
        </w:rPr>
      </w:pPr>
      <w:r>
        <w:rPr>
          <w:rFonts w:hint="eastAsia" w:ascii="宋体" w:hAnsi="宋体"/>
          <w:snapToGrid w:val="0"/>
          <w:kern w:val="0"/>
          <w:szCs w:val="21"/>
        </w:rPr>
        <w:t>除供应商须知前附表规定评标委员会直接确定中标人外，采购人依据评标委员会推荐的中标候选人确定中标人，评标委员会推荐中标候选人的人数见供应商须知前附表。</w:t>
      </w:r>
    </w:p>
    <w:p w14:paraId="36A659CF">
      <w:pPr>
        <w:pStyle w:val="6"/>
        <w:widowControl w:val="0"/>
        <w:wordWrap w:val="0"/>
        <w:spacing w:line="360" w:lineRule="auto"/>
        <w:ind w:firstLine="480"/>
        <w:rPr>
          <w:rFonts w:ascii="黑体" w:hAnsi="黑体" w:eastAsia="黑体"/>
          <w:snapToGrid w:val="0"/>
          <w:sz w:val="24"/>
          <w:szCs w:val="24"/>
        </w:rPr>
      </w:pPr>
      <w:r>
        <w:rPr>
          <w:rFonts w:hint="eastAsia" w:ascii="黑体" w:hAnsi="黑体" w:eastAsia="黑体"/>
          <w:snapToGrid w:val="0"/>
          <w:sz w:val="24"/>
          <w:szCs w:val="24"/>
        </w:rPr>
        <w:t>7.2中标通知</w:t>
      </w:r>
    </w:p>
    <w:p w14:paraId="1DC62521">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在本章第3.3</w:t>
      </w:r>
      <w:r>
        <w:rPr>
          <w:rFonts w:ascii="宋体" w:hAnsi="宋体"/>
          <w:snapToGrid w:val="0"/>
          <w:kern w:val="0"/>
          <w:szCs w:val="21"/>
        </w:rPr>
        <w:t>.1</w:t>
      </w:r>
      <w:r>
        <w:rPr>
          <w:rFonts w:hint="eastAsia" w:ascii="宋体" w:hAnsi="宋体"/>
          <w:snapToGrid w:val="0"/>
          <w:kern w:val="0"/>
          <w:szCs w:val="21"/>
        </w:rPr>
        <w:t>款规定的投标有效期内，采购人以书面形式向中标人发出中标通知书，同时将中标结果通知未中标的供应商。</w:t>
      </w:r>
    </w:p>
    <w:p w14:paraId="6DF1D933">
      <w:pPr>
        <w:pStyle w:val="6"/>
        <w:widowControl w:val="0"/>
        <w:wordWrap w:val="0"/>
        <w:spacing w:line="360" w:lineRule="auto"/>
        <w:ind w:firstLine="480"/>
        <w:rPr>
          <w:rFonts w:ascii="黑体" w:hAnsi="黑体" w:eastAsia="黑体"/>
          <w:snapToGrid w:val="0"/>
          <w:sz w:val="24"/>
          <w:szCs w:val="24"/>
        </w:rPr>
      </w:pPr>
      <w:r>
        <w:rPr>
          <w:rFonts w:hint="eastAsia" w:ascii="黑体" w:hAnsi="黑体" w:eastAsia="黑体"/>
          <w:snapToGrid w:val="0"/>
          <w:sz w:val="24"/>
          <w:szCs w:val="24"/>
        </w:rPr>
        <w:t>7.3履约担保</w:t>
      </w:r>
    </w:p>
    <w:p w14:paraId="7600A334">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见供应商须知前附表。</w:t>
      </w:r>
    </w:p>
    <w:p w14:paraId="2AA71CF3">
      <w:pPr>
        <w:pStyle w:val="6"/>
        <w:widowControl w:val="0"/>
        <w:wordWrap w:val="0"/>
        <w:spacing w:line="360" w:lineRule="auto"/>
        <w:ind w:firstLine="480"/>
        <w:rPr>
          <w:rFonts w:ascii="黑体" w:hAnsi="黑体" w:eastAsia="黑体"/>
          <w:snapToGrid w:val="0"/>
          <w:sz w:val="24"/>
          <w:szCs w:val="24"/>
        </w:rPr>
      </w:pPr>
      <w:r>
        <w:rPr>
          <w:rFonts w:hint="eastAsia" w:ascii="黑体" w:hAnsi="黑体" w:eastAsia="黑体"/>
          <w:snapToGrid w:val="0"/>
          <w:sz w:val="24"/>
          <w:szCs w:val="24"/>
        </w:rPr>
        <w:t>7.4签订合同</w:t>
      </w:r>
    </w:p>
    <w:p w14:paraId="692866B4">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7.4.1采购人和中标人应当自中标通知书发出之日起30天内，根据招标文件和中标人的投标文件订立书面合同。中标人无正当理由拒签合同的，采购人取消其中标资格，其投标保证金不予退还；给采购人造成的损失超过投标保证金数额的，中标人还应当对超过部分予以赔偿。</w:t>
      </w:r>
    </w:p>
    <w:p w14:paraId="4A2144E0">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7.4.2发出中标通知书后，采购人无正当理由拒签合同的，采购人向中标人退还投标保证金；给中标人造成损失的，还应当赔偿损失。</w:t>
      </w:r>
    </w:p>
    <w:p w14:paraId="3A89036B">
      <w:pPr>
        <w:pStyle w:val="18"/>
      </w:pPr>
    </w:p>
    <w:p w14:paraId="78DE03F5">
      <w:pPr>
        <w:pStyle w:val="5"/>
        <w:rPr>
          <w:snapToGrid w:val="0"/>
        </w:rPr>
      </w:pPr>
      <w:bookmarkStart w:id="100" w:name="_Toc260908194"/>
      <w:bookmarkStart w:id="101" w:name="_Toc260907978"/>
      <w:r>
        <w:rPr>
          <w:rFonts w:hint="eastAsia"/>
          <w:snapToGrid w:val="0"/>
        </w:rPr>
        <w:t>（八）重新招标</w:t>
      </w:r>
      <w:bookmarkEnd w:id="100"/>
      <w:bookmarkEnd w:id="101"/>
    </w:p>
    <w:p w14:paraId="57DD8737">
      <w:pPr>
        <w:pStyle w:val="6"/>
        <w:widowControl w:val="0"/>
        <w:wordWrap w:val="0"/>
        <w:spacing w:line="360" w:lineRule="auto"/>
        <w:ind w:firstLine="480"/>
        <w:rPr>
          <w:rFonts w:ascii="黑体" w:hAnsi="黑体" w:eastAsia="黑体"/>
          <w:snapToGrid w:val="0"/>
          <w:sz w:val="24"/>
          <w:szCs w:val="24"/>
        </w:rPr>
      </w:pPr>
      <w:r>
        <w:rPr>
          <w:rFonts w:hint="eastAsia" w:ascii="黑体" w:hAnsi="黑体" w:eastAsia="黑体"/>
          <w:snapToGrid w:val="0"/>
          <w:sz w:val="24"/>
          <w:szCs w:val="24"/>
        </w:rPr>
        <w:t>8.1 重新招标</w:t>
      </w:r>
    </w:p>
    <w:p w14:paraId="5CE600CA">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有下列情形之一的，采购人将重新招标：</w:t>
      </w:r>
    </w:p>
    <w:p w14:paraId="50F41489">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 xml:space="preserve">（1）符合专业条件的供应商或者对招标文件作实质响应的供应商不足三家的； </w:t>
      </w:r>
    </w:p>
    <w:p w14:paraId="5AD2D505">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 xml:space="preserve">（2）出现影响采购公正的违法、违规行为的； </w:t>
      </w:r>
    </w:p>
    <w:p w14:paraId="6EE5760C">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（3）供应商的总报价均超过了采购预算，采购人不能支付的；</w:t>
      </w:r>
    </w:p>
    <w:p w14:paraId="2E3931AC">
      <w:pPr>
        <w:pStyle w:val="18"/>
      </w:pPr>
    </w:p>
    <w:p w14:paraId="5DC53AAF">
      <w:pPr>
        <w:pStyle w:val="5"/>
        <w:rPr>
          <w:snapToGrid w:val="0"/>
        </w:rPr>
      </w:pPr>
      <w:bookmarkStart w:id="102" w:name="_Toc260908195"/>
      <w:bookmarkStart w:id="103" w:name="_Toc184635079"/>
      <w:bookmarkStart w:id="104" w:name="_Toc260907979"/>
      <w:r>
        <w:rPr>
          <w:rFonts w:hint="eastAsia"/>
          <w:snapToGrid w:val="0"/>
        </w:rPr>
        <w:t>（九）纪律和监督</w:t>
      </w:r>
      <w:bookmarkEnd w:id="102"/>
      <w:bookmarkEnd w:id="103"/>
      <w:bookmarkEnd w:id="104"/>
    </w:p>
    <w:p w14:paraId="147E808D">
      <w:pPr>
        <w:pStyle w:val="6"/>
        <w:widowControl w:val="0"/>
        <w:wordWrap w:val="0"/>
        <w:spacing w:line="360" w:lineRule="auto"/>
        <w:ind w:firstLine="480"/>
        <w:rPr>
          <w:rFonts w:ascii="黑体" w:hAnsi="黑体" w:eastAsia="黑体"/>
          <w:snapToGrid w:val="0"/>
          <w:sz w:val="24"/>
          <w:szCs w:val="24"/>
        </w:rPr>
      </w:pPr>
      <w:r>
        <w:rPr>
          <w:rFonts w:hint="eastAsia" w:ascii="黑体" w:hAnsi="黑体" w:eastAsia="黑体"/>
          <w:snapToGrid w:val="0"/>
          <w:sz w:val="24"/>
          <w:szCs w:val="24"/>
        </w:rPr>
        <w:t>9.1 对采购人的纪律要求</w:t>
      </w:r>
    </w:p>
    <w:p w14:paraId="3DDCF0FC">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采购人不得泄露招标投标活动中应当保密的情况和资料，不得与供应商串通损害国有利益、社会公共利益或者他人合法权益。</w:t>
      </w:r>
    </w:p>
    <w:p w14:paraId="48830989">
      <w:pPr>
        <w:pStyle w:val="6"/>
        <w:widowControl w:val="0"/>
        <w:wordWrap w:val="0"/>
        <w:spacing w:line="360" w:lineRule="auto"/>
        <w:ind w:firstLine="480"/>
        <w:rPr>
          <w:rFonts w:ascii="黑体" w:hAnsi="黑体" w:eastAsia="黑体"/>
          <w:snapToGrid w:val="0"/>
          <w:sz w:val="24"/>
          <w:szCs w:val="24"/>
        </w:rPr>
      </w:pPr>
      <w:r>
        <w:rPr>
          <w:rFonts w:hint="eastAsia" w:ascii="黑体" w:hAnsi="黑体" w:eastAsia="黑体"/>
          <w:snapToGrid w:val="0"/>
          <w:sz w:val="24"/>
          <w:szCs w:val="24"/>
        </w:rPr>
        <w:t>9.2 对供应商的纪律要求</w:t>
      </w:r>
    </w:p>
    <w:p w14:paraId="3B4871B3">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供应商不得相互串通投标或者与采购人串通投标，不得向采购人或者评标委员会成员行贿谋取中标，不得以他人名义投标或者以其他方式弄虚作假骗取中标；供应商不得以任何方式干扰、影响评标工作。</w:t>
      </w:r>
    </w:p>
    <w:p w14:paraId="0A39E5A7">
      <w:pPr>
        <w:pStyle w:val="6"/>
        <w:widowControl w:val="0"/>
        <w:wordWrap w:val="0"/>
        <w:spacing w:line="360" w:lineRule="auto"/>
        <w:ind w:firstLine="480"/>
        <w:rPr>
          <w:rFonts w:ascii="黑体" w:hAnsi="黑体" w:eastAsia="黑体"/>
          <w:snapToGrid w:val="0"/>
          <w:sz w:val="24"/>
          <w:szCs w:val="24"/>
        </w:rPr>
      </w:pPr>
      <w:r>
        <w:rPr>
          <w:rFonts w:hint="eastAsia" w:ascii="黑体" w:hAnsi="黑体" w:eastAsia="黑体"/>
          <w:snapToGrid w:val="0"/>
          <w:sz w:val="24"/>
          <w:szCs w:val="24"/>
        </w:rPr>
        <w:t>9.3 对评标委员会成员的纪律要求</w:t>
      </w:r>
    </w:p>
    <w:p w14:paraId="76338918">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评标委员会成员不得收受他人的财物或者其他好处，不得向他人透露对投标文件的评审和比较、中标候选人的推荐情况以及评标有关的其他情况。在评标活动中，评标委员会成员不得擅离职守，影响评标程序正常进行，不得使用第四章“评标办法”没有规定的评审因素和标准进行评标。</w:t>
      </w:r>
    </w:p>
    <w:p w14:paraId="1BC36153">
      <w:pPr>
        <w:pStyle w:val="6"/>
        <w:widowControl w:val="0"/>
        <w:wordWrap w:val="0"/>
        <w:spacing w:line="360" w:lineRule="auto"/>
        <w:ind w:firstLine="480"/>
        <w:rPr>
          <w:rFonts w:ascii="黑体" w:hAnsi="黑体" w:eastAsia="黑体"/>
          <w:snapToGrid w:val="0"/>
          <w:sz w:val="24"/>
          <w:szCs w:val="24"/>
        </w:rPr>
      </w:pPr>
      <w:r>
        <w:rPr>
          <w:rFonts w:hint="eastAsia" w:ascii="黑体" w:hAnsi="黑体" w:eastAsia="黑体"/>
          <w:snapToGrid w:val="0"/>
          <w:sz w:val="24"/>
          <w:szCs w:val="24"/>
        </w:rPr>
        <w:t>9.4 对与评标活动有关的工作人员的纪律要求</w:t>
      </w:r>
    </w:p>
    <w:p w14:paraId="07A3A8A5">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565FAFBA">
      <w:pPr>
        <w:pStyle w:val="6"/>
        <w:widowControl w:val="0"/>
        <w:wordWrap w:val="0"/>
        <w:spacing w:line="360" w:lineRule="auto"/>
        <w:ind w:firstLine="480"/>
        <w:rPr>
          <w:rFonts w:ascii="黑体" w:hAnsi="黑体" w:eastAsia="黑体"/>
          <w:snapToGrid w:val="0"/>
          <w:sz w:val="24"/>
          <w:szCs w:val="24"/>
        </w:rPr>
      </w:pPr>
      <w:bookmarkStart w:id="105" w:name="_Toc87013174"/>
      <w:bookmarkStart w:id="106" w:name="_Toc23768"/>
      <w:r>
        <w:rPr>
          <w:rFonts w:hint="eastAsia" w:ascii="黑体" w:hAnsi="黑体" w:eastAsia="黑体"/>
          <w:snapToGrid w:val="0"/>
          <w:sz w:val="24"/>
          <w:szCs w:val="24"/>
        </w:rPr>
        <w:t>9.5 质疑</w:t>
      </w:r>
      <w:bookmarkEnd w:id="105"/>
      <w:bookmarkEnd w:id="106"/>
    </w:p>
    <w:p w14:paraId="7D92A244">
      <w:pPr>
        <w:wordWrap w:val="0"/>
        <w:spacing w:line="360" w:lineRule="auto"/>
        <w:ind w:firstLine="472" w:firstLineChars="225"/>
        <w:rPr>
          <w:rFonts w:ascii="宋体" w:hAnsi="宋体"/>
          <w:snapToGrid w:val="0"/>
          <w:kern w:val="0"/>
          <w:szCs w:val="21"/>
        </w:rPr>
      </w:pPr>
      <w:bookmarkStart w:id="107" w:name="_Toc517252749"/>
      <w:bookmarkStart w:id="108" w:name="_Toc87013175"/>
      <w:r>
        <w:rPr>
          <w:rFonts w:hint="eastAsia" w:ascii="宋体" w:hAnsi="宋体"/>
          <w:snapToGrid w:val="0"/>
          <w:kern w:val="0"/>
          <w:szCs w:val="21"/>
        </w:rPr>
        <w:t>9.5.1供应商认为采购文件、采购过程、中标或者成交结果使自己的权益受到损害的，可以在知道或者应知其权益受到损害之日起7个工作日内，以书面形式向采购人、采购代理机构提出质疑。提出质疑的供应商（以下简称质疑供应商）应当是参与所质疑项目采购活动的供应商。潜在供应商已依法获取其可质疑的采购文件的，可以对该文件提出质疑。对采购文件提出质疑的，应当在获取采购文件或者采购文件公告期限届满之日起7个工作日内提出。</w:t>
      </w:r>
    </w:p>
    <w:p w14:paraId="74606900">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4146CB33">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受理质疑部门：采购人或采购代理机构</w:t>
      </w:r>
    </w:p>
    <w:p w14:paraId="13740C77">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9.5.2供应商提出质疑应当提交质疑函和必要的证明材料。质疑函应当包括下列内容：</w:t>
      </w:r>
    </w:p>
    <w:p w14:paraId="10CCFF45">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　　（一）供应商的姓名或者名称、地址、邮编、联系人及联系电话；</w:t>
      </w:r>
    </w:p>
    <w:p w14:paraId="0BA77F58">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　　（二）质疑项目的名称、编号；</w:t>
      </w:r>
    </w:p>
    <w:p w14:paraId="444D8FBC">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　　（三）具体、明确的质疑事项和与质疑事项相关的请求；</w:t>
      </w:r>
    </w:p>
    <w:p w14:paraId="346A8A03">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　　（四）事实依据；</w:t>
      </w:r>
    </w:p>
    <w:p w14:paraId="55637D79">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　　（五）必要的法律依据；</w:t>
      </w:r>
    </w:p>
    <w:p w14:paraId="56D00587">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　　（六）提出质疑的日期。</w:t>
      </w:r>
    </w:p>
    <w:p w14:paraId="4EABDC99">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供应商为自然人的，应当由本人签字；供应商为法人或者其他组织的，应当由法定代表人、主要负责人，或者其授权代表签字或者盖章，并加盖公章。</w:t>
      </w:r>
    </w:p>
    <w:p w14:paraId="03BE339D">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9.5.3采购人、采购代理机构不得拒收质疑供应商在法定质疑期内发出的质疑函，应当在收到质疑函后7个工作日内作出答复，并以书面形式通知质疑供应商和其他有关供应商。</w:t>
      </w:r>
    </w:p>
    <w:p w14:paraId="6CDB9089">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9.5.4供应商对评审过程、中标或者成交结果提出质疑的，采购人、采购代理机构可以组织原磋商小组、竞争性谈判小组、询价小组或者竞争性磋商小组协助答复质疑。</w:t>
      </w:r>
    </w:p>
    <w:p w14:paraId="77B05DEB">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质疑答复应当包括下列内容：</w:t>
      </w:r>
    </w:p>
    <w:p w14:paraId="72A84B99">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　　（一）质疑供应商的姓名或者名称；</w:t>
      </w:r>
    </w:p>
    <w:p w14:paraId="0EC3E1BE">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　　（二）收到质疑函的日期、质疑项目名称及编号；</w:t>
      </w:r>
    </w:p>
    <w:p w14:paraId="5B450558">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　　（三）质疑事项、质疑答复的具体内容、事实依据和法律依据；</w:t>
      </w:r>
    </w:p>
    <w:p w14:paraId="3FC1EC7D">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　　（四）告知质疑供应商依法投诉的权利；</w:t>
      </w:r>
    </w:p>
    <w:p w14:paraId="5A460AF7">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　　（五）质疑答复人名称；</w:t>
      </w:r>
    </w:p>
    <w:p w14:paraId="1D549352">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　　（六）答复质疑的日期。</w:t>
      </w:r>
    </w:p>
    <w:p w14:paraId="7D9812E5">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质疑答复的内容不得涉及商业秘密。</w:t>
      </w:r>
    </w:p>
    <w:p w14:paraId="44E289B9">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具体规定按中华人民共和国财政部令第94号--《政府采购质疑和投诉办法》办法处理。</w:t>
      </w:r>
    </w:p>
    <w:p w14:paraId="08435877">
      <w:pPr>
        <w:pStyle w:val="3"/>
        <w:widowControl w:val="0"/>
        <w:snapToGrid w:val="0"/>
        <w:spacing w:line="360" w:lineRule="auto"/>
        <w:jc w:val="center"/>
        <w:rPr>
          <w:rFonts w:ascii="黑体"/>
          <w:snapToGrid w:val="0"/>
        </w:rPr>
      </w:pPr>
      <w:bookmarkStart w:id="109" w:name="_Toc520802751"/>
      <w:bookmarkStart w:id="110" w:name="_Toc1847"/>
      <w:bookmarkStart w:id="111" w:name="_Toc229583208"/>
      <w:bookmarkStart w:id="112" w:name="_Toc520748999"/>
      <w:bookmarkStart w:id="113" w:name="_Toc260907982"/>
      <w:bookmarkStart w:id="114" w:name="_Toc224363895"/>
      <w:bookmarkStart w:id="115" w:name="_Toc260908198"/>
      <w:bookmarkStart w:id="116" w:name="_Toc6375"/>
      <w:r>
        <w:rPr>
          <w:rFonts w:hint="eastAsia" w:ascii="黑体"/>
          <w:snapToGrid w:val="0"/>
        </w:rPr>
        <w:t>第三章  资格审查</w:t>
      </w:r>
      <w:bookmarkEnd w:id="109"/>
      <w:bookmarkEnd w:id="110"/>
    </w:p>
    <w:p w14:paraId="41DE8BD1">
      <w:pPr>
        <w:wordWrap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公开招标采购项目开标结束后，采购人或采购代理机构依据招标文件的规定，对供应商的资格进行审查，只有通过资格审查的投标文件才能进入评标。</w:t>
      </w:r>
    </w:p>
    <w:p w14:paraId="280087B2">
      <w:pPr>
        <w:wordWrap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合格供应商不足3家的，不得评标。</w:t>
      </w:r>
    </w:p>
    <w:tbl>
      <w:tblPr>
        <w:tblStyle w:val="50"/>
        <w:tblW w:w="903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018"/>
        <w:gridCol w:w="2122"/>
        <w:gridCol w:w="5899"/>
      </w:tblGrid>
      <w:tr w14:paraId="27EB90F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018" w:type="dxa"/>
            <w:vAlign w:val="center"/>
          </w:tcPr>
          <w:p w14:paraId="763DB843">
            <w:pPr>
              <w:wordWrap w:val="0"/>
              <w:spacing w:before="120" w:beforeLines="50" w:line="360" w:lineRule="auto"/>
              <w:jc w:val="center"/>
              <w:rPr>
                <w:rFonts w:ascii="宋体" w:hAnsi="宋体" w:cs="宋体"/>
                <w:b/>
                <w:snapToGrid w:val="0"/>
                <w:kern w:val="0"/>
                <w:szCs w:val="21"/>
              </w:rPr>
            </w:pPr>
            <w:r>
              <w:rPr>
                <w:rFonts w:hint="eastAsia" w:ascii="宋体" w:hAnsi="宋体" w:cs="宋体"/>
                <w:b/>
                <w:snapToGrid w:val="0"/>
                <w:kern w:val="0"/>
                <w:szCs w:val="21"/>
              </w:rPr>
              <w:t>条款号</w:t>
            </w:r>
          </w:p>
        </w:tc>
        <w:tc>
          <w:tcPr>
            <w:tcW w:w="2122" w:type="dxa"/>
            <w:vAlign w:val="center"/>
          </w:tcPr>
          <w:p w14:paraId="1EFBD4E0">
            <w:pPr>
              <w:wordWrap w:val="0"/>
              <w:spacing w:before="120" w:beforeLines="50" w:line="360" w:lineRule="auto"/>
              <w:jc w:val="center"/>
              <w:rPr>
                <w:rFonts w:ascii="宋体" w:hAnsi="宋体" w:cs="宋体"/>
                <w:b/>
                <w:snapToGrid w:val="0"/>
                <w:kern w:val="0"/>
                <w:szCs w:val="21"/>
              </w:rPr>
            </w:pPr>
            <w:r>
              <w:rPr>
                <w:rFonts w:hint="eastAsia" w:ascii="宋体" w:hAnsi="宋体" w:cs="宋体"/>
                <w:b/>
                <w:snapToGrid w:val="0"/>
                <w:kern w:val="0"/>
                <w:szCs w:val="21"/>
              </w:rPr>
              <w:t>评审因素</w:t>
            </w:r>
          </w:p>
        </w:tc>
        <w:tc>
          <w:tcPr>
            <w:tcW w:w="5899" w:type="dxa"/>
            <w:vAlign w:val="center"/>
          </w:tcPr>
          <w:p w14:paraId="600C844C">
            <w:pPr>
              <w:wordWrap w:val="0"/>
              <w:spacing w:before="120" w:beforeLines="50" w:line="360" w:lineRule="auto"/>
              <w:jc w:val="center"/>
              <w:rPr>
                <w:rFonts w:ascii="宋体" w:hAnsi="宋体" w:cs="宋体"/>
                <w:b/>
                <w:snapToGrid w:val="0"/>
                <w:kern w:val="0"/>
                <w:szCs w:val="21"/>
              </w:rPr>
            </w:pPr>
            <w:r>
              <w:rPr>
                <w:rFonts w:hint="eastAsia" w:ascii="宋体" w:hAnsi="宋体" w:cs="宋体"/>
                <w:b/>
                <w:snapToGrid w:val="0"/>
                <w:kern w:val="0"/>
                <w:szCs w:val="21"/>
              </w:rPr>
              <w:t>评审标准</w:t>
            </w:r>
          </w:p>
        </w:tc>
      </w:tr>
      <w:tr w14:paraId="162CAB8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025" w:hRule="atLeast"/>
          <w:jc w:val="center"/>
        </w:trPr>
        <w:tc>
          <w:tcPr>
            <w:tcW w:w="1018" w:type="dxa"/>
            <w:vMerge w:val="restart"/>
            <w:vAlign w:val="center"/>
          </w:tcPr>
          <w:p w14:paraId="5DBCC580">
            <w:pPr>
              <w:wordWrap w:val="0"/>
              <w:spacing w:before="120" w:beforeLines="50" w:line="360" w:lineRule="auto"/>
              <w:jc w:val="center"/>
              <w:rPr>
                <w:rFonts w:ascii="宋体" w:hAnsi="宋体" w:cs="宋体"/>
                <w:snapToGrid w:val="0"/>
                <w:kern w:val="0"/>
                <w:szCs w:val="21"/>
              </w:rPr>
            </w:pPr>
            <w:r>
              <w:rPr>
                <w:rFonts w:hint="eastAsia" w:ascii="宋体" w:hAnsi="宋体" w:cs="宋体"/>
                <w:snapToGrid w:val="0"/>
                <w:kern w:val="0"/>
                <w:szCs w:val="21"/>
              </w:rPr>
              <w:t>资格审查评审标准</w:t>
            </w:r>
          </w:p>
        </w:tc>
        <w:tc>
          <w:tcPr>
            <w:tcW w:w="2122" w:type="dxa"/>
            <w:vAlign w:val="center"/>
          </w:tcPr>
          <w:p w14:paraId="3A69D844">
            <w:pPr>
              <w:wordWrap w:val="0"/>
              <w:spacing w:before="120" w:beforeLines="50" w:line="360" w:lineRule="auto"/>
              <w:jc w:val="center"/>
              <w:rPr>
                <w:rFonts w:ascii="宋体" w:hAnsi="宋体" w:cs="宋体"/>
                <w:snapToGrid w:val="0"/>
                <w:kern w:val="0"/>
                <w:szCs w:val="21"/>
              </w:rPr>
            </w:pPr>
            <w:r>
              <w:rPr>
                <w:rFonts w:hint="eastAsia" w:ascii="宋体" w:hAnsi="宋体"/>
                <w:snapToGrid w:val="0"/>
                <w:kern w:val="0"/>
                <w:szCs w:val="21"/>
              </w:rPr>
              <w:t>具有独立承担民事责任的能力</w:t>
            </w:r>
          </w:p>
        </w:tc>
        <w:tc>
          <w:tcPr>
            <w:tcW w:w="5899" w:type="dxa"/>
            <w:vAlign w:val="center"/>
          </w:tcPr>
          <w:p w14:paraId="6A6CC7E7">
            <w:pPr>
              <w:wordWrap w:val="0"/>
              <w:spacing w:before="120" w:beforeLines="50" w:line="360" w:lineRule="auto"/>
              <w:rPr>
                <w:snapToGrid w:val="0"/>
                <w:kern w:val="0"/>
              </w:rPr>
            </w:pPr>
            <w:r>
              <w:rPr>
                <w:rFonts w:hint="eastAsia" w:ascii="宋体" w:hAnsi="宋体"/>
                <w:bCs/>
                <w:snapToGrid w:val="0"/>
                <w:kern w:val="0"/>
                <w:szCs w:val="21"/>
              </w:rPr>
              <w:t>具有独立承担民事责任能力的法人或其他组织，提供有效的营业执照或事业单位法人证书（扫描件）。</w:t>
            </w:r>
          </w:p>
        </w:tc>
      </w:tr>
      <w:tr w14:paraId="6F74DE1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78" w:hRule="atLeast"/>
          <w:jc w:val="center"/>
        </w:trPr>
        <w:tc>
          <w:tcPr>
            <w:tcW w:w="1018" w:type="dxa"/>
            <w:vMerge w:val="continue"/>
            <w:vAlign w:val="center"/>
          </w:tcPr>
          <w:p w14:paraId="29BD65E8">
            <w:pPr>
              <w:wordWrap w:val="0"/>
              <w:spacing w:before="120" w:beforeLines="50" w:line="360" w:lineRule="auto"/>
              <w:jc w:val="center"/>
              <w:rPr>
                <w:rFonts w:ascii="宋体" w:hAnsi="宋体" w:cs="宋体"/>
                <w:snapToGrid w:val="0"/>
                <w:kern w:val="0"/>
                <w:szCs w:val="21"/>
              </w:rPr>
            </w:pPr>
          </w:p>
        </w:tc>
        <w:tc>
          <w:tcPr>
            <w:tcW w:w="2122" w:type="dxa"/>
            <w:vAlign w:val="center"/>
          </w:tcPr>
          <w:p w14:paraId="63E9874F">
            <w:pPr>
              <w:wordWrap w:val="0"/>
              <w:spacing w:before="120" w:beforeLines="50" w:line="360" w:lineRule="auto"/>
              <w:jc w:val="center"/>
              <w:rPr>
                <w:rFonts w:ascii="宋体" w:hAnsi="宋体" w:cs="宋体"/>
                <w:snapToGrid w:val="0"/>
                <w:kern w:val="0"/>
                <w:szCs w:val="21"/>
              </w:rPr>
            </w:pPr>
            <w:r>
              <w:rPr>
                <w:rFonts w:hint="eastAsia" w:ascii="宋体" w:hAnsi="宋体" w:cs="宋体"/>
                <w:snapToGrid w:val="0"/>
                <w:kern w:val="0"/>
                <w:szCs w:val="21"/>
              </w:rPr>
              <w:t>良好的商业信誉和健全的财务会计制度</w:t>
            </w:r>
          </w:p>
        </w:tc>
        <w:tc>
          <w:tcPr>
            <w:tcW w:w="5899" w:type="dxa"/>
            <w:vAlign w:val="center"/>
          </w:tcPr>
          <w:p w14:paraId="130EB469">
            <w:pPr>
              <w:wordWrap w:val="0"/>
              <w:spacing w:before="50" w:line="360" w:lineRule="auto"/>
              <w:rPr>
                <w:snapToGrid w:val="0"/>
                <w:kern w:val="0"/>
              </w:rPr>
            </w:pPr>
            <w:r>
              <w:rPr>
                <w:rFonts w:hint="eastAsia"/>
                <w:snapToGrid w:val="0"/>
                <w:kern w:val="0"/>
                <w:szCs w:val="21"/>
              </w:rPr>
              <w:t>提供最近一年的财务报表（扫描件）；成立时间不足一年的，提供成立至今的财务报表（扫描件）。</w:t>
            </w:r>
          </w:p>
        </w:tc>
      </w:tr>
      <w:tr w14:paraId="628152B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02" w:hRule="atLeast"/>
          <w:jc w:val="center"/>
        </w:trPr>
        <w:tc>
          <w:tcPr>
            <w:tcW w:w="1018" w:type="dxa"/>
            <w:vMerge w:val="continue"/>
            <w:vAlign w:val="center"/>
          </w:tcPr>
          <w:p w14:paraId="15C24418">
            <w:pPr>
              <w:wordWrap w:val="0"/>
              <w:spacing w:before="120" w:beforeLines="50" w:line="360" w:lineRule="auto"/>
              <w:jc w:val="center"/>
              <w:rPr>
                <w:rFonts w:ascii="宋体" w:hAnsi="宋体" w:cs="宋体"/>
                <w:snapToGrid w:val="0"/>
                <w:kern w:val="0"/>
                <w:szCs w:val="21"/>
              </w:rPr>
            </w:pPr>
          </w:p>
        </w:tc>
        <w:tc>
          <w:tcPr>
            <w:tcW w:w="2122" w:type="dxa"/>
            <w:vAlign w:val="center"/>
          </w:tcPr>
          <w:p w14:paraId="55AE06A3">
            <w:pPr>
              <w:wordWrap w:val="0"/>
              <w:spacing w:before="120" w:beforeLines="50" w:line="360" w:lineRule="auto"/>
              <w:jc w:val="center"/>
              <w:rPr>
                <w:rFonts w:ascii="宋体" w:hAnsi="宋体"/>
                <w:snapToGrid w:val="0"/>
                <w:kern w:val="0"/>
                <w:szCs w:val="21"/>
              </w:rPr>
            </w:pPr>
            <w:r>
              <w:rPr>
                <w:rFonts w:hint="eastAsia" w:ascii="宋体" w:hAnsi="宋体"/>
                <w:snapToGrid w:val="0"/>
                <w:kern w:val="0"/>
                <w:szCs w:val="21"/>
              </w:rPr>
              <w:t>履行合同所必需的设备和专业技术能力</w:t>
            </w:r>
          </w:p>
        </w:tc>
        <w:tc>
          <w:tcPr>
            <w:tcW w:w="5899" w:type="dxa"/>
            <w:vAlign w:val="center"/>
          </w:tcPr>
          <w:p w14:paraId="23C747CF">
            <w:pPr>
              <w:wordWrap w:val="0"/>
              <w:spacing w:before="50" w:line="360" w:lineRule="auto"/>
              <w:rPr>
                <w:snapToGrid w:val="0"/>
                <w:kern w:val="0"/>
                <w:szCs w:val="21"/>
              </w:rPr>
            </w:pPr>
            <w:r>
              <w:rPr>
                <w:rFonts w:hint="eastAsia"/>
                <w:snapToGrid w:val="0"/>
                <w:kern w:val="0"/>
                <w:szCs w:val="21"/>
              </w:rPr>
              <w:t>按</w:t>
            </w:r>
            <w:r>
              <w:rPr>
                <w:snapToGrid w:val="0"/>
                <w:kern w:val="0"/>
                <w:szCs w:val="21"/>
              </w:rPr>
              <w:t>格式</w:t>
            </w:r>
            <w:r>
              <w:rPr>
                <w:rFonts w:hint="eastAsia"/>
                <w:snapToGrid w:val="0"/>
                <w:kern w:val="0"/>
                <w:szCs w:val="21"/>
              </w:rPr>
              <w:t>提供书面声明函。</w:t>
            </w:r>
          </w:p>
        </w:tc>
      </w:tr>
      <w:tr w14:paraId="0BBDBC1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581" w:hRule="atLeast"/>
          <w:jc w:val="center"/>
        </w:trPr>
        <w:tc>
          <w:tcPr>
            <w:tcW w:w="1018" w:type="dxa"/>
            <w:vMerge w:val="continue"/>
            <w:vAlign w:val="center"/>
          </w:tcPr>
          <w:p w14:paraId="2748FC81">
            <w:pPr>
              <w:wordWrap w:val="0"/>
              <w:spacing w:before="120" w:beforeLines="50" w:line="360" w:lineRule="auto"/>
              <w:jc w:val="center"/>
              <w:rPr>
                <w:rFonts w:ascii="宋体" w:hAnsi="宋体" w:cs="宋体"/>
                <w:snapToGrid w:val="0"/>
                <w:kern w:val="0"/>
                <w:szCs w:val="21"/>
              </w:rPr>
            </w:pPr>
          </w:p>
        </w:tc>
        <w:tc>
          <w:tcPr>
            <w:tcW w:w="2122" w:type="dxa"/>
            <w:vAlign w:val="center"/>
          </w:tcPr>
          <w:p w14:paraId="34D86C1F">
            <w:pPr>
              <w:wordWrap w:val="0"/>
              <w:spacing w:before="120" w:beforeLines="50" w:line="360" w:lineRule="auto"/>
              <w:jc w:val="center"/>
              <w:rPr>
                <w:rFonts w:ascii="宋体" w:hAnsi="宋体" w:cs="宋体"/>
                <w:snapToGrid w:val="0"/>
                <w:kern w:val="0"/>
                <w:szCs w:val="21"/>
              </w:rPr>
            </w:pPr>
            <w:r>
              <w:rPr>
                <w:rFonts w:hint="eastAsia" w:ascii="宋体" w:hAnsi="宋体"/>
                <w:snapToGrid w:val="0"/>
                <w:kern w:val="0"/>
                <w:szCs w:val="21"/>
              </w:rPr>
              <w:t>依法缴纳税收和社会保障资金的良好记录</w:t>
            </w:r>
          </w:p>
        </w:tc>
        <w:tc>
          <w:tcPr>
            <w:tcW w:w="5899" w:type="dxa"/>
            <w:vAlign w:val="center"/>
          </w:tcPr>
          <w:p w14:paraId="39719A29">
            <w:pPr>
              <w:wordWrap w:val="0"/>
              <w:spacing w:before="50" w:line="360" w:lineRule="auto"/>
              <w:rPr>
                <w:snapToGrid w:val="0"/>
                <w:kern w:val="0"/>
                <w:szCs w:val="21"/>
              </w:rPr>
            </w:pPr>
            <w:r>
              <w:rPr>
                <w:rFonts w:hint="eastAsia"/>
                <w:snapToGrid w:val="0"/>
                <w:kern w:val="0"/>
                <w:szCs w:val="21"/>
              </w:rPr>
              <w:t>提供2024年1月至今任意3个月的税收缴税凭证和社保缴税凭证（扫描件）；成立未满3个月的供应商提供自成立以来的缴税凭证和社保缴纳凭证（或情况说明）；依法免税或免缴社保的，应提供相关证明文件。</w:t>
            </w:r>
          </w:p>
        </w:tc>
      </w:tr>
      <w:tr w14:paraId="797490E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51" w:hRule="atLeast"/>
          <w:jc w:val="center"/>
        </w:trPr>
        <w:tc>
          <w:tcPr>
            <w:tcW w:w="1018" w:type="dxa"/>
            <w:vMerge w:val="continue"/>
            <w:vAlign w:val="center"/>
          </w:tcPr>
          <w:p w14:paraId="2501B04F">
            <w:pPr>
              <w:wordWrap w:val="0"/>
              <w:spacing w:before="120" w:beforeLines="50" w:line="360" w:lineRule="auto"/>
              <w:jc w:val="center"/>
              <w:rPr>
                <w:rFonts w:ascii="宋体" w:hAnsi="宋体" w:cs="宋体"/>
                <w:snapToGrid w:val="0"/>
                <w:kern w:val="0"/>
                <w:szCs w:val="21"/>
              </w:rPr>
            </w:pPr>
          </w:p>
        </w:tc>
        <w:tc>
          <w:tcPr>
            <w:tcW w:w="2122" w:type="dxa"/>
            <w:vAlign w:val="center"/>
          </w:tcPr>
          <w:p w14:paraId="415A9D17">
            <w:pPr>
              <w:wordWrap w:val="0"/>
              <w:spacing w:before="120" w:beforeLines="50" w:line="360" w:lineRule="auto"/>
              <w:jc w:val="center"/>
              <w:rPr>
                <w:rFonts w:ascii="宋体" w:hAnsi="宋体" w:cs="宋体"/>
                <w:snapToGrid w:val="0"/>
                <w:kern w:val="0"/>
                <w:szCs w:val="21"/>
              </w:rPr>
            </w:pPr>
            <w:r>
              <w:rPr>
                <w:rFonts w:hint="eastAsia" w:ascii="宋体" w:hAnsi="宋体" w:cs="宋体"/>
                <w:snapToGrid w:val="0"/>
                <w:kern w:val="0"/>
                <w:szCs w:val="21"/>
              </w:rPr>
              <w:t>无重大违法记录</w:t>
            </w:r>
          </w:p>
        </w:tc>
        <w:tc>
          <w:tcPr>
            <w:tcW w:w="5899" w:type="dxa"/>
            <w:vAlign w:val="center"/>
          </w:tcPr>
          <w:p w14:paraId="370806A8">
            <w:pPr>
              <w:wordWrap w:val="0"/>
              <w:spacing w:before="120" w:beforeLines="50" w:line="360" w:lineRule="auto"/>
              <w:rPr>
                <w:snapToGrid w:val="0"/>
                <w:kern w:val="0"/>
              </w:rPr>
            </w:pPr>
            <w:r>
              <w:rPr>
                <w:rFonts w:hint="eastAsia"/>
                <w:snapToGrid w:val="0"/>
                <w:kern w:val="0"/>
                <w:szCs w:val="21"/>
              </w:rPr>
              <w:t>按格式提供书面声明函。</w:t>
            </w:r>
          </w:p>
        </w:tc>
      </w:tr>
      <w:tr w14:paraId="17D8DDE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14" w:hRule="atLeast"/>
          <w:jc w:val="center"/>
        </w:trPr>
        <w:tc>
          <w:tcPr>
            <w:tcW w:w="1018" w:type="dxa"/>
            <w:vMerge w:val="continue"/>
            <w:vAlign w:val="center"/>
          </w:tcPr>
          <w:p w14:paraId="5DDE2A92">
            <w:pPr>
              <w:wordWrap w:val="0"/>
              <w:spacing w:before="120" w:beforeLines="50" w:line="360" w:lineRule="auto"/>
              <w:jc w:val="center"/>
              <w:rPr>
                <w:rFonts w:ascii="宋体" w:hAnsi="宋体" w:cs="宋体"/>
                <w:snapToGrid w:val="0"/>
                <w:kern w:val="0"/>
                <w:szCs w:val="21"/>
              </w:rPr>
            </w:pPr>
          </w:p>
        </w:tc>
        <w:tc>
          <w:tcPr>
            <w:tcW w:w="2122" w:type="dxa"/>
            <w:vAlign w:val="center"/>
          </w:tcPr>
          <w:p w14:paraId="56E63D67">
            <w:pPr>
              <w:wordWrap w:val="0"/>
              <w:spacing w:before="120" w:beforeLines="50" w:line="360" w:lineRule="auto"/>
              <w:jc w:val="center"/>
              <w:rPr>
                <w:snapToGrid w:val="0"/>
                <w:kern w:val="0"/>
                <w:szCs w:val="21"/>
              </w:rPr>
            </w:pPr>
            <w:r>
              <w:rPr>
                <w:rFonts w:hint="eastAsia" w:ascii="宋体" w:hAnsi="宋体"/>
                <w:snapToGrid w:val="0"/>
                <w:kern w:val="0"/>
                <w:szCs w:val="21"/>
              </w:rPr>
              <w:t>本项目的特定资格要求</w:t>
            </w:r>
          </w:p>
        </w:tc>
        <w:tc>
          <w:tcPr>
            <w:tcW w:w="5899" w:type="dxa"/>
            <w:vAlign w:val="center"/>
          </w:tcPr>
          <w:p w14:paraId="2724691F">
            <w:pPr>
              <w:wordWrap w:val="0"/>
              <w:spacing w:line="360" w:lineRule="auto"/>
              <w:rPr>
                <w:snapToGrid w:val="0"/>
                <w:kern w:val="0"/>
                <w:szCs w:val="21"/>
              </w:rPr>
            </w:pPr>
            <w:r>
              <w:rPr>
                <w:snapToGrid w:val="0"/>
                <w:kern w:val="0"/>
                <w:szCs w:val="21"/>
              </w:rPr>
              <w:t>1</w:t>
            </w:r>
            <w:r>
              <w:rPr>
                <w:rFonts w:hint="eastAsia"/>
                <w:snapToGrid w:val="0"/>
                <w:kern w:val="0"/>
                <w:szCs w:val="21"/>
              </w:rPr>
              <w:t>、未被列入：①“信用中国”网站（www.creditchina.gov.cn）失信被执行人、重大税收违法失信主体，②中国政府采购网（www.ccgp.gov.cn）政府采购严重违法失信行为信息记录，以采购代理机构查询的结果为准。</w:t>
            </w:r>
          </w:p>
          <w:p w14:paraId="36D55586">
            <w:pPr>
              <w:wordWrap w:val="0"/>
              <w:spacing w:line="360" w:lineRule="auto"/>
              <w:rPr>
                <w:snapToGrid w:val="0"/>
                <w:kern w:val="0"/>
                <w:szCs w:val="21"/>
              </w:rPr>
            </w:pPr>
            <w:r>
              <w:rPr>
                <w:snapToGrid w:val="0"/>
                <w:kern w:val="0"/>
                <w:szCs w:val="21"/>
              </w:rPr>
              <w:t>2</w:t>
            </w:r>
            <w:r>
              <w:rPr>
                <w:rFonts w:hint="eastAsia"/>
                <w:snapToGrid w:val="0"/>
                <w:kern w:val="0"/>
                <w:szCs w:val="21"/>
              </w:rPr>
              <w:t>、供应商没有处于被责令停业、财产被接管、冻结或破产状态，按格式提供书面声明函。</w:t>
            </w:r>
          </w:p>
          <w:p w14:paraId="1F06E08B">
            <w:pPr>
              <w:wordWrap w:val="0"/>
              <w:spacing w:line="360" w:lineRule="auto"/>
              <w:rPr>
                <w:snapToGrid w:val="0"/>
                <w:kern w:val="0"/>
                <w:szCs w:val="21"/>
              </w:rPr>
            </w:pPr>
            <w:r>
              <w:rPr>
                <w:snapToGrid w:val="0"/>
                <w:kern w:val="0"/>
                <w:szCs w:val="21"/>
              </w:rPr>
              <w:t>3</w:t>
            </w:r>
            <w:r>
              <w:rPr>
                <w:rFonts w:hint="eastAsia"/>
                <w:snapToGrid w:val="0"/>
                <w:kern w:val="0"/>
                <w:szCs w:val="21"/>
              </w:rPr>
              <w:t>、单位负责人为同一人或者存在直接控股、管理关系的不同供应商，不得参加同一合同项下的政府采购活动，按</w:t>
            </w:r>
            <w:r>
              <w:rPr>
                <w:snapToGrid w:val="0"/>
                <w:kern w:val="0"/>
                <w:szCs w:val="21"/>
              </w:rPr>
              <w:t>格式</w:t>
            </w:r>
            <w:r>
              <w:rPr>
                <w:rFonts w:hint="eastAsia"/>
                <w:snapToGrid w:val="0"/>
                <w:kern w:val="0"/>
                <w:szCs w:val="21"/>
              </w:rPr>
              <w:t>提供书面声明函。</w:t>
            </w:r>
          </w:p>
          <w:p w14:paraId="625F6546">
            <w:pPr>
              <w:wordWrap w:val="0"/>
              <w:spacing w:line="360" w:lineRule="auto"/>
              <w:rPr>
                <w:snapToGrid w:val="0"/>
                <w:kern w:val="0"/>
                <w:szCs w:val="21"/>
              </w:rPr>
            </w:pPr>
            <w:r>
              <w:rPr>
                <w:snapToGrid w:val="0"/>
                <w:kern w:val="0"/>
                <w:szCs w:val="21"/>
              </w:rPr>
              <w:t>4</w:t>
            </w:r>
            <w:r>
              <w:rPr>
                <w:rFonts w:hint="eastAsia"/>
                <w:snapToGrid w:val="0"/>
                <w:kern w:val="0"/>
                <w:szCs w:val="21"/>
              </w:rPr>
              <w:t>、供应商应承担投标及履约中应承担的全部责任与义务，应遵守有关的国家法律、法令、条例和政府采购有关制度。一旦参加投标，则应承担相关法律责任，按</w:t>
            </w:r>
            <w:r>
              <w:rPr>
                <w:snapToGrid w:val="0"/>
                <w:kern w:val="0"/>
                <w:szCs w:val="21"/>
              </w:rPr>
              <w:t>格式</w:t>
            </w:r>
            <w:r>
              <w:rPr>
                <w:rFonts w:hint="eastAsia"/>
                <w:snapToGrid w:val="0"/>
                <w:kern w:val="0"/>
                <w:szCs w:val="21"/>
              </w:rPr>
              <w:t>提供书面声明函。</w:t>
            </w:r>
          </w:p>
          <w:p w14:paraId="59736102">
            <w:pPr>
              <w:wordWrap w:val="0"/>
              <w:spacing w:line="360" w:lineRule="auto"/>
            </w:pPr>
            <w:r>
              <w:rPr>
                <w:rFonts w:hint="eastAsia"/>
                <w:snapToGrid w:val="0"/>
                <w:kern w:val="0"/>
                <w:szCs w:val="21"/>
              </w:rPr>
              <w:t>5、为本采购项目提供整体设计、规范编制或者项目管理、监理、检测等服务的供应商，不得再参加本采购项目的其他采购活动，按</w:t>
            </w:r>
            <w:r>
              <w:rPr>
                <w:snapToGrid w:val="0"/>
                <w:kern w:val="0"/>
                <w:szCs w:val="21"/>
              </w:rPr>
              <w:t>格式</w:t>
            </w:r>
            <w:r>
              <w:rPr>
                <w:rFonts w:hint="eastAsia"/>
                <w:snapToGrid w:val="0"/>
                <w:kern w:val="0"/>
                <w:szCs w:val="21"/>
              </w:rPr>
              <w:t>提供书面声明</w:t>
            </w:r>
            <w:r>
              <w:rPr>
                <w:snapToGrid w:val="0"/>
                <w:kern w:val="0"/>
                <w:szCs w:val="21"/>
              </w:rPr>
              <w:t>函</w:t>
            </w:r>
            <w:r>
              <w:rPr>
                <w:rFonts w:hint="eastAsia"/>
                <w:snapToGrid w:val="0"/>
                <w:kern w:val="0"/>
                <w:szCs w:val="21"/>
              </w:rPr>
              <w:t>。</w:t>
            </w:r>
          </w:p>
        </w:tc>
      </w:tr>
    </w:tbl>
    <w:p w14:paraId="121FD645">
      <w:pPr>
        <w:pStyle w:val="3"/>
        <w:widowControl w:val="0"/>
        <w:snapToGrid w:val="0"/>
        <w:spacing w:line="360" w:lineRule="auto"/>
        <w:jc w:val="center"/>
        <w:rPr>
          <w:rFonts w:ascii="黑体"/>
          <w:snapToGrid w:val="0"/>
        </w:rPr>
      </w:pPr>
      <w:r>
        <w:rPr>
          <w:rFonts w:ascii="黑体" w:hAnsi="黑体"/>
          <w:b w:val="0"/>
          <w:snapToGrid w:val="0"/>
        </w:rPr>
        <w:br w:type="page"/>
      </w:r>
      <w:bookmarkStart w:id="117" w:name="_Toc2725"/>
      <w:r>
        <w:rPr>
          <w:rFonts w:hint="eastAsia" w:ascii="黑体"/>
          <w:snapToGrid w:val="0"/>
        </w:rPr>
        <w:t>第四章  评标办法</w:t>
      </w:r>
      <w:bookmarkEnd w:id="111"/>
      <w:bookmarkEnd w:id="112"/>
      <w:bookmarkEnd w:id="113"/>
      <w:bookmarkEnd w:id="114"/>
      <w:bookmarkEnd w:id="115"/>
      <w:bookmarkEnd w:id="117"/>
    </w:p>
    <w:p w14:paraId="237ECD6E">
      <w:pPr>
        <w:pStyle w:val="4"/>
      </w:pPr>
      <w:bookmarkStart w:id="118" w:name="_Toc260908199"/>
      <w:bookmarkStart w:id="119" w:name="_Toc8354"/>
      <w:bookmarkStart w:id="120" w:name="_Toc520802753"/>
      <w:bookmarkStart w:id="121" w:name="_Toc259188727"/>
      <w:bookmarkStart w:id="122" w:name="_Toc481712045"/>
      <w:bookmarkStart w:id="123" w:name="_Toc11180"/>
      <w:bookmarkStart w:id="124" w:name="_Toc71823591"/>
      <w:bookmarkStart w:id="125" w:name="_Toc260907983"/>
      <w:bookmarkStart w:id="126" w:name="_Toc270090084"/>
      <w:bookmarkStart w:id="127" w:name="_Toc520104003"/>
      <w:r>
        <w:rPr>
          <w:rFonts w:hint="eastAsia"/>
        </w:rPr>
        <w:t>一、评标办法前附表</w:t>
      </w:r>
      <w:bookmarkEnd w:id="118"/>
      <w:bookmarkEnd w:id="119"/>
      <w:bookmarkEnd w:id="120"/>
      <w:bookmarkEnd w:id="121"/>
      <w:bookmarkEnd w:id="122"/>
      <w:bookmarkEnd w:id="123"/>
      <w:bookmarkEnd w:id="124"/>
      <w:bookmarkEnd w:id="125"/>
      <w:bookmarkEnd w:id="126"/>
      <w:bookmarkEnd w:id="127"/>
    </w:p>
    <w:tbl>
      <w:tblPr>
        <w:tblStyle w:val="50"/>
        <w:tblW w:w="9172"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51"/>
        <w:gridCol w:w="921"/>
        <w:gridCol w:w="9"/>
        <w:gridCol w:w="1479"/>
        <w:gridCol w:w="5812"/>
      </w:tblGrid>
      <w:tr w14:paraId="7C91691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99" w:hRule="atLeast"/>
          <w:jc w:val="center"/>
        </w:trPr>
        <w:tc>
          <w:tcPr>
            <w:tcW w:w="951" w:type="dxa"/>
            <w:vAlign w:val="center"/>
          </w:tcPr>
          <w:p w14:paraId="453D9AE9">
            <w:pPr>
              <w:spacing w:before="120" w:beforeLines="50" w:line="360" w:lineRule="auto"/>
              <w:jc w:val="center"/>
              <w:rPr>
                <w:rFonts w:ascii="宋体" w:hAnsi="宋体" w:cs="宋体"/>
                <w:b/>
                <w:snapToGrid w:val="0"/>
                <w:kern w:val="0"/>
                <w:szCs w:val="21"/>
              </w:rPr>
            </w:pPr>
            <w:r>
              <w:rPr>
                <w:rFonts w:hint="eastAsia" w:ascii="宋体" w:hAnsi="宋体" w:cs="宋体"/>
                <w:b/>
                <w:snapToGrid w:val="0"/>
                <w:kern w:val="0"/>
                <w:szCs w:val="21"/>
              </w:rPr>
              <w:t>条款号</w:t>
            </w:r>
          </w:p>
        </w:tc>
        <w:tc>
          <w:tcPr>
            <w:tcW w:w="2409" w:type="dxa"/>
            <w:gridSpan w:val="3"/>
            <w:vAlign w:val="center"/>
          </w:tcPr>
          <w:p w14:paraId="7EC43BFC">
            <w:pPr>
              <w:spacing w:before="120" w:beforeLines="50" w:line="360" w:lineRule="auto"/>
              <w:jc w:val="center"/>
              <w:rPr>
                <w:rFonts w:ascii="宋体" w:hAnsi="宋体" w:cs="宋体"/>
                <w:b/>
                <w:snapToGrid w:val="0"/>
                <w:kern w:val="0"/>
                <w:szCs w:val="21"/>
              </w:rPr>
            </w:pPr>
            <w:r>
              <w:rPr>
                <w:rFonts w:hint="eastAsia" w:ascii="宋体" w:hAnsi="宋体" w:cs="宋体"/>
                <w:b/>
                <w:snapToGrid w:val="0"/>
                <w:kern w:val="0"/>
                <w:szCs w:val="21"/>
              </w:rPr>
              <w:t>评审因素</w:t>
            </w:r>
          </w:p>
        </w:tc>
        <w:tc>
          <w:tcPr>
            <w:tcW w:w="5812" w:type="dxa"/>
            <w:vAlign w:val="center"/>
          </w:tcPr>
          <w:p w14:paraId="3A225300">
            <w:pPr>
              <w:spacing w:before="120" w:beforeLines="50" w:line="360" w:lineRule="auto"/>
              <w:jc w:val="center"/>
              <w:rPr>
                <w:rFonts w:ascii="宋体" w:hAnsi="宋体" w:cs="宋体"/>
                <w:b/>
                <w:snapToGrid w:val="0"/>
                <w:kern w:val="0"/>
                <w:szCs w:val="21"/>
              </w:rPr>
            </w:pPr>
            <w:r>
              <w:rPr>
                <w:rFonts w:hint="eastAsia" w:ascii="宋体" w:hAnsi="宋体" w:cs="宋体"/>
                <w:b/>
                <w:snapToGrid w:val="0"/>
                <w:kern w:val="0"/>
                <w:szCs w:val="21"/>
              </w:rPr>
              <w:t>评审标准</w:t>
            </w:r>
          </w:p>
        </w:tc>
      </w:tr>
      <w:tr w14:paraId="504C3E0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250" w:hRule="atLeast"/>
          <w:jc w:val="center"/>
        </w:trPr>
        <w:tc>
          <w:tcPr>
            <w:tcW w:w="951" w:type="dxa"/>
            <w:vMerge w:val="restart"/>
            <w:vAlign w:val="center"/>
          </w:tcPr>
          <w:p w14:paraId="0F2F9234">
            <w:pPr>
              <w:spacing w:before="120" w:beforeLines="50" w:line="360" w:lineRule="auto"/>
              <w:jc w:val="center"/>
              <w:rPr>
                <w:rFonts w:ascii="宋体" w:hAnsi="宋体" w:cs="宋体"/>
                <w:snapToGrid w:val="0"/>
                <w:kern w:val="0"/>
                <w:szCs w:val="21"/>
              </w:rPr>
            </w:pPr>
            <w:r>
              <w:rPr>
                <w:rFonts w:hint="eastAsia" w:ascii="宋体" w:hAnsi="宋体" w:cs="宋体"/>
                <w:snapToGrid w:val="0"/>
                <w:kern w:val="0"/>
                <w:szCs w:val="21"/>
              </w:rPr>
              <w:t>符合性审查标准</w:t>
            </w:r>
          </w:p>
        </w:tc>
        <w:tc>
          <w:tcPr>
            <w:tcW w:w="2409" w:type="dxa"/>
            <w:gridSpan w:val="3"/>
            <w:vAlign w:val="center"/>
          </w:tcPr>
          <w:p w14:paraId="0166B9AC">
            <w:pPr>
              <w:autoSpaceDE w:val="0"/>
              <w:autoSpaceDN w:val="0"/>
              <w:adjustRightInd w:val="0"/>
              <w:spacing w:line="360" w:lineRule="auto"/>
              <w:rPr>
                <w:rFonts w:ascii="宋体" w:hAnsi="宋体" w:cs="宋体"/>
                <w:snapToGrid w:val="0"/>
                <w:kern w:val="0"/>
                <w:szCs w:val="21"/>
              </w:rPr>
            </w:pPr>
            <w:r>
              <w:rPr>
                <w:rFonts w:hint="eastAsia"/>
                <w:snapToGrid w:val="0"/>
                <w:kern w:val="0"/>
                <w:szCs w:val="21"/>
              </w:rPr>
              <w:t>法定代表人身份证明书或附有法定代表人身份证明书的授权委托书</w:t>
            </w:r>
          </w:p>
        </w:tc>
        <w:tc>
          <w:tcPr>
            <w:tcW w:w="5812" w:type="dxa"/>
            <w:vAlign w:val="center"/>
          </w:tcPr>
          <w:p w14:paraId="51CAA5DA">
            <w:pPr>
              <w:spacing w:line="360" w:lineRule="auto"/>
              <w:rPr>
                <w:snapToGrid w:val="0"/>
                <w:kern w:val="0"/>
                <w:szCs w:val="21"/>
              </w:rPr>
            </w:pPr>
            <w:r>
              <w:rPr>
                <w:rFonts w:hint="eastAsia"/>
                <w:snapToGrid w:val="0"/>
                <w:kern w:val="0"/>
                <w:szCs w:val="21"/>
              </w:rPr>
              <w:t>（1）若法定代表人参加投标时，须提供法定代表人身份证明书；按规定格式填写并提供身份证的扫描件；</w:t>
            </w:r>
          </w:p>
          <w:p w14:paraId="7B699DA7">
            <w:pPr>
              <w:spacing w:line="360" w:lineRule="auto"/>
              <w:rPr>
                <w:snapToGrid w:val="0"/>
                <w:kern w:val="0"/>
                <w:szCs w:val="21"/>
              </w:rPr>
            </w:pPr>
            <w:r>
              <w:rPr>
                <w:rFonts w:hint="eastAsia"/>
                <w:snapToGrid w:val="0"/>
                <w:kern w:val="0"/>
                <w:szCs w:val="21"/>
              </w:rPr>
              <w:t>（2）若委托代理人参加投标时，须提供：①法定代表人身份证明书；②法定代表人授权委托书；按规定格式填写并提供身份证的扫描件。</w:t>
            </w:r>
          </w:p>
        </w:tc>
      </w:tr>
      <w:tr w14:paraId="171DE08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22" w:hRule="atLeast"/>
          <w:jc w:val="center"/>
        </w:trPr>
        <w:tc>
          <w:tcPr>
            <w:tcW w:w="951" w:type="dxa"/>
            <w:vMerge w:val="continue"/>
            <w:vAlign w:val="center"/>
          </w:tcPr>
          <w:p w14:paraId="754CE22E">
            <w:pPr>
              <w:spacing w:before="120" w:beforeLines="50" w:line="360" w:lineRule="auto"/>
              <w:jc w:val="center"/>
              <w:rPr>
                <w:rFonts w:ascii="宋体" w:hAnsi="宋体" w:cs="宋体"/>
                <w:snapToGrid w:val="0"/>
                <w:kern w:val="0"/>
                <w:szCs w:val="21"/>
              </w:rPr>
            </w:pPr>
          </w:p>
        </w:tc>
        <w:tc>
          <w:tcPr>
            <w:tcW w:w="2409" w:type="dxa"/>
            <w:gridSpan w:val="3"/>
            <w:vAlign w:val="center"/>
          </w:tcPr>
          <w:p w14:paraId="6BE1909F">
            <w:pPr>
              <w:spacing w:before="120" w:beforeLines="50" w:line="360" w:lineRule="auto"/>
              <w:jc w:val="center"/>
              <w:rPr>
                <w:rFonts w:ascii="宋体" w:hAnsi="宋体" w:cs="宋体"/>
                <w:snapToGrid w:val="0"/>
                <w:kern w:val="0"/>
                <w:szCs w:val="21"/>
              </w:rPr>
            </w:pPr>
            <w:r>
              <w:rPr>
                <w:rFonts w:hint="eastAsia" w:ascii="宋体" w:hAnsi="宋体" w:cs="宋体"/>
                <w:snapToGrid w:val="0"/>
                <w:kern w:val="0"/>
                <w:szCs w:val="21"/>
              </w:rPr>
              <w:t>投标文件格式</w:t>
            </w:r>
          </w:p>
        </w:tc>
        <w:tc>
          <w:tcPr>
            <w:tcW w:w="5812" w:type="dxa"/>
            <w:vAlign w:val="center"/>
          </w:tcPr>
          <w:p w14:paraId="1A4A892F">
            <w:pPr>
              <w:spacing w:line="360" w:lineRule="auto"/>
              <w:rPr>
                <w:snapToGrid w:val="0"/>
                <w:kern w:val="0"/>
                <w:szCs w:val="21"/>
              </w:rPr>
            </w:pPr>
            <w:r>
              <w:rPr>
                <w:rFonts w:hint="eastAsia"/>
                <w:snapToGrid w:val="0"/>
                <w:kern w:val="0"/>
                <w:szCs w:val="21"/>
              </w:rPr>
              <w:t>符合第七章“投标文件格式”和“供应商须知”第3.7.1项的要求。</w:t>
            </w:r>
          </w:p>
        </w:tc>
      </w:tr>
      <w:tr w14:paraId="7D49E61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11" w:hRule="atLeast"/>
          <w:jc w:val="center"/>
        </w:trPr>
        <w:tc>
          <w:tcPr>
            <w:tcW w:w="951" w:type="dxa"/>
            <w:vMerge w:val="continue"/>
            <w:vAlign w:val="center"/>
          </w:tcPr>
          <w:p w14:paraId="5D776365">
            <w:pPr>
              <w:spacing w:before="120" w:beforeLines="50" w:line="360" w:lineRule="auto"/>
              <w:jc w:val="center"/>
              <w:rPr>
                <w:rFonts w:ascii="宋体" w:hAnsi="宋体" w:cs="宋体"/>
                <w:snapToGrid w:val="0"/>
                <w:kern w:val="0"/>
                <w:szCs w:val="21"/>
              </w:rPr>
            </w:pPr>
          </w:p>
        </w:tc>
        <w:tc>
          <w:tcPr>
            <w:tcW w:w="2409" w:type="dxa"/>
            <w:gridSpan w:val="3"/>
            <w:vAlign w:val="center"/>
          </w:tcPr>
          <w:p w14:paraId="7EF62913">
            <w:pPr>
              <w:spacing w:before="120" w:beforeLines="50" w:line="360" w:lineRule="auto"/>
              <w:jc w:val="center"/>
              <w:rPr>
                <w:rFonts w:ascii="宋体" w:hAnsi="宋体" w:cs="宋体"/>
                <w:snapToGrid w:val="0"/>
                <w:kern w:val="0"/>
                <w:szCs w:val="21"/>
              </w:rPr>
            </w:pPr>
            <w:r>
              <w:rPr>
                <w:rFonts w:hint="eastAsia" w:ascii="宋体" w:hAnsi="宋体" w:cs="宋体"/>
                <w:snapToGrid w:val="0"/>
                <w:kern w:val="0"/>
                <w:szCs w:val="21"/>
              </w:rPr>
              <w:t>投标文件的签字或盖章要求</w:t>
            </w:r>
          </w:p>
        </w:tc>
        <w:tc>
          <w:tcPr>
            <w:tcW w:w="5812" w:type="dxa"/>
            <w:vAlign w:val="center"/>
          </w:tcPr>
          <w:p w14:paraId="429A8937">
            <w:pPr>
              <w:spacing w:line="360" w:lineRule="auto"/>
              <w:rPr>
                <w:snapToGrid w:val="0"/>
                <w:kern w:val="0"/>
                <w:szCs w:val="21"/>
              </w:rPr>
            </w:pPr>
            <w:r>
              <w:rPr>
                <w:rFonts w:hint="eastAsia"/>
                <w:snapToGrid w:val="0"/>
                <w:kern w:val="0"/>
                <w:szCs w:val="21"/>
              </w:rPr>
              <w:t>符合招标文件第二章“供应商须知前附表”3.7</w:t>
            </w:r>
            <w:r>
              <w:rPr>
                <w:snapToGrid w:val="0"/>
                <w:kern w:val="0"/>
                <w:szCs w:val="21"/>
              </w:rPr>
              <w:t>.</w:t>
            </w:r>
            <w:r>
              <w:rPr>
                <w:rFonts w:hint="eastAsia"/>
                <w:snapToGrid w:val="0"/>
                <w:kern w:val="0"/>
                <w:szCs w:val="21"/>
              </w:rPr>
              <w:t>3要求。</w:t>
            </w:r>
          </w:p>
        </w:tc>
      </w:tr>
      <w:tr w14:paraId="637E0B4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845" w:hRule="atLeast"/>
          <w:jc w:val="center"/>
        </w:trPr>
        <w:tc>
          <w:tcPr>
            <w:tcW w:w="951" w:type="dxa"/>
            <w:vMerge w:val="continue"/>
            <w:vAlign w:val="center"/>
          </w:tcPr>
          <w:p w14:paraId="0114358C">
            <w:pPr>
              <w:spacing w:before="120" w:beforeLines="50" w:line="360" w:lineRule="auto"/>
              <w:rPr>
                <w:rFonts w:ascii="宋体" w:hAnsi="宋体" w:cs="宋体"/>
                <w:snapToGrid w:val="0"/>
                <w:kern w:val="0"/>
                <w:szCs w:val="21"/>
              </w:rPr>
            </w:pPr>
          </w:p>
        </w:tc>
        <w:tc>
          <w:tcPr>
            <w:tcW w:w="2409" w:type="dxa"/>
            <w:gridSpan w:val="3"/>
            <w:vAlign w:val="center"/>
          </w:tcPr>
          <w:p w14:paraId="04D2E702">
            <w:pPr>
              <w:spacing w:before="120" w:beforeLines="50" w:line="360" w:lineRule="auto"/>
              <w:jc w:val="center"/>
              <w:rPr>
                <w:rFonts w:ascii="宋体" w:hAnsi="宋体" w:cs="宋体"/>
                <w:snapToGrid w:val="0"/>
                <w:kern w:val="0"/>
                <w:szCs w:val="21"/>
              </w:rPr>
            </w:pPr>
            <w:r>
              <w:rPr>
                <w:rFonts w:hint="eastAsia" w:ascii="宋体" w:hAnsi="宋体" w:cs="宋体"/>
                <w:snapToGrid w:val="0"/>
                <w:kern w:val="0"/>
                <w:szCs w:val="21"/>
              </w:rPr>
              <w:t>投标报价</w:t>
            </w:r>
          </w:p>
        </w:tc>
        <w:tc>
          <w:tcPr>
            <w:tcW w:w="5812" w:type="dxa"/>
            <w:vAlign w:val="center"/>
          </w:tcPr>
          <w:p w14:paraId="6CF7C333">
            <w:pPr>
              <w:spacing w:line="360" w:lineRule="auto"/>
              <w:rPr>
                <w:snapToGrid w:val="0"/>
                <w:kern w:val="0"/>
                <w:szCs w:val="21"/>
              </w:rPr>
            </w:pPr>
            <w:r>
              <w:rPr>
                <w:rFonts w:hint="eastAsia"/>
                <w:snapToGrid w:val="0"/>
                <w:kern w:val="0"/>
                <w:szCs w:val="21"/>
              </w:rPr>
              <w:t>1、供应商的投标报价符合招标文件第二章供应商须知3.</w:t>
            </w:r>
            <w:r>
              <w:rPr>
                <w:snapToGrid w:val="0"/>
                <w:kern w:val="0"/>
                <w:szCs w:val="21"/>
              </w:rPr>
              <w:t>2.</w:t>
            </w:r>
            <w:r>
              <w:rPr>
                <w:rFonts w:hint="eastAsia"/>
                <w:snapToGrid w:val="0"/>
                <w:kern w:val="0"/>
                <w:szCs w:val="21"/>
              </w:rPr>
              <w:t>2款的规定，且报价唯一；</w:t>
            </w:r>
          </w:p>
          <w:p w14:paraId="3AE9879B">
            <w:pPr>
              <w:spacing w:line="360" w:lineRule="auto"/>
              <w:rPr>
                <w:snapToGrid w:val="0"/>
                <w:kern w:val="0"/>
                <w:szCs w:val="21"/>
              </w:rPr>
            </w:pPr>
            <w:r>
              <w:rPr>
                <w:rFonts w:hint="eastAsia"/>
                <w:snapToGrid w:val="0"/>
                <w:kern w:val="0"/>
                <w:szCs w:val="21"/>
              </w:rPr>
              <w:t>2、投标报价不得</w:t>
            </w:r>
            <w:r>
              <w:rPr>
                <w:snapToGrid w:val="0"/>
                <w:kern w:val="0"/>
                <w:szCs w:val="21"/>
              </w:rPr>
              <w:t>超过</w:t>
            </w:r>
            <w:r>
              <w:rPr>
                <w:rFonts w:hint="eastAsia"/>
                <w:snapToGrid w:val="0"/>
                <w:kern w:val="0"/>
                <w:szCs w:val="21"/>
              </w:rPr>
              <w:t>第二章“供应商须知前附表”第3.2.</w:t>
            </w:r>
            <w:r>
              <w:rPr>
                <w:snapToGrid w:val="0"/>
                <w:kern w:val="0"/>
                <w:szCs w:val="21"/>
              </w:rPr>
              <w:t>5</w:t>
            </w:r>
            <w:r>
              <w:rPr>
                <w:rFonts w:hint="eastAsia"/>
                <w:snapToGrid w:val="0"/>
                <w:kern w:val="0"/>
                <w:szCs w:val="21"/>
              </w:rPr>
              <w:t>款载明的投标最高限价。</w:t>
            </w:r>
          </w:p>
        </w:tc>
      </w:tr>
      <w:tr w14:paraId="48D90DC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19" w:hRule="atLeast"/>
          <w:jc w:val="center"/>
        </w:trPr>
        <w:tc>
          <w:tcPr>
            <w:tcW w:w="951" w:type="dxa"/>
            <w:vMerge w:val="continue"/>
            <w:vAlign w:val="center"/>
          </w:tcPr>
          <w:p w14:paraId="740B73E9">
            <w:pPr>
              <w:spacing w:before="120" w:beforeLines="50" w:line="360" w:lineRule="auto"/>
              <w:rPr>
                <w:rFonts w:ascii="宋体" w:hAnsi="宋体" w:cs="宋体"/>
                <w:snapToGrid w:val="0"/>
                <w:kern w:val="0"/>
                <w:szCs w:val="21"/>
              </w:rPr>
            </w:pPr>
          </w:p>
        </w:tc>
        <w:tc>
          <w:tcPr>
            <w:tcW w:w="2409" w:type="dxa"/>
            <w:gridSpan w:val="3"/>
            <w:vAlign w:val="center"/>
          </w:tcPr>
          <w:p w14:paraId="44AB5782">
            <w:pPr>
              <w:spacing w:before="120" w:beforeLines="50" w:line="360" w:lineRule="auto"/>
              <w:jc w:val="center"/>
              <w:rPr>
                <w:rFonts w:ascii="宋体" w:hAnsi="宋体" w:cs="宋体"/>
                <w:snapToGrid w:val="0"/>
                <w:kern w:val="0"/>
                <w:szCs w:val="21"/>
              </w:rPr>
            </w:pPr>
            <w:r>
              <w:rPr>
                <w:rFonts w:hint="eastAsia" w:ascii="宋体" w:hAnsi="宋体"/>
                <w:snapToGrid w:val="0"/>
                <w:kern w:val="0"/>
                <w:szCs w:val="21"/>
              </w:rPr>
              <w:t>投标有效期</w:t>
            </w:r>
          </w:p>
        </w:tc>
        <w:tc>
          <w:tcPr>
            <w:tcW w:w="5812" w:type="dxa"/>
            <w:vAlign w:val="center"/>
          </w:tcPr>
          <w:p w14:paraId="3EB37DF5">
            <w:pPr>
              <w:spacing w:line="360" w:lineRule="auto"/>
              <w:rPr>
                <w:snapToGrid w:val="0"/>
                <w:kern w:val="0"/>
                <w:szCs w:val="21"/>
              </w:rPr>
            </w:pPr>
            <w:r>
              <w:rPr>
                <w:rFonts w:hint="eastAsia"/>
                <w:snapToGrid w:val="0"/>
                <w:kern w:val="0"/>
                <w:szCs w:val="21"/>
              </w:rPr>
              <w:t>符合招标文件第二章“供应商须知前附表”3.3.1要求。</w:t>
            </w:r>
          </w:p>
        </w:tc>
      </w:tr>
      <w:tr w14:paraId="561A75D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86" w:hRule="atLeast"/>
          <w:jc w:val="center"/>
        </w:trPr>
        <w:tc>
          <w:tcPr>
            <w:tcW w:w="951" w:type="dxa"/>
            <w:vMerge w:val="continue"/>
            <w:vAlign w:val="center"/>
          </w:tcPr>
          <w:p w14:paraId="59161B10">
            <w:pPr>
              <w:spacing w:before="120" w:beforeLines="50" w:line="360" w:lineRule="auto"/>
              <w:rPr>
                <w:rFonts w:ascii="宋体" w:hAnsi="宋体" w:cs="宋体"/>
                <w:snapToGrid w:val="0"/>
                <w:kern w:val="0"/>
                <w:szCs w:val="21"/>
              </w:rPr>
            </w:pPr>
          </w:p>
        </w:tc>
        <w:tc>
          <w:tcPr>
            <w:tcW w:w="2409" w:type="dxa"/>
            <w:gridSpan w:val="3"/>
            <w:vAlign w:val="center"/>
          </w:tcPr>
          <w:p w14:paraId="6EF86A7F">
            <w:pPr>
              <w:spacing w:before="120" w:beforeLines="50" w:line="360" w:lineRule="auto"/>
              <w:jc w:val="center"/>
              <w:rPr>
                <w:rFonts w:ascii="宋体" w:hAnsi="宋体" w:cs="宋体"/>
                <w:snapToGrid w:val="0"/>
                <w:kern w:val="0"/>
                <w:szCs w:val="21"/>
              </w:rPr>
            </w:pPr>
            <w:r>
              <w:rPr>
                <w:rFonts w:hint="eastAsia" w:ascii="宋体" w:hAnsi="宋体" w:cs="宋体"/>
                <w:snapToGrid w:val="0"/>
                <w:kern w:val="0"/>
                <w:szCs w:val="21"/>
              </w:rPr>
              <w:t>其他投标无效情形</w:t>
            </w:r>
          </w:p>
        </w:tc>
        <w:tc>
          <w:tcPr>
            <w:tcW w:w="5812" w:type="dxa"/>
            <w:vAlign w:val="center"/>
          </w:tcPr>
          <w:p w14:paraId="059F4A69">
            <w:pPr>
              <w:spacing w:line="360" w:lineRule="auto"/>
              <w:rPr>
                <w:snapToGrid w:val="0"/>
                <w:kern w:val="0"/>
                <w:szCs w:val="21"/>
              </w:rPr>
            </w:pPr>
            <w:r>
              <w:rPr>
                <w:rFonts w:hint="eastAsia"/>
                <w:snapToGrid w:val="0"/>
                <w:kern w:val="0"/>
                <w:szCs w:val="21"/>
              </w:rPr>
              <w:t>供应商存在本章第3.1条“其他投标无效情形”中任意情形之一的，投标无效。</w:t>
            </w:r>
          </w:p>
        </w:tc>
      </w:tr>
      <w:tr w14:paraId="5EEFC91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19" w:hRule="atLeast"/>
          <w:jc w:val="center"/>
        </w:trPr>
        <w:tc>
          <w:tcPr>
            <w:tcW w:w="951" w:type="dxa"/>
            <w:vMerge w:val="restart"/>
            <w:vAlign w:val="center"/>
          </w:tcPr>
          <w:p w14:paraId="7FC89902">
            <w:pPr>
              <w:spacing w:before="120" w:beforeLines="50" w:line="360" w:lineRule="auto"/>
              <w:jc w:val="center"/>
              <w:rPr>
                <w:rFonts w:ascii="宋体" w:hAnsi="宋体" w:cs="宋体"/>
                <w:snapToGrid w:val="0"/>
                <w:kern w:val="0"/>
                <w:szCs w:val="21"/>
              </w:rPr>
            </w:pPr>
            <w:r>
              <w:rPr>
                <w:rFonts w:hint="eastAsia" w:ascii="宋体" w:hAnsi="宋体" w:cs="宋体"/>
                <w:snapToGrid w:val="0"/>
                <w:kern w:val="0"/>
                <w:szCs w:val="21"/>
              </w:rPr>
              <w:t>详细评审（综合评分法）</w:t>
            </w:r>
          </w:p>
        </w:tc>
        <w:tc>
          <w:tcPr>
            <w:tcW w:w="921" w:type="dxa"/>
            <w:vAlign w:val="center"/>
          </w:tcPr>
          <w:p w14:paraId="1F6ECB79">
            <w:pPr>
              <w:snapToGrid w:val="0"/>
              <w:spacing w:before="120" w:beforeLines="50" w:line="360" w:lineRule="auto"/>
              <w:jc w:val="center"/>
              <w:rPr>
                <w:rFonts w:ascii="宋体" w:hAnsi="宋体" w:cs="宋体"/>
                <w:snapToGrid w:val="0"/>
                <w:kern w:val="0"/>
                <w:szCs w:val="21"/>
              </w:rPr>
            </w:pPr>
            <w:r>
              <w:rPr>
                <w:rFonts w:ascii="宋体" w:hAnsi="宋体" w:cs="宋体"/>
                <w:snapToGrid w:val="0"/>
                <w:kern w:val="0"/>
                <w:szCs w:val="21"/>
              </w:rPr>
              <w:t>3.1</w:t>
            </w:r>
          </w:p>
        </w:tc>
        <w:tc>
          <w:tcPr>
            <w:tcW w:w="1488" w:type="dxa"/>
            <w:gridSpan w:val="2"/>
            <w:vAlign w:val="center"/>
          </w:tcPr>
          <w:p w14:paraId="20116F94">
            <w:pPr>
              <w:snapToGrid w:val="0"/>
              <w:spacing w:before="120" w:beforeLines="50" w:line="360" w:lineRule="auto"/>
              <w:jc w:val="center"/>
              <w:rPr>
                <w:rFonts w:ascii="宋体" w:hAnsi="宋体" w:cs="宋体"/>
                <w:snapToGrid w:val="0"/>
                <w:kern w:val="0"/>
                <w:szCs w:val="21"/>
              </w:rPr>
            </w:pPr>
            <w:r>
              <w:rPr>
                <w:rFonts w:hint="eastAsia" w:ascii="宋体" w:hAnsi="宋体" w:cs="宋体"/>
                <w:snapToGrid w:val="0"/>
                <w:kern w:val="0"/>
                <w:szCs w:val="21"/>
              </w:rPr>
              <w:t>评标总得分</w:t>
            </w:r>
          </w:p>
        </w:tc>
        <w:tc>
          <w:tcPr>
            <w:tcW w:w="5812" w:type="dxa"/>
            <w:vAlign w:val="center"/>
          </w:tcPr>
          <w:p w14:paraId="07B1DE2D">
            <w:pPr>
              <w:spacing w:line="360" w:lineRule="auto"/>
              <w:rPr>
                <w:snapToGrid w:val="0"/>
                <w:kern w:val="0"/>
                <w:szCs w:val="21"/>
              </w:rPr>
            </w:pPr>
            <w:r>
              <w:rPr>
                <w:rFonts w:hint="eastAsia"/>
                <w:snapToGrid w:val="0"/>
                <w:kern w:val="0"/>
                <w:szCs w:val="21"/>
              </w:rPr>
              <w:t>评标总得分＝</w:t>
            </w:r>
            <w:r>
              <w:rPr>
                <w:snapToGrid w:val="0"/>
                <w:kern w:val="0"/>
                <w:szCs w:val="21"/>
              </w:rPr>
              <w:t>F1+F2</w:t>
            </w:r>
            <w:r>
              <w:rPr>
                <w:rFonts w:hint="eastAsia"/>
                <w:snapToGrid w:val="0"/>
                <w:kern w:val="0"/>
                <w:szCs w:val="21"/>
              </w:rPr>
              <w:t>+F3</w:t>
            </w:r>
          </w:p>
        </w:tc>
      </w:tr>
      <w:tr w14:paraId="064E573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951" w:type="dxa"/>
            <w:vMerge w:val="continue"/>
            <w:vAlign w:val="center"/>
          </w:tcPr>
          <w:p w14:paraId="01837960">
            <w:pPr>
              <w:spacing w:before="120" w:beforeLines="50" w:line="360" w:lineRule="auto"/>
              <w:jc w:val="center"/>
              <w:rPr>
                <w:rFonts w:ascii="宋体" w:hAnsi="宋体" w:cs="宋体"/>
                <w:snapToGrid w:val="0"/>
                <w:kern w:val="0"/>
                <w:szCs w:val="21"/>
              </w:rPr>
            </w:pPr>
          </w:p>
        </w:tc>
        <w:tc>
          <w:tcPr>
            <w:tcW w:w="921" w:type="dxa"/>
            <w:vAlign w:val="center"/>
          </w:tcPr>
          <w:p w14:paraId="48A3AC74">
            <w:pPr>
              <w:snapToGrid w:val="0"/>
              <w:spacing w:before="120" w:beforeLines="50" w:line="360" w:lineRule="auto"/>
              <w:jc w:val="center"/>
              <w:rPr>
                <w:rFonts w:ascii="宋体" w:hAnsi="宋体" w:cs="宋体"/>
                <w:snapToGrid w:val="0"/>
                <w:kern w:val="0"/>
                <w:szCs w:val="21"/>
              </w:rPr>
            </w:pPr>
            <w:r>
              <w:rPr>
                <w:rFonts w:ascii="宋体" w:hAnsi="宋体" w:cs="宋体"/>
                <w:snapToGrid w:val="0"/>
                <w:kern w:val="0"/>
                <w:szCs w:val="21"/>
              </w:rPr>
              <w:t>3.2</w:t>
            </w:r>
          </w:p>
        </w:tc>
        <w:tc>
          <w:tcPr>
            <w:tcW w:w="1488" w:type="dxa"/>
            <w:gridSpan w:val="2"/>
            <w:vAlign w:val="center"/>
          </w:tcPr>
          <w:p w14:paraId="473DBACC">
            <w:pPr>
              <w:snapToGrid w:val="0"/>
              <w:spacing w:before="120" w:beforeLines="50" w:line="360" w:lineRule="auto"/>
              <w:jc w:val="center"/>
              <w:rPr>
                <w:rFonts w:ascii="宋体" w:hAnsi="宋体" w:cs="宋体"/>
                <w:snapToGrid w:val="0"/>
                <w:kern w:val="0"/>
                <w:szCs w:val="21"/>
              </w:rPr>
            </w:pPr>
            <w:r>
              <w:rPr>
                <w:rFonts w:hint="eastAsia" w:ascii="宋体" w:hAnsi="宋体" w:cs="宋体"/>
                <w:snapToGrid w:val="0"/>
                <w:kern w:val="0"/>
                <w:szCs w:val="21"/>
              </w:rPr>
              <w:t>评分因素分值及权重</w:t>
            </w:r>
          </w:p>
        </w:tc>
        <w:tc>
          <w:tcPr>
            <w:tcW w:w="5812" w:type="dxa"/>
            <w:vAlign w:val="center"/>
          </w:tcPr>
          <w:p w14:paraId="7946868B">
            <w:pPr>
              <w:spacing w:line="360" w:lineRule="auto"/>
              <w:rPr>
                <w:snapToGrid w:val="0"/>
                <w:kern w:val="0"/>
                <w:szCs w:val="21"/>
              </w:rPr>
            </w:pPr>
            <w:r>
              <w:rPr>
                <w:rFonts w:hint="eastAsia"/>
                <w:snapToGrid w:val="0"/>
                <w:kern w:val="0"/>
                <w:szCs w:val="21"/>
              </w:rPr>
              <w:t>F1：价格部分：20分；</w:t>
            </w:r>
          </w:p>
          <w:p w14:paraId="1882FDB7">
            <w:pPr>
              <w:spacing w:line="360" w:lineRule="auto"/>
              <w:rPr>
                <w:snapToGrid w:val="0"/>
                <w:kern w:val="0"/>
                <w:szCs w:val="21"/>
              </w:rPr>
            </w:pPr>
            <w:r>
              <w:rPr>
                <w:rFonts w:hint="eastAsia"/>
                <w:snapToGrid w:val="0"/>
                <w:kern w:val="0"/>
                <w:szCs w:val="21"/>
              </w:rPr>
              <w:t>F2：技术部分：67分；</w:t>
            </w:r>
          </w:p>
          <w:p w14:paraId="18C3FA92">
            <w:pPr>
              <w:spacing w:line="360" w:lineRule="auto"/>
              <w:rPr>
                <w:snapToGrid w:val="0"/>
                <w:kern w:val="0"/>
                <w:szCs w:val="21"/>
                <w:highlight w:val="yellow"/>
              </w:rPr>
            </w:pPr>
            <w:r>
              <w:rPr>
                <w:rFonts w:hint="eastAsia"/>
                <w:snapToGrid w:val="0"/>
                <w:kern w:val="0"/>
                <w:szCs w:val="21"/>
              </w:rPr>
              <w:t>F3：商务部分：13分。</w:t>
            </w:r>
          </w:p>
        </w:tc>
      </w:tr>
      <w:tr w14:paraId="27049B6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jc w:val="center"/>
        </w:trPr>
        <w:tc>
          <w:tcPr>
            <w:tcW w:w="951" w:type="dxa"/>
            <w:vMerge w:val="continue"/>
            <w:vAlign w:val="center"/>
          </w:tcPr>
          <w:p w14:paraId="1CACE717">
            <w:pPr>
              <w:spacing w:before="120" w:beforeLines="50" w:line="360" w:lineRule="auto"/>
              <w:jc w:val="center"/>
              <w:rPr>
                <w:rFonts w:ascii="宋体" w:hAnsi="宋体" w:cs="宋体"/>
                <w:snapToGrid w:val="0"/>
                <w:kern w:val="0"/>
                <w:szCs w:val="21"/>
              </w:rPr>
            </w:pPr>
          </w:p>
        </w:tc>
        <w:tc>
          <w:tcPr>
            <w:tcW w:w="921" w:type="dxa"/>
            <w:vAlign w:val="center"/>
          </w:tcPr>
          <w:p w14:paraId="517B7D24">
            <w:pPr>
              <w:snapToGrid w:val="0"/>
              <w:spacing w:before="120" w:beforeLines="50" w:line="360" w:lineRule="auto"/>
              <w:jc w:val="center"/>
              <w:rPr>
                <w:rFonts w:ascii="宋体" w:hAnsi="宋体" w:cs="宋体"/>
                <w:b/>
                <w:snapToGrid w:val="0"/>
                <w:kern w:val="0"/>
                <w:szCs w:val="21"/>
              </w:rPr>
            </w:pPr>
            <w:r>
              <w:rPr>
                <w:rFonts w:ascii="宋体" w:hAnsi="宋体" w:cs="宋体"/>
                <w:b/>
                <w:snapToGrid w:val="0"/>
                <w:kern w:val="0"/>
                <w:szCs w:val="21"/>
              </w:rPr>
              <w:t>3.3</w:t>
            </w:r>
          </w:p>
        </w:tc>
        <w:tc>
          <w:tcPr>
            <w:tcW w:w="1488" w:type="dxa"/>
            <w:gridSpan w:val="2"/>
            <w:vAlign w:val="center"/>
          </w:tcPr>
          <w:p w14:paraId="4EFCCAD2">
            <w:pPr>
              <w:snapToGrid w:val="0"/>
              <w:spacing w:before="120" w:beforeLines="50" w:line="360" w:lineRule="auto"/>
              <w:jc w:val="center"/>
              <w:rPr>
                <w:rFonts w:ascii="宋体" w:hAnsi="宋体" w:cs="宋体"/>
                <w:b/>
                <w:snapToGrid w:val="0"/>
                <w:kern w:val="0"/>
                <w:szCs w:val="21"/>
              </w:rPr>
            </w:pPr>
            <w:r>
              <w:rPr>
                <w:rFonts w:hint="eastAsia" w:ascii="宋体" w:hAnsi="宋体" w:cs="宋体"/>
                <w:b/>
                <w:snapToGrid w:val="0"/>
                <w:kern w:val="0"/>
                <w:szCs w:val="21"/>
              </w:rPr>
              <w:t>价格评审</w:t>
            </w:r>
          </w:p>
        </w:tc>
        <w:tc>
          <w:tcPr>
            <w:tcW w:w="5812" w:type="dxa"/>
            <w:vAlign w:val="center"/>
          </w:tcPr>
          <w:p w14:paraId="793867EA">
            <w:pPr>
              <w:snapToGrid w:val="0"/>
              <w:spacing w:before="120" w:beforeLines="50" w:line="360" w:lineRule="auto"/>
              <w:jc w:val="left"/>
              <w:rPr>
                <w:snapToGrid w:val="0"/>
                <w:kern w:val="0"/>
                <w:szCs w:val="21"/>
              </w:rPr>
            </w:pPr>
            <w:r>
              <w:rPr>
                <w:rFonts w:hint="eastAsia"/>
                <w:snapToGrid w:val="0"/>
                <w:kern w:val="0"/>
                <w:szCs w:val="21"/>
              </w:rPr>
              <w:t>20分</w:t>
            </w:r>
          </w:p>
        </w:tc>
      </w:tr>
      <w:tr w14:paraId="3CF6932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981" w:hRule="atLeast"/>
          <w:jc w:val="center"/>
        </w:trPr>
        <w:tc>
          <w:tcPr>
            <w:tcW w:w="951" w:type="dxa"/>
            <w:vMerge w:val="continue"/>
            <w:vAlign w:val="center"/>
          </w:tcPr>
          <w:p w14:paraId="5C798558">
            <w:pPr>
              <w:spacing w:before="120" w:beforeLines="50" w:line="360" w:lineRule="auto"/>
              <w:jc w:val="center"/>
              <w:rPr>
                <w:rFonts w:ascii="宋体" w:hAnsi="宋体" w:cs="宋体"/>
                <w:snapToGrid w:val="0"/>
                <w:kern w:val="0"/>
                <w:szCs w:val="21"/>
              </w:rPr>
            </w:pPr>
          </w:p>
        </w:tc>
        <w:tc>
          <w:tcPr>
            <w:tcW w:w="2409" w:type="dxa"/>
            <w:gridSpan w:val="3"/>
            <w:vAlign w:val="center"/>
          </w:tcPr>
          <w:p w14:paraId="59B47837">
            <w:pPr>
              <w:spacing w:line="360" w:lineRule="auto"/>
              <w:jc w:val="center"/>
              <w:rPr>
                <w:snapToGrid w:val="0"/>
                <w:kern w:val="0"/>
                <w:szCs w:val="21"/>
              </w:rPr>
            </w:pPr>
            <w:r>
              <w:rPr>
                <w:rFonts w:hint="eastAsia"/>
                <w:snapToGrid w:val="0"/>
                <w:kern w:val="0"/>
                <w:szCs w:val="21"/>
              </w:rPr>
              <w:t>投标总报价评分</w:t>
            </w:r>
          </w:p>
          <w:p w14:paraId="566F0E2A">
            <w:pPr>
              <w:spacing w:line="360" w:lineRule="auto"/>
              <w:jc w:val="center"/>
              <w:rPr>
                <w:rFonts w:ascii="宋体" w:hAnsi="宋体" w:cs="宋体"/>
                <w:snapToGrid w:val="0"/>
                <w:kern w:val="0"/>
                <w:szCs w:val="21"/>
              </w:rPr>
            </w:pPr>
            <w:r>
              <w:rPr>
                <w:rFonts w:hint="eastAsia"/>
                <w:snapToGrid w:val="0"/>
                <w:kern w:val="0"/>
                <w:szCs w:val="21"/>
              </w:rPr>
              <w:t>（20分）</w:t>
            </w:r>
          </w:p>
        </w:tc>
        <w:tc>
          <w:tcPr>
            <w:tcW w:w="5812" w:type="dxa"/>
            <w:vAlign w:val="center"/>
          </w:tcPr>
          <w:p w14:paraId="27F4C7CA">
            <w:pPr>
              <w:spacing w:line="360" w:lineRule="auto"/>
              <w:rPr>
                <w:snapToGrid w:val="0"/>
                <w:kern w:val="0"/>
                <w:szCs w:val="21"/>
              </w:rPr>
            </w:pPr>
            <w:r>
              <w:rPr>
                <w:rFonts w:hint="eastAsia"/>
                <w:snapToGrid w:val="0"/>
                <w:kern w:val="0"/>
                <w:szCs w:val="21"/>
              </w:rPr>
              <w:t>满足招标文件要求且价格最低的投标报价为评标基准价，其价格分为满分；其他供应商的报价得分统一按照下列公式计算：</w:t>
            </w:r>
          </w:p>
          <w:p w14:paraId="32D575AE">
            <w:pPr>
              <w:spacing w:line="360" w:lineRule="auto"/>
              <w:rPr>
                <w:snapToGrid w:val="0"/>
                <w:kern w:val="0"/>
                <w:szCs w:val="21"/>
              </w:rPr>
            </w:pPr>
            <w:r>
              <w:rPr>
                <w:rFonts w:hint="eastAsia"/>
                <w:snapToGrid w:val="0"/>
                <w:kern w:val="0"/>
                <w:szCs w:val="21"/>
              </w:rPr>
              <w:t>投标报价得分＝（评标基准价/投标报价）×2</w:t>
            </w:r>
            <w:r>
              <w:rPr>
                <w:snapToGrid w:val="0"/>
                <w:kern w:val="0"/>
                <w:szCs w:val="21"/>
              </w:rPr>
              <w:t>0</w:t>
            </w:r>
          </w:p>
          <w:p w14:paraId="147C3EB6">
            <w:pPr>
              <w:spacing w:line="360" w:lineRule="auto"/>
              <w:rPr>
                <w:rFonts w:ascii="宋体" w:hAnsi="宋体" w:cs="宋体"/>
                <w:bCs/>
                <w:snapToGrid w:val="0"/>
                <w:kern w:val="0"/>
                <w:szCs w:val="21"/>
              </w:rPr>
            </w:pPr>
            <w:r>
              <w:rPr>
                <w:rFonts w:hint="eastAsia" w:ascii="宋体" w:hAnsi="宋体" w:cs="宋体"/>
                <w:bCs/>
                <w:snapToGrid w:val="0"/>
                <w:kern w:val="0"/>
                <w:szCs w:val="21"/>
              </w:rPr>
              <w:t>注：</w:t>
            </w:r>
          </w:p>
          <w:p w14:paraId="38E8D3B4">
            <w:pPr>
              <w:spacing w:line="360" w:lineRule="auto"/>
              <w:rPr>
                <w:rFonts w:ascii="宋体" w:hAnsi="宋体" w:cs="宋体"/>
                <w:bCs/>
                <w:snapToGrid w:val="0"/>
                <w:kern w:val="0"/>
                <w:szCs w:val="21"/>
              </w:rPr>
            </w:pPr>
            <w:r>
              <w:rPr>
                <w:rFonts w:ascii="宋体" w:hAnsi="宋体" w:cs="宋体"/>
                <w:bCs/>
                <w:snapToGrid w:val="0"/>
                <w:kern w:val="0"/>
                <w:szCs w:val="21"/>
              </w:rPr>
              <w:t>1、对小型和微型企业产品的最终价格给予10%的扣除，用扣除后的价格参与评审，即：评审价=投标报价×(1-10%)。</w:t>
            </w:r>
          </w:p>
          <w:p w14:paraId="7D67A19D">
            <w:pPr>
              <w:spacing w:line="360" w:lineRule="auto"/>
              <w:rPr>
                <w:snapToGrid w:val="0"/>
                <w:kern w:val="0"/>
                <w:szCs w:val="21"/>
              </w:rPr>
            </w:pPr>
            <w:r>
              <w:rPr>
                <w:rFonts w:hint="eastAsia"/>
                <w:snapToGrid w:val="0"/>
                <w:kern w:val="0"/>
                <w:szCs w:val="21"/>
              </w:rPr>
              <w:t>2、监狱企业及残疾人福利性单位视同小型或微型企业。</w:t>
            </w:r>
          </w:p>
          <w:p w14:paraId="1C334FE7">
            <w:pPr>
              <w:spacing w:line="360" w:lineRule="auto"/>
              <w:rPr>
                <w:snapToGrid w:val="0"/>
                <w:kern w:val="0"/>
                <w:szCs w:val="21"/>
              </w:rPr>
            </w:pPr>
            <w:r>
              <w:rPr>
                <w:rFonts w:hint="eastAsia"/>
                <w:snapToGrid w:val="0"/>
                <w:kern w:val="0"/>
                <w:szCs w:val="21"/>
              </w:rPr>
              <w:t>3、小微企业声明函及监狱企业声明函及残疾人福利性单位格式详见招标文件第七章。</w:t>
            </w:r>
          </w:p>
          <w:p w14:paraId="4E0CE0BF">
            <w:pPr>
              <w:spacing w:line="360" w:lineRule="auto"/>
              <w:rPr>
                <w:szCs w:val="21"/>
              </w:rPr>
            </w:pPr>
            <w:r>
              <w:rPr>
                <w:snapToGrid w:val="0"/>
                <w:kern w:val="0"/>
                <w:szCs w:val="21"/>
              </w:rPr>
              <w:t>4</w:t>
            </w:r>
            <w:r>
              <w:rPr>
                <w:rFonts w:hint="eastAsia"/>
                <w:snapToGrid w:val="0"/>
                <w:kern w:val="0"/>
                <w:szCs w:val="21"/>
              </w:rPr>
              <w:t>、若存在算术修正，应按修正后的投标报价进行评标基准价和投标报价得分计算。</w:t>
            </w:r>
          </w:p>
        </w:tc>
      </w:tr>
      <w:tr w14:paraId="3F54874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33" w:hRule="atLeast"/>
          <w:jc w:val="center"/>
        </w:trPr>
        <w:tc>
          <w:tcPr>
            <w:tcW w:w="951" w:type="dxa"/>
            <w:vMerge w:val="continue"/>
            <w:vAlign w:val="center"/>
          </w:tcPr>
          <w:p w14:paraId="114D3A25">
            <w:pPr>
              <w:spacing w:before="120" w:beforeLines="50" w:line="360" w:lineRule="auto"/>
              <w:jc w:val="center"/>
              <w:rPr>
                <w:rFonts w:ascii="宋体" w:hAnsi="宋体" w:cs="宋体"/>
                <w:snapToGrid w:val="0"/>
                <w:kern w:val="0"/>
                <w:szCs w:val="21"/>
              </w:rPr>
            </w:pPr>
            <w:bookmarkStart w:id="128" w:name="_Hlk72437084"/>
          </w:p>
        </w:tc>
        <w:tc>
          <w:tcPr>
            <w:tcW w:w="921" w:type="dxa"/>
            <w:vAlign w:val="center"/>
          </w:tcPr>
          <w:p w14:paraId="59A844C4">
            <w:pPr>
              <w:snapToGrid w:val="0"/>
              <w:spacing w:before="120" w:beforeLines="50" w:line="360" w:lineRule="auto"/>
              <w:jc w:val="center"/>
              <w:rPr>
                <w:rFonts w:ascii="宋体" w:hAnsi="宋体" w:cs="宋体"/>
                <w:b/>
                <w:snapToGrid w:val="0"/>
                <w:kern w:val="0"/>
                <w:szCs w:val="21"/>
              </w:rPr>
            </w:pPr>
            <w:r>
              <w:rPr>
                <w:rFonts w:hint="eastAsia" w:ascii="宋体" w:hAnsi="宋体" w:cs="宋体"/>
                <w:b/>
                <w:snapToGrid w:val="0"/>
                <w:kern w:val="0"/>
                <w:szCs w:val="21"/>
              </w:rPr>
              <w:t>3.4</w:t>
            </w:r>
          </w:p>
        </w:tc>
        <w:tc>
          <w:tcPr>
            <w:tcW w:w="1488" w:type="dxa"/>
            <w:gridSpan w:val="2"/>
            <w:vAlign w:val="center"/>
          </w:tcPr>
          <w:p w14:paraId="46686207">
            <w:pPr>
              <w:snapToGrid w:val="0"/>
              <w:spacing w:before="120" w:beforeLines="50" w:line="360" w:lineRule="auto"/>
              <w:jc w:val="center"/>
              <w:rPr>
                <w:rFonts w:ascii="宋体" w:hAnsi="宋体" w:cs="宋体"/>
                <w:b/>
                <w:snapToGrid w:val="0"/>
                <w:kern w:val="0"/>
                <w:szCs w:val="21"/>
              </w:rPr>
            </w:pPr>
            <w:r>
              <w:rPr>
                <w:rFonts w:hint="eastAsia" w:ascii="宋体" w:hAnsi="宋体" w:cs="宋体"/>
                <w:b/>
                <w:snapToGrid w:val="0"/>
                <w:kern w:val="0"/>
                <w:szCs w:val="21"/>
              </w:rPr>
              <w:t>技术评分</w:t>
            </w:r>
          </w:p>
        </w:tc>
        <w:tc>
          <w:tcPr>
            <w:tcW w:w="5812" w:type="dxa"/>
            <w:vAlign w:val="center"/>
          </w:tcPr>
          <w:p w14:paraId="0C92A9E6">
            <w:pPr>
              <w:snapToGrid w:val="0"/>
              <w:spacing w:before="120" w:beforeLines="50" w:line="360" w:lineRule="auto"/>
              <w:jc w:val="left"/>
              <w:rPr>
                <w:rFonts w:ascii="宋体" w:hAnsi="宋体" w:cs="宋体"/>
                <w:b/>
                <w:snapToGrid w:val="0"/>
                <w:kern w:val="0"/>
                <w:szCs w:val="21"/>
              </w:rPr>
            </w:pPr>
            <w:r>
              <w:rPr>
                <w:rFonts w:hint="eastAsia" w:ascii="宋体" w:hAnsi="宋体" w:cs="宋体"/>
                <w:b/>
                <w:snapToGrid w:val="0"/>
                <w:kern w:val="0"/>
                <w:szCs w:val="21"/>
              </w:rPr>
              <w:t>F2=67分</w:t>
            </w:r>
          </w:p>
        </w:tc>
      </w:tr>
      <w:tr w14:paraId="7FCB34C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271" w:hRule="atLeast"/>
          <w:jc w:val="center"/>
        </w:trPr>
        <w:tc>
          <w:tcPr>
            <w:tcW w:w="951" w:type="dxa"/>
            <w:vMerge w:val="continue"/>
            <w:vAlign w:val="center"/>
          </w:tcPr>
          <w:p w14:paraId="6D1721A5">
            <w:pPr>
              <w:spacing w:before="120" w:beforeLines="50" w:line="360" w:lineRule="auto"/>
              <w:jc w:val="center"/>
              <w:rPr>
                <w:rFonts w:ascii="宋体" w:hAnsi="宋体" w:cs="宋体"/>
                <w:snapToGrid w:val="0"/>
                <w:kern w:val="0"/>
                <w:szCs w:val="21"/>
              </w:rPr>
            </w:pPr>
          </w:p>
        </w:tc>
        <w:tc>
          <w:tcPr>
            <w:tcW w:w="2409" w:type="dxa"/>
            <w:gridSpan w:val="3"/>
            <w:vAlign w:val="center"/>
          </w:tcPr>
          <w:p w14:paraId="65078CD6">
            <w:pPr>
              <w:autoSpaceDE w:val="0"/>
              <w:autoSpaceDN w:val="0"/>
              <w:adjustRightInd w:val="0"/>
              <w:spacing w:line="300" w:lineRule="auto"/>
              <w:jc w:val="center"/>
              <w:rPr>
                <w:rFonts w:ascii="宋体" w:hAnsi="宋体"/>
                <w:szCs w:val="21"/>
              </w:rPr>
            </w:pPr>
            <w:r>
              <w:rPr>
                <w:rFonts w:hint="eastAsia" w:ascii="宋体" w:hAnsi="宋体"/>
                <w:szCs w:val="21"/>
              </w:rPr>
              <w:t>备件服务能力</w:t>
            </w:r>
          </w:p>
          <w:p w14:paraId="0DE33BE6">
            <w:pPr>
              <w:autoSpaceDE w:val="0"/>
              <w:autoSpaceDN w:val="0"/>
              <w:adjustRightInd w:val="0"/>
              <w:spacing w:line="300" w:lineRule="auto"/>
              <w:jc w:val="center"/>
            </w:pPr>
            <w:r>
              <w:rPr>
                <w:rFonts w:hint="eastAsia" w:ascii="宋体" w:hAnsi="宋体"/>
                <w:szCs w:val="21"/>
              </w:rPr>
              <w:t>（满分15分）</w:t>
            </w:r>
          </w:p>
        </w:tc>
        <w:tc>
          <w:tcPr>
            <w:tcW w:w="5812" w:type="dxa"/>
            <w:vAlign w:val="center"/>
          </w:tcPr>
          <w:p w14:paraId="567A0E9E">
            <w:pPr>
              <w:spacing w:line="300" w:lineRule="auto"/>
              <w:rPr>
                <w:rFonts w:ascii="宋体" w:hAnsi="宋体" w:cs="宋体"/>
                <w:szCs w:val="21"/>
              </w:rPr>
            </w:pPr>
            <w:r>
              <w:rPr>
                <w:rFonts w:hint="eastAsia" w:ascii="宋体" w:hAnsi="宋体" w:cs="宋体"/>
                <w:szCs w:val="21"/>
              </w:rPr>
              <w:t>考察投标人备件服务能力情况。包含但不限定于：有项目维护对象的相关备件库，能提供IT维保、精密空调、UPS等设备的备件清单及备件方案等内容。</w:t>
            </w:r>
          </w:p>
          <w:p w14:paraId="0F51E4F4">
            <w:pPr>
              <w:spacing w:line="300" w:lineRule="auto"/>
              <w:rPr>
                <w:snapToGrid w:val="0"/>
                <w:kern w:val="0"/>
                <w:szCs w:val="21"/>
              </w:rPr>
            </w:pPr>
            <w:r>
              <w:rPr>
                <w:rFonts w:hint="eastAsia" w:ascii="宋体" w:hAnsi="宋体" w:cs="宋体"/>
                <w:szCs w:val="21"/>
              </w:rPr>
              <w:t>第一个档次（15分）：备件服务能力好，有备件库，提供的备件库证明材料</w:t>
            </w:r>
            <w:r>
              <w:rPr>
                <w:rFonts w:hint="eastAsia"/>
                <w:snapToGrid w:val="0"/>
                <w:kern w:val="0"/>
                <w:szCs w:val="21"/>
              </w:rPr>
              <w:t>全面</w:t>
            </w:r>
            <w:r>
              <w:rPr>
                <w:snapToGrid w:val="0"/>
                <w:kern w:val="0"/>
                <w:szCs w:val="21"/>
              </w:rPr>
              <w:t>，</w:t>
            </w:r>
            <w:r>
              <w:rPr>
                <w:rFonts w:hint="eastAsia"/>
                <w:snapToGrid w:val="0"/>
                <w:kern w:val="0"/>
                <w:szCs w:val="21"/>
              </w:rPr>
              <w:t>备件清单和备件方案合理</w:t>
            </w:r>
            <w:r>
              <w:rPr>
                <w:snapToGrid w:val="0"/>
                <w:kern w:val="0"/>
                <w:szCs w:val="21"/>
              </w:rPr>
              <w:t>，</w:t>
            </w:r>
            <w:r>
              <w:rPr>
                <w:rFonts w:hint="eastAsia"/>
                <w:snapToGrid w:val="0"/>
                <w:kern w:val="0"/>
                <w:szCs w:val="21"/>
              </w:rPr>
              <w:t>内容描述详实；</w:t>
            </w:r>
          </w:p>
          <w:p w14:paraId="601A71B1">
            <w:pPr>
              <w:spacing w:line="300" w:lineRule="auto"/>
              <w:rPr>
                <w:snapToGrid w:val="0"/>
                <w:kern w:val="0"/>
                <w:szCs w:val="21"/>
              </w:rPr>
            </w:pPr>
            <w:r>
              <w:rPr>
                <w:rFonts w:hint="eastAsia" w:ascii="宋体" w:hAnsi="宋体" w:cs="宋体"/>
                <w:szCs w:val="21"/>
              </w:rPr>
              <w:t>第二个档次（10分）</w:t>
            </w:r>
            <w:r>
              <w:rPr>
                <w:rFonts w:hint="eastAsia"/>
                <w:snapToGrid w:val="0"/>
                <w:kern w:val="0"/>
                <w:szCs w:val="21"/>
              </w:rPr>
              <w:t>：</w:t>
            </w:r>
            <w:r>
              <w:rPr>
                <w:rFonts w:hint="eastAsia" w:ascii="宋体" w:hAnsi="宋体" w:cs="宋体"/>
                <w:szCs w:val="21"/>
              </w:rPr>
              <w:t>备件服务能力一般，有备件库，但提供的备件库证明材料</w:t>
            </w:r>
            <w:r>
              <w:rPr>
                <w:rFonts w:hint="eastAsia"/>
                <w:snapToGrid w:val="0"/>
                <w:kern w:val="0"/>
                <w:szCs w:val="21"/>
              </w:rPr>
              <w:t>基本全面</w:t>
            </w:r>
            <w:r>
              <w:rPr>
                <w:snapToGrid w:val="0"/>
                <w:kern w:val="0"/>
                <w:szCs w:val="21"/>
              </w:rPr>
              <w:t>，</w:t>
            </w:r>
            <w:r>
              <w:rPr>
                <w:rFonts w:hint="eastAsia"/>
                <w:snapToGrid w:val="0"/>
                <w:kern w:val="0"/>
                <w:szCs w:val="21"/>
              </w:rPr>
              <w:t>备件清单和备件方案基本合理</w:t>
            </w:r>
            <w:r>
              <w:rPr>
                <w:snapToGrid w:val="0"/>
                <w:kern w:val="0"/>
                <w:szCs w:val="21"/>
              </w:rPr>
              <w:t>，</w:t>
            </w:r>
            <w:r>
              <w:rPr>
                <w:rFonts w:hint="eastAsia"/>
                <w:snapToGrid w:val="0"/>
                <w:kern w:val="0"/>
                <w:szCs w:val="21"/>
              </w:rPr>
              <w:t>内容描述基本详实；</w:t>
            </w:r>
          </w:p>
          <w:p w14:paraId="2F76B431">
            <w:pPr>
              <w:spacing w:line="300" w:lineRule="auto"/>
              <w:rPr>
                <w:snapToGrid w:val="0"/>
                <w:kern w:val="0"/>
                <w:szCs w:val="21"/>
              </w:rPr>
            </w:pPr>
            <w:r>
              <w:rPr>
                <w:rFonts w:hint="eastAsia" w:ascii="宋体" w:hAnsi="宋体" w:cs="宋体"/>
                <w:szCs w:val="21"/>
              </w:rPr>
              <w:t>第三个档次（5分）</w:t>
            </w:r>
            <w:r>
              <w:rPr>
                <w:rFonts w:hint="eastAsia"/>
                <w:snapToGrid w:val="0"/>
                <w:kern w:val="0"/>
                <w:szCs w:val="21"/>
              </w:rPr>
              <w:t>：</w:t>
            </w:r>
            <w:r>
              <w:rPr>
                <w:rFonts w:hint="eastAsia" w:ascii="宋体" w:hAnsi="宋体" w:cs="宋体"/>
                <w:szCs w:val="21"/>
              </w:rPr>
              <w:t>备件服务能力弱，没有备件库或提供的备件库证明材料不全面</w:t>
            </w:r>
            <w:r>
              <w:rPr>
                <w:snapToGrid w:val="0"/>
                <w:kern w:val="0"/>
                <w:szCs w:val="21"/>
              </w:rPr>
              <w:t>，</w:t>
            </w:r>
            <w:r>
              <w:rPr>
                <w:rFonts w:hint="eastAsia"/>
                <w:snapToGrid w:val="0"/>
                <w:kern w:val="0"/>
                <w:szCs w:val="21"/>
              </w:rPr>
              <w:t>备件清单和备件方案不合理</w:t>
            </w:r>
            <w:r>
              <w:rPr>
                <w:snapToGrid w:val="0"/>
                <w:kern w:val="0"/>
                <w:szCs w:val="21"/>
              </w:rPr>
              <w:t>，</w:t>
            </w:r>
            <w:r>
              <w:rPr>
                <w:rFonts w:hint="eastAsia"/>
                <w:snapToGrid w:val="0"/>
                <w:kern w:val="0"/>
                <w:szCs w:val="21"/>
              </w:rPr>
              <w:t>内容描述不详实；</w:t>
            </w:r>
          </w:p>
          <w:p w14:paraId="347096A1">
            <w:pPr>
              <w:spacing w:line="300" w:lineRule="auto"/>
              <w:rPr>
                <w:rFonts w:ascii="宋体" w:hAnsi="宋体" w:cs="宋体"/>
                <w:szCs w:val="21"/>
              </w:rPr>
            </w:pPr>
            <w:r>
              <w:rPr>
                <w:rFonts w:hint="eastAsia" w:ascii="宋体" w:hAnsi="宋体" w:cs="宋体"/>
                <w:szCs w:val="21"/>
              </w:rPr>
              <w:t>第四个档次（0分）</w:t>
            </w:r>
            <w:r>
              <w:rPr>
                <w:rFonts w:hint="eastAsia"/>
                <w:snapToGrid w:val="0"/>
                <w:kern w:val="0"/>
                <w:szCs w:val="21"/>
              </w:rPr>
              <w:t>：未提供或无描述。</w:t>
            </w:r>
          </w:p>
        </w:tc>
      </w:tr>
      <w:tr w14:paraId="2EA1AC0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4" w:hRule="atLeast"/>
          <w:jc w:val="center"/>
        </w:trPr>
        <w:tc>
          <w:tcPr>
            <w:tcW w:w="951" w:type="dxa"/>
            <w:vMerge w:val="continue"/>
            <w:vAlign w:val="center"/>
          </w:tcPr>
          <w:p w14:paraId="0EB073BC">
            <w:pPr>
              <w:spacing w:before="120" w:beforeLines="50" w:line="360" w:lineRule="auto"/>
              <w:jc w:val="center"/>
              <w:rPr>
                <w:rFonts w:ascii="宋体" w:hAnsi="宋体" w:cs="宋体"/>
                <w:snapToGrid w:val="0"/>
                <w:kern w:val="0"/>
                <w:szCs w:val="21"/>
              </w:rPr>
            </w:pPr>
          </w:p>
        </w:tc>
        <w:tc>
          <w:tcPr>
            <w:tcW w:w="2409" w:type="dxa"/>
            <w:gridSpan w:val="3"/>
            <w:vAlign w:val="center"/>
          </w:tcPr>
          <w:p w14:paraId="6D9F0773">
            <w:pPr>
              <w:autoSpaceDE w:val="0"/>
              <w:autoSpaceDN w:val="0"/>
              <w:adjustRightInd w:val="0"/>
              <w:spacing w:line="300" w:lineRule="auto"/>
              <w:jc w:val="center"/>
              <w:rPr>
                <w:rFonts w:ascii="宋体" w:hAnsi="宋体"/>
                <w:szCs w:val="21"/>
              </w:rPr>
            </w:pPr>
            <w:r>
              <w:rPr>
                <w:rFonts w:hint="eastAsia" w:ascii="宋体" w:hAnsi="宋体"/>
                <w:szCs w:val="21"/>
              </w:rPr>
              <w:t>项目需求理解及现状分析</w:t>
            </w:r>
          </w:p>
          <w:p w14:paraId="58F533AA">
            <w:pPr>
              <w:autoSpaceDE w:val="0"/>
              <w:autoSpaceDN w:val="0"/>
              <w:adjustRightInd w:val="0"/>
              <w:spacing w:line="300" w:lineRule="auto"/>
              <w:jc w:val="center"/>
              <w:rPr>
                <w:rFonts w:ascii="宋体" w:hAnsi="宋体"/>
                <w:szCs w:val="21"/>
              </w:rPr>
            </w:pPr>
            <w:r>
              <w:rPr>
                <w:rFonts w:hint="eastAsia" w:ascii="宋体" w:hAnsi="宋体"/>
                <w:szCs w:val="21"/>
              </w:rPr>
              <w:t>（满分16分）</w:t>
            </w:r>
          </w:p>
        </w:tc>
        <w:tc>
          <w:tcPr>
            <w:tcW w:w="5812" w:type="dxa"/>
            <w:vAlign w:val="center"/>
          </w:tcPr>
          <w:p w14:paraId="1457544E">
            <w:pPr>
              <w:spacing w:line="300" w:lineRule="auto"/>
              <w:rPr>
                <w:rFonts w:ascii="宋体" w:hAnsi="宋体" w:cs="宋体"/>
                <w:szCs w:val="21"/>
              </w:rPr>
            </w:pPr>
            <w:r>
              <w:rPr>
                <w:rFonts w:hint="eastAsia" w:ascii="宋体" w:hAnsi="宋体" w:cs="宋体"/>
                <w:szCs w:val="21"/>
              </w:rPr>
              <w:t>考查投标人对本项目的背景和目标的理解、现状的分析及方案建议。包含但不限于：对项目需求重点难点分析、对本项目制定的业务流程、响应机制、业务规范等内容。</w:t>
            </w:r>
          </w:p>
          <w:p w14:paraId="4A36D0F7">
            <w:pPr>
              <w:spacing w:line="300" w:lineRule="auto"/>
              <w:rPr>
                <w:rFonts w:ascii="宋体" w:hAnsi="宋体" w:cs="宋体"/>
                <w:szCs w:val="21"/>
              </w:rPr>
            </w:pPr>
            <w:r>
              <w:rPr>
                <w:rFonts w:hint="eastAsia" w:ascii="宋体" w:hAnsi="宋体" w:cs="宋体"/>
                <w:szCs w:val="21"/>
              </w:rPr>
              <w:t>第一个档次（16分）：能充分理解并说明本项目服务目标、实施重点、难点等内容，制定的业务流程清晰完整、具有较强建设性与针对性；</w:t>
            </w:r>
          </w:p>
          <w:p w14:paraId="3BB55A78">
            <w:pPr>
              <w:spacing w:line="300" w:lineRule="auto"/>
              <w:rPr>
                <w:rFonts w:ascii="宋体" w:hAnsi="宋体" w:cs="宋体"/>
                <w:szCs w:val="21"/>
              </w:rPr>
            </w:pPr>
            <w:r>
              <w:rPr>
                <w:rFonts w:hint="eastAsia" w:ascii="宋体" w:hAnsi="宋体" w:cs="宋体"/>
                <w:szCs w:val="21"/>
              </w:rPr>
              <w:t>第二个档次（11分）</w:t>
            </w:r>
            <w:r>
              <w:rPr>
                <w:rFonts w:hint="eastAsia"/>
                <w:snapToGrid w:val="0"/>
                <w:kern w:val="0"/>
                <w:szCs w:val="21"/>
              </w:rPr>
              <w:t>：</w:t>
            </w:r>
            <w:r>
              <w:rPr>
                <w:rFonts w:hint="eastAsia" w:ascii="宋体" w:hAnsi="宋体" w:cs="宋体"/>
                <w:szCs w:val="21"/>
              </w:rPr>
              <w:t>能基本理解并说明本项目服务目标、实施重点、难点等内容，制定的业务流程基本完整、具有一定建设性与针对性；</w:t>
            </w:r>
          </w:p>
          <w:p w14:paraId="7F3208A1">
            <w:pPr>
              <w:spacing w:line="300" w:lineRule="auto"/>
              <w:rPr>
                <w:rFonts w:ascii="宋体" w:hAnsi="宋体" w:cs="宋体"/>
                <w:szCs w:val="21"/>
              </w:rPr>
            </w:pPr>
            <w:r>
              <w:rPr>
                <w:rFonts w:hint="eastAsia" w:ascii="宋体" w:hAnsi="宋体" w:cs="宋体"/>
                <w:szCs w:val="21"/>
              </w:rPr>
              <w:t>第三个档次（6分）</w:t>
            </w:r>
            <w:r>
              <w:rPr>
                <w:rFonts w:hint="eastAsia"/>
                <w:snapToGrid w:val="0"/>
                <w:kern w:val="0"/>
                <w:szCs w:val="21"/>
              </w:rPr>
              <w:t>：</w:t>
            </w:r>
            <w:r>
              <w:rPr>
                <w:rFonts w:hint="eastAsia" w:ascii="宋体" w:hAnsi="宋体" w:cs="宋体"/>
                <w:szCs w:val="21"/>
              </w:rPr>
              <w:t>对项目目标和思路理解不准确，方案建议不完整或含糊不清，制定的业务流程不具备建设性与针对性；</w:t>
            </w:r>
          </w:p>
          <w:p w14:paraId="389BFD8A">
            <w:pPr>
              <w:spacing w:line="300" w:lineRule="auto"/>
              <w:rPr>
                <w:rFonts w:ascii="宋体" w:hAnsi="宋体" w:cs="宋体"/>
                <w:szCs w:val="21"/>
              </w:rPr>
            </w:pPr>
            <w:r>
              <w:rPr>
                <w:rFonts w:hint="eastAsia" w:ascii="宋体" w:hAnsi="宋体" w:cs="宋体"/>
                <w:szCs w:val="21"/>
              </w:rPr>
              <w:t>第四个档次（0分）</w:t>
            </w:r>
            <w:r>
              <w:rPr>
                <w:rFonts w:hint="eastAsia"/>
                <w:snapToGrid w:val="0"/>
                <w:kern w:val="0"/>
                <w:szCs w:val="21"/>
              </w:rPr>
              <w:t>：</w:t>
            </w:r>
            <w:r>
              <w:rPr>
                <w:rFonts w:hint="eastAsia" w:ascii="宋体" w:hAnsi="宋体" w:cs="宋体"/>
                <w:szCs w:val="21"/>
              </w:rPr>
              <w:t>未提供或无描述。</w:t>
            </w:r>
          </w:p>
        </w:tc>
      </w:tr>
      <w:tr w14:paraId="25E96EC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4" w:hRule="atLeast"/>
          <w:jc w:val="center"/>
        </w:trPr>
        <w:tc>
          <w:tcPr>
            <w:tcW w:w="951" w:type="dxa"/>
            <w:vMerge w:val="continue"/>
            <w:vAlign w:val="center"/>
          </w:tcPr>
          <w:p w14:paraId="0B33EE37">
            <w:pPr>
              <w:spacing w:before="120" w:beforeLines="50" w:line="360" w:lineRule="auto"/>
              <w:jc w:val="center"/>
              <w:rPr>
                <w:rFonts w:ascii="宋体" w:hAnsi="宋体" w:cs="宋体"/>
                <w:snapToGrid w:val="0"/>
                <w:kern w:val="0"/>
                <w:szCs w:val="21"/>
              </w:rPr>
            </w:pPr>
          </w:p>
        </w:tc>
        <w:tc>
          <w:tcPr>
            <w:tcW w:w="2409" w:type="dxa"/>
            <w:gridSpan w:val="3"/>
            <w:vAlign w:val="center"/>
          </w:tcPr>
          <w:p w14:paraId="7FA2854B">
            <w:pPr>
              <w:autoSpaceDE w:val="0"/>
              <w:autoSpaceDN w:val="0"/>
              <w:adjustRightInd w:val="0"/>
              <w:spacing w:line="300" w:lineRule="auto"/>
              <w:jc w:val="center"/>
              <w:rPr>
                <w:rFonts w:ascii="宋体" w:hAnsi="宋体"/>
                <w:szCs w:val="21"/>
              </w:rPr>
            </w:pPr>
            <w:r>
              <w:rPr>
                <w:rFonts w:hint="eastAsia" w:ascii="宋体" w:hAnsi="宋体"/>
                <w:szCs w:val="21"/>
              </w:rPr>
              <w:t>维护交接方案</w:t>
            </w:r>
          </w:p>
          <w:p w14:paraId="64CBE05B">
            <w:pPr>
              <w:pStyle w:val="2"/>
              <w:jc w:val="center"/>
              <w:rPr>
                <w:sz w:val="21"/>
                <w:szCs w:val="21"/>
              </w:rPr>
            </w:pPr>
            <w:r>
              <w:rPr>
                <w:rFonts w:hint="eastAsia"/>
                <w:b w:val="0"/>
                <w:bCs w:val="0"/>
                <w:sz w:val="21"/>
                <w:szCs w:val="21"/>
              </w:rPr>
              <w:t>（满分16分）</w:t>
            </w:r>
          </w:p>
        </w:tc>
        <w:tc>
          <w:tcPr>
            <w:tcW w:w="5812" w:type="dxa"/>
            <w:vAlign w:val="center"/>
          </w:tcPr>
          <w:p w14:paraId="37656AA1">
            <w:pPr>
              <w:spacing w:line="300" w:lineRule="auto"/>
              <w:rPr>
                <w:rFonts w:ascii="宋体" w:hAnsi="宋体" w:cs="宋体"/>
                <w:szCs w:val="21"/>
              </w:rPr>
            </w:pPr>
            <w:r>
              <w:rPr>
                <w:rFonts w:hint="eastAsia" w:ascii="宋体" w:hAnsi="宋体" w:cs="宋体"/>
                <w:szCs w:val="21"/>
              </w:rPr>
              <w:t>考查投标人对本项目服务期满交接的整体考虑情况，以确保维护工作平稳顺利交接，包括但不限于：对项目维保交接的难点分析、制定的业务流程、风险防控方法、业务规范等内容。</w:t>
            </w:r>
          </w:p>
          <w:p w14:paraId="0CE4643E">
            <w:pPr>
              <w:spacing w:line="300" w:lineRule="auto"/>
              <w:rPr>
                <w:rFonts w:ascii="宋体" w:hAnsi="宋体" w:cs="宋体"/>
                <w:szCs w:val="21"/>
              </w:rPr>
            </w:pPr>
            <w:r>
              <w:rPr>
                <w:rFonts w:hint="eastAsia" w:ascii="宋体" w:hAnsi="宋体" w:cs="宋体"/>
                <w:szCs w:val="21"/>
              </w:rPr>
              <w:t xml:space="preserve">第一个档次（16分）：交接方案全面合理，交接难点与风险分析评估全面，制定的业务流程清晰完整，措施具有较强建设性与针对性； </w:t>
            </w:r>
          </w:p>
          <w:p w14:paraId="7E7B3ADB">
            <w:pPr>
              <w:spacing w:line="300" w:lineRule="auto"/>
              <w:rPr>
                <w:rFonts w:ascii="宋体" w:hAnsi="宋体" w:cs="宋体"/>
                <w:szCs w:val="21"/>
              </w:rPr>
            </w:pPr>
            <w:r>
              <w:rPr>
                <w:rFonts w:hint="eastAsia" w:ascii="宋体" w:hAnsi="宋体" w:cs="宋体"/>
                <w:szCs w:val="21"/>
              </w:rPr>
              <w:t>第二个档次（11分）</w:t>
            </w:r>
            <w:r>
              <w:rPr>
                <w:rFonts w:hint="eastAsia"/>
                <w:snapToGrid w:val="0"/>
                <w:kern w:val="0"/>
                <w:szCs w:val="21"/>
              </w:rPr>
              <w:t>：</w:t>
            </w:r>
            <w:r>
              <w:rPr>
                <w:rFonts w:hint="eastAsia" w:ascii="宋体" w:hAnsi="宋体" w:cs="宋体"/>
                <w:szCs w:val="21"/>
              </w:rPr>
              <w:t xml:space="preserve">交接方案较合理，交接难点与风险分析评估一般，制定的业务流程基本完整，措施具有一定建设性与针对性； </w:t>
            </w:r>
          </w:p>
          <w:p w14:paraId="18E08EF0">
            <w:pPr>
              <w:spacing w:line="300" w:lineRule="auto"/>
              <w:rPr>
                <w:rFonts w:ascii="宋体" w:hAnsi="宋体" w:cs="宋体"/>
                <w:szCs w:val="21"/>
              </w:rPr>
            </w:pPr>
            <w:r>
              <w:rPr>
                <w:rFonts w:hint="eastAsia" w:ascii="宋体" w:hAnsi="宋体" w:cs="宋体"/>
                <w:szCs w:val="21"/>
              </w:rPr>
              <w:t>第三个档次（6分）</w:t>
            </w:r>
            <w:r>
              <w:rPr>
                <w:rFonts w:hint="eastAsia"/>
                <w:snapToGrid w:val="0"/>
                <w:kern w:val="0"/>
                <w:szCs w:val="21"/>
              </w:rPr>
              <w:t>：</w:t>
            </w:r>
            <w:r>
              <w:rPr>
                <w:rFonts w:hint="eastAsia" w:ascii="宋体" w:hAnsi="宋体" w:cs="宋体"/>
                <w:szCs w:val="21"/>
              </w:rPr>
              <w:t xml:space="preserve">交接方案基本合理，交接难点与风险分析评估较简单，制定的业务流程不具备建设性与针对性； </w:t>
            </w:r>
          </w:p>
          <w:p w14:paraId="7AA38B6D">
            <w:pPr>
              <w:spacing w:line="300" w:lineRule="auto"/>
              <w:rPr>
                <w:szCs w:val="21"/>
              </w:rPr>
            </w:pPr>
            <w:r>
              <w:rPr>
                <w:rFonts w:hint="eastAsia" w:ascii="宋体" w:hAnsi="宋体" w:cs="宋体"/>
                <w:szCs w:val="21"/>
              </w:rPr>
              <w:t>第四个档次（0分）</w:t>
            </w:r>
            <w:r>
              <w:rPr>
                <w:rFonts w:hint="eastAsia"/>
                <w:snapToGrid w:val="0"/>
                <w:kern w:val="0"/>
                <w:szCs w:val="21"/>
              </w:rPr>
              <w:t>：</w:t>
            </w:r>
            <w:r>
              <w:rPr>
                <w:rFonts w:hint="eastAsia" w:ascii="宋体" w:hAnsi="宋体" w:cs="宋体"/>
                <w:szCs w:val="21"/>
              </w:rPr>
              <w:t>未提供或无描述。</w:t>
            </w:r>
          </w:p>
        </w:tc>
      </w:tr>
      <w:tr w14:paraId="34BD2E8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271" w:hRule="atLeast"/>
          <w:jc w:val="center"/>
        </w:trPr>
        <w:tc>
          <w:tcPr>
            <w:tcW w:w="951" w:type="dxa"/>
            <w:vMerge w:val="continue"/>
            <w:vAlign w:val="center"/>
          </w:tcPr>
          <w:p w14:paraId="668C051B">
            <w:pPr>
              <w:spacing w:before="120" w:beforeLines="50" w:line="360" w:lineRule="auto"/>
              <w:jc w:val="center"/>
              <w:rPr>
                <w:rFonts w:ascii="宋体" w:hAnsi="宋体" w:cs="宋体"/>
                <w:snapToGrid w:val="0"/>
                <w:kern w:val="0"/>
                <w:szCs w:val="21"/>
              </w:rPr>
            </w:pPr>
          </w:p>
        </w:tc>
        <w:tc>
          <w:tcPr>
            <w:tcW w:w="2409" w:type="dxa"/>
            <w:gridSpan w:val="3"/>
            <w:vAlign w:val="center"/>
          </w:tcPr>
          <w:p w14:paraId="6253CBDA">
            <w:pPr>
              <w:autoSpaceDE w:val="0"/>
              <w:autoSpaceDN w:val="0"/>
              <w:adjustRightInd w:val="0"/>
              <w:spacing w:line="300" w:lineRule="auto"/>
              <w:jc w:val="center"/>
              <w:rPr>
                <w:rFonts w:ascii="宋体" w:hAnsi="宋体"/>
                <w:szCs w:val="21"/>
              </w:rPr>
            </w:pPr>
            <w:r>
              <w:rPr>
                <w:rFonts w:hint="eastAsia" w:ascii="宋体" w:hAnsi="宋体"/>
                <w:szCs w:val="21"/>
              </w:rPr>
              <w:t>维护服务方案</w:t>
            </w:r>
          </w:p>
          <w:p w14:paraId="1C47B40C">
            <w:pPr>
              <w:autoSpaceDE w:val="0"/>
              <w:autoSpaceDN w:val="0"/>
              <w:adjustRightInd w:val="0"/>
              <w:spacing w:line="300" w:lineRule="auto"/>
              <w:jc w:val="center"/>
              <w:rPr>
                <w:rFonts w:ascii="宋体" w:hAnsi="宋体"/>
                <w:szCs w:val="21"/>
              </w:rPr>
            </w:pPr>
            <w:r>
              <w:rPr>
                <w:rFonts w:hint="eastAsia" w:ascii="宋体" w:hAnsi="宋体"/>
                <w:szCs w:val="21"/>
              </w:rPr>
              <w:t>（满分20分）</w:t>
            </w:r>
          </w:p>
        </w:tc>
        <w:tc>
          <w:tcPr>
            <w:tcW w:w="5812" w:type="dxa"/>
            <w:vAlign w:val="center"/>
          </w:tcPr>
          <w:p w14:paraId="0821DCA7">
            <w:pPr>
              <w:spacing w:line="300" w:lineRule="auto"/>
              <w:rPr>
                <w:rFonts w:ascii="宋体" w:hAnsi="宋体" w:cs="宋体"/>
                <w:szCs w:val="21"/>
              </w:rPr>
            </w:pPr>
            <w:r>
              <w:rPr>
                <w:rFonts w:hint="eastAsia" w:ascii="宋体" w:hAnsi="宋体" w:cs="宋体"/>
                <w:szCs w:val="21"/>
              </w:rPr>
              <w:t>对本项目整体服务流程、巡检组织、故障处理、应急响应等方面进行评价。包含但不限于：对项目整体维护服务流程、风险防控、服务规范，巡检与监控安排，日常故障处理、分析与上报反馈管控机制，应急响应机制与支撑形式等内容。</w:t>
            </w:r>
          </w:p>
          <w:p w14:paraId="77597936">
            <w:pPr>
              <w:spacing w:line="300" w:lineRule="auto"/>
              <w:rPr>
                <w:snapToGrid w:val="0"/>
                <w:kern w:val="0"/>
                <w:szCs w:val="21"/>
              </w:rPr>
            </w:pPr>
            <w:r>
              <w:rPr>
                <w:rFonts w:hint="eastAsia" w:ascii="宋体" w:hAnsi="宋体" w:cs="宋体"/>
                <w:szCs w:val="21"/>
              </w:rPr>
              <w:t>第一个档次（20分）：</w:t>
            </w:r>
            <w:r>
              <w:rPr>
                <w:rFonts w:hint="eastAsia"/>
                <w:snapToGrid w:val="0"/>
                <w:kern w:val="0"/>
                <w:szCs w:val="21"/>
              </w:rPr>
              <w:t>各种方案考虑全面充分，服务内容非常细致、全面，维护服务措施全面、合理、有效，针对性和可行性强，完全</w:t>
            </w:r>
            <w:r>
              <w:rPr>
                <w:snapToGrid w:val="0"/>
                <w:kern w:val="0"/>
                <w:szCs w:val="21"/>
              </w:rPr>
              <w:t>符合采购人实际需求</w:t>
            </w:r>
            <w:r>
              <w:rPr>
                <w:rFonts w:hint="eastAsia"/>
                <w:snapToGrid w:val="0"/>
                <w:kern w:val="0"/>
                <w:szCs w:val="21"/>
              </w:rPr>
              <w:t>；</w:t>
            </w:r>
          </w:p>
          <w:p w14:paraId="06F38851">
            <w:pPr>
              <w:spacing w:line="300" w:lineRule="auto"/>
              <w:rPr>
                <w:snapToGrid w:val="0"/>
                <w:kern w:val="0"/>
                <w:szCs w:val="21"/>
              </w:rPr>
            </w:pPr>
            <w:r>
              <w:rPr>
                <w:rFonts w:hint="eastAsia" w:ascii="宋体" w:hAnsi="宋体" w:cs="宋体"/>
                <w:szCs w:val="21"/>
              </w:rPr>
              <w:t>第二个档次（15分）</w:t>
            </w:r>
            <w:r>
              <w:rPr>
                <w:rFonts w:hint="eastAsia"/>
                <w:snapToGrid w:val="0"/>
                <w:kern w:val="0"/>
                <w:szCs w:val="21"/>
              </w:rPr>
              <w:t>：各种方案考虑比较充分，但服务内容不够细致，维护服务措施应急措施一般，针对性和可行性一般，基本</w:t>
            </w:r>
            <w:r>
              <w:rPr>
                <w:snapToGrid w:val="0"/>
                <w:kern w:val="0"/>
                <w:szCs w:val="21"/>
              </w:rPr>
              <w:t>符合采购人实际需求</w:t>
            </w:r>
            <w:r>
              <w:rPr>
                <w:rFonts w:hint="eastAsia"/>
                <w:snapToGrid w:val="0"/>
                <w:kern w:val="0"/>
                <w:szCs w:val="21"/>
              </w:rPr>
              <w:t>；</w:t>
            </w:r>
          </w:p>
          <w:p w14:paraId="3E171641">
            <w:pPr>
              <w:spacing w:line="300" w:lineRule="auto"/>
              <w:rPr>
                <w:snapToGrid w:val="0"/>
                <w:kern w:val="0"/>
                <w:szCs w:val="21"/>
              </w:rPr>
            </w:pPr>
            <w:r>
              <w:rPr>
                <w:rFonts w:hint="eastAsia" w:ascii="宋体" w:hAnsi="宋体" w:cs="宋体"/>
                <w:szCs w:val="21"/>
              </w:rPr>
              <w:t>第三个档次（5分）</w:t>
            </w:r>
            <w:r>
              <w:rPr>
                <w:rFonts w:hint="eastAsia"/>
                <w:snapToGrid w:val="0"/>
                <w:kern w:val="0"/>
                <w:szCs w:val="21"/>
              </w:rPr>
              <w:t>：各种方案准备不够充分或部分服务内容有缺失，维护服务措施不合理，缺乏针对性和可行性，不</w:t>
            </w:r>
            <w:r>
              <w:rPr>
                <w:snapToGrid w:val="0"/>
                <w:kern w:val="0"/>
                <w:szCs w:val="21"/>
              </w:rPr>
              <w:t>符合采购人实际需求</w:t>
            </w:r>
            <w:r>
              <w:rPr>
                <w:rFonts w:hint="eastAsia"/>
                <w:snapToGrid w:val="0"/>
                <w:kern w:val="0"/>
                <w:szCs w:val="21"/>
              </w:rPr>
              <w:t>；</w:t>
            </w:r>
          </w:p>
          <w:p w14:paraId="50CCABDC">
            <w:pPr>
              <w:pStyle w:val="2"/>
              <w:spacing w:line="300" w:lineRule="auto"/>
            </w:pPr>
            <w:r>
              <w:rPr>
                <w:rFonts w:hint="eastAsia" w:ascii="宋体" w:hAnsi="宋体" w:cs="宋体"/>
                <w:b w:val="0"/>
                <w:bCs w:val="0"/>
                <w:kern w:val="2"/>
                <w:sz w:val="21"/>
                <w:szCs w:val="21"/>
              </w:rPr>
              <w:t>第四个档次（0分）：</w:t>
            </w:r>
            <w:r>
              <w:rPr>
                <w:rFonts w:hint="eastAsia"/>
                <w:b w:val="0"/>
                <w:bCs w:val="0"/>
                <w:snapToGrid w:val="0"/>
                <w:kern w:val="0"/>
                <w:sz w:val="21"/>
                <w:szCs w:val="21"/>
              </w:rPr>
              <w:t>未提供或无描述</w:t>
            </w:r>
            <w:r>
              <w:rPr>
                <w:rFonts w:hint="eastAsia" w:ascii="宋体" w:hAnsi="宋体" w:cs="宋体"/>
                <w:b w:val="0"/>
                <w:bCs w:val="0"/>
                <w:kern w:val="2"/>
                <w:sz w:val="21"/>
                <w:szCs w:val="21"/>
              </w:rPr>
              <w:t>。</w:t>
            </w:r>
          </w:p>
        </w:tc>
      </w:tr>
      <w:tr w14:paraId="121461D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31" w:hRule="atLeast"/>
          <w:jc w:val="center"/>
        </w:trPr>
        <w:tc>
          <w:tcPr>
            <w:tcW w:w="951" w:type="dxa"/>
            <w:vMerge w:val="continue"/>
            <w:vAlign w:val="center"/>
          </w:tcPr>
          <w:p w14:paraId="015EF680">
            <w:pPr>
              <w:spacing w:before="120" w:beforeLines="50" w:line="360" w:lineRule="auto"/>
              <w:jc w:val="center"/>
              <w:rPr>
                <w:rFonts w:ascii="宋体" w:hAnsi="宋体" w:cs="宋体"/>
                <w:snapToGrid w:val="0"/>
                <w:kern w:val="0"/>
                <w:szCs w:val="21"/>
              </w:rPr>
            </w:pPr>
          </w:p>
        </w:tc>
        <w:tc>
          <w:tcPr>
            <w:tcW w:w="930" w:type="dxa"/>
            <w:gridSpan w:val="2"/>
            <w:tcBorders>
              <w:right w:val="single" w:color="auto" w:sz="4" w:space="0"/>
            </w:tcBorders>
            <w:vAlign w:val="center"/>
          </w:tcPr>
          <w:p w14:paraId="18B8F4DE">
            <w:pPr>
              <w:snapToGrid w:val="0"/>
              <w:spacing w:before="120" w:beforeLines="50" w:line="360" w:lineRule="auto"/>
              <w:jc w:val="center"/>
              <w:rPr>
                <w:rFonts w:ascii="宋体" w:hAnsi="宋体"/>
                <w:szCs w:val="21"/>
              </w:rPr>
            </w:pPr>
            <w:r>
              <w:rPr>
                <w:rFonts w:hint="eastAsia" w:ascii="宋体" w:hAnsi="宋体" w:cs="宋体"/>
                <w:b/>
                <w:snapToGrid w:val="0"/>
                <w:kern w:val="0"/>
                <w:szCs w:val="21"/>
              </w:rPr>
              <w:t>3.5</w:t>
            </w:r>
          </w:p>
        </w:tc>
        <w:tc>
          <w:tcPr>
            <w:tcW w:w="1479" w:type="dxa"/>
            <w:tcBorders>
              <w:left w:val="single" w:color="auto" w:sz="4" w:space="0"/>
            </w:tcBorders>
            <w:vAlign w:val="center"/>
          </w:tcPr>
          <w:p w14:paraId="0895C8A7">
            <w:pPr>
              <w:snapToGrid w:val="0"/>
              <w:spacing w:before="120" w:beforeLines="50" w:line="360" w:lineRule="auto"/>
              <w:jc w:val="center"/>
              <w:rPr>
                <w:rFonts w:ascii="宋体" w:hAnsi="宋体" w:cs="宋体"/>
                <w:b/>
                <w:snapToGrid w:val="0"/>
                <w:kern w:val="0"/>
                <w:szCs w:val="21"/>
              </w:rPr>
            </w:pPr>
            <w:r>
              <w:rPr>
                <w:rFonts w:hint="eastAsia" w:ascii="宋体" w:hAnsi="宋体" w:cs="宋体"/>
                <w:b/>
                <w:snapToGrid w:val="0"/>
                <w:kern w:val="0"/>
                <w:szCs w:val="21"/>
              </w:rPr>
              <w:t>商务评分</w:t>
            </w:r>
          </w:p>
        </w:tc>
        <w:tc>
          <w:tcPr>
            <w:tcW w:w="5812" w:type="dxa"/>
            <w:vAlign w:val="center"/>
          </w:tcPr>
          <w:p w14:paraId="7FD9BB46">
            <w:pPr>
              <w:snapToGrid w:val="0"/>
              <w:spacing w:before="120" w:beforeLines="50" w:line="360" w:lineRule="auto"/>
              <w:jc w:val="left"/>
              <w:rPr>
                <w:rFonts w:ascii="宋体" w:hAnsi="宋体" w:cs="宋体"/>
                <w:szCs w:val="21"/>
              </w:rPr>
            </w:pPr>
            <w:r>
              <w:rPr>
                <w:rFonts w:hint="eastAsia" w:ascii="宋体" w:hAnsi="宋体" w:cs="宋体"/>
                <w:b/>
                <w:snapToGrid w:val="0"/>
                <w:kern w:val="0"/>
                <w:szCs w:val="21"/>
              </w:rPr>
              <w:t>F3=13分</w:t>
            </w:r>
          </w:p>
        </w:tc>
      </w:tr>
      <w:tr w14:paraId="6446A00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552" w:hRule="atLeast"/>
          <w:jc w:val="center"/>
        </w:trPr>
        <w:tc>
          <w:tcPr>
            <w:tcW w:w="951" w:type="dxa"/>
            <w:vMerge w:val="continue"/>
            <w:vAlign w:val="center"/>
          </w:tcPr>
          <w:p w14:paraId="0F2F4AB8">
            <w:pPr>
              <w:spacing w:before="120" w:beforeLines="50" w:line="360" w:lineRule="auto"/>
              <w:jc w:val="center"/>
              <w:rPr>
                <w:rFonts w:ascii="宋体" w:hAnsi="宋体" w:cs="宋体"/>
                <w:snapToGrid w:val="0"/>
                <w:kern w:val="0"/>
                <w:szCs w:val="21"/>
              </w:rPr>
            </w:pPr>
          </w:p>
        </w:tc>
        <w:tc>
          <w:tcPr>
            <w:tcW w:w="2409" w:type="dxa"/>
            <w:gridSpan w:val="3"/>
            <w:vAlign w:val="center"/>
          </w:tcPr>
          <w:p w14:paraId="61DF0A33">
            <w:pPr>
              <w:adjustRightInd w:val="0"/>
              <w:snapToGrid w:val="0"/>
              <w:spacing w:line="300" w:lineRule="auto"/>
              <w:jc w:val="center"/>
              <w:rPr>
                <w:rFonts w:ascii="宋体" w:hAnsi="宋体"/>
                <w:szCs w:val="21"/>
              </w:rPr>
            </w:pPr>
            <w:r>
              <w:rPr>
                <w:rFonts w:ascii="宋体" w:hAnsi="宋体"/>
                <w:szCs w:val="21"/>
              </w:rPr>
              <w:t>运维</w:t>
            </w:r>
            <w:r>
              <w:rPr>
                <w:rFonts w:hint="eastAsia" w:ascii="宋体" w:hAnsi="宋体"/>
                <w:szCs w:val="21"/>
              </w:rPr>
              <w:t>/驻场</w:t>
            </w:r>
            <w:r>
              <w:rPr>
                <w:rFonts w:ascii="宋体" w:hAnsi="宋体"/>
                <w:szCs w:val="21"/>
              </w:rPr>
              <w:t>服务团队配备</w:t>
            </w:r>
            <w:r>
              <w:rPr>
                <w:rFonts w:hint="eastAsia" w:ascii="宋体" w:hAnsi="宋体"/>
                <w:szCs w:val="21"/>
              </w:rPr>
              <w:t>方案</w:t>
            </w:r>
          </w:p>
          <w:p w14:paraId="7545A7E1">
            <w:pPr>
              <w:adjustRightInd w:val="0"/>
              <w:snapToGrid w:val="0"/>
              <w:spacing w:line="300" w:lineRule="auto"/>
              <w:jc w:val="center"/>
            </w:pPr>
            <w:r>
              <w:rPr>
                <w:rFonts w:hint="eastAsia" w:ascii="宋体" w:hAnsi="宋体"/>
                <w:szCs w:val="21"/>
              </w:rPr>
              <w:t>（满分8分）</w:t>
            </w:r>
          </w:p>
        </w:tc>
        <w:tc>
          <w:tcPr>
            <w:tcW w:w="5812" w:type="dxa"/>
            <w:vAlign w:val="center"/>
          </w:tcPr>
          <w:p w14:paraId="364230B9">
            <w:pPr>
              <w:spacing w:line="300" w:lineRule="auto"/>
              <w:rPr>
                <w:rFonts w:ascii="宋体" w:hAnsi="宋体" w:cs="宋体"/>
                <w:szCs w:val="21"/>
              </w:rPr>
            </w:pPr>
            <w:r>
              <w:rPr>
                <w:rFonts w:hint="eastAsia" w:ascii="宋体" w:hAnsi="宋体" w:cs="宋体"/>
                <w:szCs w:val="21"/>
              </w:rPr>
              <w:t>考查投标人</w:t>
            </w:r>
            <w:r>
              <w:rPr>
                <w:rFonts w:ascii="宋体" w:hAnsi="宋体"/>
                <w:szCs w:val="21"/>
              </w:rPr>
              <w:t>运维</w:t>
            </w:r>
            <w:r>
              <w:rPr>
                <w:rFonts w:hint="eastAsia" w:ascii="宋体" w:hAnsi="宋体"/>
                <w:szCs w:val="21"/>
              </w:rPr>
              <w:t>/驻场</w:t>
            </w:r>
            <w:r>
              <w:rPr>
                <w:rFonts w:ascii="宋体" w:hAnsi="宋体"/>
                <w:szCs w:val="21"/>
              </w:rPr>
              <w:t>服务团队配备</w:t>
            </w:r>
            <w:r>
              <w:rPr>
                <w:rFonts w:hint="eastAsia" w:ascii="宋体" w:hAnsi="宋体"/>
                <w:szCs w:val="21"/>
              </w:rPr>
              <w:t>情况，及服务团队</w:t>
            </w:r>
            <w:r>
              <w:rPr>
                <w:rFonts w:hint="eastAsia" w:ascii="宋体" w:hAnsi="宋体" w:cs="宋体"/>
                <w:szCs w:val="21"/>
              </w:rPr>
              <w:t>人员相关资质和能力。包含但不限于：配备一名专职项目经理和必要的项目团队人员，并提供相关人员的专业能力和资格认证证明材料等内容。</w:t>
            </w:r>
          </w:p>
          <w:p w14:paraId="271CA853">
            <w:pPr>
              <w:spacing w:line="300" w:lineRule="auto"/>
              <w:rPr>
                <w:snapToGrid w:val="0"/>
                <w:kern w:val="0"/>
                <w:szCs w:val="21"/>
              </w:rPr>
            </w:pPr>
            <w:r>
              <w:rPr>
                <w:rFonts w:hint="eastAsia" w:ascii="宋体" w:hAnsi="宋体" w:cs="宋体"/>
                <w:szCs w:val="21"/>
              </w:rPr>
              <w:t>第一个档次（8分）：提供的</w:t>
            </w:r>
            <w:r>
              <w:rPr>
                <w:rFonts w:hint="eastAsia"/>
                <w:snapToGrid w:val="0"/>
                <w:kern w:val="0"/>
                <w:szCs w:val="21"/>
              </w:rPr>
              <w:t>运维/驻场服务团队人员配备充足、职责清晰、分工明确、经验丰富、专业搭配齐全合理，建立的运维/驻场工作机制内容全面，针对性强，完全符合维护实际需要；</w:t>
            </w:r>
          </w:p>
          <w:p w14:paraId="5E7836F2">
            <w:pPr>
              <w:spacing w:line="300" w:lineRule="auto"/>
              <w:rPr>
                <w:snapToGrid w:val="0"/>
                <w:kern w:val="0"/>
                <w:szCs w:val="21"/>
              </w:rPr>
            </w:pPr>
            <w:r>
              <w:rPr>
                <w:rFonts w:hint="eastAsia" w:ascii="宋体" w:hAnsi="宋体" w:cs="宋体"/>
                <w:szCs w:val="21"/>
              </w:rPr>
              <w:t>第二个档次（5分）</w:t>
            </w:r>
            <w:r>
              <w:rPr>
                <w:rFonts w:hint="eastAsia"/>
                <w:snapToGrid w:val="0"/>
                <w:kern w:val="0"/>
                <w:szCs w:val="21"/>
              </w:rPr>
              <w:t>：运维/驻场服务团队人员配备一般、有职责划分、有分工、经验一般、专业搭配基本合理，建立的运维/驻场工作机制内容基本全面，有一定针对性，基本符合维护实际需要；</w:t>
            </w:r>
          </w:p>
          <w:p w14:paraId="355FD70F">
            <w:pPr>
              <w:spacing w:line="300" w:lineRule="auto"/>
              <w:rPr>
                <w:snapToGrid w:val="0"/>
                <w:kern w:val="0"/>
                <w:szCs w:val="21"/>
              </w:rPr>
            </w:pPr>
            <w:r>
              <w:rPr>
                <w:rFonts w:hint="eastAsia" w:ascii="宋体" w:hAnsi="宋体" w:cs="宋体"/>
                <w:szCs w:val="21"/>
              </w:rPr>
              <w:t>第三个档次（2分）</w:t>
            </w:r>
            <w:r>
              <w:rPr>
                <w:rFonts w:hint="eastAsia"/>
                <w:snapToGrid w:val="0"/>
                <w:kern w:val="0"/>
                <w:szCs w:val="21"/>
              </w:rPr>
              <w:t>：运维/驻场服务团队人员配备少、职责不清晰、分工不明确、经验欠缺、专业搭配不齐全、不合理，建立的运维/驻场工作机制内容不全面，缺乏针对性，不能满足维护实际需要；</w:t>
            </w:r>
          </w:p>
          <w:p w14:paraId="2679D2E8">
            <w:pPr>
              <w:spacing w:line="300" w:lineRule="auto"/>
              <w:rPr>
                <w:snapToGrid w:val="0"/>
                <w:kern w:val="0"/>
                <w:szCs w:val="21"/>
              </w:rPr>
            </w:pPr>
            <w:r>
              <w:rPr>
                <w:rFonts w:hint="eastAsia" w:ascii="宋体" w:hAnsi="宋体" w:cs="宋体"/>
                <w:szCs w:val="21"/>
              </w:rPr>
              <w:t>第四个档次（0分）</w:t>
            </w:r>
            <w:r>
              <w:rPr>
                <w:rFonts w:hint="eastAsia"/>
                <w:snapToGrid w:val="0"/>
                <w:kern w:val="0"/>
                <w:szCs w:val="21"/>
              </w:rPr>
              <w:t>：未提供或无描述。</w:t>
            </w:r>
          </w:p>
          <w:p w14:paraId="24859A12">
            <w:pPr>
              <w:spacing w:line="300" w:lineRule="auto"/>
              <w:rPr>
                <w:rFonts w:ascii="宋体" w:hAnsi="宋体" w:cs="宋体"/>
                <w:szCs w:val="21"/>
              </w:rPr>
            </w:pPr>
            <w:r>
              <w:rPr>
                <w:rFonts w:hint="eastAsia" w:ascii="宋体" w:hAnsi="宋体" w:cs="宋体"/>
                <w:szCs w:val="21"/>
              </w:rPr>
              <w:t>注：</w:t>
            </w:r>
          </w:p>
          <w:p w14:paraId="01CC22AA">
            <w:pPr>
              <w:spacing w:line="300" w:lineRule="auto"/>
              <w:rPr>
                <w:rFonts w:ascii="宋体" w:hAnsi="宋体" w:cs="宋体"/>
                <w:szCs w:val="21"/>
              </w:rPr>
            </w:pPr>
            <w:r>
              <w:rPr>
                <w:rFonts w:hint="eastAsia" w:ascii="宋体" w:hAnsi="宋体" w:cs="宋体"/>
                <w:szCs w:val="21"/>
              </w:rPr>
              <w:t>1.项目经理要求为计算机或通讯等相关专业本科及以上学历，具有IT相关行业的工作经验和相关项目管理经验。</w:t>
            </w:r>
          </w:p>
          <w:p w14:paraId="5979A557">
            <w:pPr>
              <w:pStyle w:val="49"/>
              <w:ind w:left="0" w:leftChars="0" w:firstLine="0" w:firstLineChars="0"/>
            </w:pPr>
            <w:r>
              <w:rPr>
                <w:rFonts w:hint="eastAsia" w:ascii="宋体" w:hAnsi="宋体" w:cs="宋体"/>
                <w:szCs w:val="21"/>
              </w:rPr>
              <w:t>2.团队成员要求具有IT相关行业的工作经验或专业技能认证证书。</w:t>
            </w:r>
          </w:p>
          <w:p w14:paraId="28AABD1C">
            <w:pPr>
              <w:spacing w:line="300" w:lineRule="auto"/>
            </w:pPr>
            <w:r>
              <w:rPr>
                <w:rFonts w:hint="eastAsia" w:ascii="宋体" w:hAnsi="宋体" w:cs="宋体"/>
                <w:szCs w:val="21"/>
              </w:rPr>
              <w:t>3.项目经理、团队成员须提供2024年1月至投标截止日期间任意连续六个月的社保证明（缴费单位应为投标单位，代缴社保，须提供相关代缴证明材料，不限缴费地区）、身份证扫描件、学历或学位证明、相关证书扫描件、简历等证明材料，未提供证明材料或提供证明材料不完整的不得分。</w:t>
            </w:r>
          </w:p>
        </w:tc>
      </w:tr>
      <w:tr w14:paraId="5E91704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30" w:hRule="atLeast"/>
          <w:jc w:val="center"/>
        </w:trPr>
        <w:tc>
          <w:tcPr>
            <w:tcW w:w="951" w:type="dxa"/>
            <w:vMerge w:val="continue"/>
            <w:vAlign w:val="center"/>
          </w:tcPr>
          <w:p w14:paraId="64F1EC71">
            <w:pPr>
              <w:spacing w:before="120" w:beforeLines="50" w:line="360" w:lineRule="auto"/>
              <w:jc w:val="center"/>
              <w:rPr>
                <w:rFonts w:ascii="宋体" w:hAnsi="宋体" w:cs="宋体"/>
                <w:snapToGrid w:val="0"/>
                <w:kern w:val="0"/>
                <w:szCs w:val="21"/>
              </w:rPr>
            </w:pPr>
          </w:p>
        </w:tc>
        <w:tc>
          <w:tcPr>
            <w:tcW w:w="2409" w:type="dxa"/>
            <w:gridSpan w:val="3"/>
            <w:vAlign w:val="center"/>
          </w:tcPr>
          <w:p w14:paraId="24E0AD45">
            <w:pPr>
              <w:adjustRightInd w:val="0"/>
              <w:snapToGrid w:val="0"/>
              <w:spacing w:line="300" w:lineRule="auto"/>
              <w:jc w:val="center"/>
              <w:rPr>
                <w:rFonts w:ascii="宋体" w:hAnsi="宋体"/>
                <w:szCs w:val="21"/>
              </w:rPr>
            </w:pPr>
            <w:r>
              <w:rPr>
                <w:rFonts w:ascii="宋体" w:hAnsi="宋体"/>
                <w:szCs w:val="21"/>
              </w:rPr>
              <w:t>服务承诺</w:t>
            </w:r>
            <w:r>
              <w:rPr>
                <w:rFonts w:hint="eastAsia" w:ascii="宋体" w:hAnsi="宋体"/>
                <w:szCs w:val="21"/>
              </w:rPr>
              <w:t>及违约责任</w:t>
            </w:r>
          </w:p>
          <w:p w14:paraId="0A65D596">
            <w:pPr>
              <w:adjustRightInd w:val="0"/>
              <w:snapToGrid w:val="0"/>
              <w:spacing w:line="300" w:lineRule="auto"/>
              <w:jc w:val="center"/>
            </w:pPr>
            <w:r>
              <w:rPr>
                <w:rFonts w:ascii="宋体" w:hAnsi="宋体"/>
                <w:szCs w:val="21"/>
              </w:rPr>
              <w:t>（满分</w:t>
            </w:r>
            <w:r>
              <w:rPr>
                <w:rFonts w:hint="eastAsia" w:ascii="宋体" w:hAnsi="宋体"/>
                <w:szCs w:val="21"/>
              </w:rPr>
              <w:t>5</w:t>
            </w:r>
            <w:r>
              <w:rPr>
                <w:rFonts w:ascii="宋体" w:hAnsi="宋体"/>
                <w:szCs w:val="21"/>
              </w:rPr>
              <w:t>分）</w:t>
            </w:r>
          </w:p>
        </w:tc>
        <w:tc>
          <w:tcPr>
            <w:tcW w:w="5812" w:type="dxa"/>
            <w:vAlign w:val="center"/>
          </w:tcPr>
          <w:p w14:paraId="69E8882B">
            <w:pPr>
              <w:spacing w:line="300" w:lineRule="auto"/>
              <w:jc w:val="left"/>
              <w:rPr>
                <w:snapToGrid w:val="0"/>
                <w:kern w:val="0"/>
                <w:szCs w:val="21"/>
              </w:rPr>
            </w:pPr>
            <w:r>
              <w:rPr>
                <w:rFonts w:hint="eastAsia"/>
                <w:snapToGrid w:val="0"/>
                <w:kern w:val="0"/>
                <w:szCs w:val="21"/>
              </w:rPr>
              <w:t>考查投标人针对本项目制定的服务质量管控措施和相关权责划定。</w:t>
            </w:r>
            <w:r>
              <w:rPr>
                <w:rFonts w:hint="eastAsia" w:ascii="宋体" w:hAnsi="宋体" w:cs="宋体"/>
                <w:szCs w:val="21"/>
              </w:rPr>
              <w:t>包含但不限于：服务质量管控机制，明确服务承诺及违约责任，提供明确违约惩罚措施和罚金等内容。</w:t>
            </w:r>
          </w:p>
          <w:p w14:paraId="601FF2EB">
            <w:pPr>
              <w:spacing w:line="300" w:lineRule="auto"/>
              <w:jc w:val="left"/>
              <w:rPr>
                <w:snapToGrid w:val="0"/>
                <w:kern w:val="0"/>
                <w:szCs w:val="21"/>
              </w:rPr>
            </w:pPr>
            <w:r>
              <w:rPr>
                <w:rFonts w:hint="eastAsia"/>
                <w:snapToGrid w:val="0"/>
                <w:kern w:val="0"/>
                <w:szCs w:val="21"/>
              </w:rPr>
              <w:t>第一档次（5分）：</w:t>
            </w:r>
            <w:r>
              <w:rPr>
                <w:rFonts w:ascii="宋体" w:hAnsi="宋体"/>
                <w:szCs w:val="21"/>
              </w:rPr>
              <w:t>服务承诺</w:t>
            </w:r>
            <w:r>
              <w:rPr>
                <w:rFonts w:hint="eastAsia" w:ascii="宋体" w:hAnsi="宋体"/>
                <w:szCs w:val="21"/>
              </w:rPr>
              <w:t>及违约责任</w:t>
            </w:r>
            <w:r>
              <w:rPr>
                <w:rFonts w:hint="eastAsia"/>
                <w:snapToGrid w:val="0"/>
                <w:kern w:val="0"/>
                <w:szCs w:val="21"/>
              </w:rPr>
              <w:t>全面合理，有具体明确的处罚措施和罚金，保障措施具体合理，针对性强，可行性强；</w:t>
            </w:r>
          </w:p>
          <w:p w14:paraId="66F3BCE2">
            <w:pPr>
              <w:spacing w:line="300" w:lineRule="auto"/>
              <w:rPr>
                <w:snapToGrid w:val="0"/>
                <w:kern w:val="0"/>
                <w:szCs w:val="21"/>
              </w:rPr>
            </w:pPr>
            <w:r>
              <w:rPr>
                <w:rFonts w:hint="eastAsia"/>
                <w:snapToGrid w:val="0"/>
                <w:kern w:val="0"/>
                <w:szCs w:val="21"/>
              </w:rPr>
              <w:t>第二档次（3分）：</w:t>
            </w:r>
            <w:r>
              <w:rPr>
                <w:rFonts w:ascii="宋体" w:hAnsi="宋体"/>
                <w:szCs w:val="21"/>
              </w:rPr>
              <w:t>服务承诺</w:t>
            </w:r>
            <w:r>
              <w:rPr>
                <w:rFonts w:hint="eastAsia" w:ascii="宋体" w:hAnsi="宋体"/>
                <w:szCs w:val="21"/>
              </w:rPr>
              <w:t>及违约责任</w:t>
            </w:r>
            <w:r>
              <w:rPr>
                <w:rFonts w:hint="eastAsia"/>
                <w:snapToGrid w:val="0"/>
                <w:kern w:val="0"/>
                <w:szCs w:val="21"/>
              </w:rPr>
              <w:t>基本全面，有简单的处罚措施和罚金，保障措施针对性一般，可行性一般；</w:t>
            </w:r>
          </w:p>
          <w:p w14:paraId="0067FB23">
            <w:pPr>
              <w:spacing w:line="300" w:lineRule="auto"/>
              <w:rPr>
                <w:snapToGrid w:val="0"/>
                <w:kern w:val="0"/>
                <w:szCs w:val="21"/>
              </w:rPr>
            </w:pPr>
            <w:r>
              <w:rPr>
                <w:rFonts w:hint="eastAsia"/>
                <w:snapToGrid w:val="0"/>
                <w:kern w:val="0"/>
                <w:szCs w:val="21"/>
              </w:rPr>
              <w:t>第三档次（1分）：</w:t>
            </w:r>
            <w:r>
              <w:rPr>
                <w:rFonts w:ascii="宋体" w:hAnsi="宋体"/>
                <w:szCs w:val="21"/>
              </w:rPr>
              <w:t>服务承诺</w:t>
            </w:r>
            <w:r>
              <w:rPr>
                <w:rFonts w:hint="eastAsia" w:ascii="宋体" w:hAnsi="宋体"/>
                <w:szCs w:val="21"/>
              </w:rPr>
              <w:t>及违约责任</w:t>
            </w:r>
            <w:r>
              <w:rPr>
                <w:rFonts w:hint="eastAsia"/>
                <w:snapToGrid w:val="0"/>
                <w:kern w:val="0"/>
                <w:szCs w:val="21"/>
              </w:rPr>
              <w:t>有缺漏、内容粗糙、未提供处罚措施和罚金，保障措施缺乏针对性、可行性；</w:t>
            </w:r>
          </w:p>
          <w:p w14:paraId="53F86903">
            <w:pPr>
              <w:spacing w:line="300" w:lineRule="auto"/>
              <w:rPr>
                <w:snapToGrid w:val="0"/>
                <w:kern w:val="0"/>
                <w:szCs w:val="21"/>
              </w:rPr>
            </w:pPr>
            <w:r>
              <w:rPr>
                <w:rFonts w:hint="eastAsia"/>
                <w:snapToGrid w:val="0"/>
                <w:kern w:val="0"/>
                <w:szCs w:val="21"/>
              </w:rPr>
              <w:t>第四档次（0分）：未提供或无描述。</w:t>
            </w:r>
          </w:p>
        </w:tc>
      </w:tr>
      <w:bookmarkEnd w:id="128"/>
    </w:tbl>
    <w:p w14:paraId="53117A7F">
      <w:pPr>
        <w:wordWrap w:val="0"/>
        <w:rPr>
          <w:snapToGrid w:val="0"/>
          <w:kern w:val="0"/>
        </w:rPr>
      </w:pPr>
    </w:p>
    <w:p w14:paraId="554CB4A9">
      <w:pPr>
        <w:pStyle w:val="4"/>
      </w:pPr>
      <w:bookmarkStart w:id="129" w:name="_Toc11031"/>
      <w:bookmarkStart w:id="130" w:name="_Toc71823593"/>
      <w:r>
        <w:rPr>
          <w:rFonts w:hint="eastAsia"/>
        </w:rPr>
        <w:br w:type="page"/>
      </w:r>
      <w:bookmarkStart w:id="131" w:name="_Toc122"/>
      <w:bookmarkStart w:id="132" w:name="_Toc15121"/>
      <w:r>
        <w:rPr>
          <w:rFonts w:hint="eastAsia"/>
        </w:rPr>
        <w:t>二、评标方法</w:t>
      </w:r>
      <w:bookmarkEnd w:id="129"/>
      <w:bookmarkEnd w:id="130"/>
      <w:bookmarkEnd w:id="131"/>
      <w:bookmarkEnd w:id="132"/>
    </w:p>
    <w:p w14:paraId="0E09DCE7">
      <w:pPr>
        <w:wordWrap w:val="0"/>
        <w:spacing w:before="120" w:beforeLines="50" w:line="360" w:lineRule="auto"/>
        <w:ind w:firstLine="405" w:firstLineChars="192"/>
        <w:rPr>
          <w:rFonts w:ascii="宋体" w:hAnsi="宋体" w:cs="宋体"/>
          <w:b/>
          <w:snapToGrid w:val="0"/>
          <w:kern w:val="0"/>
          <w:szCs w:val="21"/>
        </w:rPr>
      </w:pPr>
      <w:bookmarkStart w:id="133" w:name="_Toc248767825"/>
      <w:r>
        <w:rPr>
          <w:rFonts w:ascii="宋体" w:hAnsi="宋体" w:cs="宋体"/>
          <w:b/>
          <w:snapToGrid w:val="0"/>
          <w:kern w:val="0"/>
          <w:szCs w:val="21"/>
        </w:rPr>
        <w:t>2.1</w:t>
      </w:r>
      <w:r>
        <w:rPr>
          <w:rFonts w:hint="eastAsia" w:ascii="宋体" w:hAnsi="宋体" w:cs="宋体"/>
          <w:b/>
          <w:snapToGrid w:val="0"/>
          <w:kern w:val="0"/>
          <w:szCs w:val="21"/>
        </w:rPr>
        <w:t>评标依据</w:t>
      </w:r>
    </w:p>
    <w:p w14:paraId="7F04C55C">
      <w:pPr>
        <w:wordWrap w:val="0"/>
        <w:spacing w:line="360" w:lineRule="auto"/>
        <w:ind w:firstLine="420" w:firstLineChars="200"/>
        <w:rPr>
          <w:rFonts w:ascii="宋体" w:hAnsi="宋体"/>
          <w:snapToGrid w:val="0"/>
          <w:kern w:val="0"/>
          <w:szCs w:val="21"/>
        </w:rPr>
      </w:pPr>
      <w:r>
        <w:rPr>
          <w:rFonts w:hint="eastAsia" w:ascii="宋体" w:hAnsi="宋体"/>
          <w:snapToGrid w:val="0"/>
          <w:kern w:val="0"/>
          <w:szCs w:val="21"/>
        </w:rPr>
        <w:t>《中华人民共和国政府采购法》《</w:t>
      </w:r>
      <w:r>
        <w:rPr>
          <w:rFonts w:hint="eastAsia" w:ascii="宋体" w:hAnsi="宋体" w:cs="宋体"/>
          <w:snapToGrid w:val="0"/>
          <w:kern w:val="0"/>
          <w:szCs w:val="21"/>
        </w:rPr>
        <w:t>中华人民共和国政府采购法实施条例》《</w:t>
      </w:r>
      <w:r>
        <w:rPr>
          <w:rFonts w:hint="eastAsia" w:ascii="宋体" w:hAnsi="宋体"/>
          <w:snapToGrid w:val="0"/>
          <w:kern w:val="0"/>
          <w:szCs w:val="21"/>
        </w:rPr>
        <w:t>政府采购货物和服务招标投标管理办法（财政部87号令）》等法律法规。</w:t>
      </w:r>
    </w:p>
    <w:p w14:paraId="4EF9F672">
      <w:pPr>
        <w:wordWrap w:val="0"/>
        <w:spacing w:before="120" w:beforeLines="50" w:line="360" w:lineRule="auto"/>
        <w:ind w:firstLine="405" w:firstLineChars="192"/>
        <w:rPr>
          <w:rFonts w:ascii="宋体" w:hAnsi="宋体" w:cs="宋体"/>
          <w:b/>
          <w:snapToGrid w:val="0"/>
          <w:kern w:val="0"/>
          <w:szCs w:val="21"/>
        </w:rPr>
      </w:pPr>
      <w:r>
        <w:rPr>
          <w:rFonts w:hint="eastAsia" w:ascii="宋体" w:hAnsi="宋体" w:cs="宋体"/>
          <w:b/>
          <w:snapToGrid w:val="0"/>
          <w:kern w:val="0"/>
          <w:szCs w:val="21"/>
        </w:rPr>
        <w:t>2</w:t>
      </w:r>
      <w:r>
        <w:rPr>
          <w:rFonts w:ascii="宋体" w:hAnsi="宋体" w:cs="宋体"/>
          <w:b/>
          <w:snapToGrid w:val="0"/>
          <w:kern w:val="0"/>
          <w:szCs w:val="21"/>
        </w:rPr>
        <w:t>.2</w:t>
      </w:r>
      <w:r>
        <w:rPr>
          <w:rFonts w:hint="eastAsia" w:ascii="宋体" w:hAnsi="宋体" w:cs="宋体"/>
          <w:b/>
          <w:snapToGrid w:val="0"/>
          <w:kern w:val="0"/>
          <w:szCs w:val="21"/>
        </w:rPr>
        <w:t xml:space="preserve">采购人或者采购代理机构职责 </w:t>
      </w:r>
    </w:p>
    <w:p w14:paraId="46A1CF2F">
      <w:pPr>
        <w:wordWrap w:val="0"/>
        <w:spacing w:line="360" w:lineRule="auto"/>
        <w:ind w:firstLine="420" w:firstLineChars="200"/>
        <w:rPr>
          <w:rFonts w:ascii="宋体" w:hAnsi="宋体"/>
          <w:snapToGrid w:val="0"/>
          <w:kern w:val="0"/>
          <w:szCs w:val="21"/>
        </w:rPr>
      </w:pPr>
      <w:r>
        <w:rPr>
          <w:rFonts w:hint="eastAsia" w:ascii="宋体" w:hAnsi="宋体"/>
          <w:snapToGrid w:val="0"/>
          <w:kern w:val="0"/>
          <w:szCs w:val="21"/>
        </w:rPr>
        <w:t>采购人或者采购代理机构负责组织评标工作，并履行下列职责：</w:t>
      </w:r>
    </w:p>
    <w:p w14:paraId="0B6DE70C">
      <w:pPr>
        <w:wordWrap w:val="0"/>
        <w:spacing w:line="360" w:lineRule="auto"/>
        <w:ind w:firstLine="420" w:firstLineChars="200"/>
        <w:rPr>
          <w:rFonts w:ascii="宋体" w:hAnsi="宋体"/>
          <w:snapToGrid w:val="0"/>
          <w:kern w:val="0"/>
          <w:szCs w:val="21"/>
        </w:rPr>
      </w:pPr>
      <w:r>
        <w:rPr>
          <w:rFonts w:hint="eastAsia" w:ascii="宋体" w:hAnsi="宋体"/>
          <w:snapToGrid w:val="0"/>
          <w:kern w:val="0"/>
          <w:szCs w:val="21"/>
        </w:rPr>
        <w:t>（1）核对评审专家身份和采购人代表授权函，对评审专家在政府采购活动中的职责履行情况予以记录，并及时将有关违法违规行为向财政部门报告；</w:t>
      </w:r>
    </w:p>
    <w:p w14:paraId="2C550FE6">
      <w:pPr>
        <w:wordWrap w:val="0"/>
        <w:spacing w:line="360" w:lineRule="auto"/>
        <w:ind w:firstLine="420" w:firstLineChars="200"/>
        <w:rPr>
          <w:rFonts w:ascii="宋体" w:hAnsi="宋体"/>
          <w:snapToGrid w:val="0"/>
          <w:kern w:val="0"/>
          <w:szCs w:val="21"/>
        </w:rPr>
      </w:pPr>
      <w:r>
        <w:rPr>
          <w:rFonts w:hint="eastAsia" w:ascii="宋体" w:hAnsi="宋体"/>
          <w:snapToGrid w:val="0"/>
          <w:kern w:val="0"/>
          <w:szCs w:val="21"/>
        </w:rPr>
        <w:t xml:space="preserve">（2）宣布评标纪律； </w:t>
      </w:r>
    </w:p>
    <w:p w14:paraId="096DE508">
      <w:pPr>
        <w:wordWrap w:val="0"/>
        <w:spacing w:line="360" w:lineRule="auto"/>
        <w:ind w:firstLine="420" w:firstLineChars="200"/>
        <w:rPr>
          <w:rFonts w:ascii="宋体" w:hAnsi="宋体"/>
          <w:snapToGrid w:val="0"/>
          <w:kern w:val="0"/>
          <w:szCs w:val="21"/>
        </w:rPr>
      </w:pPr>
      <w:r>
        <w:rPr>
          <w:rFonts w:hint="eastAsia" w:ascii="宋体" w:hAnsi="宋体"/>
          <w:snapToGrid w:val="0"/>
          <w:kern w:val="0"/>
          <w:szCs w:val="21"/>
        </w:rPr>
        <w:t>（3）公布供应商名单，告知评审专家应当回避的情形；</w:t>
      </w:r>
    </w:p>
    <w:p w14:paraId="4D3C3242">
      <w:pPr>
        <w:wordWrap w:val="0"/>
        <w:spacing w:line="360" w:lineRule="auto"/>
        <w:ind w:firstLine="420" w:firstLineChars="200"/>
        <w:rPr>
          <w:rFonts w:ascii="宋体" w:hAnsi="宋体"/>
          <w:snapToGrid w:val="0"/>
          <w:kern w:val="0"/>
          <w:szCs w:val="21"/>
        </w:rPr>
      </w:pPr>
      <w:r>
        <w:rPr>
          <w:rFonts w:hint="eastAsia" w:ascii="宋体" w:hAnsi="宋体"/>
          <w:snapToGrid w:val="0"/>
          <w:kern w:val="0"/>
          <w:szCs w:val="21"/>
        </w:rPr>
        <w:t>（4）组织评标委员会推选评标组长，采购人代表不得担任组长；</w:t>
      </w:r>
    </w:p>
    <w:p w14:paraId="179CE790">
      <w:pPr>
        <w:wordWrap w:val="0"/>
        <w:spacing w:line="360" w:lineRule="auto"/>
        <w:ind w:firstLine="420" w:firstLineChars="200"/>
        <w:rPr>
          <w:rFonts w:ascii="宋体" w:hAnsi="宋体"/>
          <w:snapToGrid w:val="0"/>
          <w:kern w:val="0"/>
          <w:szCs w:val="21"/>
        </w:rPr>
      </w:pPr>
      <w:r>
        <w:rPr>
          <w:rFonts w:hint="eastAsia" w:ascii="宋体" w:hAnsi="宋体"/>
          <w:snapToGrid w:val="0"/>
          <w:kern w:val="0"/>
          <w:szCs w:val="21"/>
        </w:rPr>
        <w:t>（5）在评标期间采取必要的通讯管理措施，保证评标活动不受外界干扰；</w:t>
      </w:r>
    </w:p>
    <w:p w14:paraId="65B4B1B7">
      <w:pPr>
        <w:wordWrap w:val="0"/>
        <w:spacing w:line="360" w:lineRule="auto"/>
        <w:ind w:firstLine="420" w:firstLineChars="200"/>
        <w:rPr>
          <w:rFonts w:ascii="宋体" w:hAnsi="宋体"/>
          <w:snapToGrid w:val="0"/>
          <w:kern w:val="0"/>
          <w:szCs w:val="21"/>
        </w:rPr>
      </w:pPr>
      <w:r>
        <w:rPr>
          <w:rFonts w:hint="eastAsia" w:ascii="宋体" w:hAnsi="宋体"/>
          <w:snapToGrid w:val="0"/>
          <w:kern w:val="0"/>
          <w:szCs w:val="21"/>
        </w:rPr>
        <w:t>（6）根据评标委员会的要求介绍政府采购相关政策法规、招标文件；</w:t>
      </w:r>
    </w:p>
    <w:p w14:paraId="1576F6A8">
      <w:pPr>
        <w:wordWrap w:val="0"/>
        <w:spacing w:line="360" w:lineRule="auto"/>
        <w:ind w:firstLine="420" w:firstLineChars="200"/>
        <w:rPr>
          <w:rFonts w:ascii="宋体" w:hAnsi="宋体"/>
          <w:snapToGrid w:val="0"/>
          <w:kern w:val="0"/>
          <w:szCs w:val="21"/>
        </w:rPr>
      </w:pPr>
      <w:r>
        <w:rPr>
          <w:rFonts w:hint="eastAsia" w:ascii="宋体" w:hAnsi="宋体"/>
          <w:snapToGrid w:val="0"/>
          <w:kern w:val="0"/>
          <w:szCs w:val="21"/>
        </w:rPr>
        <w:t>（7）维护评标秩序，监督评标委员会依照招标文件规定的评标程序、方法和标准进行独立评审，及时制止和纠正采购人代表、评审专家的倾向性言论或者违法违规行为；</w:t>
      </w:r>
    </w:p>
    <w:p w14:paraId="1CB6330E">
      <w:pPr>
        <w:wordWrap w:val="0"/>
        <w:spacing w:line="360" w:lineRule="auto"/>
        <w:ind w:firstLine="420" w:firstLineChars="200"/>
        <w:rPr>
          <w:rFonts w:ascii="宋体" w:hAnsi="宋体"/>
          <w:snapToGrid w:val="0"/>
          <w:kern w:val="0"/>
          <w:szCs w:val="21"/>
        </w:rPr>
      </w:pPr>
      <w:r>
        <w:rPr>
          <w:rFonts w:hint="eastAsia" w:ascii="宋体" w:hAnsi="宋体"/>
          <w:snapToGrid w:val="0"/>
          <w:kern w:val="0"/>
          <w:szCs w:val="21"/>
        </w:rPr>
        <w:t>（8）核对评标结果，有《政府采购货物和服务招标投标管理办法》（财政部第 87号令）第六十四条规定情形的，要求评标委员会复核或者书面说明理由，评标委员会拒绝的，应予记录并向本级财政部门报告；</w:t>
      </w:r>
    </w:p>
    <w:p w14:paraId="7E53803C">
      <w:pPr>
        <w:wordWrap w:val="0"/>
        <w:spacing w:line="360" w:lineRule="auto"/>
        <w:ind w:firstLine="420" w:firstLineChars="200"/>
        <w:rPr>
          <w:rFonts w:ascii="宋体" w:hAnsi="宋体"/>
          <w:snapToGrid w:val="0"/>
          <w:kern w:val="0"/>
          <w:szCs w:val="21"/>
        </w:rPr>
      </w:pPr>
      <w:r>
        <w:rPr>
          <w:rFonts w:hint="eastAsia" w:ascii="宋体" w:hAnsi="宋体"/>
          <w:snapToGrid w:val="0"/>
          <w:kern w:val="0"/>
          <w:szCs w:val="21"/>
        </w:rPr>
        <w:t>（9）评审工作完成后，按照规定向评审专家支付劳务报酬和异地评审差旅费，不得向评审专家以外的其他人员支付评审劳务报酬；</w:t>
      </w:r>
    </w:p>
    <w:p w14:paraId="0A3A16EF">
      <w:pPr>
        <w:wordWrap w:val="0"/>
        <w:spacing w:line="360" w:lineRule="auto"/>
        <w:ind w:firstLine="420" w:firstLineChars="200"/>
        <w:rPr>
          <w:rFonts w:ascii="宋体" w:hAnsi="宋体"/>
          <w:snapToGrid w:val="0"/>
          <w:kern w:val="0"/>
          <w:szCs w:val="21"/>
        </w:rPr>
      </w:pPr>
      <w:r>
        <w:rPr>
          <w:rFonts w:hint="eastAsia" w:ascii="宋体" w:hAnsi="宋体"/>
          <w:snapToGrid w:val="0"/>
          <w:kern w:val="0"/>
          <w:szCs w:val="21"/>
        </w:rPr>
        <w:t>（1</w:t>
      </w:r>
      <w:r>
        <w:rPr>
          <w:rFonts w:ascii="宋体" w:hAnsi="宋体"/>
          <w:snapToGrid w:val="0"/>
          <w:kern w:val="0"/>
          <w:szCs w:val="21"/>
        </w:rPr>
        <w:t>0</w:t>
      </w:r>
      <w:r>
        <w:rPr>
          <w:rFonts w:hint="eastAsia" w:ascii="宋体" w:hAnsi="宋体"/>
          <w:snapToGrid w:val="0"/>
          <w:kern w:val="0"/>
          <w:szCs w:val="21"/>
        </w:rPr>
        <w:t>）处理与评标有关的其他事项。</w:t>
      </w:r>
    </w:p>
    <w:p w14:paraId="749D2329">
      <w:pPr>
        <w:wordWrap w:val="0"/>
        <w:spacing w:line="360" w:lineRule="auto"/>
        <w:ind w:firstLine="420" w:firstLineChars="200"/>
        <w:rPr>
          <w:rFonts w:ascii="宋体" w:hAnsi="宋体"/>
          <w:snapToGrid w:val="0"/>
          <w:kern w:val="0"/>
          <w:szCs w:val="21"/>
        </w:rPr>
      </w:pPr>
      <w:r>
        <w:rPr>
          <w:rFonts w:hint="eastAsia" w:ascii="宋体" w:hAnsi="宋体"/>
          <w:snapToGrid w:val="0"/>
          <w:kern w:val="0"/>
          <w:szCs w:val="21"/>
        </w:rPr>
        <w:t>采购人可以在评标前说明项目背景和采购需求（服务内容），说明内容不得含有歧视性、倾向性意见，不得超出招标文件所述范围。说明应当提交书面材料，并随招标文件一并存档。</w:t>
      </w:r>
    </w:p>
    <w:p w14:paraId="1FB25FE5">
      <w:pPr>
        <w:wordWrap w:val="0"/>
        <w:spacing w:before="120" w:beforeLines="50" w:line="360" w:lineRule="auto"/>
        <w:ind w:firstLine="405" w:firstLineChars="192"/>
        <w:rPr>
          <w:rFonts w:ascii="宋体" w:hAnsi="宋体" w:cs="宋体"/>
          <w:b/>
          <w:snapToGrid w:val="0"/>
          <w:kern w:val="0"/>
          <w:szCs w:val="21"/>
        </w:rPr>
      </w:pPr>
      <w:r>
        <w:rPr>
          <w:rFonts w:hint="eastAsia" w:ascii="宋体" w:hAnsi="宋体" w:cs="宋体"/>
          <w:b/>
          <w:snapToGrid w:val="0"/>
          <w:kern w:val="0"/>
          <w:szCs w:val="21"/>
        </w:rPr>
        <w:t>2</w:t>
      </w:r>
      <w:r>
        <w:rPr>
          <w:rFonts w:ascii="宋体" w:hAnsi="宋体" w:cs="宋体"/>
          <w:b/>
          <w:snapToGrid w:val="0"/>
          <w:kern w:val="0"/>
          <w:szCs w:val="21"/>
        </w:rPr>
        <w:t>.3</w:t>
      </w:r>
      <w:r>
        <w:rPr>
          <w:rFonts w:hint="eastAsia" w:ascii="宋体" w:hAnsi="宋体" w:cs="宋体"/>
          <w:b/>
          <w:snapToGrid w:val="0"/>
          <w:kern w:val="0"/>
          <w:szCs w:val="21"/>
        </w:rPr>
        <w:t xml:space="preserve">评标委员会职责 </w:t>
      </w:r>
    </w:p>
    <w:p w14:paraId="76EB775D">
      <w:pPr>
        <w:wordWrap w:val="0"/>
        <w:spacing w:line="360" w:lineRule="auto"/>
        <w:ind w:firstLine="420" w:firstLineChars="200"/>
        <w:rPr>
          <w:rFonts w:ascii="宋体" w:hAnsi="宋体"/>
          <w:snapToGrid w:val="0"/>
          <w:kern w:val="0"/>
          <w:szCs w:val="21"/>
        </w:rPr>
      </w:pPr>
      <w:r>
        <w:rPr>
          <w:rFonts w:hint="eastAsia" w:ascii="宋体" w:hAnsi="宋体"/>
          <w:snapToGrid w:val="0"/>
          <w:kern w:val="0"/>
          <w:szCs w:val="21"/>
        </w:rPr>
        <w:t xml:space="preserve">评标委员会负责具体评标事务，并独立履行下列职责： </w:t>
      </w:r>
    </w:p>
    <w:p w14:paraId="11597981">
      <w:pPr>
        <w:wordWrap w:val="0"/>
        <w:spacing w:line="360" w:lineRule="auto"/>
        <w:ind w:firstLine="420" w:firstLineChars="200"/>
        <w:rPr>
          <w:rFonts w:ascii="宋体" w:hAnsi="宋体"/>
          <w:snapToGrid w:val="0"/>
          <w:kern w:val="0"/>
          <w:szCs w:val="21"/>
        </w:rPr>
      </w:pPr>
      <w:r>
        <w:rPr>
          <w:rFonts w:hint="eastAsia" w:ascii="宋体" w:hAnsi="宋体"/>
          <w:snapToGrid w:val="0"/>
          <w:kern w:val="0"/>
          <w:szCs w:val="21"/>
        </w:rPr>
        <w:t xml:space="preserve">（1）审查、评价投标文件是否符合招标文件的商务、技术等实质性要求； </w:t>
      </w:r>
    </w:p>
    <w:p w14:paraId="499F9D18">
      <w:pPr>
        <w:wordWrap w:val="0"/>
        <w:spacing w:line="360" w:lineRule="auto"/>
        <w:ind w:firstLine="420" w:firstLineChars="200"/>
        <w:rPr>
          <w:rFonts w:ascii="宋体" w:hAnsi="宋体"/>
          <w:snapToGrid w:val="0"/>
          <w:kern w:val="0"/>
          <w:szCs w:val="21"/>
        </w:rPr>
      </w:pPr>
      <w:r>
        <w:rPr>
          <w:rFonts w:hint="eastAsia" w:ascii="宋体" w:hAnsi="宋体"/>
          <w:snapToGrid w:val="0"/>
          <w:kern w:val="0"/>
          <w:szCs w:val="21"/>
        </w:rPr>
        <w:t>（2）要求供应商对投标文件有关事项作出澄清或者说明；</w:t>
      </w:r>
    </w:p>
    <w:p w14:paraId="5AD33D69">
      <w:pPr>
        <w:wordWrap w:val="0"/>
        <w:spacing w:line="360" w:lineRule="auto"/>
        <w:ind w:firstLine="420" w:firstLineChars="200"/>
        <w:rPr>
          <w:rFonts w:ascii="宋体" w:hAnsi="宋体"/>
          <w:snapToGrid w:val="0"/>
          <w:kern w:val="0"/>
          <w:szCs w:val="21"/>
        </w:rPr>
      </w:pPr>
      <w:r>
        <w:rPr>
          <w:rFonts w:hint="eastAsia" w:ascii="宋体" w:hAnsi="宋体"/>
          <w:snapToGrid w:val="0"/>
          <w:kern w:val="0"/>
          <w:szCs w:val="21"/>
        </w:rPr>
        <w:t xml:space="preserve">（3）对投标文件进行比较和评价； </w:t>
      </w:r>
    </w:p>
    <w:p w14:paraId="39890197">
      <w:pPr>
        <w:wordWrap w:val="0"/>
        <w:spacing w:line="360" w:lineRule="auto"/>
        <w:ind w:firstLine="420" w:firstLineChars="200"/>
        <w:rPr>
          <w:rFonts w:ascii="宋体" w:hAnsi="宋体"/>
          <w:snapToGrid w:val="0"/>
          <w:kern w:val="0"/>
          <w:szCs w:val="21"/>
        </w:rPr>
      </w:pPr>
      <w:r>
        <w:rPr>
          <w:rFonts w:hint="eastAsia" w:ascii="宋体" w:hAnsi="宋体"/>
          <w:snapToGrid w:val="0"/>
          <w:kern w:val="0"/>
          <w:szCs w:val="21"/>
        </w:rPr>
        <w:t xml:space="preserve">（4）确定中标候选人名单，以及根据采购人委托直接确定中标人； </w:t>
      </w:r>
    </w:p>
    <w:p w14:paraId="0826EC8A">
      <w:pPr>
        <w:wordWrap w:val="0"/>
        <w:spacing w:line="360" w:lineRule="auto"/>
        <w:ind w:firstLine="420" w:firstLineChars="200"/>
        <w:rPr>
          <w:rFonts w:ascii="宋体" w:hAnsi="宋体"/>
          <w:snapToGrid w:val="0"/>
          <w:kern w:val="0"/>
          <w:szCs w:val="21"/>
        </w:rPr>
      </w:pPr>
      <w:r>
        <w:rPr>
          <w:rFonts w:hint="eastAsia" w:ascii="宋体" w:hAnsi="宋体"/>
          <w:snapToGrid w:val="0"/>
          <w:kern w:val="0"/>
          <w:szCs w:val="21"/>
        </w:rPr>
        <w:t>（5）向采购人、采购代理机构或者有关部门报告评标中发现的违法行为。</w:t>
      </w:r>
    </w:p>
    <w:p w14:paraId="1862D4BF">
      <w:pPr>
        <w:wordWrap w:val="0"/>
        <w:spacing w:before="120" w:beforeLines="50" w:line="360" w:lineRule="auto"/>
        <w:ind w:firstLine="405" w:firstLineChars="192"/>
        <w:rPr>
          <w:rFonts w:ascii="宋体" w:hAnsi="宋体" w:cs="宋体"/>
          <w:b/>
          <w:snapToGrid w:val="0"/>
          <w:kern w:val="0"/>
          <w:szCs w:val="21"/>
        </w:rPr>
      </w:pPr>
      <w:r>
        <w:rPr>
          <w:rFonts w:hint="eastAsia" w:ascii="宋体" w:hAnsi="宋体" w:cs="宋体"/>
          <w:b/>
          <w:snapToGrid w:val="0"/>
          <w:kern w:val="0"/>
          <w:szCs w:val="21"/>
        </w:rPr>
        <w:t>2</w:t>
      </w:r>
      <w:r>
        <w:rPr>
          <w:rFonts w:ascii="宋体" w:hAnsi="宋体" w:cs="宋体"/>
          <w:b/>
          <w:snapToGrid w:val="0"/>
          <w:kern w:val="0"/>
          <w:szCs w:val="21"/>
        </w:rPr>
        <w:t>.4</w:t>
      </w:r>
      <w:r>
        <w:rPr>
          <w:rFonts w:hint="eastAsia" w:ascii="宋体" w:hAnsi="宋体" w:cs="宋体"/>
          <w:b/>
          <w:snapToGrid w:val="0"/>
          <w:kern w:val="0"/>
          <w:szCs w:val="21"/>
        </w:rPr>
        <w:t>评标纪律</w:t>
      </w:r>
    </w:p>
    <w:p w14:paraId="07FCFEA4">
      <w:pPr>
        <w:wordWrap w:val="0"/>
        <w:spacing w:line="360" w:lineRule="auto"/>
        <w:ind w:firstLine="403" w:firstLineChars="192"/>
        <w:rPr>
          <w:rFonts w:ascii="宋体" w:hAnsi="宋体" w:cs="宋体"/>
          <w:snapToGrid w:val="0"/>
          <w:kern w:val="0"/>
          <w:szCs w:val="21"/>
        </w:rPr>
      </w:pPr>
      <w:r>
        <w:rPr>
          <w:rFonts w:hint="eastAsia" w:ascii="宋体" w:hAnsi="宋体" w:cs="宋体"/>
          <w:snapToGrid w:val="0"/>
          <w:kern w:val="0"/>
          <w:szCs w:val="21"/>
        </w:rPr>
        <w:t xml:space="preserve">（1）对评标内容和评标过程要严格保密，不得向供应商或与该过程无关的其他人员泄露。 </w:t>
      </w:r>
    </w:p>
    <w:p w14:paraId="74554024">
      <w:pPr>
        <w:wordWrap w:val="0"/>
        <w:spacing w:line="360" w:lineRule="auto"/>
        <w:ind w:firstLine="403" w:firstLineChars="192"/>
        <w:rPr>
          <w:rFonts w:ascii="宋体" w:hAnsi="宋体" w:cs="宋体"/>
          <w:snapToGrid w:val="0"/>
          <w:kern w:val="0"/>
          <w:szCs w:val="21"/>
        </w:rPr>
      </w:pPr>
      <w:r>
        <w:rPr>
          <w:rFonts w:hint="eastAsia" w:ascii="宋体" w:hAnsi="宋体" w:cs="宋体"/>
          <w:snapToGrid w:val="0"/>
          <w:kern w:val="0"/>
          <w:szCs w:val="21"/>
        </w:rPr>
        <w:t xml:space="preserve">（2）评标期间的一切资料，包括评标意见、评标记录和评标结论，一律不得向外传和泄露。 </w:t>
      </w:r>
    </w:p>
    <w:p w14:paraId="794033D3">
      <w:pPr>
        <w:wordWrap w:val="0"/>
        <w:spacing w:line="360" w:lineRule="auto"/>
        <w:ind w:firstLine="403" w:firstLineChars="192"/>
        <w:rPr>
          <w:rFonts w:ascii="宋体" w:hAnsi="宋体" w:cs="宋体"/>
          <w:snapToGrid w:val="0"/>
          <w:kern w:val="0"/>
          <w:szCs w:val="21"/>
        </w:rPr>
      </w:pPr>
      <w:r>
        <w:rPr>
          <w:rFonts w:hint="eastAsia" w:ascii="宋体" w:hAnsi="宋体" w:cs="宋体"/>
          <w:snapToGrid w:val="0"/>
          <w:kern w:val="0"/>
          <w:szCs w:val="21"/>
        </w:rPr>
        <w:t xml:space="preserve">（3）任何属于投标文件审查、澄清、评价和比较的资料，不得向供应商或与该过程无关的其他人员泄露。 </w:t>
      </w:r>
    </w:p>
    <w:p w14:paraId="1C7D445A">
      <w:pPr>
        <w:wordWrap w:val="0"/>
        <w:spacing w:line="360" w:lineRule="auto"/>
        <w:ind w:firstLine="403" w:firstLineChars="192"/>
        <w:rPr>
          <w:rFonts w:ascii="宋体" w:hAnsi="宋体" w:cs="宋体"/>
          <w:snapToGrid w:val="0"/>
          <w:kern w:val="0"/>
          <w:szCs w:val="21"/>
        </w:rPr>
      </w:pPr>
      <w:r>
        <w:rPr>
          <w:rFonts w:hint="eastAsia" w:ascii="宋体" w:hAnsi="宋体" w:cs="宋体"/>
          <w:snapToGrid w:val="0"/>
          <w:kern w:val="0"/>
          <w:szCs w:val="21"/>
        </w:rPr>
        <w:t xml:space="preserve">（4）所有资料（包括招标文件、投标文件、评标表格及各种文字记录）在评标结束后均应分别整理、存档备查，任何人不得复制和保留。 </w:t>
      </w:r>
    </w:p>
    <w:p w14:paraId="2E541EFB">
      <w:pPr>
        <w:wordWrap w:val="0"/>
        <w:spacing w:line="360" w:lineRule="auto"/>
        <w:ind w:firstLine="403" w:firstLineChars="192"/>
        <w:rPr>
          <w:rFonts w:ascii="宋体" w:hAnsi="宋体" w:cs="宋体"/>
          <w:snapToGrid w:val="0"/>
          <w:kern w:val="0"/>
          <w:szCs w:val="21"/>
        </w:rPr>
      </w:pPr>
      <w:r>
        <w:rPr>
          <w:rFonts w:hint="eastAsia" w:ascii="宋体" w:hAnsi="宋体" w:cs="宋体"/>
          <w:snapToGrid w:val="0"/>
          <w:kern w:val="0"/>
          <w:szCs w:val="21"/>
        </w:rPr>
        <w:t xml:space="preserve">（5）评标期间，未经允许评标委员会以外的任何单位或部门不得参加评标和采访评标工作。 </w:t>
      </w:r>
    </w:p>
    <w:p w14:paraId="68512558">
      <w:pPr>
        <w:wordWrap w:val="0"/>
        <w:spacing w:line="360" w:lineRule="auto"/>
        <w:ind w:firstLine="403" w:firstLineChars="192"/>
        <w:rPr>
          <w:rFonts w:ascii="宋体" w:hAnsi="宋体" w:cs="宋体"/>
          <w:snapToGrid w:val="0"/>
          <w:kern w:val="0"/>
          <w:szCs w:val="21"/>
        </w:rPr>
      </w:pPr>
      <w:r>
        <w:rPr>
          <w:rFonts w:hint="eastAsia" w:ascii="宋体" w:hAnsi="宋体" w:cs="宋体"/>
          <w:snapToGrid w:val="0"/>
          <w:kern w:val="0"/>
          <w:szCs w:val="21"/>
        </w:rPr>
        <w:t xml:space="preserve">（6）评标期间，评标人员不得外出，确需外出时应事先请假。 </w:t>
      </w:r>
    </w:p>
    <w:p w14:paraId="0B8F29AD">
      <w:pPr>
        <w:wordWrap w:val="0"/>
        <w:spacing w:line="360" w:lineRule="auto"/>
        <w:ind w:firstLine="403" w:firstLineChars="192"/>
        <w:rPr>
          <w:rFonts w:ascii="宋体" w:hAnsi="宋体" w:cs="宋体"/>
          <w:snapToGrid w:val="0"/>
          <w:kern w:val="0"/>
          <w:szCs w:val="21"/>
        </w:rPr>
      </w:pPr>
      <w:r>
        <w:rPr>
          <w:rFonts w:hint="eastAsia" w:ascii="宋体" w:hAnsi="宋体" w:cs="宋体"/>
          <w:snapToGrid w:val="0"/>
          <w:kern w:val="0"/>
          <w:szCs w:val="21"/>
        </w:rPr>
        <w:t xml:space="preserve">（7）评标期间，所有与会人员均不得私自以任何方式和供应商进行联系，需询问、澄清的问题由评委会统一组织办理。 </w:t>
      </w:r>
    </w:p>
    <w:p w14:paraId="7B0582BD">
      <w:pPr>
        <w:wordWrap w:val="0"/>
        <w:spacing w:line="360" w:lineRule="auto"/>
        <w:ind w:firstLine="403" w:firstLineChars="192"/>
        <w:rPr>
          <w:rFonts w:ascii="宋体" w:hAnsi="宋体" w:cs="宋体"/>
          <w:snapToGrid w:val="0"/>
          <w:kern w:val="0"/>
          <w:szCs w:val="21"/>
        </w:rPr>
      </w:pPr>
      <w:r>
        <w:rPr>
          <w:rFonts w:hint="eastAsia" w:ascii="宋体" w:hAnsi="宋体" w:cs="宋体"/>
          <w:snapToGrid w:val="0"/>
          <w:kern w:val="0"/>
          <w:szCs w:val="21"/>
        </w:rPr>
        <w:t>（8）评标结束后，与会人员不得向外界透露评标人员的评标意见，如因此造成的后果由责任者承担。</w:t>
      </w:r>
    </w:p>
    <w:p w14:paraId="37A9C772">
      <w:pPr>
        <w:wordWrap w:val="0"/>
        <w:spacing w:before="120" w:beforeLines="50" w:line="360" w:lineRule="auto"/>
        <w:ind w:firstLine="405" w:firstLineChars="192"/>
        <w:rPr>
          <w:rFonts w:ascii="宋体" w:hAnsi="宋体" w:cs="宋体"/>
          <w:b/>
          <w:snapToGrid w:val="0"/>
          <w:kern w:val="0"/>
          <w:szCs w:val="21"/>
        </w:rPr>
      </w:pPr>
      <w:r>
        <w:rPr>
          <w:rFonts w:hint="eastAsia" w:ascii="宋体" w:hAnsi="宋体" w:cs="宋体"/>
          <w:b/>
          <w:snapToGrid w:val="0"/>
          <w:kern w:val="0"/>
          <w:szCs w:val="21"/>
        </w:rPr>
        <w:t>2</w:t>
      </w:r>
      <w:r>
        <w:rPr>
          <w:rFonts w:ascii="宋体" w:hAnsi="宋体" w:cs="宋体"/>
          <w:b/>
          <w:snapToGrid w:val="0"/>
          <w:kern w:val="0"/>
          <w:szCs w:val="21"/>
        </w:rPr>
        <w:t>.5</w:t>
      </w:r>
      <w:r>
        <w:rPr>
          <w:rFonts w:hint="eastAsia" w:ascii="宋体" w:hAnsi="宋体" w:cs="宋体"/>
          <w:b/>
          <w:snapToGrid w:val="0"/>
          <w:kern w:val="0"/>
          <w:szCs w:val="21"/>
        </w:rPr>
        <w:t>评标原则</w:t>
      </w:r>
    </w:p>
    <w:p w14:paraId="26C04026">
      <w:pPr>
        <w:wordWrap w:val="0"/>
        <w:spacing w:line="360" w:lineRule="auto"/>
        <w:ind w:firstLine="420" w:firstLineChars="200"/>
        <w:rPr>
          <w:rFonts w:ascii="宋体" w:hAnsi="宋体"/>
          <w:snapToGrid w:val="0"/>
          <w:kern w:val="0"/>
          <w:szCs w:val="21"/>
        </w:rPr>
      </w:pPr>
      <w:r>
        <w:rPr>
          <w:rFonts w:hint="eastAsia" w:ascii="宋体" w:hAnsi="宋体"/>
          <w:snapToGrid w:val="0"/>
          <w:kern w:val="0"/>
          <w:szCs w:val="21"/>
        </w:rPr>
        <w:t xml:space="preserve">评标将遵循下列原则： </w:t>
      </w:r>
    </w:p>
    <w:p w14:paraId="06BB97C9">
      <w:pPr>
        <w:wordWrap w:val="0"/>
        <w:spacing w:line="360" w:lineRule="auto"/>
        <w:ind w:firstLine="420" w:firstLineChars="200"/>
        <w:rPr>
          <w:rFonts w:ascii="宋体" w:hAnsi="宋体"/>
          <w:snapToGrid w:val="0"/>
          <w:kern w:val="0"/>
          <w:szCs w:val="21"/>
        </w:rPr>
      </w:pPr>
      <w:r>
        <w:rPr>
          <w:rFonts w:hint="eastAsia" w:ascii="宋体" w:hAnsi="宋体"/>
          <w:snapToGrid w:val="0"/>
          <w:kern w:val="0"/>
          <w:szCs w:val="21"/>
        </w:rPr>
        <w:t xml:space="preserve">（1）坚持公平、公正、科学、择优的原则，本着实事求是的精神，不带有任何主观意愿和偏见，认真负责地做好评标工作，公平、公正地对待每一个供应商。 </w:t>
      </w:r>
    </w:p>
    <w:p w14:paraId="4C35DE25">
      <w:pPr>
        <w:wordWrap w:val="0"/>
        <w:spacing w:line="360" w:lineRule="auto"/>
        <w:ind w:firstLine="420" w:firstLineChars="200"/>
        <w:rPr>
          <w:rFonts w:ascii="宋体" w:hAnsi="宋体"/>
          <w:snapToGrid w:val="0"/>
          <w:kern w:val="0"/>
          <w:szCs w:val="21"/>
        </w:rPr>
      </w:pPr>
      <w:r>
        <w:rPr>
          <w:rFonts w:hint="eastAsia" w:ascii="宋体" w:hAnsi="宋体"/>
          <w:snapToGrid w:val="0"/>
          <w:kern w:val="0"/>
          <w:szCs w:val="21"/>
        </w:rPr>
        <w:t xml:space="preserve">（2）全面分析，综合评审。 </w:t>
      </w:r>
    </w:p>
    <w:p w14:paraId="37D4AC6C">
      <w:pPr>
        <w:wordWrap w:val="0"/>
        <w:spacing w:line="360" w:lineRule="auto"/>
        <w:ind w:firstLine="420" w:firstLineChars="200"/>
        <w:rPr>
          <w:rFonts w:ascii="宋体" w:hAnsi="宋体"/>
          <w:snapToGrid w:val="0"/>
          <w:kern w:val="0"/>
          <w:szCs w:val="21"/>
        </w:rPr>
      </w:pPr>
      <w:r>
        <w:rPr>
          <w:rFonts w:hint="eastAsia" w:ascii="宋体" w:hAnsi="宋体"/>
          <w:snapToGrid w:val="0"/>
          <w:kern w:val="0"/>
          <w:szCs w:val="21"/>
        </w:rPr>
        <w:t>（3）评标只对供应商的投标文件进行评审，投标文件以外的资料、信息不应作为评标的依据。</w:t>
      </w:r>
    </w:p>
    <w:p w14:paraId="111EAD79">
      <w:pPr>
        <w:wordWrap w:val="0"/>
        <w:rPr>
          <w:snapToGrid w:val="0"/>
          <w:kern w:val="0"/>
        </w:rPr>
      </w:pPr>
    </w:p>
    <w:p w14:paraId="16619EF3">
      <w:pPr>
        <w:pStyle w:val="4"/>
      </w:pPr>
      <w:bookmarkStart w:id="134" w:name="_Toc520802755"/>
      <w:bookmarkStart w:id="135" w:name="_Toc6183"/>
      <w:bookmarkStart w:id="136" w:name="_Toc503259470"/>
      <w:bookmarkStart w:id="137" w:name="_Toc260908201"/>
      <w:bookmarkStart w:id="138" w:name="_Toc260907985"/>
      <w:bookmarkStart w:id="139" w:name="_Toc270090086"/>
      <w:bookmarkStart w:id="140" w:name="_Toc71823594"/>
      <w:bookmarkStart w:id="141" w:name="_Toc259188729"/>
      <w:bookmarkStart w:id="142" w:name="_Toc12869"/>
      <w:bookmarkStart w:id="143" w:name="_Toc30761"/>
      <w:bookmarkStart w:id="144" w:name="_Toc481712047"/>
      <w:r>
        <w:rPr>
          <w:rFonts w:hint="eastAsia"/>
        </w:rPr>
        <w:t>三、评标程序</w:t>
      </w:r>
      <w:bookmarkEnd w:id="133"/>
      <w:bookmarkEnd w:id="134"/>
      <w:bookmarkEnd w:id="135"/>
      <w:bookmarkEnd w:id="136"/>
      <w:bookmarkEnd w:id="137"/>
      <w:bookmarkEnd w:id="138"/>
      <w:bookmarkEnd w:id="139"/>
      <w:bookmarkEnd w:id="140"/>
      <w:bookmarkEnd w:id="141"/>
      <w:bookmarkEnd w:id="142"/>
      <w:bookmarkEnd w:id="143"/>
      <w:bookmarkEnd w:id="144"/>
    </w:p>
    <w:p w14:paraId="76BDC3C9">
      <w:pPr>
        <w:wordWrap w:val="0"/>
        <w:spacing w:line="360" w:lineRule="auto"/>
        <w:ind w:firstLine="472" w:firstLineChars="225"/>
        <w:rPr>
          <w:rFonts w:cs="宋体"/>
          <w:snapToGrid w:val="0"/>
          <w:kern w:val="0"/>
          <w:szCs w:val="21"/>
        </w:rPr>
      </w:pPr>
      <w:r>
        <w:rPr>
          <w:rFonts w:hint="eastAsia" w:cs="宋体"/>
          <w:snapToGrid w:val="0"/>
          <w:kern w:val="0"/>
          <w:szCs w:val="21"/>
        </w:rPr>
        <w:t>本次招标所采用的评标方法为《政府采购货物和服务招标投标管理办法》（财政部令第87号）第五十五条规定的“综合评分法”，即：投标文件满足招标文件全部实质性要求，且按照评审因素的量化指标评审得分最高的供应商为中标候选人的评标方法。</w:t>
      </w:r>
    </w:p>
    <w:p w14:paraId="2E0516BC">
      <w:pPr>
        <w:wordWrap w:val="0"/>
        <w:spacing w:line="360" w:lineRule="auto"/>
        <w:ind w:firstLine="472" w:firstLineChars="225"/>
        <w:rPr>
          <w:rFonts w:cs="宋体"/>
          <w:snapToGrid w:val="0"/>
          <w:kern w:val="0"/>
          <w:szCs w:val="21"/>
        </w:rPr>
      </w:pPr>
      <w:r>
        <w:rPr>
          <w:rFonts w:hint="eastAsia" w:cs="宋体"/>
          <w:snapToGrid w:val="0"/>
          <w:kern w:val="0"/>
          <w:szCs w:val="21"/>
        </w:rPr>
        <w:t>评标只对通过资格审查的投标文件进行评审。评标按：符合性审查→商务评审→技术评审→得分汇总→评标报告编写的程序进行。</w:t>
      </w:r>
    </w:p>
    <w:p w14:paraId="57881971">
      <w:pPr>
        <w:wordWrap w:val="0"/>
        <w:spacing w:line="360" w:lineRule="auto"/>
        <w:ind w:firstLine="472" w:firstLineChars="225"/>
      </w:pPr>
      <w:r>
        <w:rPr>
          <w:rFonts w:hint="eastAsia" w:cs="宋体"/>
          <w:snapToGrid w:val="0"/>
          <w:kern w:val="0"/>
          <w:szCs w:val="21"/>
        </w:rPr>
        <w:t>通过</w:t>
      </w:r>
      <w:r>
        <w:rPr>
          <w:rFonts w:cs="宋体"/>
          <w:snapToGrid w:val="0"/>
          <w:kern w:val="0"/>
          <w:szCs w:val="21"/>
        </w:rPr>
        <w:t>符合性审查的投标人不足</w:t>
      </w:r>
      <w:r>
        <w:rPr>
          <w:rFonts w:hint="eastAsia" w:cs="宋体"/>
          <w:snapToGrid w:val="0"/>
          <w:kern w:val="0"/>
          <w:szCs w:val="21"/>
        </w:rPr>
        <w:t>3家</w:t>
      </w:r>
      <w:r>
        <w:rPr>
          <w:rFonts w:cs="宋体"/>
          <w:snapToGrid w:val="0"/>
          <w:kern w:val="0"/>
          <w:szCs w:val="21"/>
        </w:rPr>
        <w:t>的，不得继续评标。</w:t>
      </w:r>
    </w:p>
    <w:p w14:paraId="707C0359">
      <w:pPr>
        <w:wordWrap w:val="0"/>
        <w:spacing w:before="120" w:beforeLines="50" w:line="360" w:lineRule="auto"/>
        <w:ind w:firstLine="405" w:firstLineChars="192"/>
        <w:rPr>
          <w:rFonts w:ascii="宋体" w:hAnsi="宋体" w:cs="宋体"/>
          <w:b/>
          <w:snapToGrid w:val="0"/>
          <w:kern w:val="0"/>
          <w:szCs w:val="21"/>
        </w:rPr>
      </w:pPr>
      <w:r>
        <w:rPr>
          <w:rFonts w:hint="eastAsia" w:ascii="宋体" w:hAnsi="宋体" w:cs="宋体"/>
          <w:b/>
          <w:snapToGrid w:val="0"/>
          <w:kern w:val="0"/>
          <w:szCs w:val="21"/>
        </w:rPr>
        <w:t>3.</w:t>
      </w:r>
      <w:r>
        <w:rPr>
          <w:rFonts w:ascii="宋体" w:hAnsi="宋体" w:cs="宋体"/>
          <w:b/>
          <w:snapToGrid w:val="0"/>
          <w:kern w:val="0"/>
          <w:szCs w:val="21"/>
        </w:rPr>
        <w:t>1</w:t>
      </w:r>
      <w:r>
        <w:rPr>
          <w:rFonts w:hint="eastAsia" w:ascii="宋体" w:hAnsi="宋体" w:cs="宋体"/>
          <w:b/>
          <w:snapToGrid w:val="0"/>
          <w:kern w:val="0"/>
          <w:szCs w:val="21"/>
        </w:rPr>
        <w:t>符合性审查</w:t>
      </w:r>
    </w:p>
    <w:p w14:paraId="1109B06B">
      <w:pPr>
        <w:wordWrap w:val="0"/>
        <w:spacing w:line="360" w:lineRule="auto"/>
        <w:ind w:firstLine="472" w:firstLineChars="225"/>
        <w:rPr>
          <w:rFonts w:cs="宋体"/>
          <w:snapToGrid w:val="0"/>
          <w:kern w:val="0"/>
          <w:szCs w:val="21"/>
        </w:rPr>
      </w:pPr>
      <w:r>
        <w:rPr>
          <w:rFonts w:hint="eastAsia" w:cs="宋体"/>
          <w:snapToGrid w:val="0"/>
          <w:kern w:val="0"/>
          <w:szCs w:val="21"/>
        </w:rPr>
        <w:t>依据招标文件规定，评标委员会对符合资格审查的供应商的投标文件从有效性、完整性及对招标文件实质性响应等方面进行审查，详见“评标办法前附表”。</w:t>
      </w:r>
    </w:p>
    <w:p w14:paraId="3888A62B">
      <w:pPr>
        <w:wordWrap w:val="0"/>
        <w:spacing w:line="360" w:lineRule="auto"/>
        <w:ind w:firstLine="472" w:firstLineChars="225"/>
        <w:rPr>
          <w:rFonts w:cs="宋体"/>
          <w:snapToGrid w:val="0"/>
          <w:kern w:val="0"/>
          <w:szCs w:val="21"/>
        </w:rPr>
      </w:pPr>
      <w:r>
        <w:rPr>
          <w:rFonts w:hint="eastAsia" w:cs="宋体"/>
          <w:snapToGrid w:val="0"/>
          <w:kern w:val="0"/>
          <w:szCs w:val="21"/>
        </w:rPr>
        <w:t>符合性评审中“其他投标无效情形”如下：</w:t>
      </w:r>
    </w:p>
    <w:p w14:paraId="3A55AFC8">
      <w:pPr>
        <w:wordWrap w:val="0"/>
        <w:spacing w:line="360" w:lineRule="auto"/>
        <w:ind w:firstLine="472" w:firstLineChars="225"/>
        <w:rPr>
          <w:rFonts w:cs="宋体"/>
          <w:snapToGrid w:val="0"/>
          <w:kern w:val="0"/>
          <w:szCs w:val="21"/>
        </w:rPr>
      </w:pPr>
      <w:r>
        <w:rPr>
          <w:rFonts w:hint="eastAsia" w:cs="宋体"/>
          <w:snapToGrid w:val="0"/>
          <w:kern w:val="0"/>
          <w:szCs w:val="21"/>
        </w:rPr>
        <w:t>一、供应商没有按规定网上递交电子投标文件的。</w:t>
      </w:r>
    </w:p>
    <w:p w14:paraId="21E7FFA4">
      <w:pPr>
        <w:wordWrap w:val="0"/>
        <w:spacing w:line="360" w:lineRule="auto"/>
        <w:ind w:firstLine="472" w:firstLineChars="225"/>
        <w:rPr>
          <w:rFonts w:cs="宋体"/>
          <w:snapToGrid w:val="0"/>
          <w:kern w:val="0"/>
          <w:szCs w:val="21"/>
        </w:rPr>
      </w:pPr>
      <w:r>
        <w:rPr>
          <w:rFonts w:hint="eastAsia" w:cs="宋体"/>
          <w:snapToGrid w:val="0"/>
          <w:kern w:val="0"/>
          <w:szCs w:val="21"/>
        </w:rPr>
        <w:t>二、供应商名称或组织结构与资格审查不一致的。</w:t>
      </w:r>
    </w:p>
    <w:p w14:paraId="7F155810">
      <w:pPr>
        <w:wordWrap w:val="0"/>
        <w:spacing w:line="360" w:lineRule="auto"/>
        <w:ind w:firstLine="472" w:firstLineChars="225"/>
        <w:rPr>
          <w:rFonts w:cs="宋体"/>
          <w:snapToGrid w:val="0"/>
          <w:kern w:val="0"/>
          <w:szCs w:val="21"/>
        </w:rPr>
      </w:pPr>
      <w:r>
        <w:rPr>
          <w:rFonts w:hint="eastAsia" w:cs="宋体"/>
          <w:snapToGrid w:val="0"/>
          <w:kern w:val="0"/>
          <w:szCs w:val="21"/>
        </w:rPr>
        <w:t>三、不具备招标文件中规定的资格要求的。</w:t>
      </w:r>
    </w:p>
    <w:p w14:paraId="26D902A0">
      <w:pPr>
        <w:wordWrap w:val="0"/>
        <w:spacing w:line="360" w:lineRule="auto"/>
        <w:ind w:firstLine="472" w:firstLineChars="225"/>
        <w:rPr>
          <w:rFonts w:cs="宋体"/>
          <w:snapToGrid w:val="0"/>
          <w:kern w:val="0"/>
          <w:szCs w:val="21"/>
        </w:rPr>
      </w:pPr>
      <w:r>
        <w:rPr>
          <w:rFonts w:hint="eastAsia" w:cs="宋体"/>
          <w:snapToGrid w:val="0"/>
          <w:kern w:val="0"/>
          <w:szCs w:val="21"/>
        </w:rPr>
        <w:t>四、未按规定格式填写，内容不全或者关键内容字迹模糊，无法辨认的。</w:t>
      </w:r>
    </w:p>
    <w:p w14:paraId="60065749">
      <w:pPr>
        <w:wordWrap w:val="0"/>
        <w:spacing w:line="360" w:lineRule="auto"/>
        <w:ind w:firstLine="472" w:firstLineChars="225"/>
        <w:rPr>
          <w:rFonts w:cs="宋体"/>
          <w:snapToGrid w:val="0"/>
          <w:kern w:val="0"/>
          <w:szCs w:val="21"/>
        </w:rPr>
      </w:pPr>
      <w:r>
        <w:rPr>
          <w:rFonts w:hint="eastAsia" w:cs="宋体"/>
          <w:snapToGrid w:val="0"/>
          <w:kern w:val="0"/>
          <w:szCs w:val="21"/>
        </w:rPr>
        <w:t>五、未</w:t>
      </w:r>
      <w:r>
        <w:rPr>
          <w:rFonts w:cs="宋体"/>
          <w:snapToGrid w:val="0"/>
          <w:kern w:val="0"/>
          <w:szCs w:val="21"/>
        </w:rPr>
        <w:t>按招标文件要求提交投标保证金的；</w:t>
      </w:r>
    </w:p>
    <w:p w14:paraId="6B90CCF3">
      <w:pPr>
        <w:wordWrap w:val="0"/>
        <w:spacing w:line="360" w:lineRule="auto"/>
        <w:ind w:firstLine="472" w:firstLineChars="225"/>
        <w:rPr>
          <w:rFonts w:cs="宋体"/>
          <w:snapToGrid w:val="0"/>
          <w:kern w:val="0"/>
          <w:szCs w:val="21"/>
        </w:rPr>
      </w:pPr>
      <w:r>
        <w:rPr>
          <w:rFonts w:hint="eastAsia" w:cs="宋体"/>
          <w:snapToGrid w:val="0"/>
          <w:kern w:val="0"/>
          <w:szCs w:val="21"/>
        </w:rPr>
        <w:t>六、不按评标委员会要求澄清、说明或补正的。</w:t>
      </w:r>
    </w:p>
    <w:p w14:paraId="10D3853B">
      <w:pPr>
        <w:wordWrap w:val="0"/>
        <w:spacing w:line="360" w:lineRule="auto"/>
        <w:ind w:firstLine="472" w:firstLineChars="225"/>
        <w:rPr>
          <w:rFonts w:cs="宋体"/>
          <w:snapToGrid w:val="0"/>
          <w:kern w:val="0"/>
          <w:szCs w:val="21"/>
        </w:rPr>
      </w:pPr>
      <w:r>
        <w:rPr>
          <w:rFonts w:hint="eastAsia" w:cs="宋体"/>
          <w:snapToGrid w:val="0"/>
          <w:kern w:val="0"/>
          <w:szCs w:val="21"/>
        </w:rPr>
        <w:t>七、投标文件含有采购人不能接受的附加条件的。</w:t>
      </w:r>
    </w:p>
    <w:p w14:paraId="1FA49AA2">
      <w:pPr>
        <w:wordWrap w:val="0"/>
        <w:spacing w:line="360" w:lineRule="auto"/>
        <w:ind w:firstLine="472" w:firstLineChars="225"/>
        <w:rPr>
          <w:rFonts w:cs="宋体"/>
          <w:snapToGrid w:val="0"/>
          <w:kern w:val="0"/>
          <w:szCs w:val="21"/>
        </w:rPr>
      </w:pPr>
      <w:r>
        <w:rPr>
          <w:rFonts w:hint="eastAsia" w:cs="宋体"/>
          <w:snapToGrid w:val="0"/>
          <w:kern w:val="0"/>
          <w:szCs w:val="21"/>
        </w:rPr>
        <w:t>八、联合体各方再以自己名义单独或参加其他联合体在同一标段中投标的。</w:t>
      </w:r>
    </w:p>
    <w:p w14:paraId="6EB00992">
      <w:pPr>
        <w:wordWrap w:val="0"/>
        <w:spacing w:line="360" w:lineRule="auto"/>
        <w:ind w:firstLine="472" w:firstLineChars="225"/>
        <w:rPr>
          <w:rFonts w:cs="宋体"/>
          <w:snapToGrid w:val="0"/>
          <w:kern w:val="0"/>
          <w:szCs w:val="21"/>
        </w:rPr>
      </w:pPr>
      <w:r>
        <w:rPr>
          <w:rFonts w:hint="eastAsia" w:cs="宋体"/>
          <w:snapToGrid w:val="0"/>
          <w:kern w:val="0"/>
          <w:szCs w:val="21"/>
        </w:rPr>
        <w:t>九、有弄虚作假或有其他违法行为的。</w:t>
      </w:r>
    </w:p>
    <w:p w14:paraId="4B679030">
      <w:pPr>
        <w:wordWrap w:val="0"/>
        <w:spacing w:line="360" w:lineRule="auto"/>
        <w:ind w:firstLine="472" w:firstLineChars="225"/>
        <w:rPr>
          <w:rFonts w:cs="宋体"/>
          <w:snapToGrid w:val="0"/>
          <w:kern w:val="0"/>
          <w:szCs w:val="21"/>
        </w:rPr>
      </w:pPr>
      <w:r>
        <w:rPr>
          <w:rFonts w:hint="eastAsia" w:cs="宋体"/>
          <w:snapToGrid w:val="0"/>
          <w:kern w:val="0"/>
          <w:szCs w:val="21"/>
        </w:rPr>
        <w:t>十、法律法规和招标文件规定的其他无效情形。</w:t>
      </w:r>
    </w:p>
    <w:p w14:paraId="4A0EF51D">
      <w:pPr>
        <w:wordWrap w:val="0"/>
        <w:spacing w:line="360" w:lineRule="auto"/>
        <w:ind w:firstLine="472" w:firstLineChars="225"/>
        <w:rPr>
          <w:rFonts w:cs="宋体"/>
          <w:snapToGrid w:val="0"/>
          <w:kern w:val="0"/>
          <w:szCs w:val="21"/>
        </w:rPr>
      </w:pPr>
      <w:r>
        <w:rPr>
          <w:rFonts w:hint="eastAsia" w:cs="宋体"/>
          <w:snapToGrid w:val="0"/>
          <w:kern w:val="0"/>
          <w:szCs w:val="21"/>
        </w:rPr>
        <w:t>十一、有下列情形之一的，经评标委员会集体表决后认定，视作串通投标处理，并提请有关</w:t>
      </w:r>
      <w:r>
        <w:rPr>
          <w:rFonts w:cs="宋体"/>
          <w:snapToGrid w:val="0"/>
          <w:kern w:val="0"/>
          <w:szCs w:val="21"/>
        </w:rPr>
        <w:t>监管部门</w:t>
      </w:r>
      <w:r>
        <w:rPr>
          <w:rFonts w:hint="eastAsia" w:cs="宋体"/>
          <w:snapToGrid w:val="0"/>
          <w:kern w:val="0"/>
          <w:szCs w:val="21"/>
        </w:rPr>
        <w:t>依法予以处罚：</w:t>
      </w:r>
    </w:p>
    <w:p w14:paraId="5B06FE06">
      <w:pPr>
        <w:wordWrap w:val="0"/>
        <w:spacing w:line="360" w:lineRule="auto"/>
        <w:ind w:firstLine="472" w:firstLineChars="225"/>
        <w:rPr>
          <w:rFonts w:cs="宋体"/>
          <w:snapToGrid w:val="0"/>
          <w:kern w:val="0"/>
          <w:szCs w:val="21"/>
        </w:rPr>
      </w:pPr>
      <w:r>
        <w:rPr>
          <w:rFonts w:hint="eastAsia" w:cs="宋体"/>
          <w:snapToGrid w:val="0"/>
          <w:kern w:val="0"/>
          <w:szCs w:val="21"/>
        </w:rPr>
        <w:t>（1）不同供应商的投标文件内容存在非正常一致的；</w:t>
      </w:r>
    </w:p>
    <w:p w14:paraId="31364A2A">
      <w:pPr>
        <w:wordWrap w:val="0"/>
        <w:spacing w:line="360" w:lineRule="auto"/>
        <w:ind w:firstLine="472" w:firstLineChars="225"/>
        <w:rPr>
          <w:rFonts w:cs="宋体"/>
          <w:snapToGrid w:val="0"/>
          <w:kern w:val="0"/>
          <w:szCs w:val="21"/>
        </w:rPr>
      </w:pPr>
      <w:r>
        <w:rPr>
          <w:rFonts w:hint="eastAsia" w:cs="宋体"/>
          <w:snapToGrid w:val="0"/>
          <w:kern w:val="0"/>
          <w:szCs w:val="21"/>
        </w:rPr>
        <w:t>（2）不同供应商的投标文件两处以上错漏一致的；</w:t>
      </w:r>
    </w:p>
    <w:p w14:paraId="1B09D0E2">
      <w:pPr>
        <w:wordWrap w:val="0"/>
        <w:spacing w:line="360" w:lineRule="auto"/>
        <w:ind w:firstLine="472" w:firstLineChars="225"/>
        <w:rPr>
          <w:rFonts w:cs="宋体"/>
          <w:snapToGrid w:val="0"/>
          <w:kern w:val="0"/>
          <w:szCs w:val="21"/>
        </w:rPr>
      </w:pPr>
      <w:r>
        <w:rPr>
          <w:rFonts w:hint="eastAsia" w:cs="宋体"/>
          <w:snapToGrid w:val="0"/>
          <w:kern w:val="0"/>
          <w:szCs w:val="21"/>
        </w:rPr>
        <w:t>（3）不同供应商的投标报价或者报价组成异常接近或者呈规律性变化的；</w:t>
      </w:r>
    </w:p>
    <w:p w14:paraId="351DC091">
      <w:pPr>
        <w:wordWrap w:val="0"/>
        <w:spacing w:line="360" w:lineRule="auto"/>
        <w:ind w:firstLine="472" w:firstLineChars="225"/>
        <w:rPr>
          <w:rFonts w:cs="宋体"/>
          <w:snapToGrid w:val="0"/>
          <w:kern w:val="0"/>
          <w:szCs w:val="21"/>
        </w:rPr>
      </w:pPr>
      <w:r>
        <w:rPr>
          <w:rFonts w:hint="eastAsia" w:cs="宋体"/>
          <w:snapToGrid w:val="0"/>
          <w:kern w:val="0"/>
          <w:szCs w:val="21"/>
        </w:rPr>
        <w:t>（4）不同供应商的投标文件由同一企业或者同一个人编制的；</w:t>
      </w:r>
    </w:p>
    <w:p w14:paraId="24592F2C">
      <w:pPr>
        <w:wordWrap w:val="0"/>
        <w:spacing w:line="360" w:lineRule="auto"/>
        <w:ind w:firstLine="472" w:firstLineChars="225"/>
        <w:rPr>
          <w:rFonts w:cs="宋体"/>
          <w:snapToGrid w:val="0"/>
          <w:kern w:val="0"/>
          <w:szCs w:val="21"/>
        </w:rPr>
      </w:pPr>
      <w:r>
        <w:rPr>
          <w:rFonts w:hint="eastAsia" w:cs="宋体"/>
          <w:snapToGrid w:val="0"/>
          <w:kern w:val="0"/>
          <w:szCs w:val="21"/>
        </w:rPr>
        <w:t>（5）不同供应商的投标文件载明的项目管理班子成员出现同一人的；</w:t>
      </w:r>
    </w:p>
    <w:p w14:paraId="23413E71">
      <w:pPr>
        <w:wordWrap w:val="0"/>
        <w:spacing w:line="360" w:lineRule="auto"/>
        <w:ind w:firstLine="472" w:firstLineChars="225"/>
        <w:rPr>
          <w:rFonts w:cs="宋体"/>
          <w:snapToGrid w:val="0"/>
          <w:kern w:val="0"/>
          <w:szCs w:val="21"/>
        </w:rPr>
      </w:pPr>
      <w:r>
        <w:rPr>
          <w:rFonts w:hint="eastAsia" w:cs="宋体"/>
          <w:snapToGrid w:val="0"/>
          <w:kern w:val="0"/>
          <w:szCs w:val="21"/>
        </w:rPr>
        <w:t>（6）不同供应商的投标文件相互混装的；</w:t>
      </w:r>
    </w:p>
    <w:p w14:paraId="5B2C408B">
      <w:pPr>
        <w:wordWrap w:val="0"/>
        <w:spacing w:line="360" w:lineRule="auto"/>
        <w:ind w:firstLine="472" w:firstLineChars="225"/>
        <w:rPr>
          <w:rFonts w:cs="宋体"/>
          <w:snapToGrid w:val="0"/>
          <w:kern w:val="0"/>
          <w:szCs w:val="21"/>
        </w:rPr>
      </w:pPr>
      <w:r>
        <w:rPr>
          <w:rFonts w:hint="eastAsia" w:cs="宋体"/>
          <w:snapToGrid w:val="0"/>
          <w:kern w:val="0"/>
          <w:szCs w:val="21"/>
        </w:rPr>
        <w:t>（7）不同供应商的投标文件由同一台电脑编制或者同一台附属设备打印的；</w:t>
      </w:r>
    </w:p>
    <w:p w14:paraId="52D3C2E6">
      <w:pPr>
        <w:wordWrap w:val="0"/>
        <w:spacing w:line="360" w:lineRule="auto"/>
        <w:ind w:firstLine="472" w:firstLineChars="225"/>
        <w:rPr>
          <w:rFonts w:cs="宋体"/>
          <w:snapToGrid w:val="0"/>
          <w:kern w:val="0"/>
          <w:szCs w:val="21"/>
        </w:rPr>
      </w:pPr>
      <w:r>
        <w:rPr>
          <w:rFonts w:hint="eastAsia" w:cs="宋体"/>
          <w:snapToGrid w:val="0"/>
          <w:kern w:val="0"/>
          <w:szCs w:val="21"/>
        </w:rPr>
        <w:t>（8）不同供应商委托同一人投标的；</w:t>
      </w:r>
    </w:p>
    <w:p w14:paraId="17F1B736">
      <w:pPr>
        <w:wordWrap w:val="0"/>
        <w:spacing w:line="360" w:lineRule="auto"/>
        <w:ind w:firstLine="472" w:firstLineChars="225"/>
        <w:rPr>
          <w:rFonts w:cs="宋体"/>
          <w:snapToGrid w:val="0"/>
          <w:kern w:val="0"/>
          <w:szCs w:val="21"/>
        </w:rPr>
      </w:pPr>
      <w:r>
        <w:rPr>
          <w:rFonts w:hint="eastAsia" w:cs="宋体"/>
          <w:snapToGrid w:val="0"/>
          <w:kern w:val="0"/>
          <w:szCs w:val="21"/>
        </w:rPr>
        <w:t>（9）不同供应商使用同一个人或者同一个企业资金交纳投标保证金的；</w:t>
      </w:r>
    </w:p>
    <w:p w14:paraId="649F1BF5">
      <w:pPr>
        <w:wordWrap w:val="0"/>
        <w:spacing w:line="360" w:lineRule="auto"/>
        <w:ind w:firstLine="472" w:firstLineChars="225"/>
        <w:rPr>
          <w:rFonts w:cs="宋体"/>
          <w:snapToGrid w:val="0"/>
          <w:kern w:val="0"/>
          <w:szCs w:val="21"/>
        </w:rPr>
      </w:pPr>
      <w:r>
        <w:rPr>
          <w:rFonts w:hint="eastAsia" w:cs="宋体"/>
          <w:snapToGrid w:val="0"/>
          <w:kern w:val="0"/>
          <w:szCs w:val="21"/>
        </w:rPr>
        <w:t>（10）不同供应商委托同一人或者注册在同一家企业的人员为其提供投标咨询、商务报价、技术咨询（招标工程本身要求采用专有技术的除外）等服务的；</w:t>
      </w:r>
    </w:p>
    <w:p w14:paraId="35B9E441">
      <w:pPr>
        <w:wordWrap w:val="0"/>
        <w:spacing w:line="360" w:lineRule="auto"/>
        <w:ind w:firstLine="472" w:firstLineChars="225"/>
        <w:rPr>
          <w:rFonts w:cs="宋体"/>
          <w:snapToGrid w:val="0"/>
          <w:kern w:val="0"/>
          <w:szCs w:val="21"/>
        </w:rPr>
      </w:pPr>
      <w:r>
        <w:rPr>
          <w:rFonts w:hint="eastAsia" w:cs="宋体"/>
          <w:snapToGrid w:val="0"/>
          <w:kern w:val="0"/>
          <w:szCs w:val="21"/>
        </w:rPr>
        <w:t>（11）供应商在投标文件上签名的人员与其他供应商在投标文件上的签名人员为同一人的；</w:t>
      </w:r>
    </w:p>
    <w:p w14:paraId="1FBEC76F">
      <w:pPr>
        <w:wordWrap w:val="0"/>
        <w:spacing w:line="360" w:lineRule="auto"/>
        <w:ind w:firstLine="472" w:firstLineChars="225"/>
        <w:rPr>
          <w:rFonts w:cs="宋体"/>
          <w:snapToGrid w:val="0"/>
          <w:kern w:val="0"/>
          <w:szCs w:val="21"/>
        </w:rPr>
      </w:pPr>
      <w:r>
        <w:rPr>
          <w:rFonts w:hint="eastAsia" w:cs="宋体"/>
          <w:snapToGrid w:val="0"/>
          <w:kern w:val="0"/>
          <w:szCs w:val="21"/>
        </w:rPr>
        <w:t>（1</w:t>
      </w:r>
      <w:r>
        <w:rPr>
          <w:rFonts w:cs="宋体"/>
          <w:snapToGrid w:val="0"/>
          <w:kern w:val="0"/>
          <w:szCs w:val="21"/>
        </w:rPr>
        <w:t>2</w:t>
      </w:r>
      <w:r>
        <w:rPr>
          <w:rFonts w:hint="eastAsia" w:cs="宋体"/>
          <w:snapToGrid w:val="0"/>
          <w:kern w:val="0"/>
          <w:szCs w:val="21"/>
        </w:rPr>
        <w:t>）评标委员会认定的其他串通投标情形。</w:t>
      </w:r>
    </w:p>
    <w:p w14:paraId="7312D85F">
      <w:pPr>
        <w:wordWrap w:val="0"/>
        <w:spacing w:before="120" w:beforeLines="50" w:line="360" w:lineRule="auto"/>
        <w:ind w:firstLine="405" w:firstLineChars="192"/>
        <w:rPr>
          <w:rFonts w:ascii="宋体" w:hAnsi="宋体" w:cs="宋体"/>
          <w:b/>
          <w:snapToGrid w:val="0"/>
          <w:kern w:val="0"/>
          <w:szCs w:val="21"/>
        </w:rPr>
      </w:pPr>
      <w:r>
        <w:rPr>
          <w:rFonts w:hint="eastAsia" w:ascii="宋体" w:hAnsi="宋体" w:cs="宋体"/>
          <w:b/>
          <w:snapToGrid w:val="0"/>
          <w:kern w:val="0"/>
          <w:szCs w:val="21"/>
        </w:rPr>
        <w:t>3.</w:t>
      </w:r>
      <w:r>
        <w:rPr>
          <w:rFonts w:ascii="宋体" w:hAnsi="宋体" w:cs="宋体"/>
          <w:b/>
          <w:snapToGrid w:val="0"/>
          <w:kern w:val="0"/>
          <w:szCs w:val="21"/>
        </w:rPr>
        <w:t>2</w:t>
      </w:r>
      <w:r>
        <w:rPr>
          <w:rFonts w:hint="eastAsia" w:ascii="宋体" w:hAnsi="宋体" w:cs="宋体"/>
          <w:b/>
          <w:snapToGrid w:val="0"/>
          <w:kern w:val="0"/>
          <w:szCs w:val="21"/>
        </w:rPr>
        <w:t>商务部分评审</w:t>
      </w:r>
    </w:p>
    <w:p w14:paraId="46784297">
      <w:pPr>
        <w:wordWrap w:val="0"/>
        <w:spacing w:line="360" w:lineRule="auto"/>
        <w:ind w:firstLine="472" w:firstLineChars="225"/>
        <w:rPr>
          <w:rFonts w:cs="宋体"/>
          <w:snapToGrid w:val="0"/>
          <w:kern w:val="0"/>
          <w:szCs w:val="21"/>
        </w:rPr>
      </w:pPr>
      <w:r>
        <w:rPr>
          <w:rFonts w:hint="eastAsia" w:cs="宋体"/>
          <w:snapToGrid w:val="0"/>
          <w:kern w:val="0"/>
          <w:szCs w:val="21"/>
        </w:rPr>
        <w:t>1.投标文件内容澄清</w:t>
      </w:r>
    </w:p>
    <w:p w14:paraId="64BC5E13">
      <w:pPr>
        <w:wordWrap w:val="0"/>
        <w:spacing w:line="360" w:lineRule="auto"/>
        <w:ind w:firstLine="472" w:firstLineChars="225"/>
        <w:rPr>
          <w:rFonts w:cs="宋体"/>
          <w:snapToGrid w:val="0"/>
          <w:kern w:val="0"/>
          <w:szCs w:val="21"/>
        </w:rPr>
      </w:pPr>
      <w:r>
        <w:rPr>
          <w:rFonts w:hint="eastAsia" w:cs="宋体"/>
          <w:snapToGrid w:val="0"/>
          <w:kern w:val="0"/>
          <w:szCs w:val="21"/>
        </w:rPr>
        <w:t>对于投标文件中含义不明确、同类问题表述不一致或者有明显文字和计算错误的内容，评标委员会应当以书面形式要求供应商作出必要的澄清、说明或者补正。供应商的澄清、说明或者补正应当采用书面形式，并加盖公章，或者由法定代表人或其授权的代表签字。供应商的澄清、说明或者补正不得超出投标文件的范围或者改变投标文件的实质性内容。</w:t>
      </w:r>
    </w:p>
    <w:p w14:paraId="723088FE">
      <w:pPr>
        <w:wordWrap w:val="0"/>
        <w:spacing w:line="360" w:lineRule="auto"/>
        <w:ind w:firstLine="472" w:firstLineChars="225"/>
        <w:rPr>
          <w:rFonts w:cs="宋体"/>
          <w:snapToGrid w:val="0"/>
          <w:kern w:val="0"/>
          <w:szCs w:val="21"/>
        </w:rPr>
      </w:pPr>
      <w:r>
        <w:rPr>
          <w:rFonts w:hint="eastAsia" w:cs="宋体"/>
          <w:snapToGrid w:val="0"/>
          <w:kern w:val="0"/>
          <w:szCs w:val="21"/>
        </w:rPr>
        <w:t>2.报价不一致情形澄清</w:t>
      </w:r>
    </w:p>
    <w:p w14:paraId="2DE7CD17">
      <w:pPr>
        <w:wordWrap w:val="0"/>
        <w:spacing w:line="360" w:lineRule="auto"/>
        <w:ind w:firstLine="472" w:firstLineChars="225"/>
        <w:rPr>
          <w:rFonts w:cs="宋体"/>
          <w:snapToGrid w:val="0"/>
          <w:kern w:val="0"/>
          <w:szCs w:val="21"/>
        </w:rPr>
      </w:pPr>
      <w:r>
        <w:rPr>
          <w:rFonts w:hint="eastAsia" w:cs="宋体"/>
          <w:snapToGrid w:val="0"/>
          <w:kern w:val="0"/>
          <w:szCs w:val="21"/>
        </w:rPr>
        <w:t>投标文件报价出现前后不一致的，除招标文件另有规定外，按照下列规定修正：</w:t>
      </w:r>
    </w:p>
    <w:p w14:paraId="5A659372">
      <w:pPr>
        <w:wordWrap w:val="0"/>
        <w:spacing w:line="360" w:lineRule="auto"/>
        <w:ind w:firstLine="472" w:firstLineChars="225"/>
        <w:rPr>
          <w:rFonts w:cs="宋体"/>
          <w:snapToGrid w:val="0"/>
          <w:kern w:val="0"/>
          <w:szCs w:val="21"/>
        </w:rPr>
      </w:pPr>
      <w:r>
        <w:rPr>
          <w:rFonts w:hint="eastAsia" w:cs="宋体"/>
          <w:snapToGrid w:val="0"/>
          <w:kern w:val="0"/>
          <w:szCs w:val="21"/>
        </w:rPr>
        <w:t>（1）投标文件中开标一览表（报价表</w:t>
      </w:r>
      <w:r>
        <w:rPr>
          <w:rFonts w:cs="宋体"/>
          <w:snapToGrid w:val="0"/>
          <w:kern w:val="0"/>
          <w:szCs w:val="21"/>
        </w:rPr>
        <w:t>）</w:t>
      </w:r>
      <w:r>
        <w:rPr>
          <w:rFonts w:hint="eastAsia" w:cs="宋体"/>
          <w:snapToGrid w:val="0"/>
          <w:kern w:val="0"/>
          <w:szCs w:val="21"/>
        </w:rPr>
        <w:t>内容与投标文件中相应内容不一致的，以开标一览表（报价表</w:t>
      </w:r>
      <w:r>
        <w:rPr>
          <w:rFonts w:cs="宋体"/>
          <w:snapToGrid w:val="0"/>
          <w:kern w:val="0"/>
          <w:szCs w:val="21"/>
        </w:rPr>
        <w:t>）</w:t>
      </w:r>
      <w:r>
        <w:rPr>
          <w:rFonts w:hint="eastAsia" w:cs="宋体"/>
          <w:snapToGrid w:val="0"/>
          <w:kern w:val="0"/>
          <w:szCs w:val="21"/>
        </w:rPr>
        <w:t>为准；</w:t>
      </w:r>
    </w:p>
    <w:p w14:paraId="09174E20">
      <w:pPr>
        <w:wordWrap w:val="0"/>
        <w:spacing w:line="360" w:lineRule="auto"/>
        <w:ind w:firstLine="472" w:firstLineChars="225"/>
        <w:rPr>
          <w:rFonts w:cs="宋体"/>
          <w:snapToGrid w:val="0"/>
          <w:kern w:val="0"/>
          <w:szCs w:val="21"/>
        </w:rPr>
      </w:pPr>
      <w:r>
        <w:rPr>
          <w:rFonts w:hint="eastAsia" w:cs="宋体"/>
          <w:snapToGrid w:val="0"/>
          <w:kern w:val="0"/>
          <w:szCs w:val="21"/>
        </w:rPr>
        <w:t>（2）大写金额和小写金额不一致的，以大写金额为准；</w:t>
      </w:r>
    </w:p>
    <w:p w14:paraId="6B25BDBF">
      <w:pPr>
        <w:wordWrap w:val="0"/>
        <w:spacing w:line="360" w:lineRule="auto"/>
        <w:ind w:firstLine="472" w:firstLineChars="225"/>
        <w:rPr>
          <w:rFonts w:cs="宋体"/>
          <w:snapToGrid w:val="0"/>
          <w:kern w:val="0"/>
          <w:szCs w:val="21"/>
        </w:rPr>
      </w:pPr>
      <w:r>
        <w:rPr>
          <w:rFonts w:hint="eastAsia" w:cs="宋体"/>
          <w:snapToGrid w:val="0"/>
          <w:kern w:val="0"/>
          <w:szCs w:val="21"/>
        </w:rPr>
        <w:t>（3）单价金额小数点或者百分比有明显错位的，以开标一览表的总价为准，并修改单价；</w:t>
      </w:r>
    </w:p>
    <w:p w14:paraId="643FB60E">
      <w:pPr>
        <w:wordWrap w:val="0"/>
        <w:spacing w:line="360" w:lineRule="auto"/>
        <w:ind w:firstLine="472" w:firstLineChars="225"/>
        <w:rPr>
          <w:rFonts w:cs="宋体"/>
          <w:snapToGrid w:val="0"/>
          <w:kern w:val="0"/>
          <w:szCs w:val="21"/>
        </w:rPr>
      </w:pPr>
      <w:r>
        <w:rPr>
          <w:rFonts w:hint="eastAsia" w:cs="宋体"/>
          <w:snapToGrid w:val="0"/>
          <w:kern w:val="0"/>
          <w:szCs w:val="21"/>
        </w:rPr>
        <w:t>（4）总价金额与按单价汇总金额不一致的，以单价金额计算结果为准。</w:t>
      </w:r>
    </w:p>
    <w:p w14:paraId="24E8BB71">
      <w:pPr>
        <w:wordWrap w:val="0"/>
        <w:spacing w:line="360" w:lineRule="auto"/>
        <w:ind w:firstLine="472" w:firstLineChars="225"/>
        <w:rPr>
          <w:rFonts w:cs="宋体"/>
          <w:snapToGrid w:val="0"/>
          <w:kern w:val="0"/>
          <w:szCs w:val="21"/>
        </w:rPr>
      </w:pPr>
      <w:r>
        <w:rPr>
          <w:rFonts w:hint="eastAsia" w:cs="宋体"/>
          <w:snapToGrid w:val="0"/>
          <w:kern w:val="0"/>
          <w:szCs w:val="21"/>
        </w:rPr>
        <w:t>（5）同时出现两种以上不一致的，按照前款规定的顺序修正。修正后的报价经供应商确认后产生约束力，供应商不确认的，其投标无效。</w:t>
      </w:r>
    </w:p>
    <w:p w14:paraId="540E53A9">
      <w:pPr>
        <w:wordWrap w:val="0"/>
        <w:spacing w:line="360" w:lineRule="auto"/>
        <w:ind w:firstLine="472" w:firstLineChars="225"/>
        <w:rPr>
          <w:rFonts w:cs="宋体"/>
          <w:snapToGrid w:val="0"/>
          <w:kern w:val="0"/>
          <w:szCs w:val="21"/>
        </w:rPr>
      </w:pPr>
      <w:r>
        <w:rPr>
          <w:rFonts w:hint="eastAsia" w:cs="宋体"/>
          <w:snapToGrid w:val="0"/>
          <w:kern w:val="0"/>
          <w:szCs w:val="21"/>
        </w:rPr>
        <w:t>3.报价过低情形澄清</w:t>
      </w:r>
    </w:p>
    <w:p w14:paraId="49FADFCC">
      <w:pPr>
        <w:wordWrap w:val="0"/>
        <w:spacing w:line="360" w:lineRule="auto"/>
        <w:ind w:firstLine="472" w:firstLineChars="225"/>
        <w:rPr>
          <w:rFonts w:cs="宋体"/>
          <w:snapToGrid w:val="0"/>
          <w:kern w:val="0"/>
          <w:szCs w:val="21"/>
        </w:rPr>
      </w:pPr>
      <w:r>
        <w:rPr>
          <w:rFonts w:hint="eastAsia" w:cs="宋体"/>
          <w:snapToGrid w:val="0"/>
          <w:kern w:val="0"/>
          <w:szCs w:val="21"/>
        </w:rPr>
        <w:t>评标委员会认为供应商的报价（总价或单价）明显低于其他通过符合性审查的供应商的报价（总价或单价），有可能影响产品质量或者不能诚信履约的，应当要求其在评标现场合理的时间内提供书面说明，必要时提交相关证明材料；供应商不能证明其报价合理性的，评标委员会应当将其作为无效投标处理。</w:t>
      </w:r>
    </w:p>
    <w:p w14:paraId="1AB4C700">
      <w:pPr>
        <w:wordWrap w:val="0"/>
        <w:spacing w:before="120" w:beforeLines="50" w:line="360" w:lineRule="auto"/>
        <w:ind w:firstLine="405" w:firstLineChars="192"/>
        <w:rPr>
          <w:rFonts w:ascii="宋体" w:hAnsi="宋体" w:cs="宋体"/>
          <w:b/>
          <w:snapToGrid w:val="0"/>
          <w:kern w:val="0"/>
          <w:szCs w:val="21"/>
        </w:rPr>
      </w:pPr>
      <w:r>
        <w:rPr>
          <w:rFonts w:ascii="宋体" w:hAnsi="宋体" w:cs="宋体"/>
          <w:b/>
          <w:snapToGrid w:val="0"/>
          <w:kern w:val="0"/>
          <w:szCs w:val="21"/>
        </w:rPr>
        <w:t>3.3</w:t>
      </w:r>
      <w:r>
        <w:rPr>
          <w:rFonts w:hint="eastAsia" w:ascii="宋体" w:hAnsi="宋体" w:cs="宋体"/>
          <w:b/>
          <w:snapToGrid w:val="0"/>
          <w:kern w:val="0"/>
          <w:szCs w:val="21"/>
        </w:rPr>
        <w:t>综合</w:t>
      </w:r>
      <w:r>
        <w:rPr>
          <w:rFonts w:ascii="宋体" w:hAnsi="宋体" w:cs="宋体"/>
          <w:b/>
          <w:snapToGrid w:val="0"/>
          <w:kern w:val="0"/>
          <w:szCs w:val="21"/>
        </w:rPr>
        <w:t>评审打分</w:t>
      </w:r>
    </w:p>
    <w:p w14:paraId="337E0712">
      <w:pPr>
        <w:wordWrap w:val="0"/>
        <w:spacing w:line="360" w:lineRule="auto"/>
        <w:ind w:firstLine="472" w:firstLineChars="225"/>
        <w:rPr>
          <w:rFonts w:cs="宋体"/>
          <w:snapToGrid w:val="0"/>
          <w:kern w:val="0"/>
          <w:szCs w:val="21"/>
        </w:rPr>
      </w:pPr>
      <w:r>
        <w:rPr>
          <w:rFonts w:hint="eastAsia" w:cs="宋体"/>
          <w:snapToGrid w:val="0"/>
          <w:kern w:val="0"/>
          <w:szCs w:val="21"/>
        </w:rPr>
        <w:t>详见“评标办法前附表”。</w:t>
      </w:r>
    </w:p>
    <w:p w14:paraId="66CF12E2">
      <w:pPr>
        <w:wordWrap w:val="0"/>
        <w:spacing w:line="360" w:lineRule="auto"/>
        <w:ind w:firstLine="472" w:firstLineChars="225"/>
        <w:rPr>
          <w:rFonts w:cs="宋体"/>
          <w:snapToGrid w:val="0"/>
          <w:kern w:val="0"/>
          <w:szCs w:val="21"/>
        </w:rPr>
      </w:pPr>
      <w:bookmarkStart w:id="145" w:name="_Toc248767826"/>
      <w:bookmarkStart w:id="146" w:name="_Toc270090087"/>
      <w:bookmarkStart w:id="147" w:name="_Toc260908202"/>
      <w:bookmarkStart w:id="148" w:name="_Toc260907986"/>
      <w:bookmarkStart w:id="149" w:name="_Toc481712048"/>
      <w:bookmarkStart w:id="150" w:name="_Toc259188730"/>
      <w:bookmarkStart w:id="151" w:name="_Toc520802756"/>
      <w:r>
        <w:rPr>
          <w:rFonts w:hint="eastAsia" w:cs="宋体"/>
          <w:snapToGrid w:val="0"/>
          <w:kern w:val="0"/>
          <w:szCs w:val="21"/>
        </w:rPr>
        <w:t>（1）评标委员会各</w:t>
      </w:r>
      <w:r>
        <w:rPr>
          <w:rFonts w:cs="宋体"/>
          <w:snapToGrid w:val="0"/>
          <w:kern w:val="0"/>
          <w:szCs w:val="21"/>
        </w:rPr>
        <w:t>成员应当独立</w:t>
      </w:r>
      <w:r>
        <w:rPr>
          <w:rFonts w:hint="eastAsia" w:cs="宋体"/>
          <w:snapToGrid w:val="0"/>
          <w:kern w:val="0"/>
          <w:szCs w:val="21"/>
        </w:rPr>
        <w:t>对每个</w:t>
      </w:r>
      <w:r>
        <w:rPr>
          <w:rFonts w:cs="宋体"/>
          <w:snapToGrid w:val="0"/>
          <w:kern w:val="0"/>
          <w:szCs w:val="21"/>
        </w:rPr>
        <w:t>投标人的</w:t>
      </w:r>
      <w:r>
        <w:rPr>
          <w:rFonts w:hint="eastAsia" w:cs="宋体"/>
          <w:snapToGrid w:val="0"/>
          <w:kern w:val="0"/>
          <w:szCs w:val="21"/>
        </w:rPr>
        <w:t>投标文件进行评价，并按招标文件规定的分值评分，打分</w:t>
      </w:r>
      <w:r>
        <w:rPr>
          <w:rFonts w:cs="宋体"/>
          <w:snapToGrid w:val="0"/>
          <w:kern w:val="0"/>
          <w:szCs w:val="21"/>
        </w:rPr>
        <w:t>分值为整数</w:t>
      </w:r>
      <w:r>
        <w:rPr>
          <w:rFonts w:hint="eastAsia" w:cs="宋体"/>
          <w:snapToGrid w:val="0"/>
          <w:kern w:val="0"/>
          <w:szCs w:val="21"/>
        </w:rPr>
        <w:t>。</w:t>
      </w:r>
    </w:p>
    <w:p w14:paraId="250A4740">
      <w:pPr>
        <w:wordWrap w:val="0"/>
        <w:spacing w:line="360" w:lineRule="auto"/>
        <w:ind w:firstLine="472" w:firstLineChars="225"/>
        <w:rPr>
          <w:rFonts w:cs="宋体"/>
          <w:snapToGrid w:val="0"/>
          <w:kern w:val="0"/>
          <w:szCs w:val="21"/>
        </w:rPr>
      </w:pPr>
      <w:r>
        <w:rPr>
          <w:rFonts w:hint="eastAsia" w:cs="宋体"/>
          <w:snapToGrid w:val="0"/>
          <w:kern w:val="0"/>
          <w:szCs w:val="21"/>
        </w:rPr>
        <w:t>（2）统计分数原则：汇总所有评委评分的算术平均值为投标人的技术部分得分（保留小数点后两位）。</w:t>
      </w:r>
    </w:p>
    <w:p w14:paraId="5AEFF3A6">
      <w:pPr>
        <w:wordWrap w:val="0"/>
        <w:rPr>
          <w:snapToGrid w:val="0"/>
          <w:kern w:val="0"/>
        </w:rPr>
      </w:pPr>
    </w:p>
    <w:p w14:paraId="23983024">
      <w:pPr>
        <w:pStyle w:val="4"/>
      </w:pPr>
      <w:bookmarkStart w:id="152" w:name="_Toc25567"/>
      <w:bookmarkStart w:id="153" w:name="_Toc9185"/>
      <w:bookmarkStart w:id="154" w:name="_Toc30470"/>
      <w:bookmarkStart w:id="155" w:name="_Toc71823595"/>
      <w:r>
        <w:rPr>
          <w:rFonts w:hint="eastAsia"/>
        </w:rPr>
        <w:t>四、</w:t>
      </w:r>
      <w:bookmarkEnd w:id="145"/>
      <w:bookmarkEnd w:id="146"/>
      <w:bookmarkEnd w:id="147"/>
      <w:bookmarkEnd w:id="148"/>
      <w:bookmarkEnd w:id="149"/>
      <w:bookmarkEnd w:id="150"/>
      <w:r>
        <w:rPr>
          <w:rFonts w:hint="eastAsia"/>
        </w:rPr>
        <w:t>汇总评标结果</w:t>
      </w:r>
      <w:bookmarkEnd w:id="151"/>
      <w:bookmarkEnd w:id="152"/>
      <w:bookmarkEnd w:id="153"/>
      <w:bookmarkEnd w:id="154"/>
      <w:bookmarkEnd w:id="155"/>
    </w:p>
    <w:p w14:paraId="44A338CF">
      <w:pPr>
        <w:wordWrap w:val="0"/>
        <w:spacing w:line="360" w:lineRule="auto"/>
        <w:ind w:firstLine="359" w:firstLineChars="171"/>
        <w:rPr>
          <w:rFonts w:cs="宋体"/>
          <w:snapToGrid w:val="0"/>
          <w:kern w:val="0"/>
          <w:szCs w:val="21"/>
        </w:rPr>
      </w:pPr>
      <w:r>
        <w:rPr>
          <w:rFonts w:hint="eastAsia" w:cs="宋体"/>
          <w:snapToGrid w:val="0"/>
          <w:kern w:val="0"/>
          <w:szCs w:val="21"/>
        </w:rPr>
        <w:t>1</w:t>
      </w:r>
      <w:r>
        <w:rPr>
          <w:rFonts w:cs="宋体"/>
          <w:snapToGrid w:val="0"/>
          <w:kern w:val="0"/>
          <w:szCs w:val="21"/>
        </w:rPr>
        <w:t>.</w:t>
      </w:r>
      <w:r>
        <w:rPr>
          <w:rFonts w:hint="eastAsia" w:cs="宋体"/>
          <w:snapToGrid w:val="0"/>
          <w:kern w:val="0"/>
          <w:szCs w:val="21"/>
        </w:rPr>
        <w:t>各项评分因素得分的总和即为供应商最后得分。</w:t>
      </w:r>
    </w:p>
    <w:p w14:paraId="47B84696">
      <w:pPr>
        <w:wordWrap w:val="0"/>
        <w:spacing w:line="360" w:lineRule="auto"/>
        <w:ind w:firstLine="359" w:firstLineChars="171"/>
        <w:rPr>
          <w:rFonts w:cs="宋体"/>
          <w:snapToGrid w:val="0"/>
          <w:kern w:val="0"/>
          <w:szCs w:val="21"/>
        </w:rPr>
      </w:pPr>
      <w:r>
        <w:rPr>
          <w:rFonts w:hint="eastAsia" w:cs="宋体"/>
          <w:snapToGrid w:val="0"/>
          <w:kern w:val="0"/>
          <w:szCs w:val="21"/>
        </w:rPr>
        <w:t>2</w:t>
      </w:r>
      <w:r>
        <w:rPr>
          <w:rFonts w:cs="宋体"/>
          <w:snapToGrid w:val="0"/>
          <w:kern w:val="0"/>
          <w:szCs w:val="21"/>
        </w:rPr>
        <w:t>.</w:t>
      </w:r>
      <w:r>
        <w:rPr>
          <w:rFonts w:hint="eastAsia" w:cs="宋体"/>
          <w:snapToGrid w:val="0"/>
          <w:kern w:val="0"/>
          <w:szCs w:val="21"/>
        </w:rPr>
        <w:t>经评标委员会认定评分畸高、畸低的，评标委员会应当当场修改评标结果，并在评标报告中记载。</w:t>
      </w:r>
    </w:p>
    <w:p w14:paraId="1DBF5699">
      <w:pPr>
        <w:wordWrap w:val="0"/>
        <w:rPr>
          <w:snapToGrid w:val="0"/>
          <w:kern w:val="0"/>
        </w:rPr>
      </w:pPr>
    </w:p>
    <w:p w14:paraId="38F1FF17">
      <w:pPr>
        <w:pStyle w:val="4"/>
      </w:pPr>
      <w:bookmarkStart w:id="156" w:name="_Toc28727"/>
      <w:bookmarkStart w:id="157" w:name="_Toc520802757"/>
      <w:bookmarkStart w:id="158" w:name="_Toc27553"/>
      <w:bookmarkStart w:id="159" w:name="_Toc71823596"/>
      <w:bookmarkStart w:id="160" w:name="_Toc2385"/>
      <w:r>
        <w:rPr>
          <w:rFonts w:hint="eastAsia"/>
        </w:rPr>
        <w:t>五、推荐中标候选人</w:t>
      </w:r>
      <w:bookmarkEnd w:id="156"/>
      <w:bookmarkEnd w:id="157"/>
      <w:bookmarkEnd w:id="158"/>
      <w:bookmarkEnd w:id="159"/>
      <w:bookmarkEnd w:id="160"/>
    </w:p>
    <w:p w14:paraId="60799D9C">
      <w:pPr>
        <w:pStyle w:val="160"/>
        <w:wordWrap w:val="0"/>
        <w:spacing w:line="360" w:lineRule="auto"/>
        <w:ind w:firstLine="420" w:firstLineChars="200"/>
        <w:rPr>
          <w:rFonts w:ascii="宋体" w:hAnsi="宋体"/>
          <w:snapToGrid w:val="0"/>
          <w:kern w:val="0"/>
          <w:szCs w:val="21"/>
        </w:rPr>
      </w:pPr>
      <w:r>
        <w:rPr>
          <w:rFonts w:hint="eastAsia" w:ascii="宋体" w:hAnsi="宋体"/>
          <w:snapToGrid w:val="0"/>
          <w:kern w:val="0"/>
          <w:szCs w:val="21"/>
        </w:rPr>
        <w:t xml:space="preserve">1.评标委员会按评标办法的规定计算出各供应商的总得分，按最终得分由高到低顺序排列。投标文件满足招标文件全部实质性要求，且按照评审因素的量化指标评审得分最高的供应商为排名第一的中标候选人。得分相同的，按投标报价由低到高顺序排列。 </w:t>
      </w:r>
    </w:p>
    <w:p w14:paraId="6C948322">
      <w:pPr>
        <w:pStyle w:val="160"/>
        <w:wordWrap w:val="0"/>
        <w:spacing w:line="360" w:lineRule="auto"/>
        <w:ind w:firstLine="420" w:firstLineChars="200"/>
        <w:jc w:val="left"/>
        <w:rPr>
          <w:rFonts w:ascii="宋体" w:hAnsi="宋体"/>
          <w:snapToGrid w:val="0"/>
          <w:kern w:val="0"/>
          <w:szCs w:val="21"/>
        </w:rPr>
      </w:pPr>
      <w:r>
        <w:rPr>
          <w:rFonts w:ascii="宋体" w:hAnsi="宋体"/>
          <w:snapToGrid w:val="0"/>
          <w:kern w:val="0"/>
          <w:szCs w:val="21"/>
        </w:rPr>
        <w:t>2</w:t>
      </w:r>
      <w:r>
        <w:rPr>
          <w:rFonts w:hint="eastAsia" w:ascii="宋体" w:hAnsi="宋体"/>
          <w:snapToGrid w:val="0"/>
          <w:kern w:val="0"/>
          <w:szCs w:val="21"/>
        </w:rPr>
        <w:t>.评标委员会根据全体评标成员签字的原始评标记录和评标结果编写评标报告。</w:t>
      </w:r>
    </w:p>
    <w:p w14:paraId="29833879">
      <w:pPr>
        <w:pStyle w:val="160"/>
        <w:wordWrap w:val="0"/>
        <w:spacing w:line="360" w:lineRule="auto"/>
        <w:ind w:firstLine="420" w:firstLineChars="200"/>
        <w:jc w:val="left"/>
        <w:rPr>
          <w:rFonts w:ascii="宋体" w:hAnsi="宋体"/>
          <w:snapToGrid w:val="0"/>
          <w:kern w:val="0"/>
          <w:szCs w:val="21"/>
        </w:rPr>
      </w:pPr>
    </w:p>
    <w:p w14:paraId="705FCD06">
      <w:pPr>
        <w:pStyle w:val="4"/>
      </w:pPr>
      <w:bookmarkStart w:id="161" w:name="_Toc26776"/>
      <w:bookmarkStart w:id="162" w:name="_Toc6824"/>
      <w:bookmarkStart w:id="163" w:name="_Toc31909"/>
      <w:bookmarkStart w:id="164" w:name="_Toc520802758"/>
      <w:bookmarkStart w:id="165" w:name="_Toc71823597"/>
      <w:r>
        <w:rPr>
          <w:rFonts w:hint="eastAsia"/>
        </w:rPr>
        <w:t>六、特殊情况的处置程序</w:t>
      </w:r>
      <w:bookmarkEnd w:id="161"/>
      <w:bookmarkEnd w:id="162"/>
      <w:bookmarkEnd w:id="163"/>
      <w:bookmarkEnd w:id="164"/>
      <w:bookmarkEnd w:id="165"/>
    </w:p>
    <w:p w14:paraId="23F2D18E">
      <w:pPr>
        <w:wordWrap w:val="0"/>
        <w:spacing w:before="120" w:beforeLines="50" w:line="360" w:lineRule="auto"/>
        <w:ind w:firstLine="405" w:firstLineChars="192"/>
        <w:rPr>
          <w:rFonts w:ascii="宋体" w:hAnsi="宋体" w:cs="宋体"/>
          <w:b/>
          <w:snapToGrid w:val="0"/>
          <w:kern w:val="0"/>
          <w:szCs w:val="21"/>
        </w:rPr>
      </w:pPr>
      <w:r>
        <w:rPr>
          <w:rFonts w:hint="eastAsia" w:ascii="宋体" w:hAnsi="宋体" w:cs="宋体"/>
          <w:b/>
          <w:snapToGrid w:val="0"/>
          <w:kern w:val="0"/>
          <w:szCs w:val="21"/>
        </w:rPr>
        <w:t>6</w:t>
      </w:r>
      <w:r>
        <w:rPr>
          <w:rFonts w:ascii="宋体" w:hAnsi="宋体" w:cs="宋体"/>
          <w:b/>
          <w:snapToGrid w:val="0"/>
          <w:kern w:val="0"/>
          <w:szCs w:val="21"/>
        </w:rPr>
        <w:t>.1</w:t>
      </w:r>
      <w:r>
        <w:rPr>
          <w:rFonts w:hint="eastAsia" w:ascii="宋体" w:hAnsi="宋体" w:cs="宋体"/>
          <w:b/>
          <w:snapToGrid w:val="0"/>
          <w:kern w:val="0"/>
          <w:szCs w:val="21"/>
        </w:rPr>
        <w:t>关于评标活动暂停</w:t>
      </w:r>
    </w:p>
    <w:p w14:paraId="6965C978">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评标委员会应当执行连续评标的原则，按评标办法中规定的程序、内容、方法、标准完成全部评标工作。只有发生不可抗力导致评标工作无法继续时，评标活动方可暂停。</w:t>
      </w:r>
    </w:p>
    <w:p w14:paraId="06DE8149">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发生评标暂停情况时，评标委员会应当封存全部投标文件和评标记录，待不可抗力的影响结束且具备继续评标的条件时，由原评标委员会继续评标。</w:t>
      </w:r>
    </w:p>
    <w:p w14:paraId="6083213D">
      <w:pPr>
        <w:wordWrap w:val="0"/>
        <w:spacing w:before="120" w:beforeLines="50" w:line="360" w:lineRule="auto"/>
        <w:ind w:firstLine="405" w:firstLineChars="192"/>
        <w:rPr>
          <w:rFonts w:ascii="宋体" w:hAnsi="宋体" w:cs="宋体"/>
          <w:b/>
          <w:snapToGrid w:val="0"/>
          <w:kern w:val="0"/>
          <w:szCs w:val="21"/>
        </w:rPr>
      </w:pPr>
      <w:r>
        <w:rPr>
          <w:rFonts w:ascii="宋体" w:hAnsi="宋体" w:cs="宋体"/>
          <w:b/>
          <w:snapToGrid w:val="0"/>
          <w:kern w:val="0"/>
          <w:szCs w:val="21"/>
        </w:rPr>
        <w:t>6.2</w:t>
      </w:r>
      <w:r>
        <w:rPr>
          <w:rFonts w:hint="eastAsia" w:ascii="宋体" w:hAnsi="宋体" w:cs="宋体"/>
          <w:b/>
          <w:snapToGrid w:val="0"/>
          <w:kern w:val="0"/>
          <w:szCs w:val="21"/>
        </w:rPr>
        <w:t>关于评标中途更换评委</w:t>
      </w:r>
    </w:p>
    <w:p w14:paraId="4D1BCD38">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除非发生下列情况之一，评标委员会成员不得在评标中途更换：</w:t>
      </w:r>
    </w:p>
    <w:p w14:paraId="530C8B3F">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（1）因不可抗拒的客观原因，不能到场或需在评标中途退出评标活动。</w:t>
      </w:r>
    </w:p>
    <w:p w14:paraId="00996CAA">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（2）根据法律法规规定，某个或某几个评标委员会成员需要回避。</w:t>
      </w:r>
    </w:p>
    <w:p w14:paraId="329E67FC">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退出评标的评标委员会成员，其已完成的评标行为无效。由采购人根据本招标文件规定的评标委员会成员生产方式另行确定替代者进行评标。</w:t>
      </w:r>
    </w:p>
    <w:p w14:paraId="2DF45308">
      <w:pPr>
        <w:wordWrap w:val="0"/>
        <w:spacing w:before="120" w:beforeLines="50" w:line="360" w:lineRule="auto"/>
        <w:ind w:firstLine="405" w:firstLineChars="192"/>
        <w:rPr>
          <w:rFonts w:ascii="宋体" w:hAnsi="宋体" w:cs="宋体"/>
          <w:b/>
          <w:snapToGrid w:val="0"/>
          <w:kern w:val="0"/>
          <w:szCs w:val="21"/>
        </w:rPr>
      </w:pPr>
      <w:r>
        <w:rPr>
          <w:rFonts w:hint="eastAsia" w:ascii="宋体" w:hAnsi="宋体" w:cs="宋体"/>
          <w:b/>
          <w:snapToGrid w:val="0"/>
          <w:kern w:val="0"/>
          <w:szCs w:val="21"/>
        </w:rPr>
        <w:t>6</w:t>
      </w:r>
      <w:r>
        <w:rPr>
          <w:rFonts w:ascii="宋体" w:hAnsi="宋体" w:cs="宋体"/>
          <w:b/>
          <w:snapToGrid w:val="0"/>
          <w:kern w:val="0"/>
          <w:szCs w:val="21"/>
        </w:rPr>
        <w:t>.3</w:t>
      </w:r>
      <w:r>
        <w:rPr>
          <w:rFonts w:hint="eastAsia" w:ascii="宋体" w:hAnsi="宋体" w:cs="宋体"/>
          <w:b/>
          <w:snapToGrid w:val="0"/>
          <w:kern w:val="0"/>
          <w:szCs w:val="21"/>
        </w:rPr>
        <w:t>记名投票</w:t>
      </w:r>
    </w:p>
    <w:p w14:paraId="7AE15E7C">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在任何评标环节中，需评标委员会就某项定性的评审结论作出表决的，由评标委员会全体成员按照少数服从多数的原则，以记名投票方式表决。</w:t>
      </w:r>
    </w:p>
    <w:p w14:paraId="539C6D3E">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评标委员会</w:t>
      </w:r>
      <w:r>
        <w:rPr>
          <w:rFonts w:ascii="宋体" w:hAnsi="宋体"/>
          <w:snapToGrid w:val="0"/>
          <w:kern w:val="0"/>
          <w:szCs w:val="21"/>
        </w:rPr>
        <w:t>成员对需要共同认定的事项</w:t>
      </w:r>
      <w:r>
        <w:rPr>
          <w:rFonts w:hint="eastAsia" w:ascii="宋体" w:hAnsi="宋体"/>
          <w:snapToGrid w:val="0"/>
          <w:kern w:val="0"/>
          <w:szCs w:val="21"/>
        </w:rPr>
        <w:t>存在</w:t>
      </w:r>
      <w:r>
        <w:rPr>
          <w:rFonts w:ascii="宋体" w:hAnsi="宋体"/>
          <w:snapToGrid w:val="0"/>
          <w:kern w:val="0"/>
          <w:szCs w:val="21"/>
        </w:rPr>
        <w:t>争议的，</w:t>
      </w:r>
      <w:r>
        <w:rPr>
          <w:rFonts w:hint="eastAsia" w:ascii="宋体" w:hAnsi="宋体"/>
          <w:snapToGrid w:val="0"/>
          <w:kern w:val="0"/>
          <w:szCs w:val="21"/>
        </w:rPr>
        <w:t>应当按照少数服从多数的原则作出</w:t>
      </w:r>
      <w:r>
        <w:rPr>
          <w:rFonts w:ascii="宋体" w:hAnsi="宋体"/>
          <w:snapToGrid w:val="0"/>
          <w:kern w:val="0"/>
          <w:szCs w:val="21"/>
        </w:rPr>
        <w:t>结论。持</w:t>
      </w:r>
      <w:r>
        <w:rPr>
          <w:rFonts w:hint="eastAsia" w:ascii="宋体" w:hAnsi="宋体"/>
          <w:snapToGrid w:val="0"/>
          <w:kern w:val="0"/>
          <w:szCs w:val="21"/>
        </w:rPr>
        <w:t>不同</w:t>
      </w:r>
      <w:r>
        <w:rPr>
          <w:rFonts w:ascii="宋体" w:hAnsi="宋体"/>
          <w:snapToGrid w:val="0"/>
          <w:kern w:val="0"/>
          <w:szCs w:val="21"/>
        </w:rPr>
        <w:t>意见的评标委员会成员应当在评标报告上签署不同意见及理由，否则视为同意评标报告。</w:t>
      </w:r>
    </w:p>
    <w:p w14:paraId="55887458">
      <w:pPr>
        <w:wordWrap w:val="0"/>
        <w:spacing w:before="120" w:beforeLines="50" w:line="360" w:lineRule="auto"/>
        <w:ind w:firstLine="405" w:firstLineChars="192"/>
        <w:rPr>
          <w:rFonts w:ascii="宋体" w:hAnsi="宋体" w:cs="宋体"/>
          <w:b/>
          <w:snapToGrid w:val="0"/>
          <w:kern w:val="0"/>
          <w:szCs w:val="21"/>
        </w:rPr>
      </w:pPr>
      <w:r>
        <w:rPr>
          <w:rFonts w:ascii="宋体" w:hAnsi="宋体" w:cs="宋体"/>
          <w:b/>
          <w:snapToGrid w:val="0"/>
          <w:kern w:val="0"/>
          <w:szCs w:val="21"/>
        </w:rPr>
        <w:t>6.4</w:t>
      </w:r>
      <w:r>
        <w:rPr>
          <w:rFonts w:hint="eastAsia" w:ascii="宋体" w:hAnsi="宋体" w:cs="宋体"/>
          <w:b/>
          <w:snapToGrid w:val="0"/>
          <w:kern w:val="0"/>
          <w:szCs w:val="21"/>
        </w:rPr>
        <w:t>补充条款</w:t>
      </w:r>
    </w:p>
    <w:p w14:paraId="0C834CEB">
      <w:pPr>
        <w:pStyle w:val="17"/>
        <w:wordWrap w:val="0"/>
        <w:spacing w:line="360" w:lineRule="auto"/>
        <w:ind w:firstLine="420" w:firstLineChars="200"/>
        <w:rPr>
          <w:rFonts w:ascii="宋体" w:hAnsi="宋体"/>
          <w:snapToGrid w:val="0"/>
          <w:sz w:val="21"/>
          <w:szCs w:val="21"/>
        </w:rPr>
      </w:pPr>
      <w:r>
        <w:rPr>
          <w:rFonts w:hint="eastAsia" w:ascii="宋体" w:hAnsi="宋体"/>
          <w:snapToGrid w:val="0"/>
          <w:sz w:val="21"/>
          <w:szCs w:val="21"/>
        </w:rPr>
        <w:t>评标中若遇特殊问题，由评标委员会根据有关法律法规、规定研究决定。</w:t>
      </w:r>
    </w:p>
    <w:p w14:paraId="527D5143">
      <w:pPr>
        <w:wordWrap w:val="0"/>
        <w:jc w:val="left"/>
        <w:rPr>
          <w:rFonts w:ascii="Arial" w:hAnsi="Arial" w:eastAsia="黑体"/>
          <w:b/>
          <w:bCs/>
          <w:snapToGrid w:val="0"/>
          <w:kern w:val="0"/>
          <w:sz w:val="32"/>
          <w:szCs w:val="32"/>
        </w:rPr>
      </w:pPr>
      <w:bookmarkStart w:id="166" w:name="_Toc229583209"/>
      <w:bookmarkStart w:id="167" w:name="_Toc260907989"/>
      <w:bookmarkStart w:id="168" w:name="_Toc260908205"/>
      <w:bookmarkStart w:id="169" w:name="_Toc520749001"/>
      <w:r>
        <w:rPr>
          <w:snapToGrid w:val="0"/>
          <w:kern w:val="0"/>
        </w:rPr>
        <w:br w:type="page"/>
      </w:r>
    </w:p>
    <w:p w14:paraId="7CC32830">
      <w:pPr>
        <w:pStyle w:val="3"/>
        <w:widowControl w:val="0"/>
        <w:snapToGrid w:val="0"/>
        <w:spacing w:line="360" w:lineRule="auto"/>
        <w:jc w:val="center"/>
        <w:rPr>
          <w:rFonts w:ascii="黑体"/>
          <w:snapToGrid w:val="0"/>
        </w:rPr>
      </w:pPr>
      <w:bookmarkStart w:id="170" w:name="_Toc4860"/>
      <w:r>
        <w:rPr>
          <w:rFonts w:hint="eastAsia" w:ascii="黑体"/>
          <w:snapToGrid w:val="0"/>
        </w:rPr>
        <w:t>第五章  合同</w:t>
      </w:r>
      <w:bookmarkEnd w:id="166"/>
      <w:r>
        <w:rPr>
          <w:rFonts w:hint="eastAsia" w:ascii="黑体"/>
          <w:snapToGrid w:val="0"/>
        </w:rPr>
        <w:t>条款及格式</w:t>
      </w:r>
      <w:bookmarkEnd w:id="167"/>
      <w:bookmarkEnd w:id="168"/>
      <w:bookmarkEnd w:id="169"/>
      <w:bookmarkEnd w:id="170"/>
    </w:p>
    <w:p w14:paraId="072EF6B4">
      <w:pPr>
        <w:pStyle w:val="4"/>
      </w:pPr>
      <w:bookmarkStart w:id="171" w:name="_Toc22009"/>
      <w:r>
        <w:rPr>
          <w:rFonts w:hint="eastAsia"/>
        </w:rPr>
        <w:t>一、合同条件</w:t>
      </w:r>
      <w:bookmarkEnd w:id="171"/>
    </w:p>
    <w:tbl>
      <w:tblPr>
        <w:tblStyle w:val="50"/>
        <w:tblW w:w="89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618"/>
        <w:gridCol w:w="2640"/>
        <w:gridCol w:w="5683"/>
      </w:tblGrid>
      <w:tr w14:paraId="1B912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618" w:type="dxa"/>
            <w:tcBorders>
              <w:bottom w:val="single" w:color="auto" w:sz="4" w:space="0"/>
            </w:tcBorders>
            <w:vAlign w:val="center"/>
          </w:tcPr>
          <w:p w14:paraId="20D15608">
            <w:pPr>
              <w:spacing w:line="300" w:lineRule="auto"/>
              <w:jc w:val="center"/>
              <w:rPr>
                <w:rFonts w:ascii="宋体" w:hAnsi="宋体" w:cs="宋体"/>
                <w:b/>
                <w:bCs/>
                <w:szCs w:val="21"/>
              </w:rPr>
            </w:pPr>
            <w:r>
              <w:rPr>
                <w:rFonts w:hint="eastAsia" w:ascii="宋体" w:hAnsi="宋体" w:cs="宋体"/>
                <w:b/>
                <w:bCs/>
                <w:szCs w:val="21"/>
              </w:rPr>
              <w:t>序号</w:t>
            </w:r>
          </w:p>
        </w:tc>
        <w:tc>
          <w:tcPr>
            <w:tcW w:w="2640" w:type="dxa"/>
            <w:tcBorders>
              <w:bottom w:val="single" w:color="auto" w:sz="4" w:space="0"/>
            </w:tcBorders>
            <w:vAlign w:val="center"/>
          </w:tcPr>
          <w:p w14:paraId="70B243C2">
            <w:pPr>
              <w:spacing w:line="300" w:lineRule="auto"/>
              <w:jc w:val="center"/>
              <w:rPr>
                <w:rFonts w:ascii="宋体" w:hAnsi="宋体" w:cs="宋体"/>
                <w:b/>
                <w:bCs/>
                <w:szCs w:val="21"/>
              </w:rPr>
            </w:pPr>
            <w:r>
              <w:rPr>
                <w:rFonts w:hint="eastAsia" w:ascii="宋体" w:hAnsi="宋体" w:cs="宋体"/>
                <w:b/>
                <w:bCs/>
                <w:szCs w:val="21"/>
              </w:rPr>
              <w:t>内   容</w:t>
            </w:r>
          </w:p>
        </w:tc>
        <w:tc>
          <w:tcPr>
            <w:tcW w:w="5683" w:type="dxa"/>
            <w:tcBorders>
              <w:bottom w:val="single" w:color="auto" w:sz="4" w:space="0"/>
            </w:tcBorders>
            <w:vAlign w:val="center"/>
          </w:tcPr>
          <w:p w14:paraId="36F484AF">
            <w:pPr>
              <w:spacing w:line="300" w:lineRule="auto"/>
              <w:jc w:val="center"/>
              <w:rPr>
                <w:rFonts w:ascii="宋体" w:hAnsi="宋体" w:cs="宋体"/>
                <w:b/>
                <w:bCs/>
                <w:szCs w:val="21"/>
              </w:rPr>
            </w:pPr>
            <w:r>
              <w:rPr>
                <w:rFonts w:hint="eastAsia" w:ascii="宋体" w:hAnsi="宋体" w:cs="宋体"/>
                <w:b/>
                <w:bCs/>
                <w:szCs w:val="21"/>
              </w:rPr>
              <w:t>要   求</w:t>
            </w:r>
          </w:p>
        </w:tc>
      </w:tr>
      <w:tr w14:paraId="0F328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128" w:hRule="atLeast"/>
          <w:jc w:val="center"/>
        </w:trPr>
        <w:tc>
          <w:tcPr>
            <w:tcW w:w="618" w:type="dxa"/>
            <w:tcBorders>
              <w:top w:val="single" w:color="auto" w:sz="4" w:space="0"/>
            </w:tcBorders>
            <w:vAlign w:val="center"/>
          </w:tcPr>
          <w:p w14:paraId="5D1D5970">
            <w:pPr>
              <w:spacing w:line="300" w:lineRule="auto"/>
              <w:jc w:val="center"/>
              <w:rPr>
                <w:rFonts w:ascii="宋体" w:hAnsi="宋体" w:cs="宋体"/>
                <w:bCs/>
                <w:szCs w:val="21"/>
              </w:rPr>
            </w:pPr>
            <w:r>
              <w:rPr>
                <w:rFonts w:hint="eastAsia" w:ascii="宋体" w:hAnsi="宋体" w:cs="宋体"/>
                <w:bCs/>
                <w:szCs w:val="21"/>
              </w:rPr>
              <w:t>▲1</w:t>
            </w:r>
          </w:p>
        </w:tc>
        <w:tc>
          <w:tcPr>
            <w:tcW w:w="2640" w:type="dxa"/>
            <w:tcBorders>
              <w:top w:val="single" w:color="auto" w:sz="4" w:space="0"/>
            </w:tcBorders>
            <w:vAlign w:val="center"/>
          </w:tcPr>
          <w:p w14:paraId="367647B9">
            <w:pPr>
              <w:spacing w:line="300" w:lineRule="auto"/>
              <w:jc w:val="center"/>
              <w:rPr>
                <w:rFonts w:ascii="宋体" w:hAnsi="宋体" w:cs="宋体"/>
                <w:bCs/>
                <w:szCs w:val="21"/>
              </w:rPr>
            </w:pPr>
            <w:r>
              <w:rPr>
                <w:rFonts w:hint="eastAsia" w:ascii="宋体" w:hAnsi="宋体" w:cs="宋体"/>
                <w:bCs/>
                <w:szCs w:val="21"/>
              </w:rPr>
              <w:t>合同履行期限（服务期限）</w:t>
            </w:r>
          </w:p>
        </w:tc>
        <w:tc>
          <w:tcPr>
            <w:tcW w:w="5683" w:type="dxa"/>
            <w:tcBorders>
              <w:top w:val="single" w:color="auto" w:sz="4" w:space="0"/>
            </w:tcBorders>
            <w:vAlign w:val="center"/>
          </w:tcPr>
          <w:p w14:paraId="4E21A674">
            <w:pPr>
              <w:widowControl/>
              <w:tabs>
                <w:tab w:val="left" w:pos="5810"/>
              </w:tabs>
              <w:spacing w:line="300" w:lineRule="auto"/>
              <w:jc w:val="left"/>
              <w:rPr>
                <w:rFonts w:ascii="宋体" w:hAnsi="宋体" w:cs="宋体"/>
                <w:snapToGrid w:val="0"/>
                <w:kern w:val="0"/>
                <w:szCs w:val="21"/>
              </w:rPr>
            </w:pPr>
            <w:r>
              <w:rPr>
                <w:rFonts w:hint="eastAsia" w:ascii="宋体" w:hAnsi="宋体" w:cs="宋体"/>
                <w:snapToGrid w:val="0"/>
                <w:kern w:val="0"/>
                <w:szCs w:val="21"/>
              </w:rPr>
              <w:t>合同签订后5个工作日内启用服务，服务期限为自启用服务之日起一年。</w:t>
            </w:r>
          </w:p>
        </w:tc>
      </w:tr>
      <w:tr w14:paraId="3A7F9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15" w:hRule="atLeast"/>
          <w:jc w:val="center"/>
        </w:trPr>
        <w:tc>
          <w:tcPr>
            <w:tcW w:w="618" w:type="dxa"/>
            <w:vAlign w:val="center"/>
          </w:tcPr>
          <w:p w14:paraId="0CE4F352">
            <w:pPr>
              <w:spacing w:line="300" w:lineRule="auto"/>
              <w:jc w:val="center"/>
              <w:rPr>
                <w:rFonts w:ascii="宋体" w:hAnsi="宋体" w:cs="宋体"/>
                <w:bCs/>
                <w:szCs w:val="21"/>
              </w:rPr>
            </w:pPr>
            <w:r>
              <w:rPr>
                <w:rFonts w:hint="eastAsia" w:ascii="宋体" w:hAnsi="宋体" w:cs="宋体"/>
                <w:bCs/>
                <w:szCs w:val="21"/>
              </w:rPr>
              <w:t>2</w:t>
            </w:r>
          </w:p>
        </w:tc>
        <w:tc>
          <w:tcPr>
            <w:tcW w:w="2640" w:type="dxa"/>
            <w:vAlign w:val="center"/>
          </w:tcPr>
          <w:p w14:paraId="4E2FB3C1">
            <w:pPr>
              <w:spacing w:line="300" w:lineRule="auto"/>
              <w:jc w:val="center"/>
              <w:rPr>
                <w:rFonts w:ascii="宋体" w:hAnsi="宋体" w:cs="宋体"/>
                <w:szCs w:val="21"/>
              </w:rPr>
            </w:pPr>
            <w:r>
              <w:rPr>
                <w:rFonts w:hint="eastAsia" w:ascii="宋体" w:hAnsi="宋体" w:cs="宋体"/>
                <w:szCs w:val="21"/>
              </w:rPr>
              <w:t>交货（服务）地点</w:t>
            </w:r>
          </w:p>
        </w:tc>
        <w:tc>
          <w:tcPr>
            <w:tcW w:w="5683" w:type="dxa"/>
            <w:vAlign w:val="center"/>
          </w:tcPr>
          <w:p w14:paraId="09D095CC">
            <w:pPr>
              <w:spacing w:line="300" w:lineRule="auto"/>
              <w:rPr>
                <w:rFonts w:ascii="宋体" w:hAnsi="宋体" w:cs="宋体"/>
                <w:szCs w:val="21"/>
              </w:rPr>
            </w:pPr>
            <w:r>
              <w:rPr>
                <w:rFonts w:hint="eastAsia" w:ascii="宋体" w:hAnsi="宋体" w:cs="宋体"/>
                <w:snapToGrid w:val="0"/>
                <w:kern w:val="0"/>
                <w:szCs w:val="21"/>
              </w:rPr>
              <w:t>云南开放大学学府校区。</w:t>
            </w:r>
          </w:p>
        </w:tc>
      </w:tr>
      <w:tr w14:paraId="59901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145" w:hRule="atLeast"/>
          <w:jc w:val="center"/>
        </w:trPr>
        <w:tc>
          <w:tcPr>
            <w:tcW w:w="618" w:type="dxa"/>
            <w:vAlign w:val="center"/>
          </w:tcPr>
          <w:p w14:paraId="614E7E78">
            <w:pPr>
              <w:spacing w:line="300" w:lineRule="auto"/>
              <w:jc w:val="center"/>
              <w:rPr>
                <w:rFonts w:ascii="宋体" w:hAnsi="宋体" w:cs="宋体"/>
                <w:bCs/>
                <w:szCs w:val="21"/>
              </w:rPr>
            </w:pPr>
            <w:r>
              <w:rPr>
                <w:rFonts w:hint="eastAsia" w:ascii="宋体" w:hAnsi="宋体" w:cs="宋体"/>
                <w:bCs/>
                <w:szCs w:val="21"/>
              </w:rPr>
              <w:t>▲3</w:t>
            </w:r>
          </w:p>
        </w:tc>
        <w:tc>
          <w:tcPr>
            <w:tcW w:w="2640" w:type="dxa"/>
            <w:vAlign w:val="center"/>
          </w:tcPr>
          <w:p w14:paraId="54AD25EB">
            <w:pPr>
              <w:spacing w:line="300" w:lineRule="auto"/>
              <w:jc w:val="center"/>
              <w:rPr>
                <w:rFonts w:ascii="宋体" w:hAnsi="宋体" w:cs="宋体"/>
                <w:szCs w:val="21"/>
              </w:rPr>
            </w:pPr>
            <w:r>
              <w:rPr>
                <w:rFonts w:hint="eastAsia" w:ascii="宋体" w:hAnsi="宋体" w:cs="宋体"/>
                <w:szCs w:val="21"/>
              </w:rPr>
              <w:t>付款方式</w:t>
            </w:r>
          </w:p>
        </w:tc>
        <w:tc>
          <w:tcPr>
            <w:tcW w:w="5683" w:type="dxa"/>
            <w:vAlign w:val="center"/>
          </w:tcPr>
          <w:p w14:paraId="37141574">
            <w:pPr>
              <w:tabs>
                <w:tab w:val="left" w:pos="5529"/>
              </w:tabs>
              <w:spacing w:line="300" w:lineRule="auto"/>
              <w:rPr>
                <w:rFonts w:ascii="宋体" w:hAnsi="宋体" w:cs="宋体"/>
                <w:snapToGrid w:val="0"/>
                <w:kern w:val="0"/>
                <w:szCs w:val="21"/>
              </w:rPr>
            </w:pPr>
            <w:r>
              <w:rPr>
                <w:rFonts w:hint="eastAsia" w:ascii="宋体" w:hAnsi="宋体" w:cs="宋体"/>
                <w:snapToGrid w:val="0"/>
                <w:kern w:val="0"/>
                <w:szCs w:val="21"/>
              </w:rPr>
              <w:t>1、项目一阶段：一阶段验收通过后，乙方提供合同价款60%的发票和甲乙双方共同签署的《云南开放大学采购项目阶段性验收表》，甲方据此向乙方支付合同价款的60%。</w:t>
            </w:r>
          </w:p>
          <w:p w14:paraId="6010E9B6">
            <w:pPr>
              <w:tabs>
                <w:tab w:val="left" w:pos="5529"/>
              </w:tabs>
              <w:spacing w:line="300" w:lineRule="auto"/>
              <w:rPr>
                <w:rFonts w:ascii="宋体" w:hAnsi="宋体" w:cs="宋体"/>
                <w:snapToGrid w:val="0"/>
                <w:kern w:val="0"/>
                <w:szCs w:val="21"/>
              </w:rPr>
            </w:pPr>
            <w:r>
              <w:rPr>
                <w:rFonts w:hint="eastAsia" w:ascii="宋体" w:hAnsi="宋体" w:cs="宋体"/>
                <w:snapToGrid w:val="0"/>
                <w:kern w:val="0"/>
                <w:szCs w:val="21"/>
              </w:rPr>
              <w:t>2、项目二阶段：二阶段验收通过后，乙方提供合同价款35%的发票和甲乙双方共同签署的《云南开放大学采购项目阶段性验收表》，甲方据此向乙方支付合同价款的35%。</w:t>
            </w:r>
          </w:p>
          <w:p w14:paraId="541CD88C">
            <w:pPr>
              <w:tabs>
                <w:tab w:val="left" w:pos="5529"/>
              </w:tabs>
              <w:spacing w:line="300" w:lineRule="auto"/>
              <w:rPr>
                <w:rFonts w:ascii="宋体" w:hAnsi="宋体" w:cs="宋体"/>
                <w:snapToGrid w:val="0"/>
                <w:kern w:val="0"/>
                <w:szCs w:val="21"/>
              </w:rPr>
            </w:pPr>
            <w:r>
              <w:rPr>
                <w:rFonts w:hint="eastAsia" w:ascii="宋体" w:hAnsi="宋体" w:cs="宋体"/>
                <w:snapToGrid w:val="0"/>
                <w:kern w:val="0"/>
                <w:szCs w:val="21"/>
              </w:rPr>
              <w:t>3、项目三阶段：三阶段验收通过后，乙方提供合同价款5%的发票和甲乙双方共同签署的《云南开放大学采购项目验收报告表》，甲方据此向乙方支付合同价款的5%。</w:t>
            </w:r>
          </w:p>
        </w:tc>
      </w:tr>
      <w:tr w14:paraId="1D2B0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326" w:hRule="atLeast"/>
          <w:jc w:val="center"/>
        </w:trPr>
        <w:tc>
          <w:tcPr>
            <w:tcW w:w="618" w:type="dxa"/>
            <w:vAlign w:val="center"/>
          </w:tcPr>
          <w:p w14:paraId="51E5E0FE">
            <w:pPr>
              <w:spacing w:line="300" w:lineRule="auto"/>
              <w:jc w:val="center"/>
              <w:rPr>
                <w:rFonts w:ascii="宋体" w:hAnsi="宋体" w:cs="宋体"/>
                <w:bCs/>
                <w:szCs w:val="21"/>
              </w:rPr>
            </w:pPr>
            <w:r>
              <w:rPr>
                <w:rFonts w:hint="eastAsia" w:ascii="宋体" w:hAnsi="宋体" w:cs="宋体"/>
                <w:bCs/>
                <w:szCs w:val="21"/>
              </w:rPr>
              <w:t>4</w:t>
            </w:r>
          </w:p>
        </w:tc>
        <w:tc>
          <w:tcPr>
            <w:tcW w:w="2640" w:type="dxa"/>
            <w:vAlign w:val="center"/>
          </w:tcPr>
          <w:p w14:paraId="1CAD909B">
            <w:pPr>
              <w:spacing w:line="300" w:lineRule="auto"/>
              <w:jc w:val="center"/>
              <w:rPr>
                <w:rFonts w:ascii="宋体" w:hAnsi="宋体" w:cs="宋体"/>
                <w:kern w:val="0"/>
                <w:szCs w:val="21"/>
              </w:rPr>
            </w:pPr>
            <w:r>
              <w:rPr>
                <w:rFonts w:hint="eastAsia" w:ascii="宋体" w:hAnsi="宋体" w:cs="宋体"/>
                <w:kern w:val="0"/>
                <w:szCs w:val="21"/>
              </w:rPr>
              <w:t>验收标准及要求</w:t>
            </w:r>
          </w:p>
        </w:tc>
        <w:tc>
          <w:tcPr>
            <w:tcW w:w="5683" w:type="dxa"/>
            <w:vAlign w:val="center"/>
          </w:tcPr>
          <w:p w14:paraId="16FEA039">
            <w:pPr>
              <w:pStyle w:val="17"/>
              <w:spacing w:line="300" w:lineRule="auto"/>
              <w:rPr>
                <w:rFonts w:ascii="宋体" w:hAnsi="宋体" w:cs="宋体"/>
                <w:sz w:val="21"/>
                <w:szCs w:val="21"/>
              </w:rPr>
            </w:pPr>
            <w:r>
              <w:rPr>
                <w:rFonts w:hint="eastAsia" w:ascii="宋体" w:hAnsi="宋体" w:cs="宋体"/>
                <w:sz w:val="21"/>
                <w:szCs w:val="21"/>
              </w:rPr>
              <w:t>分三阶段验收，乙方按照合同约定完成项目内容后，向甲方提出项目验收申请，甲方组织甲乙双方人员进行验收。</w:t>
            </w:r>
          </w:p>
        </w:tc>
      </w:tr>
      <w:tr w14:paraId="7C840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819" w:hRule="atLeast"/>
          <w:jc w:val="center"/>
        </w:trPr>
        <w:tc>
          <w:tcPr>
            <w:tcW w:w="618" w:type="dxa"/>
            <w:vAlign w:val="center"/>
          </w:tcPr>
          <w:p w14:paraId="358B10FF">
            <w:pPr>
              <w:spacing w:line="300" w:lineRule="auto"/>
              <w:jc w:val="center"/>
              <w:rPr>
                <w:rFonts w:ascii="宋体" w:hAnsi="宋体" w:cs="宋体"/>
                <w:bCs/>
                <w:szCs w:val="21"/>
              </w:rPr>
            </w:pPr>
            <w:r>
              <w:rPr>
                <w:rFonts w:hint="eastAsia" w:ascii="宋体" w:hAnsi="宋体" w:cs="宋体"/>
                <w:bCs/>
                <w:szCs w:val="21"/>
              </w:rPr>
              <w:t>5</w:t>
            </w:r>
          </w:p>
        </w:tc>
        <w:tc>
          <w:tcPr>
            <w:tcW w:w="2640" w:type="dxa"/>
            <w:vAlign w:val="center"/>
          </w:tcPr>
          <w:p w14:paraId="4A562F27">
            <w:pPr>
              <w:spacing w:line="300" w:lineRule="auto"/>
              <w:jc w:val="center"/>
              <w:rPr>
                <w:rFonts w:ascii="宋体" w:hAnsi="宋体" w:cs="宋体"/>
                <w:szCs w:val="21"/>
              </w:rPr>
            </w:pPr>
            <w:r>
              <w:rPr>
                <w:rFonts w:hint="eastAsia" w:ascii="宋体" w:hAnsi="宋体" w:cs="宋体"/>
                <w:szCs w:val="21"/>
              </w:rPr>
              <w:t>违约责任</w:t>
            </w:r>
          </w:p>
        </w:tc>
        <w:tc>
          <w:tcPr>
            <w:tcW w:w="5683" w:type="dxa"/>
            <w:vAlign w:val="center"/>
          </w:tcPr>
          <w:p w14:paraId="116AE462">
            <w:pPr>
              <w:pStyle w:val="25"/>
              <w:tabs>
                <w:tab w:val="left" w:pos="1275"/>
                <w:tab w:val="left" w:pos="1440"/>
                <w:tab w:val="left" w:pos="1620"/>
              </w:tabs>
              <w:spacing w:line="300" w:lineRule="auto"/>
              <w:rPr>
                <w:rFonts w:hAnsi="宋体" w:cs="宋体"/>
              </w:rPr>
            </w:pPr>
            <w:r>
              <w:rPr>
                <w:rFonts w:hint="eastAsia" w:hAnsi="宋体" w:cs="宋体"/>
              </w:rPr>
              <w:t>（一）</w:t>
            </w:r>
            <w:r>
              <w:rPr>
                <w:rFonts w:hint="eastAsia" w:hAnsi="宋体" w:cs="宋体"/>
                <w:snapToGrid w:val="0"/>
                <w:lang w:bidi="ar"/>
              </w:rPr>
              <w:t>除发生不可抗力事实外，乙方交付成果与合同标准不相符合的，甲方有权拒绝验收；乙方逾期交付将向甲方每日偿付合同总额1%的违约金，乙方逾期交付超过30个日历天的甲方有权单方面解除合同。因乙方超过30个日历天交付或交付成果与合同标准不符致使甲方解除合同的，乙方应承担合同总额 10%的违约金，若违约金不足以弥补甲方损失的，甲方有权要求乙方赔偿损失。甲方有权拒付合同价款以外的其他任何费用。因乙方违约导致甲方因诉讼、维权而产生的立案费、律师费、交通费、保全费等均由乙方负责。</w:t>
            </w:r>
          </w:p>
          <w:p w14:paraId="1D17BB2B">
            <w:pPr>
              <w:spacing w:line="300" w:lineRule="auto"/>
              <w:rPr>
                <w:rFonts w:ascii="宋体" w:hAnsi="宋体" w:cs="宋体"/>
                <w:szCs w:val="21"/>
              </w:rPr>
            </w:pPr>
            <w:r>
              <w:rPr>
                <w:rFonts w:hint="eastAsia" w:ascii="宋体" w:hAnsi="宋体" w:cs="宋体"/>
                <w:szCs w:val="21"/>
              </w:rPr>
              <w:t>（二）甲方逾期支付合同款将向乙方每日偿付欠款总额千分之一的违约金（累计不超过欠款总额的百分之五）。</w:t>
            </w:r>
          </w:p>
          <w:p w14:paraId="211BCD93">
            <w:pPr>
              <w:spacing w:line="300" w:lineRule="auto"/>
              <w:rPr>
                <w:rFonts w:ascii="宋体" w:hAnsi="宋体" w:cs="宋体"/>
                <w:szCs w:val="21"/>
              </w:rPr>
            </w:pPr>
            <w:r>
              <w:rPr>
                <w:rFonts w:hint="eastAsia" w:ascii="宋体" w:hAnsi="宋体" w:cs="宋体"/>
                <w:szCs w:val="21"/>
              </w:rPr>
              <w:t>（三）甲方有权拒付合同价以外的任何费用；乙方有权拒绝合同整体服务范围以外的条件。</w:t>
            </w:r>
          </w:p>
        </w:tc>
      </w:tr>
    </w:tbl>
    <w:p w14:paraId="7381263D">
      <w:pPr>
        <w:rPr>
          <w:rFonts w:ascii="黑体"/>
          <w:snapToGrid w:val="0"/>
        </w:rPr>
      </w:pPr>
    </w:p>
    <w:p w14:paraId="3094AE6E">
      <w:pPr>
        <w:rPr>
          <w:rFonts w:ascii="黑体"/>
          <w:snapToGrid w:val="0"/>
        </w:rPr>
      </w:pPr>
    </w:p>
    <w:p w14:paraId="1B6CF996">
      <w:pPr>
        <w:rPr>
          <w:rFonts w:ascii="黑体"/>
          <w:snapToGrid w:val="0"/>
        </w:rPr>
      </w:pPr>
    </w:p>
    <w:p w14:paraId="75DE0422">
      <w:pPr>
        <w:rPr>
          <w:rFonts w:ascii="宋体" w:hAnsi="宋体"/>
          <w:snapToGrid w:val="0"/>
        </w:rPr>
      </w:pPr>
      <w:r>
        <w:rPr>
          <w:rFonts w:hint="eastAsia" w:ascii="宋体" w:hAnsi="宋体"/>
          <w:snapToGrid w:val="0"/>
        </w:rPr>
        <w:br w:type="page"/>
      </w:r>
    </w:p>
    <w:p w14:paraId="4690F3F3">
      <w:pPr>
        <w:pStyle w:val="4"/>
      </w:pPr>
      <w:bookmarkStart w:id="172" w:name="_Toc4169"/>
      <w:r>
        <w:rPr>
          <w:rFonts w:hint="eastAsia"/>
        </w:rPr>
        <w:t>二、合同格式</w:t>
      </w:r>
      <w:bookmarkEnd w:id="172"/>
    </w:p>
    <w:p w14:paraId="5E9D2D56">
      <w:pPr>
        <w:rPr>
          <w:rFonts w:ascii="黑体"/>
          <w:snapToGrid w:val="0"/>
        </w:rPr>
      </w:pPr>
    </w:p>
    <w:tbl>
      <w:tblPr>
        <w:tblStyle w:val="50"/>
        <w:tblW w:w="9102" w:type="dxa"/>
        <w:jc w:val="center"/>
        <w:tblLayout w:type="fixed"/>
        <w:tblCellMar>
          <w:top w:w="0" w:type="dxa"/>
          <w:left w:w="0" w:type="dxa"/>
          <w:bottom w:w="0" w:type="dxa"/>
          <w:right w:w="0" w:type="dxa"/>
        </w:tblCellMar>
      </w:tblPr>
      <w:tblGrid>
        <w:gridCol w:w="9102"/>
      </w:tblGrid>
      <w:tr w14:paraId="790BC923">
        <w:tblPrEx>
          <w:tblCellMar>
            <w:top w:w="0" w:type="dxa"/>
            <w:left w:w="0" w:type="dxa"/>
            <w:bottom w:w="0" w:type="dxa"/>
            <w:right w:w="0" w:type="dxa"/>
          </w:tblCellMar>
        </w:tblPrEx>
        <w:trPr>
          <w:jc w:val="center"/>
        </w:trPr>
        <w:tc>
          <w:tcPr>
            <w:tcW w:w="9102" w:type="dxa"/>
            <w:vAlign w:val="center"/>
          </w:tcPr>
          <w:p w14:paraId="1A86B7AD">
            <w:pPr>
              <w:tabs>
                <w:tab w:val="left" w:pos="1590"/>
                <w:tab w:val="left" w:pos="3409"/>
                <w:tab w:val="left" w:pos="4847"/>
                <w:tab w:val="left" w:pos="5711"/>
                <w:tab w:val="left" w:pos="7020"/>
                <w:tab w:val="left" w:pos="7891"/>
              </w:tabs>
              <w:wordWrap w:val="0"/>
              <w:spacing w:line="360" w:lineRule="auto"/>
              <w:rPr>
                <w:rFonts w:ascii="宋体" w:hAnsi="宋体"/>
                <w:snapToGrid w:val="0"/>
                <w:kern w:val="0"/>
                <w:szCs w:val="18"/>
              </w:rPr>
            </w:pPr>
            <w:r>
              <w:rPr>
                <w:rFonts w:ascii="宋体" w:hAnsi="宋体"/>
                <w:snapToGrid w:val="0"/>
                <w:kern w:val="0"/>
              </w:rPr>
              <w:t xml:space="preserve">合同编号：                    合同自编号： </w:t>
            </w:r>
            <w:r>
              <w:rPr>
                <w:rFonts w:ascii="宋体" w:hAnsi="宋体"/>
                <w:snapToGrid w:val="0"/>
                <w:kern w:val="0"/>
              </w:rPr>
              <w:tab/>
            </w:r>
            <w:r>
              <w:rPr>
                <w:rFonts w:ascii="宋体" w:hAnsi="宋体"/>
                <w:snapToGrid w:val="0"/>
                <w:kern w:val="0"/>
              </w:rPr>
              <w:tab/>
            </w:r>
            <w:r>
              <w:rPr>
                <w:rFonts w:ascii="宋体" w:hAnsi="宋体"/>
                <w:snapToGrid w:val="0"/>
                <w:kern w:val="0"/>
              </w:rPr>
              <w:t xml:space="preserve">项目编号： </w:t>
            </w:r>
          </w:p>
        </w:tc>
      </w:tr>
    </w:tbl>
    <w:p w14:paraId="1081DE01">
      <w:pPr>
        <w:wordWrap w:val="0"/>
        <w:spacing w:before="240" w:after="240" w:line="360" w:lineRule="auto"/>
        <w:jc w:val="left"/>
        <w:rPr>
          <w:rFonts w:ascii="宋体" w:hAnsi="宋体"/>
          <w:snapToGrid w:val="0"/>
          <w:kern w:val="0"/>
          <w:sz w:val="18"/>
          <w:szCs w:val="18"/>
        </w:rPr>
      </w:pPr>
      <w:r>
        <w:rPr>
          <w:rFonts w:ascii="宋体" w:hAnsi="宋体"/>
          <w:snapToGrid w:val="0"/>
          <w:kern w:val="0"/>
        </w:rPr>
        <w:t>●本合同须加盖甲乙双方骑缝章有效</w:t>
      </w:r>
    </w:p>
    <w:p w14:paraId="327F51F9">
      <w:pPr>
        <w:wordWrap w:val="0"/>
        <w:spacing w:before="240" w:after="240" w:line="360" w:lineRule="auto"/>
        <w:jc w:val="left"/>
        <w:rPr>
          <w:rFonts w:ascii="宋体" w:hAnsi="宋体"/>
          <w:snapToGrid w:val="0"/>
          <w:kern w:val="0"/>
          <w:sz w:val="18"/>
          <w:szCs w:val="18"/>
        </w:rPr>
      </w:pPr>
    </w:p>
    <w:p w14:paraId="7F40F491">
      <w:pPr>
        <w:wordWrap w:val="0"/>
        <w:spacing w:line="360" w:lineRule="auto"/>
        <w:jc w:val="center"/>
        <w:rPr>
          <w:rFonts w:ascii="宋体" w:hAnsi="宋体"/>
          <w:snapToGrid w:val="0"/>
          <w:kern w:val="0"/>
          <w:sz w:val="39"/>
          <w:szCs w:val="39"/>
        </w:rPr>
      </w:pPr>
      <w:r>
        <w:rPr>
          <w:rFonts w:ascii="宋体" w:hAnsi="宋体"/>
          <w:snapToGrid w:val="0"/>
          <w:kern w:val="0"/>
          <w:sz w:val="39"/>
          <w:szCs w:val="39"/>
        </w:rPr>
        <w:t>政府采购</w:t>
      </w:r>
    </w:p>
    <w:p w14:paraId="01D81C3B">
      <w:pPr>
        <w:wordWrap w:val="0"/>
        <w:spacing w:line="360" w:lineRule="auto"/>
        <w:jc w:val="center"/>
        <w:rPr>
          <w:rFonts w:ascii="宋体" w:hAnsi="宋体"/>
          <w:snapToGrid w:val="0"/>
          <w:kern w:val="0"/>
          <w:sz w:val="18"/>
          <w:szCs w:val="18"/>
        </w:rPr>
      </w:pPr>
      <w:r>
        <w:rPr>
          <w:rFonts w:ascii="宋体" w:hAnsi="宋体"/>
          <w:snapToGrid w:val="0"/>
          <w:kern w:val="0"/>
          <w:sz w:val="33"/>
          <w:szCs w:val="33"/>
        </w:rPr>
        <w:t>（委托采购）</w:t>
      </w:r>
    </w:p>
    <w:p w14:paraId="6701C4C0">
      <w:pPr>
        <w:wordWrap w:val="0"/>
        <w:spacing w:line="360" w:lineRule="auto"/>
        <w:jc w:val="center"/>
        <w:rPr>
          <w:rFonts w:ascii="宋体" w:hAnsi="宋体"/>
          <w:snapToGrid w:val="0"/>
          <w:kern w:val="0"/>
          <w:sz w:val="18"/>
          <w:szCs w:val="18"/>
        </w:rPr>
      </w:pPr>
    </w:p>
    <w:p w14:paraId="335BB6E5">
      <w:pPr>
        <w:wordWrap w:val="0"/>
        <w:spacing w:after="240" w:line="360" w:lineRule="auto"/>
        <w:jc w:val="center"/>
        <w:rPr>
          <w:rFonts w:ascii="宋体" w:hAnsi="宋体"/>
          <w:snapToGrid w:val="0"/>
          <w:kern w:val="0"/>
          <w:sz w:val="18"/>
          <w:szCs w:val="18"/>
        </w:rPr>
      </w:pPr>
      <w:r>
        <w:rPr>
          <w:rFonts w:ascii="宋体" w:hAnsi="宋体"/>
          <w:snapToGrid w:val="0"/>
          <w:kern w:val="0"/>
          <w:sz w:val="63"/>
          <w:szCs w:val="63"/>
        </w:rPr>
        <w:t>合</w:t>
      </w:r>
    </w:p>
    <w:p w14:paraId="6AF117D8">
      <w:pPr>
        <w:wordWrap w:val="0"/>
        <w:spacing w:after="240" w:line="360" w:lineRule="auto"/>
        <w:jc w:val="center"/>
        <w:rPr>
          <w:rFonts w:ascii="宋体" w:hAnsi="宋体"/>
          <w:snapToGrid w:val="0"/>
          <w:kern w:val="0"/>
          <w:sz w:val="18"/>
          <w:szCs w:val="18"/>
        </w:rPr>
      </w:pPr>
      <w:r>
        <w:rPr>
          <w:rFonts w:ascii="宋体" w:hAnsi="宋体"/>
          <w:snapToGrid w:val="0"/>
          <w:kern w:val="0"/>
          <w:sz w:val="63"/>
          <w:szCs w:val="63"/>
        </w:rPr>
        <w:t>同</w:t>
      </w:r>
    </w:p>
    <w:p w14:paraId="0DC14771">
      <w:pPr>
        <w:wordWrap w:val="0"/>
        <w:spacing w:after="240" w:line="360" w:lineRule="auto"/>
        <w:jc w:val="center"/>
        <w:rPr>
          <w:rFonts w:ascii="宋体" w:hAnsi="宋体"/>
          <w:snapToGrid w:val="0"/>
          <w:kern w:val="0"/>
          <w:sz w:val="18"/>
          <w:szCs w:val="18"/>
        </w:rPr>
      </w:pPr>
      <w:r>
        <w:rPr>
          <w:rFonts w:ascii="宋体" w:hAnsi="宋体"/>
          <w:snapToGrid w:val="0"/>
          <w:kern w:val="0"/>
          <w:sz w:val="63"/>
          <w:szCs w:val="63"/>
        </w:rPr>
        <w:t>书</w:t>
      </w:r>
    </w:p>
    <w:p w14:paraId="393DEE64">
      <w:pPr>
        <w:wordWrap w:val="0"/>
        <w:spacing w:after="240" w:line="360" w:lineRule="auto"/>
        <w:jc w:val="center"/>
        <w:rPr>
          <w:rFonts w:ascii="宋体" w:hAnsi="宋体"/>
          <w:snapToGrid w:val="0"/>
          <w:kern w:val="0"/>
          <w:sz w:val="18"/>
          <w:szCs w:val="18"/>
        </w:rPr>
      </w:pPr>
    </w:p>
    <w:p w14:paraId="21145595">
      <w:pPr>
        <w:wordWrap w:val="0"/>
        <w:spacing w:after="240" w:line="360" w:lineRule="auto"/>
        <w:jc w:val="center"/>
        <w:rPr>
          <w:rFonts w:ascii="宋体" w:hAnsi="宋体"/>
          <w:snapToGrid w:val="0"/>
          <w:kern w:val="0"/>
          <w:sz w:val="18"/>
          <w:szCs w:val="18"/>
        </w:rPr>
      </w:pPr>
    </w:p>
    <w:p w14:paraId="1BED989D">
      <w:pPr>
        <w:wordWrap w:val="0"/>
        <w:spacing w:after="240" w:line="360" w:lineRule="auto"/>
        <w:jc w:val="center"/>
        <w:rPr>
          <w:rFonts w:ascii="宋体" w:hAnsi="宋体"/>
          <w:snapToGrid w:val="0"/>
          <w:kern w:val="0"/>
          <w:sz w:val="18"/>
          <w:szCs w:val="18"/>
        </w:rPr>
      </w:pPr>
    </w:p>
    <w:p w14:paraId="7AB5B053">
      <w:pPr>
        <w:wordWrap w:val="0"/>
        <w:spacing w:line="360" w:lineRule="auto"/>
        <w:jc w:val="center"/>
        <w:rPr>
          <w:rFonts w:ascii="宋体" w:hAnsi="宋体"/>
          <w:snapToGrid w:val="0"/>
          <w:kern w:val="0"/>
          <w:sz w:val="18"/>
          <w:szCs w:val="18"/>
        </w:rPr>
      </w:pPr>
      <w:r>
        <w:rPr>
          <w:rFonts w:ascii="宋体" w:hAnsi="宋体"/>
          <w:b/>
          <w:bCs/>
          <w:snapToGrid w:val="0"/>
          <w:kern w:val="0"/>
          <w:sz w:val="27"/>
          <w:szCs w:val="27"/>
        </w:rPr>
        <w:t>签订地点：</w:t>
      </w:r>
      <w:r>
        <w:rPr>
          <w:rFonts w:hint="eastAsia" w:ascii="宋体" w:hAnsi="宋体"/>
          <w:b/>
          <w:bCs/>
          <w:snapToGrid w:val="0"/>
          <w:kern w:val="0"/>
          <w:sz w:val="27"/>
          <w:szCs w:val="27"/>
        </w:rPr>
        <w:t>云南开放大学</w:t>
      </w:r>
    </w:p>
    <w:p w14:paraId="491848E6">
      <w:pPr>
        <w:wordWrap w:val="0"/>
        <w:spacing w:line="360" w:lineRule="auto"/>
        <w:jc w:val="center"/>
        <w:rPr>
          <w:rFonts w:ascii="宋体" w:hAnsi="宋体"/>
          <w:snapToGrid w:val="0"/>
          <w:kern w:val="0"/>
          <w:sz w:val="18"/>
          <w:szCs w:val="18"/>
        </w:rPr>
      </w:pPr>
    </w:p>
    <w:p w14:paraId="22A5E7A3">
      <w:pPr>
        <w:wordWrap w:val="0"/>
        <w:spacing w:line="360" w:lineRule="auto"/>
        <w:jc w:val="center"/>
        <w:rPr>
          <w:rFonts w:ascii="宋体" w:hAnsi="宋体"/>
          <w:b/>
          <w:snapToGrid w:val="0"/>
          <w:kern w:val="0"/>
        </w:rPr>
      </w:pPr>
      <w:r>
        <w:rPr>
          <w:rFonts w:ascii="宋体" w:hAnsi="宋体"/>
          <w:b/>
          <w:bCs/>
          <w:snapToGrid w:val="0"/>
          <w:kern w:val="0"/>
          <w:sz w:val="27"/>
          <w:szCs w:val="27"/>
        </w:rPr>
        <w:t>签订日期</w:t>
      </w:r>
      <w:r>
        <w:rPr>
          <w:rFonts w:hint="eastAsia" w:ascii="宋体" w:hAnsi="宋体"/>
          <w:b/>
          <w:bCs/>
          <w:snapToGrid w:val="0"/>
          <w:kern w:val="0"/>
          <w:sz w:val="27"/>
          <w:szCs w:val="27"/>
        </w:rPr>
        <w:t>：</w:t>
      </w:r>
      <w:r>
        <w:rPr>
          <w:rFonts w:ascii="宋体" w:hAnsi="宋体"/>
          <w:b/>
          <w:bCs/>
          <w:snapToGrid w:val="0"/>
          <w:kern w:val="0"/>
          <w:sz w:val="27"/>
          <w:szCs w:val="27"/>
        </w:rPr>
        <w:t xml:space="preserve">   年  月  日</w:t>
      </w:r>
    </w:p>
    <w:p w14:paraId="12912F6E">
      <w:pPr>
        <w:wordWrap w:val="0"/>
        <w:spacing w:line="360" w:lineRule="auto"/>
        <w:jc w:val="center"/>
        <w:rPr>
          <w:rFonts w:ascii="宋体" w:hAnsi="宋体"/>
          <w:b/>
          <w:snapToGrid w:val="0"/>
          <w:kern w:val="0"/>
          <w:szCs w:val="21"/>
        </w:rPr>
      </w:pPr>
    </w:p>
    <w:p w14:paraId="4913A394">
      <w:pPr>
        <w:widowControl/>
        <w:ind w:firstLine="420"/>
        <w:jc w:val="left"/>
        <w:rPr>
          <w:rFonts w:ascii="宋体" w:hAnsi="宋体"/>
          <w:b/>
          <w:snapToGrid w:val="0"/>
          <w:kern w:val="0"/>
          <w:szCs w:val="21"/>
        </w:rPr>
      </w:pPr>
      <w:r>
        <w:rPr>
          <w:rFonts w:ascii="宋体" w:hAnsi="宋体"/>
          <w:b/>
          <w:snapToGrid w:val="0"/>
          <w:kern w:val="0"/>
          <w:szCs w:val="21"/>
        </w:rPr>
        <w:br w:type="page"/>
      </w:r>
    </w:p>
    <w:p w14:paraId="4A218C4F">
      <w:pPr>
        <w:wordWrap w:val="0"/>
        <w:spacing w:line="360" w:lineRule="auto"/>
        <w:ind w:firstLine="420"/>
        <w:jc w:val="center"/>
        <w:rPr>
          <w:rFonts w:ascii="宋体" w:hAnsi="宋体"/>
          <w:b/>
          <w:snapToGrid w:val="0"/>
          <w:kern w:val="0"/>
          <w:szCs w:val="21"/>
        </w:rPr>
      </w:pPr>
      <w:r>
        <w:rPr>
          <w:rFonts w:hint="eastAsia" w:ascii="宋体" w:hAnsi="宋体"/>
          <w:b/>
          <w:snapToGrid w:val="0"/>
          <w:kern w:val="0"/>
          <w:szCs w:val="21"/>
        </w:rPr>
        <w:t>（封面最终以云南省政府采购网中打印的为准）</w:t>
      </w:r>
    </w:p>
    <w:p w14:paraId="6711AE01">
      <w:pPr>
        <w:wordWrap w:val="0"/>
        <w:spacing w:line="360" w:lineRule="auto"/>
        <w:ind w:firstLine="420"/>
        <w:rPr>
          <w:rFonts w:ascii="宋体" w:hAnsi="宋体"/>
          <w:b/>
          <w:snapToGrid w:val="0"/>
          <w:kern w:val="0"/>
          <w:szCs w:val="21"/>
        </w:rPr>
      </w:pPr>
    </w:p>
    <w:p w14:paraId="40A5E3C2">
      <w:pPr>
        <w:wordWrap w:val="0"/>
        <w:spacing w:line="360" w:lineRule="auto"/>
        <w:rPr>
          <w:rFonts w:ascii="宋体" w:hAnsi="宋体" w:cs="宋体"/>
          <w:snapToGrid w:val="0"/>
          <w:kern w:val="0"/>
          <w:szCs w:val="21"/>
        </w:rPr>
      </w:pPr>
      <w:r>
        <w:rPr>
          <w:rFonts w:hint="eastAsia" w:ascii="宋体" w:hAnsi="宋体" w:cs="宋体"/>
          <w:snapToGrid w:val="0"/>
          <w:kern w:val="0"/>
          <w:szCs w:val="21"/>
        </w:rPr>
        <w:t>甲方（采购人）名称： 云南开放大学</w:t>
      </w:r>
    </w:p>
    <w:p w14:paraId="0D49C286">
      <w:pPr>
        <w:wordWrap w:val="0"/>
        <w:spacing w:line="360" w:lineRule="auto"/>
        <w:rPr>
          <w:rFonts w:ascii="宋体" w:hAnsi="宋体" w:cs="宋体"/>
          <w:snapToGrid w:val="0"/>
          <w:kern w:val="0"/>
          <w:szCs w:val="21"/>
        </w:rPr>
      </w:pPr>
      <w:r>
        <w:rPr>
          <w:rFonts w:hint="eastAsia" w:ascii="宋体" w:hAnsi="宋体" w:cs="宋体"/>
          <w:snapToGrid w:val="0"/>
          <w:kern w:val="0"/>
          <w:szCs w:val="21"/>
        </w:rPr>
        <w:t>地 址：</w:t>
      </w:r>
    </w:p>
    <w:p w14:paraId="78C42EF7">
      <w:pPr>
        <w:wordWrap w:val="0"/>
        <w:spacing w:line="360" w:lineRule="auto"/>
        <w:rPr>
          <w:rFonts w:ascii="宋体" w:hAnsi="宋体" w:cs="宋体"/>
          <w:snapToGrid w:val="0"/>
          <w:kern w:val="0"/>
          <w:szCs w:val="21"/>
        </w:rPr>
      </w:pPr>
      <w:r>
        <w:rPr>
          <w:rFonts w:hint="eastAsia" w:ascii="宋体" w:hAnsi="宋体" w:cs="宋体"/>
          <w:snapToGrid w:val="0"/>
          <w:kern w:val="0"/>
          <w:szCs w:val="21"/>
        </w:rPr>
        <w:t>邮 编：</w:t>
      </w:r>
    </w:p>
    <w:p w14:paraId="1B776E88">
      <w:pPr>
        <w:wordWrap w:val="0"/>
        <w:spacing w:line="360" w:lineRule="auto"/>
        <w:rPr>
          <w:rFonts w:ascii="宋体" w:hAnsi="宋体" w:cs="宋体"/>
          <w:snapToGrid w:val="0"/>
          <w:kern w:val="0"/>
          <w:szCs w:val="21"/>
        </w:rPr>
      </w:pPr>
      <w:r>
        <w:rPr>
          <w:rFonts w:hint="eastAsia" w:ascii="宋体" w:hAnsi="宋体" w:cs="宋体"/>
          <w:snapToGrid w:val="0"/>
          <w:kern w:val="0"/>
          <w:szCs w:val="21"/>
        </w:rPr>
        <w:t>法定代表人或委托代理人：</w:t>
      </w:r>
    </w:p>
    <w:p w14:paraId="31835A8C">
      <w:pPr>
        <w:wordWrap w:val="0"/>
        <w:spacing w:line="360" w:lineRule="auto"/>
        <w:rPr>
          <w:rFonts w:ascii="宋体" w:hAnsi="宋体" w:cs="宋体"/>
          <w:snapToGrid w:val="0"/>
          <w:kern w:val="0"/>
          <w:szCs w:val="21"/>
        </w:rPr>
      </w:pPr>
      <w:r>
        <w:rPr>
          <w:rFonts w:hint="eastAsia" w:ascii="宋体" w:hAnsi="宋体" w:cs="宋体"/>
          <w:snapToGrid w:val="0"/>
          <w:kern w:val="0"/>
          <w:szCs w:val="21"/>
        </w:rPr>
        <w:t>项目联系人：</w:t>
      </w:r>
    </w:p>
    <w:p w14:paraId="3AA6FCB3">
      <w:pPr>
        <w:wordWrap w:val="0"/>
        <w:spacing w:line="360" w:lineRule="auto"/>
        <w:rPr>
          <w:rFonts w:ascii="宋体" w:hAnsi="宋体" w:cs="宋体"/>
          <w:snapToGrid w:val="0"/>
          <w:kern w:val="0"/>
          <w:szCs w:val="21"/>
        </w:rPr>
      </w:pPr>
      <w:r>
        <w:rPr>
          <w:rFonts w:hint="eastAsia" w:ascii="宋体" w:hAnsi="宋体" w:cs="宋体"/>
          <w:snapToGrid w:val="0"/>
          <w:kern w:val="0"/>
          <w:szCs w:val="21"/>
        </w:rPr>
        <w:t>电 话：</w:t>
      </w:r>
    </w:p>
    <w:p w14:paraId="00B23CB8">
      <w:pPr>
        <w:wordWrap w:val="0"/>
        <w:spacing w:line="360" w:lineRule="auto"/>
        <w:rPr>
          <w:rFonts w:ascii="宋体" w:hAnsi="宋体" w:cs="宋体"/>
          <w:snapToGrid w:val="0"/>
          <w:kern w:val="0"/>
          <w:szCs w:val="21"/>
        </w:rPr>
      </w:pPr>
      <w:r>
        <w:rPr>
          <w:rFonts w:hint="eastAsia" w:ascii="宋体" w:hAnsi="宋体" w:cs="宋体"/>
          <w:snapToGrid w:val="0"/>
          <w:kern w:val="0"/>
          <w:szCs w:val="21"/>
        </w:rPr>
        <w:t>签订日期：</w:t>
      </w:r>
    </w:p>
    <w:p w14:paraId="4FFBF6DB">
      <w:pPr>
        <w:wordWrap w:val="0"/>
        <w:spacing w:line="360" w:lineRule="auto"/>
        <w:rPr>
          <w:rFonts w:ascii="宋体" w:hAnsi="宋体" w:cs="宋体"/>
          <w:snapToGrid w:val="0"/>
          <w:kern w:val="0"/>
          <w:szCs w:val="21"/>
        </w:rPr>
      </w:pPr>
    </w:p>
    <w:p w14:paraId="7D709C3B">
      <w:pPr>
        <w:wordWrap w:val="0"/>
        <w:spacing w:line="360" w:lineRule="auto"/>
        <w:rPr>
          <w:rFonts w:ascii="宋体" w:hAnsi="宋体" w:cs="宋体"/>
          <w:snapToGrid w:val="0"/>
          <w:kern w:val="0"/>
          <w:szCs w:val="21"/>
        </w:rPr>
      </w:pPr>
      <w:r>
        <w:rPr>
          <w:rFonts w:hint="eastAsia" w:ascii="宋体" w:hAnsi="宋体" w:cs="宋体"/>
          <w:snapToGrid w:val="0"/>
          <w:kern w:val="0"/>
          <w:szCs w:val="21"/>
        </w:rPr>
        <w:t>乙方（供应商公章）名称：</w:t>
      </w:r>
    </w:p>
    <w:p w14:paraId="0E0B4DF9">
      <w:pPr>
        <w:wordWrap w:val="0"/>
        <w:spacing w:line="360" w:lineRule="auto"/>
        <w:rPr>
          <w:rFonts w:ascii="宋体" w:hAnsi="宋体" w:cs="宋体"/>
          <w:snapToGrid w:val="0"/>
          <w:kern w:val="0"/>
          <w:szCs w:val="21"/>
        </w:rPr>
      </w:pPr>
      <w:r>
        <w:rPr>
          <w:rFonts w:hint="eastAsia" w:ascii="宋体" w:hAnsi="宋体" w:cs="宋体"/>
          <w:snapToGrid w:val="0"/>
          <w:kern w:val="0"/>
          <w:szCs w:val="21"/>
        </w:rPr>
        <w:t>地 址：</w:t>
      </w:r>
    </w:p>
    <w:p w14:paraId="74326588">
      <w:pPr>
        <w:wordWrap w:val="0"/>
        <w:spacing w:line="360" w:lineRule="auto"/>
        <w:rPr>
          <w:rFonts w:ascii="宋体" w:hAnsi="宋体" w:cs="宋体"/>
          <w:snapToGrid w:val="0"/>
          <w:kern w:val="0"/>
          <w:szCs w:val="21"/>
        </w:rPr>
      </w:pPr>
      <w:r>
        <w:rPr>
          <w:rFonts w:hint="eastAsia" w:ascii="宋体" w:hAnsi="宋体" w:cs="宋体"/>
          <w:snapToGrid w:val="0"/>
          <w:kern w:val="0"/>
          <w:szCs w:val="21"/>
        </w:rPr>
        <w:t>邮 编：</w:t>
      </w:r>
    </w:p>
    <w:p w14:paraId="209CBEEE">
      <w:pPr>
        <w:wordWrap w:val="0"/>
        <w:spacing w:line="360" w:lineRule="auto"/>
        <w:rPr>
          <w:rFonts w:ascii="宋体" w:hAnsi="宋体" w:cs="宋体"/>
          <w:snapToGrid w:val="0"/>
          <w:kern w:val="0"/>
          <w:szCs w:val="21"/>
        </w:rPr>
      </w:pPr>
      <w:r>
        <w:rPr>
          <w:rFonts w:hint="eastAsia" w:ascii="宋体" w:hAnsi="宋体" w:cs="宋体"/>
          <w:snapToGrid w:val="0"/>
          <w:kern w:val="0"/>
          <w:szCs w:val="21"/>
        </w:rPr>
        <w:t>法定代表人或委托代理人：</w:t>
      </w:r>
    </w:p>
    <w:p w14:paraId="50865FB0">
      <w:pPr>
        <w:wordWrap w:val="0"/>
        <w:spacing w:line="360" w:lineRule="auto"/>
        <w:rPr>
          <w:rFonts w:ascii="宋体" w:hAnsi="宋体" w:cs="宋体"/>
          <w:snapToGrid w:val="0"/>
          <w:kern w:val="0"/>
          <w:szCs w:val="21"/>
        </w:rPr>
      </w:pPr>
      <w:r>
        <w:rPr>
          <w:rFonts w:hint="eastAsia" w:ascii="宋体" w:hAnsi="宋体" w:cs="宋体"/>
          <w:snapToGrid w:val="0"/>
          <w:kern w:val="0"/>
          <w:szCs w:val="21"/>
        </w:rPr>
        <w:t>项目（技术）负责人：</w:t>
      </w:r>
    </w:p>
    <w:p w14:paraId="087EF0C8">
      <w:pPr>
        <w:wordWrap w:val="0"/>
        <w:spacing w:line="360" w:lineRule="auto"/>
        <w:rPr>
          <w:rFonts w:ascii="宋体" w:hAnsi="宋体" w:cs="宋体"/>
          <w:snapToGrid w:val="0"/>
          <w:kern w:val="0"/>
          <w:szCs w:val="21"/>
        </w:rPr>
      </w:pPr>
      <w:r>
        <w:rPr>
          <w:rFonts w:hint="eastAsia" w:ascii="宋体" w:hAnsi="宋体" w:cs="宋体"/>
          <w:snapToGrid w:val="0"/>
          <w:kern w:val="0"/>
          <w:szCs w:val="21"/>
        </w:rPr>
        <w:t>电 话：</w:t>
      </w:r>
    </w:p>
    <w:p w14:paraId="40BE0D3F">
      <w:pPr>
        <w:wordWrap w:val="0"/>
        <w:spacing w:line="360" w:lineRule="auto"/>
        <w:rPr>
          <w:rFonts w:ascii="宋体" w:hAnsi="宋体" w:cs="宋体"/>
          <w:snapToGrid w:val="0"/>
          <w:kern w:val="0"/>
          <w:szCs w:val="21"/>
        </w:rPr>
      </w:pPr>
      <w:r>
        <w:rPr>
          <w:rFonts w:hint="eastAsia" w:ascii="宋体" w:hAnsi="宋体" w:cs="宋体"/>
          <w:snapToGrid w:val="0"/>
          <w:kern w:val="0"/>
          <w:szCs w:val="21"/>
        </w:rPr>
        <w:t>签订日期：</w:t>
      </w:r>
    </w:p>
    <w:p w14:paraId="35184F4E">
      <w:pPr>
        <w:pStyle w:val="49"/>
        <w:wordWrap w:val="0"/>
        <w:spacing w:line="360" w:lineRule="auto"/>
        <w:rPr>
          <w:rFonts w:ascii="宋体" w:hAnsi="宋体" w:cs="宋体"/>
          <w:snapToGrid w:val="0"/>
          <w:kern w:val="0"/>
          <w:szCs w:val="21"/>
        </w:rPr>
      </w:pPr>
    </w:p>
    <w:p w14:paraId="6AE6F68C">
      <w:pPr>
        <w:pStyle w:val="49"/>
        <w:wordWrap w:val="0"/>
        <w:spacing w:line="360" w:lineRule="auto"/>
        <w:ind w:left="0" w:leftChars="0" w:firstLine="0" w:firstLineChars="0"/>
        <w:rPr>
          <w:rFonts w:ascii="宋体" w:hAnsi="宋体" w:cs="宋体"/>
          <w:snapToGrid w:val="0"/>
          <w:kern w:val="0"/>
          <w:szCs w:val="21"/>
        </w:rPr>
      </w:pPr>
    </w:p>
    <w:p w14:paraId="00ED241C">
      <w:pPr>
        <w:pStyle w:val="49"/>
        <w:wordWrap w:val="0"/>
        <w:spacing w:line="360" w:lineRule="auto"/>
        <w:ind w:left="0" w:leftChars="0" w:firstLine="0" w:firstLineChars="0"/>
        <w:rPr>
          <w:rFonts w:ascii="宋体" w:hAnsi="宋体" w:cs="宋体"/>
          <w:snapToGrid w:val="0"/>
          <w:kern w:val="0"/>
          <w:szCs w:val="21"/>
        </w:rPr>
      </w:pPr>
    </w:p>
    <w:p w14:paraId="5B08BF5C">
      <w:pPr>
        <w:pStyle w:val="49"/>
        <w:wordWrap w:val="0"/>
        <w:spacing w:line="360" w:lineRule="auto"/>
        <w:ind w:left="0" w:leftChars="0" w:firstLine="0" w:firstLineChars="0"/>
        <w:rPr>
          <w:rFonts w:ascii="宋体" w:hAnsi="宋体" w:cs="宋体"/>
          <w:snapToGrid w:val="0"/>
          <w:kern w:val="0"/>
          <w:szCs w:val="21"/>
        </w:rPr>
      </w:pPr>
      <w:r>
        <w:rPr>
          <w:rFonts w:hint="eastAsia" w:ascii="宋体" w:hAnsi="宋体" w:cs="宋体"/>
          <w:snapToGrid w:val="0"/>
          <w:kern w:val="0"/>
          <w:szCs w:val="21"/>
        </w:rPr>
        <w:t>丙方（鉴证方公章）名 称：云南国内招标有限公司</w:t>
      </w:r>
    </w:p>
    <w:p w14:paraId="021B511B">
      <w:pPr>
        <w:pStyle w:val="49"/>
        <w:wordWrap w:val="0"/>
        <w:spacing w:line="360" w:lineRule="auto"/>
        <w:ind w:left="0" w:leftChars="0" w:firstLine="0" w:firstLineChars="0"/>
        <w:rPr>
          <w:rFonts w:ascii="宋体" w:hAnsi="宋体" w:cs="宋体"/>
          <w:snapToGrid w:val="0"/>
          <w:kern w:val="0"/>
          <w:szCs w:val="21"/>
        </w:rPr>
      </w:pPr>
      <w:r>
        <w:rPr>
          <w:rFonts w:hint="eastAsia" w:ascii="宋体" w:hAnsi="宋体" w:cs="宋体"/>
          <w:snapToGrid w:val="0"/>
          <w:kern w:val="0"/>
          <w:szCs w:val="21"/>
        </w:rPr>
        <w:t>地 址：昆明市丹霞路集成大厦11楼CD座</w:t>
      </w:r>
    </w:p>
    <w:p w14:paraId="6210FD06">
      <w:pPr>
        <w:pStyle w:val="49"/>
        <w:wordWrap w:val="0"/>
        <w:spacing w:line="360" w:lineRule="auto"/>
        <w:ind w:left="0" w:leftChars="0" w:firstLine="0" w:firstLineChars="0"/>
        <w:rPr>
          <w:rFonts w:ascii="宋体" w:hAnsi="宋体" w:cs="宋体"/>
          <w:snapToGrid w:val="0"/>
          <w:kern w:val="0"/>
          <w:szCs w:val="21"/>
        </w:rPr>
      </w:pPr>
      <w:r>
        <w:rPr>
          <w:rFonts w:hint="eastAsia" w:ascii="宋体" w:hAnsi="宋体" w:cs="宋体"/>
          <w:snapToGrid w:val="0"/>
          <w:kern w:val="0"/>
          <w:szCs w:val="21"/>
        </w:rPr>
        <w:t>邮 编：</w:t>
      </w:r>
    </w:p>
    <w:p w14:paraId="49A22DF8">
      <w:pPr>
        <w:pStyle w:val="49"/>
        <w:wordWrap w:val="0"/>
        <w:spacing w:line="360" w:lineRule="auto"/>
        <w:ind w:left="0" w:leftChars="0" w:firstLine="0" w:firstLineChars="0"/>
        <w:rPr>
          <w:rFonts w:ascii="宋体" w:hAnsi="宋体" w:cs="宋体"/>
          <w:snapToGrid w:val="0"/>
          <w:kern w:val="0"/>
          <w:szCs w:val="21"/>
        </w:rPr>
      </w:pPr>
      <w:r>
        <w:rPr>
          <w:rFonts w:hint="eastAsia" w:ascii="宋体" w:hAnsi="宋体" w:cs="宋体"/>
          <w:snapToGrid w:val="0"/>
          <w:kern w:val="0"/>
          <w:szCs w:val="21"/>
        </w:rPr>
        <w:t>法定代表人或委托代理人：</w:t>
      </w:r>
    </w:p>
    <w:p w14:paraId="3C52C9B7">
      <w:pPr>
        <w:pStyle w:val="49"/>
        <w:wordWrap w:val="0"/>
        <w:spacing w:line="360" w:lineRule="auto"/>
        <w:ind w:left="0" w:leftChars="0" w:firstLine="0" w:firstLineChars="0"/>
        <w:rPr>
          <w:rFonts w:ascii="宋体" w:hAnsi="宋体" w:cs="宋体"/>
          <w:snapToGrid w:val="0"/>
          <w:kern w:val="0"/>
          <w:szCs w:val="21"/>
        </w:rPr>
      </w:pPr>
      <w:r>
        <w:rPr>
          <w:rFonts w:hint="eastAsia" w:ascii="宋体" w:hAnsi="宋体" w:cs="宋体"/>
          <w:snapToGrid w:val="0"/>
          <w:kern w:val="0"/>
          <w:szCs w:val="21"/>
        </w:rPr>
        <w:t>经办人：娄纵实</w:t>
      </w:r>
    </w:p>
    <w:p w14:paraId="1EC80A9E">
      <w:pPr>
        <w:wordWrap w:val="0"/>
        <w:spacing w:line="360" w:lineRule="auto"/>
        <w:rPr>
          <w:rFonts w:ascii="宋体" w:hAnsi="宋体" w:cs="宋体"/>
          <w:snapToGrid w:val="0"/>
          <w:kern w:val="0"/>
          <w:szCs w:val="21"/>
        </w:rPr>
      </w:pPr>
      <w:r>
        <w:rPr>
          <w:rFonts w:hint="eastAsia" w:ascii="宋体" w:hAnsi="宋体" w:cs="宋体"/>
          <w:snapToGrid w:val="0"/>
          <w:kern w:val="0"/>
          <w:szCs w:val="21"/>
        </w:rPr>
        <w:t>电 话：13708867879</w:t>
      </w:r>
    </w:p>
    <w:p w14:paraId="764F20A5">
      <w:pPr>
        <w:pStyle w:val="49"/>
        <w:ind w:left="0" w:leftChars="0" w:firstLine="0" w:firstLineChars="0"/>
        <w:rPr>
          <w:rFonts w:ascii="宋体" w:hAnsi="宋体" w:cs="宋体"/>
          <w:snapToGrid w:val="0"/>
          <w:kern w:val="0"/>
          <w:szCs w:val="21"/>
        </w:rPr>
      </w:pPr>
    </w:p>
    <w:p w14:paraId="647E2384">
      <w:pPr>
        <w:widowControl/>
        <w:jc w:val="left"/>
        <w:rPr>
          <w:rFonts w:ascii="宋体" w:hAnsi="宋体" w:cs="宋体"/>
          <w:snapToGrid w:val="0"/>
          <w:kern w:val="0"/>
          <w:szCs w:val="21"/>
        </w:rPr>
      </w:pPr>
      <w:r>
        <w:rPr>
          <w:rFonts w:hint="eastAsia" w:ascii="宋体" w:hAnsi="宋体" w:cs="宋体"/>
          <w:snapToGrid w:val="0"/>
          <w:kern w:val="0"/>
          <w:szCs w:val="21"/>
        </w:rPr>
        <w:br w:type="page"/>
      </w:r>
    </w:p>
    <w:p w14:paraId="5B0F9913">
      <w:pPr>
        <w:pStyle w:val="49"/>
        <w:ind w:left="0" w:leftChars="0" w:firstLine="0" w:firstLineChars="0"/>
        <w:rPr>
          <w:rFonts w:ascii="宋体" w:hAnsi="宋体" w:cs="宋体"/>
          <w:snapToGrid w:val="0"/>
          <w:kern w:val="0"/>
          <w:szCs w:val="21"/>
        </w:rPr>
      </w:pPr>
    </w:p>
    <w:p w14:paraId="53DDA9DA">
      <w:pPr>
        <w:widowControl/>
        <w:wordWrap w:val="0"/>
        <w:spacing w:line="360" w:lineRule="auto"/>
        <w:ind w:firstLine="480"/>
        <w:jc w:val="left"/>
        <w:rPr>
          <w:rFonts w:ascii="宋体" w:hAnsi="宋体" w:cs="宋体"/>
          <w:sz w:val="24"/>
          <w:szCs w:val="24"/>
        </w:rPr>
      </w:pPr>
      <w:r>
        <w:rPr>
          <w:rFonts w:hint="eastAsia" w:ascii="宋体" w:hAnsi="宋体" w:cs="宋体"/>
          <w:b/>
          <w:sz w:val="24"/>
          <w:szCs w:val="24"/>
          <w:shd w:val="clear" w:color="auto" w:fill="FFFFFF"/>
          <w:lang w:bidi="ar"/>
        </w:rPr>
        <w:t>甲方：云南开放大学</w:t>
      </w:r>
    </w:p>
    <w:p w14:paraId="76F058C9">
      <w:pPr>
        <w:ind w:firstLine="480"/>
        <w:rPr>
          <w:rFonts w:ascii="宋体" w:hAnsi="宋体" w:cs="宋体"/>
          <w:b/>
          <w:bCs/>
          <w:sz w:val="24"/>
          <w:szCs w:val="24"/>
          <w:shd w:val="clear" w:color="auto" w:fill="FFFFFF"/>
          <w:lang w:bidi="ar"/>
        </w:rPr>
      </w:pPr>
      <w:r>
        <w:rPr>
          <w:rFonts w:hint="eastAsia" w:ascii="宋体" w:hAnsi="宋体" w:cs="宋体"/>
          <w:b/>
          <w:sz w:val="24"/>
          <w:szCs w:val="24"/>
          <w:shd w:val="clear" w:color="auto" w:fill="FFFFFF"/>
          <w:lang w:bidi="ar"/>
        </w:rPr>
        <w:t>乙方：</w:t>
      </w:r>
    </w:p>
    <w:p w14:paraId="796E8FCA">
      <w:pPr>
        <w:pStyle w:val="160"/>
        <w:wordWrap w:val="0"/>
        <w:spacing w:line="360" w:lineRule="auto"/>
        <w:ind w:firstLine="420" w:firstLineChars="200"/>
        <w:jc w:val="left"/>
        <w:rPr>
          <w:rFonts w:ascii="宋体" w:hAnsi="宋体"/>
          <w:snapToGrid w:val="0"/>
          <w:kern w:val="0"/>
          <w:szCs w:val="21"/>
        </w:rPr>
      </w:pPr>
    </w:p>
    <w:p w14:paraId="4DA833B9">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甲乙双方根据项目编号为</w:t>
      </w:r>
      <w:r>
        <w:rPr>
          <w:rFonts w:hint="eastAsia" w:ascii="宋体" w:hAnsi="宋体"/>
          <w:snapToGrid w:val="0"/>
          <w:kern w:val="0"/>
          <w:szCs w:val="21"/>
          <w:u w:val="single"/>
        </w:rPr>
        <w:t xml:space="preserve">              </w:t>
      </w:r>
      <w:r>
        <w:rPr>
          <w:rFonts w:hint="eastAsia" w:ascii="宋体" w:hAnsi="宋体"/>
          <w:snapToGrid w:val="0"/>
          <w:kern w:val="0"/>
          <w:szCs w:val="21"/>
        </w:rPr>
        <w:t>的</w:t>
      </w:r>
      <w:r>
        <w:rPr>
          <w:rFonts w:hint="eastAsia" w:ascii="宋体" w:hAnsi="宋体"/>
          <w:snapToGrid w:val="0"/>
          <w:kern w:val="0"/>
          <w:szCs w:val="21"/>
          <w:u w:val="single"/>
        </w:rPr>
        <w:t>“              ”</w:t>
      </w:r>
      <w:r>
        <w:rPr>
          <w:rFonts w:hint="eastAsia" w:ascii="宋体" w:hAnsi="宋体"/>
          <w:snapToGrid w:val="0"/>
          <w:kern w:val="0"/>
          <w:szCs w:val="21"/>
        </w:rPr>
        <w:t>项目采购结果，经双方协商达成一致，签订以下内容：</w:t>
      </w:r>
    </w:p>
    <w:p w14:paraId="51AA7AD6">
      <w:pPr>
        <w:wordWrap w:val="0"/>
        <w:spacing w:before="120" w:beforeLines="50" w:line="360" w:lineRule="auto"/>
        <w:ind w:firstLine="405" w:firstLineChars="192"/>
        <w:rPr>
          <w:rFonts w:ascii="宋体" w:hAnsi="宋体" w:cs="宋体"/>
          <w:b/>
          <w:snapToGrid w:val="0"/>
          <w:kern w:val="0"/>
          <w:szCs w:val="21"/>
        </w:rPr>
      </w:pPr>
      <w:r>
        <w:rPr>
          <w:rFonts w:hint="eastAsia" w:ascii="宋体" w:hAnsi="宋体" w:cs="宋体"/>
          <w:b/>
          <w:snapToGrid w:val="0"/>
          <w:kern w:val="0"/>
          <w:szCs w:val="21"/>
        </w:rPr>
        <w:t>项目概况</w:t>
      </w:r>
    </w:p>
    <w:p w14:paraId="46431B68">
      <w:pPr>
        <w:wordWrap w:val="0"/>
        <w:spacing w:before="120" w:beforeLines="50" w:line="360" w:lineRule="auto"/>
        <w:ind w:firstLine="405" w:firstLineChars="192"/>
        <w:rPr>
          <w:rFonts w:ascii="宋体" w:hAnsi="宋体" w:cs="宋体"/>
          <w:b/>
          <w:snapToGrid w:val="0"/>
          <w:kern w:val="0"/>
          <w:szCs w:val="21"/>
        </w:rPr>
      </w:pPr>
      <w:r>
        <w:rPr>
          <w:rFonts w:hint="eastAsia" w:ascii="宋体" w:hAnsi="宋体" w:cs="宋体"/>
          <w:b/>
          <w:snapToGrid w:val="0"/>
          <w:kern w:val="0"/>
          <w:szCs w:val="21"/>
        </w:rPr>
        <w:t>（一）服务</w:t>
      </w:r>
      <w:r>
        <w:rPr>
          <w:rFonts w:ascii="宋体" w:hAnsi="宋体" w:cs="宋体"/>
          <w:b/>
          <w:snapToGrid w:val="0"/>
          <w:kern w:val="0"/>
          <w:szCs w:val="21"/>
        </w:rPr>
        <w:t>标准</w:t>
      </w:r>
      <w:r>
        <w:rPr>
          <w:rFonts w:hint="eastAsia" w:ascii="宋体" w:hAnsi="宋体" w:cs="宋体"/>
          <w:b/>
          <w:snapToGrid w:val="0"/>
          <w:kern w:val="0"/>
          <w:szCs w:val="21"/>
        </w:rPr>
        <w:t>：</w:t>
      </w:r>
    </w:p>
    <w:p w14:paraId="159DFF83">
      <w:pPr>
        <w:wordWrap w:val="0"/>
        <w:spacing w:before="120" w:beforeLines="50" w:line="360" w:lineRule="auto"/>
        <w:ind w:firstLine="405" w:firstLineChars="192"/>
        <w:rPr>
          <w:rFonts w:ascii="宋体" w:hAnsi="宋体" w:cs="宋体"/>
          <w:b/>
          <w:snapToGrid w:val="0"/>
          <w:kern w:val="0"/>
          <w:szCs w:val="21"/>
        </w:rPr>
      </w:pPr>
      <w:r>
        <w:rPr>
          <w:rFonts w:hint="eastAsia" w:ascii="宋体" w:hAnsi="宋体" w:cs="宋体"/>
          <w:b/>
          <w:snapToGrid w:val="0"/>
          <w:kern w:val="0"/>
          <w:szCs w:val="21"/>
        </w:rPr>
        <w:t>（二）服务内容:</w:t>
      </w:r>
    </w:p>
    <w:p w14:paraId="75967DE4">
      <w:pPr>
        <w:wordWrap w:val="0"/>
        <w:spacing w:before="120" w:beforeLines="50" w:line="360" w:lineRule="auto"/>
        <w:ind w:firstLine="405" w:firstLineChars="192"/>
        <w:rPr>
          <w:rFonts w:ascii="宋体" w:hAnsi="宋体" w:cs="宋体"/>
          <w:b/>
          <w:snapToGrid w:val="0"/>
          <w:kern w:val="0"/>
          <w:szCs w:val="21"/>
        </w:rPr>
      </w:pPr>
      <w:r>
        <w:rPr>
          <w:rFonts w:hint="eastAsia" w:ascii="宋体" w:hAnsi="宋体" w:cs="宋体"/>
          <w:b/>
          <w:snapToGrid w:val="0"/>
          <w:kern w:val="0"/>
          <w:szCs w:val="21"/>
        </w:rPr>
        <w:t>二、合同总价</w:t>
      </w:r>
    </w:p>
    <w:p w14:paraId="2362AEF1">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u w:val="single"/>
        </w:rPr>
        <w:t xml:space="preserve">              </w:t>
      </w:r>
      <w:r>
        <w:rPr>
          <w:rFonts w:hint="eastAsia" w:ascii="宋体" w:hAnsi="宋体"/>
          <w:snapToGrid w:val="0"/>
          <w:kern w:val="0"/>
          <w:szCs w:val="21"/>
        </w:rPr>
        <w:t>。</w:t>
      </w:r>
    </w:p>
    <w:p w14:paraId="59744814">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以上合同总价包含乙方为履行本合同而向甲方提供全部服务的一切费用。</w:t>
      </w:r>
    </w:p>
    <w:p w14:paraId="41A58F2A">
      <w:pPr>
        <w:wordWrap w:val="0"/>
        <w:spacing w:before="120" w:beforeLines="50" w:line="360" w:lineRule="auto"/>
        <w:ind w:firstLine="405" w:firstLineChars="192"/>
        <w:rPr>
          <w:rFonts w:ascii="宋体" w:hAnsi="宋体" w:cs="宋体"/>
          <w:b/>
          <w:snapToGrid w:val="0"/>
          <w:kern w:val="0"/>
          <w:szCs w:val="21"/>
        </w:rPr>
      </w:pPr>
      <w:r>
        <w:rPr>
          <w:rFonts w:hint="eastAsia" w:ascii="宋体" w:hAnsi="宋体" w:cs="宋体"/>
          <w:b/>
          <w:snapToGrid w:val="0"/>
          <w:kern w:val="0"/>
          <w:szCs w:val="21"/>
        </w:rPr>
        <w:t>三、项目完成时间</w:t>
      </w:r>
    </w:p>
    <w:p w14:paraId="742529D4">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合同签订之日起</w:t>
      </w:r>
      <w:r>
        <w:rPr>
          <w:rFonts w:hint="eastAsia" w:ascii="宋体" w:hAnsi="宋体"/>
          <w:snapToGrid w:val="0"/>
          <w:kern w:val="0"/>
          <w:szCs w:val="21"/>
          <w:u w:val="single"/>
        </w:rPr>
        <w:t xml:space="preserve">   </w:t>
      </w:r>
      <w:r>
        <w:rPr>
          <w:rFonts w:hint="eastAsia" w:ascii="宋体" w:hAnsi="宋体"/>
          <w:snapToGrid w:val="0"/>
          <w:kern w:val="0"/>
          <w:szCs w:val="21"/>
        </w:rPr>
        <w:t>个日历日内完成。</w:t>
      </w:r>
    </w:p>
    <w:p w14:paraId="573F72C5">
      <w:pPr>
        <w:wordWrap w:val="0"/>
        <w:spacing w:before="120" w:beforeLines="50" w:line="360" w:lineRule="auto"/>
        <w:ind w:firstLine="405" w:firstLineChars="192"/>
        <w:rPr>
          <w:rFonts w:ascii="宋体" w:hAnsi="宋体" w:cs="宋体"/>
          <w:b/>
          <w:snapToGrid w:val="0"/>
          <w:kern w:val="0"/>
          <w:szCs w:val="21"/>
        </w:rPr>
      </w:pPr>
      <w:r>
        <w:rPr>
          <w:rFonts w:hint="eastAsia" w:ascii="宋体" w:hAnsi="宋体" w:cs="宋体"/>
          <w:b/>
          <w:snapToGrid w:val="0"/>
          <w:kern w:val="0"/>
          <w:szCs w:val="21"/>
        </w:rPr>
        <w:t>四、服务与技术支持</w:t>
      </w:r>
    </w:p>
    <w:p w14:paraId="1105FDFD">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 xml:space="preserve">在服务期内，乙方提供7*24小时技术支持。系统故障2小时响应，一般故障4小时恢复功能，特别情况下不超过24小时恢复功能。根据甲方要求提供现场技术支持，乙方技术支持联系人: </w:t>
      </w:r>
      <w:r>
        <w:rPr>
          <w:rFonts w:hint="eastAsia" w:ascii="宋体" w:hAnsi="宋体"/>
          <w:snapToGrid w:val="0"/>
          <w:kern w:val="0"/>
          <w:szCs w:val="21"/>
          <w:u w:val="single"/>
        </w:rPr>
        <w:t xml:space="preserve">        </w:t>
      </w:r>
      <w:r>
        <w:rPr>
          <w:rFonts w:hint="eastAsia" w:ascii="宋体" w:hAnsi="宋体"/>
          <w:snapToGrid w:val="0"/>
          <w:kern w:val="0"/>
          <w:szCs w:val="21"/>
        </w:rPr>
        <w:t>，电话：</w:t>
      </w:r>
      <w:r>
        <w:rPr>
          <w:rFonts w:hint="eastAsia" w:ascii="宋体" w:hAnsi="宋体"/>
          <w:snapToGrid w:val="0"/>
          <w:kern w:val="0"/>
          <w:szCs w:val="21"/>
          <w:u w:val="single"/>
        </w:rPr>
        <w:t xml:space="preserve">        </w:t>
      </w:r>
      <w:r>
        <w:rPr>
          <w:rFonts w:hint="eastAsia" w:ascii="宋体" w:hAnsi="宋体"/>
          <w:snapToGrid w:val="0"/>
          <w:kern w:val="0"/>
          <w:szCs w:val="21"/>
        </w:rPr>
        <w:t>。</w:t>
      </w:r>
    </w:p>
    <w:p w14:paraId="7BF76297">
      <w:pPr>
        <w:wordWrap w:val="0"/>
        <w:spacing w:before="120" w:beforeLines="50" w:line="360" w:lineRule="auto"/>
        <w:ind w:firstLine="405" w:firstLineChars="192"/>
        <w:rPr>
          <w:rFonts w:ascii="宋体" w:hAnsi="宋体" w:cs="宋体"/>
          <w:b/>
          <w:snapToGrid w:val="0"/>
          <w:kern w:val="0"/>
          <w:szCs w:val="21"/>
        </w:rPr>
      </w:pPr>
      <w:r>
        <w:rPr>
          <w:rFonts w:hint="eastAsia" w:ascii="宋体" w:hAnsi="宋体" w:cs="宋体"/>
          <w:b/>
          <w:snapToGrid w:val="0"/>
          <w:kern w:val="0"/>
          <w:szCs w:val="21"/>
        </w:rPr>
        <w:t>五、验收及验收标准</w:t>
      </w:r>
    </w:p>
    <w:p w14:paraId="579E952A">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1、项目一阶段验收：合同签订后，乙方按合同规范要求为甲方启用本次采购的服务后10个日历日内，乙方必须向甲方派遣1名驻场工程师，对甲方全部合同规定维保设备进行一次全面检查，做出设备档案资料，对设备全面除尘、检修，并出具首次检查报告（均须经甲方同意认可的）。同时，乙方必须提供针对本项目的整体安全维护方案、信息系统应急演练方案、安全培训方案、设备维保方案、定期巡查巡检方案以及服务质量及保证措施（均须经甲方同意认可的），对于要求乙方提供维保服务的设备，乙方需要提供针对本项目相关设备的维保服务承诺函。另外，甲乙双方共同点验服务情况，包括：产品型号，产品数量，设备序列号，产品保修生效起止时间等，逐项清点后未发现产品的型号、数量、服务起止时间、序列号等与本合同相关规定不符，未发现提供的技术资料及相关文件存在不符合本合同约定的情形，应视验收合格。乙方完成上述项目内容并提供项目服务期内整体运维服务履行承诺函，且经甲方确认服务与合同要求一致后，乙方向甲方提出验收申请，甲方按照相关要求组织人员进行验收，验收合格后，双方共同签署《云南开放大学采购项目阶段性验收表》。</w:t>
      </w:r>
    </w:p>
    <w:p w14:paraId="48E4C510">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2、项目二阶段验收：乙方正常开展项目要求的设备运维3个月且无质量问题，且经甲方确认服务与合同要求一致后，由乙方向甲方提出书面验收申请，甲方按照相关要求组织人员进行验收，验收合格后，甲乙双方共同签署《云南开放大学采购项目阶段性验收表》。</w:t>
      </w:r>
    </w:p>
    <w:p w14:paraId="5453F696">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3、项目三阶段验收：乙方运维服务期满一年，且乙方按合同约定完成全部服务内容，在项目服务期结束后7个日历日内，由乙方向甲方提出书面验收申请，并在甲方的组织下，开展项目验收，验收合格后，甲乙双方共同签署《云南开放大学采购项目验收报告表》。。</w:t>
      </w:r>
    </w:p>
    <w:p w14:paraId="3CC4754C">
      <w:pPr>
        <w:wordWrap w:val="0"/>
        <w:spacing w:before="120" w:beforeLines="50" w:line="360" w:lineRule="auto"/>
        <w:ind w:firstLine="405" w:firstLineChars="192"/>
        <w:rPr>
          <w:rFonts w:ascii="宋体" w:hAnsi="宋体" w:cs="宋体"/>
          <w:b/>
          <w:snapToGrid w:val="0"/>
          <w:kern w:val="0"/>
          <w:szCs w:val="21"/>
        </w:rPr>
      </w:pPr>
      <w:r>
        <w:rPr>
          <w:rFonts w:hint="eastAsia" w:ascii="宋体" w:hAnsi="宋体" w:cs="宋体"/>
          <w:b/>
          <w:snapToGrid w:val="0"/>
          <w:kern w:val="0"/>
          <w:szCs w:val="21"/>
        </w:rPr>
        <w:t>六、合同价款结算</w:t>
      </w:r>
    </w:p>
    <w:p w14:paraId="73633173">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（一）合同价款支付：</w:t>
      </w:r>
    </w:p>
    <w:p w14:paraId="326202EC">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1、项目一阶段：一阶段验收通过后，乙方提供合同价款60%的发票和甲乙双方共同签署的《云南开放大学采购项目阶段性验收表》，甲方据此向乙方支付合同价款的60%。</w:t>
      </w:r>
    </w:p>
    <w:p w14:paraId="5A258838">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2、项目二阶段：二阶段验收通过后，乙方提供合同价款35%的发票和甲乙双方共同签署的《云南开放大学采购项目阶段性验收表》，甲方据此向乙方支付合同价款的35%。</w:t>
      </w:r>
    </w:p>
    <w:p w14:paraId="3F341C6A">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3、项目三阶段：三阶段验收通过后，乙方提供合同价款5%的发票和甲乙双方共同签署的《云南开放大学采购项目验收报告表》，甲方据此向乙方支付合同价款的5%。</w:t>
      </w:r>
    </w:p>
    <w:p w14:paraId="1195113F">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（二）乙方账户信息</w:t>
      </w:r>
    </w:p>
    <w:p w14:paraId="396A19C4">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开户名：</w:t>
      </w:r>
    </w:p>
    <w:p w14:paraId="7003B9A4">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统一社会信用代码：</w:t>
      </w:r>
    </w:p>
    <w:p w14:paraId="64EA28C6">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开户行：</w:t>
      </w:r>
    </w:p>
    <w:p w14:paraId="6CC6E19C">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银行账号：</w:t>
      </w:r>
    </w:p>
    <w:p w14:paraId="2BCAA2D8">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乙方保证所提供收款账户信息真实、完整、准确，因乙方提供账户信息有误导致的无法收款的责任由乙方自行承担，由此给甲方造成的损失（包括但不限于甲方因此而重复支付的手续费，款项支付到第三人账户无法追回的损失，以及甲方为主张其权益而支出的诉讼费、律师费、公告费等一切合理费用）由乙方承担。</w:t>
      </w:r>
    </w:p>
    <w:p w14:paraId="3F63118D">
      <w:pPr>
        <w:wordWrap w:val="0"/>
        <w:spacing w:before="120" w:beforeLines="50" w:line="360" w:lineRule="auto"/>
        <w:ind w:firstLine="405" w:firstLineChars="192"/>
        <w:rPr>
          <w:rFonts w:ascii="宋体" w:hAnsi="宋体" w:cs="宋体"/>
          <w:b/>
          <w:snapToGrid w:val="0"/>
          <w:kern w:val="0"/>
          <w:szCs w:val="21"/>
        </w:rPr>
      </w:pPr>
      <w:r>
        <w:rPr>
          <w:rFonts w:hint="eastAsia" w:ascii="宋体" w:hAnsi="宋体" w:cs="宋体"/>
          <w:b/>
          <w:snapToGrid w:val="0"/>
          <w:kern w:val="0"/>
          <w:szCs w:val="21"/>
        </w:rPr>
        <w:t xml:space="preserve">七、履约保证金的交付和返还 </w:t>
      </w:r>
    </w:p>
    <w:p w14:paraId="5B67E568">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（一）履约保证金：合同签订后十五个日历日内，乙方向甲方缴纳合同金额5%的履约保证金。待项目三阶段验收合格后3个月，且无质量问题，甲方无息退还乙方履约保证金。</w:t>
      </w:r>
    </w:p>
    <w:p w14:paraId="4DF11A1D">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 xml:space="preserve"> 履约保证金甲方收款银行账户信息：</w:t>
      </w:r>
    </w:p>
    <w:p w14:paraId="0DCF6FE9">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 xml:space="preserve"> 账户名称：云南开放大学</w:t>
      </w:r>
    </w:p>
    <w:p w14:paraId="17079B2E">
      <w:pPr>
        <w:pStyle w:val="160"/>
        <w:wordWrap w:val="0"/>
        <w:spacing w:line="360" w:lineRule="auto"/>
        <w:ind w:firstLine="210" w:firstLineChars="100"/>
        <w:jc w:val="left"/>
        <w:rPr>
          <w:rFonts w:ascii="宋体" w:hAnsi="宋体"/>
          <w:snapToGrid w:val="0"/>
          <w:kern w:val="0"/>
          <w:szCs w:val="21"/>
        </w:rPr>
      </w:pPr>
      <w:r>
        <w:rPr>
          <w:rFonts w:hint="eastAsia" w:ascii="宋体" w:hAnsi="宋体"/>
          <w:snapToGrid w:val="0"/>
          <w:kern w:val="0"/>
          <w:szCs w:val="21"/>
        </w:rPr>
        <w:t xml:space="preserve">   账号：137284354714</w:t>
      </w:r>
    </w:p>
    <w:p w14:paraId="107D37DE">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 xml:space="preserve"> 开户行：中国银行昆明市聚贤街支行 </w:t>
      </w:r>
    </w:p>
    <w:p w14:paraId="11085CE0">
      <w:pPr>
        <w:wordWrap w:val="0"/>
        <w:spacing w:before="120" w:beforeLines="50" w:line="360" w:lineRule="auto"/>
        <w:ind w:firstLine="405" w:firstLineChars="192"/>
        <w:rPr>
          <w:rFonts w:ascii="宋体" w:hAnsi="宋体" w:cs="宋体"/>
          <w:b/>
          <w:snapToGrid w:val="0"/>
          <w:kern w:val="0"/>
          <w:szCs w:val="21"/>
        </w:rPr>
      </w:pPr>
      <w:r>
        <w:rPr>
          <w:rFonts w:hint="eastAsia" w:ascii="宋体" w:hAnsi="宋体" w:cs="宋体"/>
          <w:b/>
          <w:snapToGrid w:val="0"/>
          <w:kern w:val="0"/>
          <w:szCs w:val="21"/>
        </w:rPr>
        <w:t>八、甲乙双方的权利和义务</w:t>
      </w:r>
    </w:p>
    <w:p w14:paraId="2024E378">
      <w:pPr>
        <w:wordWrap w:val="0"/>
        <w:spacing w:before="120" w:beforeLines="50" w:line="360" w:lineRule="auto"/>
        <w:ind w:firstLine="405" w:firstLineChars="192"/>
        <w:rPr>
          <w:rFonts w:ascii="宋体" w:hAnsi="宋体" w:cs="宋体"/>
          <w:b/>
          <w:snapToGrid w:val="0"/>
          <w:kern w:val="0"/>
          <w:szCs w:val="21"/>
        </w:rPr>
      </w:pPr>
      <w:r>
        <w:rPr>
          <w:rFonts w:hint="eastAsia" w:ascii="宋体" w:hAnsi="宋体" w:cs="宋体"/>
          <w:b/>
          <w:snapToGrid w:val="0"/>
          <w:kern w:val="0"/>
          <w:szCs w:val="21"/>
        </w:rPr>
        <w:t>（一）甲方的权利和义务</w:t>
      </w:r>
    </w:p>
    <w:p w14:paraId="2B441C64">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1.负责乙方的具体联系和衔结，项目服务时配备人员进行监管。</w:t>
      </w:r>
    </w:p>
    <w:p w14:paraId="2E5F65FE">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2.负责做好项目部署、调试的配合工作。</w:t>
      </w:r>
    </w:p>
    <w:p w14:paraId="33FDF0D1">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3.负责组织成立验收小组对项目进行验收并签署验收报告。</w:t>
      </w:r>
    </w:p>
    <w:p w14:paraId="56AC021D">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4.按合同规定享有乙方提供的技术支持与服务。</w:t>
      </w:r>
    </w:p>
    <w:p w14:paraId="19741CFB">
      <w:pPr>
        <w:wordWrap w:val="0"/>
        <w:spacing w:before="120" w:beforeLines="50" w:line="360" w:lineRule="auto"/>
        <w:ind w:firstLine="405" w:firstLineChars="192"/>
        <w:rPr>
          <w:rFonts w:ascii="宋体" w:hAnsi="宋体" w:cs="宋体"/>
          <w:b/>
          <w:snapToGrid w:val="0"/>
          <w:kern w:val="0"/>
          <w:szCs w:val="21"/>
        </w:rPr>
      </w:pPr>
      <w:r>
        <w:rPr>
          <w:rFonts w:hint="eastAsia" w:ascii="宋体" w:hAnsi="宋体" w:cs="宋体"/>
          <w:b/>
          <w:snapToGrid w:val="0"/>
          <w:kern w:val="0"/>
          <w:szCs w:val="21"/>
        </w:rPr>
        <w:t>（二）乙方的权利和义务</w:t>
      </w:r>
    </w:p>
    <w:p w14:paraId="508CBF61">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1.严格按照合同约定完成甲方项目，根据甲方的实际情况，为甲方提供合理可行的解决方案，组织乙方相关专业人员进行实施，提供符合合同规定的服务。</w:t>
      </w:r>
    </w:p>
    <w:p w14:paraId="70552D75">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2.乙方保证所提供的产品及服务质量达到有关国家标准、行业标准、业务规范以及合同约定的相关要求。</w:t>
      </w:r>
    </w:p>
    <w:p w14:paraId="0E90F631">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3.本项目中使用的任何产品和服务，不会产生因第三方提出侵犯其专利权、商标权或其它知识产权而引起的法律和经济纠纷，如因专利权、商标权或其它知识产权而引起法律和经济纠纷，由乙方承担所有相关责任。</w:t>
      </w:r>
    </w:p>
    <w:p w14:paraId="2DAA2E36">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4.严格遵守协商、技术澄清、商务谈判、成交所承诺的一切规定和条款。</w:t>
      </w:r>
    </w:p>
    <w:p w14:paraId="6E1D186B">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5.遵守甲方的相关规章制度，接受甲方的监督、检查和考核。</w:t>
      </w:r>
    </w:p>
    <w:p w14:paraId="634C0423">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6.乙方需加强员工的思想政治教育及管理，确保员工遵守意识形态、防控疫情、消防安全等相关要求及规定。</w:t>
      </w:r>
    </w:p>
    <w:p w14:paraId="0D951440">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 xml:space="preserve">7.配合甲方共同进行项目验收。 </w:t>
      </w:r>
    </w:p>
    <w:p w14:paraId="49254AA0">
      <w:pPr>
        <w:wordWrap w:val="0"/>
        <w:spacing w:before="120" w:beforeLines="50" w:line="360" w:lineRule="auto"/>
        <w:ind w:firstLine="405" w:firstLineChars="192"/>
        <w:rPr>
          <w:rFonts w:ascii="宋体" w:hAnsi="宋体" w:cs="宋体"/>
          <w:b/>
          <w:snapToGrid w:val="0"/>
          <w:kern w:val="0"/>
          <w:szCs w:val="21"/>
        </w:rPr>
      </w:pPr>
      <w:r>
        <w:rPr>
          <w:rFonts w:hint="eastAsia" w:ascii="宋体" w:hAnsi="宋体" w:cs="宋体"/>
          <w:b/>
          <w:snapToGrid w:val="0"/>
          <w:kern w:val="0"/>
          <w:szCs w:val="21"/>
        </w:rPr>
        <w:t xml:space="preserve">八、违约责任 </w:t>
      </w:r>
    </w:p>
    <w:p w14:paraId="5177F25A">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（一）除发生不可抗力事实外，乙方的服务与合同标准不相符合的，甲方有权拒绝验收；逾期提供服务将向甲方每日偿付合同总额</w:t>
      </w:r>
      <w:r>
        <w:rPr>
          <w:rFonts w:hint="eastAsia" w:ascii="宋体" w:hAnsi="宋体"/>
          <w:snapToGrid w:val="0"/>
          <w:kern w:val="0"/>
          <w:szCs w:val="21"/>
          <w:u w:val="single"/>
        </w:rPr>
        <w:t>1%</w:t>
      </w:r>
      <w:r>
        <w:rPr>
          <w:rFonts w:hint="eastAsia" w:ascii="宋体" w:hAnsi="宋体"/>
          <w:snapToGrid w:val="0"/>
          <w:kern w:val="0"/>
          <w:szCs w:val="21"/>
        </w:rPr>
        <w:t>的违约金，逾期提供服务超过 30 个日历天的甲方有权单方面解除合同。因乙方超过 30 个日历天交付或交付成果与合同标准不符致使甲方解除合同的，乙方应承担合同总额 10%的违约金，若违约金不足以弥补甲方损失的，甲方有权要求乙方赔偿损失。甲方有权拒付合同价款以外的其他任何费用。因乙方违约导致甲方因诉讼、维权而产生的立案费、律师费、交通费、保全费等均由乙方负责。</w:t>
      </w:r>
    </w:p>
    <w:p w14:paraId="3E1CFC2D">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（二）甲方逾期支付合同款将向乙方每日偿付欠款总额千分之一的违约金（累计不超过欠款总额的百分之五）。</w:t>
      </w:r>
    </w:p>
    <w:p w14:paraId="4C57A83D">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（三）甲方有权拒付合同价以外的任何费用；乙方有权拒绝合同整体服务范围以外的条件。</w:t>
      </w:r>
    </w:p>
    <w:p w14:paraId="0D8950E8">
      <w:pPr>
        <w:wordWrap w:val="0"/>
        <w:spacing w:before="120" w:beforeLines="50" w:line="360" w:lineRule="auto"/>
        <w:ind w:firstLine="405" w:firstLineChars="192"/>
        <w:rPr>
          <w:rFonts w:ascii="宋体" w:hAnsi="宋体" w:cs="宋体"/>
          <w:b/>
          <w:snapToGrid w:val="0"/>
          <w:kern w:val="0"/>
          <w:szCs w:val="21"/>
        </w:rPr>
      </w:pPr>
      <w:r>
        <w:rPr>
          <w:rFonts w:hint="eastAsia" w:ascii="宋体" w:hAnsi="宋体" w:cs="宋体"/>
          <w:b/>
          <w:snapToGrid w:val="0"/>
          <w:kern w:val="0"/>
          <w:szCs w:val="21"/>
        </w:rPr>
        <w:t xml:space="preserve">九、甲乙双方在履行合同过程中发生纠纷，应及时向有关管理部门反映，以便相关部门进行协调或处理；协调或处理不成的，也可以直接向甲方所在地人民法院提起诉讼。 </w:t>
      </w:r>
    </w:p>
    <w:p w14:paraId="612AF8A1">
      <w:pPr>
        <w:wordWrap w:val="0"/>
        <w:spacing w:before="120" w:beforeLines="50" w:line="360" w:lineRule="auto"/>
        <w:ind w:firstLine="405" w:firstLineChars="192"/>
        <w:rPr>
          <w:rFonts w:ascii="宋体" w:hAnsi="宋体" w:cs="宋体"/>
          <w:b/>
          <w:snapToGrid w:val="0"/>
          <w:kern w:val="0"/>
          <w:szCs w:val="21"/>
        </w:rPr>
      </w:pPr>
      <w:r>
        <w:rPr>
          <w:rFonts w:hint="eastAsia" w:ascii="宋体" w:hAnsi="宋体" w:cs="宋体"/>
          <w:b/>
          <w:snapToGrid w:val="0"/>
          <w:kern w:val="0"/>
          <w:szCs w:val="21"/>
        </w:rPr>
        <w:t>十、本合同其他未尽事宜，按《中华人民共和国民法典》有关规定处理。</w:t>
      </w:r>
    </w:p>
    <w:p w14:paraId="2D623734">
      <w:pPr>
        <w:wordWrap w:val="0"/>
        <w:spacing w:before="120" w:beforeLines="50" w:line="360" w:lineRule="auto"/>
        <w:ind w:firstLine="405" w:firstLineChars="192"/>
        <w:rPr>
          <w:rFonts w:ascii="宋体" w:hAnsi="宋体" w:cs="宋体"/>
          <w:b/>
          <w:snapToGrid w:val="0"/>
          <w:kern w:val="0"/>
          <w:szCs w:val="21"/>
        </w:rPr>
      </w:pPr>
      <w:r>
        <w:rPr>
          <w:rFonts w:hint="eastAsia" w:ascii="宋体" w:hAnsi="宋体" w:cs="宋体"/>
          <w:b/>
          <w:snapToGrid w:val="0"/>
          <w:kern w:val="0"/>
          <w:szCs w:val="21"/>
        </w:rPr>
        <w:t>十一、本合同一式柒份，甲方伍份，乙方贰份，具有同等法律效力。</w:t>
      </w:r>
    </w:p>
    <w:p w14:paraId="7D6FE9DF">
      <w:pPr>
        <w:wordWrap w:val="0"/>
        <w:spacing w:before="120" w:beforeLines="50" w:line="360" w:lineRule="auto"/>
        <w:ind w:firstLine="405" w:firstLineChars="192"/>
        <w:rPr>
          <w:rFonts w:ascii="宋体" w:hAnsi="宋体" w:cs="宋体"/>
          <w:b/>
          <w:snapToGrid w:val="0"/>
          <w:kern w:val="0"/>
          <w:szCs w:val="21"/>
        </w:rPr>
      </w:pPr>
      <w:r>
        <w:rPr>
          <w:rFonts w:hint="eastAsia" w:ascii="宋体" w:hAnsi="宋体" w:cs="宋体"/>
          <w:b/>
          <w:snapToGrid w:val="0"/>
          <w:kern w:val="0"/>
          <w:szCs w:val="21"/>
        </w:rPr>
        <w:t>十二、本合同自签订之日起生效，合同签订与执行地为甲方所在地。</w:t>
      </w:r>
    </w:p>
    <w:p w14:paraId="372B9EC8">
      <w:pPr>
        <w:wordWrap w:val="0"/>
        <w:spacing w:before="120" w:beforeLines="50" w:line="360" w:lineRule="auto"/>
        <w:ind w:firstLine="405" w:firstLineChars="192"/>
        <w:rPr>
          <w:rFonts w:ascii="宋体" w:hAnsi="宋体" w:cs="宋体"/>
          <w:b/>
          <w:snapToGrid w:val="0"/>
          <w:kern w:val="0"/>
          <w:szCs w:val="21"/>
        </w:rPr>
      </w:pPr>
      <w:r>
        <w:rPr>
          <w:rFonts w:hint="eastAsia" w:ascii="宋体" w:hAnsi="宋体" w:cs="宋体"/>
          <w:b/>
          <w:snapToGrid w:val="0"/>
          <w:kern w:val="0"/>
          <w:szCs w:val="21"/>
        </w:rPr>
        <w:t>十三、本合同不可分割之部分</w:t>
      </w:r>
    </w:p>
    <w:p w14:paraId="4C4B4B41">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（一）成交人的谈判响应文件；</w:t>
      </w:r>
    </w:p>
    <w:p w14:paraId="005114EF">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（二）成交通知书；</w:t>
      </w:r>
    </w:p>
    <w:p w14:paraId="1BD4411F">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（三）附件：1.售后服务承诺</w:t>
      </w:r>
    </w:p>
    <w:p w14:paraId="111A371C">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 xml:space="preserve">            2.保密协议</w:t>
      </w:r>
    </w:p>
    <w:p w14:paraId="01633048">
      <w:pPr>
        <w:rPr>
          <w:rFonts w:ascii="宋体" w:hAnsi="宋体"/>
          <w:snapToGrid w:val="0"/>
          <w:kern w:val="0"/>
          <w:szCs w:val="21"/>
        </w:rPr>
      </w:pPr>
      <w:r>
        <w:rPr>
          <w:rFonts w:hint="eastAsia" w:ascii="宋体" w:hAnsi="宋体"/>
          <w:snapToGrid w:val="0"/>
          <w:kern w:val="0"/>
          <w:szCs w:val="21"/>
        </w:rPr>
        <w:br w:type="page"/>
      </w:r>
    </w:p>
    <w:p w14:paraId="77D1BA59">
      <w:pPr>
        <w:pStyle w:val="169"/>
        <w:spacing w:before="0" w:beforeLines="0" w:after="0" w:afterLines="0" w:line="360" w:lineRule="auto"/>
        <w:ind w:firstLine="0" w:firstLineChars="0"/>
        <w:rPr>
          <w:rFonts w:ascii="宋体" w:hAnsi="宋体" w:cs="仿宋"/>
          <w:b/>
          <w:shd w:val="clear" w:color="auto" w:fill="FFFFFF"/>
          <w:lang w:bidi="ar"/>
        </w:rPr>
      </w:pPr>
      <w:r>
        <w:rPr>
          <w:rFonts w:hint="eastAsia" w:ascii="宋体" w:hAnsi="宋体" w:cs="仿宋"/>
          <w:b/>
          <w:shd w:val="clear" w:color="auto" w:fill="FFFFFF"/>
          <w:lang w:bidi="ar"/>
        </w:rPr>
        <w:t>附件2</w:t>
      </w:r>
    </w:p>
    <w:p w14:paraId="43E980DF">
      <w:pPr>
        <w:pStyle w:val="169"/>
        <w:spacing w:before="0" w:beforeLines="0" w:after="0" w:afterLines="0" w:line="360" w:lineRule="auto"/>
        <w:ind w:firstLine="0" w:firstLineChars="0"/>
        <w:jc w:val="center"/>
        <w:rPr>
          <w:rFonts w:ascii="宋体" w:hAnsi="宋体" w:cs="宋体"/>
          <w:b/>
        </w:rPr>
      </w:pPr>
      <w:r>
        <w:rPr>
          <w:rFonts w:hint="eastAsia" w:ascii="宋体" w:hAnsi="宋体" w:cs="宋体"/>
          <w:b/>
          <w:shd w:val="clear" w:color="auto" w:fill="FFFFFF"/>
          <w:lang w:bidi="ar"/>
        </w:rPr>
        <w:t>保密协议</w:t>
      </w:r>
    </w:p>
    <w:p w14:paraId="78276F88">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鉴于：乙方在参与“</w:t>
      </w:r>
      <w:r>
        <w:rPr>
          <w:rFonts w:hint="eastAsia" w:ascii="宋体" w:hAnsi="宋体"/>
          <w:snapToGrid w:val="0"/>
          <w:kern w:val="0"/>
          <w:szCs w:val="21"/>
          <w:lang w:eastAsia="zh-CN"/>
        </w:rPr>
        <w:t>云南开放大学云南省干部在线学习学院2025年建设项目—学习平台设备运维项目（二次）</w:t>
      </w:r>
      <w:r>
        <w:rPr>
          <w:rFonts w:hint="eastAsia" w:ascii="宋体" w:hAnsi="宋体"/>
          <w:snapToGrid w:val="0"/>
          <w:kern w:val="0"/>
          <w:szCs w:val="21"/>
        </w:rPr>
        <w:t>”期间，因服务工作开展需要对有关业务工作与业务资料进行调研、访谈和查阅，或者需要对有关系统进行测试、维护或使用相关系统账号对业务系统、设备进行调测、服务支持、检查、审计等操作时，双方就前述事宜中所涉及的保密信息达成以下一致：</w:t>
      </w:r>
    </w:p>
    <w:p w14:paraId="267C78DC">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1.本协议所称“保密信息”是指：系统账号（系统管理员账号、普通账号）和用以上账号可以获取有关系统、业务、用户的数据和信息、IP 地址、网络拓扑、业务流程、规章制度、资产重要性信息、项目输出等。包括但不限于：任何甲方不欲公开的观点、发现、发明、公式、程序、计划、图表、模型、参数、数据、标准和专有技术秘密，和其中的任何知识产权。</w:t>
      </w:r>
    </w:p>
    <w:p w14:paraId="2E2B8AB7">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2.甲方向乙方提供保密信息的行为不构成向乙方授予任何与保密信息相关的专利权、专利申请权、商标权、著作权、商业秘密或其它的知识产权。</w:t>
      </w:r>
    </w:p>
    <w:p w14:paraId="589CA127">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3.乙方承诺仅为咨询服务、设备调测、服务支持、调研、测试、项目成果输出等目的使用保密信息，不为任何其他目的使用保密信息。</w:t>
      </w:r>
    </w:p>
    <w:p w14:paraId="3A296BE7">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4.未经甲方的事先书面批准，乙方不得以任何形式或任何方式将保密信息和其中的任何部分，披露或透露给任何第三方。乙方有义务妥善保管保密信息，不得复制、泄漏或遗失。乙方亦不得依据保密信息，就任何问题，向任何第三方做出任何建议，并不得将甲方该项目的相关信息用于乙方开展其他项目招投标和建设内容。</w:t>
      </w:r>
    </w:p>
    <w:p w14:paraId="160D4505">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5.乙方违背保密承诺，未按照本协议的规定使用保密信息或向第三方披露保密信息，或依据该保密信息向第三方做出任何建议，都被视为乙方违反本协议。</w:t>
      </w:r>
    </w:p>
    <w:p w14:paraId="1C75A961">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6.如任何一方违反本协议，违约方应按照《中华人民共和国民法典》的相关规定承担违约责任。</w:t>
      </w:r>
    </w:p>
    <w:p w14:paraId="4545A5FD">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7.甲方保留在甲方认为必要的情况下收回所提供的保密信息及其使用权的权利。</w:t>
      </w:r>
    </w:p>
    <w:p w14:paraId="3EB247EA">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8.凡因执行本协议所发生的或与本协议有关的一切争议，双方应通过友好协商解决。如果协商不能解决时，申请本地仲裁机构依其仲裁时现行有效的仲裁规则进行。</w:t>
      </w:r>
    </w:p>
    <w:p w14:paraId="3E9C6058">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 xml:space="preserve">9.本保密协议对甲方和乙方所属和关联公司、机构都具有约束力。 </w:t>
      </w:r>
    </w:p>
    <w:p w14:paraId="0D89A63D">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10.对于本协议条款的修改，只有经双方书面签署后方可生效并对双方具有约束力。</w:t>
      </w:r>
    </w:p>
    <w:p w14:paraId="743DEB77">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11.乙方完成本项目相关工作，应自觉销毁所掌握保密数据，如因乙方原因造成信息外泄，所承担责任仍然不变。</w:t>
      </w:r>
    </w:p>
    <w:p w14:paraId="284C2FC4">
      <w:pPr>
        <w:pStyle w:val="160"/>
        <w:wordWrap w:val="0"/>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 xml:space="preserve">12.本保密协议不因合同的履行完毕、无效、终止、解除、撤销而失去效力。 </w:t>
      </w:r>
    </w:p>
    <w:p w14:paraId="3A9E0C75">
      <w:pPr>
        <w:pStyle w:val="160"/>
        <w:wordWrap w:val="0"/>
        <w:spacing w:line="360" w:lineRule="auto"/>
        <w:ind w:firstLine="420" w:firstLineChars="200"/>
        <w:jc w:val="left"/>
        <w:rPr>
          <w:rFonts w:ascii="宋体" w:hAnsi="宋体"/>
          <w:snapToGrid w:val="0"/>
          <w:kern w:val="0"/>
          <w:szCs w:val="21"/>
        </w:rPr>
      </w:pPr>
    </w:p>
    <w:p w14:paraId="4BE05890">
      <w:pPr>
        <w:pStyle w:val="160"/>
        <w:wordWrap w:val="0"/>
        <w:spacing w:line="360" w:lineRule="auto"/>
        <w:ind w:firstLine="420" w:firstLineChars="200"/>
        <w:jc w:val="left"/>
        <w:rPr>
          <w:rFonts w:ascii="宋体" w:hAnsi="宋体"/>
          <w:snapToGrid w:val="0"/>
          <w:kern w:val="0"/>
          <w:szCs w:val="21"/>
        </w:rPr>
      </w:pPr>
    </w:p>
    <w:p w14:paraId="05279CD7">
      <w:pPr>
        <w:pStyle w:val="25"/>
        <w:spacing w:line="360" w:lineRule="auto"/>
        <w:jc w:val="center"/>
        <w:rPr>
          <w:rFonts w:hAnsi="宋体" w:cs="宋体"/>
          <w:sz w:val="24"/>
          <w:szCs w:val="24"/>
        </w:rPr>
      </w:pPr>
      <w:r>
        <w:rPr>
          <w:rFonts w:hint="eastAsia" w:hAnsi="宋体" w:cs="宋体"/>
          <w:sz w:val="24"/>
          <w:szCs w:val="24"/>
        </w:rPr>
        <w:t xml:space="preserve">                              （乙方盖章签字）</w:t>
      </w:r>
    </w:p>
    <w:p w14:paraId="5DBFAD46">
      <w:pPr>
        <w:pStyle w:val="42"/>
        <w:spacing w:line="360" w:lineRule="auto"/>
        <w:ind w:firstLine="3120" w:firstLineChars="1300"/>
        <w:rPr>
          <w:rFonts w:ascii="宋体" w:hAnsi="宋体"/>
          <w:snapToGrid w:val="0"/>
          <w:szCs w:val="21"/>
        </w:rPr>
      </w:pPr>
      <w:r>
        <w:rPr>
          <w:rFonts w:hint="eastAsia" w:hAnsi="宋体" w:cs="宋体"/>
          <w:sz w:val="24"/>
          <w:szCs w:val="24"/>
        </w:rPr>
        <w:t xml:space="preserve">                  </w:t>
      </w:r>
      <w:r>
        <w:rPr>
          <w:rFonts w:hint="eastAsia" w:ascii="宋体" w:hAnsi="宋体" w:cs="宋体"/>
          <w:sz w:val="24"/>
        </w:rPr>
        <w:t>2025年    月    日</w:t>
      </w:r>
    </w:p>
    <w:p w14:paraId="7B5E902A">
      <w:pPr>
        <w:pStyle w:val="160"/>
        <w:wordWrap w:val="0"/>
        <w:spacing w:line="360" w:lineRule="auto"/>
        <w:ind w:firstLine="420" w:firstLineChars="200"/>
        <w:jc w:val="left"/>
        <w:rPr>
          <w:rFonts w:ascii="宋体" w:hAnsi="宋体"/>
          <w:snapToGrid w:val="0"/>
          <w:kern w:val="0"/>
          <w:szCs w:val="21"/>
        </w:rPr>
      </w:pPr>
    </w:p>
    <w:p w14:paraId="76E51445">
      <w:pPr>
        <w:rPr>
          <w:b/>
          <w:bCs/>
          <w:snapToGrid w:val="0"/>
          <w:kern w:val="0"/>
          <w:sz w:val="32"/>
          <w:szCs w:val="32"/>
        </w:rPr>
      </w:pPr>
      <w:r>
        <w:rPr>
          <w:rFonts w:hint="eastAsia" w:ascii="宋体" w:hAnsi="宋体" w:cs="宋体"/>
          <w:snapToGrid w:val="0"/>
          <w:kern w:val="0"/>
          <w:szCs w:val="21"/>
        </w:rPr>
        <w:br w:type="page"/>
      </w:r>
    </w:p>
    <w:p w14:paraId="6D005D59">
      <w:pPr>
        <w:pStyle w:val="6"/>
        <w:widowControl w:val="0"/>
        <w:wordWrap w:val="0"/>
        <w:spacing w:line="360" w:lineRule="auto"/>
        <w:ind w:firstLine="480"/>
        <w:rPr>
          <w:rFonts w:ascii="黑体" w:hAnsi="黑体" w:eastAsia="黑体"/>
          <w:snapToGrid w:val="0"/>
          <w:sz w:val="24"/>
          <w:szCs w:val="24"/>
        </w:rPr>
      </w:pPr>
      <w:r>
        <w:rPr>
          <w:rFonts w:hint="eastAsia" w:ascii="黑体" w:hAnsi="黑体" w:eastAsia="黑体"/>
          <w:snapToGrid w:val="0"/>
          <w:sz w:val="24"/>
          <w:szCs w:val="24"/>
        </w:rPr>
        <w:t>9.6 投诉</w:t>
      </w:r>
    </w:p>
    <w:bookmarkEnd w:id="107"/>
    <w:bookmarkEnd w:id="108"/>
    <w:bookmarkEnd w:id="116"/>
    <w:p w14:paraId="31A527C6">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质疑供应商对采购人、采购代理机构的答复不满意，或者采购人、采购代理机构未在规定时间内作出答复的，可以在答复期满后15个工作日内向财政局提出投诉。</w:t>
      </w:r>
    </w:p>
    <w:p w14:paraId="3B50B603">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投诉人投诉时，应当提交投诉书和必要的证明材料，并按照被投诉采购人、采购代理机构（以下简称被投诉人）和与投诉事项有关的供应商数量提供投诉书的副本。投诉书应当包括下列内容：</w:t>
      </w:r>
    </w:p>
    <w:p w14:paraId="69118745">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　　（一）投诉人和被投诉人的姓名或者名称、通讯地址、邮编、联系人及联系电话；</w:t>
      </w:r>
    </w:p>
    <w:p w14:paraId="34A9332F">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　　（二）质疑和质疑答复情况说明及相关证明材料；</w:t>
      </w:r>
    </w:p>
    <w:p w14:paraId="0DE2EB8F">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　　（三）具体、明确的投诉事项和与投诉事项相关的投诉请求；</w:t>
      </w:r>
    </w:p>
    <w:p w14:paraId="6BAA9CC0">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　　（四）事实依据；</w:t>
      </w:r>
    </w:p>
    <w:p w14:paraId="057BF78B">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　　（五）法律依据；</w:t>
      </w:r>
    </w:p>
    <w:p w14:paraId="5F433960">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　　（六）提起投诉的日期。</w:t>
      </w:r>
    </w:p>
    <w:p w14:paraId="5DCE5EEA">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投诉人为自然人的，应当由本人签字；投诉人为法人或者其他组织的，应当由法定代表人、主要负责人，或者其授权代表签字或者盖章，并加盖公章。</w:t>
      </w:r>
    </w:p>
    <w:p w14:paraId="7CEF629A">
      <w:pPr>
        <w:wordWrap w:val="0"/>
        <w:spacing w:line="360" w:lineRule="auto"/>
        <w:ind w:firstLine="472" w:firstLineChars="225"/>
        <w:rPr>
          <w:rFonts w:ascii="宋体" w:hAnsi="宋体"/>
          <w:snapToGrid w:val="0"/>
          <w:kern w:val="0"/>
          <w:szCs w:val="21"/>
        </w:rPr>
      </w:pPr>
    </w:p>
    <w:p w14:paraId="2255A046">
      <w:pPr>
        <w:pStyle w:val="5"/>
        <w:rPr>
          <w:snapToGrid w:val="0"/>
        </w:rPr>
      </w:pPr>
      <w:bookmarkStart w:id="173" w:name="_Toc260907981"/>
      <w:bookmarkStart w:id="174" w:name="_Toc260908197"/>
      <w:bookmarkStart w:id="175" w:name="_Toc184635080"/>
      <w:r>
        <w:rPr>
          <w:rFonts w:hint="eastAsia"/>
          <w:snapToGrid w:val="0"/>
        </w:rPr>
        <w:t>（十）政府采购需要落实的政策</w:t>
      </w:r>
      <w:bookmarkEnd w:id="173"/>
      <w:bookmarkEnd w:id="174"/>
      <w:bookmarkEnd w:id="175"/>
    </w:p>
    <w:p w14:paraId="7CC204B3">
      <w:pPr>
        <w:wordWrap w:val="0"/>
        <w:spacing w:line="360" w:lineRule="auto"/>
        <w:ind w:left="420" w:leftChars="200"/>
        <w:rPr>
          <w:rFonts w:ascii="宋体" w:hAnsi="宋体" w:cs="宋体"/>
          <w:snapToGrid w:val="0"/>
          <w:kern w:val="0"/>
          <w:szCs w:val="21"/>
        </w:rPr>
      </w:pPr>
      <w:r>
        <w:rPr>
          <w:rFonts w:ascii="宋体" w:hAnsi="宋体" w:cs="宋体"/>
          <w:snapToGrid w:val="0"/>
          <w:kern w:val="0"/>
          <w:szCs w:val="21"/>
        </w:rPr>
        <w:t>10</w:t>
      </w:r>
      <w:r>
        <w:rPr>
          <w:rFonts w:hint="eastAsia" w:ascii="宋体" w:hAnsi="宋体" w:cs="宋体"/>
          <w:snapToGrid w:val="0"/>
          <w:kern w:val="0"/>
          <w:szCs w:val="21"/>
        </w:rPr>
        <w:t>.1关于中小企业：</w:t>
      </w:r>
    </w:p>
    <w:p w14:paraId="5B3C755D">
      <w:pPr>
        <w:wordWrap w:val="0"/>
        <w:spacing w:line="360" w:lineRule="auto"/>
        <w:ind w:firstLine="420" w:firstLineChars="200"/>
        <w:rPr>
          <w:rFonts w:ascii="宋体" w:hAnsi="宋体" w:cs="宋体"/>
          <w:snapToGrid w:val="0"/>
          <w:kern w:val="0"/>
          <w:szCs w:val="21"/>
        </w:rPr>
      </w:pPr>
      <w:r>
        <w:rPr>
          <w:rFonts w:ascii="宋体" w:hAnsi="宋体" w:cs="宋体"/>
          <w:snapToGrid w:val="0"/>
          <w:kern w:val="0"/>
          <w:szCs w:val="21"/>
        </w:rPr>
        <w:t>10</w:t>
      </w:r>
      <w:r>
        <w:rPr>
          <w:rFonts w:hint="eastAsia" w:ascii="宋体" w:hAnsi="宋体" w:cs="宋体"/>
          <w:snapToGrid w:val="0"/>
          <w:kern w:val="0"/>
          <w:szCs w:val="21"/>
        </w:rPr>
        <w:t>.1.1中小微企业执行《关于印发〈政府采购促进中小企业发展管理办法〉的通知》（财库〔2020〕46号）和《关于进一步加大政府采购支持中小企业力度的通知》（财库〔2022〕19号）的规定。</w:t>
      </w:r>
    </w:p>
    <w:p w14:paraId="647E25CE">
      <w:pPr>
        <w:wordWrap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中小企业是指在中华人民共和国境内依法设立，依据国务院批准的中小企业划分标准确定的中型企业、小型企业和微型企业，但与大企业的负责人为同一人，或者与大企业存在直接控股、管理关系的除外。</w:t>
      </w:r>
    </w:p>
    <w:p w14:paraId="57DEAEDB">
      <w:pPr>
        <w:wordWrap w:val="0"/>
        <w:spacing w:line="360" w:lineRule="auto"/>
        <w:ind w:firstLine="420" w:firstLineChars="200"/>
        <w:rPr>
          <w:rFonts w:ascii="宋体" w:hAnsi="宋体" w:cs="宋体"/>
          <w:snapToGrid w:val="0"/>
          <w:kern w:val="0"/>
          <w:szCs w:val="21"/>
        </w:rPr>
      </w:pPr>
      <w:r>
        <w:rPr>
          <w:rFonts w:ascii="宋体" w:hAnsi="宋体" w:cs="宋体"/>
          <w:snapToGrid w:val="0"/>
          <w:kern w:val="0"/>
          <w:szCs w:val="21"/>
        </w:rPr>
        <w:t>10</w:t>
      </w:r>
      <w:r>
        <w:rPr>
          <w:rFonts w:hint="eastAsia" w:ascii="宋体" w:hAnsi="宋体" w:cs="宋体"/>
          <w:snapToGrid w:val="0"/>
          <w:kern w:val="0"/>
          <w:szCs w:val="21"/>
        </w:rPr>
        <w:t>.1.2符合中小企业划分标准的个体工商户，在政府采购活动中视同中小企业。</w:t>
      </w:r>
    </w:p>
    <w:p w14:paraId="70892544">
      <w:pPr>
        <w:wordWrap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10.1.3中、小、微型企业的须提供《中小企业声明函》，非中、小、微型企业的不需填写。</w:t>
      </w:r>
    </w:p>
    <w:p w14:paraId="30011434">
      <w:pPr>
        <w:wordWrap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10.1.4本项目针对小型和微型企业产品或服务的价格给予10%的扣除，用扣除后的价格参与评审。</w:t>
      </w:r>
    </w:p>
    <w:p w14:paraId="3D45C090">
      <w:pPr>
        <w:wordWrap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10.1.</w:t>
      </w:r>
      <w:r>
        <w:rPr>
          <w:rFonts w:ascii="宋体" w:hAnsi="宋体" w:cs="宋体"/>
          <w:snapToGrid w:val="0"/>
          <w:kern w:val="0"/>
          <w:szCs w:val="21"/>
        </w:rPr>
        <w:t>5</w:t>
      </w:r>
      <w:r>
        <w:rPr>
          <w:rFonts w:hint="eastAsia" w:ascii="宋体" w:hAnsi="宋体" w:cs="宋体"/>
          <w:snapToGrid w:val="0"/>
          <w:kern w:val="0"/>
          <w:szCs w:val="21"/>
        </w:rPr>
        <w:t>本项目中小企业划分标准行业：</w:t>
      </w:r>
      <w:r>
        <w:rPr>
          <w:rFonts w:ascii="宋体" w:hAnsi="宋体" w:cs="宋体"/>
          <w:snapToGrid w:val="0"/>
          <w:kern w:val="0"/>
          <w:szCs w:val="21"/>
        </w:rPr>
        <w:t>见招标公告第</w:t>
      </w:r>
      <w:r>
        <w:rPr>
          <w:rFonts w:hint="eastAsia" w:ascii="宋体" w:hAnsi="宋体" w:cs="宋体"/>
          <w:snapToGrid w:val="0"/>
          <w:kern w:val="0"/>
          <w:szCs w:val="21"/>
        </w:rPr>
        <w:t>2.1条。</w:t>
      </w:r>
    </w:p>
    <w:p w14:paraId="1265D576">
      <w:pPr>
        <w:wordWrap w:val="0"/>
        <w:spacing w:line="360" w:lineRule="auto"/>
        <w:ind w:left="420" w:leftChars="200"/>
        <w:rPr>
          <w:rFonts w:ascii="宋体" w:hAnsi="宋体" w:cs="宋体"/>
          <w:snapToGrid w:val="0"/>
          <w:kern w:val="0"/>
          <w:szCs w:val="21"/>
        </w:rPr>
      </w:pPr>
      <w:r>
        <w:rPr>
          <w:rFonts w:ascii="宋体" w:hAnsi="宋体" w:cs="宋体"/>
          <w:snapToGrid w:val="0"/>
          <w:kern w:val="0"/>
          <w:szCs w:val="21"/>
        </w:rPr>
        <w:t>10</w:t>
      </w:r>
      <w:r>
        <w:rPr>
          <w:rFonts w:hint="eastAsia" w:ascii="宋体" w:hAnsi="宋体" w:cs="宋体"/>
          <w:snapToGrid w:val="0"/>
          <w:kern w:val="0"/>
          <w:szCs w:val="21"/>
        </w:rPr>
        <w:t>.2关于监狱企业：</w:t>
      </w:r>
    </w:p>
    <w:p w14:paraId="2ABAFF5D">
      <w:pPr>
        <w:wordWrap w:val="0"/>
        <w:spacing w:line="360" w:lineRule="auto"/>
        <w:ind w:firstLine="420" w:firstLineChars="200"/>
        <w:rPr>
          <w:rFonts w:ascii="宋体" w:hAnsi="宋体" w:cs="宋体"/>
          <w:snapToGrid w:val="0"/>
          <w:kern w:val="0"/>
          <w:szCs w:val="21"/>
        </w:rPr>
      </w:pPr>
      <w:r>
        <w:rPr>
          <w:rFonts w:ascii="宋体" w:hAnsi="宋体" w:cs="宋体"/>
          <w:snapToGrid w:val="0"/>
          <w:kern w:val="0"/>
          <w:szCs w:val="21"/>
        </w:rPr>
        <w:t>10</w:t>
      </w:r>
      <w:r>
        <w:rPr>
          <w:rFonts w:hint="eastAsia" w:ascii="宋体" w:hAnsi="宋体" w:cs="宋体"/>
          <w:snapToGrid w:val="0"/>
          <w:kern w:val="0"/>
          <w:szCs w:val="21"/>
        </w:rPr>
        <w:t>.2.1根据《财政部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C13FCA6">
      <w:pPr>
        <w:wordWrap w:val="0"/>
        <w:spacing w:line="360" w:lineRule="auto"/>
        <w:ind w:firstLine="420" w:firstLineChars="200"/>
        <w:rPr>
          <w:rFonts w:ascii="宋体" w:hAnsi="宋体" w:cs="宋体"/>
          <w:snapToGrid w:val="0"/>
          <w:kern w:val="0"/>
          <w:szCs w:val="21"/>
        </w:rPr>
      </w:pPr>
      <w:r>
        <w:rPr>
          <w:rFonts w:ascii="宋体" w:hAnsi="宋体" w:cs="宋体"/>
          <w:snapToGrid w:val="0"/>
          <w:kern w:val="0"/>
          <w:szCs w:val="21"/>
        </w:rPr>
        <w:t>10</w:t>
      </w:r>
      <w:r>
        <w:rPr>
          <w:rFonts w:hint="eastAsia" w:ascii="宋体" w:hAnsi="宋体" w:cs="宋体"/>
          <w:snapToGrid w:val="0"/>
          <w:kern w:val="0"/>
          <w:szCs w:val="21"/>
        </w:rPr>
        <w:t>.2.2监狱企业参加政府采购活动时，应当提供由省级以上监狱管理局、戒毒管理局（含新疆生产建设兵团）出具的属于监狱企业的证明文件。</w:t>
      </w:r>
    </w:p>
    <w:p w14:paraId="24528785">
      <w:pPr>
        <w:wordWrap w:val="0"/>
        <w:spacing w:line="400" w:lineRule="exact"/>
        <w:ind w:left="420" w:leftChars="200"/>
        <w:rPr>
          <w:rFonts w:ascii="宋体" w:hAnsi="宋体" w:cs="宋体"/>
          <w:snapToGrid w:val="0"/>
          <w:kern w:val="0"/>
          <w:szCs w:val="21"/>
        </w:rPr>
      </w:pPr>
      <w:r>
        <w:rPr>
          <w:rFonts w:ascii="宋体" w:hAnsi="宋体" w:cs="宋体"/>
          <w:snapToGrid w:val="0"/>
          <w:kern w:val="0"/>
          <w:szCs w:val="21"/>
        </w:rPr>
        <w:t>10</w:t>
      </w:r>
      <w:r>
        <w:rPr>
          <w:rFonts w:hint="eastAsia" w:ascii="宋体" w:hAnsi="宋体" w:cs="宋体"/>
          <w:snapToGrid w:val="0"/>
          <w:kern w:val="0"/>
          <w:szCs w:val="21"/>
        </w:rPr>
        <w:t>.3关于残疾人福利性单位：</w:t>
      </w:r>
    </w:p>
    <w:p w14:paraId="44786655">
      <w:pPr>
        <w:wordWrap w:val="0"/>
        <w:spacing w:line="400" w:lineRule="exact"/>
        <w:ind w:firstLine="420" w:firstLineChars="200"/>
        <w:rPr>
          <w:rFonts w:ascii="宋体" w:hAnsi="宋体" w:cs="宋体"/>
          <w:snapToGrid w:val="0"/>
          <w:kern w:val="0"/>
          <w:szCs w:val="21"/>
        </w:rPr>
      </w:pPr>
      <w:r>
        <w:rPr>
          <w:rFonts w:ascii="宋体" w:hAnsi="宋体" w:cs="宋体"/>
          <w:snapToGrid w:val="0"/>
          <w:kern w:val="0"/>
          <w:szCs w:val="21"/>
        </w:rPr>
        <w:t>10</w:t>
      </w:r>
      <w:r>
        <w:rPr>
          <w:rFonts w:hint="eastAsia" w:ascii="宋体" w:hAnsi="宋体" w:cs="宋体"/>
          <w:snapToGrid w:val="0"/>
          <w:kern w:val="0"/>
          <w:szCs w:val="21"/>
        </w:rPr>
        <w:t>.3.1根据《三部门联合发布关于促进残疾人就业政府采购政策的通知》（财库〔2017〕141号）的规定，享受政府采购支持政策的残疾人福利性单位应当同时满足以下条件：</w:t>
      </w:r>
    </w:p>
    <w:p w14:paraId="1A5BBBF8">
      <w:pPr>
        <w:wordWrap w:val="0"/>
        <w:spacing w:line="400" w:lineRule="exact"/>
        <w:ind w:firstLine="420" w:firstLineChars="200"/>
        <w:rPr>
          <w:rFonts w:ascii="宋体" w:hAnsi="宋体" w:cs="宋体"/>
          <w:snapToGrid w:val="0"/>
          <w:kern w:val="0"/>
          <w:szCs w:val="21"/>
        </w:rPr>
      </w:pPr>
      <w:r>
        <w:rPr>
          <w:rFonts w:hint="eastAsia" w:ascii="宋体" w:hAnsi="宋体" w:cs="宋体"/>
          <w:snapToGrid w:val="0"/>
          <w:kern w:val="0"/>
          <w:szCs w:val="21"/>
        </w:rPr>
        <w:t>（一）安置的残疾人占本单位在职职工人数的比例不低于25%（含25%），并且安置的残疾人人数不少于10人（含10人）；</w:t>
      </w:r>
    </w:p>
    <w:p w14:paraId="18E9BD88">
      <w:pPr>
        <w:wordWrap w:val="0"/>
        <w:spacing w:line="400" w:lineRule="exact"/>
        <w:ind w:left="420" w:leftChars="200"/>
        <w:rPr>
          <w:rFonts w:ascii="宋体" w:hAnsi="宋体" w:cs="宋体"/>
          <w:snapToGrid w:val="0"/>
          <w:kern w:val="0"/>
          <w:szCs w:val="21"/>
        </w:rPr>
      </w:pPr>
      <w:r>
        <w:rPr>
          <w:rFonts w:hint="eastAsia" w:ascii="宋体" w:hAnsi="宋体" w:cs="宋体"/>
          <w:snapToGrid w:val="0"/>
          <w:kern w:val="0"/>
          <w:szCs w:val="21"/>
        </w:rPr>
        <w:t>（二）依法与安置的每位残疾人签订了一年以上（含一年）的劳动合同或服务协议；</w:t>
      </w:r>
    </w:p>
    <w:p w14:paraId="04CD4463">
      <w:pPr>
        <w:wordWrap w:val="0"/>
        <w:spacing w:line="400" w:lineRule="exact"/>
        <w:ind w:firstLine="420" w:firstLineChars="200"/>
        <w:rPr>
          <w:rFonts w:ascii="宋体" w:hAnsi="宋体" w:cs="宋体"/>
          <w:snapToGrid w:val="0"/>
          <w:kern w:val="0"/>
          <w:szCs w:val="21"/>
        </w:rPr>
      </w:pPr>
      <w:r>
        <w:rPr>
          <w:rFonts w:hint="eastAsia" w:ascii="宋体" w:hAnsi="宋体" w:cs="宋体"/>
          <w:snapToGrid w:val="0"/>
          <w:kern w:val="0"/>
          <w:szCs w:val="21"/>
        </w:rPr>
        <w:t>（三）为安置的每位残疾人按月足额缴纳了基本养老保险、基本医疗保险、失业保险、工伤保险和生育保险等社会保险费；</w:t>
      </w:r>
    </w:p>
    <w:p w14:paraId="28FD2A76">
      <w:pPr>
        <w:wordWrap w:val="0"/>
        <w:spacing w:line="400" w:lineRule="exact"/>
        <w:ind w:firstLine="420" w:firstLineChars="200"/>
        <w:rPr>
          <w:rFonts w:ascii="宋体" w:hAnsi="宋体" w:cs="宋体"/>
          <w:snapToGrid w:val="0"/>
          <w:kern w:val="0"/>
          <w:szCs w:val="21"/>
        </w:rPr>
      </w:pPr>
      <w:r>
        <w:rPr>
          <w:rFonts w:hint="eastAsia" w:ascii="宋体" w:hAnsi="宋体" w:cs="宋体"/>
          <w:snapToGrid w:val="0"/>
          <w:kern w:val="0"/>
          <w:szCs w:val="21"/>
        </w:rPr>
        <w:t>（四）通过银行等金融机构向安置的每位残疾人，按月支付了不低于单位所在区县适用的经省级人民政府批准的月最低工资标准的工资；</w:t>
      </w:r>
    </w:p>
    <w:p w14:paraId="3378B934">
      <w:pPr>
        <w:wordWrap w:val="0"/>
        <w:spacing w:line="400" w:lineRule="exact"/>
        <w:ind w:firstLine="420" w:firstLineChars="200"/>
        <w:rPr>
          <w:rFonts w:ascii="宋体" w:hAnsi="宋体" w:cs="宋体"/>
          <w:snapToGrid w:val="0"/>
          <w:kern w:val="0"/>
          <w:szCs w:val="21"/>
        </w:rPr>
      </w:pPr>
      <w:r>
        <w:rPr>
          <w:rFonts w:hint="eastAsia" w:ascii="宋体" w:hAnsi="宋体" w:cs="宋体"/>
          <w:snapToGrid w:val="0"/>
          <w:kern w:val="0"/>
          <w:szCs w:val="21"/>
        </w:rPr>
        <w:t>（五）提供本单位制造的货物、承担的工程或者服务（以下简称产品），或者提供其他残疾人福利性单位制造的货物（不包括使用非残疾人福利性单位注册商标的货物）。</w:t>
      </w:r>
    </w:p>
    <w:p w14:paraId="139477A3">
      <w:pPr>
        <w:wordWrap w:val="0"/>
        <w:spacing w:line="400" w:lineRule="exact"/>
        <w:ind w:firstLine="420" w:firstLineChars="200"/>
        <w:rPr>
          <w:rFonts w:ascii="宋体" w:hAnsi="宋体" w:cs="宋体"/>
          <w:snapToGrid w:val="0"/>
          <w:kern w:val="0"/>
          <w:szCs w:val="21"/>
        </w:rPr>
      </w:pPr>
      <w:r>
        <w:rPr>
          <w:rFonts w:hint="eastAsia" w:ascii="宋体" w:hAnsi="宋体" w:cs="宋体"/>
          <w:snapToGrid w:val="0"/>
          <w:kern w:val="0"/>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70EDAED">
      <w:pPr>
        <w:wordWrap w:val="0"/>
        <w:spacing w:line="400" w:lineRule="exact"/>
        <w:ind w:firstLine="420" w:firstLineChars="200"/>
        <w:rPr>
          <w:rFonts w:ascii="宋体" w:hAnsi="宋体" w:cs="宋体"/>
          <w:snapToGrid w:val="0"/>
          <w:kern w:val="0"/>
          <w:szCs w:val="21"/>
        </w:rPr>
      </w:pPr>
      <w:r>
        <w:rPr>
          <w:rFonts w:ascii="宋体" w:hAnsi="宋体" w:cs="宋体"/>
          <w:snapToGrid w:val="0"/>
          <w:kern w:val="0"/>
          <w:szCs w:val="21"/>
        </w:rPr>
        <w:t>10</w:t>
      </w:r>
      <w:r>
        <w:rPr>
          <w:rFonts w:hint="eastAsia" w:ascii="宋体" w:hAnsi="宋体" w:cs="宋体"/>
          <w:snapToGrid w:val="0"/>
          <w:kern w:val="0"/>
          <w:szCs w:val="21"/>
        </w:rPr>
        <w:t>.3.2符合条件的残疾人福利性单位在参加政府采购活动时，应当按《三部门联合发布关于促进残疾人就业政府采购政策的通知》（财库〔2017〕141号）提供规定的《残疾人福利性单位声明函》，并对声明的真实性负责，若提供的《残疾人福利性单位声明函》与事实不符的，依照《政府采购法》第七十七条第一款的规定追究法律责任。</w:t>
      </w:r>
    </w:p>
    <w:p w14:paraId="7532AF3E">
      <w:pPr>
        <w:pStyle w:val="18"/>
      </w:pPr>
    </w:p>
    <w:p w14:paraId="0AB883C8">
      <w:pPr>
        <w:wordWrap w:val="0"/>
        <w:rPr>
          <w:snapToGrid w:val="0"/>
          <w:kern w:val="0"/>
        </w:rPr>
      </w:pPr>
    </w:p>
    <w:p w14:paraId="1AAAC4EF">
      <w:pPr>
        <w:wordWrap w:val="0"/>
        <w:spacing w:line="400" w:lineRule="exact"/>
        <w:ind w:firstLine="562" w:firstLineChars="200"/>
        <w:jc w:val="center"/>
        <w:rPr>
          <w:rFonts w:ascii="Arial" w:hAnsi="Arial" w:eastAsia="黑体"/>
          <w:b/>
          <w:bCs/>
          <w:snapToGrid w:val="0"/>
          <w:kern w:val="0"/>
          <w:sz w:val="28"/>
          <w:szCs w:val="28"/>
        </w:rPr>
      </w:pPr>
      <w:r>
        <w:rPr>
          <w:rFonts w:hint="eastAsia" w:ascii="Arial" w:hAnsi="Arial" w:eastAsia="黑体"/>
          <w:b/>
          <w:bCs/>
          <w:snapToGrid w:val="0"/>
          <w:kern w:val="0"/>
          <w:sz w:val="28"/>
          <w:szCs w:val="28"/>
        </w:rPr>
        <w:t>（十一）其他需要补充的内容</w:t>
      </w:r>
    </w:p>
    <w:p w14:paraId="263FF6AC">
      <w:pPr>
        <w:wordWrap w:val="0"/>
        <w:spacing w:line="360" w:lineRule="auto"/>
        <w:ind w:left="420" w:leftChars="200"/>
        <w:rPr>
          <w:rFonts w:ascii="宋体" w:hAnsi="宋体" w:cs="宋体"/>
          <w:snapToGrid w:val="0"/>
          <w:kern w:val="0"/>
          <w:szCs w:val="21"/>
        </w:rPr>
      </w:pPr>
      <w:r>
        <w:rPr>
          <w:rFonts w:hint="eastAsia" w:ascii="宋体" w:hAnsi="宋体" w:cs="宋体"/>
          <w:snapToGrid w:val="0"/>
          <w:kern w:val="0"/>
          <w:szCs w:val="21"/>
        </w:rPr>
        <w:t>见供应商须知前附表。</w:t>
      </w:r>
    </w:p>
    <w:p w14:paraId="52A54EBC"/>
    <w:p w14:paraId="60BE8006">
      <w:pPr>
        <w:widowControl/>
        <w:jc w:val="left"/>
        <w:rPr>
          <w:kern w:val="0"/>
          <w:sz w:val="20"/>
          <w:szCs w:val="20"/>
        </w:rPr>
      </w:pPr>
      <w:r>
        <w:br w:type="page"/>
      </w:r>
    </w:p>
    <w:p w14:paraId="0423D907">
      <w:pPr>
        <w:pStyle w:val="3"/>
        <w:widowControl w:val="0"/>
        <w:snapToGrid w:val="0"/>
        <w:spacing w:line="360" w:lineRule="auto"/>
        <w:jc w:val="center"/>
        <w:rPr>
          <w:rFonts w:ascii="黑体"/>
          <w:snapToGrid w:val="0"/>
        </w:rPr>
      </w:pPr>
      <w:bookmarkStart w:id="176" w:name="_Toc496"/>
      <w:r>
        <w:rPr>
          <w:rFonts w:hint="eastAsia" w:ascii="黑体"/>
          <w:snapToGrid w:val="0"/>
        </w:rPr>
        <w:t>第六章  采购需求</w:t>
      </w:r>
      <w:bookmarkEnd w:id="176"/>
    </w:p>
    <w:p w14:paraId="685D0162">
      <w:pPr>
        <w:pStyle w:val="4"/>
        <w:jc w:val="left"/>
      </w:pPr>
      <w:bookmarkStart w:id="177" w:name="_Toc3043"/>
      <w:r>
        <w:rPr>
          <w:rFonts w:hint="eastAsia"/>
        </w:rPr>
        <w:t>一、简要概况</w:t>
      </w:r>
      <w:bookmarkEnd w:id="177"/>
    </w:p>
    <w:p w14:paraId="24506203">
      <w:pPr>
        <w:wordWrap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为持续提供云南省干部在线学习平台稳定、安全、优质的在线学习服务，完成好云南省委组织部下发的干部在线教育培训任务，结合学院2025年工作规划要点、经费预算、业务开展需求等实情，以及常态化开展学习平台设备运维工作需要，拟开展“云南开放大学云南省干部在线学习学院2025年建设项目——学习平台设备运维项目”建设，项目主要包括学习平台（数据中心）硬件设备维保和安全运维服务等26项服务内容，由第三方公司组织专业技术人员提供云南省干部在线学习平台（数据中心）设备维保和网络安全运维服务。</w:t>
      </w:r>
    </w:p>
    <w:p w14:paraId="73699952">
      <w:pPr>
        <w:wordWrap w:val="0"/>
        <w:spacing w:line="360" w:lineRule="auto"/>
        <w:ind w:firstLine="420" w:firstLineChars="200"/>
        <w:rPr>
          <w:rFonts w:ascii="宋体" w:hAnsi="宋体" w:cs="宋体"/>
          <w:snapToGrid w:val="0"/>
          <w:kern w:val="0"/>
          <w:szCs w:val="21"/>
        </w:rPr>
      </w:pPr>
    </w:p>
    <w:p w14:paraId="770D7CA5">
      <w:pPr>
        <w:pStyle w:val="4"/>
        <w:jc w:val="left"/>
      </w:pPr>
      <w:bookmarkStart w:id="178" w:name="_Toc20295"/>
      <w:r>
        <w:rPr>
          <w:rFonts w:hint="eastAsia"/>
        </w:rPr>
        <w:t>二、需执行的国家相关标准、行业标准及规范</w:t>
      </w:r>
      <w:bookmarkEnd w:id="178"/>
    </w:p>
    <w:p w14:paraId="2DBD1257">
      <w:pPr>
        <w:wordWrap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符合国家相关标准、行业标准及规范。</w:t>
      </w:r>
    </w:p>
    <w:p w14:paraId="527B3039">
      <w:pPr>
        <w:wordWrap w:val="0"/>
        <w:spacing w:line="360" w:lineRule="auto"/>
        <w:ind w:firstLine="420" w:firstLineChars="200"/>
        <w:rPr>
          <w:rFonts w:ascii="宋体" w:hAnsi="宋体" w:cs="宋体"/>
          <w:snapToGrid w:val="0"/>
          <w:kern w:val="0"/>
          <w:szCs w:val="21"/>
        </w:rPr>
      </w:pPr>
    </w:p>
    <w:p w14:paraId="5E3CFA68">
      <w:pPr>
        <w:pStyle w:val="4"/>
        <w:jc w:val="left"/>
      </w:pPr>
      <w:bookmarkStart w:id="179" w:name="_Toc10136"/>
      <w:r>
        <w:rPr>
          <w:rFonts w:hint="eastAsia"/>
        </w:rPr>
        <w:t>三、服务内容</w:t>
      </w:r>
      <w:bookmarkEnd w:id="179"/>
    </w:p>
    <w:tbl>
      <w:tblPr>
        <w:tblStyle w:val="50"/>
        <w:tblW w:w="5000" w:type="pct"/>
        <w:tblInd w:w="0" w:type="dxa"/>
        <w:tblLayout w:type="fixed"/>
        <w:tblCellMar>
          <w:top w:w="0" w:type="dxa"/>
          <w:left w:w="108" w:type="dxa"/>
          <w:bottom w:w="0" w:type="dxa"/>
          <w:right w:w="108" w:type="dxa"/>
        </w:tblCellMar>
      </w:tblPr>
      <w:tblGrid>
        <w:gridCol w:w="1644"/>
        <w:gridCol w:w="6209"/>
        <w:gridCol w:w="849"/>
        <w:gridCol w:w="585"/>
      </w:tblGrid>
      <w:tr w14:paraId="64C7B982">
        <w:tblPrEx>
          <w:tblCellMar>
            <w:top w:w="0" w:type="dxa"/>
            <w:left w:w="108" w:type="dxa"/>
            <w:bottom w:w="0" w:type="dxa"/>
            <w:right w:w="108" w:type="dxa"/>
          </w:tblCellMar>
        </w:tblPrEx>
        <w:trPr>
          <w:trHeight w:val="788" w:hRule="atLeast"/>
        </w:trPr>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96870">
            <w:pPr>
              <w:spacing w:line="300" w:lineRule="auto"/>
              <w:jc w:val="center"/>
              <w:rPr>
                <w:b/>
                <w:bCs/>
                <w:szCs w:val="21"/>
              </w:rPr>
            </w:pPr>
            <w:r>
              <w:rPr>
                <w:b/>
                <w:bCs/>
                <w:szCs w:val="21"/>
              </w:rPr>
              <w:t>分项名称</w:t>
            </w:r>
          </w:p>
        </w:tc>
        <w:tc>
          <w:tcPr>
            <w:tcW w:w="3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F8FC1">
            <w:pPr>
              <w:spacing w:line="300" w:lineRule="auto"/>
              <w:jc w:val="center"/>
              <w:rPr>
                <w:b/>
                <w:bCs/>
                <w:szCs w:val="21"/>
              </w:rPr>
            </w:pPr>
            <w:r>
              <w:rPr>
                <w:b/>
                <w:bCs/>
                <w:szCs w:val="21"/>
              </w:rPr>
              <w:t>维保服务内容及要求</w:t>
            </w:r>
          </w:p>
        </w:tc>
        <w:tc>
          <w:tcPr>
            <w:tcW w:w="4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3DEEB">
            <w:pPr>
              <w:spacing w:line="300" w:lineRule="auto"/>
              <w:jc w:val="center"/>
              <w:rPr>
                <w:b/>
                <w:bCs/>
                <w:szCs w:val="21"/>
              </w:rPr>
            </w:pPr>
            <w:r>
              <w:rPr>
                <w:b/>
                <w:bCs/>
                <w:szCs w:val="21"/>
              </w:rPr>
              <w:t>数量</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FF868">
            <w:pPr>
              <w:spacing w:line="300" w:lineRule="auto"/>
              <w:jc w:val="center"/>
              <w:rPr>
                <w:b/>
                <w:bCs/>
                <w:szCs w:val="21"/>
              </w:rPr>
            </w:pPr>
            <w:r>
              <w:rPr>
                <w:b/>
                <w:bCs/>
                <w:szCs w:val="21"/>
              </w:rPr>
              <w:t>计量单位</w:t>
            </w:r>
          </w:p>
        </w:tc>
      </w:tr>
      <w:tr w14:paraId="621CD81F">
        <w:tblPrEx>
          <w:tblCellMar>
            <w:top w:w="0" w:type="dxa"/>
            <w:left w:w="108" w:type="dxa"/>
            <w:bottom w:w="0" w:type="dxa"/>
            <w:right w:w="108" w:type="dxa"/>
          </w:tblCellMar>
        </w:tblPrEx>
        <w:trPr>
          <w:trHeight w:val="995" w:hRule="atLeast"/>
        </w:trPr>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B99B8D">
            <w:pPr>
              <w:spacing w:line="300" w:lineRule="auto"/>
              <w:rPr>
                <w:szCs w:val="21"/>
              </w:rPr>
            </w:pPr>
            <w:r>
              <w:rPr>
                <w:rFonts w:hint="eastAsia"/>
                <w:szCs w:val="21"/>
              </w:rPr>
              <w:t>EMC DS-300B-8G光纤交换机EMC维保</w:t>
            </w:r>
          </w:p>
        </w:tc>
        <w:tc>
          <w:tcPr>
            <w:tcW w:w="3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DB51DE">
            <w:pPr>
              <w:spacing w:line="300" w:lineRule="auto"/>
              <w:rPr>
                <w:szCs w:val="21"/>
              </w:rPr>
            </w:pPr>
            <w:r>
              <w:rPr>
                <w:szCs w:val="21"/>
              </w:rPr>
              <w:t>EMC DS-300B-8G交换机供应商维保</w:t>
            </w:r>
            <w:r>
              <w:rPr>
                <w:rFonts w:hint="eastAsia"/>
                <w:szCs w:val="21"/>
              </w:rPr>
              <w:t>一年</w:t>
            </w:r>
            <w:r>
              <w:rPr>
                <w:szCs w:val="21"/>
              </w:rPr>
              <w:t>。</w:t>
            </w:r>
          </w:p>
        </w:tc>
        <w:tc>
          <w:tcPr>
            <w:tcW w:w="4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74FB0">
            <w:pPr>
              <w:spacing w:line="300" w:lineRule="auto"/>
              <w:jc w:val="center"/>
              <w:rPr>
                <w:szCs w:val="21"/>
              </w:rPr>
            </w:pPr>
            <w:r>
              <w:rPr>
                <w:rFonts w:hint="eastAsia"/>
                <w:szCs w:val="21"/>
              </w:rPr>
              <w:t>2</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A79D77">
            <w:pPr>
              <w:spacing w:line="300" w:lineRule="auto"/>
              <w:jc w:val="center"/>
              <w:rPr>
                <w:szCs w:val="21"/>
              </w:rPr>
            </w:pPr>
            <w:r>
              <w:rPr>
                <w:szCs w:val="21"/>
              </w:rPr>
              <w:t>项</w:t>
            </w:r>
          </w:p>
        </w:tc>
      </w:tr>
      <w:tr w14:paraId="41920AA6">
        <w:tblPrEx>
          <w:tblCellMar>
            <w:top w:w="0" w:type="dxa"/>
            <w:left w:w="108" w:type="dxa"/>
            <w:bottom w:w="0" w:type="dxa"/>
            <w:right w:w="108" w:type="dxa"/>
          </w:tblCellMar>
        </w:tblPrEx>
        <w:trPr>
          <w:trHeight w:val="1785" w:hRule="atLeast"/>
        </w:trPr>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3FBA03">
            <w:pPr>
              <w:spacing w:line="300" w:lineRule="auto"/>
              <w:jc w:val="left"/>
              <w:rPr>
                <w:szCs w:val="21"/>
              </w:rPr>
            </w:pPr>
            <w:r>
              <w:rPr>
                <w:rFonts w:hint="eastAsia"/>
                <w:szCs w:val="21"/>
              </w:rPr>
              <w:t>H3C S10506交换机维保</w:t>
            </w:r>
          </w:p>
        </w:tc>
        <w:tc>
          <w:tcPr>
            <w:tcW w:w="3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E26314">
            <w:pPr>
              <w:spacing w:line="300" w:lineRule="auto"/>
              <w:rPr>
                <w:szCs w:val="21"/>
              </w:rPr>
            </w:pPr>
            <w:r>
              <w:rPr>
                <w:szCs w:val="21"/>
              </w:rPr>
              <w:t>H3C S10506交换机设备提供供应商维保服务。服务范围包括主机、引擎、板卡、模块、电源等配件，服务内容包括：服务期内免费提供硬件维修和更换服务，7*24覆盖，实时响应服务；7*24覆盖的远程问题处理服务；提供在线技术信息共享和补丁下载服务；提供主机版本软件的维护版本更新授权服务；提供7*10*ND（Next Day，下一日）的备件先行、现场工程师硬件更换、现场问题处理服务。维保期内更换过的部件，提供更换之日起90天的维保服务，或者继续获得原有的剩余维保服务，以两者中较长时间为准。维保</w:t>
            </w:r>
            <w:r>
              <w:rPr>
                <w:rFonts w:hint="eastAsia"/>
                <w:szCs w:val="21"/>
              </w:rPr>
              <w:t>服务期限为自启用服务之日起一年</w:t>
            </w:r>
            <w:r>
              <w:rPr>
                <w:szCs w:val="21"/>
              </w:rPr>
              <w:t>。</w:t>
            </w:r>
          </w:p>
        </w:tc>
        <w:tc>
          <w:tcPr>
            <w:tcW w:w="4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D4D12">
            <w:pPr>
              <w:spacing w:line="300" w:lineRule="auto"/>
              <w:jc w:val="center"/>
              <w:rPr>
                <w:szCs w:val="21"/>
              </w:rPr>
            </w:pPr>
            <w:r>
              <w:rPr>
                <w:rFonts w:hint="eastAsia"/>
                <w:szCs w:val="21"/>
              </w:rPr>
              <w:t>2</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97BE89">
            <w:pPr>
              <w:spacing w:line="300" w:lineRule="auto"/>
              <w:jc w:val="center"/>
              <w:rPr>
                <w:szCs w:val="21"/>
              </w:rPr>
            </w:pPr>
            <w:r>
              <w:rPr>
                <w:szCs w:val="21"/>
              </w:rPr>
              <w:t>项</w:t>
            </w:r>
          </w:p>
        </w:tc>
      </w:tr>
      <w:tr w14:paraId="29643C63">
        <w:tblPrEx>
          <w:tblCellMar>
            <w:top w:w="0" w:type="dxa"/>
            <w:left w:w="108" w:type="dxa"/>
            <w:bottom w:w="0" w:type="dxa"/>
            <w:right w:w="108" w:type="dxa"/>
          </w:tblCellMar>
        </w:tblPrEx>
        <w:trPr>
          <w:trHeight w:val="4817" w:hRule="atLeast"/>
        </w:trPr>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E8F09F">
            <w:pPr>
              <w:spacing w:line="300" w:lineRule="auto"/>
              <w:jc w:val="left"/>
              <w:rPr>
                <w:szCs w:val="21"/>
              </w:rPr>
            </w:pPr>
            <w:r>
              <w:rPr>
                <w:rFonts w:hint="eastAsia"/>
                <w:szCs w:val="21"/>
              </w:rPr>
              <w:t>重庆共发机房动力和环境集中监控动环系统维保</w:t>
            </w:r>
          </w:p>
        </w:tc>
        <w:tc>
          <w:tcPr>
            <w:tcW w:w="3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59B570">
            <w:pPr>
              <w:spacing w:line="300" w:lineRule="auto"/>
              <w:rPr>
                <w:szCs w:val="21"/>
              </w:rPr>
            </w:pPr>
            <w:r>
              <w:rPr>
                <w:rFonts w:hint="eastAsia"/>
                <w:szCs w:val="21"/>
              </w:rPr>
              <w:t>重庆共发机房动力和环境集中监控系统提供供应商维保服务。</w:t>
            </w:r>
          </w:p>
          <w:p w14:paraId="58D0F975">
            <w:pPr>
              <w:spacing w:line="300" w:lineRule="auto"/>
              <w:rPr>
                <w:szCs w:val="21"/>
              </w:rPr>
            </w:pPr>
            <w:r>
              <w:rPr>
                <w:rFonts w:hint="eastAsia"/>
                <w:szCs w:val="21"/>
              </w:rPr>
              <w:t>服务要求如下：</w:t>
            </w:r>
          </w:p>
          <w:p w14:paraId="5CCB6822">
            <w:pPr>
              <w:spacing w:line="300" w:lineRule="auto"/>
              <w:rPr>
                <w:szCs w:val="21"/>
              </w:rPr>
            </w:pPr>
            <w:r>
              <w:rPr>
                <w:rFonts w:hint="eastAsia"/>
                <w:szCs w:val="21"/>
              </w:rPr>
              <w:t>1.维保服务期限为自启用服务之日起一年，每天24小时提供电话支持；季度一次巡检和保养。</w:t>
            </w:r>
          </w:p>
          <w:p w14:paraId="78DD0531">
            <w:pPr>
              <w:spacing w:line="300" w:lineRule="auto"/>
              <w:rPr>
                <w:szCs w:val="21"/>
              </w:rPr>
            </w:pPr>
            <w:r>
              <w:rPr>
                <w:rFonts w:hint="eastAsia"/>
                <w:szCs w:val="21"/>
              </w:rPr>
              <w:t>2.当发生故障时，先做电话技术支持，不能电话解决故障的，24小时内维修人员到达现场处理。</w:t>
            </w:r>
          </w:p>
          <w:p w14:paraId="05778EFA">
            <w:pPr>
              <w:spacing w:line="300" w:lineRule="auto"/>
              <w:rPr>
                <w:szCs w:val="21"/>
              </w:rPr>
            </w:pPr>
            <w:r>
              <w:rPr>
                <w:rFonts w:hint="eastAsia"/>
                <w:szCs w:val="21"/>
              </w:rPr>
              <w:t>3.正常情况下8小时内排除故障，若8小时内不能排除故障，应在3小时内向校方出具书面报告说明原因及解决方案。</w:t>
            </w:r>
          </w:p>
          <w:p w14:paraId="4C645E4F">
            <w:pPr>
              <w:spacing w:line="300" w:lineRule="auto"/>
              <w:rPr>
                <w:szCs w:val="21"/>
              </w:rPr>
            </w:pPr>
            <w:r>
              <w:rPr>
                <w:rFonts w:hint="eastAsia"/>
                <w:szCs w:val="21"/>
              </w:rPr>
              <w:t>4.排除故障后，必须做出检修保修报告。</w:t>
            </w:r>
          </w:p>
          <w:p w14:paraId="7F677731">
            <w:pPr>
              <w:spacing w:line="300" w:lineRule="auto"/>
              <w:rPr>
                <w:szCs w:val="21"/>
              </w:rPr>
            </w:pPr>
            <w:r>
              <w:rPr>
                <w:rFonts w:hint="eastAsia"/>
                <w:szCs w:val="21"/>
              </w:rPr>
              <w:t>5.其他服务项：</w:t>
            </w:r>
          </w:p>
          <w:p w14:paraId="199EA3C6">
            <w:pPr>
              <w:spacing w:line="300" w:lineRule="auto"/>
              <w:rPr>
                <w:szCs w:val="21"/>
              </w:rPr>
            </w:pPr>
            <w:r>
              <w:rPr>
                <w:rFonts w:hint="eastAsia"/>
                <w:szCs w:val="21"/>
              </w:rPr>
              <w:t>1）检查软件系统的运行状况，故障日志、操作日志、报警日志等；</w:t>
            </w:r>
          </w:p>
          <w:p w14:paraId="22727DCE">
            <w:pPr>
              <w:spacing w:line="300" w:lineRule="auto"/>
              <w:rPr>
                <w:szCs w:val="21"/>
              </w:rPr>
            </w:pPr>
            <w:r>
              <w:rPr>
                <w:rFonts w:hint="eastAsia"/>
                <w:szCs w:val="21"/>
              </w:rPr>
              <w:t>2）检查系统硬件设备运行情况，及时进行维护保养。</w:t>
            </w:r>
          </w:p>
          <w:p w14:paraId="68E2871A">
            <w:pPr>
              <w:spacing w:line="300" w:lineRule="auto"/>
              <w:rPr>
                <w:szCs w:val="21"/>
              </w:rPr>
            </w:pPr>
            <w:r>
              <w:rPr>
                <w:rFonts w:hint="eastAsia"/>
                <w:szCs w:val="21"/>
              </w:rPr>
              <w:t>3）做好软件备份保存工作，测试一些监测子系统的工作状态；</w:t>
            </w:r>
          </w:p>
          <w:p w14:paraId="36372BBF">
            <w:pPr>
              <w:spacing w:line="300" w:lineRule="auto"/>
              <w:rPr>
                <w:szCs w:val="21"/>
              </w:rPr>
            </w:pPr>
            <w:r>
              <w:rPr>
                <w:rFonts w:hint="eastAsia"/>
                <w:szCs w:val="21"/>
              </w:rPr>
              <w:t>4）检查各机房监控系统的硬件和线路情况，做好修改和变更记录；</w:t>
            </w:r>
          </w:p>
          <w:p w14:paraId="5BC0AA0C">
            <w:pPr>
              <w:spacing w:line="300" w:lineRule="auto"/>
              <w:rPr>
                <w:szCs w:val="21"/>
              </w:rPr>
            </w:pPr>
            <w:r>
              <w:rPr>
                <w:rFonts w:hint="eastAsia"/>
                <w:szCs w:val="21"/>
              </w:rPr>
              <w:t>5）检查软件系统运行环境：操作系统软件稳定性、数据库数据的完整性等；</w:t>
            </w:r>
          </w:p>
          <w:p w14:paraId="14F0434F">
            <w:pPr>
              <w:spacing w:line="300" w:lineRule="auto"/>
              <w:rPr>
                <w:szCs w:val="21"/>
              </w:rPr>
            </w:pPr>
            <w:r>
              <w:rPr>
                <w:rFonts w:hint="eastAsia"/>
                <w:szCs w:val="21"/>
              </w:rPr>
              <w:t>6）如有问题及时与甲方联系及交流。</w:t>
            </w:r>
          </w:p>
        </w:tc>
        <w:tc>
          <w:tcPr>
            <w:tcW w:w="4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98C49">
            <w:pPr>
              <w:spacing w:line="300" w:lineRule="auto"/>
              <w:jc w:val="center"/>
              <w:rPr>
                <w:szCs w:val="21"/>
              </w:rPr>
            </w:pPr>
            <w:r>
              <w:rPr>
                <w:rFonts w:hint="eastAsia"/>
                <w:szCs w:val="21"/>
              </w:rPr>
              <w:t>1</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AF5D41">
            <w:pPr>
              <w:spacing w:line="300" w:lineRule="auto"/>
              <w:jc w:val="center"/>
              <w:rPr>
                <w:szCs w:val="21"/>
              </w:rPr>
            </w:pPr>
            <w:r>
              <w:rPr>
                <w:szCs w:val="21"/>
              </w:rPr>
              <w:t>项</w:t>
            </w:r>
          </w:p>
        </w:tc>
      </w:tr>
      <w:tr w14:paraId="7E482BFF">
        <w:tblPrEx>
          <w:tblCellMar>
            <w:top w:w="0" w:type="dxa"/>
            <w:left w:w="108" w:type="dxa"/>
            <w:bottom w:w="0" w:type="dxa"/>
            <w:right w:w="108" w:type="dxa"/>
          </w:tblCellMar>
        </w:tblPrEx>
        <w:trPr>
          <w:trHeight w:val="1414" w:hRule="atLeast"/>
        </w:trPr>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223275">
            <w:pPr>
              <w:spacing w:line="300" w:lineRule="auto"/>
              <w:jc w:val="left"/>
              <w:rPr>
                <w:szCs w:val="21"/>
              </w:rPr>
            </w:pPr>
            <w:r>
              <w:rPr>
                <w:rFonts w:hint="eastAsia"/>
                <w:szCs w:val="21"/>
              </w:rPr>
              <w:t>HP DL580 G9服务器维保</w:t>
            </w:r>
          </w:p>
        </w:tc>
        <w:tc>
          <w:tcPr>
            <w:tcW w:w="3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3888BD">
            <w:pPr>
              <w:spacing w:line="300" w:lineRule="auto"/>
              <w:rPr>
                <w:szCs w:val="21"/>
              </w:rPr>
            </w:pPr>
            <w:r>
              <w:rPr>
                <w:rFonts w:hint="eastAsia"/>
                <w:szCs w:val="21"/>
              </w:rPr>
              <w:t>HP DL580 G9服务器设备提供供应商维保服务。</w:t>
            </w:r>
          </w:p>
          <w:p w14:paraId="1D73C97E">
            <w:pPr>
              <w:spacing w:line="300" w:lineRule="auto"/>
              <w:rPr>
                <w:szCs w:val="21"/>
              </w:rPr>
            </w:pPr>
            <w:r>
              <w:rPr>
                <w:rFonts w:hint="eastAsia"/>
                <w:szCs w:val="21"/>
              </w:rPr>
              <w:t>服务标准一年（12个月） 响应时间4小时，每天24小时，服务包含上门硬件维修服务和远程接入技术咨询服务，维修所需的备件和人工免费，维保服务期限为自启用服务之日起一年。</w:t>
            </w:r>
          </w:p>
        </w:tc>
        <w:tc>
          <w:tcPr>
            <w:tcW w:w="4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050E5">
            <w:pPr>
              <w:spacing w:line="300" w:lineRule="auto"/>
              <w:jc w:val="center"/>
              <w:rPr>
                <w:szCs w:val="21"/>
              </w:rPr>
            </w:pPr>
            <w:r>
              <w:rPr>
                <w:rFonts w:hint="eastAsia"/>
                <w:szCs w:val="21"/>
              </w:rPr>
              <w:t>4</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244A2B">
            <w:pPr>
              <w:spacing w:line="300" w:lineRule="auto"/>
              <w:jc w:val="center"/>
              <w:rPr>
                <w:szCs w:val="21"/>
              </w:rPr>
            </w:pPr>
            <w:r>
              <w:rPr>
                <w:szCs w:val="21"/>
              </w:rPr>
              <w:t>项</w:t>
            </w:r>
          </w:p>
        </w:tc>
      </w:tr>
      <w:tr w14:paraId="3818AD10">
        <w:tblPrEx>
          <w:tblCellMar>
            <w:top w:w="0" w:type="dxa"/>
            <w:left w:w="108" w:type="dxa"/>
            <w:bottom w:w="0" w:type="dxa"/>
            <w:right w:w="108" w:type="dxa"/>
          </w:tblCellMar>
        </w:tblPrEx>
        <w:trPr>
          <w:trHeight w:val="1379" w:hRule="atLeast"/>
        </w:trPr>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F60EA0">
            <w:pPr>
              <w:spacing w:line="300" w:lineRule="auto"/>
              <w:jc w:val="left"/>
              <w:rPr>
                <w:szCs w:val="21"/>
              </w:rPr>
            </w:pPr>
            <w:r>
              <w:rPr>
                <w:rFonts w:hint="eastAsia"/>
                <w:szCs w:val="21"/>
              </w:rPr>
              <w:t>HP DL380 G9服务器维保</w:t>
            </w:r>
          </w:p>
        </w:tc>
        <w:tc>
          <w:tcPr>
            <w:tcW w:w="3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66B4FB">
            <w:pPr>
              <w:spacing w:line="300" w:lineRule="auto"/>
              <w:rPr>
                <w:szCs w:val="21"/>
              </w:rPr>
            </w:pPr>
            <w:r>
              <w:rPr>
                <w:rFonts w:hint="eastAsia"/>
                <w:szCs w:val="21"/>
              </w:rPr>
              <w:t>HP DL380 G9服务器设备提供供应商维保服务。</w:t>
            </w:r>
          </w:p>
          <w:p w14:paraId="0295B166">
            <w:pPr>
              <w:spacing w:line="300" w:lineRule="auto"/>
              <w:rPr>
                <w:szCs w:val="21"/>
              </w:rPr>
            </w:pPr>
            <w:r>
              <w:rPr>
                <w:rFonts w:hint="eastAsia"/>
                <w:szCs w:val="21"/>
              </w:rPr>
              <w:t>服务标准一年（12个月） 响应时间4小时，每天24小时，服务包含上门硬件维修服务和远程接入技术咨询服务，维修所需的备件和人工免费，维保服务期限为自启用服务之日起一年。</w:t>
            </w:r>
          </w:p>
        </w:tc>
        <w:tc>
          <w:tcPr>
            <w:tcW w:w="4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54E54">
            <w:pPr>
              <w:spacing w:line="300" w:lineRule="auto"/>
              <w:jc w:val="center"/>
              <w:rPr>
                <w:szCs w:val="21"/>
              </w:rPr>
            </w:pPr>
            <w:r>
              <w:rPr>
                <w:rFonts w:hint="eastAsia"/>
                <w:szCs w:val="21"/>
              </w:rPr>
              <w:t>3</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62B0EE">
            <w:pPr>
              <w:spacing w:line="300" w:lineRule="auto"/>
              <w:jc w:val="center"/>
              <w:rPr>
                <w:szCs w:val="21"/>
              </w:rPr>
            </w:pPr>
            <w:r>
              <w:rPr>
                <w:szCs w:val="21"/>
              </w:rPr>
              <w:t>项</w:t>
            </w:r>
          </w:p>
        </w:tc>
      </w:tr>
      <w:tr w14:paraId="1E604E99">
        <w:tblPrEx>
          <w:tblCellMar>
            <w:top w:w="0" w:type="dxa"/>
            <w:left w:w="108" w:type="dxa"/>
            <w:bottom w:w="0" w:type="dxa"/>
            <w:right w:w="108" w:type="dxa"/>
          </w:tblCellMar>
        </w:tblPrEx>
        <w:trPr>
          <w:trHeight w:val="3532" w:hRule="atLeast"/>
        </w:trPr>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4E59D">
            <w:pPr>
              <w:spacing w:line="300" w:lineRule="auto"/>
              <w:jc w:val="left"/>
              <w:rPr>
                <w:szCs w:val="21"/>
              </w:rPr>
            </w:pPr>
            <w:r>
              <w:rPr>
                <w:rFonts w:hint="eastAsia"/>
                <w:szCs w:val="21"/>
              </w:rPr>
              <w:t>STULZ精密空调ASD251A全套设备STULZ维保</w:t>
            </w:r>
          </w:p>
        </w:tc>
        <w:tc>
          <w:tcPr>
            <w:tcW w:w="3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0B3D4">
            <w:pPr>
              <w:spacing w:line="300" w:lineRule="auto"/>
              <w:rPr>
                <w:szCs w:val="21"/>
              </w:rPr>
            </w:pPr>
            <w:r>
              <w:rPr>
                <w:rFonts w:hint="eastAsia"/>
                <w:szCs w:val="21"/>
              </w:rPr>
              <w:t>提供STULZ空调ASD251A全套设备供应商维保服务，包括：</w:t>
            </w:r>
          </w:p>
          <w:p w14:paraId="5524C4F1">
            <w:pPr>
              <w:spacing w:line="300" w:lineRule="auto"/>
              <w:rPr>
                <w:szCs w:val="21"/>
              </w:rPr>
            </w:pPr>
            <w:r>
              <w:rPr>
                <w:rFonts w:hint="eastAsia"/>
                <w:szCs w:val="21"/>
              </w:rPr>
              <w:t>1.一年（12个月）4次（每季度一次）预防性维护检查（办公时间内）。</w:t>
            </w:r>
          </w:p>
          <w:p w14:paraId="173E1D84">
            <w:pPr>
              <w:spacing w:line="300" w:lineRule="auto"/>
              <w:rPr>
                <w:szCs w:val="21"/>
              </w:rPr>
            </w:pPr>
            <w:r>
              <w:rPr>
                <w:rFonts w:hint="eastAsia"/>
                <w:szCs w:val="21"/>
              </w:rPr>
              <w:t>2.包括所有备件和耗材：备件及耗材维保方式，维保服务期内空调机组任何备件发生损坏提供免费更换（包括压缩机，风机，电机，电路控制板等贵重备件），过滤网，加湿罐等耗材也免费提供更换。过滤网每半年度更换一次，一套2张，一年共计4张；加湿罐每年更换一次。</w:t>
            </w:r>
          </w:p>
          <w:p w14:paraId="37D644AB">
            <w:pPr>
              <w:spacing w:line="300" w:lineRule="auto"/>
              <w:rPr>
                <w:szCs w:val="21"/>
              </w:rPr>
            </w:pPr>
            <w:r>
              <w:rPr>
                <w:rFonts w:hint="eastAsia"/>
                <w:szCs w:val="21"/>
              </w:rPr>
              <w:t>3.对故障提供2小时内现场响应及48小时内维修服务。</w:t>
            </w:r>
          </w:p>
          <w:p w14:paraId="31CD0739">
            <w:pPr>
              <w:spacing w:line="300" w:lineRule="auto"/>
              <w:rPr>
                <w:szCs w:val="21"/>
              </w:rPr>
            </w:pPr>
            <w:r>
              <w:rPr>
                <w:szCs w:val="21"/>
              </w:rPr>
              <w:t>4</w:t>
            </w:r>
            <w:r>
              <w:rPr>
                <w:rFonts w:hint="eastAsia"/>
                <w:szCs w:val="21"/>
              </w:rPr>
              <w:t>.提供7*24小时电话技术支持。</w:t>
            </w:r>
          </w:p>
          <w:p w14:paraId="4E4E8A53">
            <w:pPr>
              <w:spacing w:line="300" w:lineRule="auto"/>
              <w:rPr>
                <w:szCs w:val="21"/>
              </w:rPr>
            </w:pPr>
            <w:r>
              <w:rPr>
                <w:szCs w:val="21"/>
              </w:rPr>
              <w:t>5</w:t>
            </w:r>
            <w:r>
              <w:rPr>
                <w:rFonts w:hint="eastAsia"/>
                <w:szCs w:val="21"/>
              </w:rPr>
              <w:t>.服务期限一年（12个月）。</w:t>
            </w:r>
          </w:p>
        </w:tc>
        <w:tc>
          <w:tcPr>
            <w:tcW w:w="4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2D473">
            <w:pPr>
              <w:spacing w:line="300" w:lineRule="auto"/>
              <w:jc w:val="center"/>
              <w:rPr>
                <w:szCs w:val="21"/>
              </w:rPr>
            </w:pPr>
            <w:r>
              <w:rPr>
                <w:rFonts w:hint="eastAsia"/>
                <w:szCs w:val="21"/>
              </w:rPr>
              <w:t>2</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A91020">
            <w:pPr>
              <w:spacing w:line="300" w:lineRule="auto"/>
              <w:jc w:val="center"/>
              <w:rPr>
                <w:szCs w:val="21"/>
              </w:rPr>
            </w:pPr>
            <w:r>
              <w:rPr>
                <w:szCs w:val="21"/>
              </w:rPr>
              <w:t>项</w:t>
            </w:r>
          </w:p>
        </w:tc>
      </w:tr>
      <w:tr w14:paraId="4731F9A1">
        <w:trPr>
          <w:trHeight w:val="1785" w:hRule="atLeast"/>
        </w:trPr>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2EBAF5">
            <w:pPr>
              <w:spacing w:line="300" w:lineRule="auto"/>
              <w:jc w:val="left"/>
              <w:rPr>
                <w:szCs w:val="21"/>
              </w:rPr>
            </w:pPr>
            <w:r>
              <w:rPr>
                <w:rFonts w:hint="eastAsia"/>
                <w:szCs w:val="21"/>
              </w:rPr>
              <w:t>华为S9706交换机维保</w:t>
            </w:r>
          </w:p>
        </w:tc>
        <w:tc>
          <w:tcPr>
            <w:tcW w:w="3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44111">
            <w:pPr>
              <w:spacing w:line="300" w:lineRule="auto"/>
              <w:rPr>
                <w:szCs w:val="21"/>
              </w:rPr>
            </w:pPr>
            <w:r>
              <w:rPr>
                <w:szCs w:val="21"/>
              </w:rPr>
              <w:t>Quidway S9706交换机设备提供供应商维保服务。服务范围包括主机、引擎、板卡、模块、电源等配件，服务内容包括：服务期内免费提供硬件维修和更换服务，7*24覆盖，实时响应服务；7*24覆盖的远程问题处理服务；提供在线技术信息共享和补丁下载服务；提供主机版本软件的维护版本更新授权服务；提供7*10*ND（Next Day，下一日）的备件先行、现场工程师硬件更换、现场问题处理服务。维保期内更换过的部件，提供更换之日起90天的维保服务，或者继续获得原有的剩余维保服务，以两者中较长时间为准。维保</w:t>
            </w:r>
            <w:r>
              <w:rPr>
                <w:rFonts w:hint="eastAsia"/>
                <w:szCs w:val="21"/>
              </w:rPr>
              <w:t>服务期限为自启用服务之日起一年</w:t>
            </w:r>
            <w:r>
              <w:rPr>
                <w:szCs w:val="21"/>
              </w:rPr>
              <w:t>。</w:t>
            </w:r>
          </w:p>
        </w:tc>
        <w:tc>
          <w:tcPr>
            <w:tcW w:w="4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305E3">
            <w:pPr>
              <w:spacing w:line="300" w:lineRule="auto"/>
              <w:jc w:val="center"/>
              <w:rPr>
                <w:szCs w:val="21"/>
              </w:rPr>
            </w:pPr>
            <w:r>
              <w:rPr>
                <w:rFonts w:hint="eastAsia"/>
                <w:szCs w:val="21"/>
              </w:rPr>
              <w:t>1</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EF1687">
            <w:pPr>
              <w:spacing w:line="300" w:lineRule="auto"/>
              <w:jc w:val="center"/>
              <w:rPr>
                <w:szCs w:val="21"/>
              </w:rPr>
            </w:pPr>
            <w:r>
              <w:rPr>
                <w:szCs w:val="21"/>
              </w:rPr>
              <w:t>项</w:t>
            </w:r>
          </w:p>
        </w:tc>
      </w:tr>
      <w:tr w14:paraId="5A5145C7">
        <w:tblPrEx>
          <w:tblCellMar>
            <w:top w:w="0" w:type="dxa"/>
            <w:left w:w="108" w:type="dxa"/>
            <w:bottom w:w="0" w:type="dxa"/>
            <w:right w:w="108" w:type="dxa"/>
          </w:tblCellMar>
        </w:tblPrEx>
        <w:trPr>
          <w:trHeight w:val="770" w:hRule="atLeast"/>
        </w:trPr>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ED2804">
            <w:pPr>
              <w:spacing w:line="300" w:lineRule="auto"/>
              <w:jc w:val="left"/>
              <w:rPr>
                <w:szCs w:val="21"/>
              </w:rPr>
            </w:pPr>
            <w:r>
              <w:rPr>
                <w:rFonts w:hint="eastAsia"/>
                <w:szCs w:val="21"/>
              </w:rPr>
              <w:t>机房UPS设备维保</w:t>
            </w:r>
          </w:p>
        </w:tc>
        <w:tc>
          <w:tcPr>
            <w:tcW w:w="3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0FC8B5">
            <w:pPr>
              <w:spacing w:line="300" w:lineRule="auto"/>
              <w:rPr>
                <w:szCs w:val="21"/>
              </w:rPr>
            </w:pPr>
            <w:r>
              <w:rPr>
                <w:szCs w:val="21"/>
              </w:rPr>
              <w:t>科华80KVA模块化UPS电源主机供应商1年（12个月）维保。</w:t>
            </w:r>
          </w:p>
        </w:tc>
        <w:tc>
          <w:tcPr>
            <w:tcW w:w="4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C18E7">
            <w:pPr>
              <w:spacing w:line="300" w:lineRule="auto"/>
              <w:jc w:val="center"/>
              <w:rPr>
                <w:szCs w:val="21"/>
              </w:rPr>
            </w:pPr>
            <w:r>
              <w:rPr>
                <w:rFonts w:hint="eastAsia"/>
                <w:szCs w:val="21"/>
              </w:rPr>
              <w:t>1</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9911E8">
            <w:pPr>
              <w:spacing w:line="300" w:lineRule="auto"/>
              <w:jc w:val="center"/>
              <w:rPr>
                <w:szCs w:val="21"/>
              </w:rPr>
            </w:pPr>
            <w:r>
              <w:rPr>
                <w:szCs w:val="21"/>
              </w:rPr>
              <w:t>项</w:t>
            </w:r>
          </w:p>
        </w:tc>
      </w:tr>
      <w:tr w14:paraId="16903C02">
        <w:trPr>
          <w:trHeight w:val="990" w:hRule="atLeast"/>
        </w:trPr>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B1E108">
            <w:pPr>
              <w:spacing w:line="300" w:lineRule="auto"/>
              <w:jc w:val="left"/>
              <w:rPr>
                <w:szCs w:val="21"/>
              </w:rPr>
            </w:pPr>
            <w:r>
              <w:rPr>
                <w:rFonts w:hint="eastAsia"/>
                <w:szCs w:val="21"/>
              </w:rPr>
              <w:t>入侵检测系统（SG-6000-S2660）</w:t>
            </w:r>
          </w:p>
        </w:tc>
        <w:tc>
          <w:tcPr>
            <w:tcW w:w="3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233F22">
            <w:pPr>
              <w:spacing w:line="300" w:lineRule="auto"/>
              <w:rPr>
                <w:szCs w:val="21"/>
              </w:rPr>
            </w:pPr>
            <w:r>
              <w:rPr>
                <w:rFonts w:hint="eastAsia"/>
                <w:szCs w:val="21"/>
              </w:rPr>
              <w:t>入侵检测设备（SG-6000-S2660）一年的保内续保，含基本系统软件升级（含APP特征库升级）及硬件保修。</w:t>
            </w:r>
          </w:p>
        </w:tc>
        <w:tc>
          <w:tcPr>
            <w:tcW w:w="4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1DC8F">
            <w:pPr>
              <w:spacing w:line="300" w:lineRule="auto"/>
              <w:jc w:val="center"/>
              <w:rPr>
                <w:szCs w:val="21"/>
              </w:rPr>
            </w:pPr>
            <w:r>
              <w:rPr>
                <w:rFonts w:hint="eastAsia"/>
                <w:szCs w:val="21"/>
              </w:rPr>
              <w:t>1</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DA4E42">
            <w:pPr>
              <w:spacing w:line="300" w:lineRule="auto"/>
              <w:jc w:val="center"/>
              <w:rPr>
                <w:szCs w:val="21"/>
              </w:rPr>
            </w:pPr>
            <w:r>
              <w:rPr>
                <w:rFonts w:hint="eastAsia"/>
                <w:szCs w:val="21"/>
              </w:rPr>
              <w:t>项</w:t>
            </w:r>
          </w:p>
        </w:tc>
      </w:tr>
      <w:tr w14:paraId="0D0AAF20">
        <w:tblPrEx>
          <w:tblCellMar>
            <w:top w:w="0" w:type="dxa"/>
            <w:left w:w="108" w:type="dxa"/>
            <w:bottom w:w="0" w:type="dxa"/>
            <w:right w:w="108" w:type="dxa"/>
          </w:tblCellMar>
        </w:tblPrEx>
        <w:trPr>
          <w:trHeight w:val="900" w:hRule="atLeast"/>
        </w:trPr>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83A671">
            <w:pPr>
              <w:spacing w:line="300" w:lineRule="auto"/>
              <w:jc w:val="left"/>
              <w:rPr>
                <w:szCs w:val="21"/>
              </w:rPr>
            </w:pPr>
            <w:r>
              <w:rPr>
                <w:rFonts w:hint="eastAsia"/>
                <w:szCs w:val="21"/>
              </w:rPr>
              <w:t>出口下一代防火墙设备（SG-6000-E3965 SN：2812213205005435）</w:t>
            </w:r>
          </w:p>
        </w:tc>
        <w:tc>
          <w:tcPr>
            <w:tcW w:w="3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DEAA71">
            <w:pPr>
              <w:spacing w:line="300" w:lineRule="auto"/>
              <w:rPr>
                <w:szCs w:val="21"/>
              </w:rPr>
            </w:pPr>
            <w:r>
              <w:rPr>
                <w:rFonts w:hint="eastAsia"/>
                <w:szCs w:val="21"/>
              </w:rPr>
              <w:t>出口下一代防火墙设备（SG-6000-E3965 SN：2812213205005435）一年的保内续保，含基本系统软件升级（含APP特征库升级）及硬件保修。</w:t>
            </w:r>
          </w:p>
        </w:tc>
        <w:tc>
          <w:tcPr>
            <w:tcW w:w="4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8898F">
            <w:pPr>
              <w:spacing w:line="300" w:lineRule="auto"/>
              <w:jc w:val="center"/>
              <w:rPr>
                <w:szCs w:val="21"/>
              </w:rPr>
            </w:pPr>
            <w:r>
              <w:rPr>
                <w:rFonts w:hint="eastAsia"/>
                <w:szCs w:val="21"/>
              </w:rPr>
              <w:t>1</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2DA711">
            <w:pPr>
              <w:spacing w:line="300" w:lineRule="auto"/>
              <w:jc w:val="center"/>
              <w:rPr>
                <w:szCs w:val="21"/>
              </w:rPr>
            </w:pPr>
            <w:r>
              <w:rPr>
                <w:rFonts w:hint="eastAsia"/>
                <w:szCs w:val="21"/>
              </w:rPr>
              <w:t>项</w:t>
            </w:r>
          </w:p>
        </w:tc>
      </w:tr>
      <w:tr w14:paraId="1766AC47">
        <w:tblPrEx>
          <w:tblCellMar>
            <w:top w:w="0" w:type="dxa"/>
            <w:left w:w="108" w:type="dxa"/>
            <w:bottom w:w="0" w:type="dxa"/>
            <w:right w:w="108" w:type="dxa"/>
          </w:tblCellMar>
        </w:tblPrEx>
        <w:trPr>
          <w:trHeight w:val="1035" w:hRule="atLeast"/>
        </w:trPr>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973CFF">
            <w:pPr>
              <w:spacing w:line="300" w:lineRule="auto"/>
              <w:jc w:val="left"/>
              <w:rPr>
                <w:szCs w:val="21"/>
              </w:rPr>
            </w:pPr>
            <w:r>
              <w:rPr>
                <w:rFonts w:hint="eastAsia"/>
                <w:szCs w:val="21"/>
              </w:rPr>
              <w:t>内网下一代防火墙设备（SG-6000-E5560 SN：2812334182001338）</w:t>
            </w:r>
          </w:p>
        </w:tc>
        <w:tc>
          <w:tcPr>
            <w:tcW w:w="3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23984D">
            <w:pPr>
              <w:spacing w:line="300" w:lineRule="auto"/>
              <w:rPr>
                <w:szCs w:val="21"/>
              </w:rPr>
            </w:pPr>
            <w:r>
              <w:rPr>
                <w:rFonts w:hint="eastAsia"/>
                <w:szCs w:val="21"/>
              </w:rPr>
              <w:t>内网下一代防火墙设备（SG-6000-E5560 SN：2812334182001338）一年的保内续保，含基本系统软件升级（含APP特征库升级）及硬件保修。</w:t>
            </w:r>
          </w:p>
        </w:tc>
        <w:tc>
          <w:tcPr>
            <w:tcW w:w="4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4B385">
            <w:pPr>
              <w:spacing w:line="300" w:lineRule="auto"/>
              <w:jc w:val="center"/>
              <w:rPr>
                <w:szCs w:val="21"/>
              </w:rPr>
            </w:pPr>
            <w:r>
              <w:rPr>
                <w:rFonts w:hint="eastAsia"/>
                <w:szCs w:val="21"/>
              </w:rPr>
              <w:t>1</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509CB3">
            <w:pPr>
              <w:spacing w:line="300" w:lineRule="auto"/>
              <w:jc w:val="center"/>
              <w:rPr>
                <w:szCs w:val="21"/>
              </w:rPr>
            </w:pPr>
            <w:r>
              <w:rPr>
                <w:rFonts w:hint="eastAsia"/>
                <w:szCs w:val="21"/>
              </w:rPr>
              <w:t>项</w:t>
            </w:r>
          </w:p>
        </w:tc>
      </w:tr>
      <w:tr w14:paraId="37DB6A47">
        <w:tblPrEx>
          <w:tblCellMar>
            <w:top w:w="0" w:type="dxa"/>
            <w:left w:w="108" w:type="dxa"/>
            <w:bottom w:w="0" w:type="dxa"/>
            <w:right w:w="108" w:type="dxa"/>
          </w:tblCellMar>
        </w:tblPrEx>
        <w:trPr>
          <w:trHeight w:val="1035" w:hRule="atLeast"/>
        </w:trPr>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6C968C">
            <w:pPr>
              <w:spacing w:line="300" w:lineRule="auto"/>
              <w:jc w:val="left"/>
              <w:rPr>
                <w:szCs w:val="21"/>
              </w:rPr>
            </w:pPr>
            <w:r>
              <w:rPr>
                <w:rFonts w:hint="eastAsia"/>
                <w:szCs w:val="21"/>
              </w:rPr>
              <w:t>出口下一代防火墙设备（SG-6000-E3965 SN：2812245205005541）</w:t>
            </w:r>
          </w:p>
        </w:tc>
        <w:tc>
          <w:tcPr>
            <w:tcW w:w="3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E12C20">
            <w:pPr>
              <w:spacing w:line="300" w:lineRule="auto"/>
              <w:rPr>
                <w:szCs w:val="21"/>
              </w:rPr>
            </w:pPr>
            <w:r>
              <w:rPr>
                <w:rFonts w:hint="eastAsia"/>
                <w:szCs w:val="21"/>
              </w:rPr>
              <w:t>出口下一代防火墙设备（SG-6000-E3965 SN：2812245205005541）一年的保内续保，含基本系统软件升级（含APP特征库升级）及硬件保修。</w:t>
            </w:r>
          </w:p>
        </w:tc>
        <w:tc>
          <w:tcPr>
            <w:tcW w:w="4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5D94E">
            <w:pPr>
              <w:spacing w:line="300" w:lineRule="auto"/>
              <w:jc w:val="center"/>
              <w:rPr>
                <w:szCs w:val="21"/>
              </w:rPr>
            </w:pPr>
            <w:r>
              <w:rPr>
                <w:rFonts w:hint="eastAsia"/>
                <w:szCs w:val="21"/>
              </w:rPr>
              <w:t>1</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0DF60B">
            <w:pPr>
              <w:spacing w:line="300" w:lineRule="auto"/>
              <w:jc w:val="center"/>
              <w:rPr>
                <w:szCs w:val="21"/>
              </w:rPr>
            </w:pPr>
            <w:r>
              <w:rPr>
                <w:rFonts w:hint="eastAsia"/>
                <w:szCs w:val="21"/>
              </w:rPr>
              <w:t>项</w:t>
            </w:r>
          </w:p>
        </w:tc>
      </w:tr>
      <w:tr w14:paraId="72E01691">
        <w:tblPrEx>
          <w:tblCellMar>
            <w:top w:w="0" w:type="dxa"/>
            <w:left w:w="108" w:type="dxa"/>
            <w:bottom w:w="0" w:type="dxa"/>
            <w:right w:w="108" w:type="dxa"/>
          </w:tblCellMar>
        </w:tblPrEx>
        <w:trPr>
          <w:trHeight w:val="1035" w:hRule="atLeast"/>
        </w:trPr>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2BB39D">
            <w:pPr>
              <w:spacing w:line="300" w:lineRule="auto"/>
              <w:jc w:val="left"/>
              <w:rPr>
                <w:szCs w:val="21"/>
              </w:rPr>
            </w:pPr>
            <w:r>
              <w:rPr>
                <w:rFonts w:hint="eastAsia"/>
                <w:szCs w:val="21"/>
              </w:rPr>
              <w:t>内网下一代防火墙设备（SG-6000-E5560 SN：2812344202004234）</w:t>
            </w:r>
          </w:p>
        </w:tc>
        <w:tc>
          <w:tcPr>
            <w:tcW w:w="3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5A581A">
            <w:pPr>
              <w:spacing w:line="300" w:lineRule="auto"/>
              <w:rPr>
                <w:szCs w:val="21"/>
              </w:rPr>
            </w:pPr>
            <w:r>
              <w:rPr>
                <w:rFonts w:hint="eastAsia"/>
                <w:szCs w:val="21"/>
              </w:rPr>
              <w:t>内网下一代防火墙设备（SG-6000-E5560 SN：2812344202004234）一年的保内续保，含基本系统软件升级（含APP特征库升级）及硬件保修。</w:t>
            </w:r>
          </w:p>
        </w:tc>
        <w:tc>
          <w:tcPr>
            <w:tcW w:w="4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8A665">
            <w:pPr>
              <w:spacing w:line="300" w:lineRule="auto"/>
              <w:jc w:val="center"/>
              <w:rPr>
                <w:szCs w:val="21"/>
              </w:rPr>
            </w:pPr>
            <w:r>
              <w:rPr>
                <w:rFonts w:hint="eastAsia"/>
                <w:szCs w:val="21"/>
              </w:rPr>
              <w:t>1</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834E99">
            <w:pPr>
              <w:spacing w:line="300" w:lineRule="auto"/>
              <w:jc w:val="center"/>
              <w:rPr>
                <w:szCs w:val="21"/>
              </w:rPr>
            </w:pPr>
            <w:r>
              <w:rPr>
                <w:rFonts w:hint="eastAsia"/>
                <w:szCs w:val="21"/>
              </w:rPr>
              <w:t>项</w:t>
            </w:r>
          </w:p>
        </w:tc>
      </w:tr>
      <w:tr w14:paraId="4C16DA73">
        <w:tblPrEx>
          <w:tblCellMar>
            <w:top w:w="0" w:type="dxa"/>
            <w:left w:w="108" w:type="dxa"/>
            <w:bottom w:w="0" w:type="dxa"/>
            <w:right w:w="108" w:type="dxa"/>
          </w:tblCellMar>
        </w:tblPrEx>
        <w:trPr>
          <w:trHeight w:val="945" w:hRule="atLeast"/>
        </w:trPr>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1EDABD">
            <w:pPr>
              <w:spacing w:line="300" w:lineRule="auto"/>
              <w:jc w:val="left"/>
              <w:rPr>
                <w:szCs w:val="21"/>
              </w:rPr>
            </w:pPr>
            <w:r>
              <w:rPr>
                <w:rFonts w:hint="eastAsia"/>
                <w:szCs w:val="21"/>
              </w:rPr>
              <w:t>数据库审计设备（HS-DBA2000—DBA2230E-AD-CN）</w:t>
            </w:r>
          </w:p>
        </w:tc>
        <w:tc>
          <w:tcPr>
            <w:tcW w:w="3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F614F8">
            <w:pPr>
              <w:spacing w:line="300" w:lineRule="auto"/>
              <w:rPr>
                <w:szCs w:val="21"/>
              </w:rPr>
            </w:pPr>
            <w:r>
              <w:rPr>
                <w:rFonts w:hint="eastAsia"/>
                <w:szCs w:val="21"/>
              </w:rPr>
              <w:t>数据库审计设备（HS-DBA2000—DBA2230E-AD-CN）一年的保内续保，含硬件保修、软件升级维护服务。</w:t>
            </w:r>
          </w:p>
        </w:tc>
        <w:tc>
          <w:tcPr>
            <w:tcW w:w="4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5A9B9">
            <w:pPr>
              <w:spacing w:line="300" w:lineRule="auto"/>
              <w:jc w:val="center"/>
              <w:rPr>
                <w:szCs w:val="21"/>
              </w:rPr>
            </w:pPr>
            <w:r>
              <w:rPr>
                <w:rFonts w:hint="eastAsia"/>
                <w:szCs w:val="21"/>
              </w:rPr>
              <w:t>1</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96C176">
            <w:pPr>
              <w:spacing w:line="300" w:lineRule="auto"/>
              <w:jc w:val="center"/>
              <w:rPr>
                <w:szCs w:val="21"/>
              </w:rPr>
            </w:pPr>
            <w:r>
              <w:rPr>
                <w:rFonts w:hint="eastAsia"/>
                <w:szCs w:val="21"/>
              </w:rPr>
              <w:t>项</w:t>
            </w:r>
          </w:p>
        </w:tc>
      </w:tr>
      <w:tr w14:paraId="0041A444">
        <w:tblPrEx>
          <w:tblCellMar>
            <w:top w:w="0" w:type="dxa"/>
            <w:left w:w="108" w:type="dxa"/>
            <w:bottom w:w="0" w:type="dxa"/>
            <w:right w:w="108" w:type="dxa"/>
          </w:tblCellMar>
        </w:tblPrEx>
        <w:trPr>
          <w:trHeight w:val="885" w:hRule="atLeast"/>
        </w:trPr>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CFC3A2">
            <w:pPr>
              <w:spacing w:line="300" w:lineRule="auto"/>
              <w:jc w:val="left"/>
              <w:rPr>
                <w:szCs w:val="21"/>
              </w:rPr>
            </w:pPr>
            <w:r>
              <w:rPr>
                <w:rFonts w:hint="eastAsia"/>
                <w:szCs w:val="21"/>
              </w:rPr>
              <w:t>运维堡垒机（SG-6000-OSG3000）</w:t>
            </w:r>
          </w:p>
        </w:tc>
        <w:tc>
          <w:tcPr>
            <w:tcW w:w="3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754AB6">
            <w:pPr>
              <w:spacing w:line="300" w:lineRule="auto"/>
              <w:rPr>
                <w:szCs w:val="21"/>
              </w:rPr>
            </w:pPr>
            <w:r>
              <w:rPr>
                <w:rFonts w:hint="eastAsia"/>
                <w:szCs w:val="21"/>
              </w:rPr>
              <w:t>运维堡垒机（SG-6000-OSG3000）一年的保内续保，含硬件保修、软件升级维护服务。</w:t>
            </w:r>
          </w:p>
        </w:tc>
        <w:tc>
          <w:tcPr>
            <w:tcW w:w="4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8E0FE">
            <w:pPr>
              <w:spacing w:line="300" w:lineRule="auto"/>
              <w:jc w:val="center"/>
              <w:rPr>
                <w:szCs w:val="21"/>
              </w:rPr>
            </w:pPr>
            <w:r>
              <w:rPr>
                <w:rFonts w:hint="eastAsia"/>
                <w:szCs w:val="21"/>
              </w:rPr>
              <w:t>1</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F9CEC2">
            <w:pPr>
              <w:spacing w:line="300" w:lineRule="auto"/>
              <w:jc w:val="center"/>
              <w:rPr>
                <w:szCs w:val="21"/>
              </w:rPr>
            </w:pPr>
            <w:r>
              <w:rPr>
                <w:rFonts w:hint="eastAsia"/>
                <w:szCs w:val="21"/>
              </w:rPr>
              <w:t>项</w:t>
            </w:r>
          </w:p>
        </w:tc>
      </w:tr>
      <w:tr w14:paraId="354AC632">
        <w:tblPrEx>
          <w:tblCellMar>
            <w:top w:w="0" w:type="dxa"/>
            <w:left w:w="108" w:type="dxa"/>
            <w:bottom w:w="0" w:type="dxa"/>
            <w:right w:w="108" w:type="dxa"/>
          </w:tblCellMar>
        </w:tblPrEx>
        <w:trPr>
          <w:trHeight w:val="1110" w:hRule="atLeast"/>
        </w:trPr>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EF6F52">
            <w:pPr>
              <w:spacing w:line="300" w:lineRule="auto"/>
              <w:jc w:val="left"/>
              <w:rPr>
                <w:szCs w:val="21"/>
              </w:rPr>
            </w:pPr>
            <w:r>
              <w:rPr>
                <w:rFonts w:hint="eastAsia"/>
                <w:szCs w:val="21"/>
              </w:rPr>
              <w:t>日志审计系统（SG-6000-VHSA-2）</w:t>
            </w:r>
          </w:p>
        </w:tc>
        <w:tc>
          <w:tcPr>
            <w:tcW w:w="3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3EF3DC">
            <w:pPr>
              <w:spacing w:line="300" w:lineRule="auto"/>
              <w:rPr>
                <w:szCs w:val="21"/>
              </w:rPr>
            </w:pPr>
            <w:r>
              <w:rPr>
                <w:rFonts w:hint="eastAsia"/>
                <w:szCs w:val="21"/>
              </w:rPr>
              <w:t>日志审计系统（SG-6000-VHSA-2）一年的保内续保，含基本系统软件升级（含APP特征库升级）及硬件保修。</w:t>
            </w:r>
          </w:p>
        </w:tc>
        <w:tc>
          <w:tcPr>
            <w:tcW w:w="4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DF70F">
            <w:pPr>
              <w:spacing w:line="300" w:lineRule="auto"/>
              <w:jc w:val="center"/>
              <w:rPr>
                <w:szCs w:val="21"/>
              </w:rPr>
            </w:pPr>
            <w:r>
              <w:rPr>
                <w:rFonts w:hint="eastAsia"/>
                <w:szCs w:val="21"/>
              </w:rPr>
              <w:t>1</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6DB9F4">
            <w:pPr>
              <w:spacing w:line="300" w:lineRule="auto"/>
              <w:jc w:val="center"/>
              <w:rPr>
                <w:szCs w:val="21"/>
              </w:rPr>
            </w:pPr>
            <w:r>
              <w:rPr>
                <w:rFonts w:hint="eastAsia"/>
                <w:szCs w:val="21"/>
              </w:rPr>
              <w:t>项</w:t>
            </w:r>
          </w:p>
        </w:tc>
      </w:tr>
      <w:tr w14:paraId="46721E1D">
        <w:tblPrEx>
          <w:tblCellMar>
            <w:top w:w="0" w:type="dxa"/>
            <w:left w:w="108" w:type="dxa"/>
            <w:bottom w:w="0" w:type="dxa"/>
            <w:right w:w="108" w:type="dxa"/>
          </w:tblCellMar>
        </w:tblPrEx>
        <w:trPr>
          <w:trHeight w:val="1110" w:hRule="atLeast"/>
        </w:trPr>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15B7A9">
            <w:pPr>
              <w:spacing w:line="300" w:lineRule="auto"/>
              <w:jc w:val="left"/>
              <w:rPr>
                <w:szCs w:val="21"/>
              </w:rPr>
            </w:pPr>
            <w:r>
              <w:rPr>
                <w:rFonts w:hint="eastAsia"/>
                <w:szCs w:val="21"/>
              </w:rPr>
              <w:t>天融信安全隔离与信息交换系统V3（TopRules）</w:t>
            </w:r>
          </w:p>
        </w:tc>
        <w:tc>
          <w:tcPr>
            <w:tcW w:w="3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40E880">
            <w:pPr>
              <w:spacing w:line="300" w:lineRule="auto"/>
              <w:rPr>
                <w:szCs w:val="21"/>
              </w:rPr>
            </w:pPr>
            <w:r>
              <w:rPr>
                <w:rFonts w:hint="eastAsia"/>
                <w:szCs w:val="21"/>
              </w:rPr>
              <w:t>提供天融信安全隔离与信息交换系统V3（TopRules）一年的保内续保，含基本系统软件升级(含APP特征库升级)及硬件保修。</w:t>
            </w:r>
          </w:p>
        </w:tc>
        <w:tc>
          <w:tcPr>
            <w:tcW w:w="4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C49E1">
            <w:pPr>
              <w:spacing w:line="300" w:lineRule="auto"/>
              <w:jc w:val="center"/>
              <w:rPr>
                <w:szCs w:val="21"/>
              </w:rPr>
            </w:pPr>
            <w:r>
              <w:rPr>
                <w:rFonts w:hint="eastAsia"/>
                <w:szCs w:val="21"/>
              </w:rPr>
              <w:t>1</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AA8C6A">
            <w:pPr>
              <w:spacing w:line="300" w:lineRule="auto"/>
              <w:jc w:val="center"/>
              <w:rPr>
                <w:szCs w:val="21"/>
              </w:rPr>
            </w:pPr>
            <w:r>
              <w:rPr>
                <w:rFonts w:hint="eastAsia"/>
                <w:szCs w:val="21"/>
              </w:rPr>
              <w:t>项</w:t>
            </w:r>
          </w:p>
        </w:tc>
      </w:tr>
      <w:tr w14:paraId="1F7F4A8E">
        <w:tblPrEx>
          <w:tblCellMar>
            <w:top w:w="0" w:type="dxa"/>
            <w:left w:w="108" w:type="dxa"/>
            <w:bottom w:w="0" w:type="dxa"/>
            <w:right w:w="108" w:type="dxa"/>
          </w:tblCellMar>
        </w:tblPrEx>
        <w:trPr>
          <w:trHeight w:val="2384" w:hRule="atLeast"/>
        </w:trPr>
        <w:tc>
          <w:tcPr>
            <w:tcW w:w="88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B70B93">
            <w:pPr>
              <w:spacing w:line="300" w:lineRule="auto"/>
              <w:jc w:val="left"/>
              <w:rPr>
                <w:szCs w:val="21"/>
              </w:rPr>
            </w:pPr>
            <w:r>
              <w:rPr>
                <w:rFonts w:hint="eastAsia"/>
                <w:szCs w:val="21"/>
              </w:rPr>
              <w:t>网络安全运维服务一年</w:t>
            </w:r>
          </w:p>
        </w:tc>
        <w:tc>
          <w:tcPr>
            <w:tcW w:w="3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1AFE33">
            <w:pPr>
              <w:spacing w:line="300" w:lineRule="auto"/>
              <w:rPr>
                <w:szCs w:val="21"/>
              </w:rPr>
            </w:pPr>
            <w:r>
              <w:rPr>
                <w:rFonts w:hint="eastAsia"/>
                <w:szCs w:val="21"/>
              </w:rPr>
              <w:t>1.提供至少1名驻点工程师，对学习平台数据中心机房、强电弱电系统、网络基础设施等进行运行维护，保证设备平稳运行，保证信息系统访问正常，解决设备运行故障，解决网络安全问题，做好日志记录，做好设备调优等。要求现场办公并签订保密协议，不得将学院软硬件信息数据泄露。服务包括：（1）底层应用系统维护。（2）服务器集群。（3）业务系统维护。（4）应用管理系统维护。（5）硬件系统维护。（6）机房运维。（7）安全运维。驻点工程师每周至少驻点服务一次，服务期一年（12个月）。</w:t>
            </w:r>
          </w:p>
        </w:tc>
        <w:tc>
          <w:tcPr>
            <w:tcW w:w="45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0202E">
            <w:pPr>
              <w:spacing w:line="300" w:lineRule="auto"/>
              <w:jc w:val="center"/>
              <w:rPr>
                <w:szCs w:val="21"/>
              </w:rPr>
            </w:pPr>
            <w:r>
              <w:rPr>
                <w:rFonts w:hint="eastAsia"/>
                <w:szCs w:val="21"/>
              </w:rPr>
              <w:t>1</w:t>
            </w:r>
          </w:p>
        </w:tc>
        <w:tc>
          <w:tcPr>
            <w:tcW w:w="31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80928F">
            <w:pPr>
              <w:spacing w:line="300" w:lineRule="auto"/>
              <w:jc w:val="center"/>
              <w:rPr>
                <w:szCs w:val="21"/>
              </w:rPr>
            </w:pPr>
            <w:r>
              <w:rPr>
                <w:szCs w:val="21"/>
              </w:rPr>
              <w:t>项</w:t>
            </w:r>
          </w:p>
        </w:tc>
      </w:tr>
      <w:tr w14:paraId="554B742E">
        <w:tblPrEx>
          <w:tblCellMar>
            <w:top w:w="0" w:type="dxa"/>
            <w:left w:w="108" w:type="dxa"/>
            <w:bottom w:w="0" w:type="dxa"/>
            <w:right w:w="108" w:type="dxa"/>
          </w:tblCellMar>
        </w:tblPrEx>
        <w:trPr>
          <w:trHeight w:val="1195" w:hRule="atLeast"/>
        </w:trPr>
        <w:tc>
          <w:tcPr>
            <w:tcW w:w="8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E25DBF">
            <w:pPr>
              <w:spacing w:line="300" w:lineRule="auto"/>
              <w:rPr>
                <w:szCs w:val="21"/>
              </w:rPr>
            </w:pPr>
          </w:p>
        </w:tc>
        <w:tc>
          <w:tcPr>
            <w:tcW w:w="3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CFEC04">
            <w:pPr>
              <w:spacing w:line="300" w:lineRule="auto"/>
              <w:rPr>
                <w:szCs w:val="21"/>
              </w:rPr>
            </w:pPr>
            <w:r>
              <w:rPr>
                <w:rFonts w:hint="eastAsia"/>
                <w:szCs w:val="21"/>
              </w:rPr>
              <w:t>2.运维报告。根据每月的运行维护情况撰写月度运维报告，根据季度运行维护情况撰写季度运维报告，根据年度运行维护情况撰写年度运维报告。</w:t>
            </w:r>
          </w:p>
        </w:tc>
        <w:tc>
          <w:tcPr>
            <w:tcW w:w="45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96507">
            <w:pPr>
              <w:spacing w:line="300" w:lineRule="auto"/>
              <w:jc w:val="center"/>
              <w:rPr>
                <w:szCs w:val="21"/>
              </w:rPr>
            </w:pPr>
          </w:p>
        </w:tc>
        <w:tc>
          <w:tcPr>
            <w:tcW w:w="31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108832">
            <w:pPr>
              <w:spacing w:line="300" w:lineRule="auto"/>
              <w:jc w:val="center"/>
              <w:rPr>
                <w:szCs w:val="21"/>
              </w:rPr>
            </w:pPr>
          </w:p>
        </w:tc>
      </w:tr>
      <w:tr w14:paraId="295AF973">
        <w:tblPrEx>
          <w:tblCellMar>
            <w:top w:w="0" w:type="dxa"/>
            <w:left w:w="108" w:type="dxa"/>
            <w:bottom w:w="0" w:type="dxa"/>
            <w:right w:w="108" w:type="dxa"/>
          </w:tblCellMar>
        </w:tblPrEx>
        <w:trPr>
          <w:trHeight w:val="965" w:hRule="atLeast"/>
        </w:trPr>
        <w:tc>
          <w:tcPr>
            <w:tcW w:w="8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BACF1B">
            <w:pPr>
              <w:spacing w:line="300" w:lineRule="auto"/>
              <w:rPr>
                <w:szCs w:val="21"/>
              </w:rPr>
            </w:pPr>
          </w:p>
        </w:tc>
        <w:tc>
          <w:tcPr>
            <w:tcW w:w="3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3B0EBC">
            <w:pPr>
              <w:spacing w:line="300" w:lineRule="auto"/>
              <w:rPr>
                <w:szCs w:val="21"/>
              </w:rPr>
            </w:pPr>
            <w:r>
              <w:rPr>
                <w:rFonts w:hint="eastAsia"/>
                <w:szCs w:val="21"/>
              </w:rPr>
              <w:t>3.安全培训。组织技术人员对学院相关技术人员开展2次网络安全培训，并形成安全培训报告。</w:t>
            </w:r>
          </w:p>
        </w:tc>
        <w:tc>
          <w:tcPr>
            <w:tcW w:w="45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BF3E3">
            <w:pPr>
              <w:spacing w:line="300" w:lineRule="auto"/>
              <w:jc w:val="center"/>
              <w:rPr>
                <w:szCs w:val="21"/>
              </w:rPr>
            </w:pPr>
          </w:p>
        </w:tc>
        <w:tc>
          <w:tcPr>
            <w:tcW w:w="31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CDF19D">
            <w:pPr>
              <w:spacing w:line="300" w:lineRule="auto"/>
              <w:jc w:val="center"/>
              <w:rPr>
                <w:szCs w:val="21"/>
              </w:rPr>
            </w:pPr>
          </w:p>
        </w:tc>
      </w:tr>
    </w:tbl>
    <w:p w14:paraId="63F54A38">
      <w:pPr>
        <w:wordWrap w:val="0"/>
        <w:spacing w:line="360" w:lineRule="auto"/>
        <w:ind w:firstLine="420" w:firstLineChars="200"/>
        <w:rPr>
          <w:rFonts w:ascii="宋体" w:hAnsi="宋体" w:cs="宋体"/>
          <w:snapToGrid w:val="0"/>
          <w:kern w:val="0"/>
          <w:szCs w:val="21"/>
        </w:rPr>
      </w:pPr>
    </w:p>
    <w:p w14:paraId="3A3DAC2C">
      <w:pPr>
        <w:pStyle w:val="4"/>
        <w:jc w:val="left"/>
      </w:pPr>
      <w:bookmarkStart w:id="180" w:name="_Toc9375"/>
      <w:r>
        <w:rPr>
          <w:rFonts w:hint="eastAsia"/>
        </w:rPr>
        <w:t>四</w:t>
      </w:r>
      <w:r>
        <w:t>、</w:t>
      </w:r>
      <w:r>
        <w:rPr>
          <w:rFonts w:hint="eastAsia"/>
        </w:rPr>
        <w:t>目标需求</w:t>
      </w:r>
      <w:bookmarkEnd w:id="180"/>
    </w:p>
    <w:p w14:paraId="7D4099A0">
      <w:pPr>
        <w:wordWrap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1.乙方根据甲方云南省干部在线学习平台硬件设备的实际维护需求，提供上述服务内容的设备维保服务、备品备件服务、维护技术支撑驻场等运维保障服务，快速处理各类硬件设备故障，提高各类平台硬件的可靠性、可用性和安全性，保障云南省干部在线学习平台稳定、可靠和安全的运行。</w:t>
      </w:r>
    </w:p>
    <w:p w14:paraId="7AA513F0">
      <w:pPr>
        <w:wordWrap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2.乙方根据甲方实际需求，组织技术人员配合做好相关的软硬件设备网络、线路、位置调整，IP专线切换及配置，老旧设备下架，以及设备加电与业务应用系统运行验证检查等工作。</w:t>
      </w:r>
    </w:p>
    <w:p w14:paraId="6F6A52CF">
      <w:pPr>
        <w:wordWrap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3.乙方提供至少1名驻点工程师，每周至少1次对学习平台数据中心机房、强电弱电系统、网络基础设施等进行运行维护，保证设备平稳运行、信息系统访问正常，解决设备运行故障、网络安全等问题，做好运维日志记录、设备调优及保密等工作；根据运行维护情况，撰写提交月度、季度、年度运维报告；组织技术人员对学院相关技术人员开展2次网络安全培训，并形成安全培训报告。</w:t>
      </w:r>
    </w:p>
    <w:p w14:paraId="0B24471A">
      <w:pPr>
        <w:wordWrap w:val="0"/>
        <w:spacing w:line="360" w:lineRule="auto"/>
        <w:ind w:firstLine="420" w:firstLineChars="200"/>
        <w:rPr>
          <w:rFonts w:ascii="宋体" w:hAnsi="宋体" w:cs="宋体"/>
          <w:snapToGrid w:val="0"/>
          <w:kern w:val="0"/>
          <w:szCs w:val="21"/>
        </w:rPr>
      </w:pPr>
    </w:p>
    <w:p w14:paraId="65F72D0F">
      <w:pPr>
        <w:pStyle w:val="4"/>
        <w:jc w:val="left"/>
      </w:pPr>
      <w:bookmarkStart w:id="181" w:name="_Toc4939"/>
      <w:r>
        <w:rPr>
          <w:rFonts w:hint="eastAsia"/>
        </w:rPr>
        <w:t>五、人员组成</w:t>
      </w:r>
      <w:bookmarkEnd w:id="181"/>
    </w:p>
    <w:p w14:paraId="2C354BC3">
      <w:pPr>
        <w:wordWrap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1.乙方应针对本次服务必须组建本项目专业的运维团队，建立运维工作机制，提供全面的技术支持；配置1名项目经理，负责协调项目的实施、验收等工作，并按甲方要求安排1名较为固定的完全具有完成本项目工作能力的驻点运维工程师，每周至少1次派驻甲方指定办公地点处理日常网络安全运维服务工作。如果驻场运维工程师的工作能力和工作态度若不符合甲方要求，甲方有权随时要求更换人选。</w:t>
      </w:r>
    </w:p>
    <w:p w14:paraId="74A4E860">
      <w:pPr>
        <w:wordWrap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2.常驻运维工程师基本要求具有相关运维及相关工作经验，所学专业为计算机等相关专业，持有计算机网络或信息安全等相关中级或以上职业资格证书，技术水平须满足甲方服务需求，否则甲方可以要求更换人员。常驻运维工程师在项目执行期间严格遵守甲方的信息安全保密等相关规章制度。</w:t>
      </w:r>
    </w:p>
    <w:p w14:paraId="19F4D429">
      <w:pPr>
        <w:wordWrap w:val="0"/>
        <w:spacing w:line="360" w:lineRule="auto"/>
        <w:ind w:firstLine="420" w:firstLineChars="200"/>
        <w:rPr>
          <w:rFonts w:ascii="宋体" w:hAnsi="宋体" w:cs="宋体"/>
          <w:snapToGrid w:val="0"/>
          <w:kern w:val="0"/>
          <w:szCs w:val="21"/>
        </w:rPr>
      </w:pPr>
    </w:p>
    <w:p w14:paraId="082BBAA5">
      <w:pPr>
        <w:pStyle w:val="4"/>
        <w:jc w:val="left"/>
      </w:pPr>
      <w:bookmarkStart w:id="182" w:name="_Toc28402"/>
      <w:r>
        <w:rPr>
          <w:rFonts w:hint="eastAsia"/>
        </w:rPr>
        <w:t>六、服务</w:t>
      </w:r>
      <w:r>
        <w:t>质量要求</w:t>
      </w:r>
      <w:bookmarkEnd w:id="182"/>
    </w:p>
    <w:p w14:paraId="5D8E6682">
      <w:pPr>
        <w:wordWrap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1.服务内容中保内续保均为原厂维保，乙方应按甲方要求和项目需求，以专业水准按质按量做好各项维保服务内容及要求。</w:t>
      </w:r>
    </w:p>
    <w:p w14:paraId="43CF1081">
      <w:pPr>
        <w:wordWrap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2.在乙方运维范围内的硬件设备运行中出现故障时，乙方应该首先考虑最大限度降低影响，在30分钟内做出响应，2小时内到达甲方现场，24小时内查明故障原因，并按故障处理预案确保系统在尽可能短的时间内恢复正常运转。</w:t>
      </w:r>
    </w:p>
    <w:p w14:paraId="7D775AF6">
      <w:pPr>
        <w:wordWrap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3.甲方有重大工作任务安排时，需提供全程7×24小时的运维保障服务，出现异常应提供快速恢复服务。</w:t>
      </w:r>
    </w:p>
    <w:p w14:paraId="28E56AC9">
      <w:pPr>
        <w:wordWrap w:val="0"/>
        <w:spacing w:line="360" w:lineRule="auto"/>
        <w:ind w:firstLine="420" w:firstLineChars="200"/>
        <w:rPr>
          <w:rFonts w:ascii="宋体" w:hAnsi="宋体" w:cs="宋体"/>
          <w:snapToGrid w:val="0"/>
          <w:kern w:val="0"/>
          <w:szCs w:val="21"/>
        </w:rPr>
      </w:pPr>
    </w:p>
    <w:p w14:paraId="4A601378">
      <w:pPr>
        <w:pStyle w:val="4"/>
        <w:jc w:val="left"/>
      </w:pPr>
      <w:bookmarkStart w:id="183" w:name="_Toc6697"/>
      <w:r>
        <w:rPr>
          <w:rFonts w:hint="eastAsia"/>
        </w:rPr>
        <w:t>七</w:t>
      </w:r>
      <w:r>
        <w:t>、</w:t>
      </w:r>
      <w:r>
        <w:rPr>
          <w:rFonts w:hint="eastAsia"/>
        </w:rPr>
        <w:t>项目验收要求</w:t>
      </w:r>
      <w:bookmarkEnd w:id="183"/>
    </w:p>
    <w:p w14:paraId="5050B711">
      <w:pPr>
        <w:wordWrap w:val="0"/>
        <w:spacing w:before="120" w:beforeLines="50"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1.项目一阶段验收：合同签订后，乙方按合同规范要求为甲方启用本次采购的服务后10个日历日内，乙方必须向甲方派遣1名驻场工程师，对甲方全部合同规定维保设备进行一次全面检查，做出设备档案资料，对设备全面除尘、检修，并出具首次检查报告（均须经甲方同意认可的）。同时，乙方必须提供针对本项目的整体安全维护方案、信息系统应急演练方案、安全培训方案、设备维保方案、定期巡查巡检方案以及服务质量及保证措施（均须经甲方同意认可的），对于要求乙方提供维保服务的设备，乙方需要提供针对本项目相关设备的维保服务承诺函。另外，甲乙双方共同点验服务情况，包括：产品型号，产品数量，设备序列号，产品保修生效起止时间等，逐项清点后未发现产品的型号、数量、服务起止时间、序列号等与本合同相关规定不符，未发现提供的技术资料及相关文件存在不符合本合同约定的情形，应视验收合格。乙方完成上述项目内容并提供项目服务期内整体运维服务履行承诺函，且经甲方确认服务与合同要求一致后，乙方向甲方提出验收申请，甲方按照相关要求组织人员进行验收，验收合格后，双方共同签署《云南开放大学采购项目阶段性验收表》。</w:t>
      </w:r>
    </w:p>
    <w:p w14:paraId="0E6EB61D">
      <w:pPr>
        <w:wordWrap w:val="0"/>
        <w:spacing w:before="120" w:beforeLines="50"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2.项目二阶段验收：乙方正常开展项目要求的设备运维3个月且无质量问题，且经甲方确认服务与合同要求一致后，由乙方向甲方提出书面验收申请，甲方按照相关要求组织人员进行验收，验收合格后，甲乙双方共同签署《云南开放大学采购项目阶段性验收表》。</w:t>
      </w:r>
    </w:p>
    <w:p w14:paraId="1A5EA6BD">
      <w:pPr>
        <w:wordWrap w:val="0"/>
        <w:spacing w:before="120" w:beforeLines="50"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3.项目三阶段验收：乙方运维服务期满一年（12个月），且乙方按合同约定完成全部服务内容，在项目服务期结束后7个日历日内，由乙方向甲方提出书面验收申请，并在甲方的组织下，开展项目验收，验收合格后，甲乙双方共同签署《云南开放大学采购项目验收报告表》。</w:t>
      </w:r>
    </w:p>
    <w:p w14:paraId="543964C7">
      <w:pPr>
        <w:wordWrap w:val="0"/>
        <w:spacing w:before="120" w:beforeLines="50" w:line="360" w:lineRule="auto"/>
        <w:ind w:firstLine="420" w:firstLineChars="200"/>
        <w:rPr>
          <w:rFonts w:ascii="宋体" w:hAnsi="宋体" w:cs="宋体"/>
          <w:snapToGrid w:val="0"/>
          <w:kern w:val="0"/>
          <w:szCs w:val="21"/>
        </w:rPr>
      </w:pPr>
    </w:p>
    <w:p w14:paraId="0B496FD3">
      <w:pPr>
        <w:pStyle w:val="3"/>
        <w:widowControl w:val="0"/>
        <w:snapToGrid w:val="0"/>
        <w:spacing w:line="360" w:lineRule="auto"/>
        <w:jc w:val="center"/>
        <w:rPr>
          <w:rFonts w:ascii="黑体"/>
          <w:snapToGrid w:val="0"/>
        </w:rPr>
      </w:pPr>
      <w:r>
        <w:rPr>
          <w:rFonts w:ascii="宋体" w:hAnsi="宋体"/>
          <w:snapToGrid w:val="0"/>
          <w:szCs w:val="21"/>
        </w:rPr>
        <w:br w:type="page"/>
      </w:r>
      <w:bookmarkStart w:id="184" w:name="_Toc520749003"/>
      <w:bookmarkStart w:id="185" w:name="_Toc32365"/>
      <w:r>
        <w:rPr>
          <w:rFonts w:hint="eastAsia" w:ascii="黑体"/>
          <w:snapToGrid w:val="0"/>
        </w:rPr>
        <w:t>第七章  投标文件格式</w:t>
      </w:r>
      <w:bookmarkEnd w:id="184"/>
      <w:bookmarkEnd w:id="185"/>
    </w:p>
    <w:p w14:paraId="1DB9B472">
      <w:pPr>
        <w:wordWrap w:val="0"/>
        <w:spacing w:line="360" w:lineRule="auto"/>
        <w:ind w:firstLine="1040"/>
        <w:jc w:val="center"/>
        <w:rPr>
          <w:rFonts w:ascii="宋体" w:hAnsi="宋体" w:cs="宋体"/>
          <w:b/>
          <w:snapToGrid w:val="0"/>
          <w:kern w:val="0"/>
          <w:sz w:val="52"/>
          <w:szCs w:val="52"/>
        </w:rPr>
      </w:pPr>
    </w:p>
    <w:p w14:paraId="7A675824">
      <w:pPr>
        <w:pStyle w:val="49"/>
        <w:spacing w:line="360" w:lineRule="auto"/>
        <w:ind w:left="0" w:leftChars="0" w:firstLine="0" w:firstLineChars="0"/>
        <w:jc w:val="center"/>
        <w:rPr>
          <w:rFonts w:hint="eastAsia" w:ascii="黑体" w:hAnsi="宋体" w:eastAsia="黑体"/>
          <w:snapToGrid w:val="0"/>
          <w:kern w:val="0"/>
          <w:sz w:val="36"/>
          <w:szCs w:val="36"/>
          <w:lang w:eastAsia="zh-CN"/>
        </w:rPr>
      </w:pPr>
      <w:r>
        <w:rPr>
          <w:rFonts w:hint="eastAsia" w:ascii="宋体" w:hAnsi="宋体" w:eastAsia="黑体" w:cs="宋体"/>
          <w:b/>
          <w:snapToGrid w:val="0"/>
          <w:kern w:val="0"/>
          <w:sz w:val="36"/>
          <w:szCs w:val="36"/>
          <w:lang w:eastAsia="zh-CN"/>
        </w:rPr>
        <w:t>云南开放大学云南省干部在线学习学院2025年建设项目—学习平台设备运维项目（二次）</w:t>
      </w:r>
    </w:p>
    <w:p w14:paraId="453182CE">
      <w:pPr>
        <w:spacing w:line="360" w:lineRule="auto"/>
        <w:jc w:val="center"/>
        <w:rPr>
          <w:rFonts w:ascii="黑体" w:hAnsi="宋体" w:eastAsia="黑体"/>
          <w:snapToGrid w:val="0"/>
          <w:kern w:val="0"/>
          <w:sz w:val="30"/>
          <w:szCs w:val="30"/>
        </w:rPr>
      </w:pPr>
    </w:p>
    <w:p w14:paraId="422FB23B">
      <w:pPr>
        <w:spacing w:line="360" w:lineRule="auto"/>
        <w:jc w:val="center"/>
        <w:rPr>
          <w:rFonts w:ascii="黑体" w:hAnsi="宋体" w:eastAsia="黑体"/>
          <w:snapToGrid w:val="0"/>
          <w:kern w:val="0"/>
          <w:sz w:val="30"/>
          <w:szCs w:val="30"/>
        </w:rPr>
      </w:pPr>
      <w:r>
        <w:rPr>
          <w:rFonts w:hint="eastAsia" w:ascii="黑体" w:hAnsi="宋体" w:eastAsia="黑体"/>
          <w:snapToGrid w:val="0"/>
          <w:kern w:val="0"/>
          <w:sz w:val="30"/>
          <w:szCs w:val="30"/>
        </w:rPr>
        <w:t>项目编号：YNZC2025-G3-03800-GNZB-0009</w:t>
      </w:r>
    </w:p>
    <w:p w14:paraId="38AB043D">
      <w:pPr>
        <w:pStyle w:val="49"/>
        <w:ind w:firstLine="0" w:firstLineChars="0"/>
        <w:rPr>
          <w:snapToGrid w:val="0"/>
          <w:kern w:val="0"/>
        </w:rPr>
      </w:pPr>
    </w:p>
    <w:p w14:paraId="5D3E6681">
      <w:pPr>
        <w:pStyle w:val="49"/>
        <w:ind w:firstLine="0" w:firstLineChars="0"/>
        <w:rPr>
          <w:snapToGrid w:val="0"/>
          <w:kern w:val="0"/>
        </w:rPr>
      </w:pPr>
    </w:p>
    <w:p w14:paraId="65A414DF">
      <w:pPr>
        <w:pStyle w:val="49"/>
        <w:ind w:firstLine="0" w:firstLineChars="0"/>
        <w:rPr>
          <w:snapToGrid w:val="0"/>
          <w:kern w:val="0"/>
        </w:rPr>
      </w:pPr>
    </w:p>
    <w:p w14:paraId="0EBE77BA">
      <w:pPr>
        <w:pStyle w:val="49"/>
        <w:ind w:firstLine="0" w:firstLineChars="0"/>
        <w:rPr>
          <w:snapToGrid w:val="0"/>
          <w:kern w:val="0"/>
        </w:rPr>
      </w:pPr>
    </w:p>
    <w:p w14:paraId="2B67D1A4">
      <w:pPr>
        <w:spacing w:line="360" w:lineRule="auto"/>
        <w:jc w:val="center"/>
        <w:rPr>
          <w:rFonts w:ascii="黑体" w:hAnsi="宋体" w:eastAsia="黑体"/>
          <w:snapToGrid w:val="0"/>
          <w:kern w:val="0"/>
          <w:sz w:val="88"/>
          <w:szCs w:val="72"/>
        </w:rPr>
      </w:pPr>
      <w:r>
        <w:rPr>
          <w:rFonts w:hint="eastAsia" w:ascii="黑体" w:hAnsi="宋体" w:eastAsia="黑体"/>
          <w:snapToGrid w:val="0"/>
          <w:kern w:val="0"/>
          <w:sz w:val="88"/>
          <w:szCs w:val="72"/>
        </w:rPr>
        <w:t>投标文件</w:t>
      </w:r>
    </w:p>
    <w:p w14:paraId="642BC4C8">
      <w:pPr>
        <w:spacing w:line="360" w:lineRule="auto"/>
        <w:rPr>
          <w:rFonts w:ascii="宋体" w:hAnsi="宋体"/>
          <w:snapToGrid w:val="0"/>
          <w:kern w:val="0"/>
          <w:sz w:val="32"/>
        </w:rPr>
      </w:pPr>
    </w:p>
    <w:p w14:paraId="4137AEDA">
      <w:pPr>
        <w:pStyle w:val="49"/>
        <w:ind w:firstLine="0" w:firstLineChars="0"/>
        <w:rPr>
          <w:rFonts w:ascii="黑体" w:hAnsi="宋体" w:eastAsia="黑体"/>
          <w:snapToGrid w:val="0"/>
          <w:kern w:val="0"/>
          <w:sz w:val="30"/>
        </w:rPr>
      </w:pPr>
    </w:p>
    <w:p w14:paraId="54206151">
      <w:pPr>
        <w:pStyle w:val="49"/>
        <w:ind w:firstLine="0" w:firstLineChars="0"/>
        <w:rPr>
          <w:rFonts w:ascii="黑体" w:hAnsi="宋体" w:eastAsia="黑体"/>
          <w:snapToGrid w:val="0"/>
          <w:kern w:val="0"/>
          <w:sz w:val="30"/>
        </w:rPr>
      </w:pPr>
    </w:p>
    <w:p w14:paraId="5ECF8596">
      <w:pPr>
        <w:pStyle w:val="49"/>
        <w:ind w:firstLine="0" w:firstLineChars="0"/>
        <w:rPr>
          <w:rFonts w:ascii="黑体" w:hAnsi="宋体" w:eastAsia="黑体"/>
          <w:snapToGrid w:val="0"/>
          <w:kern w:val="0"/>
          <w:sz w:val="30"/>
        </w:rPr>
      </w:pPr>
    </w:p>
    <w:p w14:paraId="45C76835">
      <w:pPr>
        <w:snapToGrid w:val="0"/>
        <w:spacing w:line="360" w:lineRule="auto"/>
        <w:rPr>
          <w:rFonts w:ascii="黑体" w:hAnsi="宋体" w:eastAsia="黑体"/>
          <w:snapToGrid w:val="0"/>
          <w:kern w:val="0"/>
          <w:sz w:val="30"/>
        </w:rPr>
      </w:pPr>
    </w:p>
    <w:p w14:paraId="6C4F9C52">
      <w:pPr>
        <w:pStyle w:val="18"/>
      </w:pPr>
    </w:p>
    <w:p w14:paraId="66E1F58B"/>
    <w:p w14:paraId="080F0108">
      <w:pPr>
        <w:pStyle w:val="18"/>
      </w:pPr>
    </w:p>
    <w:p w14:paraId="556F677D">
      <w:pPr>
        <w:spacing w:line="600" w:lineRule="auto"/>
        <w:jc w:val="center"/>
        <w:rPr>
          <w:rFonts w:ascii="宋体" w:hAnsi="宋体"/>
          <w:b/>
          <w:sz w:val="27"/>
        </w:rPr>
      </w:pPr>
      <w:bookmarkStart w:id="186" w:name="_Toc324500174"/>
      <w:r>
        <w:rPr>
          <w:rFonts w:hint="eastAsia" w:ascii="宋体" w:hAnsi="宋体"/>
          <w:b/>
          <w:sz w:val="27"/>
        </w:rPr>
        <w:t>投标人：</w:t>
      </w:r>
      <w:r>
        <w:rPr>
          <w:rFonts w:hint="eastAsia" w:ascii="宋体" w:hAnsi="宋体"/>
          <w:b/>
          <w:sz w:val="27"/>
          <w:u w:val="single"/>
        </w:rPr>
        <w:tab/>
      </w:r>
      <w:r>
        <w:rPr>
          <w:rFonts w:hint="eastAsia" w:ascii="宋体" w:hAnsi="宋体"/>
          <w:b/>
          <w:sz w:val="27"/>
          <w:u w:val="single"/>
        </w:rPr>
        <w:t xml:space="preserve">             </w:t>
      </w:r>
      <w:r>
        <w:rPr>
          <w:rFonts w:hint="eastAsia" w:ascii="宋体" w:hAnsi="宋体"/>
          <w:b/>
          <w:sz w:val="27"/>
        </w:rPr>
        <w:t>（电子公章）</w:t>
      </w:r>
    </w:p>
    <w:p w14:paraId="548B0DD5">
      <w:pPr>
        <w:spacing w:line="600" w:lineRule="auto"/>
        <w:jc w:val="center"/>
        <w:rPr>
          <w:rFonts w:ascii="宋体" w:hAnsi="宋体"/>
          <w:b/>
          <w:sz w:val="27"/>
        </w:rPr>
      </w:pPr>
      <w:r>
        <w:rPr>
          <w:rFonts w:hint="eastAsia" w:ascii="宋体" w:hAnsi="宋体"/>
          <w:b/>
          <w:sz w:val="27"/>
        </w:rPr>
        <w:t>法定代表人或委托代理人：</w:t>
      </w:r>
      <w:r>
        <w:rPr>
          <w:rFonts w:hint="eastAsia" w:ascii="宋体" w:hAnsi="宋体"/>
          <w:b/>
          <w:sz w:val="27"/>
          <w:u w:val="single"/>
        </w:rPr>
        <w:tab/>
      </w:r>
      <w:r>
        <w:rPr>
          <w:rFonts w:hint="eastAsia" w:ascii="宋体" w:hAnsi="宋体"/>
          <w:b/>
          <w:sz w:val="27"/>
          <w:u w:val="single"/>
        </w:rPr>
        <w:t xml:space="preserve">        </w:t>
      </w:r>
      <w:r>
        <w:rPr>
          <w:rFonts w:hint="eastAsia" w:ascii="宋体" w:hAnsi="宋体"/>
          <w:b/>
          <w:sz w:val="27"/>
        </w:rPr>
        <w:t>（电子签名/章）</w:t>
      </w:r>
    </w:p>
    <w:p w14:paraId="5FBA97BE">
      <w:pPr>
        <w:spacing w:line="600" w:lineRule="auto"/>
        <w:jc w:val="center"/>
        <w:rPr>
          <w:rFonts w:ascii="宋体" w:hAnsi="宋体"/>
          <w:b/>
          <w:sz w:val="42"/>
        </w:rPr>
      </w:pPr>
      <w:r>
        <w:rPr>
          <w:rFonts w:hint="eastAsia" w:ascii="宋体" w:hAnsi="宋体"/>
          <w:b/>
          <w:sz w:val="27"/>
        </w:rPr>
        <w:t>日期：</w:t>
      </w:r>
      <w:r>
        <w:rPr>
          <w:rFonts w:hint="eastAsia" w:ascii="宋体" w:hAnsi="宋体"/>
          <w:b/>
          <w:sz w:val="27"/>
          <w:u w:val="single"/>
        </w:rPr>
        <w:tab/>
      </w:r>
      <w:r>
        <w:rPr>
          <w:rFonts w:hint="eastAsia" w:ascii="宋体" w:hAnsi="宋体"/>
          <w:b/>
          <w:sz w:val="27"/>
          <w:u w:val="single"/>
        </w:rPr>
        <w:t xml:space="preserve">      </w:t>
      </w:r>
      <w:r>
        <w:rPr>
          <w:rFonts w:hint="eastAsia" w:ascii="宋体" w:hAnsi="宋体"/>
          <w:b/>
          <w:sz w:val="27"/>
        </w:rPr>
        <w:t>年</w:t>
      </w:r>
      <w:r>
        <w:rPr>
          <w:rFonts w:hint="eastAsia" w:ascii="宋体" w:hAnsi="宋体"/>
          <w:b/>
          <w:sz w:val="27"/>
          <w:u w:val="single"/>
        </w:rPr>
        <w:tab/>
      </w:r>
      <w:r>
        <w:rPr>
          <w:rFonts w:hint="eastAsia" w:ascii="宋体" w:hAnsi="宋体"/>
          <w:b/>
          <w:sz w:val="27"/>
          <w:u w:val="single"/>
        </w:rPr>
        <w:t xml:space="preserve">   </w:t>
      </w:r>
      <w:r>
        <w:rPr>
          <w:rFonts w:hint="eastAsia" w:ascii="宋体" w:hAnsi="宋体"/>
          <w:b/>
          <w:sz w:val="27"/>
        </w:rPr>
        <w:t>月</w:t>
      </w:r>
      <w:r>
        <w:rPr>
          <w:rFonts w:hint="eastAsia" w:ascii="宋体" w:hAnsi="宋体"/>
          <w:b/>
          <w:sz w:val="27"/>
          <w:u w:val="single"/>
        </w:rPr>
        <w:tab/>
      </w:r>
      <w:r>
        <w:rPr>
          <w:rFonts w:hint="eastAsia" w:ascii="宋体" w:hAnsi="宋体"/>
          <w:b/>
          <w:sz w:val="27"/>
          <w:u w:val="single"/>
        </w:rPr>
        <w:t xml:space="preserve">   </w:t>
      </w:r>
      <w:r>
        <w:rPr>
          <w:rFonts w:hint="eastAsia" w:ascii="宋体" w:hAnsi="宋体"/>
          <w:b/>
          <w:sz w:val="27"/>
        </w:rPr>
        <w:t>日</w:t>
      </w:r>
    </w:p>
    <w:p w14:paraId="56E732F7">
      <w:pPr>
        <w:wordWrap w:val="0"/>
        <w:spacing w:before="120" w:beforeLines="50" w:after="120" w:afterLines="50"/>
        <w:jc w:val="center"/>
        <w:outlineLvl w:val="2"/>
        <w:rPr>
          <w:b/>
          <w:snapToGrid w:val="0"/>
          <w:kern w:val="0"/>
          <w:sz w:val="30"/>
          <w:szCs w:val="30"/>
        </w:rPr>
      </w:pPr>
      <w:r>
        <w:rPr>
          <w:rFonts w:hint="eastAsia"/>
          <w:snapToGrid w:val="0"/>
          <w:kern w:val="0"/>
        </w:rPr>
        <w:br w:type="page"/>
      </w:r>
      <w:bookmarkStart w:id="187" w:name="_Toc26384"/>
      <w:bookmarkStart w:id="188" w:name="_Toc520749022"/>
      <w:bookmarkStart w:id="189" w:name="_Toc32409"/>
      <w:bookmarkStart w:id="190" w:name="_Toc26989"/>
      <w:bookmarkStart w:id="191" w:name="_Toc520749004"/>
      <w:r>
        <w:rPr>
          <w:rFonts w:hint="eastAsia"/>
          <w:b/>
          <w:snapToGrid w:val="0"/>
          <w:kern w:val="0"/>
          <w:sz w:val="30"/>
          <w:szCs w:val="30"/>
        </w:rPr>
        <w:t>一、投标报价（唱标）一览表</w:t>
      </w:r>
      <w:bookmarkEnd w:id="187"/>
      <w:bookmarkEnd w:id="188"/>
      <w:bookmarkEnd w:id="189"/>
    </w:p>
    <w:p w14:paraId="02258096">
      <w:pPr>
        <w:wordWrap w:val="0"/>
        <w:spacing w:line="360" w:lineRule="auto"/>
        <w:rPr>
          <w:snapToGrid w:val="0"/>
          <w:kern w:val="0"/>
        </w:rPr>
      </w:pPr>
    </w:p>
    <w:p w14:paraId="0D81A672">
      <w:pPr>
        <w:wordWrap w:val="0"/>
        <w:spacing w:line="360" w:lineRule="auto"/>
        <w:rPr>
          <w:rFonts w:hint="eastAsia" w:eastAsia="宋体"/>
          <w:snapToGrid w:val="0"/>
          <w:kern w:val="0"/>
          <w:lang w:eastAsia="zh-CN"/>
        </w:rPr>
      </w:pPr>
      <w:r>
        <w:rPr>
          <w:rFonts w:hint="eastAsia"/>
          <w:snapToGrid w:val="0"/>
          <w:kern w:val="0"/>
        </w:rPr>
        <w:t>项目名称</w:t>
      </w:r>
      <w:r>
        <w:rPr>
          <w:snapToGrid w:val="0"/>
          <w:kern w:val="0"/>
        </w:rPr>
        <w:t>：</w:t>
      </w:r>
      <w:r>
        <w:rPr>
          <w:rFonts w:hint="eastAsia"/>
          <w:snapToGrid w:val="0"/>
          <w:kern w:val="0"/>
          <w:lang w:eastAsia="zh-CN"/>
        </w:rPr>
        <w:t>云南开放大学云南省干部在线学习学院2025年建设项目—学习平台设备运维项目（二次）</w:t>
      </w:r>
    </w:p>
    <w:p w14:paraId="29D5D303">
      <w:pPr>
        <w:wordWrap w:val="0"/>
        <w:spacing w:line="360" w:lineRule="auto"/>
        <w:rPr>
          <w:rFonts w:ascii="宋体" w:hAnsi="宋体"/>
          <w:snapToGrid w:val="0"/>
          <w:kern w:val="0"/>
          <w:szCs w:val="21"/>
        </w:rPr>
      </w:pPr>
      <w:r>
        <w:rPr>
          <w:rFonts w:hint="eastAsia" w:ascii="宋体" w:hAnsi="宋体"/>
          <w:snapToGrid w:val="0"/>
          <w:kern w:val="0"/>
          <w:szCs w:val="21"/>
        </w:rPr>
        <w:t>项目编号：YNZC2025-G3-03800-GNZB-0009</w:t>
      </w:r>
    </w:p>
    <w:tbl>
      <w:tblPr>
        <w:tblStyle w:val="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7"/>
        <w:gridCol w:w="2174"/>
        <w:gridCol w:w="5553"/>
      </w:tblGrid>
      <w:tr w14:paraId="267B4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1087" w:type="dxa"/>
            <w:vAlign w:val="center"/>
          </w:tcPr>
          <w:p w14:paraId="58E3653E">
            <w:pPr>
              <w:jc w:val="center"/>
            </w:pPr>
            <w:r>
              <w:rPr>
                <w:rFonts w:hint="eastAsia"/>
              </w:rPr>
              <w:t>序号</w:t>
            </w:r>
          </w:p>
        </w:tc>
        <w:tc>
          <w:tcPr>
            <w:tcW w:w="2174" w:type="dxa"/>
            <w:vAlign w:val="center"/>
          </w:tcPr>
          <w:p w14:paraId="670D6B03">
            <w:pPr>
              <w:jc w:val="center"/>
            </w:pPr>
            <w:r>
              <w:rPr>
                <w:rFonts w:hint="eastAsia"/>
              </w:rPr>
              <w:t>内容</w:t>
            </w:r>
          </w:p>
        </w:tc>
        <w:tc>
          <w:tcPr>
            <w:tcW w:w="5553" w:type="dxa"/>
            <w:vAlign w:val="center"/>
          </w:tcPr>
          <w:p w14:paraId="777AB17F">
            <w:pPr>
              <w:jc w:val="center"/>
            </w:pPr>
            <w:r>
              <w:rPr>
                <w:rFonts w:hint="eastAsia"/>
              </w:rPr>
              <w:t>报价或</w:t>
            </w:r>
            <w:r>
              <w:t>承诺</w:t>
            </w:r>
          </w:p>
        </w:tc>
      </w:tr>
      <w:tr w14:paraId="742EF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1087" w:type="dxa"/>
            <w:vMerge w:val="restart"/>
            <w:vAlign w:val="center"/>
          </w:tcPr>
          <w:p w14:paraId="48A83360">
            <w:r>
              <w:rPr>
                <w:rFonts w:hint="eastAsia"/>
              </w:rPr>
              <w:t>1</w:t>
            </w:r>
          </w:p>
        </w:tc>
        <w:tc>
          <w:tcPr>
            <w:tcW w:w="2174" w:type="dxa"/>
            <w:vMerge w:val="restart"/>
            <w:vAlign w:val="center"/>
          </w:tcPr>
          <w:p w14:paraId="0AD6913E">
            <w:r>
              <w:rPr>
                <w:rFonts w:hint="eastAsia"/>
              </w:rPr>
              <w:t>投标总报价（</w:t>
            </w:r>
            <w:r>
              <w:rPr>
                <w:rFonts w:hint="eastAsia"/>
                <w:bCs/>
              </w:rPr>
              <w:t>元）</w:t>
            </w:r>
          </w:p>
        </w:tc>
        <w:tc>
          <w:tcPr>
            <w:tcW w:w="5553" w:type="dxa"/>
            <w:vAlign w:val="center"/>
          </w:tcPr>
          <w:p w14:paraId="57C11C16">
            <w:r>
              <w:rPr>
                <w:rFonts w:hint="eastAsia"/>
              </w:rPr>
              <w:t>小写：</w:t>
            </w:r>
          </w:p>
        </w:tc>
      </w:tr>
      <w:tr w14:paraId="4F8E5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1087" w:type="dxa"/>
            <w:vMerge w:val="continue"/>
            <w:vAlign w:val="center"/>
          </w:tcPr>
          <w:p w14:paraId="71C96C65"/>
        </w:tc>
        <w:tc>
          <w:tcPr>
            <w:tcW w:w="2174" w:type="dxa"/>
            <w:vMerge w:val="continue"/>
            <w:vAlign w:val="center"/>
          </w:tcPr>
          <w:p w14:paraId="3DA9D8E8"/>
        </w:tc>
        <w:tc>
          <w:tcPr>
            <w:tcW w:w="5553" w:type="dxa"/>
            <w:vAlign w:val="center"/>
          </w:tcPr>
          <w:p w14:paraId="4398AB0C">
            <w:r>
              <w:rPr>
                <w:rFonts w:hint="eastAsia"/>
              </w:rPr>
              <w:t>大写：</w:t>
            </w:r>
          </w:p>
        </w:tc>
      </w:tr>
      <w:tr w14:paraId="3A105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1087" w:type="dxa"/>
            <w:vAlign w:val="center"/>
          </w:tcPr>
          <w:p w14:paraId="5C156986">
            <w:r>
              <w:rPr>
                <w:rFonts w:hint="eastAsia"/>
              </w:rPr>
              <w:t>2</w:t>
            </w:r>
          </w:p>
        </w:tc>
        <w:tc>
          <w:tcPr>
            <w:tcW w:w="2174" w:type="dxa"/>
            <w:vAlign w:val="center"/>
          </w:tcPr>
          <w:p w14:paraId="787964B1">
            <w:r>
              <w:rPr>
                <w:rFonts w:hint="eastAsia"/>
              </w:rPr>
              <w:t>服务期限</w:t>
            </w:r>
          </w:p>
        </w:tc>
        <w:tc>
          <w:tcPr>
            <w:tcW w:w="5553" w:type="dxa"/>
            <w:vAlign w:val="center"/>
          </w:tcPr>
          <w:p w14:paraId="3507DF7D"/>
        </w:tc>
      </w:tr>
      <w:tr w14:paraId="57AC5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1087" w:type="dxa"/>
            <w:vAlign w:val="center"/>
          </w:tcPr>
          <w:p w14:paraId="65DE75A6">
            <w:r>
              <w:rPr>
                <w:rFonts w:hint="eastAsia"/>
              </w:rPr>
              <w:t>3</w:t>
            </w:r>
          </w:p>
        </w:tc>
        <w:tc>
          <w:tcPr>
            <w:tcW w:w="2174" w:type="dxa"/>
            <w:vAlign w:val="center"/>
          </w:tcPr>
          <w:p w14:paraId="1C552C4B">
            <w:r>
              <w:rPr>
                <w:rFonts w:hint="eastAsia"/>
              </w:rPr>
              <w:t>服务</w:t>
            </w:r>
            <w:r>
              <w:t>地点</w:t>
            </w:r>
          </w:p>
        </w:tc>
        <w:tc>
          <w:tcPr>
            <w:tcW w:w="5553" w:type="dxa"/>
            <w:vAlign w:val="center"/>
          </w:tcPr>
          <w:p w14:paraId="589CD185"/>
        </w:tc>
      </w:tr>
      <w:tr w14:paraId="6703D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1087" w:type="dxa"/>
            <w:vAlign w:val="center"/>
          </w:tcPr>
          <w:p w14:paraId="0C38F76B">
            <w:r>
              <w:rPr>
                <w:rFonts w:hint="eastAsia"/>
              </w:rPr>
              <w:t>4</w:t>
            </w:r>
          </w:p>
        </w:tc>
        <w:tc>
          <w:tcPr>
            <w:tcW w:w="2174" w:type="dxa"/>
            <w:vAlign w:val="center"/>
          </w:tcPr>
          <w:p w14:paraId="5AE35E6F">
            <w:r>
              <w:rPr>
                <w:rFonts w:hint="eastAsia"/>
              </w:rPr>
              <w:t>投标保证金（</w:t>
            </w:r>
            <w:r>
              <w:rPr>
                <w:rFonts w:hint="eastAsia"/>
                <w:bCs/>
              </w:rPr>
              <w:t>元）</w:t>
            </w:r>
          </w:p>
        </w:tc>
        <w:tc>
          <w:tcPr>
            <w:tcW w:w="5553" w:type="dxa"/>
            <w:vAlign w:val="center"/>
          </w:tcPr>
          <w:p w14:paraId="7E5D4368"/>
        </w:tc>
      </w:tr>
    </w:tbl>
    <w:p w14:paraId="05504A63">
      <w:pPr>
        <w:pStyle w:val="18"/>
      </w:pPr>
    </w:p>
    <w:p w14:paraId="39A06188">
      <w:pPr>
        <w:pStyle w:val="18"/>
      </w:pPr>
    </w:p>
    <w:p w14:paraId="12E40887">
      <w:pPr>
        <w:spacing w:line="360" w:lineRule="auto"/>
        <w:ind w:firstLine="422"/>
        <w:rPr>
          <w:rFonts w:ascii="宋体" w:hAnsi="宋体"/>
          <w:szCs w:val="21"/>
          <w:u w:val="single"/>
        </w:rPr>
      </w:pPr>
      <w:r>
        <w:rPr>
          <w:rFonts w:hint="eastAsia" w:ascii="宋体" w:hAnsi="宋体"/>
          <w:szCs w:val="21"/>
        </w:rPr>
        <w:t>投标人：</w:t>
      </w:r>
      <w:r>
        <w:rPr>
          <w:rFonts w:hint="eastAsia" w:ascii="宋体" w:hAnsi="宋体"/>
          <w:szCs w:val="21"/>
          <w:u w:val="single"/>
        </w:rPr>
        <w:tab/>
      </w:r>
      <w:r>
        <w:rPr>
          <w:rFonts w:hint="eastAsia" w:ascii="宋体" w:hAnsi="宋体"/>
          <w:szCs w:val="21"/>
          <w:u w:val="single"/>
        </w:rPr>
        <w:t xml:space="preserve">               </w:t>
      </w:r>
      <w:r>
        <w:rPr>
          <w:rFonts w:hint="eastAsia" w:ascii="宋体" w:hAnsi="宋体"/>
          <w:szCs w:val="21"/>
        </w:rPr>
        <w:t>（电子公章）</w:t>
      </w:r>
    </w:p>
    <w:p w14:paraId="12EF5EBB">
      <w:pPr>
        <w:spacing w:line="360" w:lineRule="auto"/>
        <w:ind w:firstLine="422"/>
        <w:rPr>
          <w:rFonts w:ascii="宋体" w:hAnsi="宋体"/>
          <w:szCs w:val="21"/>
          <w:u w:val="single"/>
        </w:rPr>
      </w:pPr>
      <w:r>
        <w:rPr>
          <w:rFonts w:hint="eastAsia" w:ascii="宋体" w:hAnsi="宋体"/>
          <w:szCs w:val="21"/>
        </w:rPr>
        <w:t>法定代表人或其委托代理人：</w:t>
      </w:r>
      <w:r>
        <w:rPr>
          <w:rFonts w:hint="eastAsia" w:ascii="宋体" w:hAnsi="宋体"/>
          <w:szCs w:val="21"/>
          <w:u w:val="single"/>
        </w:rPr>
        <w:t xml:space="preserve">         </w:t>
      </w:r>
      <w:r>
        <w:rPr>
          <w:rFonts w:hint="eastAsia" w:ascii="宋体" w:hAnsi="宋体"/>
          <w:szCs w:val="21"/>
        </w:rPr>
        <w:t>（电子签名/章）</w:t>
      </w:r>
    </w:p>
    <w:p w14:paraId="399B8A43">
      <w:pPr>
        <w:spacing w:line="360" w:lineRule="auto"/>
        <w:ind w:firstLine="422"/>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0EB75864">
      <w:pPr>
        <w:wordWrap w:val="0"/>
        <w:spacing w:line="360" w:lineRule="auto"/>
        <w:rPr>
          <w:rFonts w:hAnsi="宋体"/>
          <w:snapToGrid w:val="0"/>
          <w:kern w:val="0"/>
          <w:szCs w:val="21"/>
          <w:u w:val="single"/>
        </w:rPr>
      </w:pPr>
    </w:p>
    <w:p w14:paraId="5537B720">
      <w:pPr>
        <w:pStyle w:val="18"/>
      </w:pPr>
    </w:p>
    <w:p w14:paraId="77040E0B">
      <w:pPr>
        <w:pStyle w:val="18"/>
      </w:pPr>
    </w:p>
    <w:p w14:paraId="2EE1D3E6">
      <w:pPr>
        <w:pStyle w:val="18"/>
      </w:pPr>
    </w:p>
    <w:p w14:paraId="23FE8859">
      <w:pPr>
        <w:pStyle w:val="18"/>
      </w:pPr>
    </w:p>
    <w:p w14:paraId="1E984016"/>
    <w:p w14:paraId="4699AE60">
      <w:pPr>
        <w:pStyle w:val="18"/>
      </w:pPr>
    </w:p>
    <w:p w14:paraId="7DF7B8C7"/>
    <w:p w14:paraId="55D6B8A1">
      <w:pPr>
        <w:wordWrap w:val="0"/>
        <w:spacing w:line="360" w:lineRule="auto"/>
        <w:ind w:firstLine="441" w:firstLineChars="210"/>
        <w:rPr>
          <w:rFonts w:ascii="宋体" w:hAnsi="宋体"/>
          <w:snapToGrid w:val="0"/>
          <w:kern w:val="0"/>
          <w:szCs w:val="21"/>
        </w:rPr>
      </w:pPr>
    </w:p>
    <w:p w14:paraId="16105E8C">
      <w:pPr>
        <w:rPr>
          <w:b/>
        </w:rPr>
      </w:pPr>
      <w:r>
        <w:rPr>
          <w:rFonts w:hint="eastAsia"/>
          <w:b/>
        </w:rPr>
        <w:t>注：本投标报价（唱标）一览表应放在投标文件封面</w:t>
      </w:r>
      <w:r>
        <w:rPr>
          <w:b/>
        </w:rPr>
        <w:t>后</w:t>
      </w:r>
      <w:r>
        <w:rPr>
          <w:rFonts w:hint="eastAsia"/>
          <w:b/>
        </w:rPr>
        <w:t>第一页。</w:t>
      </w:r>
    </w:p>
    <w:p w14:paraId="3887E93D">
      <w:pPr>
        <w:pStyle w:val="18"/>
      </w:pPr>
    </w:p>
    <w:p w14:paraId="24100CC3">
      <w:pPr>
        <w:wordWrap w:val="0"/>
        <w:spacing w:before="120" w:beforeLines="50" w:after="120" w:afterLines="50"/>
        <w:jc w:val="center"/>
        <w:outlineLvl w:val="2"/>
        <w:rPr>
          <w:snapToGrid w:val="0"/>
          <w:kern w:val="0"/>
        </w:rPr>
      </w:pPr>
      <w:r>
        <w:rPr>
          <w:snapToGrid w:val="0"/>
        </w:rPr>
        <w:br w:type="page"/>
      </w:r>
      <w:bookmarkStart w:id="192" w:name="_Toc6940"/>
      <w:r>
        <w:rPr>
          <w:rFonts w:hint="eastAsia"/>
          <w:b/>
          <w:snapToGrid w:val="0"/>
          <w:kern w:val="0"/>
          <w:sz w:val="30"/>
          <w:szCs w:val="30"/>
        </w:rPr>
        <w:t>二、</w:t>
      </w:r>
      <w:bookmarkEnd w:id="190"/>
      <w:bookmarkStart w:id="193" w:name="_Toc15092"/>
      <w:r>
        <w:rPr>
          <w:rFonts w:hint="eastAsia"/>
          <w:b/>
          <w:snapToGrid w:val="0"/>
          <w:kern w:val="0"/>
          <w:sz w:val="30"/>
          <w:szCs w:val="30"/>
        </w:rPr>
        <w:t>资格审查部分格式</w:t>
      </w:r>
      <w:bookmarkEnd w:id="186"/>
      <w:bookmarkEnd w:id="191"/>
      <w:bookmarkEnd w:id="192"/>
      <w:bookmarkEnd w:id="193"/>
    </w:p>
    <w:p w14:paraId="05090A57">
      <w:pPr>
        <w:wordWrap w:val="0"/>
        <w:spacing w:line="360" w:lineRule="auto"/>
        <w:rPr>
          <w:rFonts w:ascii="宋体" w:hAnsi="宋体"/>
          <w:snapToGrid w:val="0"/>
          <w:kern w:val="0"/>
          <w:szCs w:val="21"/>
        </w:rPr>
      </w:pPr>
    </w:p>
    <w:p w14:paraId="767D4EA2">
      <w:pPr>
        <w:pStyle w:val="5"/>
        <w:rPr>
          <w:snapToGrid w:val="0"/>
        </w:rPr>
      </w:pPr>
      <w:bookmarkStart w:id="194" w:name="_Toc520749006"/>
      <w:bookmarkStart w:id="195" w:name="_Toc11418"/>
      <w:r>
        <w:rPr>
          <w:rFonts w:hint="eastAsia"/>
          <w:snapToGrid w:val="0"/>
        </w:rPr>
        <w:t>（一）供应商一般情况表</w:t>
      </w:r>
      <w:bookmarkEnd w:id="194"/>
      <w:bookmarkEnd w:id="195"/>
    </w:p>
    <w:tbl>
      <w:tblPr>
        <w:tblStyle w:val="50"/>
        <w:tblW w:w="88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579"/>
        <w:gridCol w:w="3859"/>
        <w:gridCol w:w="4404"/>
      </w:tblGrid>
      <w:tr w14:paraId="17C22C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698A39A1">
            <w:pPr>
              <w:jc w:val="center"/>
              <w:rPr>
                <w:rFonts w:ascii="宋体" w:hAnsi="宋体"/>
                <w:snapToGrid w:val="0"/>
                <w:kern w:val="0"/>
                <w:szCs w:val="21"/>
              </w:rPr>
            </w:pPr>
            <w:r>
              <w:rPr>
                <w:rFonts w:hint="eastAsia" w:ascii="宋体" w:hAnsi="宋体"/>
                <w:snapToGrid w:val="0"/>
                <w:kern w:val="0"/>
                <w:szCs w:val="21"/>
              </w:rPr>
              <w:t>1</w:t>
            </w:r>
          </w:p>
        </w:tc>
        <w:tc>
          <w:tcPr>
            <w:tcW w:w="8263" w:type="dxa"/>
            <w:gridSpan w:val="2"/>
            <w:tcBorders>
              <w:top w:val="single" w:color="auto" w:sz="6" w:space="0"/>
              <w:left w:val="single" w:color="auto" w:sz="6" w:space="0"/>
              <w:bottom w:val="single" w:color="auto" w:sz="6" w:space="0"/>
              <w:right w:val="single" w:color="auto" w:sz="6" w:space="0"/>
            </w:tcBorders>
            <w:vAlign w:val="center"/>
          </w:tcPr>
          <w:p w14:paraId="1748B516">
            <w:pPr>
              <w:rPr>
                <w:rFonts w:ascii="宋体" w:hAnsi="宋体"/>
                <w:snapToGrid w:val="0"/>
                <w:kern w:val="0"/>
                <w:szCs w:val="21"/>
              </w:rPr>
            </w:pPr>
            <w:r>
              <w:rPr>
                <w:rFonts w:hint="eastAsia" w:ascii="宋体" w:hAnsi="宋体"/>
                <w:snapToGrid w:val="0"/>
                <w:kern w:val="0"/>
                <w:szCs w:val="21"/>
              </w:rPr>
              <w:t>企业名称</w:t>
            </w:r>
          </w:p>
        </w:tc>
      </w:tr>
      <w:tr w14:paraId="071624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646E4C7F">
            <w:pPr>
              <w:jc w:val="center"/>
              <w:rPr>
                <w:rFonts w:ascii="宋体" w:hAnsi="宋体"/>
                <w:snapToGrid w:val="0"/>
                <w:kern w:val="0"/>
                <w:szCs w:val="21"/>
              </w:rPr>
            </w:pPr>
            <w:r>
              <w:rPr>
                <w:rFonts w:hint="eastAsia" w:ascii="宋体" w:hAnsi="宋体"/>
                <w:snapToGrid w:val="0"/>
                <w:kern w:val="0"/>
                <w:szCs w:val="21"/>
              </w:rPr>
              <w:t>2</w:t>
            </w:r>
          </w:p>
        </w:tc>
        <w:tc>
          <w:tcPr>
            <w:tcW w:w="8263" w:type="dxa"/>
            <w:gridSpan w:val="2"/>
            <w:tcBorders>
              <w:top w:val="single" w:color="auto" w:sz="6" w:space="0"/>
              <w:left w:val="single" w:color="auto" w:sz="6" w:space="0"/>
              <w:bottom w:val="single" w:color="auto" w:sz="6" w:space="0"/>
              <w:right w:val="single" w:color="auto" w:sz="6" w:space="0"/>
            </w:tcBorders>
            <w:vAlign w:val="center"/>
          </w:tcPr>
          <w:p w14:paraId="709A8DB8">
            <w:pPr>
              <w:rPr>
                <w:rFonts w:ascii="宋体" w:hAnsi="宋体"/>
                <w:snapToGrid w:val="0"/>
                <w:kern w:val="0"/>
                <w:szCs w:val="21"/>
              </w:rPr>
            </w:pPr>
            <w:r>
              <w:rPr>
                <w:rFonts w:hint="eastAsia" w:ascii="宋体" w:hAnsi="宋体"/>
                <w:snapToGrid w:val="0"/>
                <w:kern w:val="0"/>
                <w:szCs w:val="21"/>
              </w:rPr>
              <w:t>总部地址</w:t>
            </w:r>
          </w:p>
        </w:tc>
      </w:tr>
      <w:tr w14:paraId="6CECB2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1AD972EF">
            <w:pPr>
              <w:jc w:val="center"/>
              <w:rPr>
                <w:rFonts w:ascii="宋体" w:hAnsi="宋体"/>
                <w:snapToGrid w:val="0"/>
                <w:kern w:val="0"/>
                <w:szCs w:val="21"/>
              </w:rPr>
            </w:pPr>
            <w:r>
              <w:rPr>
                <w:rFonts w:hint="eastAsia" w:ascii="宋体" w:hAnsi="宋体"/>
                <w:snapToGrid w:val="0"/>
                <w:kern w:val="0"/>
                <w:szCs w:val="21"/>
              </w:rPr>
              <w:t>3</w:t>
            </w:r>
          </w:p>
        </w:tc>
        <w:tc>
          <w:tcPr>
            <w:tcW w:w="8263" w:type="dxa"/>
            <w:gridSpan w:val="2"/>
            <w:tcBorders>
              <w:top w:val="single" w:color="auto" w:sz="6" w:space="0"/>
              <w:left w:val="single" w:color="auto" w:sz="6" w:space="0"/>
              <w:bottom w:val="single" w:color="auto" w:sz="6" w:space="0"/>
              <w:right w:val="single" w:color="auto" w:sz="6" w:space="0"/>
            </w:tcBorders>
            <w:vAlign w:val="center"/>
          </w:tcPr>
          <w:p w14:paraId="45ADF246">
            <w:pPr>
              <w:rPr>
                <w:rFonts w:ascii="宋体" w:hAnsi="宋体"/>
                <w:snapToGrid w:val="0"/>
                <w:kern w:val="0"/>
                <w:szCs w:val="21"/>
              </w:rPr>
            </w:pPr>
            <w:r>
              <w:rPr>
                <w:rFonts w:hint="eastAsia" w:ascii="宋体" w:hAnsi="宋体"/>
                <w:snapToGrid w:val="0"/>
                <w:kern w:val="0"/>
                <w:szCs w:val="21"/>
              </w:rPr>
              <w:t>当地代表处地址</w:t>
            </w:r>
          </w:p>
        </w:tc>
      </w:tr>
      <w:tr w14:paraId="4DE78C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3F547614">
            <w:pPr>
              <w:jc w:val="center"/>
              <w:rPr>
                <w:rFonts w:ascii="宋体" w:hAnsi="宋体"/>
                <w:snapToGrid w:val="0"/>
                <w:kern w:val="0"/>
                <w:szCs w:val="21"/>
              </w:rPr>
            </w:pPr>
            <w:r>
              <w:rPr>
                <w:rFonts w:hint="eastAsia" w:ascii="宋体" w:hAnsi="宋体"/>
                <w:snapToGrid w:val="0"/>
                <w:kern w:val="0"/>
                <w:szCs w:val="21"/>
              </w:rPr>
              <w:t>4</w:t>
            </w:r>
          </w:p>
        </w:tc>
        <w:tc>
          <w:tcPr>
            <w:tcW w:w="3859" w:type="dxa"/>
            <w:tcBorders>
              <w:top w:val="single" w:color="auto" w:sz="6" w:space="0"/>
              <w:left w:val="single" w:color="auto" w:sz="6" w:space="0"/>
              <w:bottom w:val="single" w:color="auto" w:sz="6" w:space="0"/>
              <w:right w:val="single" w:color="auto" w:sz="6" w:space="0"/>
            </w:tcBorders>
            <w:vAlign w:val="center"/>
          </w:tcPr>
          <w:p w14:paraId="4A68EAE2">
            <w:pPr>
              <w:rPr>
                <w:rFonts w:ascii="宋体" w:hAnsi="宋体"/>
                <w:snapToGrid w:val="0"/>
                <w:kern w:val="0"/>
                <w:szCs w:val="21"/>
              </w:rPr>
            </w:pPr>
            <w:r>
              <w:rPr>
                <w:rFonts w:hint="eastAsia" w:ascii="宋体" w:hAnsi="宋体"/>
                <w:snapToGrid w:val="0"/>
                <w:kern w:val="0"/>
                <w:szCs w:val="21"/>
              </w:rPr>
              <w:t>电话</w:t>
            </w:r>
          </w:p>
        </w:tc>
        <w:tc>
          <w:tcPr>
            <w:tcW w:w="4404" w:type="dxa"/>
            <w:tcBorders>
              <w:top w:val="single" w:color="auto" w:sz="6" w:space="0"/>
              <w:left w:val="single" w:color="auto" w:sz="6" w:space="0"/>
              <w:bottom w:val="single" w:color="auto" w:sz="6" w:space="0"/>
              <w:right w:val="single" w:color="auto" w:sz="6" w:space="0"/>
            </w:tcBorders>
            <w:vAlign w:val="center"/>
          </w:tcPr>
          <w:p w14:paraId="5C1B6774">
            <w:pPr>
              <w:rPr>
                <w:rFonts w:ascii="宋体" w:hAnsi="宋体"/>
                <w:snapToGrid w:val="0"/>
                <w:kern w:val="0"/>
                <w:szCs w:val="21"/>
              </w:rPr>
            </w:pPr>
            <w:r>
              <w:rPr>
                <w:rFonts w:hint="eastAsia" w:ascii="宋体" w:hAnsi="宋体"/>
                <w:snapToGrid w:val="0"/>
                <w:kern w:val="0"/>
                <w:szCs w:val="21"/>
              </w:rPr>
              <w:t>联系人</w:t>
            </w:r>
          </w:p>
        </w:tc>
      </w:tr>
      <w:tr w14:paraId="66A06D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18BB7BDE">
            <w:pPr>
              <w:jc w:val="center"/>
              <w:rPr>
                <w:rFonts w:ascii="宋体" w:hAnsi="宋体"/>
                <w:snapToGrid w:val="0"/>
                <w:kern w:val="0"/>
                <w:szCs w:val="21"/>
              </w:rPr>
            </w:pPr>
            <w:r>
              <w:rPr>
                <w:rFonts w:hint="eastAsia" w:ascii="宋体" w:hAnsi="宋体"/>
                <w:snapToGrid w:val="0"/>
                <w:kern w:val="0"/>
                <w:szCs w:val="21"/>
              </w:rPr>
              <w:t>5</w:t>
            </w:r>
          </w:p>
        </w:tc>
        <w:tc>
          <w:tcPr>
            <w:tcW w:w="3859" w:type="dxa"/>
            <w:tcBorders>
              <w:top w:val="single" w:color="auto" w:sz="6" w:space="0"/>
              <w:left w:val="single" w:color="auto" w:sz="6" w:space="0"/>
              <w:bottom w:val="single" w:color="auto" w:sz="6" w:space="0"/>
              <w:right w:val="single" w:color="auto" w:sz="6" w:space="0"/>
            </w:tcBorders>
            <w:vAlign w:val="center"/>
          </w:tcPr>
          <w:p w14:paraId="13DE3765">
            <w:pPr>
              <w:rPr>
                <w:rFonts w:ascii="宋体" w:hAnsi="宋体"/>
                <w:snapToGrid w:val="0"/>
                <w:kern w:val="0"/>
                <w:szCs w:val="21"/>
              </w:rPr>
            </w:pPr>
            <w:r>
              <w:rPr>
                <w:rFonts w:hint="eastAsia" w:ascii="宋体" w:hAnsi="宋体"/>
                <w:snapToGrid w:val="0"/>
                <w:kern w:val="0"/>
                <w:szCs w:val="21"/>
              </w:rPr>
              <w:t>传真</w:t>
            </w:r>
          </w:p>
        </w:tc>
        <w:tc>
          <w:tcPr>
            <w:tcW w:w="4404" w:type="dxa"/>
            <w:tcBorders>
              <w:top w:val="single" w:color="auto" w:sz="6" w:space="0"/>
              <w:left w:val="single" w:color="auto" w:sz="6" w:space="0"/>
              <w:bottom w:val="single" w:color="auto" w:sz="6" w:space="0"/>
              <w:right w:val="single" w:color="auto" w:sz="6" w:space="0"/>
            </w:tcBorders>
            <w:vAlign w:val="center"/>
          </w:tcPr>
          <w:p w14:paraId="21966988">
            <w:pPr>
              <w:rPr>
                <w:rFonts w:ascii="宋体" w:hAnsi="宋体"/>
                <w:snapToGrid w:val="0"/>
                <w:kern w:val="0"/>
                <w:szCs w:val="21"/>
              </w:rPr>
            </w:pPr>
            <w:r>
              <w:rPr>
                <w:rFonts w:hint="eastAsia" w:ascii="宋体" w:hAnsi="宋体"/>
                <w:snapToGrid w:val="0"/>
                <w:kern w:val="0"/>
                <w:szCs w:val="21"/>
              </w:rPr>
              <w:t>电子邮箱</w:t>
            </w:r>
          </w:p>
        </w:tc>
      </w:tr>
      <w:tr w14:paraId="2E5D32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377A2A95">
            <w:pPr>
              <w:jc w:val="center"/>
              <w:rPr>
                <w:rFonts w:ascii="宋体" w:hAnsi="宋体"/>
                <w:snapToGrid w:val="0"/>
                <w:kern w:val="0"/>
                <w:szCs w:val="21"/>
              </w:rPr>
            </w:pPr>
            <w:r>
              <w:rPr>
                <w:rFonts w:hint="eastAsia" w:ascii="宋体" w:hAnsi="宋体"/>
                <w:snapToGrid w:val="0"/>
                <w:kern w:val="0"/>
                <w:szCs w:val="21"/>
              </w:rPr>
              <w:t>6</w:t>
            </w:r>
          </w:p>
        </w:tc>
        <w:tc>
          <w:tcPr>
            <w:tcW w:w="3859" w:type="dxa"/>
            <w:tcBorders>
              <w:top w:val="single" w:color="auto" w:sz="6" w:space="0"/>
              <w:left w:val="single" w:color="auto" w:sz="6" w:space="0"/>
              <w:bottom w:val="single" w:color="auto" w:sz="6" w:space="0"/>
              <w:right w:val="single" w:color="auto" w:sz="6" w:space="0"/>
            </w:tcBorders>
            <w:vAlign w:val="center"/>
          </w:tcPr>
          <w:p w14:paraId="41A728D4">
            <w:pPr>
              <w:rPr>
                <w:rFonts w:ascii="宋体" w:hAnsi="宋体"/>
                <w:snapToGrid w:val="0"/>
                <w:kern w:val="0"/>
                <w:szCs w:val="21"/>
              </w:rPr>
            </w:pPr>
            <w:r>
              <w:rPr>
                <w:rFonts w:hint="eastAsia" w:ascii="宋体" w:hAnsi="宋体"/>
                <w:snapToGrid w:val="0"/>
                <w:kern w:val="0"/>
                <w:szCs w:val="21"/>
              </w:rPr>
              <w:t>注册地</w:t>
            </w:r>
          </w:p>
        </w:tc>
        <w:tc>
          <w:tcPr>
            <w:tcW w:w="4404" w:type="dxa"/>
            <w:tcBorders>
              <w:top w:val="single" w:color="auto" w:sz="6" w:space="0"/>
              <w:left w:val="single" w:color="auto" w:sz="6" w:space="0"/>
              <w:bottom w:val="single" w:color="auto" w:sz="6" w:space="0"/>
              <w:right w:val="single" w:color="auto" w:sz="6" w:space="0"/>
            </w:tcBorders>
            <w:vAlign w:val="center"/>
          </w:tcPr>
          <w:p w14:paraId="602FDDCF">
            <w:pPr>
              <w:rPr>
                <w:rFonts w:ascii="宋体" w:hAnsi="宋体"/>
                <w:snapToGrid w:val="0"/>
                <w:kern w:val="0"/>
                <w:szCs w:val="21"/>
              </w:rPr>
            </w:pPr>
            <w:r>
              <w:rPr>
                <w:rFonts w:hint="eastAsia" w:ascii="宋体" w:hAnsi="宋体"/>
                <w:snapToGrid w:val="0"/>
                <w:kern w:val="0"/>
                <w:szCs w:val="21"/>
              </w:rPr>
              <w:t xml:space="preserve">注册年份    </w:t>
            </w:r>
          </w:p>
        </w:tc>
      </w:tr>
      <w:tr w14:paraId="6484E0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2771A74C">
            <w:pPr>
              <w:jc w:val="center"/>
              <w:rPr>
                <w:rFonts w:ascii="宋体" w:hAnsi="宋体"/>
                <w:snapToGrid w:val="0"/>
                <w:kern w:val="0"/>
                <w:szCs w:val="21"/>
              </w:rPr>
            </w:pPr>
            <w:r>
              <w:rPr>
                <w:rFonts w:hint="eastAsia" w:ascii="宋体" w:hAnsi="宋体"/>
                <w:snapToGrid w:val="0"/>
                <w:kern w:val="0"/>
                <w:szCs w:val="21"/>
              </w:rPr>
              <w:t>7</w:t>
            </w:r>
          </w:p>
        </w:tc>
        <w:tc>
          <w:tcPr>
            <w:tcW w:w="8263" w:type="dxa"/>
            <w:gridSpan w:val="2"/>
            <w:tcBorders>
              <w:top w:val="single" w:color="auto" w:sz="6" w:space="0"/>
              <w:left w:val="single" w:color="auto" w:sz="6" w:space="0"/>
              <w:bottom w:val="single" w:color="auto" w:sz="6" w:space="0"/>
              <w:right w:val="single" w:color="auto" w:sz="6" w:space="0"/>
            </w:tcBorders>
            <w:vAlign w:val="center"/>
          </w:tcPr>
          <w:p w14:paraId="21399752">
            <w:pPr>
              <w:rPr>
                <w:rFonts w:ascii="宋体" w:hAnsi="宋体"/>
                <w:snapToGrid w:val="0"/>
                <w:kern w:val="0"/>
                <w:szCs w:val="21"/>
              </w:rPr>
            </w:pPr>
            <w:r>
              <w:rPr>
                <w:rFonts w:hint="eastAsia" w:ascii="宋体" w:hAnsi="宋体"/>
                <w:snapToGrid w:val="0"/>
                <w:kern w:val="0"/>
                <w:szCs w:val="21"/>
              </w:rPr>
              <w:t>公司资质等级证书号（若有）：</w:t>
            </w:r>
          </w:p>
          <w:p w14:paraId="5841D6D1">
            <w:pPr>
              <w:rPr>
                <w:rFonts w:ascii="宋体" w:hAnsi="宋体"/>
                <w:snapToGrid w:val="0"/>
                <w:kern w:val="0"/>
                <w:szCs w:val="21"/>
              </w:rPr>
            </w:pPr>
            <w:r>
              <w:rPr>
                <w:rFonts w:hint="eastAsia" w:ascii="宋体" w:hAnsi="宋体"/>
                <w:snapToGrid w:val="0"/>
                <w:kern w:val="0"/>
                <w:szCs w:val="21"/>
              </w:rPr>
              <w:t xml:space="preserve">质量管理体系证书号 （若有）：       </w:t>
            </w:r>
          </w:p>
        </w:tc>
      </w:tr>
      <w:tr w14:paraId="079FD7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401"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08E88B1B">
            <w:pPr>
              <w:spacing w:line="360" w:lineRule="auto"/>
              <w:jc w:val="center"/>
              <w:rPr>
                <w:rFonts w:ascii="宋体" w:hAnsi="宋体"/>
                <w:snapToGrid w:val="0"/>
                <w:kern w:val="0"/>
                <w:szCs w:val="21"/>
              </w:rPr>
            </w:pPr>
            <w:r>
              <w:rPr>
                <w:rFonts w:hint="eastAsia" w:ascii="宋体" w:hAnsi="宋体"/>
                <w:snapToGrid w:val="0"/>
                <w:kern w:val="0"/>
                <w:szCs w:val="21"/>
              </w:rPr>
              <w:t>8</w:t>
            </w:r>
          </w:p>
        </w:tc>
        <w:tc>
          <w:tcPr>
            <w:tcW w:w="8263" w:type="dxa"/>
            <w:gridSpan w:val="2"/>
            <w:tcBorders>
              <w:top w:val="single" w:color="auto" w:sz="6" w:space="0"/>
              <w:left w:val="single" w:color="auto" w:sz="6" w:space="0"/>
              <w:bottom w:val="single" w:color="auto" w:sz="6" w:space="0"/>
              <w:right w:val="single" w:color="auto" w:sz="6" w:space="0"/>
            </w:tcBorders>
            <w:vAlign w:val="center"/>
          </w:tcPr>
          <w:p w14:paraId="1E1ECD2B">
            <w:pPr>
              <w:spacing w:line="360" w:lineRule="auto"/>
              <w:rPr>
                <w:rFonts w:ascii="宋体" w:hAnsi="宋体"/>
                <w:snapToGrid w:val="0"/>
                <w:kern w:val="0"/>
                <w:szCs w:val="21"/>
              </w:rPr>
            </w:pPr>
            <w:r>
              <w:rPr>
                <w:rFonts w:hint="eastAsia" w:ascii="宋体" w:hAnsi="宋体"/>
                <w:snapToGrid w:val="0"/>
                <w:kern w:val="0"/>
                <w:szCs w:val="21"/>
              </w:rPr>
              <w:t>主营范围：</w:t>
            </w:r>
          </w:p>
          <w:p w14:paraId="51EBC5ED">
            <w:pPr>
              <w:spacing w:line="360" w:lineRule="auto"/>
              <w:rPr>
                <w:rFonts w:ascii="宋体" w:hAnsi="宋体"/>
                <w:snapToGrid w:val="0"/>
                <w:kern w:val="0"/>
                <w:szCs w:val="21"/>
                <w:u w:val="single"/>
              </w:rPr>
            </w:pPr>
            <w:r>
              <w:rPr>
                <w:rFonts w:hint="eastAsia" w:ascii="宋体" w:hAnsi="宋体"/>
                <w:snapToGrid w:val="0"/>
                <w:kern w:val="0"/>
                <w:szCs w:val="21"/>
              </w:rPr>
              <w:t>1、</w:t>
            </w:r>
            <w:r>
              <w:rPr>
                <w:rFonts w:hint="eastAsia" w:ascii="宋体" w:hAnsi="宋体"/>
                <w:snapToGrid w:val="0"/>
                <w:kern w:val="0"/>
                <w:szCs w:val="21"/>
                <w:u w:val="single"/>
              </w:rPr>
              <w:tab/>
            </w:r>
            <w:r>
              <w:rPr>
                <w:rFonts w:hint="eastAsia" w:ascii="宋体" w:hAnsi="宋体"/>
                <w:snapToGrid w:val="0"/>
                <w:kern w:val="0"/>
                <w:szCs w:val="21"/>
                <w:u w:val="single"/>
              </w:rPr>
              <w:tab/>
            </w:r>
          </w:p>
          <w:p w14:paraId="3B5AB2EA">
            <w:pPr>
              <w:spacing w:line="360" w:lineRule="auto"/>
              <w:rPr>
                <w:rFonts w:ascii="宋体" w:hAnsi="宋体"/>
                <w:snapToGrid w:val="0"/>
                <w:kern w:val="0"/>
                <w:szCs w:val="21"/>
              </w:rPr>
            </w:pPr>
            <w:r>
              <w:rPr>
                <w:rFonts w:hint="eastAsia" w:ascii="宋体" w:hAnsi="宋体"/>
                <w:snapToGrid w:val="0"/>
                <w:kern w:val="0"/>
                <w:szCs w:val="21"/>
              </w:rPr>
              <w:t>2、</w:t>
            </w:r>
            <w:r>
              <w:rPr>
                <w:rFonts w:hint="eastAsia" w:ascii="宋体" w:hAnsi="宋体"/>
                <w:snapToGrid w:val="0"/>
                <w:kern w:val="0"/>
                <w:szCs w:val="21"/>
                <w:u w:val="single"/>
              </w:rPr>
              <w:tab/>
            </w:r>
            <w:r>
              <w:rPr>
                <w:rFonts w:hint="eastAsia" w:ascii="宋体" w:hAnsi="宋体"/>
                <w:snapToGrid w:val="0"/>
                <w:kern w:val="0"/>
                <w:szCs w:val="21"/>
                <w:u w:val="single"/>
              </w:rPr>
              <w:tab/>
            </w:r>
          </w:p>
          <w:p w14:paraId="313B411C">
            <w:pPr>
              <w:spacing w:line="360" w:lineRule="auto"/>
              <w:rPr>
                <w:rFonts w:ascii="宋体" w:hAnsi="宋体"/>
                <w:snapToGrid w:val="0"/>
                <w:kern w:val="0"/>
                <w:szCs w:val="21"/>
              </w:rPr>
            </w:pPr>
            <w:r>
              <w:rPr>
                <w:rFonts w:hint="eastAsia" w:ascii="宋体" w:hAnsi="宋体"/>
                <w:snapToGrid w:val="0"/>
                <w:kern w:val="0"/>
                <w:szCs w:val="21"/>
              </w:rPr>
              <w:t>3、</w:t>
            </w:r>
            <w:r>
              <w:rPr>
                <w:rFonts w:hint="eastAsia" w:ascii="宋体" w:hAnsi="宋体"/>
                <w:snapToGrid w:val="0"/>
                <w:kern w:val="0"/>
                <w:szCs w:val="21"/>
                <w:u w:val="single"/>
              </w:rPr>
              <w:tab/>
            </w:r>
            <w:r>
              <w:rPr>
                <w:rFonts w:hint="eastAsia" w:ascii="宋体" w:hAnsi="宋体"/>
                <w:snapToGrid w:val="0"/>
                <w:kern w:val="0"/>
                <w:szCs w:val="21"/>
                <w:u w:val="single"/>
              </w:rPr>
              <w:tab/>
            </w:r>
          </w:p>
          <w:p w14:paraId="218ECFAF">
            <w:pPr>
              <w:spacing w:line="360" w:lineRule="auto"/>
              <w:rPr>
                <w:rFonts w:ascii="宋体" w:hAnsi="宋体"/>
                <w:snapToGrid w:val="0"/>
                <w:kern w:val="0"/>
                <w:szCs w:val="21"/>
              </w:rPr>
            </w:pPr>
            <w:r>
              <w:rPr>
                <w:rFonts w:hint="eastAsia" w:ascii="宋体" w:hAnsi="宋体"/>
                <w:snapToGrid w:val="0"/>
                <w:kern w:val="0"/>
                <w:szCs w:val="21"/>
              </w:rPr>
              <w:t>4、</w:t>
            </w:r>
            <w:r>
              <w:rPr>
                <w:rFonts w:hint="eastAsia" w:ascii="宋体" w:hAnsi="宋体"/>
                <w:snapToGrid w:val="0"/>
                <w:kern w:val="0"/>
                <w:szCs w:val="21"/>
                <w:u w:val="single"/>
              </w:rPr>
              <w:tab/>
            </w:r>
            <w:r>
              <w:rPr>
                <w:rFonts w:hint="eastAsia" w:ascii="宋体" w:hAnsi="宋体"/>
                <w:snapToGrid w:val="0"/>
                <w:kern w:val="0"/>
                <w:szCs w:val="21"/>
                <w:u w:val="single"/>
              </w:rPr>
              <w:tab/>
            </w:r>
          </w:p>
          <w:p w14:paraId="7752EBC3">
            <w:pPr>
              <w:spacing w:line="360" w:lineRule="auto"/>
              <w:rPr>
                <w:rFonts w:ascii="宋体" w:hAnsi="宋体"/>
                <w:snapToGrid w:val="0"/>
                <w:kern w:val="0"/>
                <w:szCs w:val="21"/>
              </w:rPr>
            </w:pPr>
            <w:r>
              <w:rPr>
                <w:rFonts w:hint="eastAsia" w:ascii="宋体" w:hAnsi="宋体"/>
                <w:snapToGrid w:val="0"/>
                <w:kern w:val="0"/>
                <w:szCs w:val="21"/>
              </w:rPr>
              <w:t>…</w:t>
            </w:r>
          </w:p>
          <w:p w14:paraId="31600D33">
            <w:pPr>
              <w:spacing w:line="360" w:lineRule="auto"/>
              <w:rPr>
                <w:rFonts w:ascii="宋体" w:hAnsi="宋体"/>
                <w:snapToGrid w:val="0"/>
                <w:kern w:val="0"/>
                <w:szCs w:val="21"/>
              </w:rPr>
            </w:pPr>
            <w:r>
              <w:rPr>
                <w:rFonts w:hint="eastAsia" w:ascii="宋体" w:hAnsi="宋体"/>
                <w:snapToGrid w:val="0"/>
                <w:kern w:val="0"/>
                <w:szCs w:val="21"/>
              </w:rPr>
              <w:t>…</w:t>
            </w:r>
          </w:p>
        </w:tc>
      </w:tr>
      <w:tr w14:paraId="3BAEE1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80"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4D64B372">
            <w:pPr>
              <w:jc w:val="center"/>
              <w:rPr>
                <w:rFonts w:ascii="宋体" w:hAnsi="宋体"/>
                <w:snapToGrid w:val="0"/>
                <w:kern w:val="0"/>
                <w:szCs w:val="21"/>
              </w:rPr>
            </w:pPr>
            <w:r>
              <w:rPr>
                <w:rFonts w:hint="eastAsia" w:ascii="宋体" w:hAnsi="宋体"/>
                <w:snapToGrid w:val="0"/>
                <w:kern w:val="0"/>
                <w:szCs w:val="21"/>
              </w:rPr>
              <w:t>9</w:t>
            </w:r>
          </w:p>
        </w:tc>
        <w:tc>
          <w:tcPr>
            <w:tcW w:w="8263" w:type="dxa"/>
            <w:gridSpan w:val="2"/>
            <w:tcBorders>
              <w:top w:val="single" w:color="auto" w:sz="6" w:space="0"/>
              <w:left w:val="single" w:color="auto" w:sz="6" w:space="0"/>
              <w:bottom w:val="single" w:color="auto" w:sz="6" w:space="0"/>
              <w:right w:val="single" w:color="auto" w:sz="6" w:space="0"/>
            </w:tcBorders>
            <w:vAlign w:val="center"/>
          </w:tcPr>
          <w:p w14:paraId="47C56D0E">
            <w:pPr>
              <w:spacing w:line="360" w:lineRule="auto"/>
              <w:rPr>
                <w:rFonts w:ascii="宋体" w:hAnsi="宋体"/>
                <w:snapToGrid w:val="0"/>
                <w:kern w:val="0"/>
                <w:szCs w:val="21"/>
              </w:rPr>
            </w:pPr>
            <w:r>
              <w:rPr>
                <w:rFonts w:hint="eastAsia" w:ascii="宋体" w:hAnsi="宋体"/>
                <w:snapToGrid w:val="0"/>
                <w:kern w:val="0"/>
                <w:szCs w:val="21"/>
              </w:rPr>
              <w:t>其他需要说明的情况</w:t>
            </w:r>
          </w:p>
        </w:tc>
      </w:tr>
    </w:tbl>
    <w:p w14:paraId="5D064FA0">
      <w:pPr>
        <w:wordWrap w:val="0"/>
        <w:spacing w:line="360" w:lineRule="auto"/>
        <w:rPr>
          <w:rFonts w:ascii="宋体" w:hAnsi="宋体"/>
          <w:snapToGrid w:val="0"/>
          <w:kern w:val="0"/>
          <w:szCs w:val="21"/>
        </w:rPr>
      </w:pPr>
    </w:p>
    <w:p w14:paraId="5D59205F">
      <w:pPr>
        <w:wordWrap w:val="0"/>
        <w:spacing w:line="360" w:lineRule="auto"/>
        <w:rPr>
          <w:rFonts w:ascii="宋体" w:hAnsi="宋体"/>
          <w:snapToGrid w:val="0"/>
          <w:kern w:val="0"/>
          <w:szCs w:val="21"/>
        </w:rPr>
      </w:pPr>
    </w:p>
    <w:p w14:paraId="4DC09DD6">
      <w:pPr>
        <w:wordWrap w:val="0"/>
        <w:spacing w:line="360" w:lineRule="auto"/>
        <w:rPr>
          <w:rFonts w:ascii="宋体" w:hAnsi="宋体"/>
          <w:snapToGrid w:val="0"/>
          <w:kern w:val="0"/>
          <w:szCs w:val="21"/>
        </w:rPr>
      </w:pPr>
    </w:p>
    <w:p w14:paraId="50ECCB31">
      <w:pPr>
        <w:widowControl/>
        <w:jc w:val="left"/>
        <w:rPr>
          <w:rFonts w:ascii="宋体" w:hAnsi="宋体"/>
          <w:snapToGrid w:val="0"/>
          <w:kern w:val="0"/>
          <w:szCs w:val="21"/>
        </w:rPr>
      </w:pPr>
      <w:r>
        <w:rPr>
          <w:rFonts w:ascii="宋体" w:hAnsi="宋体"/>
          <w:snapToGrid w:val="0"/>
          <w:kern w:val="0"/>
          <w:szCs w:val="21"/>
        </w:rPr>
        <w:br w:type="page"/>
      </w:r>
    </w:p>
    <w:p w14:paraId="7613BBFF">
      <w:pPr>
        <w:pStyle w:val="5"/>
        <w:rPr>
          <w:snapToGrid w:val="0"/>
        </w:rPr>
      </w:pPr>
      <w:bookmarkStart w:id="196" w:name="_Toc520749007"/>
      <w:r>
        <w:rPr>
          <w:rFonts w:hint="eastAsia"/>
          <w:snapToGrid w:val="0"/>
        </w:rPr>
        <w:t>（二）</w:t>
      </w:r>
      <w:bookmarkEnd w:id="196"/>
      <w:r>
        <w:rPr>
          <w:rFonts w:hint="eastAsia"/>
          <w:snapToGrid w:val="0"/>
        </w:rPr>
        <w:t>营业执照或事业单位法人证书</w:t>
      </w:r>
    </w:p>
    <w:p w14:paraId="04097C7D">
      <w:pPr>
        <w:wordWrap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具有独立承担民事责任能力的法人或其他组织，提供有效的营业执照或事业单位法人证书（扫描件</w:t>
      </w:r>
      <w:r>
        <w:rPr>
          <w:rFonts w:ascii="宋体" w:hAnsi="宋体" w:cs="宋体"/>
          <w:snapToGrid w:val="0"/>
          <w:kern w:val="0"/>
          <w:szCs w:val="21"/>
        </w:rPr>
        <w:t>）</w:t>
      </w:r>
    </w:p>
    <w:p w14:paraId="7657DD2D">
      <w:pPr>
        <w:wordWrap w:val="0"/>
        <w:spacing w:line="360" w:lineRule="auto"/>
        <w:ind w:firstLine="472" w:firstLineChars="225"/>
        <w:rPr>
          <w:rFonts w:ascii="宋体" w:hAnsi="宋体"/>
          <w:snapToGrid w:val="0"/>
          <w:kern w:val="0"/>
          <w:szCs w:val="21"/>
        </w:rPr>
      </w:pPr>
    </w:p>
    <w:p w14:paraId="4674770A">
      <w:pPr>
        <w:wordWrap w:val="0"/>
        <w:spacing w:line="360" w:lineRule="auto"/>
        <w:ind w:firstLine="472" w:firstLineChars="225"/>
        <w:rPr>
          <w:rFonts w:ascii="宋体" w:hAnsi="宋体"/>
          <w:snapToGrid w:val="0"/>
          <w:kern w:val="0"/>
          <w:szCs w:val="21"/>
        </w:rPr>
      </w:pPr>
    </w:p>
    <w:p w14:paraId="4C6283E4">
      <w:pPr>
        <w:wordWrap w:val="0"/>
        <w:spacing w:line="360" w:lineRule="auto"/>
        <w:ind w:firstLine="472" w:firstLineChars="225"/>
        <w:rPr>
          <w:rFonts w:ascii="宋体" w:hAnsi="宋体"/>
          <w:snapToGrid w:val="0"/>
          <w:kern w:val="0"/>
          <w:szCs w:val="21"/>
        </w:rPr>
      </w:pPr>
    </w:p>
    <w:p w14:paraId="3C23F567">
      <w:pPr>
        <w:wordWrap w:val="0"/>
        <w:spacing w:line="360" w:lineRule="auto"/>
        <w:ind w:firstLine="472" w:firstLineChars="225"/>
        <w:rPr>
          <w:rFonts w:ascii="宋体" w:hAnsi="宋体"/>
          <w:snapToGrid w:val="0"/>
          <w:kern w:val="0"/>
          <w:szCs w:val="21"/>
        </w:rPr>
      </w:pPr>
    </w:p>
    <w:p w14:paraId="6FEF6915">
      <w:pPr>
        <w:wordWrap w:val="0"/>
        <w:spacing w:line="360" w:lineRule="auto"/>
        <w:ind w:firstLine="472" w:firstLineChars="225"/>
        <w:rPr>
          <w:rFonts w:ascii="宋体" w:hAnsi="宋体"/>
          <w:snapToGrid w:val="0"/>
          <w:kern w:val="0"/>
          <w:szCs w:val="21"/>
        </w:rPr>
      </w:pPr>
    </w:p>
    <w:p w14:paraId="43A667C7">
      <w:pPr>
        <w:wordWrap w:val="0"/>
        <w:spacing w:line="360" w:lineRule="auto"/>
        <w:ind w:firstLine="472" w:firstLineChars="225"/>
        <w:rPr>
          <w:rFonts w:ascii="宋体" w:hAnsi="宋体"/>
          <w:snapToGrid w:val="0"/>
          <w:kern w:val="0"/>
          <w:szCs w:val="21"/>
        </w:rPr>
      </w:pPr>
    </w:p>
    <w:p w14:paraId="1DD5F7EE">
      <w:pPr>
        <w:pStyle w:val="5"/>
        <w:rPr>
          <w:snapToGrid w:val="0"/>
        </w:rPr>
      </w:pPr>
      <w:r>
        <w:rPr>
          <w:rFonts w:hint="eastAsia"/>
          <w:snapToGrid w:val="0"/>
        </w:rPr>
        <w:t>（三）良好的商业信誉和会计制度</w:t>
      </w:r>
    </w:p>
    <w:p w14:paraId="33CE5B21">
      <w:pPr>
        <w:wordWrap w:val="0"/>
        <w:spacing w:line="360" w:lineRule="auto"/>
        <w:ind w:firstLine="472" w:firstLineChars="225"/>
        <w:rPr>
          <w:rFonts w:ascii="宋体" w:hAnsi="宋体"/>
          <w:snapToGrid w:val="0"/>
          <w:kern w:val="0"/>
          <w:szCs w:val="21"/>
        </w:rPr>
      </w:pPr>
      <w:bookmarkStart w:id="197" w:name="_Toc520749010"/>
      <w:r>
        <w:rPr>
          <w:rFonts w:hint="eastAsia" w:ascii="宋体" w:hAnsi="宋体"/>
          <w:snapToGrid w:val="0"/>
          <w:kern w:val="0"/>
          <w:szCs w:val="21"/>
        </w:rPr>
        <w:t>最近一年的财务报表（扫描件）；成立时间不足一年的，提供成立至今的财务报表（扫描件）。</w:t>
      </w:r>
    </w:p>
    <w:p w14:paraId="0C02B2A9">
      <w:pPr>
        <w:wordWrap w:val="0"/>
        <w:spacing w:line="360" w:lineRule="auto"/>
        <w:ind w:firstLine="472" w:firstLineChars="225"/>
        <w:rPr>
          <w:rFonts w:ascii="宋体" w:hAnsi="宋体"/>
          <w:snapToGrid w:val="0"/>
          <w:kern w:val="0"/>
          <w:szCs w:val="21"/>
        </w:rPr>
      </w:pPr>
    </w:p>
    <w:p w14:paraId="0052B69D">
      <w:pPr>
        <w:wordWrap w:val="0"/>
        <w:spacing w:line="360" w:lineRule="auto"/>
        <w:ind w:firstLine="472" w:firstLineChars="225"/>
        <w:rPr>
          <w:rFonts w:ascii="宋体" w:hAnsi="宋体"/>
          <w:snapToGrid w:val="0"/>
          <w:kern w:val="0"/>
          <w:szCs w:val="21"/>
        </w:rPr>
      </w:pPr>
    </w:p>
    <w:p w14:paraId="3BE29842">
      <w:pPr>
        <w:wordWrap w:val="0"/>
        <w:spacing w:line="360" w:lineRule="auto"/>
        <w:ind w:firstLine="472" w:firstLineChars="225"/>
        <w:rPr>
          <w:rFonts w:ascii="宋体" w:hAnsi="宋体"/>
          <w:snapToGrid w:val="0"/>
          <w:kern w:val="0"/>
          <w:szCs w:val="21"/>
        </w:rPr>
      </w:pPr>
      <w:bookmarkStart w:id="198" w:name="_Toc8811"/>
    </w:p>
    <w:p w14:paraId="1748BB93">
      <w:pPr>
        <w:wordWrap w:val="0"/>
        <w:spacing w:line="360" w:lineRule="auto"/>
        <w:ind w:firstLine="472" w:firstLineChars="225"/>
        <w:rPr>
          <w:rFonts w:ascii="宋体" w:hAnsi="宋体"/>
          <w:snapToGrid w:val="0"/>
          <w:kern w:val="0"/>
          <w:szCs w:val="21"/>
        </w:rPr>
      </w:pPr>
    </w:p>
    <w:p w14:paraId="1F2E4D3D">
      <w:pPr>
        <w:wordWrap w:val="0"/>
        <w:spacing w:line="360" w:lineRule="auto"/>
        <w:ind w:firstLine="472" w:firstLineChars="225"/>
        <w:rPr>
          <w:rFonts w:ascii="宋体" w:hAnsi="宋体"/>
          <w:snapToGrid w:val="0"/>
          <w:kern w:val="0"/>
          <w:szCs w:val="21"/>
        </w:rPr>
      </w:pPr>
    </w:p>
    <w:p w14:paraId="79661FC1">
      <w:pPr>
        <w:wordWrap w:val="0"/>
        <w:spacing w:line="360" w:lineRule="auto"/>
        <w:ind w:firstLine="472" w:firstLineChars="225"/>
        <w:rPr>
          <w:rFonts w:ascii="宋体" w:hAnsi="宋体"/>
          <w:snapToGrid w:val="0"/>
          <w:kern w:val="0"/>
          <w:szCs w:val="21"/>
        </w:rPr>
      </w:pPr>
    </w:p>
    <w:p w14:paraId="53F70D7E">
      <w:pPr>
        <w:pStyle w:val="5"/>
        <w:rPr>
          <w:snapToGrid w:val="0"/>
        </w:rPr>
      </w:pPr>
      <w:r>
        <w:rPr>
          <w:rFonts w:hint="eastAsia"/>
          <w:snapToGrid w:val="0"/>
        </w:rPr>
        <w:t>（四）缴纳税收和社会保障资金记录</w:t>
      </w:r>
      <w:bookmarkEnd w:id="198"/>
    </w:p>
    <w:p w14:paraId="5C5D3129">
      <w:pPr>
        <w:wordWrap w:val="0"/>
        <w:spacing w:line="360" w:lineRule="auto"/>
        <w:ind w:firstLine="472" w:firstLineChars="225"/>
        <w:rPr>
          <w:rFonts w:ascii="宋体" w:hAnsi="宋体"/>
          <w:snapToGrid w:val="0"/>
          <w:kern w:val="0"/>
          <w:szCs w:val="21"/>
        </w:rPr>
      </w:pPr>
      <w:r>
        <w:rPr>
          <w:rFonts w:hint="eastAsia" w:ascii="宋体" w:hAnsi="宋体"/>
          <w:snapToGrid w:val="0"/>
          <w:kern w:val="0"/>
          <w:szCs w:val="21"/>
        </w:rPr>
        <w:t>提供2024年1月至今任意3个月的税收缴税凭证和社保缴税凭证（扫描件）；成立未满3个月的供应商提供自成立以来的缴税凭证和社保缴纳凭证（或情况说明）；依法免税或免缴社保的，应提供相关证明文件；</w:t>
      </w:r>
    </w:p>
    <w:bookmarkEnd w:id="197"/>
    <w:p w14:paraId="670A5C47">
      <w:pPr>
        <w:wordWrap w:val="0"/>
        <w:spacing w:line="360" w:lineRule="auto"/>
        <w:ind w:firstLine="472" w:firstLineChars="225"/>
        <w:rPr>
          <w:rFonts w:ascii="宋体" w:hAnsi="宋体"/>
          <w:snapToGrid w:val="0"/>
          <w:kern w:val="0"/>
          <w:szCs w:val="21"/>
        </w:rPr>
      </w:pPr>
    </w:p>
    <w:p w14:paraId="5C8CC708">
      <w:pPr>
        <w:wordWrap w:val="0"/>
        <w:spacing w:line="360" w:lineRule="auto"/>
        <w:ind w:firstLine="472" w:firstLineChars="225"/>
        <w:rPr>
          <w:rFonts w:ascii="宋体" w:hAnsi="宋体"/>
          <w:snapToGrid w:val="0"/>
          <w:kern w:val="0"/>
          <w:szCs w:val="21"/>
        </w:rPr>
      </w:pPr>
    </w:p>
    <w:p w14:paraId="41EEA495">
      <w:pPr>
        <w:wordWrap w:val="0"/>
        <w:spacing w:line="360" w:lineRule="auto"/>
        <w:ind w:firstLine="472" w:firstLineChars="225"/>
        <w:rPr>
          <w:rFonts w:ascii="宋体" w:hAnsi="宋体"/>
          <w:snapToGrid w:val="0"/>
          <w:kern w:val="0"/>
          <w:szCs w:val="21"/>
        </w:rPr>
      </w:pPr>
    </w:p>
    <w:p w14:paraId="4A67882C">
      <w:pPr>
        <w:wordWrap w:val="0"/>
        <w:spacing w:line="360" w:lineRule="auto"/>
        <w:ind w:firstLine="472" w:firstLineChars="225"/>
        <w:rPr>
          <w:rFonts w:ascii="宋体" w:hAnsi="宋体"/>
          <w:snapToGrid w:val="0"/>
          <w:kern w:val="0"/>
          <w:szCs w:val="21"/>
        </w:rPr>
      </w:pPr>
    </w:p>
    <w:p w14:paraId="59E1F30C">
      <w:pPr>
        <w:pStyle w:val="5"/>
        <w:rPr>
          <w:snapToGrid w:val="0"/>
        </w:rPr>
      </w:pPr>
      <w:r>
        <w:rPr>
          <w:rFonts w:hint="eastAsia"/>
          <w:snapToGrid w:val="0"/>
        </w:rPr>
        <w:br w:type="page"/>
      </w:r>
      <w:bookmarkStart w:id="199" w:name="_Toc520749014"/>
    </w:p>
    <w:bookmarkEnd w:id="199"/>
    <w:p w14:paraId="0401EE22">
      <w:pPr>
        <w:pStyle w:val="5"/>
        <w:rPr>
          <w:snapToGrid w:val="0"/>
        </w:rPr>
      </w:pPr>
      <w:bookmarkStart w:id="200" w:name="_Toc301184106"/>
      <w:bookmarkStart w:id="201" w:name="_Toc295344195"/>
      <w:bookmarkStart w:id="202" w:name="_Toc520749018"/>
      <w:bookmarkStart w:id="203" w:name="_Toc23790"/>
      <w:r>
        <w:rPr>
          <w:rFonts w:hint="eastAsia"/>
          <w:snapToGrid w:val="0"/>
        </w:rPr>
        <w:t>（五）供应商声明</w:t>
      </w:r>
      <w:r>
        <w:rPr>
          <w:snapToGrid w:val="0"/>
        </w:rPr>
        <w:t>函</w:t>
      </w:r>
      <w:bookmarkEnd w:id="200"/>
      <w:bookmarkEnd w:id="201"/>
      <w:bookmarkEnd w:id="202"/>
      <w:bookmarkEnd w:id="203"/>
    </w:p>
    <w:p w14:paraId="42CD2C17">
      <w:pPr>
        <w:wordWrap w:val="0"/>
        <w:spacing w:line="360" w:lineRule="auto"/>
        <w:ind w:firstLine="720"/>
        <w:jc w:val="center"/>
        <w:rPr>
          <w:rFonts w:ascii="宋体" w:hAnsi="宋体" w:cs="宋体"/>
          <w:b/>
          <w:bCs/>
          <w:snapToGrid w:val="0"/>
          <w:spacing w:val="40"/>
          <w:kern w:val="0"/>
          <w:sz w:val="28"/>
          <w:szCs w:val="28"/>
        </w:rPr>
      </w:pPr>
    </w:p>
    <w:p w14:paraId="207C646E">
      <w:pPr>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本供应商现作如下声明：</w:t>
      </w:r>
    </w:p>
    <w:p w14:paraId="2C86FDA3">
      <w:pPr>
        <w:spacing w:line="360" w:lineRule="auto"/>
        <w:ind w:firstLine="420" w:firstLineChars="200"/>
        <w:rPr>
          <w:rFonts w:ascii="宋体" w:hAnsi="宋体"/>
          <w:snapToGrid w:val="0"/>
          <w:kern w:val="0"/>
          <w:szCs w:val="21"/>
        </w:rPr>
      </w:pPr>
      <w:r>
        <w:rPr>
          <w:rFonts w:hint="eastAsia" w:ascii="宋体" w:hAnsi="宋体"/>
          <w:snapToGrid w:val="0"/>
          <w:kern w:val="0"/>
          <w:szCs w:val="21"/>
        </w:rPr>
        <w:t>1、我</w:t>
      </w:r>
      <w:r>
        <w:rPr>
          <w:rFonts w:ascii="宋体" w:hAnsi="宋体"/>
          <w:snapToGrid w:val="0"/>
          <w:kern w:val="0"/>
          <w:szCs w:val="21"/>
        </w:rPr>
        <w:t>单位</w:t>
      </w:r>
      <w:r>
        <w:rPr>
          <w:rFonts w:hint="eastAsia" w:ascii="宋体" w:hAnsi="宋体"/>
          <w:snapToGrid w:val="0"/>
          <w:kern w:val="0"/>
          <w:szCs w:val="21"/>
        </w:rPr>
        <w:t>具有履行合同所必需的设备和专业技术能力；</w:t>
      </w:r>
    </w:p>
    <w:p w14:paraId="43F0F22B">
      <w:pPr>
        <w:spacing w:line="360" w:lineRule="auto"/>
        <w:ind w:firstLine="420" w:firstLineChars="200"/>
        <w:rPr>
          <w:rFonts w:ascii="宋体" w:hAnsi="宋体"/>
          <w:snapToGrid w:val="0"/>
          <w:kern w:val="0"/>
          <w:szCs w:val="21"/>
        </w:rPr>
      </w:pPr>
      <w:r>
        <w:rPr>
          <w:rFonts w:ascii="宋体" w:hAnsi="宋体"/>
          <w:snapToGrid w:val="0"/>
          <w:kern w:val="0"/>
          <w:szCs w:val="21"/>
        </w:rPr>
        <w:t>2</w:t>
      </w:r>
      <w:r>
        <w:rPr>
          <w:rFonts w:hint="eastAsia" w:ascii="宋体" w:hAnsi="宋体"/>
          <w:snapToGrid w:val="0"/>
          <w:kern w:val="0"/>
          <w:szCs w:val="21"/>
        </w:rPr>
        <w:t>、我</w:t>
      </w:r>
      <w:r>
        <w:rPr>
          <w:rFonts w:ascii="宋体" w:hAnsi="宋体"/>
          <w:snapToGrid w:val="0"/>
          <w:kern w:val="0"/>
          <w:szCs w:val="21"/>
        </w:rPr>
        <w:t>单位</w:t>
      </w:r>
      <w:r>
        <w:rPr>
          <w:rFonts w:hint="eastAsia" w:ascii="宋体" w:hAnsi="宋体"/>
          <w:snapToGrid w:val="0"/>
          <w:kern w:val="0"/>
          <w:szCs w:val="21"/>
        </w:rPr>
        <w:t>参加本项目采购活动前三年内，在经营活动中没有重大违法记录。重大违法记录是指我单位因违法经营受到刑事处罚或者责令停产停业、吊销许可证或者执照、较大数额罚款等行政处罚；</w:t>
      </w:r>
    </w:p>
    <w:p w14:paraId="578572CD">
      <w:pPr>
        <w:spacing w:line="360" w:lineRule="auto"/>
        <w:ind w:firstLine="420" w:firstLineChars="200"/>
        <w:rPr>
          <w:rFonts w:ascii="宋体" w:hAnsi="宋体"/>
          <w:snapToGrid w:val="0"/>
          <w:kern w:val="0"/>
          <w:szCs w:val="21"/>
        </w:rPr>
      </w:pPr>
      <w:r>
        <w:rPr>
          <w:rFonts w:hint="eastAsia" w:ascii="宋体" w:hAnsi="宋体"/>
          <w:snapToGrid w:val="0"/>
          <w:kern w:val="0"/>
          <w:szCs w:val="21"/>
        </w:rPr>
        <w:t>3、我</w:t>
      </w:r>
      <w:r>
        <w:rPr>
          <w:rFonts w:ascii="宋体" w:hAnsi="宋体"/>
          <w:snapToGrid w:val="0"/>
          <w:kern w:val="0"/>
          <w:szCs w:val="21"/>
        </w:rPr>
        <w:t>单位</w:t>
      </w:r>
      <w:r>
        <w:rPr>
          <w:rFonts w:hint="eastAsia" w:ascii="宋体" w:hAnsi="宋体"/>
          <w:snapToGrid w:val="0"/>
          <w:kern w:val="0"/>
          <w:szCs w:val="21"/>
        </w:rPr>
        <w:t>没有处于被责令停业、财产被接管、冻结或破产状态；</w:t>
      </w:r>
    </w:p>
    <w:p w14:paraId="7C6CBF30">
      <w:pPr>
        <w:spacing w:line="360" w:lineRule="auto"/>
        <w:ind w:firstLine="420" w:firstLineChars="200"/>
        <w:rPr>
          <w:rFonts w:ascii="宋体" w:hAnsi="宋体"/>
          <w:snapToGrid w:val="0"/>
          <w:kern w:val="0"/>
          <w:szCs w:val="21"/>
        </w:rPr>
      </w:pPr>
      <w:r>
        <w:rPr>
          <w:rFonts w:ascii="宋体" w:hAnsi="宋体"/>
          <w:snapToGrid w:val="0"/>
          <w:kern w:val="0"/>
          <w:szCs w:val="21"/>
        </w:rPr>
        <w:t>4</w:t>
      </w:r>
      <w:r>
        <w:rPr>
          <w:rFonts w:hint="eastAsia" w:ascii="宋体" w:hAnsi="宋体"/>
          <w:snapToGrid w:val="0"/>
          <w:kern w:val="0"/>
          <w:szCs w:val="21"/>
        </w:rPr>
        <w:t>、我</w:t>
      </w:r>
      <w:r>
        <w:rPr>
          <w:rFonts w:ascii="宋体" w:hAnsi="宋体"/>
          <w:snapToGrid w:val="0"/>
          <w:kern w:val="0"/>
          <w:szCs w:val="21"/>
        </w:rPr>
        <w:t>单位</w:t>
      </w:r>
      <w:r>
        <w:rPr>
          <w:rFonts w:hint="eastAsia" w:ascii="宋体" w:hAnsi="宋体"/>
          <w:snapToGrid w:val="0"/>
          <w:kern w:val="0"/>
          <w:szCs w:val="21"/>
        </w:rPr>
        <w:t>不属于“单位负责人为同一人或者存在直接控股、管理关系的不同供应商，参加同一合同项下的政府采购活动”</w:t>
      </w:r>
      <w:r>
        <w:rPr>
          <w:rFonts w:ascii="宋体" w:hAnsi="宋体"/>
          <w:snapToGrid w:val="0"/>
          <w:kern w:val="0"/>
          <w:szCs w:val="21"/>
        </w:rPr>
        <w:t>的情况；</w:t>
      </w:r>
    </w:p>
    <w:p w14:paraId="324F6609">
      <w:pPr>
        <w:spacing w:line="360" w:lineRule="auto"/>
        <w:ind w:firstLine="420" w:firstLineChars="200"/>
        <w:rPr>
          <w:rFonts w:ascii="宋体" w:hAnsi="宋体"/>
          <w:snapToGrid w:val="0"/>
          <w:kern w:val="0"/>
          <w:szCs w:val="21"/>
        </w:rPr>
      </w:pPr>
      <w:r>
        <w:rPr>
          <w:rFonts w:ascii="宋体" w:hAnsi="宋体"/>
          <w:snapToGrid w:val="0"/>
          <w:kern w:val="0"/>
          <w:szCs w:val="21"/>
        </w:rPr>
        <w:t>5</w:t>
      </w:r>
      <w:r>
        <w:rPr>
          <w:rFonts w:hint="eastAsia" w:ascii="宋体" w:hAnsi="宋体"/>
          <w:snapToGrid w:val="0"/>
          <w:kern w:val="0"/>
          <w:szCs w:val="21"/>
        </w:rPr>
        <w:t>、我</w:t>
      </w:r>
      <w:r>
        <w:rPr>
          <w:rFonts w:ascii="宋体" w:hAnsi="宋体"/>
          <w:snapToGrid w:val="0"/>
          <w:kern w:val="0"/>
          <w:szCs w:val="21"/>
        </w:rPr>
        <w:t>单位</w:t>
      </w:r>
      <w:r>
        <w:rPr>
          <w:rFonts w:hint="eastAsia" w:ascii="宋体" w:hAnsi="宋体"/>
          <w:snapToGrid w:val="0"/>
          <w:kern w:val="0"/>
          <w:szCs w:val="21"/>
        </w:rPr>
        <w:t>承诺</w:t>
      </w:r>
      <w:r>
        <w:rPr>
          <w:rFonts w:ascii="宋体" w:hAnsi="宋体"/>
          <w:snapToGrid w:val="0"/>
          <w:kern w:val="0"/>
          <w:szCs w:val="21"/>
        </w:rPr>
        <w:t>：</w:t>
      </w:r>
      <w:r>
        <w:rPr>
          <w:rFonts w:hint="eastAsia" w:ascii="宋体" w:hAnsi="宋体"/>
          <w:snapToGrid w:val="0"/>
          <w:kern w:val="0"/>
          <w:szCs w:val="21"/>
        </w:rPr>
        <w:t>承担投标及履约中应承担的全部责任与义务，遵守有关的国家法律、法令、条例和政府采购有关制度并承担相关法律责任；</w:t>
      </w:r>
    </w:p>
    <w:p w14:paraId="0079ACBA">
      <w:pPr>
        <w:spacing w:line="360" w:lineRule="auto"/>
        <w:ind w:firstLine="420" w:firstLineChars="200"/>
        <w:rPr>
          <w:rFonts w:ascii="宋体" w:hAnsi="宋体"/>
          <w:snapToGrid w:val="0"/>
          <w:kern w:val="0"/>
          <w:szCs w:val="21"/>
        </w:rPr>
      </w:pPr>
      <w:r>
        <w:rPr>
          <w:rFonts w:hint="eastAsia" w:ascii="宋体" w:hAnsi="宋体"/>
          <w:snapToGrid w:val="0"/>
          <w:kern w:val="0"/>
          <w:szCs w:val="21"/>
        </w:rPr>
        <w:t>6、我单位不属于“为本采购项目提供整体设计、规范编制或者项目管理、监理、检测等服务”的供应商。</w:t>
      </w:r>
    </w:p>
    <w:p w14:paraId="66BCAD60">
      <w:pPr>
        <w:spacing w:line="360" w:lineRule="auto"/>
      </w:pPr>
    </w:p>
    <w:p w14:paraId="2B85DA1E">
      <w:pPr>
        <w:pStyle w:val="18"/>
      </w:pPr>
    </w:p>
    <w:p w14:paraId="59A9984E">
      <w:pPr>
        <w:spacing w:line="360" w:lineRule="auto"/>
      </w:pPr>
    </w:p>
    <w:p w14:paraId="4E616E0F">
      <w:pPr>
        <w:pStyle w:val="18"/>
      </w:pPr>
    </w:p>
    <w:p w14:paraId="50764C4F">
      <w:pPr>
        <w:spacing w:line="360" w:lineRule="auto"/>
        <w:ind w:firstLine="422"/>
        <w:rPr>
          <w:rFonts w:ascii="宋体" w:hAnsi="宋体"/>
          <w:szCs w:val="21"/>
          <w:u w:val="single"/>
        </w:rPr>
      </w:pPr>
      <w:r>
        <w:rPr>
          <w:rFonts w:hint="eastAsia" w:ascii="宋体" w:hAnsi="宋体"/>
          <w:szCs w:val="21"/>
        </w:rPr>
        <w:t>投标人：</w:t>
      </w:r>
      <w:r>
        <w:rPr>
          <w:rFonts w:hint="eastAsia" w:ascii="宋体" w:hAnsi="宋体"/>
          <w:szCs w:val="21"/>
          <w:u w:val="single"/>
        </w:rPr>
        <w:tab/>
      </w:r>
      <w:r>
        <w:rPr>
          <w:rFonts w:hint="eastAsia" w:ascii="宋体" w:hAnsi="宋体"/>
          <w:szCs w:val="21"/>
          <w:u w:val="single"/>
        </w:rPr>
        <w:t xml:space="preserve">               </w:t>
      </w:r>
      <w:r>
        <w:rPr>
          <w:rFonts w:hint="eastAsia" w:ascii="宋体" w:hAnsi="宋体"/>
          <w:szCs w:val="21"/>
        </w:rPr>
        <w:t>（电子公章）</w:t>
      </w:r>
    </w:p>
    <w:p w14:paraId="7EA513A8">
      <w:pPr>
        <w:spacing w:line="360" w:lineRule="auto"/>
        <w:ind w:firstLine="422"/>
        <w:rPr>
          <w:rFonts w:ascii="宋体" w:hAnsi="宋体"/>
          <w:szCs w:val="21"/>
          <w:u w:val="single"/>
        </w:rPr>
      </w:pPr>
      <w:r>
        <w:rPr>
          <w:rFonts w:hint="eastAsia" w:ascii="宋体" w:hAnsi="宋体"/>
          <w:szCs w:val="21"/>
        </w:rPr>
        <w:t>法定代表人或其委托代理人：</w:t>
      </w:r>
      <w:r>
        <w:rPr>
          <w:rFonts w:hint="eastAsia" w:ascii="宋体" w:hAnsi="宋体"/>
          <w:szCs w:val="21"/>
          <w:u w:val="single"/>
        </w:rPr>
        <w:t xml:space="preserve">         </w:t>
      </w:r>
      <w:r>
        <w:rPr>
          <w:rFonts w:hint="eastAsia" w:ascii="宋体" w:hAnsi="宋体"/>
          <w:szCs w:val="21"/>
        </w:rPr>
        <w:t>（电子签名/章）</w:t>
      </w:r>
    </w:p>
    <w:p w14:paraId="5CD46695">
      <w:pPr>
        <w:spacing w:line="360" w:lineRule="auto"/>
        <w:ind w:firstLine="422"/>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0E7FAE92">
      <w:pPr>
        <w:widowControl/>
        <w:ind w:firstLine="643"/>
        <w:jc w:val="left"/>
        <w:rPr>
          <w:rFonts w:ascii="Calibri" w:hAnsi="Calibri" w:eastAsia="黑体"/>
          <w:b/>
          <w:bCs/>
          <w:snapToGrid w:val="0"/>
          <w:kern w:val="0"/>
          <w:sz w:val="32"/>
          <w:szCs w:val="32"/>
        </w:rPr>
      </w:pPr>
      <w:r>
        <w:rPr>
          <w:rFonts w:ascii="Calibri" w:hAnsi="Calibri"/>
          <w:snapToGrid w:val="0"/>
          <w:sz w:val="32"/>
          <w:szCs w:val="32"/>
        </w:rPr>
        <w:br w:type="page"/>
      </w:r>
    </w:p>
    <w:p w14:paraId="0627BD5F">
      <w:pPr>
        <w:pStyle w:val="5"/>
        <w:rPr>
          <w:snapToGrid w:val="0"/>
        </w:rPr>
      </w:pPr>
      <w:bookmarkStart w:id="204" w:name="_Toc29661"/>
      <w:bookmarkStart w:id="205" w:name="_Toc520749019"/>
      <w:r>
        <w:rPr>
          <w:rFonts w:hint="eastAsia"/>
          <w:snapToGrid w:val="0"/>
        </w:rPr>
        <w:t>（六）其他资料</w:t>
      </w:r>
      <w:bookmarkEnd w:id="204"/>
      <w:bookmarkEnd w:id="205"/>
    </w:p>
    <w:p w14:paraId="636FA8B1">
      <w:pPr>
        <w:wordWrap w:val="0"/>
        <w:spacing w:line="360" w:lineRule="auto"/>
        <w:ind w:firstLine="540" w:firstLineChars="225"/>
        <w:jc w:val="center"/>
        <w:rPr>
          <w:rFonts w:ascii="宋体" w:hAnsi="宋体"/>
          <w:snapToGrid w:val="0"/>
          <w:kern w:val="0"/>
          <w:sz w:val="24"/>
          <w:szCs w:val="24"/>
        </w:rPr>
      </w:pPr>
    </w:p>
    <w:p w14:paraId="5F454478">
      <w:pPr>
        <w:wordWrap w:val="0"/>
        <w:spacing w:line="360" w:lineRule="auto"/>
        <w:ind w:firstLine="472" w:firstLineChars="225"/>
        <w:rPr>
          <w:snapToGrid w:val="0"/>
          <w:kern w:val="0"/>
          <w:szCs w:val="24"/>
        </w:rPr>
      </w:pPr>
      <w:r>
        <w:rPr>
          <w:rFonts w:hint="eastAsia"/>
          <w:snapToGrid w:val="0"/>
          <w:kern w:val="0"/>
          <w:szCs w:val="24"/>
        </w:rPr>
        <w:t>招标文件要求供应商提交的其他资料或供应商认为应提交的其他资料，格式自定。</w:t>
      </w:r>
    </w:p>
    <w:p w14:paraId="70DBDC47">
      <w:pPr>
        <w:wordWrap w:val="0"/>
        <w:spacing w:line="360" w:lineRule="auto"/>
        <w:rPr>
          <w:snapToGrid w:val="0"/>
          <w:kern w:val="0"/>
        </w:rPr>
      </w:pPr>
    </w:p>
    <w:p w14:paraId="78497015">
      <w:pPr>
        <w:wordWrap w:val="0"/>
        <w:jc w:val="center"/>
        <w:outlineLvl w:val="2"/>
        <w:rPr>
          <w:rFonts w:ascii="黑体" w:hAnsi="华文中宋"/>
          <w:b/>
          <w:snapToGrid w:val="0"/>
          <w:kern w:val="0"/>
        </w:rPr>
      </w:pPr>
      <w:bookmarkStart w:id="206" w:name="_Toc324500176"/>
      <w:r>
        <w:rPr>
          <w:snapToGrid w:val="0"/>
          <w:kern w:val="0"/>
        </w:rPr>
        <w:br w:type="page"/>
      </w:r>
      <w:bookmarkStart w:id="207" w:name="_Toc520749020"/>
      <w:bookmarkStart w:id="208" w:name="_Toc28770"/>
      <w:bookmarkStart w:id="209" w:name="_Toc17069"/>
      <w:r>
        <w:rPr>
          <w:rFonts w:hint="eastAsia"/>
          <w:b/>
          <w:bCs/>
          <w:snapToGrid w:val="0"/>
          <w:kern w:val="0"/>
          <w:sz w:val="32"/>
          <w:szCs w:val="32"/>
        </w:rPr>
        <w:t>三、商务部分格式</w:t>
      </w:r>
      <w:bookmarkEnd w:id="206"/>
      <w:bookmarkEnd w:id="207"/>
      <w:bookmarkEnd w:id="208"/>
      <w:bookmarkEnd w:id="209"/>
    </w:p>
    <w:p w14:paraId="3E0C7A9B">
      <w:pPr>
        <w:wordWrap w:val="0"/>
        <w:spacing w:line="360" w:lineRule="auto"/>
        <w:rPr>
          <w:snapToGrid w:val="0"/>
          <w:kern w:val="0"/>
        </w:rPr>
      </w:pPr>
      <w:bookmarkStart w:id="210" w:name="_Toc451856213"/>
      <w:bookmarkStart w:id="211" w:name="_Toc520749005"/>
      <w:bookmarkStart w:id="212" w:name="_Toc4650"/>
      <w:bookmarkStart w:id="213" w:name="_Toc32217"/>
      <w:bookmarkStart w:id="214" w:name="_Toc520749021"/>
      <w:bookmarkStart w:id="215" w:name="_Toc302769444"/>
    </w:p>
    <w:p w14:paraId="3E204FB5">
      <w:pPr>
        <w:pStyle w:val="5"/>
        <w:rPr>
          <w:snapToGrid w:val="0"/>
        </w:rPr>
      </w:pPr>
      <w:r>
        <w:rPr>
          <w:rFonts w:hint="eastAsia"/>
          <w:snapToGrid w:val="0"/>
        </w:rPr>
        <w:t>（一）投标函</w:t>
      </w:r>
      <w:bookmarkEnd w:id="210"/>
      <w:bookmarkEnd w:id="211"/>
      <w:bookmarkEnd w:id="212"/>
    </w:p>
    <w:p w14:paraId="597A9AAD">
      <w:pPr>
        <w:wordWrap w:val="0"/>
        <w:spacing w:line="360" w:lineRule="auto"/>
        <w:rPr>
          <w:snapToGrid w:val="0"/>
          <w:kern w:val="0"/>
        </w:rPr>
      </w:pPr>
    </w:p>
    <w:p w14:paraId="006D9E83">
      <w:pPr>
        <w:wordWrap w:val="0"/>
        <w:spacing w:line="360" w:lineRule="auto"/>
        <w:rPr>
          <w:snapToGrid w:val="0"/>
          <w:kern w:val="0"/>
        </w:rPr>
      </w:pPr>
      <w:r>
        <w:rPr>
          <w:rFonts w:hint="eastAsia"/>
          <w:snapToGrid w:val="0"/>
          <w:kern w:val="0"/>
        </w:rPr>
        <w:t>致：（采购人名称）</w:t>
      </w:r>
    </w:p>
    <w:p w14:paraId="594F4453">
      <w:pPr>
        <w:wordWrap w:val="0"/>
        <w:spacing w:line="360" w:lineRule="auto"/>
        <w:ind w:firstLine="420" w:firstLineChars="200"/>
        <w:rPr>
          <w:snapToGrid w:val="0"/>
          <w:kern w:val="0"/>
        </w:rPr>
      </w:pPr>
      <w:r>
        <w:rPr>
          <w:rFonts w:hint="eastAsia"/>
          <w:snapToGrid w:val="0"/>
          <w:kern w:val="0"/>
        </w:rPr>
        <w:t>1、我方已仔细研究了你方招标项目编号为</w:t>
      </w:r>
      <w:r>
        <w:rPr>
          <w:rFonts w:hint="eastAsia"/>
          <w:snapToGrid w:val="0"/>
          <w:kern w:val="0"/>
          <w:u w:val="single"/>
        </w:rPr>
        <w:t>｛项目编号｝</w:t>
      </w:r>
      <w:r>
        <w:rPr>
          <w:rFonts w:hint="eastAsia"/>
          <w:snapToGrid w:val="0"/>
          <w:kern w:val="0"/>
        </w:rPr>
        <w:t>的</w:t>
      </w:r>
      <w:r>
        <w:rPr>
          <w:rFonts w:hint="eastAsia"/>
          <w:snapToGrid w:val="0"/>
          <w:kern w:val="0"/>
          <w:u w:val="single"/>
        </w:rPr>
        <w:t>｛项目名称｝</w:t>
      </w:r>
      <w:r>
        <w:rPr>
          <w:rFonts w:hint="eastAsia"/>
          <w:snapToGrid w:val="0"/>
          <w:kern w:val="0"/>
        </w:rPr>
        <w:t>招标文件的全部内容，包括修改文件（如有）及有关附件，愿以</w:t>
      </w:r>
      <w:r>
        <w:rPr>
          <w:snapToGrid w:val="0"/>
          <w:kern w:val="0"/>
        </w:rPr>
        <w:t>¥</w:t>
      </w:r>
      <w:r>
        <w:rPr>
          <w:rFonts w:hint="eastAsia"/>
          <w:snapToGrid w:val="0"/>
          <w:kern w:val="0"/>
          <w:u w:val="single"/>
        </w:rPr>
        <w:t xml:space="preserve">        元（大写：       </w:t>
      </w:r>
      <w:r>
        <w:rPr>
          <w:snapToGrid w:val="0"/>
          <w:kern w:val="0"/>
          <w:u w:val="single"/>
        </w:rPr>
        <w:t>）</w:t>
      </w:r>
      <w:r>
        <w:rPr>
          <w:rFonts w:hint="eastAsia"/>
          <w:snapToGrid w:val="0"/>
          <w:kern w:val="0"/>
        </w:rPr>
        <w:t>的投标报价，并按招标文件的规定、质量</w:t>
      </w:r>
      <w:r>
        <w:rPr>
          <w:snapToGrid w:val="0"/>
          <w:kern w:val="0"/>
        </w:rPr>
        <w:t>标准、</w:t>
      </w:r>
      <w:r>
        <w:rPr>
          <w:rFonts w:hint="eastAsia"/>
          <w:snapToGrid w:val="0"/>
          <w:kern w:val="0"/>
        </w:rPr>
        <w:t>合同条款的要求和我方投标文件的承诺履行合同责任和义务，保证按合同约定完成本项目的</w:t>
      </w:r>
      <w:r>
        <w:rPr>
          <w:snapToGrid w:val="0"/>
          <w:kern w:val="0"/>
        </w:rPr>
        <w:t>服务</w:t>
      </w:r>
      <w:r>
        <w:rPr>
          <w:rFonts w:hint="eastAsia"/>
          <w:snapToGrid w:val="0"/>
          <w:kern w:val="0"/>
        </w:rPr>
        <w:t>工作。</w:t>
      </w:r>
    </w:p>
    <w:p w14:paraId="6D9F96B6">
      <w:pPr>
        <w:wordWrap w:val="0"/>
        <w:spacing w:line="360" w:lineRule="auto"/>
        <w:ind w:firstLine="420" w:firstLineChars="200"/>
        <w:rPr>
          <w:snapToGrid w:val="0"/>
          <w:kern w:val="0"/>
        </w:rPr>
      </w:pPr>
      <w:r>
        <w:rPr>
          <w:snapToGrid w:val="0"/>
          <w:kern w:val="0"/>
        </w:rPr>
        <w:t>2</w:t>
      </w:r>
      <w:r>
        <w:rPr>
          <w:rFonts w:hint="eastAsia"/>
          <w:snapToGrid w:val="0"/>
          <w:kern w:val="0"/>
        </w:rPr>
        <w:t>、我方承诺在招标文件</w:t>
      </w:r>
      <w:r>
        <w:rPr>
          <w:snapToGrid w:val="0"/>
          <w:kern w:val="0"/>
        </w:rPr>
        <w:t>规定的</w:t>
      </w:r>
      <w:r>
        <w:rPr>
          <w:rFonts w:hint="eastAsia"/>
          <w:snapToGrid w:val="0"/>
          <w:kern w:val="0"/>
        </w:rPr>
        <w:t>投标有效期内不修改、撤销投标文件。</w:t>
      </w:r>
    </w:p>
    <w:p w14:paraId="404E8B76">
      <w:pPr>
        <w:wordWrap w:val="0"/>
        <w:spacing w:line="360" w:lineRule="auto"/>
        <w:ind w:firstLine="420" w:firstLineChars="200"/>
        <w:rPr>
          <w:snapToGrid w:val="0"/>
          <w:kern w:val="0"/>
        </w:rPr>
      </w:pPr>
      <w:r>
        <w:rPr>
          <w:snapToGrid w:val="0"/>
          <w:kern w:val="0"/>
        </w:rPr>
        <w:t>3</w:t>
      </w:r>
      <w:r>
        <w:rPr>
          <w:rFonts w:hint="eastAsia"/>
          <w:snapToGrid w:val="0"/>
          <w:kern w:val="0"/>
        </w:rPr>
        <w:t>．如我方中标：</w:t>
      </w:r>
    </w:p>
    <w:p w14:paraId="4ECFD142">
      <w:pPr>
        <w:wordWrap w:val="0"/>
        <w:spacing w:line="360" w:lineRule="auto"/>
        <w:ind w:firstLine="420" w:firstLineChars="200"/>
        <w:rPr>
          <w:snapToGrid w:val="0"/>
          <w:kern w:val="0"/>
        </w:rPr>
      </w:pPr>
      <w:r>
        <w:rPr>
          <w:rFonts w:hint="eastAsia"/>
          <w:snapToGrid w:val="0"/>
          <w:kern w:val="0"/>
        </w:rPr>
        <w:t>（1）我方承诺在收到中标通知书后，在中标通知书规定的期限内，与你方按照招标文件和我方的投标文件签订合同。</w:t>
      </w:r>
    </w:p>
    <w:p w14:paraId="7DBFDB9F">
      <w:pPr>
        <w:wordWrap w:val="0"/>
        <w:spacing w:line="360" w:lineRule="auto"/>
        <w:ind w:firstLine="420" w:firstLineChars="200"/>
        <w:rPr>
          <w:snapToGrid w:val="0"/>
          <w:kern w:val="0"/>
        </w:rPr>
      </w:pPr>
      <w:r>
        <w:rPr>
          <w:rFonts w:hint="eastAsia"/>
          <w:snapToGrid w:val="0"/>
          <w:kern w:val="0"/>
        </w:rPr>
        <w:t>（3）我方承诺按照招标文件规定向你方递交履约担保。</w:t>
      </w:r>
    </w:p>
    <w:p w14:paraId="3CDB133F">
      <w:pPr>
        <w:wordWrap w:val="0"/>
        <w:spacing w:line="360" w:lineRule="auto"/>
        <w:ind w:firstLine="420" w:firstLineChars="200"/>
        <w:rPr>
          <w:snapToGrid w:val="0"/>
          <w:kern w:val="0"/>
        </w:rPr>
      </w:pPr>
      <w:r>
        <w:rPr>
          <w:rFonts w:hint="eastAsia"/>
          <w:snapToGrid w:val="0"/>
          <w:kern w:val="0"/>
        </w:rPr>
        <w:t>（4）我方承诺我方保证按合同条款的规定的时间开始实施本项目，并保证按合同条款的规定完成项目的服务</w:t>
      </w:r>
      <w:r>
        <w:rPr>
          <w:snapToGrid w:val="0"/>
          <w:kern w:val="0"/>
        </w:rPr>
        <w:t>工作</w:t>
      </w:r>
      <w:r>
        <w:rPr>
          <w:rFonts w:hint="eastAsia"/>
          <w:snapToGrid w:val="0"/>
          <w:kern w:val="0"/>
        </w:rPr>
        <w:t>。</w:t>
      </w:r>
    </w:p>
    <w:p w14:paraId="7C250119">
      <w:pPr>
        <w:wordWrap w:val="0"/>
        <w:spacing w:line="360" w:lineRule="auto"/>
        <w:ind w:firstLine="420" w:firstLineChars="200"/>
        <w:rPr>
          <w:snapToGrid w:val="0"/>
          <w:kern w:val="0"/>
        </w:rPr>
      </w:pPr>
      <w:r>
        <w:rPr>
          <w:snapToGrid w:val="0"/>
          <w:kern w:val="0"/>
        </w:rPr>
        <w:t>4</w:t>
      </w:r>
      <w:r>
        <w:rPr>
          <w:rFonts w:hint="eastAsia"/>
          <w:snapToGrid w:val="0"/>
          <w:kern w:val="0"/>
        </w:rPr>
        <w:t>、我方完全理解并接受贵方不一定接受最低价的投标或收到的所有投标。</w:t>
      </w:r>
    </w:p>
    <w:p w14:paraId="707ADEC4">
      <w:pPr>
        <w:wordWrap w:val="0"/>
        <w:spacing w:line="360" w:lineRule="auto"/>
        <w:ind w:firstLine="420" w:firstLineChars="200"/>
        <w:rPr>
          <w:snapToGrid w:val="0"/>
          <w:kern w:val="0"/>
        </w:rPr>
      </w:pPr>
      <w:r>
        <w:rPr>
          <w:rFonts w:hint="eastAsia"/>
          <w:snapToGrid w:val="0"/>
          <w:kern w:val="0"/>
        </w:rPr>
        <w:t>5、在签署协议书之前，你方的中标通知书连同本投标函，对双方具有约束力。</w:t>
      </w:r>
    </w:p>
    <w:p w14:paraId="4B50343D">
      <w:pPr>
        <w:wordWrap w:val="0"/>
        <w:spacing w:line="360" w:lineRule="auto"/>
        <w:rPr>
          <w:snapToGrid w:val="0"/>
          <w:kern w:val="0"/>
        </w:rPr>
      </w:pPr>
    </w:p>
    <w:p w14:paraId="6221C18E">
      <w:pPr>
        <w:wordWrap w:val="0"/>
        <w:spacing w:line="360" w:lineRule="auto"/>
        <w:rPr>
          <w:snapToGrid w:val="0"/>
          <w:kern w:val="0"/>
        </w:rPr>
      </w:pPr>
    </w:p>
    <w:p w14:paraId="371E72D7">
      <w:pPr>
        <w:spacing w:line="360" w:lineRule="auto"/>
        <w:ind w:firstLine="422"/>
        <w:rPr>
          <w:rFonts w:ascii="宋体" w:hAnsi="宋体"/>
          <w:szCs w:val="21"/>
          <w:u w:val="single"/>
        </w:rPr>
      </w:pPr>
      <w:r>
        <w:rPr>
          <w:rFonts w:hint="eastAsia" w:ascii="宋体" w:hAnsi="宋体"/>
          <w:szCs w:val="21"/>
        </w:rPr>
        <w:t>投标人：</w:t>
      </w:r>
      <w:r>
        <w:rPr>
          <w:rFonts w:hint="eastAsia" w:ascii="宋体" w:hAnsi="宋体"/>
          <w:szCs w:val="21"/>
          <w:u w:val="single"/>
        </w:rPr>
        <w:tab/>
      </w:r>
      <w:r>
        <w:rPr>
          <w:rFonts w:hint="eastAsia" w:ascii="宋体" w:hAnsi="宋体"/>
          <w:szCs w:val="21"/>
          <w:u w:val="single"/>
        </w:rPr>
        <w:t xml:space="preserve">               </w:t>
      </w:r>
      <w:r>
        <w:rPr>
          <w:rFonts w:hint="eastAsia" w:ascii="宋体" w:hAnsi="宋体"/>
          <w:szCs w:val="21"/>
        </w:rPr>
        <w:t>（电子公章）</w:t>
      </w:r>
    </w:p>
    <w:p w14:paraId="72A4A016">
      <w:pPr>
        <w:wordWrap w:val="0"/>
        <w:spacing w:line="360" w:lineRule="auto"/>
        <w:ind w:left="420" w:leftChars="200"/>
        <w:rPr>
          <w:snapToGrid w:val="0"/>
          <w:kern w:val="0"/>
          <w:u w:val="single"/>
        </w:rPr>
      </w:pPr>
      <w:r>
        <w:rPr>
          <w:rFonts w:hint="eastAsia"/>
          <w:snapToGrid w:val="0"/>
          <w:kern w:val="0"/>
        </w:rPr>
        <w:t>单位地址：</w:t>
      </w:r>
      <w:r>
        <w:rPr>
          <w:rFonts w:hint="eastAsia"/>
          <w:snapToGrid w:val="0"/>
          <w:kern w:val="0"/>
          <w:u w:val="single"/>
        </w:rPr>
        <w:tab/>
      </w:r>
      <w:r>
        <w:rPr>
          <w:rFonts w:hint="eastAsia"/>
          <w:snapToGrid w:val="0"/>
          <w:kern w:val="0"/>
          <w:u w:val="single"/>
        </w:rPr>
        <w:tab/>
      </w:r>
      <w:r>
        <w:rPr>
          <w:rFonts w:hint="eastAsia"/>
          <w:snapToGrid w:val="0"/>
          <w:kern w:val="0"/>
          <w:u w:val="single"/>
        </w:rPr>
        <w:tab/>
      </w:r>
      <w:r>
        <w:rPr>
          <w:rFonts w:hint="eastAsia"/>
          <w:snapToGrid w:val="0"/>
          <w:kern w:val="0"/>
          <w:u w:val="single"/>
        </w:rPr>
        <w:tab/>
      </w:r>
      <w:r>
        <w:rPr>
          <w:rFonts w:hint="eastAsia"/>
          <w:snapToGrid w:val="0"/>
          <w:kern w:val="0"/>
          <w:u w:val="single"/>
        </w:rPr>
        <w:tab/>
      </w:r>
      <w:r>
        <w:rPr>
          <w:rFonts w:hint="eastAsia"/>
          <w:snapToGrid w:val="0"/>
          <w:kern w:val="0"/>
          <w:u w:val="single"/>
        </w:rPr>
        <w:tab/>
      </w:r>
      <w:r>
        <w:rPr>
          <w:rFonts w:hint="eastAsia"/>
          <w:snapToGrid w:val="0"/>
          <w:kern w:val="0"/>
          <w:u w:val="single"/>
        </w:rPr>
        <w:tab/>
      </w:r>
      <w:r>
        <w:rPr>
          <w:rFonts w:hint="eastAsia"/>
          <w:snapToGrid w:val="0"/>
          <w:kern w:val="0"/>
          <w:u w:val="single"/>
        </w:rPr>
        <w:tab/>
      </w:r>
    </w:p>
    <w:p w14:paraId="25DF27EA">
      <w:pPr>
        <w:wordWrap w:val="0"/>
        <w:spacing w:line="360" w:lineRule="auto"/>
        <w:ind w:left="420" w:leftChars="200"/>
        <w:rPr>
          <w:snapToGrid w:val="0"/>
          <w:kern w:val="0"/>
          <w:u w:val="single"/>
        </w:rPr>
      </w:pPr>
      <w:r>
        <w:rPr>
          <w:rFonts w:hint="eastAsia"/>
          <w:snapToGrid w:val="0"/>
          <w:kern w:val="0"/>
        </w:rPr>
        <w:t>邮政编码：</w:t>
      </w:r>
      <w:r>
        <w:rPr>
          <w:rFonts w:hint="eastAsia"/>
          <w:snapToGrid w:val="0"/>
          <w:kern w:val="0"/>
          <w:u w:val="single"/>
        </w:rPr>
        <w:tab/>
      </w:r>
      <w:r>
        <w:rPr>
          <w:rFonts w:hint="eastAsia"/>
          <w:snapToGrid w:val="0"/>
          <w:kern w:val="0"/>
          <w:u w:val="single"/>
        </w:rPr>
        <w:tab/>
      </w:r>
      <w:r>
        <w:rPr>
          <w:rFonts w:hint="eastAsia"/>
          <w:snapToGrid w:val="0"/>
          <w:kern w:val="0"/>
        </w:rPr>
        <w:t>电话：</w:t>
      </w:r>
      <w:r>
        <w:rPr>
          <w:rFonts w:hint="eastAsia"/>
          <w:snapToGrid w:val="0"/>
          <w:kern w:val="0"/>
          <w:u w:val="single"/>
        </w:rPr>
        <w:tab/>
      </w:r>
      <w:r>
        <w:rPr>
          <w:rFonts w:hint="eastAsia"/>
          <w:snapToGrid w:val="0"/>
          <w:kern w:val="0"/>
          <w:u w:val="single"/>
        </w:rPr>
        <w:tab/>
      </w:r>
      <w:r>
        <w:rPr>
          <w:rFonts w:hint="eastAsia"/>
          <w:snapToGrid w:val="0"/>
          <w:kern w:val="0"/>
        </w:rPr>
        <w:t>传真：</w:t>
      </w:r>
      <w:r>
        <w:rPr>
          <w:rFonts w:hint="eastAsia"/>
          <w:snapToGrid w:val="0"/>
          <w:kern w:val="0"/>
          <w:u w:val="single"/>
        </w:rPr>
        <w:tab/>
      </w:r>
      <w:r>
        <w:rPr>
          <w:rFonts w:hint="eastAsia"/>
          <w:snapToGrid w:val="0"/>
          <w:kern w:val="0"/>
          <w:u w:val="single"/>
        </w:rPr>
        <w:tab/>
      </w:r>
    </w:p>
    <w:p w14:paraId="436B10DF">
      <w:pPr>
        <w:wordWrap w:val="0"/>
        <w:spacing w:line="360" w:lineRule="auto"/>
        <w:ind w:left="420" w:leftChars="200"/>
        <w:rPr>
          <w:snapToGrid w:val="0"/>
          <w:kern w:val="0"/>
        </w:rPr>
      </w:pPr>
      <w:r>
        <w:rPr>
          <w:rFonts w:hint="eastAsia"/>
          <w:snapToGrid w:val="0"/>
          <w:kern w:val="0"/>
        </w:rPr>
        <w:t>开户银行名称：</w:t>
      </w:r>
      <w:r>
        <w:rPr>
          <w:rFonts w:hint="eastAsia"/>
          <w:snapToGrid w:val="0"/>
          <w:kern w:val="0"/>
          <w:u w:val="single"/>
        </w:rPr>
        <w:tab/>
      </w:r>
      <w:r>
        <w:rPr>
          <w:rFonts w:hint="eastAsia"/>
          <w:snapToGrid w:val="0"/>
          <w:kern w:val="0"/>
          <w:u w:val="single"/>
        </w:rPr>
        <w:tab/>
      </w:r>
      <w:r>
        <w:rPr>
          <w:rFonts w:hint="eastAsia"/>
          <w:snapToGrid w:val="0"/>
          <w:kern w:val="0"/>
          <w:u w:val="single"/>
        </w:rPr>
        <w:tab/>
      </w:r>
      <w:r>
        <w:rPr>
          <w:rFonts w:hint="eastAsia"/>
          <w:snapToGrid w:val="0"/>
          <w:kern w:val="0"/>
          <w:u w:val="single"/>
        </w:rPr>
        <w:tab/>
      </w:r>
      <w:r>
        <w:rPr>
          <w:rFonts w:hint="eastAsia"/>
          <w:snapToGrid w:val="0"/>
          <w:kern w:val="0"/>
          <w:u w:val="single"/>
        </w:rPr>
        <w:tab/>
      </w:r>
      <w:r>
        <w:rPr>
          <w:rFonts w:hint="eastAsia"/>
          <w:snapToGrid w:val="0"/>
          <w:kern w:val="0"/>
          <w:u w:val="single"/>
        </w:rPr>
        <w:tab/>
      </w:r>
      <w:r>
        <w:rPr>
          <w:rFonts w:hint="eastAsia"/>
          <w:snapToGrid w:val="0"/>
          <w:kern w:val="0"/>
          <w:u w:val="single"/>
        </w:rPr>
        <w:tab/>
      </w:r>
    </w:p>
    <w:p w14:paraId="3406F765">
      <w:pPr>
        <w:wordWrap w:val="0"/>
        <w:spacing w:line="360" w:lineRule="auto"/>
        <w:ind w:left="420" w:leftChars="200"/>
        <w:rPr>
          <w:snapToGrid w:val="0"/>
          <w:kern w:val="0"/>
        </w:rPr>
      </w:pPr>
      <w:r>
        <w:rPr>
          <w:rFonts w:hint="eastAsia"/>
          <w:snapToGrid w:val="0"/>
          <w:kern w:val="0"/>
        </w:rPr>
        <w:t>开户银行账号：</w:t>
      </w:r>
      <w:r>
        <w:rPr>
          <w:rFonts w:hint="eastAsia"/>
          <w:snapToGrid w:val="0"/>
          <w:kern w:val="0"/>
          <w:u w:val="single"/>
        </w:rPr>
        <w:tab/>
      </w:r>
      <w:r>
        <w:rPr>
          <w:rFonts w:hint="eastAsia"/>
          <w:snapToGrid w:val="0"/>
          <w:kern w:val="0"/>
          <w:u w:val="single"/>
        </w:rPr>
        <w:tab/>
      </w:r>
      <w:r>
        <w:rPr>
          <w:rFonts w:hint="eastAsia"/>
          <w:snapToGrid w:val="0"/>
          <w:kern w:val="0"/>
          <w:u w:val="single"/>
        </w:rPr>
        <w:tab/>
      </w:r>
      <w:r>
        <w:rPr>
          <w:rFonts w:hint="eastAsia"/>
          <w:snapToGrid w:val="0"/>
          <w:kern w:val="0"/>
          <w:u w:val="single"/>
        </w:rPr>
        <w:tab/>
      </w:r>
      <w:r>
        <w:rPr>
          <w:rFonts w:hint="eastAsia"/>
          <w:snapToGrid w:val="0"/>
          <w:kern w:val="0"/>
          <w:u w:val="single"/>
        </w:rPr>
        <w:tab/>
      </w:r>
      <w:r>
        <w:rPr>
          <w:rFonts w:hint="eastAsia"/>
          <w:snapToGrid w:val="0"/>
          <w:kern w:val="0"/>
          <w:u w:val="single"/>
        </w:rPr>
        <w:tab/>
      </w:r>
      <w:r>
        <w:rPr>
          <w:rFonts w:hint="eastAsia"/>
          <w:snapToGrid w:val="0"/>
          <w:kern w:val="0"/>
          <w:u w:val="single"/>
        </w:rPr>
        <w:tab/>
      </w:r>
    </w:p>
    <w:p w14:paraId="5993E2D9">
      <w:pPr>
        <w:wordWrap w:val="0"/>
        <w:spacing w:line="360" w:lineRule="auto"/>
        <w:ind w:left="420" w:leftChars="200"/>
        <w:rPr>
          <w:snapToGrid w:val="0"/>
          <w:kern w:val="0"/>
        </w:rPr>
      </w:pPr>
    </w:p>
    <w:p w14:paraId="6BFEECB0">
      <w:pPr>
        <w:spacing w:line="360" w:lineRule="auto"/>
        <w:ind w:firstLine="422"/>
        <w:rPr>
          <w:rFonts w:ascii="宋体" w:hAnsi="宋体"/>
          <w:szCs w:val="21"/>
          <w:u w:val="single"/>
        </w:rPr>
      </w:pPr>
      <w:r>
        <w:rPr>
          <w:rFonts w:hint="eastAsia" w:ascii="宋体" w:hAnsi="宋体"/>
          <w:szCs w:val="21"/>
        </w:rPr>
        <w:t>法定代表人或其委托代理人：</w:t>
      </w:r>
      <w:r>
        <w:rPr>
          <w:rFonts w:hint="eastAsia" w:ascii="宋体" w:hAnsi="宋体"/>
          <w:szCs w:val="21"/>
          <w:u w:val="single"/>
        </w:rPr>
        <w:t xml:space="preserve">         </w:t>
      </w:r>
      <w:r>
        <w:rPr>
          <w:rFonts w:hint="eastAsia" w:ascii="宋体" w:hAnsi="宋体"/>
          <w:szCs w:val="21"/>
        </w:rPr>
        <w:t>（电子签名/章）</w:t>
      </w:r>
    </w:p>
    <w:p w14:paraId="088AD176">
      <w:pPr>
        <w:spacing w:line="360" w:lineRule="auto"/>
        <w:ind w:firstLine="422"/>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005E2AEA"/>
    <w:p w14:paraId="4367C61C">
      <w:pPr>
        <w:wordWrap w:val="0"/>
        <w:spacing w:line="360" w:lineRule="auto"/>
        <w:rPr>
          <w:snapToGrid w:val="0"/>
          <w:kern w:val="0"/>
        </w:rPr>
      </w:pPr>
      <w:r>
        <w:rPr>
          <w:snapToGrid w:val="0"/>
          <w:kern w:val="0"/>
        </w:rPr>
        <w:br w:type="page"/>
      </w:r>
    </w:p>
    <w:p w14:paraId="6DACCE89">
      <w:pPr>
        <w:pStyle w:val="5"/>
        <w:rPr>
          <w:snapToGrid w:val="0"/>
        </w:rPr>
      </w:pPr>
      <w:r>
        <w:rPr>
          <w:rFonts w:hint="eastAsia"/>
          <w:snapToGrid w:val="0"/>
        </w:rPr>
        <w:t>（二）法定代表人身份证明书</w:t>
      </w:r>
    </w:p>
    <w:p w14:paraId="2EFE873B">
      <w:pPr>
        <w:wordWrap w:val="0"/>
        <w:spacing w:line="360" w:lineRule="auto"/>
        <w:rPr>
          <w:snapToGrid w:val="0"/>
          <w:kern w:val="0"/>
        </w:rPr>
      </w:pPr>
    </w:p>
    <w:p w14:paraId="3A005BBC">
      <w:pPr>
        <w:wordWrap w:val="0"/>
        <w:spacing w:line="360" w:lineRule="auto"/>
        <w:ind w:firstLine="420" w:firstLineChars="200"/>
        <w:rPr>
          <w:snapToGrid w:val="0"/>
          <w:kern w:val="0"/>
          <w:u w:val="single"/>
        </w:rPr>
      </w:pPr>
      <w:r>
        <w:rPr>
          <w:rFonts w:hint="eastAsia"/>
          <w:snapToGrid w:val="0"/>
          <w:kern w:val="0"/>
        </w:rPr>
        <w:t>单位名称：</w:t>
      </w:r>
      <w:r>
        <w:rPr>
          <w:rFonts w:hint="eastAsia"/>
          <w:snapToGrid w:val="0"/>
          <w:kern w:val="0"/>
          <w:u w:val="single"/>
        </w:rPr>
        <w:tab/>
      </w:r>
      <w:r>
        <w:rPr>
          <w:rFonts w:hint="eastAsia"/>
          <w:snapToGrid w:val="0"/>
          <w:kern w:val="0"/>
          <w:u w:val="single"/>
        </w:rPr>
        <w:tab/>
      </w:r>
      <w:r>
        <w:rPr>
          <w:rFonts w:hint="eastAsia"/>
          <w:snapToGrid w:val="0"/>
          <w:kern w:val="0"/>
          <w:u w:val="single"/>
        </w:rPr>
        <w:tab/>
      </w:r>
      <w:r>
        <w:rPr>
          <w:rFonts w:hint="eastAsia"/>
          <w:snapToGrid w:val="0"/>
          <w:kern w:val="0"/>
          <w:u w:val="single"/>
        </w:rPr>
        <w:tab/>
      </w:r>
      <w:r>
        <w:rPr>
          <w:rFonts w:hint="eastAsia"/>
          <w:snapToGrid w:val="0"/>
          <w:kern w:val="0"/>
          <w:u w:val="single"/>
        </w:rPr>
        <w:tab/>
      </w:r>
      <w:r>
        <w:rPr>
          <w:rFonts w:hint="eastAsia"/>
          <w:snapToGrid w:val="0"/>
          <w:kern w:val="0"/>
          <w:u w:val="single"/>
        </w:rPr>
        <w:tab/>
      </w:r>
      <w:r>
        <w:rPr>
          <w:rFonts w:hint="eastAsia"/>
          <w:snapToGrid w:val="0"/>
          <w:kern w:val="0"/>
          <w:u w:val="single"/>
        </w:rPr>
        <w:tab/>
      </w:r>
      <w:r>
        <w:rPr>
          <w:rFonts w:hint="eastAsia"/>
          <w:snapToGrid w:val="0"/>
          <w:kern w:val="0"/>
          <w:u w:val="single"/>
        </w:rPr>
        <w:tab/>
      </w:r>
      <w:r>
        <w:rPr>
          <w:rFonts w:hint="eastAsia"/>
          <w:snapToGrid w:val="0"/>
          <w:kern w:val="0"/>
          <w:u w:val="single"/>
        </w:rPr>
        <w:tab/>
      </w:r>
      <w:r>
        <w:rPr>
          <w:rFonts w:hint="eastAsia"/>
          <w:snapToGrid w:val="0"/>
          <w:kern w:val="0"/>
          <w:u w:val="single"/>
        </w:rPr>
        <w:tab/>
      </w:r>
    </w:p>
    <w:p w14:paraId="4E850995">
      <w:pPr>
        <w:wordWrap w:val="0"/>
        <w:spacing w:line="360" w:lineRule="auto"/>
        <w:ind w:firstLine="420" w:firstLineChars="200"/>
        <w:rPr>
          <w:snapToGrid w:val="0"/>
          <w:kern w:val="0"/>
        </w:rPr>
      </w:pPr>
      <w:r>
        <w:rPr>
          <w:rFonts w:hint="eastAsia"/>
          <w:snapToGrid w:val="0"/>
          <w:kern w:val="0"/>
        </w:rPr>
        <w:t>单位性质：</w:t>
      </w:r>
      <w:r>
        <w:rPr>
          <w:rFonts w:hint="eastAsia"/>
          <w:snapToGrid w:val="0"/>
          <w:kern w:val="0"/>
          <w:u w:val="single"/>
        </w:rPr>
        <w:tab/>
      </w:r>
      <w:r>
        <w:rPr>
          <w:rFonts w:hint="eastAsia"/>
          <w:snapToGrid w:val="0"/>
          <w:kern w:val="0"/>
          <w:u w:val="single"/>
        </w:rPr>
        <w:tab/>
      </w:r>
      <w:r>
        <w:rPr>
          <w:rFonts w:hint="eastAsia"/>
          <w:snapToGrid w:val="0"/>
          <w:kern w:val="0"/>
          <w:u w:val="single"/>
        </w:rPr>
        <w:tab/>
      </w:r>
      <w:r>
        <w:rPr>
          <w:rFonts w:hint="eastAsia"/>
          <w:snapToGrid w:val="0"/>
          <w:kern w:val="0"/>
          <w:u w:val="single"/>
        </w:rPr>
        <w:tab/>
      </w:r>
      <w:r>
        <w:rPr>
          <w:rFonts w:hint="eastAsia"/>
          <w:snapToGrid w:val="0"/>
          <w:kern w:val="0"/>
          <w:u w:val="single"/>
        </w:rPr>
        <w:tab/>
      </w:r>
      <w:r>
        <w:rPr>
          <w:rFonts w:hint="eastAsia"/>
          <w:snapToGrid w:val="0"/>
          <w:kern w:val="0"/>
          <w:u w:val="single"/>
        </w:rPr>
        <w:tab/>
      </w:r>
      <w:r>
        <w:rPr>
          <w:rFonts w:hint="eastAsia"/>
          <w:snapToGrid w:val="0"/>
          <w:kern w:val="0"/>
          <w:u w:val="single"/>
        </w:rPr>
        <w:tab/>
      </w:r>
      <w:r>
        <w:rPr>
          <w:rFonts w:hint="eastAsia"/>
          <w:snapToGrid w:val="0"/>
          <w:kern w:val="0"/>
          <w:u w:val="single"/>
        </w:rPr>
        <w:tab/>
      </w:r>
      <w:r>
        <w:rPr>
          <w:rFonts w:hint="eastAsia"/>
          <w:snapToGrid w:val="0"/>
          <w:kern w:val="0"/>
          <w:u w:val="single"/>
        </w:rPr>
        <w:tab/>
      </w:r>
      <w:r>
        <w:rPr>
          <w:rFonts w:hint="eastAsia"/>
          <w:snapToGrid w:val="0"/>
          <w:kern w:val="0"/>
          <w:u w:val="single"/>
        </w:rPr>
        <w:tab/>
      </w:r>
    </w:p>
    <w:p w14:paraId="3DBC0757">
      <w:pPr>
        <w:wordWrap w:val="0"/>
        <w:spacing w:line="360" w:lineRule="auto"/>
        <w:ind w:firstLine="420" w:firstLineChars="200"/>
        <w:rPr>
          <w:snapToGrid w:val="0"/>
          <w:kern w:val="0"/>
        </w:rPr>
      </w:pPr>
      <w:r>
        <w:rPr>
          <w:rFonts w:hint="eastAsia"/>
          <w:snapToGrid w:val="0"/>
          <w:kern w:val="0"/>
        </w:rPr>
        <w:t>地</w:t>
      </w:r>
      <w:r>
        <w:rPr>
          <w:snapToGrid w:val="0"/>
          <w:kern w:val="0"/>
        </w:rPr>
        <w:t>址：</w:t>
      </w:r>
      <w:r>
        <w:rPr>
          <w:rFonts w:hint="eastAsia"/>
          <w:snapToGrid w:val="0"/>
          <w:kern w:val="0"/>
          <w:u w:val="single"/>
        </w:rPr>
        <w:tab/>
      </w:r>
      <w:r>
        <w:rPr>
          <w:rFonts w:hint="eastAsia"/>
          <w:snapToGrid w:val="0"/>
          <w:kern w:val="0"/>
          <w:u w:val="single"/>
        </w:rPr>
        <w:tab/>
      </w:r>
      <w:r>
        <w:rPr>
          <w:rFonts w:hint="eastAsia"/>
          <w:snapToGrid w:val="0"/>
          <w:kern w:val="0"/>
          <w:u w:val="single"/>
        </w:rPr>
        <w:tab/>
      </w:r>
      <w:r>
        <w:rPr>
          <w:rFonts w:hint="eastAsia"/>
          <w:snapToGrid w:val="0"/>
          <w:kern w:val="0"/>
          <w:u w:val="single"/>
        </w:rPr>
        <w:tab/>
      </w:r>
      <w:r>
        <w:rPr>
          <w:rFonts w:hint="eastAsia"/>
          <w:snapToGrid w:val="0"/>
          <w:kern w:val="0"/>
          <w:u w:val="single"/>
        </w:rPr>
        <w:tab/>
      </w:r>
      <w:r>
        <w:rPr>
          <w:rFonts w:hint="eastAsia"/>
          <w:snapToGrid w:val="0"/>
          <w:kern w:val="0"/>
          <w:u w:val="single"/>
        </w:rPr>
        <w:tab/>
      </w:r>
    </w:p>
    <w:p w14:paraId="3CB9400F">
      <w:pPr>
        <w:wordWrap w:val="0"/>
        <w:spacing w:line="360" w:lineRule="auto"/>
        <w:ind w:firstLine="420" w:firstLineChars="200"/>
        <w:rPr>
          <w:snapToGrid w:val="0"/>
          <w:kern w:val="0"/>
        </w:rPr>
      </w:pPr>
      <w:r>
        <w:rPr>
          <w:rFonts w:hint="eastAsia"/>
          <w:snapToGrid w:val="0"/>
          <w:kern w:val="0"/>
        </w:rPr>
        <w:t>成立时间：</w:t>
      </w:r>
      <w:r>
        <w:rPr>
          <w:rFonts w:hint="eastAsia"/>
          <w:snapToGrid w:val="0"/>
          <w:kern w:val="0"/>
          <w:u w:val="single"/>
        </w:rPr>
        <w:tab/>
      </w:r>
      <w:r>
        <w:rPr>
          <w:rFonts w:hint="eastAsia"/>
          <w:snapToGrid w:val="0"/>
          <w:kern w:val="0"/>
          <w:u w:val="single"/>
        </w:rPr>
        <w:tab/>
      </w:r>
      <w:r>
        <w:rPr>
          <w:rFonts w:hint="eastAsia"/>
          <w:snapToGrid w:val="0"/>
          <w:kern w:val="0"/>
        </w:rPr>
        <w:t>年</w:t>
      </w:r>
      <w:r>
        <w:rPr>
          <w:rFonts w:hint="eastAsia"/>
          <w:snapToGrid w:val="0"/>
          <w:kern w:val="0"/>
          <w:u w:val="single"/>
        </w:rPr>
        <w:tab/>
      </w:r>
      <w:r>
        <w:rPr>
          <w:rFonts w:hint="eastAsia"/>
          <w:snapToGrid w:val="0"/>
          <w:kern w:val="0"/>
          <w:u w:val="single"/>
        </w:rPr>
        <w:tab/>
      </w:r>
      <w:r>
        <w:rPr>
          <w:rFonts w:hint="eastAsia"/>
          <w:snapToGrid w:val="0"/>
          <w:kern w:val="0"/>
        </w:rPr>
        <w:t>月</w:t>
      </w:r>
      <w:r>
        <w:rPr>
          <w:rFonts w:hint="eastAsia"/>
          <w:snapToGrid w:val="0"/>
          <w:kern w:val="0"/>
          <w:u w:val="single"/>
        </w:rPr>
        <w:tab/>
      </w:r>
      <w:r>
        <w:rPr>
          <w:rFonts w:hint="eastAsia"/>
          <w:snapToGrid w:val="0"/>
          <w:kern w:val="0"/>
          <w:u w:val="single"/>
        </w:rPr>
        <w:tab/>
      </w:r>
      <w:r>
        <w:rPr>
          <w:rFonts w:hint="eastAsia"/>
          <w:snapToGrid w:val="0"/>
          <w:kern w:val="0"/>
        </w:rPr>
        <w:t>日</w:t>
      </w:r>
    </w:p>
    <w:p w14:paraId="1605164F">
      <w:pPr>
        <w:wordWrap w:val="0"/>
        <w:spacing w:line="360" w:lineRule="auto"/>
        <w:ind w:firstLine="420" w:firstLineChars="200"/>
        <w:rPr>
          <w:snapToGrid w:val="0"/>
          <w:kern w:val="0"/>
        </w:rPr>
      </w:pPr>
      <w:r>
        <w:rPr>
          <w:rFonts w:hint="eastAsia"/>
          <w:snapToGrid w:val="0"/>
          <w:kern w:val="0"/>
        </w:rPr>
        <w:t>经营期限：</w:t>
      </w:r>
      <w:r>
        <w:rPr>
          <w:rFonts w:hint="eastAsia"/>
          <w:snapToGrid w:val="0"/>
          <w:kern w:val="0"/>
          <w:u w:val="single"/>
        </w:rPr>
        <w:tab/>
      </w:r>
      <w:r>
        <w:rPr>
          <w:rFonts w:hint="eastAsia"/>
          <w:snapToGrid w:val="0"/>
          <w:kern w:val="0"/>
          <w:u w:val="single"/>
        </w:rPr>
        <w:tab/>
      </w:r>
      <w:r>
        <w:rPr>
          <w:rFonts w:hint="eastAsia"/>
          <w:snapToGrid w:val="0"/>
          <w:kern w:val="0"/>
          <w:u w:val="single"/>
        </w:rPr>
        <w:tab/>
      </w:r>
      <w:r>
        <w:rPr>
          <w:rFonts w:hint="eastAsia"/>
          <w:snapToGrid w:val="0"/>
          <w:kern w:val="0"/>
          <w:u w:val="single"/>
        </w:rPr>
        <w:tab/>
      </w:r>
      <w:r>
        <w:rPr>
          <w:rFonts w:hint="eastAsia"/>
          <w:snapToGrid w:val="0"/>
          <w:kern w:val="0"/>
          <w:u w:val="single"/>
        </w:rPr>
        <w:tab/>
      </w:r>
      <w:r>
        <w:rPr>
          <w:rFonts w:hint="eastAsia"/>
          <w:snapToGrid w:val="0"/>
          <w:kern w:val="0"/>
          <w:u w:val="single"/>
        </w:rPr>
        <w:tab/>
      </w:r>
      <w:r>
        <w:rPr>
          <w:rFonts w:hint="eastAsia"/>
          <w:snapToGrid w:val="0"/>
          <w:kern w:val="0"/>
          <w:u w:val="single"/>
        </w:rPr>
        <w:tab/>
      </w:r>
      <w:r>
        <w:rPr>
          <w:rFonts w:hint="eastAsia"/>
          <w:snapToGrid w:val="0"/>
          <w:kern w:val="0"/>
          <w:u w:val="single"/>
        </w:rPr>
        <w:tab/>
      </w:r>
      <w:r>
        <w:rPr>
          <w:rFonts w:hint="eastAsia"/>
          <w:snapToGrid w:val="0"/>
          <w:kern w:val="0"/>
          <w:u w:val="single"/>
        </w:rPr>
        <w:tab/>
      </w:r>
      <w:r>
        <w:rPr>
          <w:rFonts w:hint="eastAsia"/>
          <w:snapToGrid w:val="0"/>
          <w:kern w:val="0"/>
          <w:u w:val="single"/>
        </w:rPr>
        <w:tab/>
      </w:r>
    </w:p>
    <w:p w14:paraId="70DF7CC1">
      <w:pPr>
        <w:wordWrap w:val="0"/>
        <w:spacing w:line="360" w:lineRule="auto"/>
        <w:ind w:firstLine="420" w:firstLineChars="200"/>
        <w:rPr>
          <w:snapToGrid w:val="0"/>
          <w:kern w:val="0"/>
        </w:rPr>
      </w:pPr>
      <w:r>
        <w:rPr>
          <w:rFonts w:hint="eastAsia"/>
          <w:snapToGrid w:val="0"/>
          <w:kern w:val="0"/>
        </w:rPr>
        <w:t>姓</w:t>
      </w:r>
      <w:r>
        <w:rPr>
          <w:snapToGrid w:val="0"/>
          <w:kern w:val="0"/>
        </w:rPr>
        <w:t>名：</w:t>
      </w:r>
      <w:r>
        <w:rPr>
          <w:rFonts w:hint="eastAsia"/>
          <w:snapToGrid w:val="0"/>
          <w:kern w:val="0"/>
          <w:u w:val="single"/>
        </w:rPr>
        <w:tab/>
      </w:r>
      <w:r>
        <w:rPr>
          <w:rFonts w:hint="eastAsia"/>
          <w:snapToGrid w:val="0"/>
          <w:kern w:val="0"/>
          <w:u w:val="single"/>
        </w:rPr>
        <w:tab/>
      </w:r>
      <w:r>
        <w:rPr>
          <w:snapToGrid w:val="0"/>
          <w:kern w:val="0"/>
        </w:rPr>
        <w:t>性别：</w:t>
      </w:r>
      <w:r>
        <w:rPr>
          <w:rFonts w:hint="eastAsia"/>
          <w:snapToGrid w:val="0"/>
          <w:kern w:val="0"/>
          <w:u w:val="single"/>
        </w:rPr>
        <w:tab/>
      </w:r>
      <w:r>
        <w:rPr>
          <w:rFonts w:hint="eastAsia"/>
          <w:snapToGrid w:val="0"/>
          <w:kern w:val="0"/>
          <w:u w:val="single"/>
        </w:rPr>
        <w:tab/>
      </w:r>
      <w:r>
        <w:rPr>
          <w:snapToGrid w:val="0"/>
          <w:kern w:val="0"/>
        </w:rPr>
        <w:t>年龄：</w:t>
      </w:r>
      <w:r>
        <w:rPr>
          <w:rFonts w:hint="eastAsia"/>
          <w:snapToGrid w:val="0"/>
          <w:kern w:val="0"/>
          <w:u w:val="single"/>
        </w:rPr>
        <w:tab/>
      </w:r>
      <w:r>
        <w:rPr>
          <w:rFonts w:hint="eastAsia"/>
          <w:snapToGrid w:val="0"/>
          <w:kern w:val="0"/>
          <w:u w:val="single"/>
        </w:rPr>
        <w:tab/>
      </w:r>
      <w:r>
        <w:rPr>
          <w:snapToGrid w:val="0"/>
          <w:kern w:val="0"/>
        </w:rPr>
        <w:t>职务：</w:t>
      </w:r>
      <w:r>
        <w:rPr>
          <w:rFonts w:hint="eastAsia"/>
          <w:snapToGrid w:val="0"/>
          <w:kern w:val="0"/>
          <w:u w:val="single"/>
        </w:rPr>
        <w:tab/>
      </w:r>
      <w:r>
        <w:rPr>
          <w:rFonts w:hint="eastAsia"/>
          <w:snapToGrid w:val="0"/>
          <w:kern w:val="0"/>
          <w:u w:val="single"/>
        </w:rPr>
        <w:tab/>
      </w:r>
    </w:p>
    <w:p w14:paraId="564A47E2">
      <w:pPr>
        <w:wordWrap w:val="0"/>
        <w:spacing w:line="360" w:lineRule="auto"/>
        <w:ind w:firstLine="420" w:firstLineChars="200"/>
        <w:rPr>
          <w:snapToGrid w:val="0"/>
          <w:kern w:val="0"/>
        </w:rPr>
      </w:pPr>
      <w:r>
        <w:rPr>
          <w:rFonts w:hint="eastAsia"/>
          <w:snapToGrid w:val="0"/>
          <w:kern w:val="0"/>
        </w:rPr>
        <w:t>系</w:t>
      </w:r>
      <w:r>
        <w:rPr>
          <w:snapToGrid w:val="0"/>
          <w:kern w:val="0"/>
          <w:u w:val="single"/>
        </w:rPr>
        <w:t>（</w:t>
      </w:r>
      <w:r>
        <w:rPr>
          <w:rFonts w:hint="eastAsia"/>
          <w:snapToGrid w:val="0"/>
          <w:kern w:val="0"/>
          <w:u w:val="single"/>
        </w:rPr>
        <w:t>供应商</w:t>
      </w:r>
      <w:r>
        <w:rPr>
          <w:snapToGrid w:val="0"/>
          <w:kern w:val="0"/>
          <w:u w:val="single"/>
        </w:rPr>
        <w:t>单位名称）</w:t>
      </w:r>
      <w:r>
        <w:rPr>
          <w:rFonts w:hint="eastAsia"/>
          <w:snapToGrid w:val="0"/>
          <w:kern w:val="0"/>
        </w:rPr>
        <w:t>的法定代表人。</w:t>
      </w:r>
    </w:p>
    <w:p w14:paraId="57236423">
      <w:pPr>
        <w:wordWrap w:val="0"/>
        <w:spacing w:line="360" w:lineRule="auto"/>
        <w:ind w:firstLine="420" w:firstLineChars="200"/>
        <w:rPr>
          <w:snapToGrid w:val="0"/>
          <w:kern w:val="0"/>
        </w:rPr>
      </w:pPr>
    </w:p>
    <w:p w14:paraId="5021C88D">
      <w:pPr>
        <w:wordWrap w:val="0"/>
        <w:spacing w:line="360" w:lineRule="auto"/>
        <w:ind w:firstLine="420" w:firstLineChars="200"/>
        <w:rPr>
          <w:snapToGrid w:val="0"/>
          <w:kern w:val="0"/>
        </w:rPr>
      </w:pPr>
      <w:r>
        <w:rPr>
          <w:rFonts w:hint="eastAsia"/>
          <w:snapToGrid w:val="0"/>
          <w:kern w:val="0"/>
        </w:rPr>
        <w:t>特此证明。</w:t>
      </w:r>
    </w:p>
    <w:p w14:paraId="62EEDE54">
      <w:pPr>
        <w:wordWrap w:val="0"/>
        <w:spacing w:line="360" w:lineRule="auto"/>
        <w:ind w:firstLine="420" w:firstLineChars="200"/>
        <w:rPr>
          <w:snapToGrid w:val="0"/>
          <w:kern w:val="0"/>
        </w:rPr>
      </w:pPr>
    </w:p>
    <w:p w14:paraId="2583710A">
      <w:pPr>
        <w:wordWrap w:val="0"/>
        <w:spacing w:line="360" w:lineRule="auto"/>
        <w:ind w:firstLine="420" w:firstLineChars="200"/>
        <w:rPr>
          <w:snapToGrid w:val="0"/>
          <w:kern w:val="0"/>
        </w:rPr>
      </w:pPr>
    </w:p>
    <w:p w14:paraId="0A14AB14">
      <w:pPr>
        <w:wordWrap w:val="0"/>
        <w:spacing w:line="360" w:lineRule="auto"/>
        <w:ind w:firstLine="420" w:firstLineChars="200"/>
        <w:rPr>
          <w:snapToGrid w:val="0"/>
          <w:kern w:val="0"/>
        </w:rPr>
      </w:pPr>
      <w:r>
        <w:rPr>
          <w:rFonts w:hint="eastAsia"/>
          <w:snapToGrid w:val="0"/>
          <w:kern w:val="0"/>
        </w:rPr>
        <w:t>附：法定代表人身份证扫描件（正面、背面）</w:t>
      </w:r>
    </w:p>
    <w:p w14:paraId="28776A46">
      <w:pPr>
        <w:wordWrap w:val="0"/>
        <w:spacing w:line="360" w:lineRule="auto"/>
        <w:rPr>
          <w:snapToGrid w:val="0"/>
          <w:kern w:val="0"/>
        </w:rPr>
      </w:pPr>
    </w:p>
    <w:p w14:paraId="0FD25554">
      <w:pPr>
        <w:wordWrap w:val="0"/>
        <w:spacing w:line="360" w:lineRule="auto"/>
        <w:rPr>
          <w:snapToGrid w:val="0"/>
          <w:kern w:val="0"/>
        </w:rPr>
      </w:pPr>
    </w:p>
    <w:p w14:paraId="358511C4">
      <w:pPr>
        <w:wordWrap w:val="0"/>
        <w:spacing w:line="360" w:lineRule="auto"/>
        <w:rPr>
          <w:snapToGrid w:val="0"/>
          <w:kern w:val="0"/>
        </w:rPr>
      </w:pPr>
    </w:p>
    <w:p w14:paraId="33A040C6">
      <w:pPr>
        <w:wordWrap w:val="0"/>
        <w:spacing w:line="360" w:lineRule="auto"/>
        <w:rPr>
          <w:snapToGrid w:val="0"/>
          <w:kern w:val="0"/>
        </w:rPr>
      </w:pPr>
    </w:p>
    <w:p w14:paraId="6447E57B">
      <w:pPr>
        <w:wordWrap w:val="0"/>
        <w:spacing w:line="360" w:lineRule="auto"/>
        <w:rPr>
          <w:snapToGrid w:val="0"/>
          <w:kern w:val="0"/>
        </w:rPr>
      </w:pPr>
    </w:p>
    <w:p w14:paraId="105270AD">
      <w:pPr>
        <w:wordWrap w:val="0"/>
        <w:spacing w:line="360" w:lineRule="auto"/>
        <w:rPr>
          <w:snapToGrid w:val="0"/>
          <w:kern w:val="0"/>
        </w:rPr>
      </w:pPr>
    </w:p>
    <w:p w14:paraId="34513660">
      <w:pPr>
        <w:spacing w:line="360" w:lineRule="auto"/>
        <w:ind w:firstLine="422"/>
        <w:rPr>
          <w:rFonts w:ascii="宋体" w:hAnsi="宋体"/>
          <w:szCs w:val="21"/>
          <w:u w:val="single"/>
        </w:rPr>
      </w:pPr>
      <w:r>
        <w:rPr>
          <w:rFonts w:hint="eastAsia" w:ascii="宋体" w:hAnsi="宋体"/>
          <w:szCs w:val="21"/>
        </w:rPr>
        <w:t>投标人：</w:t>
      </w:r>
      <w:r>
        <w:rPr>
          <w:rFonts w:hint="eastAsia" w:ascii="宋体" w:hAnsi="宋体"/>
          <w:szCs w:val="21"/>
          <w:u w:val="single"/>
        </w:rPr>
        <w:tab/>
      </w:r>
      <w:r>
        <w:rPr>
          <w:rFonts w:hint="eastAsia" w:ascii="宋体" w:hAnsi="宋体"/>
          <w:szCs w:val="21"/>
          <w:u w:val="single"/>
        </w:rPr>
        <w:t xml:space="preserve">               </w:t>
      </w:r>
      <w:r>
        <w:rPr>
          <w:rFonts w:hint="eastAsia" w:ascii="宋体" w:hAnsi="宋体"/>
          <w:szCs w:val="21"/>
        </w:rPr>
        <w:t>（电子公章）</w:t>
      </w:r>
    </w:p>
    <w:p w14:paraId="017DAAD7">
      <w:pPr>
        <w:spacing w:line="360" w:lineRule="auto"/>
        <w:ind w:firstLine="422"/>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179EBE80"/>
    <w:p w14:paraId="43B155DF">
      <w:pPr>
        <w:pStyle w:val="18"/>
      </w:pPr>
    </w:p>
    <w:p w14:paraId="13906383">
      <w:pPr>
        <w:wordWrap w:val="0"/>
        <w:spacing w:line="360" w:lineRule="auto"/>
        <w:rPr>
          <w:snapToGrid w:val="0"/>
          <w:kern w:val="0"/>
        </w:rPr>
      </w:pPr>
      <w:r>
        <w:rPr>
          <w:snapToGrid w:val="0"/>
          <w:kern w:val="0"/>
        </w:rPr>
        <w:br w:type="page"/>
      </w:r>
    </w:p>
    <w:p w14:paraId="4136FE21">
      <w:pPr>
        <w:pStyle w:val="5"/>
        <w:rPr>
          <w:snapToGrid w:val="0"/>
        </w:rPr>
      </w:pPr>
      <w:r>
        <w:rPr>
          <w:rFonts w:hint="eastAsia"/>
          <w:snapToGrid w:val="0"/>
        </w:rPr>
        <w:t>（三）法定代表人授权委托书</w:t>
      </w:r>
    </w:p>
    <w:p w14:paraId="02D489CC">
      <w:pPr>
        <w:wordWrap w:val="0"/>
        <w:spacing w:line="360" w:lineRule="auto"/>
        <w:rPr>
          <w:snapToGrid w:val="0"/>
          <w:kern w:val="0"/>
        </w:rPr>
      </w:pPr>
    </w:p>
    <w:p w14:paraId="6F543F2C">
      <w:pPr>
        <w:wordWrap w:val="0"/>
        <w:spacing w:line="360" w:lineRule="auto"/>
        <w:ind w:firstLine="420" w:firstLineChars="200"/>
        <w:rPr>
          <w:snapToGrid w:val="0"/>
          <w:kern w:val="0"/>
        </w:rPr>
      </w:pPr>
      <w:r>
        <w:rPr>
          <w:snapToGrid w:val="0"/>
          <w:kern w:val="0"/>
        </w:rPr>
        <w:t>本授权委托书声明：我</w:t>
      </w:r>
      <w:r>
        <w:rPr>
          <w:rFonts w:hint="eastAsia"/>
          <w:snapToGrid w:val="0"/>
          <w:kern w:val="0"/>
          <w:u w:val="single"/>
        </w:rPr>
        <w:t xml:space="preserve">  </w:t>
      </w:r>
      <w:r>
        <w:rPr>
          <w:snapToGrid w:val="0"/>
          <w:kern w:val="0"/>
          <w:u w:val="single"/>
        </w:rPr>
        <w:t>（姓名）</w:t>
      </w:r>
      <w:r>
        <w:rPr>
          <w:rFonts w:hint="eastAsia"/>
          <w:snapToGrid w:val="0"/>
          <w:kern w:val="0"/>
          <w:u w:val="single"/>
        </w:rPr>
        <w:t xml:space="preserve">  </w:t>
      </w:r>
      <w:r>
        <w:rPr>
          <w:snapToGrid w:val="0"/>
          <w:kern w:val="0"/>
        </w:rPr>
        <w:t>系</w:t>
      </w:r>
      <w:r>
        <w:rPr>
          <w:rFonts w:hint="eastAsia"/>
          <w:snapToGrid w:val="0"/>
          <w:kern w:val="0"/>
          <w:u w:val="single"/>
        </w:rPr>
        <w:t xml:space="preserve">   </w:t>
      </w:r>
      <w:r>
        <w:rPr>
          <w:snapToGrid w:val="0"/>
          <w:kern w:val="0"/>
          <w:u w:val="single"/>
        </w:rPr>
        <w:t>（</w:t>
      </w:r>
      <w:r>
        <w:rPr>
          <w:rFonts w:hint="eastAsia"/>
          <w:snapToGrid w:val="0"/>
          <w:kern w:val="0"/>
          <w:u w:val="single"/>
        </w:rPr>
        <w:t>供应商</w:t>
      </w:r>
      <w:r>
        <w:rPr>
          <w:snapToGrid w:val="0"/>
          <w:kern w:val="0"/>
          <w:u w:val="single"/>
        </w:rPr>
        <w:t>名称）</w:t>
      </w:r>
      <w:r>
        <w:rPr>
          <w:rFonts w:hint="eastAsia"/>
          <w:snapToGrid w:val="0"/>
          <w:kern w:val="0"/>
          <w:u w:val="single"/>
        </w:rPr>
        <w:t xml:space="preserve">   </w:t>
      </w:r>
      <w:r>
        <w:rPr>
          <w:snapToGrid w:val="0"/>
          <w:kern w:val="0"/>
        </w:rPr>
        <w:t>的法定代表人，现授权委托</w:t>
      </w:r>
      <w:r>
        <w:rPr>
          <w:rFonts w:hint="eastAsia"/>
          <w:snapToGrid w:val="0"/>
          <w:kern w:val="0"/>
          <w:u w:val="single"/>
        </w:rPr>
        <w:t xml:space="preserve">   </w:t>
      </w:r>
      <w:r>
        <w:rPr>
          <w:snapToGrid w:val="0"/>
          <w:kern w:val="0"/>
          <w:u w:val="single"/>
        </w:rPr>
        <w:t>（单位名称）</w:t>
      </w:r>
      <w:r>
        <w:rPr>
          <w:rFonts w:hint="eastAsia"/>
          <w:snapToGrid w:val="0"/>
          <w:kern w:val="0"/>
          <w:u w:val="single"/>
        </w:rPr>
        <w:t xml:space="preserve">   </w:t>
      </w:r>
      <w:r>
        <w:rPr>
          <w:snapToGrid w:val="0"/>
          <w:kern w:val="0"/>
        </w:rPr>
        <w:t>的</w:t>
      </w:r>
      <w:r>
        <w:rPr>
          <w:rFonts w:hint="eastAsia"/>
          <w:snapToGrid w:val="0"/>
          <w:kern w:val="0"/>
          <w:u w:val="single"/>
        </w:rPr>
        <w:t xml:space="preserve">  </w:t>
      </w:r>
      <w:r>
        <w:rPr>
          <w:snapToGrid w:val="0"/>
          <w:kern w:val="0"/>
          <w:u w:val="single"/>
        </w:rPr>
        <w:t>（姓名）</w:t>
      </w:r>
      <w:r>
        <w:rPr>
          <w:rFonts w:hint="eastAsia"/>
          <w:snapToGrid w:val="0"/>
          <w:kern w:val="0"/>
          <w:u w:val="single"/>
        </w:rPr>
        <w:t xml:space="preserve">  </w:t>
      </w:r>
      <w:r>
        <w:rPr>
          <w:snapToGrid w:val="0"/>
          <w:kern w:val="0"/>
        </w:rPr>
        <w:t>为我公司</w:t>
      </w:r>
      <w:r>
        <w:rPr>
          <w:rFonts w:hint="eastAsia"/>
          <w:snapToGrid w:val="0"/>
          <w:kern w:val="0"/>
        </w:rPr>
        <w:t>参与</w:t>
      </w:r>
      <w:r>
        <w:rPr>
          <w:rFonts w:hint="eastAsia"/>
          <w:snapToGrid w:val="0"/>
          <w:kern w:val="0"/>
          <w:u w:val="single"/>
        </w:rPr>
        <w:t xml:space="preserve">   （项目名称）   </w:t>
      </w:r>
      <w:r>
        <w:rPr>
          <w:rFonts w:hint="eastAsia"/>
          <w:snapToGrid w:val="0"/>
          <w:kern w:val="0"/>
        </w:rPr>
        <w:t>投标、</w:t>
      </w:r>
      <w:r>
        <w:rPr>
          <w:snapToGrid w:val="0"/>
          <w:kern w:val="0"/>
        </w:rPr>
        <w:t>签署</w:t>
      </w:r>
      <w:r>
        <w:rPr>
          <w:rFonts w:hint="eastAsia"/>
          <w:snapToGrid w:val="0"/>
          <w:kern w:val="0"/>
        </w:rPr>
        <w:t>投标文件、处理</w:t>
      </w:r>
      <w:r>
        <w:rPr>
          <w:snapToGrid w:val="0"/>
          <w:kern w:val="0"/>
        </w:rPr>
        <w:t>投标相关事宜的法定代表人授权委托代理人，我承认代理人全权代表我</w:t>
      </w:r>
      <w:r>
        <w:rPr>
          <w:rFonts w:hint="eastAsia"/>
          <w:snapToGrid w:val="0"/>
          <w:kern w:val="0"/>
        </w:rPr>
        <w:t>参与本项目投标、</w:t>
      </w:r>
      <w:r>
        <w:rPr>
          <w:snapToGrid w:val="0"/>
          <w:kern w:val="0"/>
        </w:rPr>
        <w:t>签署</w:t>
      </w:r>
      <w:r>
        <w:rPr>
          <w:rFonts w:hint="eastAsia"/>
          <w:snapToGrid w:val="0"/>
          <w:kern w:val="0"/>
        </w:rPr>
        <w:t>相关文件</w:t>
      </w:r>
      <w:r>
        <w:rPr>
          <w:snapToGrid w:val="0"/>
          <w:kern w:val="0"/>
        </w:rPr>
        <w:t>的内容。</w:t>
      </w:r>
    </w:p>
    <w:p w14:paraId="0454FF3E">
      <w:pPr>
        <w:wordWrap w:val="0"/>
        <w:spacing w:line="360" w:lineRule="auto"/>
        <w:ind w:firstLine="420" w:firstLineChars="200"/>
        <w:rPr>
          <w:snapToGrid w:val="0"/>
          <w:kern w:val="0"/>
          <w:u w:val="single"/>
        </w:rPr>
      </w:pPr>
      <w:r>
        <w:rPr>
          <w:rFonts w:hint="eastAsia"/>
          <w:snapToGrid w:val="0"/>
          <w:kern w:val="0"/>
        </w:rPr>
        <w:t>委托期限：</w:t>
      </w:r>
    </w:p>
    <w:p w14:paraId="2F3EE9EC">
      <w:pPr>
        <w:wordWrap w:val="0"/>
        <w:spacing w:line="360" w:lineRule="auto"/>
        <w:ind w:firstLine="420" w:firstLineChars="200"/>
        <w:rPr>
          <w:snapToGrid w:val="0"/>
          <w:kern w:val="0"/>
        </w:rPr>
      </w:pPr>
      <w:r>
        <w:rPr>
          <w:snapToGrid w:val="0"/>
          <w:kern w:val="0"/>
        </w:rPr>
        <w:t>代理人无转委托权，特此委托。</w:t>
      </w:r>
    </w:p>
    <w:p w14:paraId="685DE294">
      <w:pPr>
        <w:wordWrap w:val="0"/>
        <w:spacing w:line="360" w:lineRule="auto"/>
        <w:ind w:firstLine="420" w:firstLineChars="200"/>
        <w:rPr>
          <w:snapToGrid w:val="0"/>
          <w:kern w:val="0"/>
        </w:rPr>
      </w:pPr>
    </w:p>
    <w:p w14:paraId="0EFB3285">
      <w:pPr>
        <w:wordWrap w:val="0"/>
        <w:spacing w:line="360" w:lineRule="auto"/>
        <w:ind w:firstLine="420" w:firstLineChars="200"/>
        <w:rPr>
          <w:snapToGrid w:val="0"/>
          <w:kern w:val="0"/>
        </w:rPr>
      </w:pPr>
    </w:p>
    <w:p w14:paraId="3B6F07F5">
      <w:pPr>
        <w:wordWrap w:val="0"/>
        <w:spacing w:line="360" w:lineRule="auto"/>
        <w:ind w:firstLine="420" w:firstLineChars="200"/>
        <w:rPr>
          <w:snapToGrid w:val="0"/>
          <w:kern w:val="0"/>
        </w:rPr>
      </w:pPr>
      <w:r>
        <w:rPr>
          <w:rFonts w:hint="eastAsia"/>
          <w:snapToGrid w:val="0"/>
          <w:kern w:val="0"/>
        </w:rPr>
        <w:t>附：委托代理人身份证扫描件（正面、背面）</w:t>
      </w:r>
    </w:p>
    <w:p w14:paraId="1376E60D">
      <w:pPr>
        <w:wordWrap w:val="0"/>
        <w:spacing w:line="360" w:lineRule="auto"/>
        <w:ind w:firstLine="420" w:firstLineChars="200"/>
        <w:rPr>
          <w:snapToGrid w:val="0"/>
          <w:kern w:val="0"/>
        </w:rPr>
      </w:pPr>
    </w:p>
    <w:p w14:paraId="5D4363E0">
      <w:pPr>
        <w:wordWrap w:val="0"/>
        <w:spacing w:line="360" w:lineRule="auto"/>
        <w:rPr>
          <w:snapToGrid w:val="0"/>
          <w:kern w:val="0"/>
        </w:rPr>
      </w:pPr>
    </w:p>
    <w:p w14:paraId="47C99BFD">
      <w:pPr>
        <w:wordWrap w:val="0"/>
        <w:spacing w:line="360" w:lineRule="auto"/>
        <w:rPr>
          <w:snapToGrid w:val="0"/>
          <w:kern w:val="0"/>
        </w:rPr>
      </w:pPr>
    </w:p>
    <w:p w14:paraId="5650691A">
      <w:pPr>
        <w:wordWrap w:val="0"/>
        <w:spacing w:line="360" w:lineRule="auto"/>
        <w:rPr>
          <w:snapToGrid w:val="0"/>
          <w:kern w:val="0"/>
        </w:rPr>
      </w:pPr>
    </w:p>
    <w:p w14:paraId="72D88065">
      <w:pPr>
        <w:wordWrap w:val="0"/>
        <w:spacing w:line="360" w:lineRule="auto"/>
        <w:rPr>
          <w:snapToGrid w:val="0"/>
          <w:kern w:val="0"/>
        </w:rPr>
      </w:pPr>
    </w:p>
    <w:p w14:paraId="31C60A8E">
      <w:pPr>
        <w:wordWrap w:val="0"/>
        <w:spacing w:line="360" w:lineRule="auto"/>
        <w:rPr>
          <w:snapToGrid w:val="0"/>
          <w:kern w:val="0"/>
        </w:rPr>
      </w:pPr>
    </w:p>
    <w:p w14:paraId="712B07EF">
      <w:pPr>
        <w:spacing w:line="360" w:lineRule="auto"/>
        <w:ind w:firstLine="422"/>
        <w:rPr>
          <w:rFonts w:ascii="宋体" w:hAnsi="宋体"/>
          <w:szCs w:val="21"/>
        </w:rPr>
      </w:pPr>
      <w:r>
        <w:rPr>
          <w:rFonts w:hint="eastAsia" w:ascii="宋体" w:hAnsi="宋体"/>
          <w:szCs w:val="21"/>
        </w:rPr>
        <w:t>委托代理人</w:t>
      </w:r>
      <w:r>
        <w:rPr>
          <w:rFonts w:ascii="宋体" w:hAnsi="宋体"/>
          <w:szCs w:val="21"/>
        </w:rPr>
        <w:t>：</w:t>
      </w:r>
      <w:r>
        <w:rPr>
          <w:rFonts w:hint="eastAsia" w:ascii="宋体" w:hAnsi="宋体"/>
          <w:szCs w:val="21"/>
          <w:u w:val="single"/>
        </w:rPr>
        <w:t xml:space="preserve">         </w:t>
      </w:r>
      <w:r>
        <w:rPr>
          <w:rFonts w:hint="eastAsia" w:ascii="宋体" w:hAnsi="宋体"/>
          <w:szCs w:val="21"/>
        </w:rPr>
        <w:t xml:space="preserve">（签名/章）    </w:t>
      </w:r>
      <w:r>
        <w:rPr>
          <w:rFonts w:ascii="宋体" w:hAnsi="宋体"/>
          <w:szCs w:val="21"/>
        </w:rPr>
        <w:t>职务：</w:t>
      </w:r>
      <w:r>
        <w:rPr>
          <w:rFonts w:hint="eastAsia" w:ascii="宋体" w:hAnsi="宋体"/>
          <w:szCs w:val="21"/>
          <w:u w:val="single"/>
        </w:rPr>
        <w:t xml:space="preserve">         </w:t>
      </w:r>
    </w:p>
    <w:p w14:paraId="28F69089">
      <w:pPr>
        <w:spacing w:line="360" w:lineRule="auto"/>
        <w:ind w:firstLine="422"/>
        <w:rPr>
          <w:rFonts w:ascii="宋体" w:hAnsi="宋体"/>
          <w:szCs w:val="21"/>
        </w:rPr>
      </w:pPr>
      <w:r>
        <w:rPr>
          <w:rFonts w:ascii="宋体" w:hAnsi="宋体"/>
          <w:szCs w:val="21"/>
        </w:rPr>
        <w:t>身份证号码：</w:t>
      </w:r>
      <w:r>
        <w:rPr>
          <w:rFonts w:hint="eastAsia" w:ascii="宋体" w:hAnsi="宋体"/>
          <w:szCs w:val="21"/>
          <w:u w:val="single"/>
        </w:rPr>
        <w:t xml:space="preserve">                  </w:t>
      </w:r>
    </w:p>
    <w:p w14:paraId="7D89B701">
      <w:pPr>
        <w:wordWrap w:val="0"/>
        <w:spacing w:line="360" w:lineRule="auto"/>
        <w:rPr>
          <w:snapToGrid w:val="0"/>
          <w:kern w:val="0"/>
        </w:rPr>
      </w:pPr>
    </w:p>
    <w:p w14:paraId="36038B98">
      <w:pPr>
        <w:spacing w:line="360" w:lineRule="auto"/>
        <w:ind w:firstLine="422"/>
        <w:rPr>
          <w:rFonts w:ascii="宋体" w:hAnsi="宋体"/>
          <w:szCs w:val="21"/>
          <w:u w:val="single"/>
        </w:rPr>
      </w:pPr>
      <w:r>
        <w:rPr>
          <w:rFonts w:hint="eastAsia" w:ascii="宋体" w:hAnsi="宋体"/>
          <w:szCs w:val="21"/>
        </w:rPr>
        <w:t>投标人：</w:t>
      </w:r>
      <w:r>
        <w:rPr>
          <w:rFonts w:hint="eastAsia" w:ascii="宋体" w:hAnsi="宋体"/>
          <w:szCs w:val="21"/>
          <w:u w:val="single"/>
        </w:rPr>
        <w:tab/>
      </w:r>
      <w:r>
        <w:rPr>
          <w:rFonts w:hint="eastAsia" w:ascii="宋体" w:hAnsi="宋体"/>
          <w:szCs w:val="21"/>
          <w:u w:val="single"/>
        </w:rPr>
        <w:t xml:space="preserve">               </w:t>
      </w:r>
      <w:r>
        <w:rPr>
          <w:rFonts w:hint="eastAsia" w:ascii="宋体" w:hAnsi="宋体"/>
          <w:szCs w:val="21"/>
        </w:rPr>
        <w:t>（电子公章）</w:t>
      </w:r>
    </w:p>
    <w:p w14:paraId="30A68C93">
      <w:pPr>
        <w:spacing w:line="360" w:lineRule="auto"/>
        <w:ind w:firstLine="422"/>
        <w:rPr>
          <w:rFonts w:ascii="宋体" w:hAnsi="宋体"/>
          <w:szCs w:val="21"/>
          <w:u w:val="single"/>
        </w:rPr>
      </w:pPr>
      <w:r>
        <w:rPr>
          <w:rFonts w:hint="eastAsia" w:ascii="宋体" w:hAnsi="宋体"/>
          <w:szCs w:val="21"/>
        </w:rPr>
        <w:t>法定代表人：</w:t>
      </w:r>
      <w:r>
        <w:rPr>
          <w:rFonts w:hint="eastAsia" w:ascii="宋体" w:hAnsi="宋体"/>
          <w:szCs w:val="21"/>
          <w:u w:val="single"/>
        </w:rPr>
        <w:t xml:space="preserve">         </w:t>
      </w:r>
      <w:r>
        <w:rPr>
          <w:rFonts w:hint="eastAsia" w:ascii="宋体" w:hAnsi="宋体"/>
          <w:szCs w:val="21"/>
        </w:rPr>
        <w:t>（电子签名/章）</w:t>
      </w:r>
    </w:p>
    <w:p w14:paraId="4F5658DF">
      <w:pPr>
        <w:spacing w:line="360" w:lineRule="auto"/>
        <w:ind w:firstLine="422"/>
        <w:rPr>
          <w:rFonts w:ascii="宋体" w:hAnsi="宋体"/>
          <w:szCs w:val="21"/>
        </w:rPr>
      </w:pPr>
      <w:r>
        <w:rPr>
          <w:rFonts w:hint="eastAsia" w:ascii="宋体" w:hAnsi="宋体"/>
          <w:szCs w:val="21"/>
        </w:rPr>
        <w:t>授权委托日期：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37B5638C">
      <w:pPr>
        <w:wordWrap w:val="0"/>
        <w:spacing w:line="360" w:lineRule="auto"/>
        <w:rPr>
          <w:snapToGrid w:val="0"/>
          <w:kern w:val="0"/>
        </w:rPr>
      </w:pPr>
    </w:p>
    <w:p w14:paraId="305ABB51">
      <w:pPr>
        <w:wordWrap w:val="0"/>
        <w:spacing w:line="360" w:lineRule="auto"/>
        <w:rPr>
          <w:snapToGrid w:val="0"/>
          <w:kern w:val="0"/>
        </w:rPr>
      </w:pPr>
    </w:p>
    <w:p w14:paraId="1423DFA0">
      <w:pPr>
        <w:ind w:firstLine="643"/>
        <w:rPr>
          <w:rFonts w:ascii="Calibri" w:hAnsi="Calibri"/>
          <w:snapToGrid w:val="0"/>
          <w:sz w:val="32"/>
          <w:szCs w:val="32"/>
        </w:rPr>
      </w:pPr>
      <w:r>
        <w:rPr>
          <w:rFonts w:hint="eastAsia" w:ascii="Calibri" w:hAnsi="Calibri"/>
          <w:snapToGrid w:val="0"/>
          <w:sz w:val="32"/>
          <w:szCs w:val="32"/>
        </w:rPr>
        <w:br w:type="page"/>
      </w:r>
    </w:p>
    <w:p w14:paraId="031A8897">
      <w:pPr>
        <w:pStyle w:val="5"/>
        <w:rPr>
          <w:snapToGrid w:val="0"/>
        </w:rPr>
      </w:pPr>
      <w:r>
        <w:rPr>
          <w:rFonts w:hint="eastAsia"/>
          <w:snapToGrid w:val="0"/>
        </w:rPr>
        <w:t>（四）投标保证金缴纳凭证</w:t>
      </w:r>
    </w:p>
    <w:p w14:paraId="09AA47A3">
      <w:pPr>
        <w:wordWrap w:val="0"/>
        <w:spacing w:line="360" w:lineRule="auto"/>
        <w:rPr>
          <w:snapToGrid w:val="0"/>
          <w:kern w:val="0"/>
        </w:rPr>
      </w:pPr>
    </w:p>
    <w:p w14:paraId="66DCCA0A">
      <w:pPr>
        <w:wordWrap w:val="0"/>
        <w:spacing w:line="360" w:lineRule="auto"/>
        <w:rPr>
          <w:snapToGrid w:val="0"/>
          <w:kern w:val="0"/>
        </w:rPr>
      </w:pPr>
    </w:p>
    <w:p w14:paraId="2C3DE734">
      <w:pPr>
        <w:wordWrap w:val="0"/>
        <w:spacing w:line="360" w:lineRule="auto"/>
        <w:rPr>
          <w:snapToGrid w:val="0"/>
          <w:kern w:val="0"/>
        </w:rPr>
      </w:pPr>
    </w:p>
    <w:p w14:paraId="569800EB">
      <w:pPr>
        <w:wordWrap w:val="0"/>
        <w:spacing w:line="360" w:lineRule="auto"/>
        <w:rPr>
          <w:snapToGrid w:val="0"/>
          <w:kern w:val="0"/>
        </w:rPr>
      </w:pPr>
    </w:p>
    <w:p w14:paraId="27EDB6AE">
      <w:pPr>
        <w:wordWrap w:val="0"/>
        <w:spacing w:line="360" w:lineRule="auto"/>
        <w:rPr>
          <w:snapToGrid w:val="0"/>
          <w:kern w:val="0"/>
        </w:rPr>
      </w:pPr>
    </w:p>
    <w:p w14:paraId="55C65B03">
      <w:pPr>
        <w:wordWrap w:val="0"/>
        <w:spacing w:line="360" w:lineRule="auto"/>
        <w:rPr>
          <w:snapToGrid w:val="0"/>
          <w:kern w:val="0"/>
        </w:rPr>
      </w:pPr>
    </w:p>
    <w:p w14:paraId="1BC3578F">
      <w:pPr>
        <w:wordWrap w:val="0"/>
        <w:spacing w:line="360" w:lineRule="auto"/>
        <w:rPr>
          <w:snapToGrid w:val="0"/>
          <w:kern w:val="0"/>
        </w:rPr>
      </w:pPr>
    </w:p>
    <w:p w14:paraId="069C944B">
      <w:pPr>
        <w:wordWrap w:val="0"/>
        <w:spacing w:line="360" w:lineRule="auto"/>
        <w:rPr>
          <w:snapToGrid w:val="0"/>
          <w:kern w:val="0"/>
        </w:rPr>
      </w:pPr>
    </w:p>
    <w:p w14:paraId="74545297">
      <w:pPr>
        <w:wordWrap w:val="0"/>
        <w:spacing w:line="360" w:lineRule="auto"/>
        <w:rPr>
          <w:snapToGrid w:val="0"/>
          <w:kern w:val="0"/>
        </w:rPr>
      </w:pPr>
    </w:p>
    <w:p w14:paraId="08B61932">
      <w:pPr>
        <w:wordWrap w:val="0"/>
        <w:spacing w:line="360" w:lineRule="auto"/>
        <w:rPr>
          <w:snapToGrid w:val="0"/>
          <w:kern w:val="0"/>
        </w:rPr>
      </w:pPr>
    </w:p>
    <w:p w14:paraId="3818D210">
      <w:pPr>
        <w:wordWrap w:val="0"/>
        <w:spacing w:line="360" w:lineRule="auto"/>
        <w:rPr>
          <w:snapToGrid w:val="0"/>
          <w:kern w:val="0"/>
        </w:rPr>
      </w:pPr>
    </w:p>
    <w:p w14:paraId="2979E46E">
      <w:pPr>
        <w:wordWrap w:val="0"/>
        <w:spacing w:line="360" w:lineRule="auto"/>
        <w:rPr>
          <w:snapToGrid w:val="0"/>
          <w:kern w:val="0"/>
        </w:rPr>
      </w:pPr>
    </w:p>
    <w:p w14:paraId="2AF982EE">
      <w:pPr>
        <w:wordWrap w:val="0"/>
        <w:spacing w:line="360" w:lineRule="auto"/>
        <w:rPr>
          <w:snapToGrid w:val="0"/>
          <w:kern w:val="0"/>
        </w:rPr>
      </w:pPr>
    </w:p>
    <w:p w14:paraId="72C0D852">
      <w:pPr>
        <w:wordWrap w:val="0"/>
        <w:spacing w:line="360" w:lineRule="auto"/>
        <w:rPr>
          <w:snapToGrid w:val="0"/>
          <w:kern w:val="0"/>
        </w:rPr>
      </w:pPr>
    </w:p>
    <w:p w14:paraId="319594C9">
      <w:pPr>
        <w:wordWrap w:val="0"/>
        <w:spacing w:line="360" w:lineRule="auto"/>
        <w:rPr>
          <w:snapToGrid w:val="0"/>
          <w:kern w:val="0"/>
        </w:rPr>
      </w:pPr>
    </w:p>
    <w:p w14:paraId="40B100C8">
      <w:pPr>
        <w:wordWrap w:val="0"/>
        <w:spacing w:line="360" w:lineRule="auto"/>
        <w:rPr>
          <w:snapToGrid w:val="0"/>
          <w:kern w:val="0"/>
        </w:rPr>
      </w:pPr>
    </w:p>
    <w:p w14:paraId="6FB6940A">
      <w:pPr>
        <w:wordWrap w:val="0"/>
        <w:spacing w:line="360" w:lineRule="auto"/>
        <w:rPr>
          <w:snapToGrid w:val="0"/>
          <w:kern w:val="0"/>
        </w:rPr>
      </w:pPr>
    </w:p>
    <w:p w14:paraId="736C391D">
      <w:pPr>
        <w:wordWrap w:val="0"/>
        <w:spacing w:line="360" w:lineRule="auto"/>
        <w:rPr>
          <w:snapToGrid w:val="0"/>
          <w:kern w:val="0"/>
        </w:rPr>
      </w:pPr>
    </w:p>
    <w:p w14:paraId="63431D55">
      <w:pPr>
        <w:pStyle w:val="5"/>
        <w:rPr>
          <w:snapToGrid w:val="0"/>
        </w:rPr>
      </w:pPr>
      <w:r>
        <w:rPr>
          <w:rFonts w:hint="eastAsia"/>
          <w:snapToGrid w:val="0"/>
        </w:rPr>
        <w:t>（五）报价组成说明</w:t>
      </w:r>
    </w:p>
    <w:p w14:paraId="7FF0D03C">
      <w:pPr>
        <w:wordWrap w:val="0"/>
        <w:spacing w:line="360" w:lineRule="auto"/>
        <w:rPr>
          <w:snapToGrid w:val="0"/>
          <w:kern w:val="0"/>
        </w:rPr>
      </w:pPr>
    </w:p>
    <w:p w14:paraId="1A9B80D7">
      <w:pPr>
        <w:wordWrap w:val="0"/>
        <w:spacing w:line="360" w:lineRule="auto"/>
        <w:jc w:val="center"/>
        <w:rPr>
          <w:snapToGrid w:val="0"/>
          <w:kern w:val="0"/>
        </w:rPr>
      </w:pPr>
      <w:r>
        <w:rPr>
          <w:rFonts w:hint="eastAsia"/>
          <w:snapToGrid w:val="0"/>
          <w:kern w:val="0"/>
        </w:rPr>
        <w:t>投标人根据需要自行说明。</w:t>
      </w:r>
    </w:p>
    <w:p w14:paraId="0B7F3CDB">
      <w:pPr>
        <w:wordWrap w:val="0"/>
        <w:spacing w:line="360" w:lineRule="auto"/>
        <w:rPr>
          <w:snapToGrid w:val="0"/>
          <w:kern w:val="0"/>
        </w:rPr>
      </w:pPr>
    </w:p>
    <w:p w14:paraId="124841FD">
      <w:pPr>
        <w:wordWrap w:val="0"/>
        <w:spacing w:line="360" w:lineRule="auto"/>
        <w:rPr>
          <w:snapToGrid w:val="0"/>
          <w:kern w:val="0"/>
        </w:rPr>
      </w:pPr>
    </w:p>
    <w:p w14:paraId="434252FA">
      <w:pPr>
        <w:wordWrap w:val="0"/>
        <w:spacing w:line="360" w:lineRule="auto"/>
        <w:rPr>
          <w:snapToGrid w:val="0"/>
          <w:kern w:val="0"/>
        </w:rPr>
      </w:pPr>
    </w:p>
    <w:p w14:paraId="0F8D59FA">
      <w:pPr>
        <w:wordWrap w:val="0"/>
        <w:spacing w:line="360" w:lineRule="auto"/>
        <w:rPr>
          <w:snapToGrid w:val="0"/>
          <w:kern w:val="0"/>
        </w:rPr>
      </w:pPr>
    </w:p>
    <w:p w14:paraId="20E321EF">
      <w:pPr>
        <w:wordWrap w:val="0"/>
        <w:spacing w:line="360" w:lineRule="auto"/>
        <w:rPr>
          <w:snapToGrid w:val="0"/>
          <w:kern w:val="0"/>
        </w:rPr>
      </w:pPr>
    </w:p>
    <w:p w14:paraId="35D6C8A4">
      <w:pPr>
        <w:wordWrap w:val="0"/>
        <w:spacing w:line="360" w:lineRule="auto"/>
        <w:rPr>
          <w:snapToGrid w:val="0"/>
          <w:kern w:val="0"/>
        </w:rPr>
      </w:pPr>
    </w:p>
    <w:p w14:paraId="3C62E22B">
      <w:pPr>
        <w:widowControl/>
        <w:jc w:val="left"/>
        <w:rPr>
          <w:rFonts w:ascii="Arial" w:hAnsi="Arial" w:eastAsia="黑体"/>
          <w:b/>
          <w:bCs/>
          <w:snapToGrid w:val="0"/>
          <w:kern w:val="0"/>
          <w:sz w:val="28"/>
          <w:szCs w:val="28"/>
        </w:rPr>
      </w:pPr>
      <w:r>
        <w:rPr>
          <w:snapToGrid w:val="0"/>
        </w:rPr>
        <w:br w:type="page"/>
      </w:r>
    </w:p>
    <w:bookmarkEnd w:id="213"/>
    <w:bookmarkEnd w:id="214"/>
    <w:p w14:paraId="3D649259">
      <w:pPr>
        <w:pStyle w:val="5"/>
        <w:rPr>
          <w:snapToGrid w:val="0"/>
        </w:rPr>
      </w:pPr>
      <w:bookmarkStart w:id="216" w:name="_Toc527481946"/>
      <w:bookmarkStart w:id="217" w:name="_Toc517646399"/>
      <w:bookmarkStart w:id="218" w:name="_Toc26250"/>
      <w:bookmarkStart w:id="219" w:name="_Toc530392268"/>
      <w:r>
        <w:rPr>
          <w:rFonts w:hint="eastAsia"/>
          <w:snapToGrid w:val="0"/>
        </w:rPr>
        <w:t>（六）</w:t>
      </w:r>
      <w:bookmarkEnd w:id="216"/>
      <w:bookmarkEnd w:id="217"/>
      <w:bookmarkEnd w:id="218"/>
      <w:bookmarkEnd w:id="219"/>
      <w:r>
        <w:rPr>
          <w:rFonts w:hint="eastAsia"/>
          <w:snapToGrid w:val="0"/>
        </w:rPr>
        <w:t>中小企业声明函</w:t>
      </w:r>
    </w:p>
    <w:p w14:paraId="31696108">
      <w:pPr>
        <w:wordWrap w:val="0"/>
        <w:spacing w:line="360" w:lineRule="auto"/>
        <w:rPr>
          <w:rFonts w:ascii="宋体" w:hAnsi="宋体" w:cs="宋体"/>
          <w:snapToGrid w:val="0"/>
          <w:kern w:val="0"/>
          <w:szCs w:val="21"/>
        </w:rPr>
      </w:pPr>
    </w:p>
    <w:p w14:paraId="1E5627C2">
      <w:pPr>
        <w:spacing w:line="360" w:lineRule="auto"/>
        <w:ind w:firstLine="422"/>
        <w:rPr>
          <w:rFonts w:ascii="宋体" w:hAnsi="宋体"/>
          <w:szCs w:val="21"/>
        </w:rPr>
      </w:pPr>
      <w:r>
        <w:rPr>
          <w:rFonts w:hint="eastAsia" w:ascii="宋体" w:hAnsi="宋体"/>
          <w:szCs w:val="21"/>
        </w:rPr>
        <w:t>本公司</w:t>
      </w:r>
      <w:r>
        <w:rPr>
          <w:rFonts w:hint="eastAsia" w:ascii="宋体" w:hAnsi="宋体"/>
          <w:szCs w:val="21"/>
          <w:u w:val="single"/>
        </w:rPr>
        <w:t>（联合体）</w:t>
      </w:r>
      <w:r>
        <w:rPr>
          <w:rFonts w:hint="eastAsia" w:ascii="宋体" w:hAnsi="宋体"/>
          <w:szCs w:val="21"/>
        </w:rPr>
        <w:t>郑重声明，根据《政府采购促进中小企业发展管理办法》（财库〔2020〕46号）的规定，本公司</w:t>
      </w:r>
      <w:r>
        <w:rPr>
          <w:rFonts w:hint="eastAsia" w:ascii="宋体" w:hAnsi="宋体"/>
          <w:szCs w:val="21"/>
          <w:u w:val="single"/>
        </w:rPr>
        <w:t>（联合体）</w:t>
      </w:r>
      <w:r>
        <w:rPr>
          <w:rFonts w:hint="eastAsia" w:ascii="宋体" w:hAnsi="宋体"/>
          <w:szCs w:val="21"/>
        </w:rPr>
        <w:t>参加</w:t>
      </w:r>
      <w:r>
        <w:rPr>
          <w:rFonts w:hint="eastAsia" w:ascii="宋体" w:hAnsi="宋体"/>
          <w:szCs w:val="21"/>
          <w:u w:val="single"/>
        </w:rPr>
        <w:t>（单位名称）</w:t>
      </w:r>
      <w:r>
        <w:rPr>
          <w:rFonts w:hint="eastAsia" w:ascii="宋体" w:hAnsi="宋体"/>
          <w:szCs w:val="21"/>
        </w:rPr>
        <w:t>的</w:t>
      </w:r>
      <w:r>
        <w:rPr>
          <w:rFonts w:hint="eastAsia" w:ascii="宋体" w:hAnsi="宋体"/>
          <w:szCs w:val="21"/>
          <w:u w:val="single"/>
        </w:rPr>
        <w:t>（项目名称）</w:t>
      </w:r>
      <w:r>
        <w:rPr>
          <w:rFonts w:hint="eastAsia" w:ascii="宋体" w:hAnsi="宋体"/>
          <w:szCs w:val="21"/>
        </w:rPr>
        <w:t>采购活动，提供的服务全部由符合政策要求的中小企业制造。相关企业（含联合体中的中小企业、签订分包意向协议的中小企业）的具体情况如下：</w:t>
      </w:r>
    </w:p>
    <w:p w14:paraId="49F22FFD">
      <w:pPr>
        <w:spacing w:line="360" w:lineRule="auto"/>
        <w:ind w:firstLine="422"/>
        <w:rPr>
          <w:rFonts w:ascii="宋体" w:hAnsi="宋体"/>
          <w:szCs w:val="21"/>
        </w:rPr>
      </w:pPr>
      <w:r>
        <w:rPr>
          <w:rFonts w:hint="eastAsia" w:ascii="宋体" w:hAnsi="宋体"/>
          <w:szCs w:val="21"/>
        </w:rPr>
        <w:t>1.</w:t>
      </w:r>
      <w:r>
        <w:rPr>
          <w:rFonts w:hint="eastAsia" w:ascii="宋体" w:hAnsi="宋体"/>
          <w:szCs w:val="21"/>
          <w:u w:val="single"/>
        </w:rPr>
        <w:t>（标的名称）</w:t>
      </w:r>
      <w:r>
        <w:rPr>
          <w:rFonts w:hint="eastAsia" w:ascii="宋体" w:hAnsi="宋体"/>
          <w:szCs w:val="21"/>
        </w:rPr>
        <w:t>，属于</w:t>
      </w:r>
      <w:r>
        <w:rPr>
          <w:rFonts w:hint="eastAsia" w:ascii="宋体" w:hAnsi="宋体"/>
          <w:szCs w:val="21"/>
          <w:u w:val="single"/>
        </w:rPr>
        <w:t>（招标文件中明确的所属行业）</w:t>
      </w:r>
      <w:r>
        <w:rPr>
          <w:rFonts w:hint="eastAsia" w:ascii="宋体" w:hAnsi="宋体"/>
          <w:szCs w:val="21"/>
        </w:rPr>
        <w:t>行业；</w:t>
      </w:r>
      <w:r>
        <w:rPr>
          <w:rFonts w:hint="eastAsia" w:ascii="宋体" w:hAnsi="宋体" w:cs="宋体"/>
          <w:iCs/>
          <w:snapToGrid w:val="0"/>
          <w:kern w:val="0"/>
          <w:szCs w:val="21"/>
          <w:u w:val="single"/>
        </w:rPr>
        <w:t>承接</w:t>
      </w:r>
      <w:r>
        <w:rPr>
          <w:rFonts w:hint="eastAsia" w:ascii="宋体" w:hAnsi="宋体" w:cs="宋体"/>
          <w:snapToGrid w:val="0"/>
          <w:kern w:val="0"/>
          <w:szCs w:val="21"/>
        </w:rPr>
        <w:t>企业</w:t>
      </w:r>
      <w:r>
        <w:rPr>
          <w:rFonts w:hint="eastAsia" w:ascii="宋体" w:hAnsi="宋体"/>
          <w:szCs w:val="21"/>
        </w:rPr>
        <w:t>为</w:t>
      </w:r>
      <w:r>
        <w:rPr>
          <w:rFonts w:hint="eastAsia" w:ascii="宋体" w:hAnsi="宋体"/>
          <w:szCs w:val="21"/>
          <w:u w:val="single"/>
        </w:rPr>
        <w:t>（企业名称）</w:t>
      </w:r>
      <w:r>
        <w:rPr>
          <w:rFonts w:hint="eastAsia" w:ascii="宋体" w:hAnsi="宋体"/>
          <w:szCs w:val="21"/>
        </w:rPr>
        <w:t>，从业人员人，营业收入为万元，资产总额为万元，属于</w:t>
      </w:r>
      <w:r>
        <w:rPr>
          <w:rFonts w:hint="eastAsia" w:ascii="宋体" w:hAnsi="宋体"/>
          <w:szCs w:val="21"/>
          <w:u w:val="single"/>
        </w:rPr>
        <w:t>（中型企业、小型企业、微型企业）</w:t>
      </w:r>
      <w:r>
        <w:rPr>
          <w:rFonts w:hint="eastAsia" w:ascii="宋体" w:hAnsi="宋体"/>
          <w:szCs w:val="21"/>
        </w:rPr>
        <w:t>；</w:t>
      </w:r>
    </w:p>
    <w:p w14:paraId="1D52465F">
      <w:pPr>
        <w:spacing w:line="360" w:lineRule="auto"/>
        <w:ind w:firstLine="422"/>
        <w:rPr>
          <w:rFonts w:ascii="宋体" w:hAnsi="宋体"/>
          <w:szCs w:val="21"/>
        </w:rPr>
      </w:pPr>
      <w:r>
        <w:rPr>
          <w:rFonts w:hint="eastAsia" w:ascii="宋体" w:hAnsi="宋体"/>
          <w:szCs w:val="21"/>
        </w:rPr>
        <w:t>2.</w:t>
      </w:r>
      <w:r>
        <w:rPr>
          <w:rFonts w:hint="eastAsia" w:ascii="宋体" w:hAnsi="宋体"/>
          <w:szCs w:val="21"/>
          <w:u w:val="single"/>
        </w:rPr>
        <w:t>（标的名称）</w:t>
      </w:r>
      <w:r>
        <w:rPr>
          <w:rFonts w:hint="eastAsia" w:ascii="宋体" w:hAnsi="宋体"/>
          <w:szCs w:val="21"/>
        </w:rPr>
        <w:t>，属于</w:t>
      </w:r>
      <w:r>
        <w:rPr>
          <w:rFonts w:hint="eastAsia" w:ascii="宋体" w:hAnsi="宋体"/>
          <w:szCs w:val="21"/>
          <w:u w:val="single"/>
        </w:rPr>
        <w:t>（招标文件中明确的所属行业）</w:t>
      </w:r>
      <w:r>
        <w:rPr>
          <w:rFonts w:hint="eastAsia" w:ascii="宋体" w:hAnsi="宋体"/>
          <w:szCs w:val="21"/>
        </w:rPr>
        <w:t>行业；</w:t>
      </w:r>
      <w:r>
        <w:rPr>
          <w:rFonts w:hint="eastAsia" w:ascii="宋体" w:hAnsi="宋体" w:cs="宋体"/>
          <w:iCs/>
          <w:snapToGrid w:val="0"/>
          <w:kern w:val="0"/>
          <w:szCs w:val="21"/>
          <w:u w:val="single"/>
        </w:rPr>
        <w:t>承接</w:t>
      </w:r>
      <w:r>
        <w:rPr>
          <w:rFonts w:hint="eastAsia" w:ascii="宋体" w:hAnsi="宋体" w:cs="宋体"/>
          <w:snapToGrid w:val="0"/>
          <w:kern w:val="0"/>
          <w:szCs w:val="21"/>
        </w:rPr>
        <w:t>企业</w:t>
      </w:r>
      <w:r>
        <w:rPr>
          <w:rFonts w:hint="eastAsia" w:ascii="宋体" w:hAnsi="宋体"/>
          <w:szCs w:val="21"/>
        </w:rPr>
        <w:t>为</w:t>
      </w:r>
      <w:r>
        <w:rPr>
          <w:rFonts w:hint="eastAsia" w:ascii="宋体" w:hAnsi="宋体"/>
          <w:szCs w:val="21"/>
          <w:u w:val="single"/>
        </w:rPr>
        <w:t>（企业名称）</w:t>
      </w:r>
      <w:r>
        <w:rPr>
          <w:rFonts w:hint="eastAsia" w:ascii="宋体" w:hAnsi="宋体"/>
          <w:szCs w:val="21"/>
        </w:rPr>
        <w:t>，从业人员人，营业收入为万元，资产总额为万元，属于</w:t>
      </w:r>
      <w:r>
        <w:rPr>
          <w:rFonts w:hint="eastAsia" w:ascii="宋体" w:hAnsi="宋体"/>
          <w:szCs w:val="21"/>
          <w:u w:val="single"/>
        </w:rPr>
        <w:t>（中型企业、小型企业、微型企业）</w:t>
      </w:r>
      <w:r>
        <w:rPr>
          <w:rFonts w:hint="eastAsia" w:ascii="宋体" w:hAnsi="宋体"/>
          <w:szCs w:val="21"/>
        </w:rPr>
        <w:t>；</w:t>
      </w:r>
    </w:p>
    <w:p w14:paraId="42FD0548">
      <w:pPr>
        <w:spacing w:line="360" w:lineRule="auto"/>
        <w:ind w:firstLine="422"/>
        <w:rPr>
          <w:rFonts w:ascii="宋体" w:hAnsi="宋体"/>
          <w:szCs w:val="21"/>
        </w:rPr>
      </w:pPr>
      <w:r>
        <w:rPr>
          <w:rFonts w:hint="eastAsia" w:ascii="宋体" w:hAnsi="宋体"/>
          <w:szCs w:val="21"/>
        </w:rPr>
        <w:t>……</w:t>
      </w:r>
    </w:p>
    <w:p w14:paraId="55F0E1C0">
      <w:pPr>
        <w:wordWrap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 xml:space="preserve">以上企业，不属于大企业的分支机构，不存在控股股东为大企业的情形，也不存在与大企业的负责人为同一人的情形。 </w:t>
      </w:r>
    </w:p>
    <w:p w14:paraId="38D64ACD">
      <w:pPr>
        <w:wordWrap w:val="0"/>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 xml:space="preserve">本企业对上述声明内容的真实性负责。如有虚假，将依法承担相应责任。 </w:t>
      </w:r>
    </w:p>
    <w:p w14:paraId="7D0C108B">
      <w:pPr>
        <w:pStyle w:val="18"/>
      </w:pPr>
    </w:p>
    <w:p w14:paraId="42B6600B"/>
    <w:p w14:paraId="35F00FC3">
      <w:pPr>
        <w:pStyle w:val="18"/>
      </w:pPr>
    </w:p>
    <w:p w14:paraId="4DC4F304">
      <w:pPr>
        <w:spacing w:line="360" w:lineRule="auto"/>
        <w:ind w:firstLine="422"/>
        <w:rPr>
          <w:rFonts w:ascii="宋体" w:hAnsi="宋体"/>
          <w:szCs w:val="21"/>
          <w:u w:val="single"/>
        </w:rPr>
      </w:pPr>
      <w:r>
        <w:rPr>
          <w:rFonts w:hint="eastAsia" w:ascii="宋体" w:hAnsi="宋体"/>
          <w:szCs w:val="21"/>
        </w:rPr>
        <w:t>投标人：</w:t>
      </w:r>
      <w:r>
        <w:rPr>
          <w:rFonts w:hint="eastAsia" w:ascii="宋体" w:hAnsi="宋体"/>
          <w:szCs w:val="21"/>
          <w:u w:val="single"/>
        </w:rPr>
        <w:tab/>
      </w:r>
      <w:r>
        <w:rPr>
          <w:rFonts w:hint="eastAsia" w:ascii="宋体" w:hAnsi="宋体"/>
          <w:szCs w:val="21"/>
          <w:u w:val="single"/>
        </w:rPr>
        <w:t xml:space="preserve">               </w:t>
      </w:r>
      <w:r>
        <w:rPr>
          <w:rFonts w:hint="eastAsia" w:ascii="宋体" w:hAnsi="宋体"/>
          <w:szCs w:val="21"/>
        </w:rPr>
        <w:t>（电子公章）</w:t>
      </w:r>
    </w:p>
    <w:p w14:paraId="0490E2CF">
      <w:pPr>
        <w:spacing w:line="360" w:lineRule="auto"/>
        <w:ind w:firstLine="422"/>
        <w:rPr>
          <w:rFonts w:ascii="宋体" w:hAnsi="宋体"/>
          <w:szCs w:val="21"/>
          <w:u w:val="single"/>
        </w:rPr>
      </w:pPr>
      <w:r>
        <w:rPr>
          <w:rFonts w:hint="eastAsia" w:ascii="宋体" w:hAnsi="宋体"/>
          <w:szCs w:val="21"/>
        </w:rPr>
        <w:t>法定代表人或其委托代理人：</w:t>
      </w:r>
      <w:r>
        <w:rPr>
          <w:rFonts w:hint="eastAsia" w:ascii="宋体" w:hAnsi="宋体"/>
          <w:szCs w:val="21"/>
          <w:u w:val="single"/>
        </w:rPr>
        <w:t xml:space="preserve">         </w:t>
      </w:r>
      <w:r>
        <w:rPr>
          <w:rFonts w:hint="eastAsia" w:ascii="宋体" w:hAnsi="宋体"/>
          <w:szCs w:val="21"/>
        </w:rPr>
        <w:t>（电子签名/章）</w:t>
      </w:r>
    </w:p>
    <w:p w14:paraId="48CE81F7">
      <w:pPr>
        <w:spacing w:line="360" w:lineRule="auto"/>
        <w:ind w:firstLine="422"/>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1556F42A">
      <w:pPr>
        <w:wordWrap w:val="0"/>
        <w:spacing w:line="360" w:lineRule="auto"/>
        <w:ind w:firstLine="420"/>
        <w:rPr>
          <w:rFonts w:ascii="宋体" w:hAnsi="宋体"/>
          <w:b/>
          <w:snapToGrid w:val="0"/>
          <w:kern w:val="0"/>
          <w:szCs w:val="21"/>
        </w:rPr>
      </w:pPr>
    </w:p>
    <w:p w14:paraId="482A8FC5"/>
    <w:p w14:paraId="14A2D608">
      <w:pPr>
        <w:pStyle w:val="18"/>
      </w:pPr>
    </w:p>
    <w:p w14:paraId="51DED1B7">
      <w:pPr>
        <w:pStyle w:val="18"/>
      </w:pPr>
    </w:p>
    <w:p w14:paraId="632455EE">
      <w:pPr>
        <w:pStyle w:val="18"/>
      </w:pPr>
    </w:p>
    <w:p w14:paraId="0449AD5C"/>
    <w:p w14:paraId="74BFD45A">
      <w:pPr>
        <w:pStyle w:val="18"/>
      </w:pPr>
    </w:p>
    <w:p w14:paraId="0C8BE61F">
      <w:pPr>
        <w:wordWrap w:val="0"/>
        <w:spacing w:line="360" w:lineRule="auto"/>
        <w:rPr>
          <w:rFonts w:ascii="宋体" w:hAnsi="宋体" w:cs="宋体"/>
          <w:snapToGrid w:val="0"/>
          <w:kern w:val="0"/>
        </w:rPr>
      </w:pPr>
    </w:p>
    <w:p w14:paraId="259BAC10">
      <w:pPr>
        <w:wordWrap w:val="0"/>
        <w:spacing w:line="360" w:lineRule="auto"/>
        <w:ind w:left="422" w:hanging="422" w:hangingChars="200"/>
        <w:rPr>
          <w:rFonts w:ascii="宋体" w:hAnsi="宋体" w:cs="宋体"/>
          <w:b/>
          <w:snapToGrid w:val="0"/>
          <w:kern w:val="0"/>
          <w:szCs w:val="21"/>
        </w:rPr>
      </w:pPr>
      <w:r>
        <w:rPr>
          <w:rFonts w:hint="eastAsia" w:ascii="宋体" w:hAnsi="宋体" w:cs="宋体"/>
          <w:b/>
          <w:snapToGrid w:val="0"/>
          <w:kern w:val="0"/>
          <w:szCs w:val="21"/>
        </w:rPr>
        <w:t>注：1</w:t>
      </w:r>
      <w:r>
        <w:rPr>
          <w:rFonts w:ascii="宋体" w:hAnsi="宋体" w:cs="宋体"/>
          <w:b/>
          <w:snapToGrid w:val="0"/>
          <w:kern w:val="0"/>
          <w:szCs w:val="21"/>
        </w:rPr>
        <w:t>.</w:t>
      </w:r>
      <w:r>
        <w:rPr>
          <w:rFonts w:hint="eastAsia" w:ascii="宋体" w:hAnsi="宋体" w:cs="宋体"/>
          <w:b/>
          <w:snapToGrid w:val="0"/>
          <w:kern w:val="0"/>
          <w:szCs w:val="21"/>
        </w:rPr>
        <w:t>本项目中小企业所属行业为“软件和信息技术服务业”；</w:t>
      </w:r>
    </w:p>
    <w:p w14:paraId="69585B74">
      <w:pPr>
        <w:wordWrap w:val="0"/>
        <w:spacing w:line="360" w:lineRule="auto"/>
        <w:ind w:left="420" w:leftChars="200"/>
        <w:rPr>
          <w:rFonts w:ascii="宋体" w:hAnsi="宋体" w:cs="宋体"/>
          <w:b/>
          <w:snapToGrid w:val="0"/>
          <w:kern w:val="0"/>
          <w:szCs w:val="21"/>
        </w:rPr>
      </w:pPr>
      <w:r>
        <w:rPr>
          <w:rFonts w:ascii="宋体" w:hAnsi="宋体" w:cs="宋体"/>
          <w:b/>
          <w:snapToGrid w:val="0"/>
          <w:kern w:val="0"/>
          <w:szCs w:val="21"/>
        </w:rPr>
        <w:t>2.</w:t>
      </w:r>
      <w:r>
        <w:rPr>
          <w:rFonts w:hint="eastAsia" w:ascii="宋体" w:hAnsi="宋体" w:cs="宋体"/>
          <w:b/>
          <w:snapToGrid w:val="0"/>
          <w:kern w:val="0"/>
          <w:szCs w:val="21"/>
        </w:rPr>
        <w:t>中小微企业投标应提供本函，明确企业类型及所属行业，否则评审时不能享受相应的价格扣除；</w:t>
      </w:r>
    </w:p>
    <w:p w14:paraId="3B9E91F2">
      <w:pPr>
        <w:wordWrap w:val="0"/>
        <w:spacing w:line="360" w:lineRule="auto"/>
        <w:ind w:firstLine="422" w:firstLineChars="200"/>
      </w:pPr>
      <w:r>
        <w:rPr>
          <w:rFonts w:ascii="宋体" w:hAnsi="宋体"/>
          <w:b/>
          <w:snapToGrid w:val="0"/>
          <w:kern w:val="0"/>
          <w:szCs w:val="21"/>
        </w:rPr>
        <w:t>3</w:t>
      </w:r>
      <w:r>
        <w:rPr>
          <w:rFonts w:hint="eastAsia" w:ascii="宋体" w:hAnsi="宋体"/>
          <w:b/>
          <w:snapToGrid w:val="0"/>
          <w:kern w:val="0"/>
          <w:szCs w:val="21"/>
        </w:rPr>
        <w:t>.非</w:t>
      </w:r>
      <w:r>
        <w:rPr>
          <w:rFonts w:hint="eastAsia" w:ascii="宋体" w:hAnsi="宋体" w:cs="宋体"/>
          <w:b/>
          <w:snapToGrid w:val="0"/>
          <w:kern w:val="0"/>
          <w:szCs w:val="21"/>
        </w:rPr>
        <w:t>中小微企业</w:t>
      </w:r>
      <w:r>
        <w:rPr>
          <w:rFonts w:hint="eastAsia" w:ascii="宋体" w:hAnsi="宋体"/>
          <w:b/>
          <w:snapToGrid w:val="0"/>
          <w:kern w:val="0"/>
          <w:szCs w:val="21"/>
        </w:rPr>
        <w:t>无须</w:t>
      </w:r>
      <w:r>
        <w:rPr>
          <w:rFonts w:ascii="宋体" w:hAnsi="宋体"/>
          <w:b/>
          <w:snapToGrid w:val="0"/>
          <w:kern w:val="0"/>
          <w:szCs w:val="21"/>
        </w:rPr>
        <w:t>填报本表</w:t>
      </w:r>
      <w:r>
        <w:rPr>
          <w:rFonts w:hint="eastAsia" w:ascii="宋体" w:hAnsi="宋体"/>
          <w:b/>
          <w:snapToGrid w:val="0"/>
          <w:kern w:val="0"/>
          <w:szCs w:val="21"/>
        </w:rPr>
        <w:t>。</w:t>
      </w:r>
    </w:p>
    <w:p w14:paraId="42A51B06">
      <w:pPr>
        <w:pStyle w:val="5"/>
        <w:rPr>
          <w:snapToGrid w:val="0"/>
        </w:rPr>
      </w:pPr>
      <w:r>
        <w:rPr>
          <w:rFonts w:ascii="宋体" w:hAnsi="宋体"/>
          <w:snapToGrid w:val="0"/>
        </w:rPr>
        <w:br w:type="page"/>
      </w:r>
      <w:bookmarkStart w:id="220" w:name="_Toc521684021"/>
      <w:bookmarkStart w:id="221" w:name="_Toc51779266"/>
      <w:r>
        <w:rPr>
          <w:rFonts w:hint="eastAsia"/>
          <w:snapToGrid w:val="0"/>
        </w:rPr>
        <w:t>（七）</w:t>
      </w:r>
      <w:r>
        <w:rPr>
          <w:snapToGrid w:val="0"/>
        </w:rPr>
        <w:t>残疾人福利性单位声明函</w:t>
      </w:r>
      <w:bookmarkEnd w:id="220"/>
      <w:bookmarkEnd w:id="221"/>
    </w:p>
    <w:p w14:paraId="0089A925">
      <w:pPr>
        <w:wordWrap w:val="0"/>
        <w:spacing w:line="360" w:lineRule="auto"/>
        <w:ind w:firstLine="420" w:firstLineChars="200"/>
        <w:rPr>
          <w:rFonts w:ascii="宋体" w:hAnsi="宋体"/>
          <w:snapToGrid w:val="0"/>
          <w:kern w:val="0"/>
          <w:szCs w:val="21"/>
        </w:rPr>
      </w:pPr>
    </w:p>
    <w:p w14:paraId="347A4823">
      <w:pPr>
        <w:wordWrap w:val="0"/>
        <w:spacing w:line="360" w:lineRule="auto"/>
        <w:ind w:firstLine="420" w:firstLineChars="200"/>
        <w:rPr>
          <w:rFonts w:ascii="宋体" w:hAnsi="宋体"/>
          <w:snapToGrid w:val="0"/>
          <w:kern w:val="0"/>
          <w:szCs w:val="21"/>
        </w:rPr>
      </w:pPr>
      <w:r>
        <w:rPr>
          <w:rFonts w:ascii="宋体" w:hAnsi="宋体"/>
          <w:snapToGrid w:val="0"/>
          <w:kern w:val="0"/>
          <w:szCs w:val="21"/>
        </w:rPr>
        <w:t>本单位郑重声明，根据《财政部 民政部 中国残疾人联合会关于促进残疾人就业政府采购政策的通知》（财库〔2017〕141号）的规定，本单位</w:t>
      </w:r>
      <w:r>
        <w:rPr>
          <w:rFonts w:hint="eastAsia" w:ascii="宋体" w:hAnsi="宋体"/>
          <w:snapToGrid w:val="0"/>
          <w:kern w:val="0"/>
          <w:szCs w:val="21"/>
        </w:rPr>
        <w:t>为</w:t>
      </w:r>
      <w:r>
        <w:rPr>
          <w:rFonts w:ascii="宋体" w:hAnsi="宋体"/>
          <w:snapToGrid w:val="0"/>
          <w:spacing w:val="6"/>
          <w:kern w:val="0"/>
          <w:szCs w:val="21"/>
          <w:u w:val="single"/>
        </w:rPr>
        <w:t>（请填写：</w:t>
      </w:r>
      <w:r>
        <w:rPr>
          <w:rFonts w:hint="eastAsia" w:ascii="宋体" w:hAnsi="宋体"/>
          <w:snapToGrid w:val="0"/>
          <w:spacing w:val="6"/>
          <w:kern w:val="0"/>
          <w:szCs w:val="21"/>
          <w:u w:val="single"/>
        </w:rPr>
        <w:t>符合</w:t>
      </w:r>
      <w:r>
        <w:rPr>
          <w:rFonts w:ascii="宋体" w:hAnsi="宋体"/>
          <w:snapToGrid w:val="0"/>
          <w:spacing w:val="6"/>
          <w:kern w:val="0"/>
          <w:szCs w:val="21"/>
          <w:u w:val="single"/>
        </w:rPr>
        <w:t>、</w:t>
      </w:r>
      <w:r>
        <w:rPr>
          <w:rFonts w:hint="eastAsia" w:ascii="宋体" w:hAnsi="宋体"/>
          <w:snapToGrid w:val="0"/>
          <w:spacing w:val="6"/>
          <w:kern w:val="0"/>
          <w:szCs w:val="21"/>
          <w:u w:val="single"/>
        </w:rPr>
        <w:t>不符合</w:t>
      </w:r>
      <w:r>
        <w:rPr>
          <w:rFonts w:ascii="宋体" w:hAnsi="宋体"/>
          <w:snapToGrid w:val="0"/>
          <w:spacing w:val="6"/>
          <w:kern w:val="0"/>
          <w:szCs w:val="21"/>
          <w:u w:val="single"/>
        </w:rPr>
        <w:t>）</w:t>
      </w:r>
      <w:r>
        <w:rPr>
          <w:rFonts w:ascii="宋体" w:hAnsi="宋体"/>
          <w:snapToGrid w:val="0"/>
          <w:kern w:val="0"/>
          <w:szCs w:val="21"/>
        </w:rPr>
        <w:t>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187BD730">
      <w:pPr>
        <w:wordWrap w:val="0"/>
        <w:spacing w:line="360" w:lineRule="auto"/>
        <w:ind w:firstLine="420" w:firstLineChars="200"/>
        <w:rPr>
          <w:rFonts w:ascii="宋体" w:hAnsi="宋体"/>
          <w:snapToGrid w:val="0"/>
          <w:kern w:val="0"/>
          <w:szCs w:val="21"/>
        </w:rPr>
      </w:pPr>
      <w:r>
        <w:rPr>
          <w:rFonts w:ascii="宋体" w:hAnsi="宋体"/>
          <w:snapToGrid w:val="0"/>
          <w:kern w:val="0"/>
          <w:szCs w:val="21"/>
        </w:rPr>
        <w:t>本单位对上述声明的真实性负责。如有虚假，将依法承担相应责任。</w:t>
      </w:r>
    </w:p>
    <w:p w14:paraId="4D426B25">
      <w:pPr>
        <w:wordWrap w:val="0"/>
        <w:spacing w:line="360" w:lineRule="auto"/>
        <w:ind w:firstLine="420" w:firstLineChars="200"/>
        <w:rPr>
          <w:rFonts w:ascii="宋体" w:hAnsi="宋体"/>
          <w:snapToGrid w:val="0"/>
          <w:kern w:val="0"/>
          <w:szCs w:val="21"/>
        </w:rPr>
      </w:pPr>
    </w:p>
    <w:p w14:paraId="74C54EB8"/>
    <w:p w14:paraId="489E93E6"/>
    <w:p w14:paraId="21CB5724">
      <w:pPr>
        <w:spacing w:line="360" w:lineRule="auto"/>
        <w:ind w:firstLine="422"/>
        <w:rPr>
          <w:rFonts w:ascii="宋体" w:hAnsi="宋体"/>
          <w:szCs w:val="21"/>
          <w:u w:val="single"/>
        </w:rPr>
      </w:pPr>
      <w:r>
        <w:rPr>
          <w:rFonts w:hint="eastAsia" w:ascii="宋体" w:hAnsi="宋体"/>
          <w:szCs w:val="21"/>
        </w:rPr>
        <w:t>投标人：</w:t>
      </w:r>
      <w:r>
        <w:rPr>
          <w:rFonts w:hint="eastAsia" w:ascii="宋体" w:hAnsi="宋体"/>
          <w:szCs w:val="21"/>
          <w:u w:val="single"/>
        </w:rPr>
        <w:tab/>
      </w:r>
      <w:r>
        <w:rPr>
          <w:rFonts w:hint="eastAsia" w:ascii="宋体" w:hAnsi="宋体"/>
          <w:szCs w:val="21"/>
          <w:u w:val="single"/>
        </w:rPr>
        <w:t xml:space="preserve">               </w:t>
      </w:r>
      <w:r>
        <w:rPr>
          <w:rFonts w:hint="eastAsia" w:ascii="宋体" w:hAnsi="宋体"/>
          <w:szCs w:val="21"/>
        </w:rPr>
        <w:t>（电子公章）</w:t>
      </w:r>
    </w:p>
    <w:p w14:paraId="4E2183F7">
      <w:pPr>
        <w:spacing w:line="360" w:lineRule="auto"/>
        <w:ind w:firstLine="422"/>
        <w:rPr>
          <w:rFonts w:ascii="宋体" w:hAnsi="宋体"/>
          <w:szCs w:val="21"/>
          <w:u w:val="single"/>
        </w:rPr>
      </w:pPr>
      <w:r>
        <w:rPr>
          <w:rFonts w:hint="eastAsia" w:ascii="宋体" w:hAnsi="宋体"/>
          <w:szCs w:val="21"/>
        </w:rPr>
        <w:t>法定代表人或其委托代理人：</w:t>
      </w:r>
      <w:r>
        <w:rPr>
          <w:rFonts w:hint="eastAsia" w:ascii="宋体" w:hAnsi="宋体"/>
          <w:szCs w:val="21"/>
          <w:u w:val="single"/>
        </w:rPr>
        <w:t xml:space="preserve">         </w:t>
      </w:r>
      <w:r>
        <w:rPr>
          <w:rFonts w:hint="eastAsia" w:ascii="宋体" w:hAnsi="宋体"/>
          <w:szCs w:val="21"/>
        </w:rPr>
        <w:t>（电子签名/章）</w:t>
      </w:r>
    </w:p>
    <w:p w14:paraId="61934DB5">
      <w:pPr>
        <w:spacing w:line="360" w:lineRule="auto"/>
        <w:ind w:firstLine="422"/>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6689D8CA">
      <w:pPr>
        <w:wordWrap w:val="0"/>
        <w:spacing w:line="360" w:lineRule="auto"/>
        <w:ind w:firstLine="420"/>
        <w:rPr>
          <w:rFonts w:ascii="宋体" w:hAnsi="宋体"/>
          <w:b/>
          <w:snapToGrid w:val="0"/>
          <w:kern w:val="0"/>
          <w:szCs w:val="21"/>
        </w:rPr>
      </w:pPr>
    </w:p>
    <w:p w14:paraId="1DB24DC8">
      <w:pPr>
        <w:pStyle w:val="18"/>
      </w:pPr>
    </w:p>
    <w:p w14:paraId="0440BF82">
      <w:pPr>
        <w:wordWrap w:val="0"/>
        <w:rPr>
          <w:snapToGrid w:val="0"/>
          <w:kern w:val="0"/>
        </w:rPr>
      </w:pPr>
    </w:p>
    <w:p w14:paraId="72BAFFA0"/>
    <w:p w14:paraId="0B5A64D1"/>
    <w:p w14:paraId="56227E52"/>
    <w:p w14:paraId="006C1A5D"/>
    <w:p w14:paraId="21AADABC"/>
    <w:p w14:paraId="39CA8C49"/>
    <w:p w14:paraId="0CF09504">
      <w:pPr>
        <w:pStyle w:val="18"/>
      </w:pPr>
    </w:p>
    <w:p w14:paraId="4A4C0800"/>
    <w:p w14:paraId="1AC81E92">
      <w:pPr>
        <w:pStyle w:val="18"/>
      </w:pPr>
    </w:p>
    <w:p w14:paraId="0A5F3AA2"/>
    <w:p w14:paraId="52D7107A">
      <w:pPr>
        <w:pStyle w:val="18"/>
      </w:pPr>
    </w:p>
    <w:p w14:paraId="3C3C1D7E"/>
    <w:p w14:paraId="4CB9231A">
      <w:pPr>
        <w:pStyle w:val="18"/>
      </w:pPr>
    </w:p>
    <w:p w14:paraId="59099F18"/>
    <w:p w14:paraId="388CD919">
      <w:pPr>
        <w:wordWrap w:val="0"/>
        <w:rPr>
          <w:snapToGrid w:val="0"/>
          <w:kern w:val="0"/>
        </w:rPr>
      </w:pPr>
    </w:p>
    <w:p w14:paraId="5C028B1F">
      <w:pPr>
        <w:pStyle w:val="18"/>
      </w:pPr>
    </w:p>
    <w:p w14:paraId="30A45D82">
      <w:pPr>
        <w:wordWrap w:val="0"/>
        <w:spacing w:line="360" w:lineRule="auto"/>
        <w:ind w:firstLine="420"/>
        <w:rPr>
          <w:rFonts w:ascii="宋体" w:hAnsi="宋体"/>
          <w:b/>
          <w:snapToGrid w:val="0"/>
          <w:kern w:val="0"/>
          <w:szCs w:val="21"/>
        </w:rPr>
      </w:pPr>
      <w:r>
        <w:rPr>
          <w:rFonts w:hint="eastAsia" w:ascii="宋体" w:hAnsi="宋体"/>
          <w:b/>
          <w:snapToGrid w:val="0"/>
          <w:kern w:val="0"/>
          <w:szCs w:val="21"/>
        </w:rPr>
        <w:t>注：1.中标供应商为残疾人福利性单位的，其《残疾人福利性单位声明函》将随中标结果同时公告，接受社会监督。供应商提供的《残疾人福利性单位声明函》与事实不符的， 依照《中华人民共和国政府采购法》第十条第一款的规定追究法律责任。</w:t>
      </w:r>
    </w:p>
    <w:p w14:paraId="61E7FA96">
      <w:pPr>
        <w:wordWrap w:val="0"/>
        <w:spacing w:line="360" w:lineRule="auto"/>
        <w:ind w:firstLine="422" w:firstLineChars="200"/>
        <w:rPr>
          <w:rFonts w:ascii="宋体" w:hAnsi="宋体"/>
          <w:b/>
          <w:snapToGrid w:val="0"/>
          <w:kern w:val="0"/>
          <w:szCs w:val="21"/>
        </w:rPr>
      </w:pPr>
      <w:r>
        <w:rPr>
          <w:rFonts w:hint="eastAsia" w:ascii="宋体" w:hAnsi="宋体"/>
          <w:b/>
          <w:snapToGrid w:val="0"/>
          <w:kern w:val="0"/>
          <w:szCs w:val="21"/>
        </w:rPr>
        <w:t>2.如非残疾人福利性单位，无须</w:t>
      </w:r>
      <w:r>
        <w:rPr>
          <w:rFonts w:ascii="宋体" w:hAnsi="宋体"/>
          <w:b/>
          <w:snapToGrid w:val="0"/>
          <w:kern w:val="0"/>
          <w:szCs w:val="21"/>
        </w:rPr>
        <w:t>填报本表</w:t>
      </w:r>
      <w:r>
        <w:rPr>
          <w:rFonts w:hint="eastAsia" w:ascii="宋体" w:hAnsi="宋体"/>
          <w:b/>
          <w:snapToGrid w:val="0"/>
          <w:kern w:val="0"/>
          <w:szCs w:val="21"/>
        </w:rPr>
        <w:t>。</w:t>
      </w:r>
    </w:p>
    <w:p w14:paraId="391E85D5">
      <w:pPr>
        <w:pStyle w:val="5"/>
        <w:rPr>
          <w:snapToGrid w:val="0"/>
        </w:rPr>
      </w:pPr>
      <w:bookmarkStart w:id="222" w:name="_Toc25159318"/>
      <w:bookmarkStart w:id="223" w:name="_Toc28436814"/>
      <w:bookmarkStart w:id="224" w:name="_Toc12355139"/>
      <w:bookmarkStart w:id="225" w:name="_Toc11829848"/>
      <w:bookmarkStart w:id="226" w:name="_Toc16862061"/>
      <w:bookmarkStart w:id="227" w:name="_Toc51779267"/>
      <w:r>
        <w:rPr>
          <w:rFonts w:hint="eastAsia" w:hAnsi="宋体" w:eastAsia="宋体"/>
          <w:snapToGrid w:val="0"/>
        </w:rPr>
        <w:br w:type="page"/>
      </w:r>
      <w:r>
        <w:rPr>
          <w:rFonts w:hint="eastAsia"/>
          <w:snapToGrid w:val="0"/>
        </w:rPr>
        <w:t>（八）</w:t>
      </w:r>
      <w:r>
        <w:rPr>
          <w:snapToGrid w:val="0"/>
        </w:rPr>
        <w:t>监狱企业证明文件</w:t>
      </w:r>
      <w:bookmarkEnd w:id="222"/>
      <w:bookmarkEnd w:id="223"/>
      <w:bookmarkEnd w:id="224"/>
      <w:bookmarkEnd w:id="225"/>
      <w:bookmarkEnd w:id="226"/>
      <w:bookmarkEnd w:id="227"/>
    </w:p>
    <w:p w14:paraId="6B0D9005">
      <w:pPr>
        <w:wordWrap w:val="0"/>
        <w:spacing w:line="360" w:lineRule="auto"/>
        <w:ind w:firstLine="444" w:firstLineChars="200"/>
        <w:rPr>
          <w:rFonts w:ascii="宋体" w:hAnsi="宋体"/>
          <w:snapToGrid w:val="0"/>
          <w:spacing w:val="6"/>
          <w:kern w:val="0"/>
          <w:szCs w:val="21"/>
        </w:rPr>
      </w:pPr>
    </w:p>
    <w:p w14:paraId="506ECF19">
      <w:pPr>
        <w:wordWrap w:val="0"/>
        <w:spacing w:line="360" w:lineRule="auto"/>
        <w:ind w:firstLine="444" w:firstLineChars="200"/>
        <w:rPr>
          <w:rFonts w:ascii="宋体" w:hAnsi="宋体"/>
          <w:snapToGrid w:val="0"/>
          <w:spacing w:val="6"/>
          <w:kern w:val="0"/>
          <w:szCs w:val="21"/>
        </w:rPr>
      </w:pPr>
      <w:r>
        <w:rPr>
          <w:rFonts w:hint="eastAsia" w:ascii="宋体" w:hAnsi="宋体"/>
          <w:snapToGrid w:val="0"/>
          <w:spacing w:val="6"/>
          <w:kern w:val="0"/>
          <w:szCs w:val="21"/>
        </w:rPr>
        <w:t>根据《财政部司法部关于政府采购支持监狱企业发展有关问题的通知》（财库（</w:t>
      </w:r>
      <w:r>
        <w:rPr>
          <w:rFonts w:ascii="宋体" w:hAnsi="宋体"/>
          <w:snapToGrid w:val="0"/>
          <w:spacing w:val="6"/>
          <w:kern w:val="0"/>
          <w:szCs w:val="21"/>
        </w:rPr>
        <w:t>2014</w:t>
      </w:r>
      <w:r>
        <w:rPr>
          <w:rFonts w:hint="eastAsia" w:ascii="宋体" w:hAnsi="宋体"/>
          <w:snapToGrid w:val="0"/>
          <w:spacing w:val="6"/>
          <w:kern w:val="0"/>
          <w:szCs w:val="21"/>
        </w:rPr>
        <w:t>）</w:t>
      </w:r>
      <w:r>
        <w:rPr>
          <w:rFonts w:ascii="宋体" w:hAnsi="宋体"/>
          <w:snapToGrid w:val="0"/>
          <w:spacing w:val="6"/>
          <w:kern w:val="0"/>
          <w:szCs w:val="21"/>
        </w:rPr>
        <w:t xml:space="preserve"> 68 </w:t>
      </w:r>
      <w:r>
        <w:rPr>
          <w:rFonts w:hint="eastAsia" w:ascii="宋体" w:hAnsi="宋体"/>
          <w:snapToGrid w:val="0"/>
          <w:spacing w:val="6"/>
          <w:kern w:val="0"/>
          <w:szCs w:val="21"/>
        </w:rPr>
        <w:t>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4552683">
      <w:pPr>
        <w:wordWrap w:val="0"/>
        <w:spacing w:line="360" w:lineRule="auto"/>
        <w:ind w:firstLine="422" w:firstLineChars="200"/>
        <w:rPr>
          <w:rFonts w:ascii="宋体" w:hAnsi="宋体"/>
          <w:b/>
          <w:snapToGrid w:val="0"/>
          <w:kern w:val="0"/>
          <w:szCs w:val="21"/>
        </w:rPr>
      </w:pPr>
    </w:p>
    <w:p w14:paraId="122DF4BE">
      <w:pPr>
        <w:wordWrap w:val="0"/>
        <w:rPr>
          <w:snapToGrid w:val="0"/>
          <w:kern w:val="0"/>
        </w:rPr>
      </w:pPr>
    </w:p>
    <w:p w14:paraId="3DA8C1A6">
      <w:pPr>
        <w:wordWrap w:val="0"/>
        <w:rPr>
          <w:snapToGrid w:val="0"/>
          <w:kern w:val="0"/>
        </w:rPr>
      </w:pPr>
    </w:p>
    <w:p w14:paraId="1A5AE511">
      <w:pPr>
        <w:wordWrap w:val="0"/>
        <w:rPr>
          <w:snapToGrid w:val="0"/>
          <w:kern w:val="0"/>
        </w:rPr>
      </w:pPr>
    </w:p>
    <w:p w14:paraId="214D513C">
      <w:pPr>
        <w:wordWrap w:val="0"/>
        <w:rPr>
          <w:snapToGrid w:val="0"/>
          <w:kern w:val="0"/>
        </w:rPr>
      </w:pPr>
    </w:p>
    <w:p w14:paraId="1BD4B359">
      <w:pPr>
        <w:wordWrap w:val="0"/>
        <w:rPr>
          <w:snapToGrid w:val="0"/>
          <w:kern w:val="0"/>
        </w:rPr>
      </w:pPr>
    </w:p>
    <w:p w14:paraId="0D8873CA">
      <w:pPr>
        <w:wordWrap w:val="0"/>
        <w:rPr>
          <w:snapToGrid w:val="0"/>
          <w:kern w:val="0"/>
        </w:rPr>
      </w:pPr>
    </w:p>
    <w:p w14:paraId="5A6A164B">
      <w:pPr>
        <w:wordWrap w:val="0"/>
        <w:rPr>
          <w:snapToGrid w:val="0"/>
          <w:kern w:val="0"/>
        </w:rPr>
      </w:pPr>
    </w:p>
    <w:p w14:paraId="27012120">
      <w:pPr>
        <w:wordWrap w:val="0"/>
        <w:rPr>
          <w:snapToGrid w:val="0"/>
          <w:kern w:val="0"/>
        </w:rPr>
      </w:pPr>
    </w:p>
    <w:p w14:paraId="4140433F">
      <w:pPr>
        <w:wordWrap w:val="0"/>
        <w:rPr>
          <w:snapToGrid w:val="0"/>
          <w:kern w:val="0"/>
        </w:rPr>
      </w:pPr>
    </w:p>
    <w:p w14:paraId="7429D263">
      <w:pPr>
        <w:wordWrap w:val="0"/>
        <w:rPr>
          <w:snapToGrid w:val="0"/>
          <w:kern w:val="0"/>
        </w:rPr>
      </w:pPr>
    </w:p>
    <w:p w14:paraId="0CF2ACA3">
      <w:pPr>
        <w:wordWrap w:val="0"/>
        <w:rPr>
          <w:snapToGrid w:val="0"/>
          <w:kern w:val="0"/>
        </w:rPr>
      </w:pPr>
    </w:p>
    <w:p w14:paraId="5FBFC22B">
      <w:pPr>
        <w:wordWrap w:val="0"/>
        <w:rPr>
          <w:snapToGrid w:val="0"/>
          <w:kern w:val="0"/>
        </w:rPr>
      </w:pPr>
    </w:p>
    <w:p w14:paraId="5FD1C1E2">
      <w:pPr>
        <w:wordWrap w:val="0"/>
        <w:rPr>
          <w:snapToGrid w:val="0"/>
          <w:kern w:val="0"/>
        </w:rPr>
      </w:pPr>
    </w:p>
    <w:p w14:paraId="131D5875">
      <w:pPr>
        <w:wordWrap w:val="0"/>
        <w:rPr>
          <w:snapToGrid w:val="0"/>
          <w:kern w:val="0"/>
        </w:rPr>
      </w:pPr>
    </w:p>
    <w:p w14:paraId="1CF01807">
      <w:pPr>
        <w:wordWrap w:val="0"/>
        <w:rPr>
          <w:snapToGrid w:val="0"/>
          <w:kern w:val="0"/>
        </w:rPr>
      </w:pPr>
    </w:p>
    <w:p w14:paraId="63CEF324">
      <w:pPr>
        <w:wordWrap w:val="0"/>
        <w:rPr>
          <w:snapToGrid w:val="0"/>
          <w:kern w:val="0"/>
        </w:rPr>
      </w:pPr>
    </w:p>
    <w:p w14:paraId="1F3AF86C">
      <w:pPr>
        <w:wordWrap w:val="0"/>
        <w:rPr>
          <w:snapToGrid w:val="0"/>
          <w:kern w:val="0"/>
        </w:rPr>
      </w:pPr>
    </w:p>
    <w:p w14:paraId="6A5C614C">
      <w:pPr>
        <w:wordWrap w:val="0"/>
        <w:rPr>
          <w:snapToGrid w:val="0"/>
          <w:kern w:val="0"/>
        </w:rPr>
      </w:pPr>
    </w:p>
    <w:p w14:paraId="512986D5">
      <w:pPr>
        <w:wordWrap w:val="0"/>
        <w:rPr>
          <w:snapToGrid w:val="0"/>
          <w:kern w:val="0"/>
        </w:rPr>
      </w:pPr>
    </w:p>
    <w:p w14:paraId="13CC4F78">
      <w:pPr>
        <w:wordWrap w:val="0"/>
        <w:rPr>
          <w:snapToGrid w:val="0"/>
          <w:kern w:val="0"/>
        </w:rPr>
      </w:pPr>
    </w:p>
    <w:p w14:paraId="74615B9D">
      <w:pPr>
        <w:wordWrap w:val="0"/>
        <w:rPr>
          <w:snapToGrid w:val="0"/>
          <w:kern w:val="0"/>
        </w:rPr>
      </w:pPr>
    </w:p>
    <w:p w14:paraId="198C7B2B">
      <w:pPr>
        <w:wordWrap w:val="0"/>
        <w:rPr>
          <w:snapToGrid w:val="0"/>
          <w:kern w:val="0"/>
        </w:rPr>
      </w:pPr>
    </w:p>
    <w:p w14:paraId="53C380DC">
      <w:pPr>
        <w:wordWrap w:val="0"/>
        <w:rPr>
          <w:snapToGrid w:val="0"/>
          <w:kern w:val="0"/>
        </w:rPr>
      </w:pPr>
    </w:p>
    <w:p w14:paraId="0FE8D633">
      <w:pPr>
        <w:wordWrap w:val="0"/>
        <w:rPr>
          <w:snapToGrid w:val="0"/>
          <w:kern w:val="0"/>
        </w:rPr>
      </w:pPr>
    </w:p>
    <w:p w14:paraId="78318367">
      <w:pPr>
        <w:wordWrap w:val="0"/>
        <w:rPr>
          <w:snapToGrid w:val="0"/>
          <w:kern w:val="0"/>
        </w:rPr>
      </w:pPr>
    </w:p>
    <w:p w14:paraId="21399AA1">
      <w:pPr>
        <w:wordWrap w:val="0"/>
        <w:rPr>
          <w:snapToGrid w:val="0"/>
          <w:kern w:val="0"/>
        </w:rPr>
      </w:pPr>
    </w:p>
    <w:p w14:paraId="5EC7FF38">
      <w:pPr>
        <w:wordWrap w:val="0"/>
        <w:rPr>
          <w:snapToGrid w:val="0"/>
          <w:kern w:val="0"/>
        </w:rPr>
      </w:pPr>
    </w:p>
    <w:p w14:paraId="0C6900A4">
      <w:pPr>
        <w:wordWrap w:val="0"/>
        <w:rPr>
          <w:snapToGrid w:val="0"/>
          <w:kern w:val="0"/>
        </w:rPr>
      </w:pPr>
    </w:p>
    <w:p w14:paraId="63215D70">
      <w:pPr>
        <w:pStyle w:val="18"/>
      </w:pPr>
    </w:p>
    <w:p w14:paraId="03FE93B3">
      <w:pPr>
        <w:pStyle w:val="18"/>
      </w:pPr>
    </w:p>
    <w:p w14:paraId="45BB42AA">
      <w:pPr>
        <w:wordWrap w:val="0"/>
        <w:rPr>
          <w:snapToGrid w:val="0"/>
          <w:kern w:val="0"/>
        </w:rPr>
      </w:pPr>
    </w:p>
    <w:p w14:paraId="1AE390D9">
      <w:pPr>
        <w:wordWrap w:val="0"/>
        <w:spacing w:line="360" w:lineRule="auto"/>
        <w:ind w:firstLine="422" w:firstLineChars="200"/>
        <w:rPr>
          <w:rFonts w:ascii="宋体" w:hAnsi="宋体"/>
          <w:b/>
          <w:snapToGrid w:val="0"/>
          <w:kern w:val="0"/>
          <w:szCs w:val="21"/>
        </w:rPr>
      </w:pPr>
      <w:r>
        <w:rPr>
          <w:rFonts w:ascii="宋体" w:hAnsi="宋体"/>
          <w:b/>
          <w:snapToGrid w:val="0"/>
          <w:kern w:val="0"/>
          <w:szCs w:val="21"/>
        </w:rPr>
        <w:t>注：</w:t>
      </w:r>
      <w:r>
        <w:rPr>
          <w:rFonts w:hint="eastAsia" w:ascii="宋体" w:hAnsi="宋体"/>
          <w:b/>
          <w:snapToGrid w:val="0"/>
          <w:kern w:val="0"/>
          <w:szCs w:val="21"/>
        </w:rPr>
        <w:t>1.如为监狱企业参加政府采购活动，应当提供由省级以上监狱管理局、戒毒管理局（含新疆生产建设兵团）出具的属于监狱企业的证明文件。</w:t>
      </w:r>
    </w:p>
    <w:p w14:paraId="6E51637E">
      <w:pPr>
        <w:wordWrap w:val="0"/>
        <w:spacing w:line="360" w:lineRule="auto"/>
        <w:ind w:firstLine="843" w:firstLineChars="400"/>
        <w:rPr>
          <w:rFonts w:ascii="宋体" w:hAnsi="宋体" w:cs="宋体"/>
          <w:b/>
          <w:snapToGrid w:val="0"/>
          <w:kern w:val="0"/>
          <w:szCs w:val="21"/>
        </w:rPr>
      </w:pPr>
      <w:r>
        <w:rPr>
          <w:rFonts w:ascii="宋体" w:hAnsi="宋体" w:cs="宋体"/>
          <w:b/>
          <w:snapToGrid w:val="0"/>
          <w:kern w:val="0"/>
          <w:szCs w:val="21"/>
        </w:rPr>
        <w:t>2.</w:t>
      </w:r>
      <w:r>
        <w:rPr>
          <w:rFonts w:hint="eastAsia" w:ascii="宋体" w:hAnsi="宋体" w:cs="宋体"/>
          <w:b/>
          <w:snapToGrid w:val="0"/>
          <w:kern w:val="0"/>
          <w:szCs w:val="21"/>
        </w:rPr>
        <w:t>根据财库〔2014〕68号《财政部司法部关于政府采购支持监狱企业发展有关问题的通知》，监狱企业视同小微企业</w:t>
      </w:r>
      <w:r>
        <w:rPr>
          <w:rFonts w:hint="eastAsia" w:ascii="宋体" w:hAnsi="宋体" w:cs="宋体"/>
          <w:b/>
          <w:bCs/>
          <w:snapToGrid w:val="0"/>
          <w:kern w:val="0"/>
          <w:szCs w:val="21"/>
        </w:rPr>
        <w:t>，无须再提供《中小企业声明函》。</w:t>
      </w:r>
    </w:p>
    <w:p w14:paraId="6DA62DF8">
      <w:pPr>
        <w:wordWrap w:val="0"/>
        <w:spacing w:line="360" w:lineRule="auto"/>
        <w:ind w:firstLine="843" w:firstLineChars="400"/>
        <w:rPr>
          <w:rFonts w:ascii="宋体" w:hAnsi="宋体"/>
          <w:b/>
          <w:snapToGrid w:val="0"/>
          <w:kern w:val="0"/>
          <w:szCs w:val="21"/>
        </w:rPr>
      </w:pPr>
      <w:r>
        <w:rPr>
          <w:rFonts w:ascii="宋体" w:hAnsi="宋体"/>
          <w:b/>
          <w:snapToGrid w:val="0"/>
          <w:kern w:val="0"/>
          <w:szCs w:val="21"/>
        </w:rPr>
        <w:t>3</w:t>
      </w:r>
      <w:r>
        <w:rPr>
          <w:rFonts w:hint="eastAsia" w:ascii="宋体" w:hAnsi="宋体"/>
          <w:b/>
          <w:snapToGrid w:val="0"/>
          <w:kern w:val="0"/>
          <w:szCs w:val="21"/>
        </w:rPr>
        <w:t>.如非监狱企业，无须提供</w:t>
      </w:r>
      <w:r>
        <w:rPr>
          <w:rFonts w:ascii="宋体" w:hAnsi="宋体"/>
          <w:b/>
          <w:snapToGrid w:val="0"/>
          <w:kern w:val="0"/>
          <w:szCs w:val="21"/>
        </w:rPr>
        <w:t>证明文件</w:t>
      </w:r>
      <w:r>
        <w:rPr>
          <w:rFonts w:hint="eastAsia" w:ascii="宋体" w:hAnsi="宋体"/>
          <w:b/>
          <w:snapToGrid w:val="0"/>
          <w:kern w:val="0"/>
          <w:szCs w:val="21"/>
        </w:rPr>
        <w:t>。</w:t>
      </w:r>
    </w:p>
    <w:p w14:paraId="766371A5">
      <w:pPr>
        <w:wordWrap w:val="0"/>
        <w:spacing w:line="360" w:lineRule="auto"/>
        <w:ind w:firstLine="840" w:firstLineChars="400"/>
      </w:pPr>
    </w:p>
    <w:p w14:paraId="7C25E7C5">
      <w:pPr>
        <w:wordWrap w:val="0"/>
        <w:jc w:val="center"/>
        <w:outlineLvl w:val="2"/>
        <w:rPr>
          <w:b/>
          <w:bCs/>
          <w:snapToGrid w:val="0"/>
          <w:kern w:val="0"/>
          <w:sz w:val="32"/>
          <w:szCs w:val="32"/>
        </w:rPr>
      </w:pPr>
      <w:r>
        <w:rPr>
          <w:rFonts w:hint="eastAsia"/>
          <w:snapToGrid w:val="0"/>
          <w:kern w:val="0"/>
        </w:rPr>
        <w:br w:type="page"/>
      </w:r>
      <w:bookmarkEnd w:id="215"/>
      <w:bookmarkStart w:id="228" w:name="_Toc6317"/>
      <w:bookmarkStart w:id="229" w:name="_Toc6171"/>
      <w:bookmarkStart w:id="230" w:name="_Toc324500177"/>
      <w:bookmarkStart w:id="231" w:name="_Toc520749024"/>
      <w:r>
        <w:rPr>
          <w:rFonts w:hint="eastAsia"/>
          <w:b/>
          <w:bCs/>
          <w:snapToGrid w:val="0"/>
          <w:kern w:val="0"/>
          <w:sz w:val="32"/>
          <w:szCs w:val="32"/>
        </w:rPr>
        <w:t>四、技术部分格式</w:t>
      </w:r>
      <w:bookmarkEnd w:id="228"/>
      <w:bookmarkEnd w:id="229"/>
      <w:bookmarkEnd w:id="230"/>
      <w:bookmarkEnd w:id="231"/>
    </w:p>
    <w:p w14:paraId="415019CE">
      <w:pPr>
        <w:wordWrap w:val="0"/>
        <w:spacing w:line="360" w:lineRule="auto"/>
        <w:ind w:firstLine="420" w:firstLineChars="200"/>
        <w:rPr>
          <w:rFonts w:ascii="宋体" w:hAnsi="宋体" w:cs="宋体"/>
          <w:snapToGrid w:val="0"/>
          <w:kern w:val="0"/>
          <w:szCs w:val="21"/>
        </w:rPr>
      </w:pPr>
    </w:p>
    <w:p w14:paraId="4210EBA1">
      <w:pPr>
        <w:pStyle w:val="5"/>
        <w:rPr>
          <w:snapToGrid w:val="0"/>
        </w:rPr>
      </w:pPr>
      <w:bookmarkStart w:id="232" w:name="_Toc147835875"/>
      <w:bookmarkStart w:id="233" w:name="_Toc27559823"/>
      <w:bookmarkStart w:id="234" w:name="_Toc143246008"/>
      <w:r>
        <w:rPr>
          <w:rFonts w:hint="eastAsia"/>
          <w:snapToGrid w:val="0"/>
        </w:rPr>
        <w:t>（一）技术方案</w:t>
      </w:r>
      <w:bookmarkEnd w:id="232"/>
    </w:p>
    <w:p w14:paraId="75C7E98A">
      <w:pPr>
        <w:spacing w:line="360" w:lineRule="auto"/>
        <w:ind w:firstLine="422"/>
        <w:rPr>
          <w:rFonts w:ascii="宋体" w:hAnsi="宋体"/>
          <w:szCs w:val="21"/>
        </w:rPr>
      </w:pPr>
      <w:bookmarkStart w:id="235" w:name="_Toc321497547"/>
      <w:bookmarkStart w:id="236" w:name="_Toc28337"/>
      <w:bookmarkStart w:id="237" w:name="_Toc28375"/>
      <w:bookmarkStart w:id="238" w:name="_Toc30773"/>
      <w:bookmarkStart w:id="239" w:name="_Toc311705901"/>
      <w:bookmarkStart w:id="240" w:name="_Toc7030"/>
      <w:r>
        <w:rPr>
          <w:rFonts w:hint="eastAsia" w:ascii="宋体" w:hAnsi="宋体"/>
          <w:szCs w:val="21"/>
        </w:rPr>
        <w:t>投标人按</w:t>
      </w:r>
      <w:r>
        <w:rPr>
          <w:rFonts w:ascii="宋体" w:hAnsi="宋体"/>
          <w:szCs w:val="21"/>
        </w:rPr>
        <w:t>招标文件及评标办法的要求</w:t>
      </w:r>
      <w:r>
        <w:rPr>
          <w:rFonts w:hint="eastAsia" w:ascii="宋体" w:hAnsi="宋体"/>
          <w:szCs w:val="21"/>
        </w:rPr>
        <w:t>自拟编写</w:t>
      </w:r>
      <w:r>
        <w:rPr>
          <w:rFonts w:ascii="宋体" w:hAnsi="宋体"/>
          <w:szCs w:val="21"/>
        </w:rPr>
        <w:t>，</w:t>
      </w:r>
      <w:r>
        <w:rPr>
          <w:rFonts w:hint="eastAsia" w:ascii="宋体" w:hAnsi="宋体"/>
          <w:szCs w:val="21"/>
        </w:rPr>
        <w:t>包括</w:t>
      </w:r>
      <w:r>
        <w:rPr>
          <w:rFonts w:ascii="宋体" w:hAnsi="宋体"/>
          <w:szCs w:val="21"/>
        </w:rPr>
        <w:t>但不限于以下内容：</w:t>
      </w:r>
    </w:p>
    <w:bookmarkEnd w:id="233"/>
    <w:bookmarkEnd w:id="234"/>
    <w:bookmarkEnd w:id="235"/>
    <w:bookmarkEnd w:id="236"/>
    <w:bookmarkEnd w:id="237"/>
    <w:bookmarkEnd w:id="238"/>
    <w:bookmarkEnd w:id="239"/>
    <w:bookmarkEnd w:id="240"/>
    <w:p w14:paraId="6DDF3233">
      <w:pPr>
        <w:pStyle w:val="145"/>
        <w:numPr>
          <w:ilvl w:val="0"/>
          <w:numId w:val="1"/>
        </w:numPr>
        <w:spacing w:line="360" w:lineRule="auto"/>
        <w:ind w:firstLineChars="0"/>
        <w:rPr>
          <w:rFonts w:ascii="宋体" w:hAnsi="宋体"/>
          <w:szCs w:val="21"/>
        </w:rPr>
      </w:pPr>
      <w:r>
        <w:rPr>
          <w:rFonts w:hint="eastAsia" w:ascii="宋体" w:hAnsi="宋体"/>
          <w:szCs w:val="21"/>
        </w:rPr>
        <w:t>备件服务能力</w:t>
      </w:r>
    </w:p>
    <w:p w14:paraId="00DF95D6">
      <w:pPr>
        <w:pStyle w:val="145"/>
        <w:numPr>
          <w:ilvl w:val="0"/>
          <w:numId w:val="1"/>
        </w:numPr>
        <w:spacing w:line="360" w:lineRule="auto"/>
        <w:ind w:firstLineChars="0"/>
        <w:rPr>
          <w:rFonts w:ascii="宋体" w:hAnsi="宋体"/>
          <w:szCs w:val="21"/>
        </w:rPr>
      </w:pPr>
      <w:r>
        <w:rPr>
          <w:rFonts w:hint="eastAsia" w:ascii="宋体" w:hAnsi="宋体"/>
          <w:szCs w:val="21"/>
        </w:rPr>
        <w:t>项目需求理解及现状分析</w:t>
      </w:r>
    </w:p>
    <w:p w14:paraId="7962C3B6">
      <w:pPr>
        <w:pStyle w:val="145"/>
        <w:numPr>
          <w:ilvl w:val="0"/>
          <w:numId w:val="1"/>
        </w:numPr>
        <w:spacing w:line="360" w:lineRule="auto"/>
        <w:ind w:firstLineChars="0"/>
        <w:rPr>
          <w:rFonts w:ascii="宋体" w:hAnsi="宋体"/>
          <w:szCs w:val="21"/>
        </w:rPr>
      </w:pPr>
      <w:r>
        <w:rPr>
          <w:rFonts w:hint="eastAsia" w:ascii="宋体" w:hAnsi="宋体"/>
          <w:szCs w:val="21"/>
        </w:rPr>
        <w:t>维护交接方案</w:t>
      </w:r>
    </w:p>
    <w:p w14:paraId="5821E6D1">
      <w:pPr>
        <w:pStyle w:val="145"/>
        <w:numPr>
          <w:ilvl w:val="0"/>
          <w:numId w:val="1"/>
        </w:numPr>
        <w:spacing w:line="360" w:lineRule="auto"/>
        <w:ind w:firstLineChars="0"/>
        <w:rPr>
          <w:rFonts w:ascii="宋体" w:hAnsi="宋体"/>
          <w:szCs w:val="21"/>
        </w:rPr>
      </w:pPr>
      <w:r>
        <w:rPr>
          <w:rFonts w:hint="eastAsia" w:ascii="宋体" w:hAnsi="宋体"/>
          <w:szCs w:val="21"/>
        </w:rPr>
        <w:t>维护服务方案</w:t>
      </w:r>
    </w:p>
    <w:p w14:paraId="4EEFB933">
      <w:pPr>
        <w:pStyle w:val="145"/>
        <w:numPr>
          <w:ilvl w:val="0"/>
          <w:numId w:val="1"/>
        </w:numPr>
        <w:spacing w:line="360" w:lineRule="auto"/>
        <w:ind w:firstLineChars="0"/>
        <w:rPr>
          <w:rFonts w:ascii="宋体" w:hAnsi="宋体"/>
          <w:szCs w:val="21"/>
        </w:rPr>
      </w:pPr>
      <w:r>
        <w:rPr>
          <w:rFonts w:hint="eastAsia" w:ascii="宋体" w:hAnsi="宋体"/>
          <w:szCs w:val="21"/>
        </w:rPr>
        <w:t>运维/驻场服务团队配备方案</w:t>
      </w:r>
    </w:p>
    <w:p w14:paraId="0944F9F7">
      <w:pPr>
        <w:pStyle w:val="145"/>
        <w:numPr>
          <w:ilvl w:val="0"/>
          <w:numId w:val="1"/>
        </w:numPr>
        <w:spacing w:line="360" w:lineRule="auto"/>
        <w:ind w:firstLineChars="0"/>
        <w:rPr>
          <w:rFonts w:ascii="宋体" w:hAnsi="宋体"/>
          <w:szCs w:val="21"/>
        </w:rPr>
      </w:pPr>
      <w:r>
        <w:rPr>
          <w:rFonts w:hint="eastAsia" w:ascii="宋体" w:hAnsi="宋体"/>
          <w:szCs w:val="21"/>
        </w:rPr>
        <w:t>服务承诺及违约责任</w:t>
      </w:r>
    </w:p>
    <w:p w14:paraId="0211D95D">
      <w:pPr>
        <w:pStyle w:val="145"/>
        <w:numPr>
          <w:ilvl w:val="0"/>
          <w:numId w:val="1"/>
        </w:numPr>
        <w:spacing w:line="360" w:lineRule="auto"/>
        <w:ind w:firstLineChars="0"/>
        <w:rPr>
          <w:rFonts w:ascii="宋体" w:hAnsi="宋体"/>
          <w:szCs w:val="21"/>
        </w:rPr>
      </w:pPr>
      <w:r>
        <w:rPr>
          <w:rFonts w:hint="eastAsia" w:ascii="宋体" w:hAnsi="宋体"/>
          <w:szCs w:val="21"/>
        </w:rPr>
        <w:t>……</w:t>
      </w:r>
    </w:p>
    <w:p w14:paraId="4EC73E07">
      <w:pPr>
        <w:spacing w:line="360" w:lineRule="auto"/>
        <w:ind w:firstLine="422"/>
        <w:rPr>
          <w:rFonts w:ascii="宋体" w:hAnsi="宋体"/>
          <w:szCs w:val="21"/>
        </w:rPr>
      </w:pPr>
    </w:p>
    <w:p w14:paraId="19BF6667">
      <w:pPr>
        <w:spacing w:line="360" w:lineRule="auto"/>
        <w:ind w:firstLine="422"/>
        <w:rPr>
          <w:rFonts w:ascii="宋体" w:hAnsi="宋体"/>
          <w:szCs w:val="21"/>
        </w:rPr>
      </w:pPr>
    </w:p>
    <w:p w14:paraId="79C039D8">
      <w:pPr>
        <w:spacing w:line="360" w:lineRule="auto"/>
        <w:ind w:firstLine="422"/>
        <w:rPr>
          <w:rFonts w:ascii="宋体" w:hAnsi="宋体"/>
          <w:szCs w:val="21"/>
        </w:rPr>
      </w:pPr>
    </w:p>
    <w:p w14:paraId="4562DB0F">
      <w:pPr>
        <w:pStyle w:val="3"/>
        <w:ind w:firstLine="640"/>
      </w:pPr>
    </w:p>
    <w:p w14:paraId="09027404">
      <w:pPr>
        <w:widowControl/>
        <w:ind w:firstLine="643"/>
        <w:jc w:val="left"/>
        <w:rPr>
          <w:rFonts w:ascii="Calibri" w:hAnsi="Calibri" w:eastAsia="黑体"/>
          <w:b/>
          <w:bCs/>
          <w:snapToGrid w:val="0"/>
          <w:kern w:val="0"/>
          <w:sz w:val="32"/>
          <w:szCs w:val="32"/>
        </w:rPr>
      </w:pPr>
      <w:bookmarkStart w:id="241" w:name="_Toc147835874"/>
      <w:r>
        <w:rPr>
          <w:rFonts w:ascii="Calibri" w:hAnsi="Calibri"/>
          <w:snapToGrid w:val="0"/>
          <w:sz w:val="32"/>
          <w:szCs w:val="32"/>
        </w:rPr>
        <w:br w:type="page"/>
      </w:r>
    </w:p>
    <w:bookmarkEnd w:id="241"/>
    <w:p w14:paraId="0B56A21F">
      <w:pPr>
        <w:pStyle w:val="5"/>
        <w:rPr>
          <w:snapToGrid w:val="0"/>
        </w:rPr>
      </w:pPr>
      <w:r>
        <w:rPr>
          <w:rFonts w:hint="eastAsia"/>
          <w:snapToGrid w:val="0"/>
        </w:rPr>
        <w:t>（二）拟投入本项目人员配备情况</w:t>
      </w:r>
    </w:p>
    <w:p w14:paraId="136B4D12">
      <w:pPr>
        <w:wordWrap w:val="0"/>
        <w:ind w:firstLine="560"/>
        <w:jc w:val="center"/>
        <w:rPr>
          <w:rFonts w:ascii="宋体" w:hAnsi="宋体"/>
          <w:b/>
          <w:bCs/>
          <w:snapToGrid w:val="0"/>
          <w:kern w:val="0"/>
          <w:sz w:val="28"/>
          <w:szCs w:val="28"/>
        </w:rPr>
      </w:pPr>
      <w:r>
        <w:rPr>
          <w:rFonts w:ascii="宋体" w:hAnsi="宋体"/>
          <w:b/>
          <w:bCs/>
          <w:snapToGrid w:val="0"/>
          <w:kern w:val="0"/>
          <w:sz w:val="28"/>
          <w:szCs w:val="28"/>
        </w:rPr>
        <w:t>3.1</w:t>
      </w:r>
      <w:r>
        <w:rPr>
          <w:rFonts w:hint="eastAsia" w:ascii="宋体" w:hAnsi="宋体"/>
          <w:b/>
          <w:bCs/>
          <w:snapToGrid w:val="0"/>
          <w:kern w:val="0"/>
          <w:sz w:val="28"/>
          <w:szCs w:val="28"/>
        </w:rPr>
        <w:t>项目经理简历表</w:t>
      </w:r>
    </w:p>
    <w:tbl>
      <w:tblPr>
        <w:tblStyle w:val="50"/>
        <w:tblW w:w="878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300"/>
        <w:gridCol w:w="1459"/>
        <w:gridCol w:w="816"/>
        <w:gridCol w:w="507"/>
        <w:gridCol w:w="930"/>
        <w:gridCol w:w="1249"/>
        <w:gridCol w:w="726"/>
        <w:gridCol w:w="1542"/>
      </w:tblGrid>
      <w:tr w14:paraId="1BA27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560" w:type="dxa"/>
            <w:gridSpan w:val="2"/>
            <w:tcBorders>
              <w:top w:val="single" w:color="auto" w:sz="4" w:space="0"/>
              <w:left w:val="single" w:color="auto" w:sz="4" w:space="0"/>
              <w:bottom w:val="single" w:color="auto" w:sz="4" w:space="0"/>
              <w:right w:val="single" w:color="auto" w:sz="4" w:space="0"/>
            </w:tcBorders>
            <w:vAlign w:val="center"/>
          </w:tcPr>
          <w:p w14:paraId="60731CBB">
            <w:r>
              <w:rPr>
                <w:rFonts w:hint="eastAsia"/>
              </w:rPr>
              <w:t>姓名</w:t>
            </w:r>
          </w:p>
        </w:tc>
        <w:tc>
          <w:tcPr>
            <w:tcW w:w="1459" w:type="dxa"/>
            <w:tcBorders>
              <w:top w:val="single" w:color="auto" w:sz="4" w:space="0"/>
              <w:left w:val="single" w:color="auto" w:sz="4" w:space="0"/>
              <w:bottom w:val="single" w:color="auto" w:sz="4" w:space="0"/>
              <w:right w:val="single" w:color="auto" w:sz="4" w:space="0"/>
            </w:tcBorders>
            <w:vAlign w:val="center"/>
          </w:tcPr>
          <w:p w14:paraId="7E6AAEC5"/>
        </w:tc>
        <w:tc>
          <w:tcPr>
            <w:tcW w:w="816" w:type="dxa"/>
            <w:tcBorders>
              <w:top w:val="single" w:color="auto" w:sz="4" w:space="0"/>
              <w:left w:val="single" w:color="auto" w:sz="4" w:space="0"/>
              <w:bottom w:val="single" w:color="auto" w:sz="4" w:space="0"/>
              <w:right w:val="single" w:color="auto" w:sz="4" w:space="0"/>
            </w:tcBorders>
            <w:vAlign w:val="center"/>
          </w:tcPr>
          <w:p w14:paraId="1F15B3C7">
            <w:r>
              <w:rPr>
                <w:rFonts w:hint="eastAsia"/>
              </w:rPr>
              <w:t>年龄</w:t>
            </w:r>
          </w:p>
        </w:tc>
        <w:tc>
          <w:tcPr>
            <w:tcW w:w="1437" w:type="dxa"/>
            <w:gridSpan w:val="2"/>
            <w:tcBorders>
              <w:top w:val="single" w:color="auto" w:sz="4" w:space="0"/>
              <w:left w:val="single" w:color="auto" w:sz="4" w:space="0"/>
              <w:bottom w:val="single" w:color="auto" w:sz="4" w:space="0"/>
              <w:right w:val="single" w:color="auto" w:sz="4" w:space="0"/>
            </w:tcBorders>
            <w:vAlign w:val="center"/>
          </w:tcPr>
          <w:p w14:paraId="05647E2F"/>
        </w:tc>
        <w:tc>
          <w:tcPr>
            <w:tcW w:w="1975" w:type="dxa"/>
            <w:gridSpan w:val="2"/>
            <w:tcBorders>
              <w:top w:val="single" w:color="auto" w:sz="4" w:space="0"/>
              <w:left w:val="single" w:color="auto" w:sz="4" w:space="0"/>
              <w:bottom w:val="single" w:color="auto" w:sz="4" w:space="0"/>
              <w:right w:val="single" w:color="auto" w:sz="4" w:space="0"/>
            </w:tcBorders>
            <w:vAlign w:val="center"/>
          </w:tcPr>
          <w:p w14:paraId="3F4C4431">
            <w:r>
              <w:rPr>
                <w:rFonts w:hint="eastAsia"/>
              </w:rPr>
              <w:t>学历</w:t>
            </w:r>
          </w:p>
        </w:tc>
        <w:tc>
          <w:tcPr>
            <w:tcW w:w="1542" w:type="dxa"/>
            <w:tcBorders>
              <w:top w:val="single" w:color="auto" w:sz="4" w:space="0"/>
              <w:left w:val="single" w:color="auto" w:sz="4" w:space="0"/>
              <w:bottom w:val="single" w:color="auto" w:sz="4" w:space="0"/>
              <w:right w:val="single" w:color="auto" w:sz="4" w:space="0"/>
            </w:tcBorders>
            <w:vAlign w:val="center"/>
          </w:tcPr>
          <w:p w14:paraId="67311E04"/>
        </w:tc>
      </w:tr>
      <w:tr w14:paraId="46BC4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560" w:type="dxa"/>
            <w:gridSpan w:val="2"/>
            <w:tcBorders>
              <w:top w:val="single" w:color="auto" w:sz="4" w:space="0"/>
              <w:left w:val="single" w:color="auto" w:sz="4" w:space="0"/>
              <w:bottom w:val="single" w:color="auto" w:sz="4" w:space="0"/>
              <w:right w:val="single" w:color="auto" w:sz="4" w:space="0"/>
            </w:tcBorders>
            <w:vAlign w:val="center"/>
          </w:tcPr>
          <w:p w14:paraId="407F91A2">
            <w:r>
              <w:rPr>
                <w:rFonts w:hint="eastAsia"/>
              </w:rPr>
              <w:t>职称</w:t>
            </w:r>
          </w:p>
        </w:tc>
        <w:tc>
          <w:tcPr>
            <w:tcW w:w="1459" w:type="dxa"/>
            <w:tcBorders>
              <w:top w:val="single" w:color="auto" w:sz="4" w:space="0"/>
              <w:left w:val="single" w:color="auto" w:sz="4" w:space="0"/>
              <w:bottom w:val="single" w:color="auto" w:sz="4" w:space="0"/>
              <w:right w:val="single" w:color="auto" w:sz="4" w:space="0"/>
            </w:tcBorders>
            <w:vAlign w:val="center"/>
          </w:tcPr>
          <w:p w14:paraId="42964755"/>
        </w:tc>
        <w:tc>
          <w:tcPr>
            <w:tcW w:w="816" w:type="dxa"/>
            <w:tcBorders>
              <w:top w:val="single" w:color="auto" w:sz="4" w:space="0"/>
              <w:left w:val="single" w:color="auto" w:sz="4" w:space="0"/>
              <w:bottom w:val="single" w:color="auto" w:sz="4" w:space="0"/>
              <w:right w:val="single" w:color="auto" w:sz="4" w:space="0"/>
            </w:tcBorders>
            <w:vAlign w:val="center"/>
          </w:tcPr>
          <w:p w14:paraId="6D1D8D75">
            <w:r>
              <w:rPr>
                <w:rFonts w:hint="eastAsia"/>
              </w:rPr>
              <w:t>职务</w:t>
            </w:r>
          </w:p>
        </w:tc>
        <w:tc>
          <w:tcPr>
            <w:tcW w:w="1437" w:type="dxa"/>
            <w:gridSpan w:val="2"/>
            <w:tcBorders>
              <w:top w:val="single" w:color="auto" w:sz="4" w:space="0"/>
              <w:left w:val="single" w:color="auto" w:sz="4" w:space="0"/>
              <w:bottom w:val="single" w:color="auto" w:sz="4" w:space="0"/>
              <w:right w:val="single" w:color="auto" w:sz="4" w:space="0"/>
            </w:tcBorders>
            <w:vAlign w:val="center"/>
          </w:tcPr>
          <w:p w14:paraId="1663C73B"/>
        </w:tc>
        <w:tc>
          <w:tcPr>
            <w:tcW w:w="1975" w:type="dxa"/>
            <w:gridSpan w:val="2"/>
            <w:tcBorders>
              <w:top w:val="single" w:color="auto" w:sz="4" w:space="0"/>
              <w:left w:val="single" w:color="auto" w:sz="4" w:space="0"/>
              <w:bottom w:val="single" w:color="auto" w:sz="4" w:space="0"/>
              <w:right w:val="single" w:color="auto" w:sz="4" w:space="0"/>
            </w:tcBorders>
            <w:vAlign w:val="center"/>
          </w:tcPr>
          <w:p w14:paraId="7B1CE377">
            <w:r>
              <w:rPr>
                <w:rFonts w:hint="eastAsia"/>
              </w:rPr>
              <w:t>拟在本项目任职</w:t>
            </w:r>
          </w:p>
        </w:tc>
        <w:tc>
          <w:tcPr>
            <w:tcW w:w="1542" w:type="dxa"/>
            <w:tcBorders>
              <w:top w:val="single" w:color="auto" w:sz="4" w:space="0"/>
              <w:left w:val="single" w:color="auto" w:sz="4" w:space="0"/>
              <w:bottom w:val="single" w:color="auto" w:sz="4" w:space="0"/>
              <w:right w:val="single" w:color="auto" w:sz="4" w:space="0"/>
            </w:tcBorders>
            <w:vAlign w:val="center"/>
          </w:tcPr>
          <w:p w14:paraId="65A75E23"/>
        </w:tc>
      </w:tr>
      <w:tr w14:paraId="3E6E5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560" w:type="dxa"/>
            <w:gridSpan w:val="2"/>
            <w:tcBorders>
              <w:top w:val="single" w:color="auto" w:sz="4" w:space="0"/>
              <w:left w:val="single" w:color="auto" w:sz="4" w:space="0"/>
              <w:bottom w:val="single" w:color="auto" w:sz="4" w:space="0"/>
              <w:right w:val="single" w:color="auto" w:sz="4" w:space="0"/>
            </w:tcBorders>
            <w:vAlign w:val="center"/>
          </w:tcPr>
          <w:p w14:paraId="2ECE23EB">
            <w:r>
              <w:rPr>
                <w:rFonts w:hint="eastAsia"/>
              </w:rPr>
              <w:t>参加工作时间</w:t>
            </w:r>
          </w:p>
        </w:tc>
        <w:tc>
          <w:tcPr>
            <w:tcW w:w="7229" w:type="dxa"/>
            <w:gridSpan w:val="7"/>
            <w:tcBorders>
              <w:top w:val="single" w:color="auto" w:sz="4" w:space="0"/>
              <w:left w:val="single" w:color="auto" w:sz="4" w:space="0"/>
              <w:bottom w:val="single" w:color="auto" w:sz="4" w:space="0"/>
              <w:right w:val="single" w:color="auto" w:sz="4" w:space="0"/>
            </w:tcBorders>
            <w:vAlign w:val="center"/>
          </w:tcPr>
          <w:p w14:paraId="194281B8"/>
        </w:tc>
      </w:tr>
      <w:tr w14:paraId="26159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8789" w:type="dxa"/>
            <w:gridSpan w:val="9"/>
            <w:tcBorders>
              <w:top w:val="single" w:color="auto" w:sz="4" w:space="0"/>
              <w:left w:val="single" w:color="auto" w:sz="4" w:space="0"/>
              <w:bottom w:val="single" w:color="auto" w:sz="4" w:space="0"/>
              <w:right w:val="single" w:color="auto" w:sz="4" w:space="0"/>
            </w:tcBorders>
            <w:vAlign w:val="center"/>
          </w:tcPr>
          <w:p w14:paraId="23F3D964">
            <w:r>
              <w:rPr>
                <w:rFonts w:hint="eastAsia"/>
              </w:rPr>
              <w:t>主要工作经历</w:t>
            </w:r>
          </w:p>
        </w:tc>
      </w:tr>
      <w:tr w14:paraId="00D97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1260" w:type="dxa"/>
            <w:tcBorders>
              <w:top w:val="single" w:color="auto" w:sz="4" w:space="0"/>
              <w:left w:val="single" w:color="auto" w:sz="4" w:space="0"/>
              <w:bottom w:val="single" w:color="auto" w:sz="4" w:space="0"/>
              <w:right w:val="single" w:color="auto" w:sz="4" w:space="0"/>
            </w:tcBorders>
            <w:vAlign w:val="center"/>
          </w:tcPr>
          <w:p w14:paraId="6CC6B17C">
            <w:pPr>
              <w:jc w:val="center"/>
            </w:pPr>
            <w:r>
              <w:rPr>
                <w:rFonts w:hint="eastAsia"/>
              </w:rPr>
              <w:t>时间</w:t>
            </w:r>
          </w:p>
        </w:tc>
        <w:tc>
          <w:tcPr>
            <w:tcW w:w="3082" w:type="dxa"/>
            <w:gridSpan w:val="4"/>
            <w:tcBorders>
              <w:top w:val="single" w:color="auto" w:sz="4" w:space="0"/>
              <w:left w:val="single" w:color="auto" w:sz="4" w:space="0"/>
              <w:bottom w:val="single" w:color="auto" w:sz="4" w:space="0"/>
              <w:right w:val="single" w:color="auto" w:sz="4" w:space="0"/>
            </w:tcBorders>
            <w:vAlign w:val="center"/>
          </w:tcPr>
          <w:p w14:paraId="49B7055C">
            <w:pPr>
              <w:jc w:val="center"/>
            </w:pPr>
            <w:r>
              <w:rPr>
                <w:rFonts w:hint="eastAsia"/>
              </w:rPr>
              <w:t>参加过的类似项目</w:t>
            </w:r>
          </w:p>
        </w:tc>
        <w:tc>
          <w:tcPr>
            <w:tcW w:w="2179" w:type="dxa"/>
            <w:gridSpan w:val="2"/>
            <w:tcBorders>
              <w:top w:val="single" w:color="auto" w:sz="4" w:space="0"/>
              <w:left w:val="single" w:color="auto" w:sz="4" w:space="0"/>
              <w:bottom w:val="single" w:color="auto" w:sz="4" w:space="0"/>
              <w:right w:val="single" w:color="auto" w:sz="4" w:space="0"/>
            </w:tcBorders>
            <w:vAlign w:val="center"/>
          </w:tcPr>
          <w:p w14:paraId="363ABA79">
            <w:pPr>
              <w:jc w:val="center"/>
            </w:pPr>
            <w:r>
              <w:rPr>
                <w:rFonts w:hint="eastAsia"/>
              </w:rPr>
              <w:t>担任职务</w:t>
            </w:r>
          </w:p>
        </w:tc>
        <w:tc>
          <w:tcPr>
            <w:tcW w:w="2268" w:type="dxa"/>
            <w:gridSpan w:val="2"/>
            <w:tcBorders>
              <w:top w:val="single" w:color="auto" w:sz="4" w:space="0"/>
              <w:left w:val="single" w:color="auto" w:sz="4" w:space="0"/>
              <w:bottom w:val="single" w:color="auto" w:sz="4" w:space="0"/>
              <w:right w:val="single" w:color="auto" w:sz="4" w:space="0"/>
            </w:tcBorders>
            <w:vAlign w:val="center"/>
          </w:tcPr>
          <w:p w14:paraId="322D5FC5">
            <w:pPr>
              <w:jc w:val="center"/>
            </w:pPr>
            <w:r>
              <w:rPr>
                <w:rFonts w:hint="eastAsia"/>
              </w:rPr>
              <w:t>发包人</w:t>
            </w:r>
          </w:p>
        </w:tc>
      </w:tr>
      <w:tr w14:paraId="1B1B4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260" w:type="dxa"/>
            <w:tcBorders>
              <w:top w:val="single" w:color="auto" w:sz="4" w:space="0"/>
              <w:left w:val="single" w:color="auto" w:sz="4" w:space="0"/>
              <w:bottom w:val="single" w:color="auto" w:sz="4" w:space="0"/>
              <w:right w:val="single" w:color="auto" w:sz="4" w:space="0"/>
            </w:tcBorders>
          </w:tcPr>
          <w:p w14:paraId="2EAA394D"/>
        </w:tc>
        <w:tc>
          <w:tcPr>
            <w:tcW w:w="3082" w:type="dxa"/>
            <w:gridSpan w:val="4"/>
            <w:tcBorders>
              <w:top w:val="single" w:color="auto" w:sz="4" w:space="0"/>
              <w:left w:val="single" w:color="auto" w:sz="4" w:space="0"/>
              <w:bottom w:val="single" w:color="auto" w:sz="4" w:space="0"/>
              <w:right w:val="single" w:color="auto" w:sz="4" w:space="0"/>
            </w:tcBorders>
          </w:tcPr>
          <w:p w14:paraId="6A03DDED"/>
        </w:tc>
        <w:tc>
          <w:tcPr>
            <w:tcW w:w="2179" w:type="dxa"/>
            <w:gridSpan w:val="2"/>
            <w:tcBorders>
              <w:top w:val="single" w:color="auto" w:sz="4" w:space="0"/>
              <w:left w:val="single" w:color="auto" w:sz="4" w:space="0"/>
              <w:bottom w:val="single" w:color="auto" w:sz="4" w:space="0"/>
              <w:right w:val="single" w:color="auto" w:sz="4" w:space="0"/>
            </w:tcBorders>
          </w:tcPr>
          <w:p w14:paraId="023C4442"/>
        </w:tc>
        <w:tc>
          <w:tcPr>
            <w:tcW w:w="2268" w:type="dxa"/>
            <w:gridSpan w:val="2"/>
            <w:tcBorders>
              <w:top w:val="single" w:color="auto" w:sz="4" w:space="0"/>
              <w:left w:val="single" w:color="auto" w:sz="4" w:space="0"/>
              <w:bottom w:val="single" w:color="auto" w:sz="4" w:space="0"/>
              <w:right w:val="single" w:color="auto" w:sz="4" w:space="0"/>
            </w:tcBorders>
          </w:tcPr>
          <w:p w14:paraId="17264218"/>
        </w:tc>
      </w:tr>
      <w:tr w14:paraId="6B57E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1260" w:type="dxa"/>
            <w:tcBorders>
              <w:top w:val="single" w:color="auto" w:sz="4" w:space="0"/>
              <w:left w:val="single" w:color="auto" w:sz="4" w:space="0"/>
              <w:bottom w:val="single" w:color="auto" w:sz="4" w:space="0"/>
              <w:right w:val="single" w:color="auto" w:sz="4" w:space="0"/>
            </w:tcBorders>
          </w:tcPr>
          <w:p w14:paraId="6BD14EEA"/>
        </w:tc>
        <w:tc>
          <w:tcPr>
            <w:tcW w:w="3082" w:type="dxa"/>
            <w:gridSpan w:val="4"/>
            <w:tcBorders>
              <w:top w:val="single" w:color="auto" w:sz="4" w:space="0"/>
              <w:left w:val="single" w:color="auto" w:sz="4" w:space="0"/>
              <w:bottom w:val="single" w:color="auto" w:sz="4" w:space="0"/>
              <w:right w:val="single" w:color="auto" w:sz="4" w:space="0"/>
            </w:tcBorders>
          </w:tcPr>
          <w:p w14:paraId="4D0A41DF"/>
        </w:tc>
        <w:tc>
          <w:tcPr>
            <w:tcW w:w="2179" w:type="dxa"/>
            <w:gridSpan w:val="2"/>
            <w:tcBorders>
              <w:top w:val="single" w:color="auto" w:sz="4" w:space="0"/>
              <w:left w:val="single" w:color="auto" w:sz="4" w:space="0"/>
              <w:bottom w:val="single" w:color="auto" w:sz="4" w:space="0"/>
              <w:right w:val="single" w:color="auto" w:sz="4" w:space="0"/>
            </w:tcBorders>
          </w:tcPr>
          <w:p w14:paraId="11E30219"/>
        </w:tc>
        <w:tc>
          <w:tcPr>
            <w:tcW w:w="2268" w:type="dxa"/>
            <w:gridSpan w:val="2"/>
            <w:tcBorders>
              <w:top w:val="single" w:color="auto" w:sz="4" w:space="0"/>
              <w:left w:val="single" w:color="auto" w:sz="4" w:space="0"/>
              <w:bottom w:val="single" w:color="auto" w:sz="4" w:space="0"/>
              <w:right w:val="single" w:color="auto" w:sz="4" w:space="0"/>
            </w:tcBorders>
          </w:tcPr>
          <w:p w14:paraId="46F1B9B9"/>
        </w:tc>
      </w:tr>
      <w:tr w14:paraId="7EEF2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260" w:type="dxa"/>
            <w:tcBorders>
              <w:top w:val="single" w:color="auto" w:sz="4" w:space="0"/>
              <w:left w:val="single" w:color="auto" w:sz="4" w:space="0"/>
              <w:bottom w:val="single" w:color="auto" w:sz="4" w:space="0"/>
              <w:right w:val="single" w:color="auto" w:sz="4" w:space="0"/>
            </w:tcBorders>
          </w:tcPr>
          <w:p w14:paraId="7A158277"/>
        </w:tc>
        <w:tc>
          <w:tcPr>
            <w:tcW w:w="3082" w:type="dxa"/>
            <w:gridSpan w:val="4"/>
            <w:tcBorders>
              <w:top w:val="single" w:color="auto" w:sz="4" w:space="0"/>
              <w:left w:val="single" w:color="auto" w:sz="4" w:space="0"/>
              <w:bottom w:val="single" w:color="auto" w:sz="4" w:space="0"/>
              <w:right w:val="single" w:color="auto" w:sz="4" w:space="0"/>
            </w:tcBorders>
          </w:tcPr>
          <w:p w14:paraId="626927E6"/>
        </w:tc>
        <w:tc>
          <w:tcPr>
            <w:tcW w:w="2179" w:type="dxa"/>
            <w:gridSpan w:val="2"/>
            <w:tcBorders>
              <w:top w:val="single" w:color="auto" w:sz="4" w:space="0"/>
              <w:left w:val="single" w:color="auto" w:sz="4" w:space="0"/>
              <w:bottom w:val="single" w:color="auto" w:sz="4" w:space="0"/>
              <w:right w:val="single" w:color="auto" w:sz="4" w:space="0"/>
            </w:tcBorders>
          </w:tcPr>
          <w:p w14:paraId="3A373C5C"/>
        </w:tc>
        <w:tc>
          <w:tcPr>
            <w:tcW w:w="2268" w:type="dxa"/>
            <w:gridSpan w:val="2"/>
            <w:tcBorders>
              <w:top w:val="single" w:color="auto" w:sz="4" w:space="0"/>
              <w:left w:val="single" w:color="auto" w:sz="4" w:space="0"/>
              <w:bottom w:val="single" w:color="auto" w:sz="4" w:space="0"/>
              <w:right w:val="single" w:color="auto" w:sz="4" w:space="0"/>
            </w:tcBorders>
          </w:tcPr>
          <w:p w14:paraId="3B1E9EA7"/>
        </w:tc>
      </w:tr>
      <w:tr w14:paraId="4AFDF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260" w:type="dxa"/>
            <w:tcBorders>
              <w:top w:val="single" w:color="auto" w:sz="4" w:space="0"/>
              <w:left w:val="single" w:color="auto" w:sz="4" w:space="0"/>
              <w:bottom w:val="single" w:color="auto" w:sz="4" w:space="0"/>
              <w:right w:val="single" w:color="auto" w:sz="4" w:space="0"/>
            </w:tcBorders>
          </w:tcPr>
          <w:p w14:paraId="55D3F40F"/>
        </w:tc>
        <w:tc>
          <w:tcPr>
            <w:tcW w:w="3082" w:type="dxa"/>
            <w:gridSpan w:val="4"/>
            <w:tcBorders>
              <w:top w:val="single" w:color="auto" w:sz="4" w:space="0"/>
              <w:left w:val="single" w:color="auto" w:sz="4" w:space="0"/>
              <w:bottom w:val="single" w:color="auto" w:sz="4" w:space="0"/>
              <w:right w:val="single" w:color="auto" w:sz="4" w:space="0"/>
            </w:tcBorders>
          </w:tcPr>
          <w:p w14:paraId="312AFEF2"/>
        </w:tc>
        <w:tc>
          <w:tcPr>
            <w:tcW w:w="2179" w:type="dxa"/>
            <w:gridSpan w:val="2"/>
            <w:tcBorders>
              <w:top w:val="single" w:color="auto" w:sz="4" w:space="0"/>
              <w:left w:val="single" w:color="auto" w:sz="4" w:space="0"/>
              <w:bottom w:val="single" w:color="auto" w:sz="4" w:space="0"/>
              <w:right w:val="single" w:color="auto" w:sz="4" w:space="0"/>
            </w:tcBorders>
          </w:tcPr>
          <w:p w14:paraId="1186ECEE"/>
        </w:tc>
        <w:tc>
          <w:tcPr>
            <w:tcW w:w="2268" w:type="dxa"/>
            <w:gridSpan w:val="2"/>
            <w:tcBorders>
              <w:top w:val="single" w:color="auto" w:sz="4" w:space="0"/>
              <w:left w:val="single" w:color="auto" w:sz="4" w:space="0"/>
              <w:bottom w:val="single" w:color="auto" w:sz="4" w:space="0"/>
              <w:right w:val="single" w:color="auto" w:sz="4" w:space="0"/>
            </w:tcBorders>
          </w:tcPr>
          <w:p w14:paraId="40157B11"/>
        </w:tc>
      </w:tr>
      <w:tr w14:paraId="4E33B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260" w:type="dxa"/>
            <w:tcBorders>
              <w:top w:val="single" w:color="auto" w:sz="4" w:space="0"/>
              <w:left w:val="single" w:color="auto" w:sz="4" w:space="0"/>
              <w:bottom w:val="single" w:color="auto" w:sz="4" w:space="0"/>
              <w:right w:val="single" w:color="auto" w:sz="4" w:space="0"/>
            </w:tcBorders>
          </w:tcPr>
          <w:p w14:paraId="025FB464"/>
        </w:tc>
        <w:tc>
          <w:tcPr>
            <w:tcW w:w="3082" w:type="dxa"/>
            <w:gridSpan w:val="4"/>
            <w:tcBorders>
              <w:top w:val="single" w:color="auto" w:sz="4" w:space="0"/>
              <w:left w:val="single" w:color="auto" w:sz="4" w:space="0"/>
              <w:bottom w:val="single" w:color="auto" w:sz="4" w:space="0"/>
              <w:right w:val="single" w:color="auto" w:sz="4" w:space="0"/>
            </w:tcBorders>
          </w:tcPr>
          <w:p w14:paraId="38BBBB9E"/>
        </w:tc>
        <w:tc>
          <w:tcPr>
            <w:tcW w:w="2179" w:type="dxa"/>
            <w:gridSpan w:val="2"/>
            <w:tcBorders>
              <w:top w:val="single" w:color="auto" w:sz="4" w:space="0"/>
              <w:left w:val="single" w:color="auto" w:sz="4" w:space="0"/>
              <w:bottom w:val="single" w:color="auto" w:sz="4" w:space="0"/>
              <w:right w:val="single" w:color="auto" w:sz="4" w:space="0"/>
            </w:tcBorders>
          </w:tcPr>
          <w:p w14:paraId="7BBD043D"/>
        </w:tc>
        <w:tc>
          <w:tcPr>
            <w:tcW w:w="2268" w:type="dxa"/>
            <w:gridSpan w:val="2"/>
            <w:tcBorders>
              <w:top w:val="single" w:color="auto" w:sz="4" w:space="0"/>
              <w:left w:val="single" w:color="auto" w:sz="4" w:space="0"/>
              <w:bottom w:val="single" w:color="auto" w:sz="4" w:space="0"/>
              <w:right w:val="single" w:color="auto" w:sz="4" w:space="0"/>
            </w:tcBorders>
          </w:tcPr>
          <w:p w14:paraId="4301BDFB"/>
        </w:tc>
      </w:tr>
      <w:tr w14:paraId="06496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260" w:type="dxa"/>
            <w:tcBorders>
              <w:top w:val="single" w:color="auto" w:sz="4" w:space="0"/>
              <w:left w:val="single" w:color="auto" w:sz="4" w:space="0"/>
              <w:bottom w:val="single" w:color="auto" w:sz="4" w:space="0"/>
              <w:right w:val="single" w:color="auto" w:sz="4" w:space="0"/>
            </w:tcBorders>
          </w:tcPr>
          <w:p w14:paraId="0173E08E"/>
        </w:tc>
        <w:tc>
          <w:tcPr>
            <w:tcW w:w="3082" w:type="dxa"/>
            <w:gridSpan w:val="4"/>
            <w:tcBorders>
              <w:top w:val="single" w:color="auto" w:sz="4" w:space="0"/>
              <w:left w:val="single" w:color="auto" w:sz="4" w:space="0"/>
              <w:bottom w:val="single" w:color="auto" w:sz="4" w:space="0"/>
              <w:right w:val="single" w:color="auto" w:sz="4" w:space="0"/>
            </w:tcBorders>
          </w:tcPr>
          <w:p w14:paraId="26CB4BFC"/>
        </w:tc>
        <w:tc>
          <w:tcPr>
            <w:tcW w:w="2179" w:type="dxa"/>
            <w:gridSpan w:val="2"/>
            <w:tcBorders>
              <w:top w:val="single" w:color="auto" w:sz="4" w:space="0"/>
              <w:left w:val="single" w:color="auto" w:sz="4" w:space="0"/>
              <w:bottom w:val="single" w:color="auto" w:sz="4" w:space="0"/>
              <w:right w:val="single" w:color="auto" w:sz="4" w:space="0"/>
            </w:tcBorders>
          </w:tcPr>
          <w:p w14:paraId="155240BD"/>
        </w:tc>
        <w:tc>
          <w:tcPr>
            <w:tcW w:w="2268" w:type="dxa"/>
            <w:gridSpan w:val="2"/>
            <w:tcBorders>
              <w:top w:val="single" w:color="auto" w:sz="4" w:space="0"/>
              <w:left w:val="single" w:color="auto" w:sz="4" w:space="0"/>
              <w:bottom w:val="single" w:color="auto" w:sz="4" w:space="0"/>
              <w:right w:val="single" w:color="auto" w:sz="4" w:space="0"/>
            </w:tcBorders>
          </w:tcPr>
          <w:p w14:paraId="657B9A1A"/>
        </w:tc>
      </w:tr>
      <w:tr w14:paraId="5C8EF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1260" w:type="dxa"/>
            <w:tcBorders>
              <w:top w:val="single" w:color="auto" w:sz="4" w:space="0"/>
              <w:left w:val="single" w:color="auto" w:sz="4" w:space="0"/>
              <w:bottom w:val="single" w:color="auto" w:sz="4" w:space="0"/>
              <w:right w:val="single" w:color="auto" w:sz="4" w:space="0"/>
            </w:tcBorders>
          </w:tcPr>
          <w:p w14:paraId="19E5FC7B"/>
        </w:tc>
        <w:tc>
          <w:tcPr>
            <w:tcW w:w="3082" w:type="dxa"/>
            <w:gridSpan w:val="4"/>
            <w:tcBorders>
              <w:top w:val="single" w:color="auto" w:sz="4" w:space="0"/>
              <w:left w:val="single" w:color="auto" w:sz="4" w:space="0"/>
              <w:bottom w:val="single" w:color="auto" w:sz="4" w:space="0"/>
              <w:right w:val="single" w:color="auto" w:sz="4" w:space="0"/>
            </w:tcBorders>
          </w:tcPr>
          <w:p w14:paraId="6ACFF0B1"/>
        </w:tc>
        <w:tc>
          <w:tcPr>
            <w:tcW w:w="2179" w:type="dxa"/>
            <w:gridSpan w:val="2"/>
            <w:tcBorders>
              <w:top w:val="single" w:color="auto" w:sz="4" w:space="0"/>
              <w:left w:val="single" w:color="auto" w:sz="4" w:space="0"/>
              <w:bottom w:val="single" w:color="auto" w:sz="4" w:space="0"/>
              <w:right w:val="single" w:color="auto" w:sz="4" w:space="0"/>
            </w:tcBorders>
          </w:tcPr>
          <w:p w14:paraId="464AF970"/>
        </w:tc>
        <w:tc>
          <w:tcPr>
            <w:tcW w:w="2268" w:type="dxa"/>
            <w:gridSpan w:val="2"/>
            <w:tcBorders>
              <w:top w:val="single" w:color="auto" w:sz="4" w:space="0"/>
              <w:left w:val="single" w:color="auto" w:sz="4" w:space="0"/>
              <w:bottom w:val="single" w:color="auto" w:sz="4" w:space="0"/>
              <w:right w:val="single" w:color="auto" w:sz="4" w:space="0"/>
            </w:tcBorders>
          </w:tcPr>
          <w:p w14:paraId="28A72F03"/>
        </w:tc>
      </w:tr>
    </w:tbl>
    <w:p w14:paraId="178115BF"/>
    <w:p w14:paraId="2210963F">
      <w:r>
        <w:rPr>
          <w:rFonts w:hint="eastAsia"/>
        </w:rPr>
        <w:t>注：表后附项目经理的身份证、学历或学位证明、专业技术职业/执业资格证明（如有）、2024年1月至投标截止日期间任意连续六个月的社保证明（缴费单位应为投标单位，代缴社保须提供相关代缴证明材料，不限缴费地区）的扫描件</w:t>
      </w:r>
      <w:r>
        <w:t>。</w:t>
      </w:r>
    </w:p>
    <w:p w14:paraId="53161935"/>
    <w:p w14:paraId="3E583F07"/>
    <w:p w14:paraId="3C5963CB"/>
    <w:p w14:paraId="4F004089">
      <w:pPr>
        <w:spacing w:line="360" w:lineRule="auto"/>
        <w:ind w:firstLine="422"/>
        <w:rPr>
          <w:rFonts w:ascii="宋体" w:hAnsi="宋体"/>
          <w:szCs w:val="21"/>
          <w:u w:val="single"/>
        </w:rPr>
      </w:pPr>
      <w:r>
        <w:rPr>
          <w:rFonts w:hint="eastAsia" w:ascii="宋体" w:hAnsi="宋体"/>
          <w:szCs w:val="21"/>
        </w:rPr>
        <w:t>投标人：</w:t>
      </w:r>
      <w:r>
        <w:rPr>
          <w:rFonts w:hint="eastAsia" w:ascii="宋体" w:hAnsi="宋体"/>
          <w:szCs w:val="21"/>
          <w:u w:val="single"/>
        </w:rPr>
        <w:tab/>
      </w:r>
      <w:r>
        <w:rPr>
          <w:rFonts w:hint="eastAsia" w:ascii="宋体" w:hAnsi="宋体"/>
          <w:szCs w:val="21"/>
          <w:u w:val="single"/>
        </w:rPr>
        <w:t xml:space="preserve">               </w:t>
      </w:r>
      <w:r>
        <w:rPr>
          <w:rFonts w:hint="eastAsia" w:ascii="宋体" w:hAnsi="宋体"/>
          <w:szCs w:val="21"/>
        </w:rPr>
        <w:t>（电子公章）</w:t>
      </w:r>
    </w:p>
    <w:p w14:paraId="080ADEFD">
      <w:pPr>
        <w:spacing w:line="360" w:lineRule="auto"/>
        <w:ind w:firstLine="422"/>
        <w:rPr>
          <w:rFonts w:ascii="宋体" w:hAnsi="宋体"/>
          <w:szCs w:val="21"/>
          <w:u w:val="single"/>
        </w:rPr>
      </w:pPr>
      <w:r>
        <w:rPr>
          <w:rFonts w:hint="eastAsia" w:ascii="宋体" w:hAnsi="宋体"/>
          <w:szCs w:val="21"/>
        </w:rPr>
        <w:t>法定代表人或其委托代理人：</w:t>
      </w:r>
      <w:r>
        <w:rPr>
          <w:rFonts w:hint="eastAsia" w:ascii="宋体" w:hAnsi="宋体"/>
          <w:szCs w:val="21"/>
          <w:u w:val="single"/>
        </w:rPr>
        <w:t xml:space="preserve">         </w:t>
      </w:r>
      <w:r>
        <w:rPr>
          <w:rFonts w:hint="eastAsia" w:ascii="宋体" w:hAnsi="宋体"/>
          <w:szCs w:val="21"/>
        </w:rPr>
        <w:t>（电子签名/章）</w:t>
      </w:r>
    </w:p>
    <w:p w14:paraId="4FE1842B">
      <w:pPr>
        <w:spacing w:line="360" w:lineRule="auto"/>
        <w:ind w:firstLine="422"/>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1676B7E6"/>
    <w:p w14:paraId="04EEF913"/>
    <w:p w14:paraId="1B60322A"/>
    <w:p w14:paraId="21BB8AA9"/>
    <w:p w14:paraId="44A5B961"/>
    <w:p w14:paraId="338D49BF">
      <w:pPr>
        <w:rPr>
          <w:rFonts w:ascii="宋体" w:hAnsi="宋体"/>
          <w:b/>
          <w:bCs/>
          <w:snapToGrid w:val="0"/>
          <w:kern w:val="0"/>
          <w:sz w:val="28"/>
          <w:szCs w:val="28"/>
        </w:rPr>
      </w:pPr>
      <w:r>
        <w:rPr>
          <w:rFonts w:hint="eastAsia" w:ascii="宋体" w:hAnsi="宋体"/>
          <w:b/>
          <w:bCs/>
          <w:snapToGrid w:val="0"/>
          <w:kern w:val="0"/>
          <w:sz w:val="28"/>
          <w:szCs w:val="28"/>
        </w:rPr>
        <w:br w:type="page"/>
      </w:r>
    </w:p>
    <w:p w14:paraId="023D9CF4">
      <w:pPr>
        <w:wordWrap w:val="0"/>
        <w:ind w:firstLine="560"/>
        <w:jc w:val="center"/>
        <w:rPr>
          <w:rFonts w:ascii="宋体" w:hAnsi="宋体"/>
          <w:b/>
          <w:bCs/>
          <w:snapToGrid w:val="0"/>
          <w:kern w:val="0"/>
          <w:sz w:val="28"/>
          <w:szCs w:val="28"/>
        </w:rPr>
      </w:pPr>
      <w:r>
        <w:rPr>
          <w:rFonts w:hint="eastAsia" w:ascii="宋体" w:hAnsi="宋体"/>
          <w:b/>
          <w:bCs/>
          <w:snapToGrid w:val="0"/>
          <w:kern w:val="0"/>
          <w:sz w:val="28"/>
          <w:szCs w:val="28"/>
        </w:rPr>
        <w:t>3.2常驻运维工程师简历表</w:t>
      </w:r>
    </w:p>
    <w:tbl>
      <w:tblPr>
        <w:tblStyle w:val="50"/>
        <w:tblW w:w="878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300"/>
        <w:gridCol w:w="1459"/>
        <w:gridCol w:w="816"/>
        <w:gridCol w:w="507"/>
        <w:gridCol w:w="930"/>
        <w:gridCol w:w="1249"/>
        <w:gridCol w:w="726"/>
        <w:gridCol w:w="1542"/>
      </w:tblGrid>
      <w:tr w14:paraId="579B6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560" w:type="dxa"/>
            <w:gridSpan w:val="2"/>
            <w:tcBorders>
              <w:top w:val="single" w:color="auto" w:sz="4" w:space="0"/>
              <w:left w:val="single" w:color="auto" w:sz="4" w:space="0"/>
              <w:bottom w:val="single" w:color="auto" w:sz="4" w:space="0"/>
              <w:right w:val="single" w:color="auto" w:sz="4" w:space="0"/>
            </w:tcBorders>
            <w:vAlign w:val="center"/>
          </w:tcPr>
          <w:p w14:paraId="6B08F799">
            <w:r>
              <w:rPr>
                <w:rFonts w:hint="eastAsia"/>
              </w:rPr>
              <w:t>姓名</w:t>
            </w:r>
          </w:p>
        </w:tc>
        <w:tc>
          <w:tcPr>
            <w:tcW w:w="1459" w:type="dxa"/>
            <w:tcBorders>
              <w:top w:val="single" w:color="auto" w:sz="4" w:space="0"/>
              <w:left w:val="single" w:color="auto" w:sz="4" w:space="0"/>
              <w:bottom w:val="single" w:color="auto" w:sz="4" w:space="0"/>
              <w:right w:val="single" w:color="auto" w:sz="4" w:space="0"/>
            </w:tcBorders>
            <w:vAlign w:val="center"/>
          </w:tcPr>
          <w:p w14:paraId="553728DD"/>
        </w:tc>
        <w:tc>
          <w:tcPr>
            <w:tcW w:w="816" w:type="dxa"/>
            <w:tcBorders>
              <w:top w:val="single" w:color="auto" w:sz="4" w:space="0"/>
              <w:left w:val="single" w:color="auto" w:sz="4" w:space="0"/>
              <w:bottom w:val="single" w:color="auto" w:sz="4" w:space="0"/>
              <w:right w:val="single" w:color="auto" w:sz="4" w:space="0"/>
            </w:tcBorders>
            <w:vAlign w:val="center"/>
          </w:tcPr>
          <w:p w14:paraId="67EE4AFE">
            <w:r>
              <w:rPr>
                <w:rFonts w:hint="eastAsia"/>
              </w:rPr>
              <w:t>年龄</w:t>
            </w:r>
          </w:p>
        </w:tc>
        <w:tc>
          <w:tcPr>
            <w:tcW w:w="1437" w:type="dxa"/>
            <w:gridSpan w:val="2"/>
            <w:tcBorders>
              <w:top w:val="single" w:color="auto" w:sz="4" w:space="0"/>
              <w:left w:val="single" w:color="auto" w:sz="4" w:space="0"/>
              <w:bottom w:val="single" w:color="auto" w:sz="4" w:space="0"/>
              <w:right w:val="single" w:color="auto" w:sz="4" w:space="0"/>
            </w:tcBorders>
            <w:vAlign w:val="center"/>
          </w:tcPr>
          <w:p w14:paraId="61B3C7E3"/>
        </w:tc>
        <w:tc>
          <w:tcPr>
            <w:tcW w:w="1975" w:type="dxa"/>
            <w:gridSpan w:val="2"/>
            <w:tcBorders>
              <w:top w:val="single" w:color="auto" w:sz="4" w:space="0"/>
              <w:left w:val="single" w:color="auto" w:sz="4" w:space="0"/>
              <w:bottom w:val="single" w:color="auto" w:sz="4" w:space="0"/>
              <w:right w:val="single" w:color="auto" w:sz="4" w:space="0"/>
            </w:tcBorders>
            <w:vAlign w:val="center"/>
          </w:tcPr>
          <w:p w14:paraId="60104B6D">
            <w:r>
              <w:rPr>
                <w:rFonts w:hint="eastAsia"/>
              </w:rPr>
              <w:t>学历</w:t>
            </w:r>
          </w:p>
        </w:tc>
        <w:tc>
          <w:tcPr>
            <w:tcW w:w="1542" w:type="dxa"/>
            <w:tcBorders>
              <w:top w:val="single" w:color="auto" w:sz="4" w:space="0"/>
              <w:left w:val="single" w:color="auto" w:sz="4" w:space="0"/>
              <w:bottom w:val="single" w:color="auto" w:sz="4" w:space="0"/>
              <w:right w:val="single" w:color="auto" w:sz="4" w:space="0"/>
            </w:tcBorders>
            <w:vAlign w:val="center"/>
          </w:tcPr>
          <w:p w14:paraId="6EE03EEA"/>
        </w:tc>
      </w:tr>
      <w:tr w14:paraId="1BDB0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560" w:type="dxa"/>
            <w:gridSpan w:val="2"/>
            <w:tcBorders>
              <w:top w:val="single" w:color="auto" w:sz="4" w:space="0"/>
              <w:left w:val="single" w:color="auto" w:sz="4" w:space="0"/>
              <w:bottom w:val="single" w:color="auto" w:sz="4" w:space="0"/>
              <w:right w:val="single" w:color="auto" w:sz="4" w:space="0"/>
            </w:tcBorders>
            <w:vAlign w:val="center"/>
          </w:tcPr>
          <w:p w14:paraId="43287FD0">
            <w:r>
              <w:rPr>
                <w:rFonts w:hint="eastAsia"/>
              </w:rPr>
              <w:t>职称</w:t>
            </w:r>
          </w:p>
        </w:tc>
        <w:tc>
          <w:tcPr>
            <w:tcW w:w="1459" w:type="dxa"/>
            <w:tcBorders>
              <w:top w:val="single" w:color="auto" w:sz="4" w:space="0"/>
              <w:left w:val="single" w:color="auto" w:sz="4" w:space="0"/>
              <w:bottom w:val="single" w:color="auto" w:sz="4" w:space="0"/>
              <w:right w:val="single" w:color="auto" w:sz="4" w:space="0"/>
            </w:tcBorders>
            <w:vAlign w:val="center"/>
          </w:tcPr>
          <w:p w14:paraId="44F9396C"/>
        </w:tc>
        <w:tc>
          <w:tcPr>
            <w:tcW w:w="816" w:type="dxa"/>
            <w:tcBorders>
              <w:top w:val="single" w:color="auto" w:sz="4" w:space="0"/>
              <w:left w:val="single" w:color="auto" w:sz="4" w:space="0"/>
              <w:bottom w:val="single" w:color="auto" w:sz="4" w:space="0"/>
              <w:right w:val="single" w:color="auto" w:sz="4" w:space="0"/>
            </w:tcBorders>
            <w:vAlign w:val="center"/>
          </w:tcPr>
          <w:p w14:paraId="11DB5130">
            <w:r>
              <w:rPr>
                <w:rFonts w:hint="eastAsia"/>
              </w:rPr>
              <w:t>职务</w:t>
            </w:r>
          </w:p>
        </w:tc>
        <w:tc>
          <w:tcPr>
            <w:tcW w:w="1437" w:type="dxa"/>
            <w:gridSpan w:val="2"/>
            <w:tcBorders>
              <w:top w:val="single" w:color="auto" w:sz="4" w:space="0"/>
              <w:left w:val="single" w:color="auto" w:sz="4" w:space="0"/>
              <w:bottom w:val="single" w:color="auto" w:sz="4" w:space="0"/>
              <w:right w:val="single" w:color="auto" w:sz="4" w:space="0"/>
            </w:tcBorders>
            <w:vAlign w:val="center"/>
          </w:tcPr>
          <w:p w14:paraId="6C88F407"/>
        </w:tc>
        <w:tc>
          <w:tcPr>
            <w:tcW w:w="1975" w:type="dxa"/>
            <w:gridSpan w:val="2"/>
            <w:tcBorders>
              <w:top w:val="single" w:color="auto" w:sz="4" w:space="0"/>
              <w:left w:val="single" w:color="auto" w:sz="4" w:space="0"/>
              <w:bottom w:val="single" w:color="auto" w:sz="4" w:space="0"/>
              <w:right w:val="single" w:color="auto" w:sz="4" w:space="0"/>
            </w:tcBorders>
            <w:vAlign w:val="center"/>
          </w:tcPr>
          <w:p w14:paraId="4AB4133E">
            <w:r>
              <w:rPr>
                <w:rFonts w:hint="eastAsia"/>
              </w:rPr>
              <w:t>拟在本项目任职</w:t>
            </w:r>
          </w:p>
        </w:tc>
        <w:tc>
          <w:tcPr>
            <w:tcW w:w="1542" w:type="dxa"/>
            <w:tcBorders>
              <w:top w:val="single" w:color="auto" w:sz="4" w:space="0"/>
              <w:left w:val="single" w:color="auto" w:sz="4" w:space="0"/>
              <w:bottom w:val="single" w:color="auto" w:sz="4" w:space="0"/>
              <w:right w:val="single" w:color="auto" w:sz="4" w:space="0"/>
            </w:tcBorders>
            <w:vAlign w:val="center"/>
          </w:tcPr>
          <w:p w14:paraId="151679E5"/>
        </w:tc>
      </w:tr>
      <w:tr w14:paraId="290A4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560" w:type="dxa"/>
            <w:gridSpan w:val="2"/>
            <w:tcBorders>
              <w:top w:val="single" w:color="auto" w:sz="4" w:space="0"/>
              <w:left w:val="single" w:color="auto" w:sz="4" w:space="0"/>
              <w:bottom w:val="single" w:color="auto" w:sz="4" w:space="0"/>
              <w:right w:val="single" w:color="auto" w:sz="4" w:space="0"/>
            </w:tcBorders>
            <w:vAlign w:val="center"/>
          </w:tcPr>
          <w:p w14:paraId="35B223CB">
            <w:r>
              <w:rPr>
                <w:rFonts w:hint="eastAsia"/>
              </w:rPr>
              <w:t>参加工作时间</w:t>
            </w:r>
          </w:p>
        </w:tc>
        <w:tc>
          <w:tcPr>
            <w:tcW w:w="7229" w:type="dxa"/>
            <w:gridSpan w:val="7"/>
            <w:tcBorders>
              <w:top w:val="single" w:color="auto" w:sz="4" w:space="0"/>
              <w:left w:val="single" w:color="auto" w:sz="4" w:space="0"/>
              <w:bottom w:val="single" w:color="auto" w:sz="4" w:space="0"/>
              <w:right w:val="single" w:color="auto" w:sz="4" w:space="0"/>
            </w:tcBorders>
            <w:vAlign w:val="center"/>
          </w:tcPr>
          <w:p w14:paraId="297FE369"/>
        </w:tc>
      </w:tr>
      <w:tr w14:paraId="4AEAF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8789" w:type="dxa"/>
            <w:gridSpan w:val="9"/>
            <w:tcBorders>
              <w:top w:val="single" w:color="auto" w:sz="4" w:space="0"/>
              <w:left w:val="single" w:color="auto" w:sz="4" w:space="0"/>
              <w:bottom w:val="single" w:color="auto" w:sz="4" w:space="0"/>
              <w:right w:val="single" w:color="auto" w:sz="4" w:space="0"/>
            </w:tcBorders>
            <w:vAlign w:val="center"/>
          </w:tcPr>
          <w:p w14:paraId="7F30488D">
            <w:r>
              <w:rPr>
                <w:rFonts w:hint="eastAsia"/>
              </w:rPr>
              <w:t>主要工作经历</w:t>
            </w:r>
          </w:p>
        </w:tc>
      </w:tr>
      <w:tr w14:paraId="693C4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1260" w:type="dxa"/>
            <w:tcBorders>
              <w:top w:val="single" w:color="auto" w:sz="4" w:space="0"/>
              <w:left w:val="single" w:color="auto" w:sz="4" w:space="0"/>
              <w:bottom w:val="single" w:color="auto" w:sz="4" w:space="0"/>
              <w:right w:val="single" w:color="auto" w:sz="4" w:space="0"/>
            </w:tcBorders>
            <w:vAlign w:val="center"/>
          </w:tcPr>
          <w:p w14:paraId="4AE5D835">
            <w:pPr>
              <w:jc w:val="center"/>
            </w:pPr>
            <w:r>
              <w:rPr>
                <w:rFonts w:hint="eastAsia"/>
              </w:rPr>
              <w:t>时间</w:t>
            </w:r>
          </w:p>
        </w:tc>
        <w:tc>
          <w:tcPr>
            <w:tcW w:w="3082" w:type="dxa"/>
            <w:gridSpan w:val="4"/>
            <w:tcBorders>
              <w:top w:val="single" w:color="auto" w:sz="4" w:space="0"/>
              <w:left w:val="single" w:color="auto" w:sz="4" w:space="0"/>
              <w:bottom w:val="single" w:color="auto" w:sz="4" w:space="0"/>
              <w:right w:val="single" w:color="auto" w:sz="4" w:space="0"/>
            </w:tcBorders>
            <w:vAlign w:val="center"/>
          </w:tcPr>
          <w:p w14:paraId="0198473F">
            <w:pPr>
              <w:jc w:val="center"/>
            </w:pPr>
            <w:r>
              <w:rPr>
                <w:rFonts w:hint="eastAsia"/>
              </w:rPr>
              <w:t>参加过的类似项目</w:t>
            </w:r>
          </w:p>
        </w:tc>
        <w:tc>
          <w:tcPr>
            <w:tcW w:w="2179" w:type="dxa"/>
            <w:gridSpan w:val="2"/>
            <w:tcBorders>
              <w:top w:val="single" w:color="auto" w:sz="4" w:space="0"/>
              <w:left w:val="single" w:color="auto" w:sz="4" w:space="0"/>
              <w:bottom w:val="single" w:color="auto" w:sz="4" w:space="0"/>
              <w:right w:val="single" w:color="auto" w:sz="4" w:space="0"/>
            </w:tcBorders>
            <w:vAlign w:val="center"/>
          </w:tcPr>
          <w:p w14:paraId="304EAED9">
            <w:pPr>
              <w:jc w:val="center"/>
            </w:pPr>
            <w:r>
              <w:rPr>
                <w:rFonts w:hint="eastAsia"/>
              </w:rPr>
              <w:t>担任职务</w:t>
            </w:r>
          </w:p>
        </w:tc>
        <w:tc>
          <w:tcPr>
            <w:tcW w:w="2268" w:type="dxa"/>
            <w:gridSpan w:val="2"/>
            <w:tcBorders>
              <w:top w:val="single" w:color="auto" w:sz="4" w:space="0"/>
              <w:left w:val="single" w:color="auto" w:sz="4" w:space="0"/>
              <w:bottom w:val="single" w:color="auto" w:sz="4" w:space="0"/>
              <w:right w:val="single" w:color="auto" w:sz="4" w:space="0"/>
            </w:tcBorders>
            <w:vAlign w:val="center"/>
          </w:tcPr>
          <w:p w14:paraId="116E4014">
            <w:pPr>
              <w:jc w:val="center"/>
            </w:pPr>
            <w:r>
              <w:rPr>
                <w:rFonts w:hint="eastAsia"/>
              </w:rPr>
              <w:t>发包人</w:t>
            </w:r>
          </w:p>
        </w:tc>
      </w:tr>
      <w:tr w14:paraId="06790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260" w:type="dxa"/>
            <w:tcBorders>
              <w:top w:val="single" w:color="auto" w:sz="4" w:space="0"/>
              <w:left w:val="single" w:color="auto" w:sz="4" w:space="0"/>
              <w:bottom w:val="single" w:color="auto" w:sz="4" w:space="0"/>
              <w:right w:val="single" w:color="auto" w:sz="4" w:space="0"/>
            </w:tcBorders>
          </w:tcPr>
          <w:p w14:paraId="614CDB58"/>
        </w:tc>
        <w:tc>
          <w:tcPr>
            <w:tcW w:w="3082" w:type="dxa"/>
            <w:gridSpan w:val="4"/>
            <w:tcBorders>
              <w:top w:val="single" w:color="auto" w:sz="4" w:space="0"/>
              <w:left w:val="single" w:color="auto" w:sz="4" w:space="0"/>
              <w:bottom w:val="single" w:color="auto" w:sz="4" w:space="0"/>
              <w:right w:val="single" w:color="auto" w:sz="4" w:space="0"/>
            </w:tcBorders>
          </w:tcPr>
          <w:p w14:paraId="202410CF"/>
        </w:tc>
        <w:tc>
          <w:tcPr>
            <w:tcW w:w="2179" w:type="dxa"/>
            <w:gridSpan w:val="2"/>
            <w:tcBorders>
              <w:top w:val="single" w:color="auto" w:sz="4" w:space="0"/>
              <w:left w:val="single" w:color="auto" w:sz="4" w:space="0"/>
              <w:bottom w:val="single" w:color="auto" w:sz="4" w:space="0"/>
              <w:right w:val="single" w:color="auto" w:sz="4" w:space="0"/>
            </w:tcBorders>
          </w:tcPr>
          <w:p w14:paraId="5C84B807"/>
        </w:tc>
        <w:tc>
          <w:tcPr>
            <w:tcW w:w="2268" w:type="dxa"/>
            <w:gridSpan w:val="2"/>
            <w:tcBorders>
              <w:top w:val="single" w:color="auto" w:sz="4" w:space="0"/>
              <w:left w:val="single" w:color="auto" w:sz="4" w:space="0"/>
              <w:bottom w:val="single" w:color="auto" w:sz="4" w:space="0"/>
              <w:right w:val="single" w:color="auto" w:sz="4" w:space="0"/>
            </w:tcBorders>
          </w:tcPr>
          <w:p w14:paraId="53F48DFA"/>
        </w:tc>
      </w:tr>
      <w:tr w14:paraId="46551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1260" w:type="dxa"/>
            <w:tcBorders>
              <w:top w:val="single" w:color="auto" w:sz="4" w:space="0"/>
              <w:left w:val="single" w:color="auto" w:sz="4" w:space="0"/>
              <w:bottom w:val="single" w:color="auto" w:sz="4" w:space="0"/>
              <w:right w:val="single" w:color="auto" w:sz="4" w:space="0"/>
            </w:tcBorders>
          </w:tcPr>
          <w:p w14:paraId="0AC41734"/>
        </w:tc>
        <w:tc>
          <w:tcPr>
            <w:tcW w:w="3082" w:type="dxa"/>
            <w:gridSpan w:val="4"/>
            <w:tcBorders>
              <w:top w:val="single" w:color="auto" w:sz="4" w:space="0"/>
              <w:left w:val="single" w:color="auto" w:sz="4" w:space="0"/>
              <w:bottom w:val="single" w:color="auto" w:sz="4" w:space="0"/>
              <w:right w:val="single" w:color="auto" w:sz="4" w:space="0"/>
            </w:tcBorders>
          </w:tcPr>
          <w:p w14:paraId="4E0FB711"/>
        </w:tc>
        <w:tc>
          <w:tcPr>
            <w:tcW w:w="2179" w:type="dxa"/>
            <w:gridSpan w:val="2"/>
            <w:tcBorders>
              <w:top w:val="single" w:color="auto" w:sz="4" w:space="0"/>
              <w:left w:val="single" w:color="auto" w:sz="4" w:space="0"/>
              <w:bottom w:val="single" w:color="auto" w:sz="4" w:space="0"/>
              <w:right w:val="single" w:color="auto" w:sz="4" w:space="0"/>
            </w:tcBorders>
          </w:tcPr>
          <w:p w14:paraId="54E84A48"/>
        </w:tc>
        <w:tc>
          <w:tcPr>
            <w:tcW w:w="2268" w:type="dxa"/>
            <w:gridSpan w:val="2"/>
            <w:tcBorders>
              <w:top w:val="single" w:color="auto" w:sz="4" w:space="0"/>
              <w:left w:val="single" w:color="auto" w:sz="4" w:space="0"/>
              <w:bottom w:val="single" w:color="auto" w:sz="4" w:space="0"/>
              <w:right w:val="single" w:color="auto" w:sz="4" w:space="0"/>
            </w:tcBorders>
          </w:tcPr>
          <w:p w14:paraId="107F94AB"/>
        </w:tc>
      </w:tr>
      <w:tr w14:paraId="77A82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260" w:type="dxa"/>
            <w:tcBorders>
              <w:top w:val="single" w:color="auto" w:sz="4" w:space="0"/>
              <w:left w:val="single" w:color="auto" w:sz="4" w:space="0"/>
              <w:bottom w:val="single" w:color="auto" w:sz="4" w:space="0"/>
              <w:right w:val="single" w:color="auto" w:sz="4" w:space="0"/>
            </w:tcBorders>
          </w:tcPr>
          <w:p w14:paraId="203AFBF1"/>
        </w:tc>
        <w:tc>
          <w:tcPr>
            <w:tcW w:w="3082" w:type="dxa"/>
            <w:gridSpan w:val="4"/>
            <w:tcBorders>
              <w:top w:val="single" w:color="auto" w:sz="4" w:space="0"/>
              <w:left w:val="single" w:color="auto" w:sz="4" w:space="0"/>
              <w:bottom w:val="single" w:color="auto" w:sz="4" w:space="0"/>
              <w:right w:val="single" w:color="auto" w:sz="4" w:space="0"/>
            </w:tcBorders>
          </w:tcPr>
          <w:p w14:paraId="6248C1C8"/>
        </w:tc>
        <w:tc>
          <w:tcPr>
            <w:tcW w:w="2179" w:type="dxa"/>
            <w:gridSpan w:val="2"/>
            <w:tcBorders>
              <w:top w:val="single" w:color="auto" w:sz="4" w:space="0"/>
              <w:left w:val="single" w:color="auto" w:sz="4" w:space="0"/>
              <w:bottom w:val="single" w:color="auto" w:sz="4" w:space="0"/>
              <w:right w:val="single" w:color="auto" w:sz="4" w:space="0"/>
            </w:tcBorders>
          </w:tcPr>
          <w:p w14:paraId="4F0322C4"/>
        </w:tc>
        <w:tc>
          <w:tcPr>
            <w:tcW w:w="2268" w:type="dxa"/>
            <w:gridSpan w:val="2"/>
            <w:tcBorders>
              <w:top w:val="single" w:color="auto" w:sz="4" w:space="0"/>
              <w:left w:val="single" w:color="auto" w:sz="4" w:space="0"/>
              <w:bottom w:val="single" w:color="auto" w:sz="4" w:space="0"/>
              <w:right w:val="single" w:color="auto" w:sz="4" w:space="0"/>
            </w:tcBorders>
          </w:tcPr>
          <w:p w14:paraId="006A9302"/>
        </w:tc>
      </w:tr>
      <w:tr w14:paraId="2CEEE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260" w:type="dxa"/>
            <w:tcBorders>
              <w:top w:val="single" w:color="auto" w:sz="4" w:space="0"/>
              <w:left w:val="single" w:color="auto" w:sz="4" w:space="0"/>
              <w:bottom w:val="single" w:color="auto" w:sz="4" w:space="0"/>
              <w:right w:val="single" w:color="auto" w:sz="4" w:space="0"/>
            </w:tcBorders>
          </w:tcPr>
          <w:p w14:paraId="658F7BA0"/>
        </w:tc>
        <w:tc>
          <w:tcPr>
            <w:tcW w:w="3082" w:type="dxa"/>
            <w:gridSpan w:val="4"/>
            <w:tcBorders>
              <w:top w:val="single" w:color="auto" w:sz="4" w:space="0"/>
              <w:left w:val="single" w:color="auto" w:sz="4" w:space="0"/>
              <w:bottom w:val="single" w:color="auto" w:sz="4" w:space="0"/>
              <w:right w:val="single" w:color="auto" w:sz="4" w:space="0"/>
            </w:tcBorders>
          </w:tcPr>
          <w:p w14:paraId="6E982EF4"/>
        </w:tc>
        <w:tc>
          <w:tcPr>
            <w:tcW w:w="2179" w:type="dxa"/>
            <w:gridSpan w:val="2"/>
            <w:tcBorders>
              <w:top w:val="single" w:color="auto" w:sz="4" w:space="0"/>
              <w:left w:val="single" w:color="auto" w:sz="4" w:space="0"/>
              <w:bottom w:val="single" w:color="auto" w:sz="4" w:space="0"/>
              <w:right w:val="single" w:color="auto" w:sz="4" w:space="0"/>
            </w:tcBorders>
          </w:tcPr>
          <w:p w14:paraId="056022C4"/>
        </w:tc>
        <w:tc>
          <w:tcPr>
            <w:tcW w:w="2268" w:type="dxa"/>
            <w:gridSpan w:val="2"/>
            <w:tcBorders>
              <w:top w:val="single" w:color="auto" w:sz="4" w:space="0"/>
              <w:left w:val="single" w:color="auto" w:sz="4" w:space="0"/>
              <w:bottom w:val="single" w:color="auto" w:sz="4" w:space="0"/>
              <w:right w:val="single" w:color="auto" w:sz="4" w:space="0"/>
            </w:tcBorders>
          </w:tcPr>
          <w:p w14:paraId="2373CD9D"/>
        </w:tc>
      </w:tr>
      <w:tr w14:paraId="718BE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260" w:type="dxa"/>
            <w:tcBorders>
              <w:top w:val="single" w:color="auto" w:sz="4" w:space="0"/>
              <w:left w:val="single" w:color="auto" w:sz="4" w:space="0"/>
              <w:bottom w:val="single" w:color="auto" w:sz="4" w:space="0"/>
              <w:right w:val="single" w:color="auto" w:sz="4" w:space="0"/>
            </w:tcBorders>
          </w:tcPr>
          <w:p w14:paraId="4007A614"/>
        </w:tc>
        <w:tc>
          <w:tcPr>
            <w:tcW w:w="3082" w:type="dxa"/>
            <w:gridSpan w:val="4"/>
            <w:tcBorders>
              <w:top w:val="single" w:color="auto" w:sz="4" w:space="0"/>
              <w:left w:val="single" w:color="auto" w:sz="4" w:space="0"/>
              <w:bottom w:val="single" w:color="auto" w:sz="4" w:space="0"/>
              <w:right w:val="single" w:color="auto" w:sz="4" w:space="0"/>
            </w:tcBorders>
          </w:tcPr>
          <w:p w14:paraId="601C2737"/>
        </w:tc>
        <w:tc>
          <w:tcPr>
            <w:tcW w:w="2179" w:type="dxa"/>
            <w:gridSpan w:val="2"/>
            <w:tcBorders>
              <w:top w:val="single" w:color="auto" w:sz="4" w:space="0"/>
              <w:left w:val="single" w:color="auto" w:sz="4" w:space="0"/>
              <w:bottom w:val="single" w:color="auto" w:sz="4" w:space="0"/>
              <w:right w:val="single" w:color="auto" w:sz="4" w:space="0"/>
            </w:tcBorders>
          </w:tcPr>
          <w:p w14:paraId="17A8BB44"/>
        </w:tc>
        <w:tc>
          <w:tcPr>
            <w:tcW w:w="2268" w:type="dxa"/>
            <w:gridSpan w:val="2"/>
            <w:tcBorders>
              <w:top w:val="single" w:color="auto" w:sz="4" w:space="0"/>
              <w:left w:val="single" w:color="auto" w:sz="4" w:space="0"/>
              <w:bottom w:val="single" w:color="auto" w:sz="4" w:space="0"/>
              <w:right w:val="single" w:color="auto" w:sz="4" w:space="0"/>
            </w:tcBorders>
          </w:tcPr>
          <w:p w14:paraId="6D510391"/>
        </w:tc>
      </w:tr>
      <w:tr w14:paraId="3765E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260" w:type="dxa"/>
            <w:tcBorders>
              <w:top w:val="single" w:color="auto" w:sz="4" w:space="0"/>
              <w:left w:val="single" w:color="auto" w:sz="4" w:space="0"/>
              <w:bottom w:val="single" w:color="auto" w:sz="4" w:space="0"/>
              <w:right w:val="single" w:color="auto" w:sz="4" w:space="0"/>
            </w:tcBorders>
          </w:tcPr>
          <w:p w14:paraId="171A8F7D"/>
        </w:tc>
        <w:tc>
          <w:tcPr>
            <w:tcW w:w="3082" w:type="dxa"/>
            <w:gridSpan w:val="4"/>
            <w:tcBorders>
              <w:top w:val="single" w:color="auto" w:sz="4" w:space="0"/>
              <w:left w:val="single" w:color="auto" w:sz="4" w:space="0"/>
              <w:bottom w:val="single" w:color="auto" w:sz="4" w:space="0"/>
              <w:right w:val="single" w:color="auto" w:sz="4" w:space="0"/>
            </w:tcBorders>
          </w:tcPr>
          <w:p w14:paraId="1F038CB2"/>
        </w:tc>
        <w:tc>
          <w:tcPr>
            <w:tcW w:w="2179" w:type="dxa"/>
            <w:gridSpan w:val="2"/>
            <w:tcBorders>
              <w:top w:val="single" w:color="auto" w:sz="4" w:space="0"/>
              <w:left w:val="single" w:color="auto" w:sz="4" w:space="0"/>
              <w:bottom w:val="single" w:color="auto" w:sz="4" w:space="0"/>
              <w:right w:val="single" w:color="auto" w:sz="4" w:space="0"/>
            </w:tcBorders>
          </w:tcPr>
          <w:p w14:paraId="6D1ADB6A"/>
        </w:tc>
        <w:tc>
          <w:tcPr>
            <w:tcW w:w="2268" w:type="dxa"/>
            <w:gridSpan w:val="2"/>
            <w:tcBorders>
              <w:top w:val="single" w:color="auto" w:sz="4" w:space="0"/>
              <w:left w:val="single" w:color="auto" w:sz="4" w:space="0"/>
              <w:bottom w:val="single" w:color="auto" w:sz="4" w:space="0"/>
              <w:right w:val="single" w:color="auto" w:sz="4" w:space="0"/>
            </w:tcBorders>
          </w:tcPr>
          <w:p w14:paraId="6AE8B395"/>
        </w:tc>
      </w:tr>
      <w:tr w14:paraId="2D54D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1260" w:type="dxa"/>
            <w:tcBorders>
              <w:top w:val="single" w:color="auto" w:sz="4" w:space="0"/>
              <w:left w:val="single" w:color="auto" w:sz="4" w:space="0"/>
              <w:bottom w:val="single" w:color="auto" w:sz="4" w:space="0"/>
              <w:right w:val="single" w:color="auto" w:sz="4" w:space="0"/>
            </w:tcBorders>
          </w:tcPr>
          <w:p w14:paraId="6E341318"/>
        </w:tc>
        <w:tc>
          <w:tcPr>
            <w:tcW w:w="3082" w:type="dxa"/>
            <w:gridSpan w:val="4"/>
            <w:tcBorders>
              <w:top w:val="single" w:color="auto" w:sz="4" w:space="0"/>
              <w:left w:val="single" w:color="auto" w:sz="4" w:space="0"/>
              <w:bottom w:val="single" w:color="auto" w:sz="4" w:space="0"/>
              <w:right w:val="single" w:color="auto" w:sz="4" w:space="0"/>
            </w:tcBorders>
          </w:tcPr>
          <w:p w14:paraId="2544E85D"/>
        </w:tc>
        <w:tc>
          <w:tcPr>
            <w:tcW w:w="2179" w:type="dxa"/>
            <w:gridSpan w:val="2"/>
            <w:tcBorders>
              <w:top w:val="single" w:color="auto" w:sz="4" w:space="0"/>
              <w:left w:val="single" w:color="auto" w:sz="4" w:space="0"/>
              <w:bottom w:val="single" w:color="auto" w:sz="4" w:space="0"/>
              <w:right w:val="single" w:color="auto" w:sz="4" w:space="0"/>
            </w:tcBorders>
          </w:tcPr>
          <w:p w14:paraId="642EF09B"/>
        </w:tc>
        <w:tc>
          <w:tcPr>
            <w:tcW w:w="2268" w:type="dxa"/>
            <w:gridSpan w:val="2"/>
            <w:tcBorders>
              <w:top w:val="single" w:color="auto" w:sz="4" w:space="0"/>
              <w:left w:val="single" w:color="auto" w:sz="4" w:space="0"/>
              <w:bottom w:val="single" w:color="auto" w:sz="4" w:space="0"/>
              <w:right w:val="single" w:color="auto" w:sz="4" w:space="0"/>
            </w:tcBorders>
          </w:tcPr>
          <w:p w14:paraId="3942BFD9"/>
        </w:tc>
      </w:tr>
    </w:tbl>
    <w:p w14:paraId="1BE8E7A2"/>
    <w:p w14:paraId="0FAEFA1D">
      <w:r>
        <w:rPr>
          <w:rFonts w:hint="eastAsia"/>
        </w:rPr>
        <w:t>注：表后附常驻运维工程师的身份证、学历或学位证明、专业技术职业/执业资格证明（如有）、2024年1月至投标截止日期间任意连续六个月的社保证明（缴费单位应为投标单位，代缴社保须提供相关代缴证明材料，不限缴费地区）的扫描件。</w:t>
      </w:r>
    </w:p>
    <w:p w14:paraId="1038E773"/>
    <w:p w14:paraId="698A3AA4"/>
    <w:p w14:paraId="1EB318D8"/>
    <w:p w14:paraId="331E1FA7">
      <w:pPr>
        <w:spacing w:line="360" w:lineRule="auto"/>
        <w:ind w:firstLine="422"/>
        <w:rPr>
          <w:rFonts w:ascii="宋体" w:hAnsi="宋体"/>
          <w:szCs w:val="21"/>
          <w:u w:val="single"/>
        </w:rPr>
      </w:pPr>
      <w:r>
        <w:rPr>
          <w:rFonts w:hint="eastAsia" w:ascii="宋体" w:hAnsi="宋体"/>
          <w:szCs w:val="21"/>
        </w:rPr>
        <w:t>投标人：</w:t>
      </w:r>
      <w:r>
        <w:rPr>
          <w:rFonts w:hint="eastAsia" w:ascii="宋体" w:hAnsi="宋体"/>
          <w:szCs w:val="21"/>
          <w:u w:val="single"/>
        </w:rPr>
        <w:tab/>
      </w:r>
      <w:r>
        <w:rPr>
          <w:rFonts w:hint="eastAsia" w:ascii="宋体" w:hAnsi="宋体"/>
          <w:szCs w:val="21"/>
          <w:u w:val="single"/>
        </w:rPr>
        <w:t xml:space="preserve">               </w:t>
      </w:r>
      <w:r>
        <w:rPr>
          <w:rFonts w:hint="eastAsia" w:ascii="宋体" w:hAnsi="宋体"/>
          <w:szCs w:val="21"/>
        </w:rPr>
        <w:t>（电子公章）</w:t>
      </w:r>
    </w:p>
    <w:p w14:paraId="13B6C779">
      <w:pPr>
        <w:spacing w:line="360" w:lineRule="auto"/>
        <w:ind w:firstLine="422"/>
        <w:rPr>
          <w:rFonts w:ascii="宋体" w:hAnsi="宋体"/>
          <w:szCs w:val="21"/>
          <w:u w:val="single"/>
        </w:rPr>
      </w:pPr>
      <w:r>
        <w:rPr>
          <w:rFonts w:hint="eastAsia" w:ascii="宋体" w:hAnsi="宋体"/>
          <w:szCs w:val="21"/>
        </w:rPr>
        <w:t>法定代表人或其委托代理人：</w:t>
      </w:r>
      <w:r>
        <w:rPr>
          <w:rFonts w:hint="eastAsia" w:ascii="宋体" w:hAnsi="宋体"/>
          <w:szCs w:val="21"/>
          <w:u w:val="single"/>
        </w:rPr>
        <w:t xml:space="preserve">         </w:t>
      </w:r>
      <w:r>
        <w:rPr>
          <w:rFonts w:hint="eastAsia" w:ascii="宋体" w:hAnsi="宋体"/>
          <w:szCs w:val="21"/>
        </w:rPr>
        <w:t>（电子签名/章）</w:t>
      </w:r>
    </w:p>
    <w:p w14:paraId="4E14FC62">
      <w:pPr>
        <w:spacing w:line="360" w:lineRule="auto"/>
        <w:ind w:firstLine="422"/>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0CECCFB7"/>
    <w:p w14:paraId="532E02D4"/>
    <w:p w14:paraId="715ABC3B"/>
    <w:p w14:paraId="5615C6F5"/>
    <w:p w14:paraId="41D49E12"/>
    <w:p w14:paraId="40966266"/>
    <w:p w14:paraId="0D399964">
      <w:pPr>
        <w:widowControl/>
        <w:ind w:firstLine="643"/>
        <w:jc w:val="left"/>
        <w:rPr>
          <w:rFonts w:ascii="Calibri" w:hAnsi="Calibri" w:eastAsia="黑体"/>
          <w:b/>
          <w:bCs/>
          <w:snapToGrid w:val="0"/>
          <w:kern w:val="0"/>
          <w:sz w:val="32"/>
          <w:szCs w:val="32"/>
        </w:rPr>
      </w:pPr>
      <w:r>
        <w:rPr>
          <w:rFonts w:ascii="Calibri" w:hAnsi="Calibri"/>
          <w:snapToGrid w:val="0"/>
          <w:sz w:val="32"/>
          <w:szCs w:val="32"/>
        </w:rPr>
        <w:br w:type="page"/>
      </w:r>
    </w:p>
    <w:p w14:paraId="0F136350">
      <w:pPr>
        <w:pStyle w:val="5"/>
        <w:rPr>
          <w:snapToGrid w:val="0"/>
        </w:rPr>
      </w:pPr>
      <w:r>
        <w:rPr>
          <w:rFonts w:hint="eastAsia"/>
          <w:snapToGrid w:val="0"/>
        </w:rPr>
        <w:t>（三）投标人认为有必要提供的</w:t>
      </w:r>
      <w:r>
        <w:rPr>
          <w:snapToGrid w:val="0"/>
        </w:rPr>
        <w:t>其他</w:t>
      </w:r>
      <w:r>
        <w:rPr>
          <w:rFonts w:hint="eastAsia"/>
          <w:snapToGrid w:val="0"/>
        </w:rPr>
        <w:t>资料</w:t>
      </w:r>
    </w:p>
    <w:p w14:paraId="24348F78">
      <w:pPr>
        <w:spacing w:line="360" w:lineRule="auto"/>
        <w:ind w:firstLine="422"/>
        <w:rPr>
          <w:rFonts w:ascii="宋体" w:hAnsi="宋体"/>
          <w:szCs w:val="21"/>
        </w:rPr>
      </w:pPr>
    </w:p>
    <w:p w14:paraId="4C377AF4">
      <w:pPr>
        <w:spacing w:before="240" w:beforeLines="100" w:line="360" w:lineRule="auto"/>
        <w:ind w:firstLine="422"/>
        <w:rPr>
          <w:rFonts w:ascii="宋体" w:hAnsi="宋体"/>
          <w:szCs w:val="21"/>
        </w:rPr>
      </w:pPr>
    </w:p>
    <w:sectPr>
      <w:headerReference r:id="rId3" w:type="default"/>
      <w:footerReference r:id="rId5" w:type="default"/>
      <w:headerReference r:id="rId4" w:type="even"/>
      <w:footerReference r:id="rId6" w:type="even"/>
      <w:pgSz w:w="11906" w:h="16838"/>
      <w:pgMar w:top="1418" w:right="1247" w:bottom="1134" w:left="1588" w:header="851" w:footer="737" w:gutter="0"/>
      <w:cols w:space="708" w:num="1"/>
      <w:titlePg/>
      <w:docGrid w:linePitch="33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MS Sans Serif">
    <w:altName w:val="Arial"/>
    <w:panose1 w:val="00000000000000000000"/>
    <w:charset w:val="00"/>
    <w:family w:val="auto"/>
    <w:pitch w:val="default"/>
    <w:sig w:usb0="00000000" w:usb1="00000000" w:usb2="00000000" w:usb3="00000000" w:csb0="00000001" w:csb1="00000000"/>
  </w:font>
  <w:font w:name="FEGNKJ+TimesNewRoman">
    <w:altName w:val="宋体"/>
    <w:panose1 w:val="00000000000000000000"/>
    <w:charset w:val="86"/>
    <w:family w:val="roma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金山简黑体">
    <w:altName w:val="宋体"/>
    <w:panose1 w:val="00000000000000000000"/>
    <w:charset w:val="86"/>
    <w:family w:val="modern"/>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9399C">
    <w:pPr>
      <w:pStyle w:val="30"/>
      <w:ind w:firstLine="360"/>
      <w:jc w:val="right"/>
    </w:pPr>
    <w:r>
      <w:rPr>
        <w:b/>
      </w:rPr>
      <mc:AlternateContent>
        <mc:Choice Requires="wps">
          <w:drawing>
            <wp:anchor distT="0" distB="0" distL="114300" distR="114300" simplePos="0" relativeHeight="251661312" behindDoc="0" locked="0" layoutInCell="1" allowOverlap="1">
              <wp:simplePos x="0" y="0"/>
              <wp:positionH relativeFrom="column">
                <wp:posOffset>10795</wp:posOffset>
              </wp:positionH>
              <wp:positionV relativeFrom="paragraph">
                <wp:posOffset>-12700</wp:posOffset>
              </wp:positionV>
              <wp:extent cx="5762625" cy="0"/>
              <wp:effectExtent l="0" t="7620" r="0" b="8255"/>
              <wp:wrapNone/>
              <wp:docPr id="456985149" name="AutoShape 1"/>
              <wp:cNvGraphicFramePr/>
              <a:graphic xmlns:a="http://schemas.openxmlformats.org/drawingml/2006/main">
                <a:graphicData uri="http://schemas.microsoft.com/office/word/2010/wordprocessingShape">
                  <wps:wsp>
                    <wps:cNvCnPr>
                      <a:cxnSpLocks noChangeShapeType="1"/>
                    </wps:cNvCnPr>
                    <wps:spPr bwMode="auto">
                      <a:xfrm>
                        <a:off x="0" y="0"/>
                        <a:ext cx="5762625" cy="0"/>
                      </a:xfrm>
                      <a:prstGeom prst="straightConnector1">
                        <a:avLst/>
                      </a:prstGeom>
                      <a:noFill/>
                      <a:ln w="15875">
                        <a:solidFill>
                          <a:srgbClr val="000000"/>
                        </a:solidFill>
                        <a:round/>
                      </a:ln>
                      <a:effectLst/>
                    </wps:spPr>
                    <wps:bodyPr/>
                  </wps:wsp>
                </a:graphicData>
              </a:graphic>
            </wp:anchor>
          </w:drawing>
        </mc:Choice>
        <mc:Fallback>
          <w:pict>
            <v:shape id="AutoShape 1" o:spid="_x0000_s1026" o:spt="32" type="#_x0000_t32" style="position:absolute;left:0pt;margin-left:0.85pt;margin-top:-1pt;height:0pt;width:453.75pt;z-index:251661312;mso-width-relative:page;mso-height-relative:page;" filled="f" stroked="t" coordsize="21600,21600" o:gfxdata="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OgSPk3UAAAABwEAAA8A&#10;AAAAAAAAAQAgAAAAIgAAAGRycy9kb3ducmV2LnhtbFBLAQIUABQAAAAIAIdO4kCrjCtj4gEAAMkD&#10;AAAOAAAAAAAAAAEAIAAAACMBAABkcnMvZTJvRG9jLnhtbFBLBQYAAAAABgAGAFkBAAB3BQAAAAA=&#10;">
              <v:fill on="f" focussize="0,0"/>
              <v:stroke weight="1.25pt" color="#000000" joinstyle="round"/>
              <v:imagedata o:title=""/>
              <o:lock v:ext="edit" aspectratio="f"/>
            </v:shape>
          </w:pict>
        </mc:Fallback>
      </mc:AlternateContent>
    </w:r>
    <w:r>
      <w:rPr>
        <w:rFonts w:ascii="黑体" w:eastAsia="黑体"/>
        <w:b/>
        <w:sz w:val="21"/>
        <w:szCs w:val="21"/>
      </w:rPr>
      <w:drawing>
        <wp:inline distT="0" distB="0" distL="0" distR="0">
          <wp:extent cx="1253490" cy="231140"/>
          <wp:effectExtent l="0" t="0" r="0" b="0"/>
          <wp:docPr id="5" name="图片 5" descr="guone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guone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254060" cy="231358"/>
                  </a:xfrm>
                  <a:prstGeom prst="rect">
                    <a:avLst/>
                  </a:prstGeom>
                  <a:noFill/>
                  <a:ln>
                    <a:noFill/>
                  </a:ln>
                </pic:spPr>
              </pic:pic>
            </a:graphicData>
          </a:graphic>
        </wp:inline>
      </w:drawing>
    </w:r>
    <w:r>
      <w:rPr>
        <w:rFonts w:hint="eastAsia"/>
      </w:rPr>
      <w:t xml:space="preserve">                                            </w:t>
    </w:r>
    <w:r>
      <w:fldChar w:fldCharType="begin"/>
    </w:r>
    <w:r>
      <w:instrText xml:space="preserve"> PAGE   \* MERGEFORMAT </w:instrText>
    </w:r>
    <w:r>
      <w:fldChar w:fldCharType="separate"/>
    </w:r>
    <w:r>
      <w:rPr>
        <w:lang w:val="zh-CN"/>
      </w:rPr>
      <w:t>32</w:t>
    </w:r>
    <w:r>
      <w:rPr>
        <w:lang w:val="zh-C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E54202">
    <w:pPr>
      <w:pStyle w:val="30"/>
      <w:ind w:firstLine="361"/>
    </w:pPr>
  </w:p>
  <w:p w14:paraId="7688FDF5"/>
  <w:p w14:paraId="2D7BAF63"/>
  <w:p w14:paraId="5B6D39AE"/>
  <w:p w14:paraId="7CB8B4A0"/>
  <w:p w14:paraId="7151FDD2"/>
  <w:p w14:paraId="432C531C"/>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E08800">
    <w:pPr>
      <w:pBdr>
        <w:bottom w:val="single" w:color="auto" w:sz="4" w:space="0"/>
      </w:pBdr>
    </w:pPr>
    <w:r>
      <w:rPr>
        <w:rFonts w:hint="eastAsia"/>
        <w:sz w:val="18"/>
        <w:szCs w:val="18"/>
        <w:lang w:eastAsia="zh-CN"/>
      </w:rPr>
      <w:t>云南开放大学云南省干部在线学习学院2025年建设项目—学习平台设备运维项目（二次）</w:t>
    </w:r>
    <w:r>
      <w:rPr>
        <w:rFonts w:hint="eastAsia"/>
        <w:sz w:val="18"/>
        <w:szCs w:val="18"/>
      </w:rPr>
      <w:t xml:space="preserve">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62BC4B">
    <w:pPr>
      <w:pStyle w:val="31"/>
      <w:ind w:firstLine="361"/>
    </w:pPr>
  </w:p>
  <w:p w14:paraId="0521426F"/>
  <w:p w14:paraId="7161D8CC"/>
  <w:p w14:paraId="767CB630"/>
  <w:p w14:paraId="0A0D061E"/>
  <w:p w14:paraId="5D56C680"/>
  <w:p w14:paraId="32561DA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DCE7949"/>
    <w:multiLevelType w:val="multilevel"/>
    <w:tmpl w:val="2DCE7949"/>
    <w:lvl w:ilvl="0" w:tentative="0">
      <w:start w:val="1"/>
      <w:numFmt w:val="japaneseCounting"/>
      <w:lvlText w:val="%1、"/>
      <w:lvlJc w:val="left"/>
      <w:pPr>
        <w:ind w:left="1039" w:hanging="429"/>
      </w:pPr>
      <w:rPr>
        <w:rFonts w:hint="default"/>
      </w:rPr>
    </w:lvl>
    <w:lvl w:ilvl="1" w:tentative="0">
      <w:start w:val="1"/>
      <w:numFmt w:val="lowerLetter"/>
      <w:lvlText w:val="%2)"/>
      <w:lvlJc w:val="left"/>
      <w:pPr>
        <w:ind w:left="1490" w:hanging="440"/>
      </w:pPr>
    </w:lvl>
    <w:lvl w:ilvl="2" w:tentative="0">
      <w:start w:val="1"/>
      <w:numFmt w:val="lowerRoman"/>
      <w:lvlText w:val="%3."/>
      <w:lvlJc w:val="right"/>
      <w:pPr>
        <w:ind w:left="1930" w:hanging="440"/>
      </w:pPr>
    </w:lvl>
    <w:lvl w:ilvl="3" w:tentative="0">
      <w:start w:val="1"/>
      <w:numFmt w:val="decimal"/>
      <w:lvlText w:val="%4."/>
      <w:lvlJc w:val="left"/>
      <w:pPr>
        <w:ind w:left="2370" w:hanging="440"/>
      </w:pPr>
    </w:lvl>
    <w:lvl w:ilvl="4" w:tentative="0">
      <w:start w:val="1"/>
      <w:numFmt w:val="lowerLetter"/>
      <w:lvlText w:val="%5)"/>
      <w:lvlJc w:val="left"/>
      <w:pPr>
        <w:ind w:left="2810" w:hanging="440"/>
      </w:pPr>
    </w:lvl>
    <w:lvl w:ilvl="5" w:tentative="0">
      <w:start w:val="1"/>
      <w:numFmt w:val="lowerRoman"/>
      <w:lvlText w:val="%6."/>
      <w:lvlJc w:val="right"/>
      <w:pPr>
        <w:ind w:left="3250" w:hanging="440"/>
      </w:pPr>
    </w:lvl>
    <w:lvl w:ilvl="6" w:tentative="0">
      <w:start w:val="1"/>
      <w:numFmt w:val="decimal"/>
      <w:lvlText w:val="%7."/>
      <w:lvlJc w:val="left"/>
      <w:pPr>
        <w:ind w:left="3690" w:hanging="440"/>
      </w:pPr>
    </w:lvl>
    <w:lvl w:ilvl="7" w:tentative="0">
      <w:start w:val="1"/>
      <w:numFmt w:val="lowerLetter"/>
      <w:lvlText w:val="%8)"/>
      <w:lvlJc w:val="left"/>
      <w:pPr>
        <w:ind w:left="4130" w:hanging="440"/>
      </w:pPr>
    </w:lvl>
    <w:lvl w:ilvl="8" w:tentative="0">
      <w:start w:val="1"/>
      <w:numFmt w:val="lowerRoman"/>
      <w:lvlText w:val="%9."/>
      <w:lvlJc w:val="right"/>
      <w:pPr>
        <w:ind w:left="4570"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2"/>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ˇˉ―‖’”…∶、。〃々〉》」』】〕〗！＂＇），．：；？］｀｜｝～￠"/>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lmMzU1NjY2NjVjOTk1NzA2MjBlYjQyZWZhMzg5ODQifQ=="/>
  </w:docVars>
  <w:rsids>
    <w:rsidRoot w:val="008B4C04"/>
    <w:rsid w:val="00000FC5"/>
    <w:rsid w:val="00001D88"/>
    <w:rsid w:val="00010246"/>
    <w:rsid w:val="00012563"/>
    <w:rsid w:val="0002034B"/>
    <w:rsid w:val="000229B1"/>
    <w:rsid w:val="00024460"/>
    <w:rsid w:val="000249A4"/>
    <w:rsid w:val="00027951"/>
    <w:rsid w:val="00030B90"/>
    <w:rsid w:val="00035B96"/>
    <w:rsid w:val="00042FA4"/>
    <w:rsid w:val="000441EB"/>
    <w:rsid w:val="00051A9B"/>
    <w:rsid w:val="0005638B"/>
    <w:rsid w:val="00061A0B"/>
    <w:rsid w:val="00063C0E"/>
    <w:rsid w:val="00064036"/>
    <w:rsid w:val="00066BA3"/>
    <w:rsid w:val="00070BCF"/>
    <w:rsid w:val="00071E18"/>
    <w:rsid w:val="00080B37"/>
    <w:rsid w:val="000840CC"/>
    <w:rsid w:val="00086498"/>
    <w:rsid w:val="0008678B"/>
    <w:rsid w:val="00086B44"/>
    <w:rsid w:val="00087DD1"/>
    <w:rsid w:val="00092366"/>
    <w:rsid w:val="00092EDF"/>
    <w:rsid w:val="0009672F"/>
    <w:rsid w:val="000A13F2"/>
    <w:rsid w:val="000A33E1"/>
    <w:rsid w:val="000A4249"/>
    <w:rsid w:val="000A5F13"/>
    <w:rsid w:val="000A7F4A"/>
    <w:rsid w:val="000B43CE"/>
    <w:rsid w:val="000B6089"/>
    <w:rsid w:val="000C0FDA"/>
    <w:rsid w:val="000C29AC"/>
    <w:rsid w:val="000C3B74"/>
    <w:rsid w:val="000C7F2F"/>
    <w:rsid w:val="000E38F3"/>
    <w:rsid w:val="000E41F4"/>
    <w:rsid w:val="000F0324"/>
    <w:rsid w:val="000F0D2C"/>
    <w:rsid w:val="000F5A4D"/>
    <w:rsid w:val="000F6D2F"/>
    <w:rsid w:val="001007F3"/>
    <w:rsid w:val="00103E43"/>
    <w:rsid w:val="00104126"/>
    <w:rsid w:val="0010755E"/>
    <w:rsid w:val="001111ED"/>
    <w:rsid w:val="001143C1"/>
    <w:rsid w:val="00122604"/>
    <w:rsid w:val="001261AB"/>
    <w:rsid w:val="001264C6"/>
    <w:rsid w:val="00130583"/>
    <w:rsid w:val="001306B4"/>
    <w:rsid w:val="001320A6"/>
    <w:rsid w:val="00133211"/>
    <w:rsid w:val="00135A6D"/>
    <w:rsid w:val="00136084"/>
    <w:rsid w:val="00136BF2"/>
    <w:rsid w:val="00137D20"/>
    <w:rsid w:val="00140B7D"/>
    <w:rsid w:val="0014115B"/>
    <w:rsid w:val="00146707"/>
    <w:rsid w:val="00147B68"/>
    <w:rsid w:val="00151555"/>
    <w:rsid w:val="0015482D"/>
    <w:rsid w:val="00155256"/>
    <w:rsid w:val="00156FE6"/>
    <w:rsid w:val="00157C8F"/>
    <w:rsid w:val="00162CD3"/>
    <w:rsid w:val="00162E4E"/>
    <w:rsid w:val="00163204"/>
    <w:rsid w:val="00165786"/>
    <w:rsid w:val="001738E0"/>
    <w:rsid w:val="00174C2C"/>
    <w:rsid w:val="00176C14"/>
    <w:rsid w:val="00177896"/>
    <w:rsid w:val="00180120"/>
    <w:rsid w:val="001818F2"/>
    <w:rsid w:val="00183F33"/>
    <w:rsid w:val="00185E02"/>
    <w:rsid w:val="001944E9"/>
    <w:rsid w:val="00195339"/>
    <w:rsid w:val="001976E5"/>
    <w:rsid w:val="001A12CC"/>
    <w:rsid w:val="001A1390"/>
    <w:rsid w:val="001B2260"/>
    <w:rsid w:val="001B3061"/>
    <w:rsid w:val="001B3CDA"/>
    <w:rsid w:val="001B472A"/>
    <w:rsid w:val="001C0886"/>
    <w:rsid w:val="001C247A"/>
    <w:rsid w:val="001C26CF"/>
    <w:rsid w:val="001C3E26"/>
    <w:rsid w:val="001D1121"/>
    <w:rsid w:val="001D3002"/>
    <w:rsid w:val="001D3A00"/>
    <w:rsid w:val="001D5229"/>
    <w:rsid w:val="001D7C43"/>
    <w:rsid w:val="001E0701"/>
    <w:rsid w:val="001E074B"/>
    <w:rsid w:val="001E5012"/>
    <w:rsid w:val="001E6094"/>
    <w:rsid w:val="001F3788"/>
    <w:rsid w:val="001F710E"/>
    <w:rsid w:val="002018BF"/>
    <w:rsid w:val="00204B7D"/>
    <w:rsid w:val="00205538"/>
    <w:rsid w:val="00207553"/>
    <w:rsid w:val="00207B35"/>
    <w:rsid w:val="0021019A"/>
    <w:rsid w:val="0021085D"/>
    <w:rsid w:val="00211995"/>
    <w:rsid w:val="00212C39"/>
    <w:rsid w:val="00217A23"/>
    <w:rsid w:val="00224C4E"/>
    <w:rsid w:val="00230152"/>
    <w:rsid w:val="00233435"/>
    <w:rsid w:val="00240C88"/>
    <w:rsid w:val="00244537"/>
    <w:rsid w:val="0024538F"/>
    <w:rsid w:val="00250BA3"/>
    <w:rsid w:val="002553B2"/>
    <w:rsid w:val="00256D71"/>
    <w:rsid w:val="002620CD"/>
    <w:rsid w:val="00264719"/>
    <w:rsid w:val="00273B48"/>
    <w:rsid w:val="00274FE8"/>
    <w:rsid w:val="00276F03"/>
    <w:rsid w:val="00281E3A"/>
    <w:rsid w:val="00292A29"/>
    <w:rsid w:val="00294FC7"/>
    <w:rsid w:val="00295029"/>
    <w:rsid w:val="00295EB4"/>
    <w:rsid w:val="002A1CB1"/>
    <w:rsid w:val="002A5E1C"/>
    <w:rsid w:val="002A7317"/>
    <w:rsid w:val="002A769B"/>
    <w:rsid w:val="002B0E38"/>
    <w:rsid w:val="002B36B8"/>
    <w:rsid w:val="002C55DE"/>
    <w:rsid w:val="002D373D"/>
    <w:rsid w:val="002D450D"/>
    <w:rsid w:val="002D7952"/>
    <w:rsid w:val="002E100B"/>
    <w:rsid w:val="002E2CED"/>
    <w:rsid w:val="002E542F"/>
    <w:rsid w:val="002F1C82"/>
    <w:rsid w:val="002F3419"/>
    <w:rsid w:val="002F3BA0"/>
    <w:rsid w:val="002F40C2"/>
    <w:rsid w:val="002F734B"/>
    <w:rsid w:val="00313064"/>
    <w:rsid w:val="00313512"/>
    <w:rsid w:val="0031357A"/>
    <w:rsid w:val="0032389D"/>
    <w:rsid w:val="00324F17"/>
    <w:rsid w:val="00326AE9"/>
    <w:rsid w:val="00330470"/>
    <w:rsid w:val="003351C3"/>
    <w:rsid w:val="00342D9C"/>
    <w:rsid w:val="003468ED"/>
    <w:rsid w:val="003503A7"/>
    <w:rsid w:val="00357C2D"/>
    <w:rsid w:val="003623C7"/>
    <w:rsid w:val="00365A85"/>
    <w:rsid w:val="003711BC"/>
    <w:rsid w:val="00376100"/>
    <w:rsid w:val="00376C5C"/>
    <w:rsid w:val="003773D3"/>
    <w:rsid w:val="003912D7"/>
    <w:rsid w:val="00391C37"/>
    <w:rsid w:val="003922E1"/>
    <w:rsid w:val="00394486"/>
    <w:rsid w:val="003956D5"/>
    <w:rsid w:val="0039718F"/>
    <w:rsid w:val="003A0D8C"/>
    <w:rsid w:val="003A23A0"/>
    <w:rsid w:val="003B5DEC"/>
    <w:rsid w:val="003B602F"/>
    <w:rsid w:val="003C4E8D"/>
    <w:rsid w:val="003E1B4E"/>
    <w:rsid w:val="003E3B46"/>
    <w:rsid w:val="003E79AA"/>
    <w:rsid w:val="003F3199"/>
    <w:rsid w:val="003F3BE6"/>
    <w:rsid w:val="003F4132"/>
    <w:rsid w:val="00401067"/>
    <w:rsid w:val="004116A0"/>
    <w:rsid w:val="00421831"/>
    <w:rsid w:val="00426E0C"/>
    <w:rsid w:val="00434A2E"/>
    <w:rsid w:val="00437D7B"/>
    <w:rsid w:val="00444EB9"/>
    <w:rsid w:val="004510C3"/>
    <w:rsid w:val="0045125A"/>
    <w:rsid w:val="00451BAA"/>
    <w:rsid w:val="00454EFA"/>
    <w:rsid w:val="00457BE1"/>
    <w:rsid w:val="00470A26"/>
    <w:rsid w:val="004747B6"/>
    <w:rsid w:val="00474D8E"/>
    <w:rsid w:val="00487BA2"/>
    <w:rsid w:val="00496D61"/>
    <w:rsid w:val="004A145C"/>
    <w:rsid w:val="004A3DA3"/>
    <w:rsid w:val="004A51D6"/>
    <w:rsid w:val="004A5F2B"/>
    <w:rsid w:val="004A6B2E"/>
    <w:rsid w:val="004A79ED"/>
    <w:rsid w:val="004B1460"/>
    <w:rsid w:val="004B1BB4"/>
    <w:rsid w:val="004C0ED7"/>
    <w:rsid w:val="004C0F90"/>
    <w:rsid w:val="004C1D58"/>
    <w:rsid w:val="004C28A8"/>
    <w:rsid w:val="004C2F33"/>
    <w:rsid w:val="004C53AA"/>
    <w:rsid w:val="004C7E62"/>
    <w:rsid w:val="004D12D0"/>
    <w:rsid w:val="004D174E"/>
    <w:rsid w:val="004D53D5"/>
    <w:rsid w:val="004D56DD"/>
    <w:rsid w:val="004D60AB"/>
    <w:rsid w:val="004D6818"/>
    <w:rsid w:val="004D7069"/>
    <w:rsid w:val="004D712A"/>
    <w:rsid w:val="004E307B"/>
    <w:rsid w:val="004E6FBA"/>
    <w:rsid w:val="004E7299"/>
    <w:rsid w:val="004F25FE"/>
    <w:rsid w:val="005024DF"/>
    <w:rsid w:val="005030D7"/>
    <w:rsid w:val="005037D0"/>
    <w:rsid w:val="005044A3"/>
    <w:rsid w:val="00504C56"/>
    <w:rsid w:val="00506FF7"/>
    <w:rsid w:val="00512376"/>
    <w:rsid w:val="00513338"/>
    <w:rsid w:val="00522D67"/>
    <w:rsid w:val="00522F63"/>
    <w:rsid w:val="005246A3"/>
    <w:rsid w:val="005266CB"/>
    <w:rsid w:val="0053275A"/>
    <w:rsid w:val="00533139"/>
    <w:rsid w:val="00542DC0"/>
    <w:rsid w:val="00545081"/>
    <w:rsid w:val="00545690"/>
    <w:rsid w:val="0055044B"/>
    <w:rsid w:val="005507CC"/>
    <w:rsid w:val="0055188C"/>
    <w:rsid w:val="00551B1F"/>
    <w:rsid w:val="00552243"/>
    <w:rsid w:val="0055480F"/>
    <w:rsid w:val="005642A5"/>
    <w:rsid w:val="00564814"/>
    <w:rsid w:val="005738A4"/>
    <w:rsid w:val="00574834"/>
    <w:rsid w:val="0057524A"/>
    <w:rsid w:val="00576653"/>
    <w:rsid w:val="0058028D"/>
    <w:rsid w:val="005862B1"/>
    <w:rsid w:val="00586D8F"/>
    <w:rsid w:val="00587967"/>
    <w:rsid w:val="005916CF"/>
    <w:rsid w:val="00595D1B"/>
    <w:rsid w:val="005A2DEB"/>
    <w:rsid w:val="005A357E"/>
    <w:rsid w:val="005A5EBD"/>
    <w:rsid w:val="005B3694"/>
    <w:rsid w:val="005B5EB7"/>
    <w:rsid w:val="005C10BA"/>
    <w:rsid w:val="005C217F"/>
    <w:rsid w:val="005C3BF4"/>
    <w:rsid w:val="005D2879"/>
    <w:rsid w:val="005D55D6"/>
    <w:rsid w:val="005F0E44"/>
    <w:rsid w:val="005F114F"/>
    <w:rsid w:val="005F2C35"/>
    <w:rsid w:val="005F3977"/>
    <w:rsid w:val="00600EE4"/>
    <w:rsid w:val="0060332A"/>
    <w:rsid w:val="00605C70"/>
    <w:rsid w:val="00606D18"/>
    <w:rsid w:val="00606DD5"/>
    <w:rsid w:val="0060727B"/>
    <w:rsid w:val="00610542"/>
    <w:rsid w:val="00615831"/>
    <w:rsid w:val="00622675"/>
    <w:rsid w:val="00630636"/>
    <w:rsid w:val="006317A1"/>
    <w:rsid w:val="00636D76"/>
    <w:rsid w:val="00637C53"/>
    <w:rsid w:val="00640315"/>
    <w:rsid w:val="006422C4"/>
    <w:rsid w:val="006454C6"/>
    <w:rsid w:val="006518B7"/>
    <w:rsid w:val="00651BAB"/>
    <w:rsid w:val="00651DD3"/>
    <w:rsid w:val="00660395"/>
    <w:rsid w:val="00661CB1"/>
    <w:rsid w:val="00664F51"/>
    <w:rsid w:val="006652AD"/>
    <w:rsid w:val="0066631F"/>
    <w:rsid w:val="006711A5"/>
    <w:rsid w:val="00672293"/>
    <w:rsid w:val="00681E19"/>
    <w:rsid w:val="00681ED5"/>
    <w:rsid w:val="00684C39"/>
    <w:rsid w:val="0068580C"/>
    <w:rsid w:val="006862B1"/>
    <w:rsid w:val="00690054"/>
    <w:rsid w:val="00693A33"/>
    <w:rsid w:val="0069490B"/>
    <w:rsid w:val="006A0437"/>
    <w:rsid w:val="006A208F"/>
    <w:rsid w:val="006A3D47"/>
    <w:rsid w:val="006B22CE"/>
    <w:rsid w:val="006C0EEB"/>
    <w:rsid w:val="006C1C66"/>
    <w:rsid w:val="006D0C81"/>
    <w:rsid w:val="006D167D"/>
    <w:rsid w:val="006D2CA9"/>
    <w:rsid w:val="006D3C6F"/>
    <w:rsid w:val="006D459F"/>
    <w:rsid w:val="006D573F"/>
    <w:rsid w:val="006E42D0"/>
    <w:rsid w:val="00701773"/>
    <w:rsid w:val="0070282E"/>
    <w:rsid w:val="007034F7"/>
    <w:rsid w:val="00704644"/>
    <w:rsid w:val="00705C28"/>
    <w:rsid w:val="007100B6"/>
    <w:rsid w:val="00713586"/>
    <w:rsid w:val="00714A9F"/>
    <w:rsid w:val="007212EF"/>
    <w:rsid w:val="0072146A"/>
    <w:rsid w:val="007220F3"/>
    <w:rsid w:val="007240B0"/>
    <w:rsid w:val="00727704"/>
    <w:rsid w:val="007405B1"/>
    <w:rsid w:val="007405C3"/>
    <w:rsid w:val="0074309A"/>
    <w:rsid w:val="00746662"/>
    <w:rsid w:val="00746688"/>
    <w:rsid w:val="00750C42"/>
    <w:rsid w:val="00754A6C"/>
    <w:rsid w:val="0075609F"/>
    <w:rsid w:val="007628D6"/>
    <w:rsid w:val="0076470F"/>
    <w:rsid w:val="00771C2B"/>
    <w:rsid w:val="00771C46"/>
    <w:rsid w:val="0078194B"/>
    <w:rsid w:val="00784330"/>
    <w:rsid w:val="007850D5"/>
    <w:rsid w:val="0078550A"/>
    <w:rsid w:val="00786A2A"/>
    <w:rsid w:val="00786C7E"/>
    <w:rsid w:val="007932B5"/>
    <w:rsid w:val="0079513B"/>
    <w:rsid w:val="007954FC"/>
    <w:rsid w:val="00797AE5"/>
    <w:rsid w:val="007A1A2D"/>
    <w:rsid w:val="007B24C8"/>
    <w:rsid w:val="007C0918"/>
    <w:rsid w:val="007D2552"/>
    <w:rsid w:val="007E0421"/>
    <w:rsid w:val="007E09F7"/>
    <w:rsid w:val="007E2E97"/>
    <w:rsid w:val="007E6032"/>
    <w:rsid w:val="007E72F8"/>
    <w:rsid w:val="007F0850"/>
    <w:rsid w:val="007F2F88"/>
    <w:rsid w:val="007F450F"/>
    <w:rsid w:val="007F5363"/>
    <w:rsid w:val="007F67D7"/>
    <w:rsid w:val="00800C7F"/>
    <w:rsid w:val="00801950"/>
    <w:rsid w:val="0080271C"/>
    <w:rsid w:val="00812AF2"/>
    <w:rsid w:val="00817B95"/>
    <w:rsid w:val="00821353"/>
    <w:rsid w:val="00823F89"/>
    <w:rsid w:val="00825820"/>
    <w:rsid w:val="00825D25"/>
    <w:rsid w:val="00834952"/>
    <w:rsid w:val="00835CF9"/>
    <w:rsid w:val="0083686C"/>
    <w:rsid w:val="00837874"/>
    <w:rsid w:val="008430C5"/>
    <w:rsid w:val="00844C89"/>
    <w:rsid w:val="008462A2"/>
    <w:rsid w:val="00846C79"/>
    <w:rsid w:val="00847639"/>
    <w:rsid w:val="008510A8"/>
    <w:rsid w:val="00860D41"/>
    <w:rsid w:val="008610D3"/>
    <w:rsid w:val="00861108"/>
    <w:rsid w:val="0086168C"/>
    <w:rsid w:val="00864AB7"/>
    <w:rsid w:val="0086539F"/>
    <w:rsid w:val="008655D6"/>
    <w:rsid w:val="008656DE"/>
    <w:rsid w:val="00875E5E"/>
    <w:rsid w:val="00877B3B"/>
    <w:rsid w:val="00877C09"/>
    <w:rsid w:val="0088310B"/>
    <w:rsid w:val="00887067"/>
    <w:rsid w:val="0089398D"/>
    <w:rsid w:val="008A02B7"/>
    <w:rsid w:val="008A58FC"/>
    <w:rsid w:val="008A6036"/>
    <w:rsid w:val="008B0548"/>
    <w:rsid w:val="008B4547"/>
    <w:rsid w:val="008B4C04"/>
    <w:rsid w:val="008B51EC"/>
    <w:rsid w:val="008B77AF"/>
    <w:rsid w:val="008C2805"/>
    <w:rsid w:val="008C2B1F"/>
    <w:rsid w:val="008C2C8B"/>
    <w:rsid w:val="008D1D6F"/>
    <w:rsid w:val="008D3CF5"/>
    <w:rsid w:val="008D61C5"/>
    <w:rsid w:val="008E53E6"/>
    <w:rsid w:val="008F0A6C"/>
    <w:rsid w:val="008F25EE"/>
    <w:rsid w:val="009038AD"/>
    <w:rsid w:val="00904619"/>
    <w:rsid w:val="00904DD0"/>
    <w:rsid w:val="00913C4A"/>
    <w:rsid w:val="009172EF"/>
    <w:rsid w:val="00921013"/>
    <w:rsid w:val="00927D05"/>
    <w:rsid w:val="00933460"/>
    <w:rsid w:val="0093575B"/>
    <w:rsid w:val="00935E59"/>
    <w:rsid w:val="00937A61"/>
    <w:rsid w:val="00941CF5"/>
    <w:rsid w:val="00943E92"/>
    <w:rsid w:val="00944380"/>
    <w:rsid w:val="009474B9"/>
    <w:rsid w:val="009517D1"/>
    <w:rsid w:val="009559DE"/>
    <w:rsid w:val="009578DD"/>
    <w:rsid w:val="009736FE"/>
    <w:rsid w:val="00976683"/>
    <w:rsid w:val="0097696C"/>
    <w:rsid w:val="00980278"/>
    <w:rsid w:val="00984972"/>
    <w:rsid w:val="0098773B"/>
    <w:rsid w:val="009909FF"/>
    <w:rsid w:val="00996E59"/>
    <w:rsid w:val="00996EE3"/>
    <w:rsid w:val="0099763A"/>
    <w:rsid w:val="009A0185"/>
    <w:rsid w:val="009A0CE7"/>
    <w:rsid w:val="009A3719"/>
    <w:rsid w:val="009B3E03"/>
    <w:rsid w:val="009C18A5"/>
    <w:rsid w:val="009C367E"/>
    <w:rsid w:val="009C3CE0"/>
    <w:rsid w:val="009C463D"/>
    <w:rsid w:val="009C7EB9"/>
    <w:rsid w:val="009D0A43"/>
    <w:rsid w:val="009D397F"/>
    <w:rsid w:val="009D69F8"/>
    <w:rsid w:val="009E70BB"/>
    <w:rsid w:val="009F4843"/>
    <w:rsid w:val="00A079BA"/>
    <w:rsid w:val="00A1268D"/>
    <w:rsid w:val="00A14DCE"/>
    <w:rsid w:val="00A14F80"/>
    <w:rsid w:val="00A1607A"/>
    <w:rsid w:val="00A21534"/>
    <w:rsid w:val="00A22D22"/>
    <w:rsid w:val="00A22E9D"/>
    <w:rsid w:val="00A24AD5"/>
    <w:rsid w:val="00A250AB"/>
    <w:rsid w:val="00A26384"/>
    <w:rsid w:val="00A315B9"/>
    <w:rsid w:val="00A31DED"/>
    <w:rsid w:val="00A34E7B"/>
    <w:rsid w:val="00A34F11"/>
    <w:rsid w:val="00A36F76"/>
    <w:rsid w:val="00A37821"/>
    <w:rsid w:val="00A405FE"/>
    <w:rsid w:val="00A410A5"/>
    <w:rsid w:val="00A45740"/>
    <w:rsid w:val="00A519C0"/>
    <w:rsid w:val="00A5406B"/>
    <w:rsid w:val="00A547FD"/>
    <w:rsid w:val="00A5496C"/>
    <w:rsid w:val="00A56331"/>
    <w:rsid w:val="00A566D5"/>
    <w:rsid w:val="00A60816"/>
    <w:rsid w:val="00A6154D"/>
    <w:rsid w:val="00A66C8E"/>
    <w:rsid w:val="00A70969"/>
    <w:rsid w:val="00A71015"/>
    <w:rsid w:val="00A713E8"/>
    <w:rsid w:val="00A725A7"/>
    <w:rsid w:val="00A7465A"/>
    <w:rsid w:val="00A7648B"/>
    <w:rsid w:val="00A805A4"/>
    <w:rsid w:val="00A85A55"/>
    <w:rsid w:val="00A868B4"/>
    <w:rsid w:val="00A94F13"/>
    <w:rsid w:val="00A969DF"/>
    <w:rsid w:val="00AA5C5C"/>
    <w:rsid w:val="00AB06FA"/>
    <w:rsid w:val="00AB3EC4"/>
    <w:rsid w:val="00AB4B11"/>
    <w:rsid w:val="00AB5851"/>
    <w:rsid w:val="00AB7A2A"/>
    <w:rsid w:val="00AC2891"/>
    <w:rsid w:val="00AC2CFA"/>
    <w:rsid w:val="00AC5185"/>
    <w:rsid w:val="00AC51BF"/>
    <w:rsid w:val="00AC794D"/>
    <w:rsid w:val="00AD0A5C"/>
    <w:rsid w:val="00AD13B7"/>
    <w:rsid w:val="00AD5077"/>
    <w:rsid w:val="00AD6745"/>
    <w:rsid w:val="00AD6DB8"/>
    <w:rsid w:val="00AD7DB6"/>
    <w:rsid w:val="00AE5D2C"/>
    <w:rsid w:val="00AE61BB"/>
    <w:rsid w:val="00AF2316"/>
    <w:rsid w:val="00AF6EEA"/>
    <w:rsid w:val="00AF78A1"/>
    <w:rsid w:val="00AF7BF3"/>
    <w:rsid w:val="00B04566"/>
    <w:rsid w:val="00B04672"/>
    <w:rsid w:val="00B105DC"/>
    <w:rsid w:val="00B11F04"/>
    <w:rsid w:val="00B12E92"/>
    <w:rsid w:val="00B13A7F"/>
    <w:rsid w:val="00B15EB3"/>
    <w:rsid w:val="00B174DB"/>
    <w:rsid w:val="00B1797D"/>
    <w:rsid w:val="00B20B40"/>
    <w:rsid w:val="00B3104F"/>
    <w:rsid w:val="00B3143A"/>
    <w:rsid w:val="00B37061"/>
    <w:rsid w:val="00B37B84"/>
    <w:rsid w:val="00B420B7"/>
    <w:rsid w:val="00B42DF3"/>
    <w:rsid w:val="00B44ACA"/>
    <w:rsid w:val="00B44C09"/>
    <w:rsid w:val="00B474B3"/>
    <w:rsid w:val="00B476D5"/>
    <w:rsid w:val="00B555D0"/>
    <w:rsid w:val="00B62233"/>
    <w:rsid w:val="00B64AF1"/>
    <w:rsid w:val="00B672AE"/>
    <w:rsid w:val="00B7240D"/>
    <w:rsid w:val="00B75123"/>
    <w:rsid w:val="00B75684"/>
    <w:rsid w:val="00B76DD4"/>
    <w:rsid w:val="00B81BB5"/>
    <w:rsid w:val="00B8794D"/>
    <w:rsid w:val="00B9146E"/>
    <w:rsid w:val="00B93B75"/>
    <w:rsid w:val="00B97F63"/>
    <w:rsid w:val="00BA0F25"/>
    <w:rsid w:val="00BA1623"/>
    <w:rsid w:val="00BA2591"/>
    <w:rsid w:val="00BA7025"/>
    <w:rsid w:val="00BB336F"/>
    <w:rsid w:val="00BB6640"/>
    <w:rsid w:val="00BB7045"/>
    <w:rsid w:val="00BB7F01"/>
    <w:rsid w:val="00BC1A42"/>
    <w:rsid w:val="00BD0488"/>
    <w:rsid w:val="00BD15D6"/>
    <w:rsid w:val="00BD181A"/>
    <w:rsid w:val="00BD1BB4"/>
    <w:rsid w:val="00BE012E"/>
    <w:rsid w:val="00BE05B5"/>
    <w:rsid w:val="00BE09C9"/>
    <w:rsid w:val="00BE4097"/>
    <w:rsid w:val="00BE4786"/>
    <w:rsid w:val="00BE543C"/>
    <w:rsid w:val="00BE55F4"/>
    <w:rsid w:val="00BE7FAC"/>
    <w:rsid w:val="00BF1D12"/>
    <w:rsid w:val="00BF2498"/>
    <w:rsid w:val="00BF2928"/>
    <w:rsid w:val="00BF2DDF"/>
    <w:rsid w:val="00BF3B3C"/>
    <w:rsid w:val="00BF5E33"/>
    <w:rsid w:val="00C05FBB"/>
    <w:rsid w:val="00C07CC4"/>
    <w:rsid w:val="00C10326"/>
    <w:rsid w:val="00C13F97"/>
    <w:rsid w:val="00C17636"/>
    <w:rsid w:val="00C17802"/>
    <w:rsid w:val="00C24D5D"/>
    <w:rsid w:val="00C2581D"/>
    <w:rsid w:val="00C27E41"/>
    <w:rsid w:val="00C33C97"/>
    <w:rsid w:val="00C33EE2"/>
    <w:rsid w:val="00C3612F"/>
    <w:rsid w:val="00C420A5"/>
    <w:rsid w:val="00C4352E"/>
    <w:rsid w:val="00C46B45"/>
    <w:rsid w:val="00C50761"/>
    <w:rsid w:val="00C51412"/>
    <w:rsid w:val="00C51ADB"/>
    <w:rsid w:val="00C52C45"/>
    <w:rsid w:val="00C52D0C"/>
    <w:rsid w:val="00C5357B"/>
    <w:rsid w:val="00C541FF"/>
    <w:rsid w:val="00C54A76"/>
    <w:rsid w:val="00C6171C"/>
    <w:rsid w:val="00C63E5B"/>
    <w:rsid w:val="00C66E20"/>
    <w:rsid w:val="00C82269"/>
    <w:rsid w:val="00C84D00"/>
    <w:rsid w:val="00C95EBC"/>
    <w:rsid w:val="00C960C0"/>
    <w:rsid w:val="00C96110"/>
    <w:rsid w:val="00C97F58"/>
    <w:rsid w:val="00CA27C0"/>
    <w:rsid w:val="00CA33E0"/>
    <w:rsid w:val="00CA3FAC"/>
    <w:rsid w:val="00CA42DB"/>
    <w:rsid w:val="00CA544E"/>
    <w:rsid w:val="00CA6E0B"/>
    <w:rsid w:val="00CB178C"/>
    <w:rsid w:val="00CB5FFC"/>
    <w:rsid w:val="00CC0395"/>
    <w:rsid w:val="00CC14C6"/>
    <w:rsid w:val="00CC24F3"/>
    <w:rsid w:val="00CD40BA"/>
    <w:rsid w:val="00CE40EE"/>
    <w:rsid w:val="00CE5B42"/>
    <w:rsid w:val="00CE7EE4"/>
    <w:rsid w:val="00CF047A"/>
    <w:rsid w:val="00CF5002"/>
    <w:rsid w:val="00CF7B83"/>
    <w:rsid w:val="00CF7CF8"/>
    <w:rsid w:val="00D031DD"/>
    <w:rsid w:val="00D04967"/>
    <w:rsid w:val="00D04E4A"/>
    <w:rsid w:val="00D05F63"/>
    <w:rsid w:val="00D06C8C"/>
    <w:rsid w:val="00D10857"/>
    <w:rsid w:val="00D113AD"/>
    <w:rsid w:val="00D12912"/>
    <w:rsid w:val="00D1587A"/>
    <w:rsid w:val="00D17DA5"/>
    <w:rsid w:val="00D237E7"/>
    <w:rsid w:val="00D24022"/>
    <w:rsid w:val="00D32C8A"/>
    <w:rsid w:val="00D346A6"/>
    <w:rsid w:val="00D35C11"/>
    <w:rsid w:val="00D37E64"/>
    <w:rsid w:val="00D40944"/>
    <w:rsid w:val="00D40D53"/>
    <w:rsid w:val="00D413F7"/>
    <w:rsid w:val="00D43D74"/>
    <w:rsid w:val="00D441B0"/>
    <w:rsid w:val="00D4770B"/>
    <w:rsid w:val="00D5264E"/>
    <w:rsid w:val="00D53FCA"/>
    <w:rsid w:val="00D54ACA"/>
    <w:rsid w:val="00D55839"/>
    <w:rsid w:val="00D616D9"/>
    <w:rsid w:val="00D64280"/>
    <w:rsid w:val="00D66C1F"/>
    <w:rsid w:val="00D71F67"/>
    <w:rsid w:val="00D80479"/>
    <w:rsid w:val="00D877B4"/>
    <w:rsid w:val="00DA0349"/>
    <w:rsid w:val="00DA0D2A"/>
    <w:rsid w:val="00DA1BAC"/>
    <w:rsid w:val="00DA1E43"/>
    <w:rsid w:val="00DB0938"/>
    <w:rsid w:val="00DB12B2"/>
    <w:rsid w:val="00DB4F7B"/>
    <w:rsid w:val="00DB6A82"/>
    <w:rsid w:val="00DC1DBD"/>
    <w:rsid w:val="00DC21DA"/>
    <w:rsid w:val="00DC37C5"/>
    <w:rsid w:val="00DC5EFC"/>
    <w:rsid w:val="00DC6ADC"/>
    <w:rsid w:val="00DC75B8"/>
    <w:rsid w:val="00DD6CC7"/>
    <w:rsid w:val="00DE098F"/>
    <w:rsid w:val="00DE49F5"/>
    <w:rsid w:val="00DE6625"/>
    <w:rsid w:val="00DF4D4B"/>
    <w:rsid w:val="00DF55EA"/>
    <w:rsid w:val="00DF6B46"/>
    <w:rsid w:val="00E015B7"/>
    <w:rsid w:val="00E018C8"/>
    <w:rsid w:val="00E030AD"/>
    <w:rsid w:val="00E13418"/>
    <w:rsid w:val="00E135CC"/>
    <w:rsid w:val="00E13E42"/>
    <w:rsid w:val="00E15DC5"/>
    <w:rsid w:val="00E16266"/>
    <w:rsid w:val="00E215B2"/>
    <w:rsid w:val="00E2506F"/>
    <w:rsid w:val="00E25E72"/>
    <w:rsid w:val="00E32660"/>
    <w:rsid w:val="00E33D85"/>
    <w:rsid w:val="00E34B9F"/>
    <w:rsid w:val="00E35050"/>
    <w:rsid w:val="00E428A9"/>
    <w:rsid w:val="00E44113"/>
    <w:rsid w:val="00E45023"/>
    <w:rsid w:val="00E47D8F"/>
    <w:rsid w:val="00E547B9"/>
    <w:rsid w:val="00E54A6D"/>
    <w:rsid w:val="00E55DE5"/>
    <w:rsid w:val="00E56FE0"/>
    <w:rsid w:val="00E63EB1"/>
    <w:rsid w:val="00E67887"/>
    <w:rsid w:val="00E67DDB"/>
    <w:rsid w:val="00E71F45"/>
    <w:rsid w:val="00E75DF1"/>
    <w:rsid w:val="00E76374"/>
    <w:rsid w:val="00E931E8"/>
    <w:rsid w:val="00E95BCF"/>
    <w:rsid w:val="00E96134"/>
    <w:rsid w:val="00E9756C"/>
    <w:rsid w:val="00EA087A"/>
    <w:rsid w:val="00EA10AE"/>
    <w:rsid w:val="00EA31C4"/>
    <w:rsid w:val="00EA58F6"/>
    <w:rsid w:val="00EB13DF"/>
    <w:rsid w:val="00EB4F11"/>
    <w:rsid w:val="00EC1291"/>
    <w:rsid w:val="00EC5F42"/>
    <w:rsid w:val="00EC5F60"/>
    <w:rsid w:val="00EC7833"/>
    <w:rsid w:val="00ED6AA1"/>
    <w:rsid w:val="00EF1A8B"/>
    <w:rsid w:val="00EF30D7"/>
    <w:rsid w:val="00EF6806"/>
    <w:rsid w:val="00F05B61"/>
    <w:rsid w:val="00F1023F"/>
    <w:rsid w:val="00F15AA7"/>
    <w:rsid w:val="00F204B6"/>
    <w:rsid w:val="00F2472C"/>
    <w:rsid w:val="00F25261"/>
    <w:rsid w:val="00F2783F"/>
    <w:rsid w:val="00F30EC6"/>
    <w:rsid w:val="00F31139"/>
    <w:rsid w:val="00F32657"/>
    <w:rsid w:val="00F40709"/>
    <w:rsid w:val="00F52C19"/>
    <w:rsid w:val="00F53E75"/>
    <w:rsid w:val="00F54D18"/>
    <w:rsid w:val="00F619D2"/>
    <w:rsid w:val="00F65A8E"/>
    <w:rsid w:val="00F662B7"/>
    <w:rsid w:val="00F72E4C"/>
    <w:rsid w:val="00F80342"/>
    <w:rsid w:val="00F82295"/>
    <w:rsid w:val="00F85934"/>
    <w:rsid w:val="00F86EDA"/>
    <w:rsid w:val="00F87C72"/>
    <w:rsid w:val="00F9057F"/>
    <w:rsid w:val="00F908B9"/>
    <w:rsid w:val="00F90971"/>
    <w:rsid w:val="00F96B12"/>
    <w:rsid w:val="00F96C67"/>
    <w:rsid w:val="00F97A85"/>
    <w:rsid w:val="00F97BAF"/>
    <w:rsid w:val="00FA027C"/>
    <w:rsid w:val="00FA154C"/>
    <w:rsid w:val="00FB4477"/>
    <w:rsid w:val="00FB5B36"/>
    <w:rsid w:val="00FC1AF2"/>
    <w:rsid w:val="00FC2EAB"/>
    <w:rsid w:val="00FC39C6"/>
    <w:rsid w:val="00FC507F"/>
    <w:rsid w:val="00FC6BB3"/>
    <w:rsid w:val="00FC710F"/>
    <w:rsid w:val="00FC7AEB"/>
    <w:rsid w:val="00FD2FA4"/>
    <w:rsid w:val="00FD4110"/>
    <w:rsid w:val="00FD4A21"/>
    <w:rsid w:val="00FD5F7E"/>
    <w:rsid w:val="00FE1065"/>
    <w:rsid w:val="00FE145C"/>
    <w:rsid w:val="00FE15AC"/>
    <w:rsid w:val="00FE1D49"/>
    <w:rsid w:val="00FE709E"/>
    <w:rsid w:val="00FE7E97"/>
    <w:rsid w:val="00FF0E6B"/>
    <w:rsid w:val="00FF2EC6"/>
    <w:rsid w:val="00FF700B"/>
    <w:rsid w:val="010B0536"/>
    <w:rsid w:val="01760416"/>
    <w:rsid w:val="01913CE4"/>
    <w:rsid w:val="01FC09B7"/>
    <w:rsid w:val="02792058"/>
    <w:rsid w:val="02C41C50"/>
    <w:rsid w:val="02D66CFF"/>
    <w:rsid w:val="032B0C4C"/>
    <w:rsid w:val="03A32AA7"/>
    <w:rsid w:val="03A454AD"/>
    <w:rsid w:val="03D06737"/>
    <w:rsid w:val="03D55FAF"/>
    <w:rsid w:val="04022482"/>
    <w:rsid w:val="045B26C4"/>
    <w:rsid w:val="04637D52"/>
    <w:rsid w:val="04CC5C8B"/>
    <w:rsid w:val="052A449C"/>
    <w:rsid w:val="05E40261"/>
    <w:rsid w:val="061D79BB"/>
    <w:rsid w:val="068C1221"/>
    <w:rsid w:val="06971D2A"/>
    <w:rsid w:val="06D57248"/>
    <w:rsid w:val="07894DF8"/>
    <w:rsid w:val="0797428A"/>
    <w:rsid w:val="07B05719"/>
    <w:rsid w:val="09014138"/>
    <w:rsid w:val="09A6023F"/>
    <w:rsid w:val="09EF6361"/>
    <w:rsid w:val="0A230F12"/>
    <w:rsid w:val="0A754F9F"/>
    <w:rsid w:val="0AAD240B"/>
    <w:rsid w:val="0ACA1C0A"/>
    <w:rsid w:val="0BD7795F"/>
    <w:rsid w:val="0C3F14C6"/>
    <w:rsid w:val="0C81125E"/>
    <w:rsid w:val="0D4A001B"/>
    <w:rsid w:val="0D6E581B"/>
    <w:rsid w:val="0D8006BE"/>
    <w:rsid w:val="0E2B3F92"/>
    <w:rsid w:val="0EE33C5C"/>
    <w:rsid w:val="0F1A450C"/>
    <w:rsid w:val="0FA140D9"/>
    <w:rsid w:val="0FCF4803"/>
    <w:rsid w:val="10014724"/>
    <w:rsid w:val="10666866"/>
    <w:rsid w:val="10767FEC"/>
    <w:rsid w:val="10DB268F"/>
    <w:rsid w:val="11A03DC9"/>
    <w:rsid w:val="11D0732A"/>
    <w:rsid w:val="1226336E"/>
    <w:rsid w:val="12785911"/>
    <w:rsid w:val="12C55D2E"/>
    <w:rsid w:val="12D91CD8"/>
    <w:rsid w:val="13212435"/>
    <w:rsid w:val="13B62C7C"/>
    <w:rsid w:val="142B27C9"/>
    <w:rsid w:val="14875BE2"/>
    <w:rsid w:val="15161052"/>
    <w:rsid w:val="152D6AA8"/>
    <w:rsid w:val="15683FFA"/>
    <w:rsid w:val="16EA7278"/>
    <w:rsid w:val="178C1BC9"/>
    <w:rsid w:val="17AA4645"/>
    <w:rsid w:val="18EB2C9C"/>
    <w:rsid w:val="19A00D5B"/>
    <w:rsid w:val="19B94A81"/>
    <w:rsid w:val="19F13CB4"/>
    <w:rsid w:val="1AF358E9"/>
    <w:rsid w:val="1BAE3DAA"/>
    <w:rsid w:val="1C044D4B"/>
    <w:rsid w:val="1C835400"/>
    <w:rsid w:val="1CC4665D"/>
    <w:rsid w:val="1D184D63"/>
    <w:rsid w:val="1DC05073"/>
    <w:rsid w:val="1EEC1FFF"/>
    <w:rsid w:val="201474B7"/>
    <w:rsid w:val="208D68A3"/>
    <w:rsid w:val="209440A5"/>
    <w:rsid w:val="218234C1"/>
    <w:rsid w:val="21992E51"/>
    <w:rsid w:val="21997510"/>
    <w:rsid w:val="224316DD"/>
    <w:rsid w:val="2258084A"/>
    <w:rsid w:val="226D71C9"/>
    <w:rsid w:val="22CA1B74"/>
    <w:rsid w:val="22CE4CFD"/>
    <w:rsid w:val="22E21E52"/>
    <w:rsid w:val="232D4C2C"/>
    <w:rsid w:val="232F3AE5"/>
    <w:rsid w:val="23B43C8B"/>
    <w:rsid w:val="24F0444E"/>
    <w:rsid w:val="2512165C"/>
    <w:rsid w:val="27012A46"/>
    <w:rsid w:val="276500BD"/>
    <w:rsid w:val="27A822C0"/>
    <w:rsid w:val="27F5663C"/>
    <w:rsid w:val="283555C8"/>
    <w:rsid w:val="2886146E"/>
    <w:rsid w:val="28BF7B13"/>
    <w:rsid w:val="28E72F9B"/>
    <w:rsid w:val="292849A6"/>
    <w:rsid w:val="293D6BFB"/>
    <w:rsid w:val="2A1E7E35"/>
    <w:rsid w:val="2A237141"/>
    <w:rsid w:val="2A5F6B89"/>
    <w:rsid w:val="2A7232DE"/>
    <w:rsid w:val="2A971281"/>
    <w:rsid w:val="2B865DA2"/>
    <w:rsid w:val="2BA540F4"/>
    <w:rsid w:val="2BF636E8"/>
    <w:rsid w:val="2C161540"/>
    <w:rsid w:val="2C175C60"/>
    <w:rsid w:val="2C723D76"/>
    <w:rsid w:val="2C742F1C"/>
    <w:rsid w:val="2CD64E9F"/>
    <w:rsid w:val="2CFE4050"/>
    <w:rsid w:val="2D123C74"/>
    <w:rsid w:val="2D1B0741"/>
    <w:rsid w:val="2D620245"/>
    <w:rsid w:val="2D796DED"/>
    <w:rsid w:val="2D857478"/>
    <w:rsid w:val="2E3935EA"/>
    <w:rsid w:val="2E767D19"/>
    <w:rsid w:val="2ECF043A"/>
    <w:rsid w:val="2F0D3A2F"/>
    <w:rsid w:val="2F885FF7"/>
    <w:rsid w:val="30CC7BA3"/>
    <w:rsid w:val="30FF0EE0"/>
    <w:rsid w:val="310C6A96"/>
    <w:rsid w:val="310D52A4"/>
    <w:rsid w:val="31512C44"/>
    <w:rsid w:val="31AF1412"/>
    <w:rsid w:val="326B215F"/>
    <w:rsid w:val="32F62293"/>
    <w:rsid w:val="33A42372"/>
    <w:rsid w:val="347D07F4"/>
    <w:rsid w:val="35286EB3"/>
    <w:rsid w:val="35592C45"/>
    <w:rsid w:val="3570426D"/>
    <w:rsid w:val="358843FB"/>
    <w:rsid w:val="35C45F05"/>
    <w:rsid w:val="35FB2318"/>
    <w:rsid w:val="36436483"/>
    <w:rsid w:val="36796156"/>
    <w:rsid w:val="36AF00C4"/>
    <w:rsid w:val="372870F2"/>
    <w:rsid w:val="373B090B"/>
    <w:rsid w:val="37B706BF"/>
    <w:rsid w:val="38367638"/>
    <w:rsid w:val="390112BB"/>
    <w:rsid w:val="39276181"/>
    <w:rsid w:val="396304F1"/>
    <w:rsid w:val="3A787E80"/>
    <w:rsid w:val="3A7F4299"/>
    <w:rsid w:val="3A937664"/>
    <w:rsid w:val="3AC058DE"/>
    <w:rsid w:val="3AEE21F5"/>
    <w:rsid w:val="3B0F4B1D"/>
    <w:rsid w:val="3B6F03C6"/>
    <w:rsid w:val="3BA04D9E"/>
    <w:rsid w:val="3C452236"/>
    <w:rsid w:val="3D060F2E"/>
    <w:rsid w:val="3D346110"/>
    <w:rsid w:val="3E661450"/>
    <w:rsid w:val="3EC97404"/>
    <w:rsid w:val="3EEE7815"/>
    <w:rsid w:val="3F407E69"/>
    <w:rsid w:val="3F8F72C5"/>
    <w:rsid w:val="3FCA209D"/>
    <w:rsid w:val="40EE3A49"/>
    <w:rsid w:val="40F7192E"/>
    <w:rsid w:val="412E102C"/>
    <w:rsid w:val="41693689"/>
    <w:rsid w:val="417665F6"/>
    <w:rsid w:val="419C001D"/>
    <w:rsid w:val="41FF7B4B"/>
    <w:rsid w:val="42B3123C"/>
    <w:rsid w:val="42C93151"/>
    <w:rsid w:val="42DF08CC"/>
    <w:rsid w:val="42FC3978"/>
    <w:rsid w:val="448E144F"/>
    <w:rsid w:val="44A62DF9"/>
    <w:rsid w:val="450478E5"/>
    <w:rsid w:val="45865E47"/>
    <w:rsid w:val="460A6D31"/>
    <w:rsid w:val="47417453"/>
    <w:rsid w:val="477652A2"/>
    <w:rsid w:val="47A82317"/>
    <w:rsid w:val="47F609B5"/>
    <w:rsid w:val="48494F83"/>
    <w:rsid w:val="48652107"/>
    <w:rsid w:val="488D4E23"/>
    <w:rsid w:val="493B3321"/>
    <w:rsid w:val="49536D33"/>
    <w:rsid w:val="49C54EEF"/>
    <w:rsid w:val="4B3968B8"/>
    <w:rsid w:val="4B5F0452"/>
    <w:rsid w:val="4C84765C"/>
    <w:rsid w:val="4C871976"/>
    <w:rsid w:val="4CD43AE5"/>
    <w:rsid w:val="4CE056E7"/>
    <w:rsid w:val="4D830E1F"/>
    <w:rsid w:val="4DCE212D"/>
    <w:rsid w:val="4E204DB9"/>
    <w:rsid w:val="4E2821E6"/>
    <w:rsid w:val="4E537616"/>
    <w:rsid w:val="4EA353B5"/>
    <w:rsid w:val="4EC947C0"/>
    <w:rsid w:val="4F1B5E99"/>
    <w:rsid w:val="4F4C22D3"/>
    <w:rsid w:val="4F5B1872"/>
    <w:rsid w:val="4F84228D"/>
    <w:rsid w:val="50366101"/>
    <w:rsid w:val="514B39B8"/>
    <w:rsid w:val="52DC4902"/>
    <w:rsid w:val="52E2418D"/>
    <w:rsid w:val="53DD5C49"/>
    <w:rsid w:val="53F8476A"/>
    <w:rsid w:val="546D070F"/>
    <w:rsid w:val="54E54DF7"/>
    <w:rsid w:val="554C022C"/>
    <w:rsid w:val="55545D1C"/>
    <w:rsid w:val="55761AF8"/>
    <w:rsid w:val="55C76473"/>
    <w:rsid w:val="55D87B28"/>
    <w:rsid w:val="56493B9E"/>
    <w:rsid w:val="565031FA"/>
    <w:rsid w:val="566C0045"/>
    <w:rsid w:val="56DD5614"/>
    <w:rsid w:val="56F749D0"/>
    <w:rsid w:val="5807230E"/>
    <w:rsid w:val="58224DF8"/>
    <w:rsid w:val="58C326A8"/>
    <w:rsid w:val="58C82E06"/>
    <w:rsid w:val="58D0729F"/>
    <w:rsid w:val="58D611D2"/>
    <w:rsid w:val="599B1DFC"/>
    <w:rsid w:val="5A2F03B8"/>
    <w:rsid w:val="5A467733"/>
    <w:rsid w:val="5A47527D"/>
    <w:rsid w:val="5AB319B3"/>
    <w:rsid w:val="5B8356A7"/>
    <w:rsid w:val="5B920577"/>
    <w:rsid w:val="5BB348D8"/>
    <w:rsid w:val="5BCA3A6F"/>
    <w:rsid w:val="5C2E0DB3"/>
    <w:rsid w:val="5C38206E"/>
    <w:rsid w:val="5C423C45"/>
    <w:rsid w:val="5C5141D0"/>
    <w:rsid w:val="5D541BE0"/>
    <w:rsid w:val="5E1F1BDB"/>
    <w:rsid w:val="5E2B2D26"/>
    <w:rsid w:val="5EBB1B13"/>
    <w:rsid w:val="5F586E7D"/>
    <w:rsid w:val="5FAA477F"/>
    <w:rsid w:val="5FE95BAC"/>
    <w:rsid w:val="604D16F8"/>
    <w:rsid w:val="6066464F"/>
    <w:rsid w:val="608A3D2E"/>
    <w:rsid w:val="61D00584"/>
    <w:rsid w:val="621F17DC"/>
    <w:rsid w:val="62756CC4"/>
    <w:rsid w:val="62E01DCA"/>
    <w:rsid w:val="631B02B8"/>
    <w:rsid w:val="64FF7C24"/>
    <w:rsid w:val="65415E17"/>
    <w:rsid w:val="667514E2"/>
    <w:rsid w:val="66902933"/>
    <w:rsid w:val="67B02E4B"/>
    <w:rsid w:val="67E52BE0"/>
    <w:rsid w:val="68064081"/>
    <w:rsid w:val="680E51E3"/>
    <w:rsid w:val="68BC1F84"/>
    <w:rsid w:val="68FE11FC"/>
    <w:rsid w:val="691D56F6"/>
    <w:rsid w:val="693D5464"/>
    <w:rsid w:val="69D1246D"/>
    <w:rsid w:val="69F6056C"/>
    <w:rsid w:val="69FD55C5"/>
    <w:rsid w:val="6A0D2355"/>
    <w:rsid w:val="6A123E59"/>
    <w:rsid w:val="6A2808B8"/>
    <w:rsid w:val="6A3D5EAC"/>
    <w:rsid w:val="6A5F6A90"/>
    <w:rsid w:val="6A694C3D"/>
    <w:rsid w:val="6A8B4774"/>
    <w:rsid w:val="6A9C6465"/>
    <w:rsid w:val="6AAF484A"/>
    <w:rsid w:val="6AFC77E8"/>
    <w:rsid w:val="6B384ABA"/>
    <w:rsid w:val="6BCA297C"/>
    <w:rsid w:val="6BEA7637"/>
    <w:rsid w:val="6C315951"/>
    <w:rsid w:val="6C4C7ED2"/>
    <w:rsid w:val="6D1411F8"/>
    <w:rsid w:val="6D234D94"/>
    <w:rsid w:val="6DC93E23"/>
    <w:rsid w:val="6E4B2656"/>
    <w:rsid w:val="6E8A5DD4"/>
    <w:rsid w:val="6E961873"/>
    <w:rsid w:val="6EA66996"/>
    <w:rsid w:val="6EF3043B"/>
    <w:rsid w:val="6FC87349"/>
    <w:rsid w:val="6FF26AA5"/>
    <w:rsid w:val="709D0E64"/>
    <w:rsid w:val="719A6BB9"/>
    <w:rsid w:val="71C65B98"/>
    <w:rsid w:val="72A0508D"/>
    <w:rsid w:val="72D301DE"/>
    <w:rsid w:val="730F7C76"/>
    <w:rsid w:val="74A43B9C"/>
    <w:rsid w:val="74D72E33"/>
    <w:rsid w:val="75E22F12"/>
    <w:rsid w:val="76DB3E0F"/>
    <w:rsid w:val="78F4708C"/>
    <w:rsid w:val="79516649"/>
    <w:rsid w:val="79A32961"/>
    <w:rsid w:val="79FB1288"/>
    <w:rsid w:val="7A2E027E"/>
    <w:rsid w:val="7B206022"/>
    <w:rsid w:val="7B3E07B9"/>
    <w:rsid w:val="7C94630D"/>
    <w:rsid w:val="7DBC41ED"/>
    <w:rsid w:val="7E8C6AA2"/>
    <w:rsid w:val="7ECB7FB8"/>
    <w:rsid w:val="7ECC2A81"/>
    <w:rsid w:val="7F583E69"/>
    <w:rsid w:val="7F767FEF"/>
    <w:rsid w:val="7FDD1BF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99" w:semiHidden="0" w:name="Normal Indent"/>
    <w:lsdException w:qFormat="1" w:unhideWhenUsed="0" w:uiPriority="0" w:semiHidden="0" w:name="footnote text"/>
    <w:lsdException w:qFormat="1" w:unhideWhenUsed="0" w:uiPriority="99" w:semiHidden="0" w:name="annotation text"/>
    <w:lsdException w:qFormat="1" w:uiPriority="0"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qFormat="1" w:unhideWhenUsed="0" w:uiPriority="0" w:semiHidden="0" w:name="HTML Preformatted"/>
    <w:lsdException w:qFormat="1" w:uiPriority="99" w:semiHidden="0" w:name="HTML Sample"/>
    <w:lsdException w:uiPriority="99" w:name="HTML Typewriter"/>
    <w:lsdException w:qFormat="1" w:uiPriority="99"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67"/>
    <w:qFormat/>
    <w:uiPriority w:val="0"/>
    <w:pPr>
      <w:keepNext/>
      <w:keepLines/>
      <w:widowControl/>
      <w:spacing w:line="576" w:lineRule="auto"/>
      <w:jc w:val="left"/>
      <w:outlineLvl w:val="0"/>
    </w:pPr>
    <w:rPr>
      <w:b/>
      <w:bCs/>
      <w:kern w:val="44"/>
      <w:sz w:val="44"/>
      <w:szCs w:val="44"/>
    </w:rPr>
  </w:style>
  <w:style w:type="paragraph" w:styleId="3">
    <w:name w:val="heading 2"/>
    <w:basedOn w:val="1"/>
    <w:next w:val="1"/>
    <w:link w:val="68"/>
    <w:qFormat/>
    <w:uiPriority w:val="0"/>
    <w:pPr>
      <w:keepNext/>
      <w:keepLines/>
      <w:widowControl/>
      <w:spacing w:line="415" w:lineRule="auto"/>
      <w:jc w:val="left"/>
      <w:outlineLvl w:val="1"/>
    </w:pPr>
    <w:rPr>
      <w:rFonts w:ascii="Arial" w:hAnsi="Arial" w:eastAsia="黑体"/>
      <w:b/>
      <w:bCs/>
      <w:kern w:val="0"/>
      <w:sz w:val="32"/>
      <w:szCs w:val="32"/>
    </w:rPr>
  </w:style>
  <w:style w:type="paragraph" w:styleId="4">
    <w:name w:val="heading 3"/>
    <w:basedOn w:val="1"/>
    <w:next w:val="1"/>
    <w:link w:val="69"/>
    <w:qFormat/>
    <w:uiPriority w:val="0"/>
    <w:pPr>
      <w:keepNext/>
      <w:keepLines/>
      <w:wordWrap w:val="0"/>
      <w:spacing w:line="360" w:lineRule="auto"/>
      <w:jc w:val="center"/>
      <w:outlineLvl w:val="2"/>
    </w:pPr>
    <w:rPr>
      <w:b/>
      <w:bCs/>
      <w:snapToGrid w:val="0"/>
      <w:kern w:val="0"/>
      <w:sz w:val="28"/>
      <w:szCs w:val="28"/>
    </w:rPr>
  </w:style>
  <w:style w:type="paragraph" w:styleId="5">
    <w:name w:val="heading 4"/>
    <w:basedOn w:val="1"/>
    <w:next w:val="1"/>
    <w:link w:val="70"/>
    <w:autoRedefine/>
    <w:qFormat/>
    <w:uiPriority w:val="0"/>
    <w:pPr>
      <w:keepNext/>
      <w:keepLines/>
      <w:wordWrap w:val="0"/>
      <w:spacing w:line="374" w:lineRule="auto"/>
      <w:jc w:val="center"/>
      <w:outlineLvl w:val="3"/>
    </w:pPr>
    <w:rPr>
      <w:rFonts w:ascii="Arial" w:hAnsi="Arial" w:eastAsia="黑体"/>
      <w:b/>
      <w:bCs/>
      <w:kern w:val="0"/>
      <w:sz w:val="28"/>
      <w:szCs w:val="28"/>
    </w:rPr>
  </w:style>
  <w:style w:type="paragraph" w:styleId="6">
    <w:name w:val="heading 5"/>
    <w:basedOn w:val="1"/>
    <w:next w:val="1"/>
    <w:link w:val="71"/>
    <w:autoRedefine/>
    <w:qFormat/>
    <w:uiPriority w:val="0"/>
    <w:pPr>
      <w:keepNext/>
      <w:keepLines/>
      <w:widowControl/>
      <w:spacing w:line="374" w:lineRule="auto"/>
      <w:jc w:val="left"/>
      <w:outlineLvl w:val="4"/>
    </w:pPr>
    <w:rPr>
      <w:b/>
      <w:bCs/>
      <w:kern w:val="0"/>
      <w:sz w:val="28"/>
      <w:szCs w:val="28"/>
    </w:rPr>
  </w:style>
  <w:style w:type="paragraph" w:styleId="7">
    <w:name w:val="heading 6"/>
    <w:basedOn w:val="1"/>
    <w:next w:val="1"/>
    <w:link w:val="72"/>
    <w:qFormat/>
    <w:uiPriority w:val="0"/>
    <w:pPr>
      <w:keepNext/>
      <w:keepLines/>
      <w:widowControl/>
      <w:spacing w:line="319" w:lineRule="auto"/>
      <w:jc w:val="left"/>
      <w:outlineLvl w:val="5"/>
    </w:pPr>
    <w:rPr>
      <w:rFonts w:ascii="Arial" w:hAnsi="Arial" w:eastAsia="黑体"/>
      <w:b/>
      <w:bCs/>
      <w:kern w:val="0"/>
      <w:sz w:val="24"/>
      <w:szCs w:val="24"/>
    </w:rPr>
  </w:style>
  <w:style w:type="paragraph" w:styleId="8">
    <w:name w:val="heading 7"/>
    <w:basedOn w:val="1"/>
    <w:next w:val="1"/>
    <w:link w:val="73"/>
    <w:autoRedefine/>
    <w:qFormat/>
    <w:uiPriority w:val="0"/>
    <w:pPr>
      <w:keepNext/>
      <w:keepLines/>
      <w:widowControl/>
      <w:spacing w:line="319" w:lineRule="auto"/>
      <w:jc w:val="left"/>
      <w:outlineLvl w:val="6"/>
    </w:pPr>
    <w:rPr>
      <w:b/>
      <w:bCs/>
      <w:kern w:val="0"/>
      <w:sz w:val="24"/>
      <w:szCs w:val="24"/>
    </w:rPr>
  </w:style>
  <w:style w:type="paragraph" w:styleId="9">
    <w:name w:val="heading 8"/>
    <w:basedOn w:val="1"/>
    <w:next w:val="1"/>
    <w:link w:val="74"/>
    <w:autoRedefine/>
    <w:qFormat/>
    <w:uiPriority w:val="0"/>
    <w:pPr>
      <w:keepNext/>
      <w:keepLines/>
      <w:widowControl/>
      <w:tabs>
        <w:tab w:val="left" w:pos="1440"/>
      </w:tabs>
      <w:spacing w:line="317" w:lineRule="auto"/>
      <w:ind w:left="1440" w:hanging="1440"/>
      <w:jc w:val="left"/>
      <w:outlineLvl w:val="7"/>
    </w:pPr>
    <w:rPr>
      <w:rFonts w:ascii="Arial" w:hAnsi="Arial" w:eastAsia="黑体"/>
      <w:kern w:val="0"/>
      <w:sz w:val="24"/>
      <w:szCs w:val="20"/>
    </w:rPr>
  </w:style>
  <w:style w:type="paragraph" w:styleId="10">
    <w:name w:val="heading 9"/>
    <w:basedOn w:val="1"/>
    <w:next w:val="1"/>
    <w:link w:val="75"/>
    <w:autoRedefine/>
    <w:qFormat/>
    <w:uiPriority w:val="0"/>
    <w:pPr>
      <w:keepNext/>
      <w:keepLines/>
      <w:widowControl/>
      <w:spacing w:line="319" w:lineRule="auto"/>
      <w:jc w:val="left"/>
      <w:outlineLvl w:val="8"/>
    </w:pPr>
    <w:rPr>
      <w:rFonts w:ascii="Arial" w:hAnsi="Arial" w:eastAsia="黑体"/>
      <w:kern w:val="0"/>
      <w:szCs w:val="21"/>
    </w:rPr>
  </w:style>
  <w:style w:type="character" w:default="1" w:styleId="52">
    <w:name w:val="Default Paragraph Font"/>
    <w:semiHidden/>
    <w:unhideWhenUsed/>
    <w:qFormat/>
    <w:uiPriority w:val="1"/>
  </w:style>
  <w:style w:type="table" w:default="1" w:styleId="50">
    <w:name w:val="Normal Table"/>
    <w:semiHidden/>
    <w:unhideWhenUsed/>
    <w:qFormat/>
    <w:uiPriority w:val="99"/>
    <w:tblPr>
      <w:tblCellMar>
        <w:top w:w="0" w:type="dxa"/>
        <w:left w:w="108" w:type="dxa"/>
        <w:bottom w:w="0" w:type="dxa"/>
        <w:right w:w="108" w:type="dxa"/>
      </w:tblCellMar>
    </w:tblPr>
  </w:style>
  <w:style w:type="paragraph" w:styleId="11">
    <w:name w:val="List 3"/>
    <w:basedOn w:val="1"/>
    <w:autoRedefine/>
    <w:qFormat/>
    <w:uiPriority w:val="0"/>
    <w:pPr>
      <w:ind w:left="100" w:leftChars="400" w:hanging="200" w:hangingChars="200"/>
    </w:pPr>
    <w:rPr>
      <w:szCs w:val="24"/>
    </w:rPr>
  </w:style>
  <w:style w:type="paragraph" w:styleId="12">
    <w:name w:val="toc 7"/>
    <w:basedOn w:val="1"/>
    <w:next w:val="1"/>
    <w:autoRedefine/>
    <w:qFormat/>
    <w:uiPriority w:val="39"/>
    <w:pPr>
      <w:widowControl/>
      <w:ind w:left="2520" w:leftChars="1200"/>
      <w:jc w:val="left"/>
    </w:pPr>
    <w:rPr>
      <w:kern w:val="0"/>
      <w:sz w:val="20"/>
      <w:szCs w:val="20"/>
    </w:rPr>
  </w:style>
  <w:style w:type="paragraph" w:styleId="13">
    <w:name w:val="Normal Indent"/>
    <w:basedOn w:val="1"/>
    <w:link w:val="66"/>
    <w:autoRedefine/>
    <w:qFormat/>
    <w:uiPriority w:val="99"/>
    <w:pPr>
      <w:widowControl/>
      <w:ind w:firstLine="420"/>
      <w:jc w:val="left"/>
    </w:pPr>
    <w:rPr>
      <w:kern w:val="0"/>
      <w:sz w:val="20"/>
      <w:szCs w:val="20"/>
    </w:rPr>
  </w:style>
  <w:style w:type="paragraph" w:styleId="14">
    <w:name w:val="caption"/>
    <w:basedOn w:val="1"/>
    <w:next w:val="1"/>
    <w:autoRedefine/>
    <w:qFormat/>
    <w:uiPriority w:val="0"/>
    <w:pPr>
      <w:widowControl/>
      <w:jc w:val="left"/>
    </w:pPr>
    <w:rPr>
      <w:rFonts w:ascii="Arial" w:hAnsi="Arial" w:eastAsia="黑体" w:cs="Arial"/>
      <w:kern w:val="0"/>
      <w:sz w:val="20"/>
      <w:szCs w:val="20"/>
    </w:rPr>
  </w:style>
  <w:style w:type="paragraph" w:styleId="15">
    <w:name w:val="List Bullet"/>
    <w:basedOn w:val="1"/>
    <w:autoRedefine/>
    <w:qFormat/>
    <w:uiPriority w:val="0"/>
    <w:pPr>
      <w:tabs>
        <w:tab w:val="left" w:pos="360"/>
      </w:tabs>
      <w:ind w:left="360" w:hanging="360"/>
    </w:pPr>
    <w:rPr>
      <w:szCs w:val="20"/>
    </w:rPr>
  </w:style>
  <w:style w:type="paragraph" w:styleId="16">
    <w:name w:val="Document Map"/>
    <w:basedOn w:val="1"/>
    <w:link w:val="76"/>
    <w:autoRedefine/>
    <w:qFormat/>
    <w:uiPriority w:val="0"/>
    <w:pPr>
      <w:widowControl/>
      <w:jc w:val="left"/>
    </w:pPr>
    <w:rPr>
      <w:rFonts w:ascii="宋体"/>
      <w:kern w:val="0"/>
      <w:sz w:val="18"/>
      <w:szCs w:val="18"/>
    </w:rPr>
  </w:style>
  <w:style w:type="paragraph" w:styleId="17">
    <w:name w:val="annotation text"/>
    <w:basedOn w:val="1"/>
    <w:link w:val="77"/>
    <w:autoRedefine/>
    <w:qFormat/>
    <w:uiPriority w:val="99"/>
    <w:pPr>
      <w:adjustRightInd w:val="0"/>
      <w:spacing w:line="360" w:lineRule="atLeast"/>
      <w:jc w:val="left"/>
      <w:textAlignment w:val="baseline"/>
    </w:pPr>
    <w:rPr>
      <w:kern w:val="0"/>
      <w:sz w:val="24"/>
      <w:szCs w:val="20"/>
    </w:rPr>
  </w:style>
  <w:style w:type="paragraph" w:styleId="18">
    <w:name w:val="Body Text"/>
    <w:basedOn w:val="1"/>
    <w:link w:val="78"/>
    <w:autoRedefine/>
    <w:qFormat/>
    <w:uiPriority w:val="0"/>
    <w:pPr>
      <w:widowControl/>
      <w:spacing w:line="300" w:lineRule="auto"/>
      <w:jc w:val="center"/>
    </w:pPr>
    <w:rPr>
      <w:b/>
      <w:snapToGrid w:val="0"/>
      <w:kern w:val="0"/>
      <w:sz w:val="36"/>
      <w:szCs w:val="36"/>
    </w:rPr>
  </w:style>
  <w:style w:type="paragraph" w:styleId="19">
    <w:name w:val="Body Text Indent"/>
    <w:basedOn w:val="1"/>
    <w:next w:val="20"/>
    <w:link w:val="79"/>
    <w:autoRedefine/>
    <w:qFormat/>
    <w:uiPriority w:val="0"/>
    <w:pPr>
      <w:widowControl/>
      <w:ind w:left="420" w:leftChars="200"/>
      <w:jc w:val="left"/>
    </w:pPr>
    <w:rPr>
      <w:kern w:val="0"/>
      <w:sz w:val="20"/>
      <w:szCs w:val="20"/>
    </w:rPr>
  </w:style>
  <w:style w:type="paragraph" w:customStyle="1" w:styleId="20">
    <w:name w:val="样式 正文文字缩进 + 小四 首行缩进:  2 字符"/>
    <w:basedOn w:val="1"/>
    <w:autoRedefine/>
    <w:qFormat/>
    <w:uiPriority w:val="0"/>
    <w:pPr>
      <w:spacing w:line="600" w:lineRule="exact"/>
      <w:jc w:val="center"/>
    </w:pPr>
    <w:rPr>
      <w:rFonts w:ascii="宋体"/>
      <w:b/>
      <w:u w:val="double"/>
    </w:rPr>
  </w:style>
  <w:style w:type="paragraph" w:styleId="21">
    <w:name w:val="List 2"/>
    <w:basedOn w:val="1"/>
    <w:autoRedefine/>
    <w:qFormat/>
    <w:uiPriority w:val="0"/>
    <w:pPr>
      <w:ind w:left="100" w:leftChars="200" w:hanging="200" w:hangingChars="200"/>
    </w:pPr>
    <w:rPr>
      <w:szCs w:val="24"/>
    </w:rPr>
  </w:style>
  <w:style w:type="paragraph" w:styleId="22">
    <w:name w:val="Block Text"/>
    <w:basedOn w:val="1"/>
    <w:autoRedefine/>
    <w:qFormat/>
    <w:uiPriority w:val="0"/>
    <w:pPr>
      <w:widowControl/>
      <w:ind w:left="1440" w:right="1440"/>
      <w:jc w:val="left"/>
    </w:pPr>
    <w:rPr>
      <w:kern w:val="0"/>
      <w:sz w:val="20"/>
      <w:szCs w:val="20"/>
    </w:rPr>
  </w:style>
  <w:style w:type="paragraph" w:styleId="23">
    <w:name w:val="toc 5"/>
    <w:basedOn w:val="1"/>
    <w:next w:val="1"/>
    <w:autoRedefine/>
    <w:qFormat/>
    <w:uiPriority w:val="39"/>
    <w:pPr>
      <w:widowControl/>
      <w:ind w:left="1680" w:leftChars="800"/>
      <w:jc w:val="left"/>
    </w:pPr>
    <w:rPr>
      <w:kern w:val="0"/>
      <w:sz w:val="20"/>
      <w:szCs w:val="20"/>
    </w:rPr>
  </w:style>
  <w:style w:type="paragraph" w:styleId="24">
    <w:name w:val="toc 3"/>
    <w:basedOn w:val="1"/>
    <w:next w:val="1"/>
    <w:autoRedefine/>
    <w:qFormat/>
    <w:uiPriority w:val="39"/>
    <w:pPr>
      <w:widowControl/>
      <w:ind w:left="840" w:leftChars="400"/>
      <w:jc w:val="left"/>
    </w:pPr>
    <w:rPr>
      <w:kern w:val="0"/>
      <w:sz w:val="20"/>
      <w:szCs w:val="20"/>
    </w:rPr>
  </w:style>
  <w:style w:type="paragraph" w:styleId="25">
    <w:name w:val="Plain Text"/>
    <w:basedOn w:val="1"/>
    <w:next w:val="1"/>
    <w:link w:val="80"/>
    <w:autoRedefine/>
    <w:qFormat/>
    <w:uiPriority w:val="0"/>
    <w:rPr>
      <w:rFonts w:ascii="宋体" w:hAnsi="Courier New" w:cs="Courier New"/>
      <w:szCs w:val="21"/>
    </w:rPr>
  </w:style>
  <w:style w:type="paragraph" w:styleId="26">
    <w:name w:val="toc 8"/>
    <w:basedOn w:val="1"/>
    <w:next w:val="1"/>
    <w:autoRedefine/>
    <w:qFormat/>
    <w:uiPriority w:val="39"/>
    <w:pPr>
      <w:widowControl/>
      <w:ind w:left="2940" w:leftChars="1400"/>
      <w:jc w:val="left"/>
    </w:pPr>
    <w:rPr>
      <w:kern w:val="0"/>
      <w:sz w:val="20"/>
      <w:szCs w:val="20"/>
    </w:rPr>
  </w:style>
  <w:style w:type="paragraph" w:styleId="27">
    <w:name w:val="Date"/>
    <w:basedOn w:val="1"/>
    <w:next w:val="1"/>
    <w:link w:val="81"/>
    <w:autoRedefine/>
    <w:qFormat/>
    <w:uiPriority w:val="0"/>
    <w:pPr>
      <w:widowControl/>
      <w:ind w:left="100" w:leftChars="2500"/>
      <w:jc w:val="left"/>
    </w:pPr>
    <w:rPr>
      <w:kern w:val="0"/>
      <w:sz w:val="20"/>
      <w:szCs w:val="20"/>
    </w:rPr>
  </w:style>
  <w:style w:type="paragraph" w:styleId="28">
    <w:name w:val="Body Text Indent 2"/>
    <w:basedOn w:val="1"/>
    <w:link w:val="82"/>
    <w:autoRedefine/>
    <w:qFormat/>
    <w:uiPriority w:val="0"/>
    <w:pPr>
      <w:widowControl/>
      <w:spacing w:line="480" w:lineRule="auto"/>
      <w:ind w:left="420" w:leftChars="200"/>
      <w:jc w:val="left"/>
    </w:pPr>
    <w:rPr>
      <w:kern w:val="0"/>
      <w:sz w:val="20"/>
      <w:szCs w:val="20"/>
    </w:rPr>
  </w:style>
  <w:style w:type="paragraph" w:styleId="29">
    <w:name w:val="Balloon Text"/>
    <w:basedOn w:val="1"/>
    <w:link w:val="83"/>
    <w:autoRedefine/>
    <w:qFormat/>
    <w:uiPriority w:val="0"/>
    <w:pPr>
      <w:widowControl/>
      <w:jc w:val="left"/>
    </w:pPr>
    <w:rPr>
      <w:kern w:val="0"/>
      <w:sz w:val="18"/>
      <w:szCs w:val="18"/>
    </w:rPr>
  </w:style>
  <w:style w:type="paragraph" w:styleId="30">
    <w:name w:val="footer"/>
    <w:basedOn w:val="1"/>
    <w:link w:val="84"/>
    <w:autoRedefine/>
    <w:unhideWhenUsed/>
    <w:qFormat/>
    <w:uiPriority w:val="99"/>
    <w:pPr>
      <w:tabs>
        <w:tab w:val="center" w:pos="4153"/>
        <w:tab w:val="right" w:pos="8306"/>
      </w:tabs>
      <w:snapToGrid w:val="0"/>
      <w:jc w:val="left"/>
    </w:pPr>
    <w:rPr>
      <w:sz w:val="18"/>
      <w:szCs w:val="18"/>
    </w:rPr>
  </w:style>
  <w:style w:type="paragraph" w:styleId="31">
    <w:name w:val="header"/>
    <w:basedOn w:val="1"/>
    <w:link w:val="85"/>
    <w:autoRedefine/>
    <w:unhideWhenUsed/>
    <w:qFormat/>
    <w:uiPriority w:val="0"/>
    <w:pPr>
      <w:pBdr>
        <w:bottom w:val="single" w:color="auto" w:sz="6" w:space="1"/>
      </w:pBdr>
      <w:tabs>
        <w:tab w:val="center" w:pos="4153"/>
        <w:tab w:val="right" w:pos="8306"/>
      </w:tabs>
      <w:snapToGrid w:val="0"/>
      <w:jc w:val="center"/>
    </w:pPr>
    <w:rPr>
      <w:sz w:val="18"/>
      <w:szCs w:val="18"/>
    </w:rPr>
  </w:style>
  <w:style w:type="paragraph" w:styleId="32">
    <w:name w:val="Signature"/>
    <w:basedOn w:val="1"/>
    <w:link w:val="86"/>
    <w:autoRedefine/>
    <w:qFormat/>
    <w:uiPriority w:val="0"/>
    <w:pPr>
      <w:ind w:left="100" w:leftChars="2100"/>
    </w:pPr>
    <w:rPr>
      <w:szCs w:val="24"/>
    </w:rPr>
  </w:style>
  <w:style w:type="paragraph" w:styleId="33">
    <w:name w:val="toc 1"/>
    <w:basedOn w:val="1"/>
    <w:next w:val="1"/>
    <w:autoRedefine/>
    <w:qFormat/>
    <w:uiPriority w:val="39"/>
    <w:pPr>
      <w:widowControl/>
      <w:jc w:val="left"/>
    </w:pPr>
    <w:rPr>
      <w:kern w:val="0"/>
      <w:sz w:val="20"/>
      <w:szCs w:val="20"/>
    </w:rPr>
  </w:style>
  <w:style w:type="paragraph" w:styleId="34">
    <w:name w:val="toc 4"/>
    <w:basedOn w:val="1"/>
    <w:next w:val="1"/>
    <w:autoRedefine/>
    <w:qFormat/>
    <w:uiPriority w:val="39"/>
    <w:pPr>
      <w:widowControl/>
      <w:ind w:left="1260" w:leftChars="600"/>
      <w:jc w:val="left"/>
    </w:pPr>
    <w:rPr>
      <w:kern w:val="0"/>
      <w:sz w:val="20"/>
      <w:szCs w:val="20"/>
    </w:rPr>
  </w:style>
  <w:style w:type="paragraph" w:styleId="35">
    <w:name w:val="Subtitle"/>
    <w:basedOn w:val="1"/>
    <w:next w:val="1"/>
    <w:link w:val="87"/>
    <w:autoRedefine/>
    <w:qFormat/>
    <w:uiPriority w:val="0"/>
    <w:pPr>
      <w:spacing w:before="240" w:after="60" w:line="360" w:lineRule="auto"/>
      <w:jc w:val="left"/>
      <w:outlineLvl w:val="1"/>
    </w:pPr>
    <w:rPr>
      <w:rFonts w:ascii="Cambria" w:hAnsi="Cambria" w:eastAsia="黑体"/>
      <w:b/>
      <w:bCs/>
      <w:kern w:val="28"/>
      <w:sz w:val="28"/>
      <w:szCs w:val="32"/>
    </w:rPr>
  </w:style>
  <w:style w:type="paragraph" w:styleId="36">
    <w:name w:val="List"/>
    <w:basedOn w:val="1"/>
    <w:autoRedefine/>
    <w:qFormat/>
    <w:uiPriority w:val="0"/>
    <w:pPr>
      <w:ind w:left="200" w:hanging="200" w:hangingChars="200"/>
    </w:pPr>
    <w:rPr>
      <w:szCs w:val="24"/>
    </w:rPr>
  </w:style>
  <w:style w:type="paragraph" w:styleId="37">
    <w:name w:val="footnote text"/>
    <w:basedOn w:val="1"/>
    <w:link w:val="88"/>
    <w:autoRedefine/>
    <w:qFormat/>
    <w:uiPriority w:val="0"/>
    <w:pPr>
      <w:widowControl/>
      <w:snapToGrid w:val="0"/>
      <w:jc w:val="left"/>
    </w:pPr>
    <w:rPr>
      <w:kern w:val="0"/>
      <w:sz w:val="18"/>
      <w:szCs w:val="18"/>
    </w:rPr>
  </w:style>
  <w:style w:type="paragraph" w:styleId="38">
    <w:name w:val="toc 6"/>
    <w:basedOn w:val="1"/>
    <w:next w:val="1"/>
    <w:autoRedefine/>
    <w:qFormat/>
    <w:uiPriority w:val="39"/>
    <w:pPr>
      <w:widowControl/>
      <w:ind w:left="2100" w:leftChars="1000"/>
      <w:jc w:val="left"/>
    </w:pPr>
    <w:rPr>
      <w:kern w:val="0"/>
      <w:sz w:val="20"/>
      <w:szCs w:val="20"/>
    </w:rPr>
  </w:style>
  <w:style w:type="paragraph" w:styleId="39">
    <w:name w:val="Body Text Indent 3"/>
    <w:basedOn w:val="1"/>
    <w:link w:val="89"/>
    <w:autoRedefine/>
    <w:qFormat/>
    <w:uiPriority w:val="0"/>
    <w:pPr>
      <w:widowControl/>
      <w:ind w:left="420" w:leftChars="200"/>
      <w:jc w:val="left"/>
    </w:pPr>
    <w:rPr>
      <w:kern w:val="0"/>
      <w:sz w:val="16"/>
      <w:szCs w:val="16"/>
    </w:rPr>
  </w:style>
  <w:style w:type="paragraph" w:styleId="40">
    <w:name w:val="toc 2"/>
    <w:basedOn w:val="1"/>
    <w:next w:val="1"/>
    <w:autoRedefine/>
    <w:qFormat/>
    <w:uiPriority w:val="39"/>
    <w:pPr>
      <w:widowControl/>
      <w:ind w:left="420" w:leftChars="200"/>
      <w:jc w:val="left"/>
    </w:pPr>
    <w:rPr>
      <w:kern w:val="0"/>
      <w:sz w:val="20"/>
      <w:szCs w:val="20"/>
    </w:rPr>
  </w:style>
  <w:style w:type="paragraph" w:styleId="41">
    <w:name w:val="toc 9"/>
    <w:basedOn w:val="1"/>
    <w:next w:val="1"/>
    <w:autoRedefine/>
    <w:qFormat/>
    <w:uiPriority w:val="39"/>
    <w:pPr>
      <w:widowControl/>
      <w:ind w:left="3360" w:leftChars="1600"/>
      <w:jc w:val="left"/>
    </w:pPr>
    <w:rPr>
      <w:kern w:val="0"/>
      <w:sz w:val="20"/>
      <w:szCs w:val="20"/>
    </w:rPr>
  </w:style>
  <w:style w:type="paragraph" w:styleId="42">
    <w:name w:val="Body Text 2"/>
    <w:basedOn w:val="1"/>
    <w:link w:val="90"/>
    <w:autoRedefine/>
    <w:qFormat/>
    <w:uiPriority w:val="0"/>
    <w:pPr>
      <w:widowControl/>
      <w:spacing w:line="480" w:lineRule="auto"/>
      <w:jc w:val="left"/>
    </w:pPr>
    <w:rPr>
      <w:kern w:val="0"/>
      <w:sz w:val="20"/>
      <w:szCs w:val="20"/>
    </w:rPr>
  </w:style>
  <w:style w:type="paragraph" w:styleId="43">
    <w:name w:val="HTML Preformatted"/>
    <w:basedOn w:val="1"/>
    <w:link w:val="9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paragraph" w:styleId="44">
    <w:name w:val="Normal (Web)"/>
    <w:basedOn w:val="1"/>
    <w:autoRedefine/>
    <w:unhideWhenUsed/>
    <w:qFormat/>
    <w:uiPriority w:val="0"/>
    <w:pPr>
      <w:widowControl/>
      <w:spacing w:before="100" w:beforeAutospacing="1" w:after="100" w:afterAutospacing="1"/>
      <w:jc w:val="left"/>
    </w:pPr>
    <w:rPr>
      <w:rFonts w:ascii="宋体" w:hAnsi="宋体" w:cs="宋体"/>
      <w:kern w:val="0"/>
      <w:sz w:val="24"/>
      <w:szCs w:val="24"/>
    </w:rPr>
  </w:style>
  <w:style w:type="paragraph" w:styleId="45">
    <w:name w:val="index 1"/>
    <w:basedOn w:val="1"/>
    <w:next w:val="1"/>
    <w:autoRedefine/>
    <w:qFormat/>
    <w:uiPriority w:val="0"/>
    <w:pPr>
      <w:ind w:firstLine="480" w:firstLineChars="200"/>
      <w:jc w:val="center"/>
    </w:pPr>
    <w:rPr>
      <w:sz w:val="24"/>
      <w:szCs w:val="24"/>
    </w:rPr>
  </w:style>
  <w:style w:type="paragraph" w:styleId="46">
    <w:name w:val="Title"/>
    <w:basedOn w:val="1"/>
    <w:link w:val="92"/>
    <w:autoRedefine/>
    <w:qFormat/>
    <w:uiPriority w:val="0"/>
    <w:pPr>
      <w:spacing w:before="240" w:after="60"/>
      <w:jc w:val="center"/>
      <w:outlineLvl w:val="0"/>
    </w:pPr>
    <w:rPr>
      <w:rFonts w:ascii="Arial" w:hAnsi="Arial"/>
      <w:b/>
      <w:bCs/>
      <w:sz w:val="32"/>
      <w:szCs w:val="32"/>
    </w:rPr>
  </w:style>
  <w:style w:type="paragraph" w:styleId="47">
    <w:name w:val="annotation subject"/>
    <w:basedOn w:val="17"/>
    <w:next w:val="17"/>
    <w:link w:val="93"/>
    <w:autoRedefine/>
    <w:qFormat/>
    <w:uiPriority w:val="0"/>
    <w:pPr>
      <w:widowControl/>
      <w:adjustRightInd/>
      <w:spacing w:line="240" w:lineRule="auto"/>
      <w:textAlignment w:val="auto"/>
    </w:pPr>
    <w:rPr>
      <w:b/>
      <w:bCs/>
      <w:sz w:val="20"/>
    </w:rPr>
  </w:style>
  <w:style w:type="paragraph" w:styleId="48">
    <w:name w:val="Body Text First Indent"/>
    <w:basedOn w:val="18"/>
    <w:link w:val="94"/>
    <w:autoRedefine/>
    <w:qFormat/>
    <w:uiPriority w:val="0"/>
    <w:pPr>
      <w:ind w:firstLine="420" w:firstLineChars="100"/>
    </w:pPr>
  </w:style>
  <w:style w:type="paragraph" w:styleId="49">
    <w:name w:val="Body Text First Indent 2"/>
    <w:basedOn w:val="19"/>
    <w:link w:val="95"/>
    <w:autoRedefine/>
    <w:qFormat/>
    <w:uiPriority w:val="0"/>
    <w:pPr>
      <w:widowControl w:val="0"/>
      <w:ind w:firstLine="420" w:firstLineChars="200"/>
      <w:jc w:val="both"/>
    </w:pPr>
    <w:rPr>
      <w:kern w:val="2"/>
      <w:sz w:val="21"/>
      <w:szCs w:val="24"/>
    </w:rPr>
  </w:style>
  <w:style w:type="table" w:styleId="51">
    <w:name w:val="Table Grid"/>
    <w:basedOn w:val="50"/>
    <w:autoRedefine/>
    <w:unhideWhenUsed/>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tcBorders>
        <w:top w:val="single" w:color="auto" w:sz="4" w:space="0"/>
        <w:left w:val="single" w:color="auto" w:sz="4" w:space="0"/>
        <w:bottom w:val="single" w:color="auto" w:sz="4" w:space="0"/>
        <w:right w:val="single" w:color="auto" w:sz="4" w:space="0"/>
      </w:tcBorders>
    </w:tcPr>
  </w:style>
  <w:style w:type="character" w:styleId="53">
    <w:name w:val="Strong"/>
    <w:basedOn w:val="52"/>
    <w:autoRedefine/>
    <w:qFormat/>
    <w:uiPriority w:val="0"/>
    <w:rPr>
      <w:b/>
      <w:bCs/>
    </w:rPr>
  </w:style>
  <w:style w:type="character" w:styleId="54">
    <w:name w:val="page number"/>
    <w:autoRedefine/>
    <w:qFormat/>
    <w:uiPriority w:val="0"/>
  </w:style>
  <w:style w:type="character" w:styleId="55">
    <w:name w:val="FollowedHyperlink"/>
    <w:basedOn w:val="52"/>
    <w:autoRedefine/>
    <w:unhideWhenUsed/>
    <w:qFormat/>
    <w:uiPriority w:val="99"/>
    <w:rPr>
      <w:color w:val="800080"/>
      <w:u w:val="single"/>
    </w:rPr>
  </w:style>
  <w:style w:type="character" w:styleId="56">
    <w:name w:val="Emphasis"/>
    <w:autoRedefine/>
    <w:qFormat/>
    <w:uiPriority w:val="20"/>
  </w:style>
  <w:style w:type="character" w:styleId="57">
    <w:name w:val="HTML Definition"/>
    <w:autoRedefine/>
    <w:unhideWhenUsed/>
    <w:qFormat/>
    <w:uiPriority w:val="99"/>
  </w:style>
  <w:style w:type="character" w:styleId="58">
    <w:name w:val="HTML Variable"/>
    <w:autoRedefine/>
    <w:unhideWhenUsed/>
    <w:qFormat/>
    <w:uiPriority w:val="99"/>
  </w:style>
  <w:style w:type="character" w:styleId="59">
    <w:name w:val="Hyperlink"/>
    <w:autoRedefine/>
    <w:qFormat/>
    <w:uiPriority w:val="99"/>
    <w:rPr>
      <w:color w:val="333333"/>
      <w:u w:val="none"/>
    </w:rPr>
  </w:style>
  <w:style w:type="character" w:styleId="60">
    <w:name w:val="HTML Code"/>
    <w:autoRedefine/>
    <w:unhideWhenUsed/>
    <w:qFormat/>
    <w:uiPriority w:val="99"/>
    <w:rPr>
      <w:rFonts w:ascii="serif" w:hAnsi="serif" w:eastAsia="serif" w:cs="serif"/>
      <w:sz w:val="21"/>
      <w:szCs w:val="21"/>
    </w:rPr>
  </w:style>
  <w:style w:type="character" w:styleId="61">
    <w:name w:val="annotation reference"/>
    <w:autoRedefine/>
    <w:qFormat/>
    <w:uiPriority w:val="99"/>
    <w:rPr>
      <w:sz w:val="21"/>
      <w:szCs w:val="21"/>
    </w:rPr>
  </w:style>
  <w:style w:type="character" w:styleId="62">
    <w:name w:val="HTML Cite"/>
    <w:autoRedefine/>
    <w:unhideWhenUsed/>
    <w:qFormat/>
    <w:uiPriority w:val="99"/>
  </w:style>
  <w:style w:type="character" w:styleId="63">
    <w:name w:val="footnote reference"/>
    <w:autoRedefine/>
    <w:qFormat/>
    <w:uiPriority w:val="0"/>
    <w:rPr>
      <w:vertAlign w:val="superscript"/>
    </w:rPr>
  </w:style>
  <w:style w:type="character" w:styleId="64">
    <w:name w:val="HTML Keyboard"/>
    <w:autoRedefine/>
    <w:unhideWhenUsed/>
    <w:qFormat/>
    <w:uiPriority w:val="99"/>
    <w:rPr>
      <w:rFonts w:hint="default" w:ascii="serif" w:hAnsi="serif" w:eastAsia="serif" w:cs="serif"/>
      <w:sz w:val="21"/>
      <w:szCs w:val="21"/>
    </w:rPr>
  </w:style>
  <w:style w:type="character" w:styleId="65">
    <w:name w:val="HTML Sample"/>
    <w:autoRedefine/>
    <w:unhideWhenUsed/>
    <w:qFormat/>
    <w:uiPriority w:val="99"/>
    <w:rPr>
      <w:rFonts w:hint="default" w:ascii="serif" w:hAnsi="serif" w:eastAsia="serif" w:cs="serif"/>
      <w:vanish/>
      <w:sz w:val="21"/>
      <w:szCs w:val="21"/>
    </w:rPr>
  </w:style>
  <w:style w:type="character" w:customStyle="1" w:styleId="66">
    <w:name w:val="正文缩进 字符1"/>
    <w:link w:val="13"/>
    <w:autoRedefine/>
    <w:qFormat/>
    <w:uiPriority w:val="0"/>
    <w:rPr>
      <w:rFonts w:ascii="Times New Roman" w:hAnsi="Times New Roman" w:eastAsia="宋体" w:cs="Times New Roman"/>
      <w:kern w:val="0"/>
      <w:sz w:val="20"/>
      <w:szCs w:val="20"/>
    </w:rPr>
  </w:style>
  <w:style w:type="character" w:customStyle="1" w:styleId="67">
    <w:name w:val="标题 1 字符"/>
    <w:basedOn w:val="52"/>
    <w:link w:val="2"/>
    <w:autoRedefine/>
    <w:qFormat/>
    <w:uiPriority w:val="9"/>
    <w:rPr>
      <w:rFonts w:ascii="Times New Roman" w:hAnsi="Times New Roman" w:eastAsia="宋体" w:cs="Times New Roman"/>
      <w:b/>
      <w:bCs/>
      <w:kern w:val="44"/>
      <w:sz w:val="44"/>
      <w:szCs w:val="44"/>
    </w:rPr>
  </w:style>
  <w:style w:type="character" w:customStyle="1" w:styleId="68">
    <w:name w:val="标题 2 字符"/>
    <w:basedOn w:val="52"/>
    <w:link w:val="3"/>
    <w:autoRedefine/>
    <w:qFormat/>
    <w:uiPriority w:val="0"/>
    <w:rPr>
      <w:rFonts w:ascii="Arial" w:hAnsi="Arial" w:eastAsia="黑体" w:cs="Times New Roman"/>
      <w:b/>
      <w:bCs/>
      <w:kern w:val="0"/>
      <w:sz w:val="32"/>
      <w:szCs w:val="32"/>
    </w:rPr>
  </w:style>
  <w:style w:type="character" w:customStyle="1" w:styleId="69">
    <w:name w:val="标题 3 字符"/>
    <w:basedOn w:val="52"/>
    <w:link w:val="4"/>
    <w:autoRedefine/>
    <w:qFormat/>
    <w:uiPriority w:val="0"/>
    <w:rPr>
      <w:b/>
      <w:bCs/>
      <w:snapToGrid w:val="0"/>
      <w:sz w:val="28"/>
      <w:szCs w:val="28"/>
    </w:rPr>
  </w:style>
  <w:style w:type="character" w:customStyle="1" w:styleId="70">
    <w:name w:val="标题 4 字符"/>
    <w:basedOn w:val="52"/>
    <w:link w:val="5"/>
    <w:autoRedefine/>
    <w:qFormat/>
    <w:uiPriority w:val="0"/>
    <w:rPr>
      <w:rFonts w:ascii="Arial" w:hAnsi="Arial" w:eastAsia="黑体"/>
      <w:b/>
      <w:bCs/>
      <w:sz w:val="28"/>
      <w:szCs w:val="28"/>
    </w:rPr>
  </w:style>
  <w:style w:type="character" w:customStyle="1" w:styleId="71">
    <w:name w:val="标题 5 字符"/>
    <w:basedOn w:val="52"/>
    <w:link w:val="6"/>
    <w:autoRedefine/>
    <w:qFormat/>
    <w:uiPriority w:val="0"/>
    <w:rPr>
      <w:rFonts w:ascii="Times New Roman" w:hAnsi="Times New Roman" w:eastAsia="宋体" w:cs="Times New Roman"/>
      <w:b/>
      <w:bCs/>
      <w:kern w:val="0"/>
      <w:sz w:val="28"/>
      <w:szCs w:val="28"/>
    </w:rPr>
  </w:style>
  <w:style w:type="character" w:customStyle="1" w:styleId="72">
    <w:name w:val="标题 6 字符"/>
    <w:basedOn w:val="52"/>
    <w:link w:val="7"/>
    <w:autoRedefine/>
    <w:qFormat/>
    <w:uiPriority w:val="0"/>
    <w:rPr>
      <w:rFonts w:ascii="Arial" w:hAnsi="Arial" w:eastAsia="黑体" w:cs="Times New Roman"/>
      <w:b/>
      <w:bCs/>
      <w:kern w:val="0"/>
      <w:sz w:val="24"/>
      <w:szCs w:val="24"/>
    </w:rPr>
  </w:style>
  <w:style w:type="character" w:customStyle="1" w:styleId="73">
    <w:name w:val="标题 7 字符"/>
    <w:basedOn w:val="52"/>
    <w:link w:val="8"/>
    <w:autoRedefine/>
    <w:qFormat/>
    <w:uiPriority w:val="0"/>
    <w:rPr>
      <w:rFonts w:ascii="Times New Roman" w:hAnsi="Times New Roman" w:eastAsia="宋体" w:cs="Times New Roman"/>
      <w:b/>
      <w:bCs/>
      <w:kern w:val="0"/>
      <w:sz w:val="24"/>
      <w:szCs w:val="24"/>
    </w:rPr>
  </w:style>
  <w:style w:type="character" w:customStyle="1" w:styleId="74">
    <w:name w:val="标题 8 字符"/>
    <w:basedOn w:val="52"/>
    <w:link w:val="9"/>
    <w:autoRedefine/>
    <w:qFormat/>
    <w:uiPriority w:val="0"/>
    <w:rPr>
      <w:rFonts w:ascii="Arial" w:hAnsi="Arial" w:eastAsia="黑体" w:cs="Times New Roman"/>
      <w:kern w:val="0"/>
      <w:sz w:val="24"/>
      <w:szCs w:val="20"/>
    </w:rPr>
  </w:style>
  <w:style w:type="character" w:customStyle="1" w:styleId="75">
    <w:name w:val="标题 9 字符"/>
    <w:basedOn w:val="52"/>
    <w:link w:val="10"/>
    <w:autoRedefine/>
    <w:qFormat/>
    <w:uiPriority w:val="0"/>
    <w:rPr>
      <w:rFonts w:ascii="Arial" w:hAnsi="Arial" w:eastAsia="黑体" w:cs="Times New Roman"/>
      <w:kern w:val="0"/>
      <w:szCs w:val="21"/>
    </w:rPr>
  </w:style>
  <w:style w:type="character" w:customStyle="1" w:styleId="76">
    <w:name w:val="文档结构图 字符"/>
    <w:basedOn w:val="52"/>
    <w:link w:val="16"/>
    <w:autoRedefine/>
    <w:qFormat/>
    <w:uiPriority w:val="0"/>
    <w:rPr>
      <w:rFonts w:ascii="宋体" w:hAnsi="Times New Roman" w:eastAsia="宋体" w:cs="Times New Roman"/>
      <w:kern w:val="0"/>
      <w:sz w:val="18"/>
      <w:szCs w:val="18"/>
    </w:rPr>
  </w:style>
  <w:style w:type="character" w:customStyle="1" w:styleId="77">
    <w:name w:val="批注文字 字符2"/>
    <w:basedOn w:val="52"/>
    <w:link w:val="17"/>
    <w:autoRedefine/>
    <w:qFormat/>
    <w:uiPriority w:val="99"/>
    <w:rPr>
      <w:rFonts w:ascii="Times New Roman" w:hAnsi="Times New Roman" w:eastAsia="宋体" w:cs="Times New Roman"/>
      <w:kern w:val="0"/>
      <w:sz w:val="24"/>
      <w:szCs w:val="20"/>
    </w:rPr>
  </w:style>
  <w:style w:type="character" w:customStyle="1" w:styleId="78">
    <w:name w:val="正文文本 字符"/>
    <w:basedOn w:val="52"/>
    <w:link w:val="18"/>
    <w:autoRedefine/>
    <w:qFormat/>
    <w:uiPriority w:val="0"/>
    <w:rPr>
      <w:b/>
      <w:snapToGrid w:val="0"/>
      <w:sz w:val="36"/>
      <w:szCs w:val="36"/>
    </w:rPr>
  </w:style>
  <w:style w:type="character" w:customStyle="1" w:styleId="79">
    <w:name w:val="正文文本缩进 字符"/>
    <w:basedOn w:val="52"/>
    <w:link w:val="19"/>
    <w:autoRedefine/>
    <w:qFormat/>
    <w:uiPriority w:val="0"/>
    <w:rPr>
      <w:rFonts w:ascii="Times New Roman" w:hAnsi="Times New Roman" w:eastAsia="宋体" w:cs="Times New Roman"/>
      <w:kern w:val="0"/>
      <w:sz w:val="20"/>
      <w:szCs w:val="20"/>
    </w:rPr>
  </w:style>
  <w:style w:type="character" w:customStyle="1" w:styleId="80">
    <w:name w:val="纯文本 字符"/>
    <w:basedOn w:val="52"/>
    <w:link w:val="25"/>
    <w:autoRedefine/>
    <w:qFormat/>
    <w:uiPriority w:val="0"/>
    <w:rPr>
      <w:rFonts w:ascii="宋体" w:hAnsi="Courier New" w:eastAsia="宋体" w:cs="Courier New"/>
      <w:szCs w:val="21"/>
    </w:rPr>
  </w:style>
  <w:style w:type="character" w:customStyle="1" w:styleId="81">
    <w:name w:val="日期 字符"/>
    <w:basedOn w:val="52"/>
    <w:link w:val="27"/>
    <w:autoRedefine/>
    <w:qFormat/>
    <w:uiPriority w:val="0"/>
    <w:rPr>
      <w:rFonts w:ascii="Times New Roman" w:hAnsi="Times New Roman" w:eastAsia="宋体" w:cs="Times New Roman"/>
      <w:kern w:val="0"/>
      <w:sz w:val="20"/>
      <w:szCs w:val="20"/>
    </w:rPr>
  </w:style>
  <w:style w:type="character" w:customStyle="1" w:styleId="82">
    <w:name w:val="正文文本缩进 2 字符"/>
    <w:basedOn w:val="52"/>
    <w:link w:val="28"/>
    <w:autoRedefine/>
    <w:qFormat/>
    <w:uiPriority w:val="0"/>
    <w:rPr>
      <w:rFonts w:ascii="Times New Roman" w:hAnsi="Times New Roman" w:eastAsia="宋体" w:cs="Times New Roman"/>
      <w:kern w:val="0"/>
      <w:sz w:val="20"/>
      <w:szCs w:val="20"/>
    </w:rPr>
  </w:style>
  <w:style w:type="character" w:customStyle="1" w:styleId="83">
    <w:name w:val="批注框文本 字符"/>
    <w:basedOn w:val="52"/>
    <w:link w:val="29"/>
    <w:autoRedefine/>
    <w:qFormat/>
    <w:uiPriority w:val="0"/>
    <w:rPr>
      <w:rFonts w:ascii="Times New Roman" w:hAnsi="Times New Roman" w:eastAsia="宋体" w:cs="Times New Roman"/>
      <w:kern w:val="0"/>
      <w:sz w:val="18"/>
      <w:szCs w:val="18"/>
    </w:rPr>
  </w:style>
  <w:style w:type="character" w:customStyle="1" w:styleId="84">
    <w:name w:val="页脚 字符"/>
    <w:basedOn w:val="52"/>
    <w:link w:val="30"/>
    <w:autoRedefine/>
    <w:qFormat/>
    <w:uiPriority w:val="99"/>
    <w:rPr>
      <w:sz w:val="18"/>
      <w:szCs w:val="18"/>
    </w:rPr>
  </w:style>
  <w:style w:type="character" w:customStyle="1" w:styleId="85">
    <w:name w:val="页眉 字符"/>
    <w:basedOn w:val="52"/>
    <w:link w:val="31"/>
    <w:autoRedefine/>
    <w:qFormat/>
    <w:uiPriority w:val="0"/>
    <w:rPr>
      <w:sz w:val="18"/>
      <w:szCs w:val="18"/>
    </w:rPr>
  </w:style>
  <w:style w:type="character" w:customStyle="1" w:styleId="86">
    <w:name w:val="签名 字符"/>
    <w:basedOn w:val="52"/>
    <w:link w:val="32"/>
    <w:autoRedefine/>
    <w:qFormat/>
    <w:uiPriority w:val="0"/>
    <w:rPr>
      <w:rFonts w:ascii="Times New Roman" w:hAnsi="Times New Roman" w:eastAsia="宋体" w:cs="Times New Roman"/>
      <w:szCs w:val="24"/>
    </w:rPr>
  </w:style>
  <w:style w:type="character" w:customStyle="1" w:styleId="87">
    <w:name w:val="副标题 字符"/>
    <w:basedOn w:val="52"/>
    <w:link w:val="35"/>
    <w:autoRedefine/>
    <w:qFormat/>
    <w:uiPriority w:val="0"/>
    <w:rPr>
      <w:rFonts w:ascii="Cambria" w:hAnsi="Cambria" w:eastAsia="黑体" w:cs="Times New Roman"/>
      <w:b/>
      <w:bCs/>
      <w:kern w:val="28"/>
      <w:sz w:val="28"/>
      <w:szCs w:val="32"/>
    </w:rPr>
  </w:style>
  <w:style w:type="character" w:customStyle="1" w:styleId="88">
    <w:name w:val="脚注文本 字符"/>
    <w:basedOn w:val="52"/>
    <w:link w:val="37"/>
    <w:autoRedefine/>
    <w:qFormat/>
    <w:uiPriority w:val="0"/>
    <w:rPr>
      <w:rFonts w:ascii="Times New Roman" w:hAnsi="Times New Roman" w:eastAsia="宋体" w:cs="Times New Roman"/>
      <w:kern w:val="0"/>
      <w:sz w:val="18"/>
      <w:szCs w:val="18"/>
    </w:rPr>
  </w:style>
  <w:style w:type="character" w:customStyle="1" w:styleId="89">
    <w:name w:val="正文文本缩进 3 字符"/>
    <w:basedOn w:val="52"/>
    <w:link w:val="39"/>
    <w:autoRedefine/>
    <w:qFormat/>
    <w:uiPriority w:val="0"/>
    <w:rPr>
      <w:rFonts w:ascii="Times New Roman" w:hAnsi="Times New Roman" w:eastAsia="宋体" w:cs="Times New Roman"/>
      <w:kern w:val="0"/>
      <w:sz w:val="16"/>
      <w:szCs w:val="16"/>
    </w:rPr>
  </w:style>
  <w:style w:type="character" w:customStyle="1" w:styleId="90">
    <w:name w:val="正文文本 2 字符"/>
    <w:basedOn w:val="52"/>
    <w:link w:val="42"/>
    <w:autoRedefine/>
    <w:qFormat/>
    <w:uiPriority w:val="0"/>
    <w:rPr>
      <w:rFonts w:ascii="Times New Roman" w:hAnsi="Times New Roman" w:eastAsia="宋体" w:cs="Times New Roman"/>
      <w:kern w:val="0"/>
      <w:sz w:val="20"/>
      <w:szCs w:val="20"/>
    </w:rPr>
  </w:style>
  <w:style w:type="character" w:customStyle="1" w:styleId="91">
    <w:name w:val="HTML 预设格式 字符"/>
    <w:basedOn w:val="52"/>
    <w:link w:val="43"/>
    <w:autoRedefine/>
    <w:qFormat/>
    <w:uiPriority w:val="0"/>
    <w:rPr>
      <w:rFonts w:ascii="宋体" w:hAnsi="宋体" w:eastAsia="宋体" w:cs="宋体"/>
      <w:kern w:val="0"/>
      <w:sz w:val="24"/>
      <w:szCs w:val="24"/>
    </w:rPr>
  </w:style>
  <w:style w:type="character" w:customStyle="1" w:styleId="92">
    <w:name w:val="标题 字符"/>
    <w:basedOn w:val="52"/>
    <w:link w:val="46"/>
    <w:autoRedefine/>
    <w:qFormat/>
    <w:uiPriority w:val="0"/>
    <w:rPr>
      <w:rFonts w:ascii="Arial" w:hAnsi="Arial" w:eastAsia="宋体" w:cs="Times New Roman"/>
      <w:b/>
      <w:bCs/>
      <w:sz w:val="32"/>
      <w:szCs w:val="32"/>
    </w:rPr>
  </w:style>
  <w:style w:type="character" w:customStyle="1" w:styleId="93">
    <w:name w:val="批注主题 字符"/>
    <w:basedOn w:val="77"/>
    <w:link w:val="47"/>
    <w:autoRedefine/>
    <w:qFormat/>
    <w:uiPriority w:val="0"/>
    <w:rPr>
      <w:rFonts w:ascii="Times New Roman" w:hAnsi="Times New Roman" w:eastAsia="宋体" w:cs="Times New Roman"/>
      <w:b/>
      <w:bCs/>
      <w:kern w:val="0"/>
      <w:sz w:val="20"/>
      <w:szCs w:val="20"/>
    </w:rPr>
  </w:style>
  <w:style w:type="character" w:customStyle="1" w:styleId="94">
    <w:name w:val="正文首行缩进 字符"/>
    <w:basedOn w:val="78"/>
    <w:link w:val="48"/>
    <w:autoRedefine/>
    <w:qFormat/>
    <w:uiPriority w:val="0"/>
    <w:rPr>
      <w:rFonts w:ascii="Times New Roman" w:hAnsi="Times New Roman" w:eastAsia="宋体" w:cs="Times New Roman"/>
      <w:snapToGrid w:val="0"/>
      <w:kern w:val="0"/>
      <w:sz w:val="20"/>
      <w:szCs w:val="20"/>
    </w:rPr>
  </w:style>
  <w:style w:type="character" w:customStyle="1" w:styleId="95">
    <w:name w:val="正文首行缩进 2 字符"/>
    <w:basedOn w:val="79"/>
    <w:link w:val="49"/>
    <w:autoRedefine/>
    <w:qFormat/>
    <w:uiPriority w:val="0"/>
    <w:rPr>
      <w:rFonts w:ascii="Times New Roman" w:hAnsi="Times New Roman" w:eastAsia="宋体" w:cs="Times New Roman"/>
      <w:kern w:val="0"/>
      <w:sz w:val="20"/>
      <w:szCs w:val="24"/>
    </w:rPr>
  </w:style>
  <w:style w:type="character" w:customStyle="1" w:styleId="96">
    <w:name w:val="HTML Markup"/>
    <w:autoRedefine/>
    <w:qFormat/>
    <w:uiPriority w:val="0"/>
    <w:rPr>
      <w:vanish/>
      <w:color w:val="FF0000"/>
    </w:rPr>
  </w:style>
  <w:style w:type="character" w:customStyle="1" w:styleId="97">
    <w:name w:val="javascript"/>
    <w:qFormat/>
    <w:uiPriority w:val="0"/>
  </w:style>
  <w:style w:type="character" w:customStyle="1" w:styleId="98">
    <w:name w:val="页脚 Char1"/>
    <w:basedOn w:val="52"/>
    <w:autoRedefine/>
    <w:semiHidden/>
    <w:qFormat/>
    <w:uiPriority w:val="99"/>
    <w:rPr>
      <w:kern w:val="2"/>
      <w:sz w:val="18"/>
      <w:szCs w:val="18"/>
    </w:rPr>
  </w:style>
  <w:style w:type="character" w:customStyle="1" w:styleId="99">
    <w:name w:val="样式1 Char"/>
    <w:link w:val="100"/>
    <w:autoRedefine/>
    <w:qFormat/>
    <w:uiPriority w:val="0"/>
    <w:rPr>
      <w:rFonts w:ascii="黑体" w:hAnsi="Arial" w:eastAsia="黑体"/>
      <w:b/>
      <w:bCs/>
      <w:sz w:val="24"/>
      <w:szCs w:val="30"/>
    </w:rPr>
  </w:style>
  <w:style w:type="paragraph" w:customStyle="1" w:styleId="100">
    <w:name w:val="样式1"/>
    <w:basedOn w:val="5"/>
    <w:link w:val="99"/>
    <w:autoRedefine/>
    <w:qFormat/>
    <w:uiPriority w:val="0"/>
    <w:rPr>
      <w:rFonts w:ascii="黑体"/>
      <w:sz w:val="24"/>
      <w:szCs w:val="30"/>
    </w:rPr>
  </w:style>
  <w:style w:type="character" w:customStyle="1" w:styleId="101">
    <w:name w:val="未处理的提及1"/>
    <w:unhideWhenUsed/>
    <w:qFormat/>
    <w:uiPriority w:val="99"/>
    <w:rPr>
      <w:color w:val="605E5C"/>
      <w:shd w:val="clear" w:color="auto" w:fill="E1DFDD"/>
    </w:rPr>
  </w:style>
  <w:style w:type="character" w:customStyle="1" w:styleId="102">
    <w:name w:val="zbggmain style9"/>
    <w:qFormat/>
    <w:uiPriority w:val="0"/>
  </w:style>
  <w:style w:type="character" w:customStyle="1" w:styleId="103">
    <w:name w:val="first-child"/>
    <w:autoRedefine/>
    <w:qFormat/>
    <w:uiPriority w:val="0"/>
  </w:style>
  <w:style w:type="character" w:customStyle="1" w:styleId="104">
    <w:name w:val="标题 1 字符2"/>
    <w:autoRedefine/>
    <w:qFormat/>
    <w:uiPriority w:val="0"/>
    <w:rPr>
      <w:b/>
      <w:bCs/>
      <w:kern w:val="44"/>
      <w:sz w:val="44"/>
      <w:szCs w:val="44"/>
    </w:rPr>
  </w:style>
  <w:style w:type="character" w:customStyle="1" w:styleId="105">
    <w:name w:val="ca-01"/>
    <w:autoRedefine/>
    <w:qFormat/>
    <w:uiPriority w:val="0"/>
    <w:rPr>
      <w:rFonts w:hint="eastAsia" w:ascii="宋体" w:hAnsi="宋体" w:eastAsia="宋体"/>
      <w:b/>
      <w:bCs/>
      <w:spacing w:val="-20"/>
      <w:sz w:val="52"/>
      <w:szCs w:val="52"/>
    </w:rPr>
  </w:style>
  <w:style w:type="character" w:customStyle="1" w:styleId="106">
    <w:name w:val="页眉 Char1"/>
    <w:basedOn w:val="52"/>
    <w:autoRedefine/>
    <w:semiHidden/>
    <w:qFormat/>
    <w:uiPriority w:val="99"/>
    <w:rPr>
      <w:kern w:val="2"/>
      <w:sz w:val="18"/>
      <w:szCs w:val="18"/>
    </w:rPr>
  </w:style>
  <w:style w:type="character" w:customStyle="1" w:styleId="107">
    <w:name w:val="正文1"/>
    <w:autoRedefine/>
    <w:qFormat/>
    <w:uiPriority w:val="0"/>
    <w:rPr>
      <w:b/>
      <w:color w:val="4371A0"/>
      <w:sz w:val="18"/>
      <w:szCs w:val="18"/>
    </w:rPr>
  </w:style>
  <w:style w:type="character" w:customStyle="1" w:styleId="108">
    <w:name w:val="tabtitle"/>
    <w:autoRedefine/>
    <w:qFormat/>
    <w:uiPriority w:val="0"/>
    <w:rPr>
      <w:b/>
      <w:color w:val="4371A0"/>
      <w:sz w:val="18"/>
      <w:szCs w:val="18"/>
      <w:bdr w:val="single" w:color="B3C8DB" w:sz="4" w:space="0"/>
    </w:rPr>
  </w:style>
  <w:style w:type="character" w:customStyle="1" w:styleId="109">
    <w:name w:val="style11"/>
    <w:autoRedefine/>
    <w:qFormat/>
    <w:uiPriority w:val="0"/>
    <w:rPr>
      <w:b/>
      <w:bCs/>
    </w:rPr>
  </w:style>
  <w:style w:type="character" w:customStyle="1" w:styleId="110">
    <w:name w:val="Char Char4"/>
    <w:autoRedefine/>
    <w:qFormat/>
    <w:uiPriority w:val="0"/>
  </w:style>
  <w:style w:type="character" w:customStyle="1" w:styleId="111">
    <w:name w:val="列表段落 字符"/>
    <w:autoRedefine/>
    <w:qFormat/>
    <w:uiPriority w:val="34"/>
    <w:rPr>
      <w:rFonts w:ascii="Calibri" w:hAnsi="Calibri" w:eastAsia="宋体" w:cs="Times New Roman"/>
    </w:rPr>
  </w:style>
  <w:style w:type="character" w:customStyle="1" w:styleId="112">
    <w:name w:val="标题 4 字符1"/>
    <w:autoRedefine/>
    <w:qFormat/>
    <w:uiPriority w:val="0"/>
    <w:rPr>
      <w:rFonts w:ascii="Arial" w:hAnsi="Arial" w:eastAsia="黑体"/>
      <w:b/>
      <w:bCs/>
      <w:sz w:val="28"/>
      <w:szCs w:val="28"/>
    </w:rPr>
  </w:style>
  <w:style w:type="character" w:customStyle="1" w:styleId="113">
    <w:name w:val="正文1 字符"/>
    <w:link w:val="114"/>
    <w:autoRedefine/>
    <w:qFormat/>
    <w:uiPriority w:val="0"/>
    <w:rPr>
      <w:rFonts w:cs="Arial"/>
      <w:sz w:val="24"/>
      <w:szCs w:val="28"/>
    </w:rPr>
  </w:style>
  <w:style w:type="paragraph" w:customStyle="1" w:styleId="114">
    <w:name w:val="正文11"/>
    <w:basedOn w:val="1"/>
    <w:link w:val="113"/>
    <w:qFormat/>
    <w:uiPriority w:val="0"/>
    <w:pPr>
      <w:spacing w:line="360" w:lineRule="auto"/>
      <w:ind w:firstLine="200" w:firstLineChars="200"/>
    </w:pPr>
    <w:rPr>
      <w:kern w:val="0"/>
      <w:sz w:val="24"/>
      <w:szCs w:val="28"/>
    </w:rPr>
  </w:style>
  <w:style w:type="character" w:customStyle="1" w:styleId="115">
    <w:name w:val="layui-this"/>
    <w:autoRedefine/>
    <w:qFormat/>
    <w:uiPriority w:val="0"/>
    <w:rPr>
      <w:bdr w:val="single" w:color="EEEEEE" w:sz="4" w:space="0"/>
      <w:shd w:val="clear" w:color="auto" w:fill="FFFFFF"/>
    </w:rPr>
  </w:style>
  <w:style w:type="character" w:customStyle="1" w:styleId="116">
    <w:name w:val="正文缩进2格 Char"/>
    <w:link w:val="117"/>
    <w:autoRedefine/>
    <w:qFormat/>
    <w:uiPriority w:val="0"/>
    <w:rPr>
      <w:rFonts w:ascii="仿宋_GB2312" w:hAnsi="宋体" w:eastAsia="仿宋_GB2312"/>
      <w:sz w:val="31"/>
    </w:rPr>
  </w:style>
  <w:style w:type="paragraph" w:customStyle="1" w:styleId="117">
    <w:name w:val="正文缩进2格"/>
    <w:basedOn w:val="1"/>
    <w:link w:val="116"/>
    <w:autoRedefine/>
    <w:qFormat/>
    <w:uiPriority w:val="0"/>
    <w:pPr>
      <w:widowControl/>
      <w:spacing w:line="600" w:lineRule="exact"/>
      <w:ind w:firstLine="639" w:firstLineChars="206"/>
      <w:jc w:val="left"/>
    </w:pPr>
    <w:rPr>
      <w:rFonts w:ascii="仿宋_GB2312" w:hAnsi="宋体" w:eastAsia="仿宋_GB2312"/>
      <w:kern w:val="0"/>
      <w:sz w:val="31"/>
      <w:szCs w:val="20"/>
    </w:rPr>
  </w:style>
  <w:style w:type="character" w:customStyle="1" w:styleId="118">
    <w:name w:val="right2"/>
    <w:autoRedefine/>
    <w:qFormat/>
    <w:uiPriority w:val="0"/>
  </w:style>
  <w:style w:type="character" w:customStyle="1" w:styleId="119">
    <w:name w:val="批注文字 字符"/>
    <w:autoRedefine/>
    <w:semiHidden/>
    <w:qFormat/>
    <w:uiPriority w:val="99"/>
  </w:style>
  <w:style w:type="character" w:customStyle="1" w:styleId="120">
    <w:name w:val="纯文本 Char1"/>
    <w:autoRedefine/>
    <w:qFormat/>
    <w:uiPriority w:val="0"/>
    <w:rPr>
      <w:rFonts w:ascii="宋体" w:hAnsi="Courier New" w:eastAsia="宋体" w:cs="Courier New"/>
      <w:kern w:val="2"/>
      <w:sz w:val="21"/>
      <w:szCs w:val="21"/>
      <w:lang w:val="en-US" w:eastAsia="zh-CN" w:bidi="ar-SA"/>
    </w:rPr>
  </w:style>
  <w:style w:type="character" w:customStyle="1" w:styleId="121">
    <w:name w:val="无间隔 字符1"/>
    <w:link w:val="122"/>
    <w:autoRedefine/>
    <w:qFormat/>
    <w:uiPriority w:val="0"/>
    <w:rPr>
      <w:rFonts w:ascii="Tahoma" w:hAnsi="Tahoma" w:eastAsia="微软雅黑"/>
      <w:sz w:val="22"/>
      <w:lang w:val="en-US" w:eastAsia="zh-CN" w:bidi="ar-SA"/>
    </w:rPr>
  </w:style>
  <w:style w:type="paragraph" w:customStyle="1" w:styleId="122">
    <w:name w:val="无间隔1"/>
    <w:link w:val="121"/>
    <w:autoRedefine/>
    <w:qFormat/>
    <w:uiPriority w:val="0"/>
    <w:pPr>
      <w:adjustRightInd w:val="0"/>
      <w:snapToGrid w:val="0"/>
    </w:pPr>
    <w:rPr>
      <w:rFonts w:ascii="Tahoma" w:hAnsi="Tahoma" w:eastAsia="微软雅黑" w:cs="Times New Roman"/>
      <w:sz w:val="22"/>
      <w:lang w:val="en-US" w:eastAsia="zh-CN" w:bidi="ar-SA"/>
    </w:rPr>
  </w:style>
  <w:style w:type="character" w:customStyle="1" w:styleId="123">
    <w:name w:val="fontborder"/>
    <w:autoRedefine/>
    <w:qFormat/>
    <w:uiPriority w:val="0"/>
    <w:rPr>
      <w:bdr w:val="single" w:color="000000" w:sz="4" w:space="0"/>
    </w:rPr>
  </w:style>
  <w:style w:type="character" w:customStyle="1" w:styleId="124">
    <w:name w:val="Char Char3"/>
    <w:autoRedefine/>
    <w:qFormat/>
    <w:uiPriority w:val="0"/>
    <w:rPr>
      <w:sz w:val="18"/>
    </w:rPr>
  </w:style>
  <w:style w:type="character" w:customStyle="1" w:styleId="125">
    <w:name w:val="副标题 Char1"/>
    <w:autoRedefine/>
    <w:qFormat/>
    <w:uiPriority w:val="11"/>
    <w:rPr>
      <w:rFonts w:ascii="Cambria" w:hAnsi="Cambria" w:cs="Times New Roman"/>
      <w:b/>
      <w:bCs/>
      <w:kern w:val="28"/>
      <w:sz w:val="32"/>
      <w:szCs w:val="32"/>
    </w:rPr>
  </w:style>
  <w:style w:type="character" w:customStyle="1" w:styleId="126">
    <w:name w:val="正文缩进 字符"/>
    <w:autoRedefine/>
    <w:qFormat/>
    <w:uiPriority w:val="0"/>
    <w:rPr>
      <w:rFonts w:ascii="Times New Roman" w:hAnsi="Times New Roman" w:eastAsia="宋体" w:cs="Times New Roman"/>
      <w:sz w:val="24"/>
      <w:szCs w:val="20"/>
    </w:rPr>
  </w:style>
  <w:style w:type="character" w:customStyle="1" w:styleId="127">
    <w:name w:val="fontstrikethrough"/>
    <w:autoRedefine/>
    <w:qFormat/>
    <w:uiPriority w:val="0"/>
    <w:rPr>
      <w:strike/>
    </w:rPr>
  </w:style>
  <w:style w:type="character" w:customStyle="1" w:styleId="128">
    <w:name w:val="列出段落 字符"/>
    <w:link w:val="129"/>
    <w:autoRedefine/>
    <w:qFormat/>
    <w:uiPriority w:val="34"/>
  </w:style>
  <w:style w:type="paragraph" w:customStyle="1" w:styleId="129">
    <w:name w:val="列出段落1"/>
    <w:basedOn w:val="1"/>
    <w:link w:val="128"/>
    <w:autoRedefine/>
    <w:qFormat/>
    <w:uiPriority w:val="34"/>
    <w:pPr>
      <w:ind w:firstLine="420" w:firstLineChars="200"/>
    </w:pPr>
    <w:rPr>
      <w:rFonts w:ascii="Calibri" w:hAnsi="Calibri"/>
    </w:rPr>
  </w:style>
  <w:style w:type="character" w:customStyle="1" w:styleId="130">
    <w:name w:val="more"/>
    <w:autoRedefine/>
    <w:qFormat/>
    <w:uiPriority w:val="0"/>
  </w:style>
  <w:style w:type="character" w:customStyle="1" w:styleId="131">
    <w:name w:val="样式2 Char"/>
    <w:link w:val="132"/>
    <w:autoRedefine/>
    <w:qFormat/>
    <w:uiPriority w:val="0"/>
    <w:rPr>
      <w:rFonts w:ascii="黑体" w:hAnsi="Arial" w:eastAsia="黑体"/>
      <w:b/>
      <w:bCs/>
      <w:sz w:val="24"/>
      <w:szCs w:val="30"/>
    </w:rPr>
  </w:style>
  <w:style w:type="paragraph" w:customStyle="1" w:styleId="132">
    <w:name w:val="样式2"/>
    <w:basedOn w:val="5"/>
    <w:next w:val="5"/>
    <w:link w:val="131"/>
    <w:autoRedefine/>
    <w:qFormat/>
    <w:uiPriority w:val="0"/>
    <w:rPr>
      <w:rFonts w:ascii="黑体"/>
      <w:sz w:val="24"/>
      <w:szCs w:val="30"/>
    </w:rPr>
  </w:style>
  <w:style w:type="character" w:customStyle="1" w:styleId="133">
    <w:name w:val="无间隔 字符"/>
    <w:autoRedefine/>
    <w:qFormat/>
    <w:uiPriority w:val="0"/>
    <w:rPr>
      <w:rFonts w:ascii="Calibri" w:hAnsi="Calibri"/>
      <w:sz w:val="22"/>
      <w:szCs w:val="22"/>
      <w:lang w:val="en-US" w:eastAsia="zh-CN" w:bidi="ar-SA"/>
    </w:rPr>
  </w:style>
  <w:style w:type="character" w:customStyle="1" w:styleId="134">
    <w:name w:val="批注文字 字符1"/>
    <w:autoRedefine/>
    <w:qFormat/>
    <w:uiPriority w:val="0"/>
    <w:rPr>
      <w:rFonts w:eastAsia="宋体"/>
      <w:sz w:val="24"/>
      <w:lang w:val="en-US" w:eastAsia="zh-CN" w:bidi="ar-SA"/>
    </w:rPr>
  </w:style>
  <w:style w:type="character" w:customStyle="1" w:styleId="135">
    <w:name w:val="标题 2 字符1"/>
    <w:autoRedefine/>
    <w:qFormat/>
    <w:uiPriority w:val="0"/>
    <w:rPr>
      <w:rFonts w:ascii="Arial" w:hAnsi="Arial" w:eastAsia="黑体"/>
      <w:b/>
      <w:bCs/>
      <w:sz w:val="32"/>
      <w:szCs w:val="32"/>
    </w:rPr>
  </w:style>
  <w:style w:type="character" w:customStyle="1" w:styleId="136">
    <w:name w:val="标题 Char1"/>
    <w:autoRedefine/>
    <w:qFormat/>
    <w:uiPriority w:val="10"/>
    <w:rPr>
      <w:rFonts w:ascii="Cambria" w:hAnsi="Cambria" w:cs="Times New Roman"/>
      <w:b/>
      <w:bCs/>
      <w:sz w:val="32"/>
      <w:szCs w:val="32"/>
    </w:rPr>
  </w:style>
  <w:style w:type="character" w:customStyle="1" w:styleId="137">
    <w:name w:val="样式3"/>
    <w:autoRedefine/>
    <w:qFormat/>
    <w:uiPriority w:val="0"/>
    <w:rPr>
      <w:rFonts w:ascii="黑体" w:hAnsi="黑体" w:eastAsia="宋体"/>
      <w:color w:val="FF0000"/>
      <w:sz w:val="21"/>
      <w:szCs w:val="30"/>
    </w:rPr>
  </w:style>
  <w:style w:type="paragraph" w:customStyle="1" w:styleId="138">
    <w:name w:val="TOC 标题1"/>
    <w:basedOn w:val="2"/>
    <w:next w:val="1"/>
    <w:autoRedefine/>
    <w:qFormat/>
    <w:uiPriority w:val="0"/>
    <w:pPr>
      <w:spacing w:line="578" w:lineRule="auto"/>
      <w:outlineLvl w:val="9"/>
    </w:pPr>
  </w:style>
  <w:style w:type="paragraph" w:customStyle="1" w:styleId="139">
    <w:name w:val="Normal_4"/>
    <w:autoRedefine/>
    <w:qFormat/>
    <w:uiPriority w:val="0"/>
    <w:pPr>
      <w:widowControl w:val="0"/>
      <w:jc w:val="both"/>
    </w:pPr>
    <w:rPr>
      <w:rFonts w:ascii="Times New Roman" w:hAnsi="Times New Roman" w:eastAsia="宋体" w:cs="Times New Roman"/>
      <w:lang w:val="en-US" w:eastAsia="zh-CN" w:bidi="ar-SA"/>
    </w:rPr>
  </w:style>
  <w:style w:type="paragraph" w:customStyle="1" w:styleId="140">
    <w:name w:val="列出段落1_0"/>
    <w:basedOn w:val="1"/>
    <w:autoRedefine/>
    <w:unhideWhenUsed/>
    <w:qFormat/>
    <w:uiPriority w:val="34"/>
    <w:pPr>
      <w:widowControl/>
      <w:ind w:firstLine="420" w:firstLineChars="200"/>
      <w:jc w:val="left"/>
    </w:pPr>
    <w:rPr>
      <w:kern w:val="0"/>
      <w:sz w:val="20"/>
      <w:szCs w:val="20"/>
    </w:rPr>
  </w:style>
  <w:style w:type="paragraph" w:customStyle="1" w:styleId="141">
    <w:name w:val="Z正文"/>
    <w:autoRedefine/>
    <w:qFormat/>
    <w:uiPriority w:val="0"/>
    <w:pPr>
      <w:spacing w:line="360" w:lineRule="auto"/>
      <w:ind w:firstLine="480" w:firstLineChars="200"/>
      <w:jc w:val="both"/>
    </w:pPr>
    <w:rPr>
      <w:rFonts w:ascii="宋体" w:hAnsi="宋体" w:eastAsia="宋体" w:cs="Calibri"/>
      <w:sz w:val="24"/>
      <w:lang w:val="en-US" w:eastAsia="zh-CN" w:bidi="ar-SA"/>
    </w:rPr>
  </w:style>
  <w:style w:type="paragraph" w:customStyle="1" w:styleId="142">
    <w:name w:val="方案正文"/>
    <w:basedOn w:val="1"/>
    <w:autoRedefine/>
    <w:qFormat/>
    <w:uiPriority w:val="0"/>
    <w:pPr>
      <w:widowControl/>
      <w:spacing w:line="360" w:lineRule="auto"/>
      <w:ind w:firstLine="643" w:firstLineChars="200"/>
      <w:jc w:val="left"/>
    </w:pPr>
    <w:rPr>
      <w:kern w:val="0"/>
      <w:sz w:val="20"/>
    </w:rPr>
  </w:style>
  <w:style w:type="paragraph" w:customStyle="1" w:styleId="143">
    <w:name w:val="Normal_7"/>
    <w:autoRedefine/>
    <w:qFormat/>
    <w:uiPriority w:val="0"/>
    <w:pPr>
      <w:widowControl w:val="0"/>
      <w:jc w:val="both"/>
    </w:pPr>
    <w:rPr>
      <w:rFonts w:ascii="Times New Roman" w:hAnsi="Times New Roman" w:eastAsia="宋体" w:cs="Times New Roman"/>
      <w:lang w:val="en-US" w:eastAsia="zh-CN" w:bidi="ar-SA"/>
    </w:rPr>
  </w:style>
  <w:style w:type="paragraph" w:customStyle="1" w:styleId="144">
    <w:name w:val="Normal_8"/>
    <w:autoRedefine/>
    <w:qFormat/>
    <w:uiPriority w:val="0"/>
    <w:pPr>
      <w:widowControl w:val="0"/>
      <w:jc w:val="both"/>
    </w:pPr>
    <w:rPr>
      <w:rFonts w:ascii="Times New Roman" w:hAnsi="Times New Roman" w:eastAsia="宋体" w:cs="Times New Roman"/>
      <w:lang w:val="en-US" w:eastAsia="zh-CN" w:bidi="ar-SA"/>
    </w:rPr>
  </w:style>
  <w:style w:type="paragraph" w:styleId="145">
    <w:name w:val="List Paragraph"/>
    <w:basedOn w:val="1"/>
    <w:autoRedefine/>
    <w:qFormat/>
    <w:uiPriority w:val="99"/>
    <w:pPr>
      <w:ind w:firstLine="420" w:firstLineChars="200"/>
    </w:pPr>
  </w:style>
  <w:style w:type="paragraph" w:customStyle="1" w:styleId="146">
    <w:name w:val="彩色列表 - 强调文字颜色 11"/>
    <w:basedOn w:val="1"/>
    <w:autoRedefine/>
    <w:qFormat/>
    <w:uiPriority w:val="0"/>
    <w:pPr>
      <w:ind w:firstLine="420" w:firstLineChars="200"/>
    </w:pPr>
  </w:style>
  <w:style w:type="paragraph" w:customStyle="1" w:styleId="147">
    <w:name w:val="Normal_2"/>
    <w:autoRedefine/>
    <w:qFormat/>
    <w:uiPriority w:val="0"/>
    <w:pPr>
      <w:widowControl w:val="0"/>
      <w:jc w:val="both"/>
    </w:pPr>
    <w:rPr>
      <w:rFonts w:ascii="Times New Roman" w:hAnsi="Times New Roman" w:eastAsia="宋体" w:cs="Times New Roman"/>
      <w:lang w:val="en-US" w:eastAsia="zh-CN" w:bidi="ar-SA"/>
    </w:rPr>
  </w:style>
  <w:style w:type="paragraph" w:customStyle="1" w:styleId="148">
    <w:name w:val="3"/>
    <w:basedOn w:val="1"/>
    <w:next w:val="19"/>
    <w:autoRedefine/>
    <w:qFormat/>
    <w:uiPriority w:val="0"/>
    <w:pPr>
      <w:widowControl/>
      <w:overflowPunct w:val="0"/>
      <w:autoSpaceDE w:val="0"/>
      <w:autoSpaceDN w:val="0"/>
      <w:adjustRightInd w:val="0"/>
      <w:spacing w:line="360" w:lineRule="auto"/>
      <w:ind w:firstLine="540"/>
      <w:textAlignment w:val="baseline"/>
    </w:pPr>
    <w:rPr>
      <w:rFonts w:ascii="宋体" w:hAnsi="MS Sans Serif"/>
      <w:spacing w:val="12"/>
      <w:kern w:val="0"/>
      <w:sz w:val="24"/>
      <w:szCs w:val="20"/>
    </w:rPr>
  </w:style>
  <w:style w:type="paragraph" w:customStyle="1" w:styleId="149">
    <w:name w:val="Default"/>
    <w:autoRedefine/>
    <w:qFormat/>
    <w:uiPriority w:val="0"/>
    <w:pPr>
      <w:widowControl w:val="0"/>
      <w:autoSpaceDE w:val="0"/>
      <w:autoSpaceDN w:val="0"/>
      <w:adjustRightInd w:val="0"/>
    </w:pPr>
    <w:rPr>
      <w:rFonts w:ascii="FEGNKJ+TimesNewRoman" w:hAnsi="Times New Roman" w:eastAsia="FEGNKJ+TimesNewRoman" w:cs="FEGNKJ+TimesNewRoman"/>
      <w:color w:val="000000"/>
      <w:sz w:val="24"/>
      <w:szCs w:val="24"/>
      <w:lang w:val="en-US" w:eastAsia="zh-CN" w:bidi="ar-SA"/>
    </w:rPr>
  </w:style>
  <w:style w:type="paragraph" w:customStyle="1" w:styleId="150">
    <w:name w:val="xl29"/>
    <w:basedOn w:val="1"/>
    <w:autoRedefine/>
    <w:qFormat/>
    <w:uiPriority w:val="0"/>
    <w:pPr>
      <w:pBdr>
        <w:bottom w:val="single" w:color="auto" w:sz="8" w:space="0"/>
      </w:pBdr>
      <w:spacing w:before="100" w:beforeAutospacing="1" w:after="100" w:afterAutospacing="1"/>
      <w:textAlignment w:val="top"/>
    </w:pPr>
    <w:rPr>
      <w:rFonts w:hint="eastAsia" w:ascii="仿宋_GB2312" w:hAnsi="宋体" w:eastAsia="仿宋_GB2312"/>
      <w:sz w:val="24"/>
      <w:szCs w:val="24"/>
    </w:rPr>
  </w:style>
  <w:style w:type="paragraph" w:customStyle="1" w:styleId="151">
    <w:name w:val="图表1"/>
    <w:basedOn w:val="1"/>
    <w:next w:val="1"/>
    <w:autoRedefine/>
    <w:qFormat/>
    <w:uiPriority w:val="0"/>
    <w:pPr>
      <w:widowControl/>
      <w:spacing w:line="360" w:lineRule="auto"/>
      <w:jc w:val="center"/>
    </w:pPr>
    <w:rPr>
      <w:rFonts w:ascii="宋体" w:hAnsi="宋体"/>
      <w:b/>
    </w:rPr>
  </w:style>
  <w:style w:type="paragraph" w:customStyle="1" w:styleId="152">
    <w:name w:val="_Style 16"/>
    <w:basedOn w:val="1"/>
    <w:autoRedefine/>
    <w:qFormat/>
    <w:uiPriority w:val="34"/>
    <w:pPr>
      <w:ind w:firstLine="420" w:firstLineChars="200"/>
    </w:pPr>
  </w:style>
  <w:style w:type="paragraph" w:customStyle="1" w:styleId="153">
    <w:name w:val="Normal_5"/>
    <w:autoRedefine/>
    <w:qFormat/>
    <w:uiPriority w:val="0"/>
    <w:pPr>
      <w:widowControl w:val="0"/>
      <w:jc w:val="both"/>
    </w:pPr>
    <w:rPr>
      <w:rFonts w:ascii="Times New Roman" w:hAnsi="Times New Roman" w:eastAsia="宋体" w:cs="Times New Roman"/>
      <w:lang w:val="en-US" w:eastAsia="zh-CN" w:bidi="ar-SA"/>
    </w:rPr>
  </w:style>
  <w:style w:type="paragraph" w:customStyle="1" w:styleId="154">
    <w:name w:val="AONormal"/>
    <w:autoRedefine/>
    <w:qFormat/>
    <w:uiPriority w:val="0"/>
    <w:pPr>
      <w:spacing w:line="260" w:lineRule="atLeast"/>
      <w:jc w:val="both"/>
    </w:pPr>
    <w:rPr>
      <w:rFonts w:ascii="Times New Roman" w:hAnsi="Times New Roman" w:eastAsia="宋体" w:cs="Times New Roman"/>
      <w:sz w:val="22"/>
      <w:lang w:val="en-GB" w:eastAsia="en-US" w:bidi="ar-SA"/>
    </w:rPr>
  </w:style>
  <w:style w:type="paragraph" w:customStyle="1" w:styleId="155">
    <w:name w:val="图表2"/>
    <w:basedOn w:val="1"/>
    <w:next w:val="1"/>
    <w:autoRedefine/>
    <w:qFormat/>
    <w:uiPriority w:val="0"/>
    <w:pPr>
      <w:spacing w:line="360" w:lineRule="auto"/>
      <w:jc w:val="center"/>
    </w:pPr>
    <w:rPr>
      <w:b/>
    </w:rPr>
  </w:style>
  <w:style w:type="paragraph" w:customStyle="1" w:styleId="156">
    <w:name w:val="Normal_3"/>
    <w:autoRedefine/>
    <w:qFormat/>
    <w:uiPriority w:val="0"/>
    <w:pPr>
      <w:widowControl w:val="0"/>
      <w:jc w:val="both"/>
    </w:pPr>
    <w:rPr>
      <w:rFonts w:ascii="Times New Roman" w:hAnsi="Times New Roman" w:eastAsia="宋体" w:cs="Times New Roman"/>
      <w:lang w:val="en-US" w:eastAsia="zh-CN" w:bidi="ar-SA"/>
    </w:rPr>
  </w:style>
  <w:style w:type="paragraph" w:customStyle="1" w:styleId="157">
    <w:name w:val="Normal_6"/>
    <w:autoRedefine/>
    <w:qFormat/>
    <w:uiPriority w:val="0"/>
    <w:pPr>
      <w:widowControl w:val="0"/>
      <w:jc w:val="both"/>
    </w:pPr>
    <w:rPr>
      <w:rFonts w:ascii="Times New Roman" w:hAnsi="Times New Roman" w:eastAsia="宋体" w:cs="Times New Roman"/>
      <w:lang w:val="en-US" w:eastAsia="zh-CN" w:bidi="ar-SA"/>
    </w:rPr>
  </w:style>
  <w:style w:type="paragraph" w:customStyle="1" w:styleId="158">
    <w:name w:val="Normal_0"/>
    <w:autoRedefine/>
    <w:qFormat/>
    <w:uiPriority w:val="0"/>
    <w:pPr>
      <w:widowControl w:val="0"/>
      <w:jc w:val="both"/>
    </w:pPr>
    <w:rPr>
      <w:rFonts w:ascii="Times New Roman" w:hAnsi="Times New Roman" w:eastAsia="宋体" w:cs="Times New Roman"/>
      <w:lang w:val="en-US" w:eastAsia="zh-CN" w:bidi="ar-SA"/>
    </w:rPr>
  </w:style>
  <w:style w:type="paragraph" w:customStyle="1" w:styleId="159">
    <w:name w:val="Absatz2AL"/>
    <w:basedOn w:val="18"/>
    <w:next w:val="1"/>
    <w:autoRedefine/>
    <w:qFormat/>
    <w:uiPriority w:val="0"/>
    <w:pPr>
      <w:overflowPunct w:val="0"/>
      <w:autoSpaceDE w:val="0"/>
      <w:autoSpaceDN w:val="0"/>
    </w:pPr>
    <w:rPr>
      <w:rFonts w:eastAsia="楷体_GB2312"/>
      <w:lang w:val="de-DE"/>
    </w:rPr>
  </w:style>
  <w:style w:type="paragraph" w:customStyle="1" w:styleId="160">
    <w:name w:val="Normal_1"/>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61">
    <w:name w:val="p2"/>
    <w:basedOn w:val="1"/>
    <w:autoRedefine/>
    <w:qFormat/>
    <w:uiPriority w:val="0"/>
    <w:pPr>
      <w:spacing w:line="24" w:lineRule="atLeast"/>
      <w:ind w:firstLine="420"/>
      <w:jc w:val="left"/>
    </w:pPr>
    <w:rPr>
      <w:rFonts w:hint="eastAsia" w:ascii="宋体" w:hAnsi="宋体"/>
      <w:kern w:val="0"/>
      <w:szCs w:val="21"/>
    </w:rPr>
  </w:style>
  <w:style w:type="character" w:customStyle="1" w:styleId="162">
    <w:name w:val="underlinespan"/>
    <w:basedOn w:val="52"/>
    <w:autoRedefine/>
    <w:qFormat/>
    <w:uiPriority w:val="0"/>
  </w:style>
  <w:style w:type="paragraph" w:customStyle="1" w:styleId="163">
    <w:name w:val="z正文首行缩进"/>
    <w:basedOn w:val="18"/>
    <w:autoRedefine/>
    <w:qFormat/>
    <w:uiPriority w:val="0"/>
    <w:pPr>
      <w:tabs>
        <w:tab w:val="right" w:leader="dot" w:pos="9060"/>
      </w:tabs>
      <w:spacing w:line="312" w:lineRule="auto"/>
      <w:ind w:firstLine="200" w:firstLineChars="200"/>
    </w:pPr>
    <w:rPr>
      <w:rFonts w:ascii="金山简黑体" w:hAnsi="Courier New"/>
      <w:spacing w:val="-8"/>
      <w:sz w:val="24"/>
      <w:lang w:val="zh-CN"/>
    </w:rPr>
  </w:style>
  <w:style w:type="paragraph" w:customStyle="1" w:styleId="164">
    <w:name w:val="6'"/>
    <w:basedOn w:val="1"/>
    <w:autoRedefine/>
    <w:qFormat/>
    <w:uiPriority w:val="0"/>
    <w:pPr>
      <w:spacing w:line="320" w:lineRule="exact"/>
      <w:jc w:val="center"/>
    </w:pPr>
    <w:rPr>
      <w:color w:val="000000"/>
      <w:spacing w:val="20"/>
      <w:kern w:val="0"/>
      <w:szCs w:val="20"/>
    </w:rPr>
  </w:style>
  <w:style w:type="character" w:customStyle="1" w:styleId="165">
    <w:name w:val="标题 3 Char2"/>
    <w:autoRedefine/>
    <w:qFormat/>
    <w:uiPriority w:val="0"/>
    <w:rPr>
      <w:rFonts w:ascii="宋体"/>
      <w:b/>
      <w:kern w:val="2"/>
      <w:sz w:val="24"/>
    </w:rPr>
  </w:style>
  <w:style w:type="paragraph" w:customStyle="1" w:styleId="166">
    <w:name w:val="合同正文"/>
    <w:basedOn w:val="1"/>
    <w:autoRedefine/>
    <w:qFormat/>
    <w:uiPriority w:val="0"/>
    <w:pPr>
      <w:spacing w:line="360" w:lineRule="auto"/>
      <w:ind w:firstLine="200" w:firstLineChars="200"/>
      <w:jc w:val="left"/>
    </w:pPr>
    <w:rPr>
      <w:szCs w:val="20"/>
      <w:shd w:val="clear" w:color="auto" w:fill="FFFFFF"/>
    </w:rPr>
  </w:style>
  <w:style w:type="character" w:customStyle="1" w:styleId="167">
    <w:name w:val="font11"/>
    <w:basedOn w:val="52"/>
    <w:autoRedefine/>
    <w:qFormat/>
    <w:uiPriority w:val="0"/>
    <w:rPr>
      <w:rFonts w:hint="eastAsia" w:ascii="宋体" w:hAnsi="宋体" w:eastAsia="宋体" w:cs="宋体"/>
      <w:b/>
      <w:bCs/>
      <w:color w:val="000000"/>
      <w:sz w:val="21"/>
      <w:szCs w:val="21"/>
      <w:u w:val="none"/>
    </w:rPr>
  </w:style>
  <w:style w:type="character" w:customStyle="1" w:styleId="168">
    <w:name w:val="font21"/>
    <w:basedOn w:val="52"/>
    <w:autoRedefine/>
    <w:qFormat/>
    <w:uiPriority w:val="0"/>
    <w:rPr>
      <w:rFonts w:hint="eastAsia" w:ascii="宋体" w:hAnsi="宋体" w:eastAsia="宋体" w:cs="宋体"/>
      <w:color w:val="000000"/>
      <w:sz w:val="21"/>
      <w:szCs w:val="21"/>
      <w:u w:val="none"/>
    </w:rPr>
  </w:style>
  <w:style w:type="paragraph" w:customStyle="1" w:styleId="169">
    <w:name w:val="标书正文"/>
    <w:basedOn w:val="1"/>
    <w:autoRedefine/>
    <w:qFormat/>
    <w:uiPriority w:val="0"/>
    <w:pPr>
      <w:spacing w:before="50" w:beforeLines="50" w:after="50" w:afterLines="50" w:line="420" w:lineRule="auto"/>
      <w:ind w:firstLine="200" w:firstLineChars="200"/>
    </w:pPr>
    <w:rPr>
      <w:rFonts w:ascii="Calibri" w:hAnsi="Calibri"/>
      <w:sz w:val="24"/>
    </w:rPr>
  </w:style>
  <w:style w:type="paragraph" w:customStyle="1" w:styleId="170">
    <w:name w:val="小四"/>
    <w:basedOn w:val="1"/>
    <w:autoRedefine/>
    <w:qFormat/>
    <w:uiPriority w:val="0"/>
    <w:pPr>
      <w:spacing w:line="360" w:lineRule="auto"/>
      <w:ind w:firstLine="480" w:firstLineChars="200"/>
    </w:pPr>
    <w:rPr>
      <w:rFonts w:cs="宋体"/>
      <w:sz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61</Pages>
  <Words>15862</Words>
  <Characters>17349</Characters>
  <Lines>54</Lines>
  <Paragraphs>77</Paragraphs>
  <TotalTime>101</TotalTime>
  <ScaleCrop>false</ScaleCrop>
  <LinksUpToDate>false</LinksUpToDate>
  <CharactersWithSpaces>17482</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2023-12-03T05:39:00Z</dcterms:created>
  <dc:creator>Administrator</dc:creator>
  <cp:lastModifiedBy>牛牛</cp:lastModifiedBy>
  <cp:lastPrinted>2025-03-21T02:51:00Z</cp:lastPrinted>
  <dcterms:modified xsi:type="dcterms:W3CDTF">2025-06-27T07:11:35Z</dcterms:modified>
  <cp:revision>108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17619FB9861F409F85EFBDA2F9A605D8_13</vt:lpwstr>
  </property>
  <property fmtid="{D5CDD505-2E9C-101B-9397-08002B2CF9AE}" pid="3" name="KSOProductBuildVer">
    <vt:lpwstr>2052-12.1.0.21541</vt:lpwstr>
  </property>
  <property fmtid="{D5CDD505-2E9C-101B-9397-08002B2CF9AE}" pid="4" name="KSOTemplateDocerSaveRecord">
    <vt:lpwstr>eyJoZGlkIjoiZjFlMmQ0OWU0ZDg3ZTJkMjEwN2NlMjU5MTUzMDNlMGQiLCJ1c2VySWQiOiIyNTE4MTIwODIifQ==</vt:lpwstr>
  </property>
</Properties>
</file>