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B49E1F">
      <w:pPr>
        <w:spacing w:before="100" w:beforeAutospacing="1" w:after="100" w:afterAutospacing="1" w:line="360" w:lineRule="auto"/>
        <w:jc w:val="center"/>
        <w:outlineLvl w:val="1"/>
        <w:rPr>
          <w:rFonts w:ascii="宋体" w:hAnsi="宋体" w:eastAsia="宋体" w:cs="Times New Roman"/>
          <w:b/>
          <w:bCs/>
          <w:kern w:val="0"/>
          <w:sz w:val="36"/>
          <w:szCs w:val="36"/>
        </w:rPr>
      </w:pPr>
      <w:r>
        <w:rPr>
          <w:rFonts w:ascii="宋体" w:hAnsi="宋体" w:eastAsia="宋体" w:cs="Times New Roman"/>
          <w:b/>
          <w:bCs/>
          <w:kern w:val="0"/>
          <w:sz w:val="36"/>
          <w:szCs w:val="36"/>
        </w:rPr>
        <w:t>四川工程职业技术</w:t>
      </w:r>
      <w:r>
        <w:rPr>
          <w:rFonts w:hint="eastAsia" w:ascii="宋体" w:hAnsi="宋体" w:eastAsia="宋体" w:cs="Times New Roman"/>
          <w:b/>
          <w:bCs/>
          <w:kern w:val="0"/>
          <w:sz w:val="36"/>
          <w:szCs w:val="36"/>
        </w:rPr>
        <w:t>大学</w:t>
      </w:r>
    </w:p>
    <w:p w14:paraId="7122B392">
      <w:pPr>
        <w:spacing w:before="100" w:beforeAutospacing="1" w:after="100" w:afterAutospacing="1" w:line="360" w:lineRule="auto"/>
        <w:jc w:val="center"/>
        <w:outlineLvl w:val="1"/>
        <w:rPr>
          <w:rFonts w:ascii="宋体" w:hAnsi="宋体" w:eastAsia="宋体" w:cs="Times New Roman"/>
          <w:b/>
          <w:bCs/>
          <w:kern w:val="0"/>
          <w:sz w:val="36"/>
          <w:szCs w:val="36"/>
        </w:rPr>
      </w:pPr>
      <w:r>
        <w:rPr>
          <w:rFonts w:hint="eastAsia" w:ascii="宋体" w:hAnsi="宋体" w:eastAsia="宋体" w:cs="Times New Roman"/>
          <w:b/>
          <w:bCs/>
          <w:kern w:val="0"/>
          <w:sz w:val="36"/>
          <w:szCs w:val="36"/>
        </w:rPr>
        <w:t>焊接机器人智能化模块升级</w:t>
      </w:r>
      <w:r>
        <w:rPr>
          <w:rFonts w:ascii="宋体" w:hAnsi="宋体" w:eastAsia="宋体" w:cs="Times New Roman"/>
          <w:b/>
          <w:bCs/>
          <w:kern w:val="0"/>
          <w:sz w:val="36"/>
          <w:szCs w:val="36"/>
        </w:rPr>
        <w:t>采购合同</w:t>
      </w:r>
    </w:p>
    <w:p w14:paraId="5B4FDD9A">
      <w:pPr>
        <w:rPr>
          <w:rFonts w:ascii="等线" w:hAnsi="等线" w:eastAsia="等线" w:cs="Times New Roman"/>
        </w:rPr>
      </w:pPr>
    </w:p>
    <w:p w14:paraId="21F536A3">
      <w:pPr>
        <w:spacing w:line="360" w:lineRule="auto"/>
        <w:ind w:firstLine="480" w:firstLineChars="200"/>
        <w:rPr>
          <w:rFonts w:ascii="宋体" w:hAnsi="宋体" w:eastAsia="宋体" w:cs="宋体"/>
          <w:sz w:val="24"/>
        </w:rPr>
      </w:pPr>
      <w:r>
        <w:rPr>
          <w:rFonts w:hint="eastAsia" w:ascii="宋体" w:hAnsi="宋体" w:eastAsia="宋体" w:cs="宋体"/>
          <w:sz w:val="24"/>
        </w:rPr>
        <w:t>合同编号：</w:t>
      </w:r>
      <w:r>
        <w:rPr>
          <w:rFonts w:hint="eastAsia" w:ascii="宋体" w:hAnsi="宋体" w:eastAsia="宋体" w:cs="宋体"/>
          <w:sz w:val="24"/>
          <w:u w:val="single"/>
        </w:rPr>
        <w:t xml:space="preserve">                      </w:t>
      </w:r>
    </w:p>
    <w:p w14:paraId="573DCEF3">
      <w:pPr>
        <w:spacing w:line="360" w:lineRule="auto"/>
        <w:ind w:firstLine="480" w:firstLineChars="200"/>
        <w:rPr>
          <w:rFonts w:ascii="宋体" w:hAnsi="宋体" w:eastAsia="宋体" w:cs="宋体"/>
          <w:sz w:val="24"/>
        </w:rPr>
      </w:pPr>
      <w:r>
        <w:rPr>
          <w:rFonts w:hint="eastAsia" w:ascii="宋体" w:hAnsi="宋体" w:eastAsia="宋体" w:cs="宋体"/>
          <w:sz w:val="24"/>
        </w:rPr>
        <w:t xml:space="preserve">签订地点：德阳 </w:t>
      </w:r>
    </w:p>
    <w:p w14:paraId="793921E8">
      <w:pPr>
        <w:spacing w:line="360" w:lineRule="auto"/>
        <w:ind w:firstLine="480" w:firstLineChars="200"/>
        <w:rPr>
          <w:rFonts w:ascii="宋体" w:hAnsi="宋体" w:eastAsia="宋体" w:cs="宋体"/>
          <w:sz w:val="24"/>
        </w:rPr>
      </w:pPr>
      <w:r>
        <w:rPr>
          <w:rFonts w:hint="eastAsia" w:ascii="宋体" w:hAnsi="宋体" w:eastAsia="宋体" w:cs="宋体"/>
          <w:sz w:val="24"/>
        </w:rPr>
        <w:t>采购人（甲方）：四川工程职业技术大学</w:t>
      </w:r>
    </w:p>
    <w:p w14:paraId="1FD6B51F">
      <w:pPr>
        <w:spacing w:line="360" w:lineRule="auto"/>
        <w:ind w:firstLine="480" w:firstLineChars="200"/>
        <w:rPr>
          <w:rFonts w:ascii="宋体" w:hAnsi="宋体" w:eastAsia="宋体" w:cs="宋体"/>
          <w:sz w:val="24"/>
          <w:u w:val="single"/>
        </w:rPr>
      </w:pPr>
      <w:r>
        <w:rPr>
          <w:rFonts w:hint="eastAsia" w:ascii="宋体" w:hAnsi="宋体" w:eastAsia="宋体" w:cs="宋体"/>
          <w:sz w:val="24"/>
        </w:rPr>
        <w:t>供应商（乙方）：</w:t>
      </w:r>
      <w:r>
        <w:rPr>
          <w:rFonts w:hint="eastAsia" w:ascii="宋体" w:hAnsi="宋体" w:eastAsia="宋体" w:cs="宋体"/>
          <w:sz w:val="24"/>
          <w:u w:val="single"/>
        </w:rPr>
        <w:t xml:space="preserve">                    </w:t>
      </w:r>
    </w:p>
    <w:p w14:paraId="0AEF3936">
      <w:pPr>
        <w:spacing w:line="360" w:lineRule="auto"/>
        <w:rPr>
          <w:rFonts w:ascii="宋体" w:hAnsi="宋体" w:eastAsia="等线" w:cs="宋体"/>
          <w:sz w:val="24"/>
        </w:rPr>
      </w:pPr>
    </w:p>
    <w:p w14:paraId="16728305">
      <w:pPr>
        <w:widowControl/>
        <w:spacing w:line="480" w:lineRule="auto"/>
        <w:ind w:firstLine="420"/>
        <w:rPr>
          <w:rFonts w:ascii="宋体" w:hAnsi="宋体" w:eastAsia="等线" w:cs="Times New Roman"/>
        </w:rPr>
      </w:pPr>
      <w:r>
        <w:rPr>
          <w:rFonts w:hint="eastAsia" w:ascii="宋体" w:hAnsi="宋体" w:eastAsia="等线" w:cs="Times New Roman"/>
        </w:rPr>
        <w:t>根据《中华人民共和国政府采购法》《中华人民共和国民法典》及</w:t>
      </w:r>
      <w:r>
        <w:rPr>
          <w:rFonts w:hint="eastAsia" w:ascii="宋体" w:hAnsi="宋体" w:eastAsia="等线" w:cs="Times New Roman"/>
          <w:b/>
          <w:bCs/>
          <w:u w:val="single"/>
        </w:rPr>
        <w:t xml:space="preserve">焊接机器人智能化模块升级（项目编号：    </w:t>
      </w:r>
      <w:r>
        <w:rPr>
          <w:rFonts w:hint="eastAsia" w:ascii="宋体" w:hAnsi="宋体" w:eastAsia="等线" w:cs="Times New Roman"/>
          <w:u w:val="single"/>
        </w:rPr>
        <w:t xml:space="preserve">  </w:t>
      </w:r>
      <w:r>
        <w:rPr>
          <w:rFonts w:ascii="宋体" w:hAnsi="宋体" w:eastAsia="等线" w:cs="Times New Roman"/>
          <w:u w:val="single"/>
        </w:rPr>
        <w:t xml:space="preserve"> </w:t>
      </w:r>
      <w:r>
        <w:rPr>
          <w:rFonts w:hint="eastAsia" w:ascii="宋体" w:hAnsi="宋体" w:eastAsia="等线" w:cs="Times New Roman"/>
          <w:u w:val="single"/>
        </w:rPr>
        <w:t xml:space="preserve">      </w:t>
      </w:r>
      <w:r>
        <w:rPr>
          <w:rFonts w:ascii="宋体" w:hAnsi="宋体" w:eastAsia="等线" w:cs="Times New Roman"/>
          <w:u w:val="single"/>
        </w:rPr>
        <w:t xml:space="preserve"> </w:t>
      </w:r>
      <w:r>
        <w:rPr>
          <w:rFonts w:hint="eastAsia" w:ascii="宋体" w:hAnsi="宋体" w:eastAsia="等线" w:cs="Times New Roman"/>
          <w:u w:val="single"/>
        </w:rPr>
        <w:t xml:space="preserve">     </w:t>
      </w:r>
      <w:r>
        <w:rPr>
          <w:rFonts w:hint="eastAsia" w:ascii="宋体" w:hAnsi="宋体" w:eastAsia="等线" w:cs="Times New Roman"/>
        </w:rPr>
        <w:t>）的《采购文件》、乙方的《响应文件》及《成交通知书》（均为本合同附件），甲、乙双方同意签订本合同。详细技术说明及其他有关合同项目的特定信息由合同附件予以说明，合同附件为本合同不可分割的部分。双方同意共同遵守如下条款：</w:t>
      </w:r>
    </w:p>
    <w:p w14:paraId="42190559">
      <w:pPr>
        <w:spacing w:line="360" w:lineRule="auto"/>
        <w:ind w:firstLine="480" w:firstLineChars="200"/>
        <w:rPr>
          <w:rFonts w:ascii="宋体" w:hAnsi="宋体" w:eastAsia="宋体" w:cs="宋体"/>
          <w:sz w:val="24"/>
        </w:rPr>
      </w:pPr>
    </w:p>
    <w:p w14:paraId="54EEF974">
      <w:pPr>
        <w:numPr>
          <w:ilvl w:val="0"/>
          <w:numId w:val="1"/>
        </w:numPr>
        <w:spacing w:line="360" w:lineRule="auto"/>
        <w:rPr>
          <w:rFonts w:ascii="宋体" w:hAnsi="宋体" w:eastAsia="等线" w:cs="宋体"/>
          <w:b/>
          <w:sz w:val="24"/>
        </w:rPr>
      </w:pPr>
      <w:r>
        <w:rPr>
          <w:rFonts w:hint="eastAsia" w:ascii="宋体" w:hAnsi="宋体" w:eastAsia="等线" w:cs="宋体"/>
          <w:b/>
          <w:sz w:val="24"/>
        </w:rPr>
        <w:t>合同货物</w:t>
      </w:r>
    </w:p>
    <w:tbl>
      <w:tblPr>
        <w:tblStyle w:val="6"/>
        <w:tblW w:w="847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676"/>
        <w:gridCol w:w="1956"/>
        <w:gridCol w:w="1486"/>
        <w:gridCol w:w="450"/>
        <w:gridCol w:w="450"/>
        <w:gridCol w:w="685"/>
        <w:gridCol w:w="914"/>
        <w:gridCol w:w="860"/>
      </w:tblGrid>
      <w:tr w14:paraId="259700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1676" w:type="dxa"/>
            <w:tcBorders>
              <w:top w:val="single" w:color="auto" w:sz="4" w:space="0"/>
              <w:left w:val="single" w:color="auto" w:sz="4" w:space="0"/>
              <w:right w:val="single" w:color="auto" w:sz="4" w:space="0"/>
            </w:tcBorders>
            <w:vAlign w:val="center"/>
          </w:tcPr>
          <w:p w14:paraId="6EE4B3F9">
            <w:pPr>
              <w:spacing w:line="360" w:lineRule="auto"/>
              <w:ind w:leftChars="-1" w:right="-88" w:rightChars="-42" w:hanging="2" w:hangingChars="1"/>
              <w:jc w:val="center"/>
              <w:rPr>
                <w:rFonts w:ascii="宋体" w:hAnsi="宋体" w:eastAsia="宋体" w:cs="宋体"/>
                <w:szCs w:val="21"/>
              </w:rPr>
            </w:pPr>
            <w:r>
              <w:rPr>
                <w:rFonts w:hint="eastAsia" w:ascii="宋体" w:hAnsi="宋体" w:eastAsia="宋体" w:cs="宋体"/>
                <w:szCs w:val="21"/>
              </w:rPr>
              <w:t>货物品名</w:t>
            </w:r>
          </w:p>
          <w:p w14:paraId="56D959AE">
            <w:pPr>
              <w:spacing w:line="360" w:lineRule="auto"/>
              <w:ind w:leftChars="-1" w:right="-88" w:rightChars="-42" w:hanging="2" w:hangingChars="1"/>
              <w:jc w:val="center"/>
              <w:rPr>
                <w:rFonts w:ascii="宋体" w:hAnsi="宋体" w:eastAsia="宋体" w:cs="宋体"/>
                <w:szCs w:val="21"/>
              </w:rPr>
            </w:pPr>
            <w:r>
              <w:rPr>
                <w:rFonts w:hint="eastAsia" w:ascii="宋体" w:hAnsi="宋体" w:eastAsia="宋体" w:cs="宋体"/>
                <w:szCs w:val="21"/>
              </w:rPr>
              <w:t>（服务名称）</w:t>
            </w:r>
          </w:p>
        </w:tc>
        <w:tc>
          <w:tcPr>
            <w:tcW w:w="1956" w:type="dxa"/>
            <w:tcBorders>
              <w:top w:val="single" w:color="auto" w:sz="4" w:space="0"/>
              <w:left w:val="single" w:color="auto" w:sz="4" w:space="0"/>
              <w:right w:val="single" w:color="auto" w:sz="4" w:space="0"/>
            </w:tcBorders>
            <w:vAlign w:val="center"/>
          </w:tcPr>
          <w:p w14:paraId="6B525CB9">
            <w:pPr>
              <w:spacing w:line="360" w:lineRule="auto"/>
              <w:ind w:leftChars="-1" w:right="-88" w:rightChars="-42" w:hanging="2" w:hangingChars="1"/>
              <w:jc w:val="center"/>
              <w:rPr>
                <w:rFonts w:ascii="宋体" w:hAnsi="宋体" w:eastAsia="宋体" w:cs="宋体"/>
                <w:szCs w:val="21"/>
              </w:rPr>
            </w:pPr>
            <w:r>
              <w:rPr>
                <w:rFonts w:hint="eastAsia" w:ascii="宋体" w:hAnsi="宋体" w:eastAsia="宋体" w:cs="宋体"/>
                <w:szCs w:val="21"/>
              </w:rPr>
              <w:t>规格型号</w:t>
            </w:r>
          </w:p>
        </w:tc>
        <w:tc>
          <w:tcPr>
            <w:tcW w:w="1486" w:type="dxa"/>
            <w:tcBorders>
              <w:top w:val="single" w:color="auto" w:sz="4" w:space="0"/>
              <w:left w:val="single" w:color="auto" w:sz="4" w:space="0"/>
              <w:bottom w:val="single" w:color="auto" w:sz="4" w:space="0"/>
              <w:right w:val="single" w:color="auto" w:sz="4" w:space="0"/>
            </w:tcBorders>
            <w:vAlign w:val="center"/>
          </w:tcPr>
          <w:p w14:paraId="51BC105B">
            <w:pPr>
              <w:spacing w:line="360" w:lineRule="auto"/>
              <w:ind w:leftChars="-1" w:right="-88" w:rightChars="-42" w:hanging="2" w:hangingChars="1"/>
              <w:jc w:val="center"/>
              <w:rPr>
                <w:rFonts w:ascii="宋体" w:hAnsi="宋体" w:eastAsia="宋体" w:cs="宋体"/>
                <w:szCs w:val="21"/>
              </w:rPr>
            </w:pPr>
            <w:r>
              <w:rPr>
                <w:rFonts w:hint="eastAsia" w:ascii="宋体" w:hAnsi="宋体" w:eastAsia="宋体" w:cs="宋体"/>
                <w:szCs w:val="21"/>
              </w:rPr>
              <w:t>生产厂家</w:t>
            </w:r>
          </w:p>
        </w:tc>
        <w:tc>
          <w:tcPr>
            <w:tcW w:w="450" w:type="dxa"/>
            <w:tcBorders>
              <w:top w:val="single" w:color="auto" w:sz="4" w:space="0"/>
              <w:left w:val="single" w:color="auto" w:sz="4" w:space="0"/>
              <w:right w:val="single" w:color="auto" w:sz="4" w:space="0"/>
            </w:tcBorders>
            <w:vAlign w:val="center"/>
          </w:tcPr>
          <w:p w14:paraId="36CC434F">
            <w:pPr>
              <w:spacing w:line="360" w:lineRule="auto"/>
              <w:ind w:leftChars="-1" w:right="-88" w:rightChars="-42" w:hanging="2" w:hangingChars="1"/>
              <w:jc w:val="center"/>
              <w:rPr>
                <w:rFonts w:ascii="宋体" w:hAnsi="宋体" w:eastAsia="宋体" w:cs="宋体"/>
                <w:szCs w:val="21"/>
              </w:rPr>
            </w:pPr>
            <w:r>
              <w:rPr>
                <w:rFonts w:hint="eastAsia" w:ascii="宋体" w:hAnsi="宋体" w:eastAsia="宋体" w:cs="宋体"/>
                <w:szCs w:val="21"/>
              </w:rPr>
              <w:t>单位</w:t>
            </w:r>
          </w:p>
        </w:tc>
        <w:tc>
          <w:tcPr>
            <w:tcW w:w="450" w:type="dxa"/>
            <w:tcBorders>
              <w:top w:val="single" w:color="auto" w:sz="4" w:space="0"/>
              <w:left w:val="single" w:color="auto" w:sz="4" w:space="0"/>
              <w:right w:val="single" w:color="auto" w:sz="4" w:space="0"/>
            </w:tcBorders>
            <w:vAlign w:val="center"/>
          </w:tcPr>
          <w:p w14:paraId="553EF5C7">
            <w:pPr>
              <w:spacing w:line="360" w:lineRule="auto"/>
              <w:ind w:leftChars="-1" w:right="-88" w:rightChars="-42" w:hanging="2" w:hangingChars="1"/>
              <w:jc w:val="center"/>
              <w:rPr>
                <w:rFonts w:ascii="宋体" w:hAnsi="宋体" w:eastAsia="宋体" w:cs="宋体"/>
                <w:szCs w:val="21"/>
              </w:rPr>
            </w:pPr>
            <w:r>
              <w:rPr>
                <w:rFonts w:hint="eastAsia" w:ascii="宋体" w:hAnsi="宋体" w:eastAsia="宋体" w:cs="宋体"/>
                <w:szCs w:val="21"/>
              </w:rPr>
              <w:t>数量</w:t>
            </w:r>
          </w:p>
        </w:tc>
        <w:tc>
          <w:tcPr>
            <w:tcW w:w="685" w:type="dxa"/>
            <w:tcBorders>
              <w:top w:val="single" w:color="auto" w:sz="4" w:space="0"/>
              <w:left w:val="single" w:color="auto" w:sz="4" w:space="0"/>
              <w:right w:val="single" w:color="auto" w:sz="4" w:space="0"/>
            </w:tcBorders>
            <w:vAlign w:val="center"/>
          </w:tcPr>
          <w:p w14:paraId="6B67C974">
            <w:pPr>
              <w:spacing w:line="360" w:lineRule="auto"/>
              <w:ind w:leftChars="-1" w:right="-88" w:rightChars="-42" w:hanging="2" w:hangingChars="1"/>
              <w:jc w:val="center"/>
              <w:rPr>
                <w:rFonts w:ascii="宋体" w:hAnsi="宋体" w:eastAsia="宋体" w:cs="宋体"/>
                <w:szCs w:val="21"/>
              </w:rPr>
            </w:pPr>
            <w:r>
              <w:rPr>
                <w:rFonts w:hint="eastAsia" w:ascii="宋体" w:hAnsi="宋体" w:eastAsia="宋体" w:cs="宋体"/>
                <w:szCs w:val="21"/>
              </w:rPr>
              <w:t>单价</w:t>
            </w:r>
          </w:p>
          <w:p w14:paraId="07A85224">
            <w:pPr>
              <w:spacing w:line="360" w:lineRule="auto"/>
              <w:ind w:leftChars="-1" w:right="-88" w:rightChars="-42" w:hanging="2" w:hangingChars="1"/>
              <w:jc w:val="center"/>
              <w:rPr>
                <w:rFonts w:ascii="宋体" w:hAnsi="宋体" w:eastAsia="宋体" w:cs="宋体"/>
                <w:szCs w:val="21"/>
              </w:rPr>
            </w:pPr>
            <w:r>
              <w:rPr>
                <w:rFonts w:hint="eastAsia" w:ascii="宋体" w:hAnsi="宋体" w:eastAsia="宋体" w:cs="宋体"/>
                <w:szCs w:val="21"/>
              </w:rPr>
              <w:t>（元）</w:t>
            </w:r>
          </w:p>
        </w:tc>
        <w:tc>
          <w:tcPr>
            <w:tcW w:w="914" w:type="dxa"/>
            <w:tcBorders>
              <w:top w:val="single" w:color="auto" w:sz="4" w:space="0"/>
              <w:left w:val="single" w:color="auto" w:sz="4" w:space="0"/>
              <w:right w:val="single" w:color="auto" w:sz="4" w:space="0"/>
            </w:tcBorders>
            <w:vAlign w:val="center"/>
          </w:tcPr>
          <w:p w14:paraId="5F63F13D">
            <w:pPr>
              <w:spacing w:line="360" w:lineRule="auto"/>
              <w:ind w:leftChars="-1" w:right="-88" w:rightChars="-42" w:hanging="2" w:hangingChars="1"/>
              <w:jc w:val="center"/>
              <w:rPr>
                <w:rFonts w:ascii="宋体" w:hAnsi="宋体" w:eastAsia="宋体" w:cs="宋体"/>
                <w:szCs w:val="21"/>
              </w:rPr>
            </w:pPr>
            <w:r>
              <w:rPr>
                <w:rFonts w:hint="eastAsia" w:ascii="宋体" w:hAnsi="宋体" w:eastAsia="宋体" w:cs="宋体"/>
                <w:szCs w:val="21"/>
              </w:rPr>
              <w:t>总价</w:t>
            </w:r>
          </w:p>
          <w:p w14:paraId="182A99EA">
            <w:pPr>
              <w:spacing w:line="360" w:lineRule="auto"/>
              <w:ind w:leftChars="-1" w:right="-88" w:rightChars="-42" w:hanging="2" w:hangingChars="1"/>
              <w:jc w:val="center"/>
              <w:rPr>
                <w:rFonts w:ascii="宋体" w:hAnsi="宋体" w:eastAsia="宋体" w:cs="宋体"/>
                <w:szCs w:val="21"/>
              </w:rPr>
            </w:pPr>
            <w:r>
              <w:rPr>
                <w:rFonts w:hint="eastAsia" w:ascii="宋体" w:hAnsi="宋体" w:eastAsia="宋体" w:cs="宋体"/>
                <w:szCs w:val="21"/>
              </w:rPr>
              <w:t>（元）</w:t>
            </w:r>
          </w:p>
        </w:tc>
        <w:tc>
          <w:tcPr>
            <w:tcW w:w="860" w:type="dxa"/>
            <w:tcBorders>
              <w:top w:val="single" w:color="auto" w:sz="4" w:space="0"/>
              <w:left w:val="single" w:color="auto" w:sz="4" w:space="0"/>
              <w:right w:val="single" w:color="auto" w:sz="4" w:space="0"/>
            </w:tcBorders>
            <w:vAlign w:val="center"/>
          </w:tcPr>
          <w:p w14:paraId="355F56F0">
            <w:pPr>
              <w:spacing w:line="360" w:lineRule="auto"/>
              <w:ind w:leftChars="-1" w:right="-88" w:rightChars="-42" w:hanging="2" w:hangingChars="1"/>
              <w:jc w:val="center"/>
              <w:rPr>
                <w:rFonts w:ascii="宋体" w:hAnsi="宋体" w:eastAsia="宋体" w:cs="宋体"/>
                <w:szCs w:val="21"/>
              </w:rPr>
            </w:pPr>
            <w:r>
              <w:rPr>
                <w:rFonts w:hint="eastAsia" w:ascii="宋体" w:hAnsi="宋体" w:eastAsia="宋体" w:cs="宋体"/>
                <w:szCs w:val="21"/>
              </w:rPr>
              <w:t>交货期</w:t>
            </w:r>
          </w:p>
        </w:tc>
      </w:tr>
      <w:tr w14:paraId="1DB983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95" w:hRule="atLeast"/>
          <w:jc w:val="center"/>
        </w:trPr>
        <w:tc>
          <w:tcPr>
            <w:tcW w:w="1676" w:type="dxa"/>
            <w:tcBorders>
              <w:top w:val="single" w:color="auto" w:sz="4" w:space="0"/>
              <w:left w:val="single" w:color="auto" w:sz="4" w:space="0"/>
              <w:bottom w:val="single" w:color="auto" w:sz="4" w:space="0"/>
              <w:right w:val="single" w:color="auto" w:sz="4" w:space="0"/>
            </w:tcBorders>
            <w:vAlign w:val="center"/>
          </w:tcPr>
          <w:p w14:paraId="2CEC4AF4">
            <w:pPr>
              <w:spacing w:line="360" w:lineRule="auto"/>
              <w:ind w:leftChars="-1" w:right="-88" w:rightChars="-42" w:hanging="2" w:hangingChars="1"/>
              <w:jc w:val="center"/>
              <w:rPr>
                <w:rFonts w:ascii="宋体" w:hAnsi="宋体" w:eastAsia="宋体" w:cs="宋体"/>
                <w:szCs w:val="21"/>
              </w:rPr>
            </w:pPr>
            <w:r>
              <w:rPr>
                <w:rFonts w:hint="eastAsia" w:ascii="宋体" w:hAnsi="宋体" w:eastAsia="宋体" w:cs="宋体"/>
                <w:szCs w:val="21"/>
              </w:rPr>
              <w:t>焊接机器人智能化模块升级</w:t>
            </w:r>
          </w:p>
        </w:tc>
        <w:tc>
          <w:tcPr>
            <w:tcW w:w="1956" w:type="dxa"/>
            <w:tcBorders>
              <w:top w:val="single" w:color="auto" w:sz="4" w:space="0"/>
              <w:left w:val="single" w:color="auto" w:sz="4" w:space="0"/>
              <w:bottom w:val="single" w:color="auto" w:sz="4" w:space="0"/>
              <w:right w:val="single" w:color="auto" w:sz="4" w:space="0"/>
            </w:tcBorders>
            <w:vAlign w:val="center"/>
          </w:tcPr>
          <w:p w14:paraId="00043422">
            <w:pPr>
              <w:spacing w:line="360" w:lineRule="auto"/>
              <w:ind w:leftChars="-1" w:right="-88" w:rightChars="-42" w:hanging="2" w:hangingChars="1"/>
              <w:jc w:val="center"/>
              <w:rPr>
                <w:rFonts w:ascii="宋体" w:hAnsi="宋体" w:eastAsia="宋体" w:cs="宋体"/>
                <w:szCs w:val="21"/>
              </w:rPr>
            </w:pPr>
          </w:p>
        </w:tc>
        <w:tc>
          <w:tcPr>
            <w:tcW w:w="1486" w:type="dxa"/>
            <w:tcBorders>
              <w:top w:val="single" w:color="auto" w:sz="4" w:space="0"/>
              <w:left w:val="single" w:color="auto" w:sz="4" w:space="0"/>
              <w:bottom w:val="single" w:color="auto" w:sz="4" w:space="0"/>
              <w:right w:val="single" w:color="auto" w:sz="4" w:space="0"/>
            </w:tcBorders>
            <w:vAlign w:val="center"/>
          </w:tcPr>
          <w:p w14:paraId="3C50A663">
            <w:pPr>
              <w:spacing w:line="360" w:lineRule="auto"/>
              <w:ind w:leftChars="-1" w:right="-88" w:rightChars="-42" w:hanging="2" w:hangingChars="1"/>
              <w:jc w:val="center"/>
              <w:rPr>
                <w:rFonts w:ascii="宋体" w:hAnsi="宋体" w:eastAsia="宋体" w:cs="宋体"/>
                <w:szCs w:val="21"/>
              </w:rPr>
            </w:pPr>
          </w:p>
        </w:tc>
        <w:tc>
          <w:tcPr>
            <w:tcW w:w="450" w:type="dxa"/>
            <w:tcBorders>
              <w:top w:val="single" w:color="auto" w:sz="4" w:space="0"/>
              <w:left w:val="single" w:color="auto" w:sz="4" w:space="0"/>
              <w:bottom w:val="single" w:color="auto" w:sz="4" w:space="0"/>
              <w:right w:val="single" w:color="auto" w:sz="4" w:space="0"/>
            </w:tcBorders>
            <w:vAlign w:val="center"/>
          </w:tcPr>
          <w:p w14:paraId="7D0BF9FB">
            <w:pPr>
              <w:spacing w:line="360" w:lineRule="auto"/>
              <w:ind w:leftChars="-1" w:right="-88" w:rightChars="-42" w:hanging="2" w:hangingChars="1"/>
              <w:jc w:val="center"/>
              <w:rPr>
                <w:rFonts w:ascii="宋体" w:hAnsi="宋体" w:eastAsia="宋体" w:cs="宋体"/>
                <w:szCs w:val="21"/>
              </w:rPr>
            </w:pPr>
            <w:r>
              <w:rPr>
                <w:rFonts w:hint="eastAsia" w:ascii="宋体" w:hAnsi="宋体" w:eastAsia="宋体" w:cs="宋体"/>
                <w:szCs w:val="21"/>
              </w:rPr>
              <w:t>套</w:t>
            </w:r>
          </w:p>
        </w:tc>
        <w:tc>
          <w:tcPr>
            <w:tcW w:w="450" w:type="dxa"/>
            <w:tcBorders>
              <w:top w:val="single" w:color="auto" w:sz="4" w:space="0"/>
              <w:left w:val="single" w:color="auto" w:sz="4" w:space="0"/>
              <w:bottom w:val="single" w:color="auto" w:sz="4" w:space="0"/>
              <w:right w:val="single" w:color="auto" w:sz="4" w:space="0"/>
            </w:tcBorders>
            <w:vAlign w:val="center"/>
          </w:tcPr>
          <w:p w14:paraId="4F820DF7">
            <w:pPr>
              <w:spacing w:line="360" w:lineRule="auto"/>
              <w:ind w:leftChars="-1" w:right="-88" w:rightChars="-42" w:hanging="2" w:hangingChars="1"/>
              <w:jc w:val="center"/>
              <w:rPr>
                <w:rFonts w:ascii="宋体" w:hAnsi="宋体" w:eastAsia="宋体" w:cs="宋体"/>
                <w:szCs w:val="21"/>
              </w:rPr>
            </w:pPr>
            <w:r>
              <w:rPr>
                <w:rFonts w:hint="eastAsia" w:ascii="宋体" w:hAnsi="宋体" w:eastAsia="宋体" w:cs="宋体"/>
                <w:szCs w:val="21"/>
              </w:rPr>
              <w:t>5</w:t>
            </w:r>
          </w:p>
        </w:tc>
        <w:tc>
          <w:tcPr>
            <w:tcW w:w="685" w:type="dxa"/>
            <w:tcBorders>
              <w:top w:val="single" w:color="auto" w:sz="4" w:space="0"/>
              <w:left w:val="single" w:color="auto" w:sz="4" w:space="0"/>
              <w:bottom w:val="single" w:color="auto" w:sz="4" w:space="0"/>
              <w:right w:val="single" w:color="auto" w:sz="4" w:space="0"/>
            </w:tcBorders>
            <w:vAlign w:val="center"/>
          </w:tcPr>
          <w:p w14:paraId="4B5E9944">
            <w:pPr>
              <w:spacing w:line="360" w:lineRule="auto"/>
              <w:ind w:leftChars="-1" w:right="-88" w:rightChars="-42" w:hanging="2" w:hangingChars="1"/>
              <w:jc w:val="center"/>
              <w:rPr>
                <w:rFonts w:ascii="宋体" w:hAnsi="宋体" w:eastAsia="宋体" w:cs="宋体"/>
                <w:szCs w:val="21"/>
              </w:rPr>
            </w:pPr>
          </w:p>
        </w:tc>
        <w:tc>
          <w:tcPr>
            <w:tcW w:w="914" w:type="dxa"/>
            <w:tcBorders>
              <w:top w:val="single" w:color="auto" w:sz="4" w:space="0"/>
              <w:left w:val="single" w:color="auto" w:sz="4" w:space="0"/>
              <w:bottom w:val="single" w:color="auto" w:sz="4" w:space="0"/>
              <w:right w:val="single" w:color="auto" w:sz="4" w:space="0"/>
            </w:tcBorders>
            <w:vAlign w:val="center"/>
          </w:tcPr>
          <w:p w14:paraId="072AAC0F">
            <w:pPr>
              <w:spacing w:line="360" w:lineRule="auto"/>
              <w:ind w:leftChars="-1" w:right="-88" w:rightChars="-42" w:hanging="2" w:hangingChars="1"/>
              <w:jc w:val="center"/>
              <w:rPr>
                <w:rFonts w:ascii="宋体" w:hAnsi="宋体" w:eastAsia="宋体" w:cs="宋体"/>
                <w:szCs w:val="21"/>
              </w:rPr>
            </w:pPr>
          </w:p>
        </w:tc>
        <w:tc>
          <w:tcPr>
            <w:tcW w:w="860" w:type="dxa"/>
            <w:tcBorders>
              <w:top w:val="single" w:color="auto" w:sz="4" w:space="0"/>
              <w:left w:val="single" w:color="auto" w:sz="4" w:space="0"/>
              <w:right w:val="single" w:color="auto" w:sz="4" w:space="0"/>
            </w:tcBorders>
            <w:vAlign w:val="center"/>
          </w:tcPr>
          <w:p w14:paraId="0B177393">
            <w:pPr>
              <w:widowControl/>
              <w:jc w:val="left"/>
              <w:rPr>
                <w:rFonts w:ascii="宋体" w:hAnsi="宋体" w:eastAsia="宋体" w:cs="宋体"/>
                <w:szCs w:val="21"/>
              </w:rPr>
            </w:pPr>
            <w:r>
              <w:rPr>
                <w:rFonts w:hint="eastAsia" w:ascii="宋体" w:hAnsi="宋体" w:eastAsia="宋体" w:cs="宋体"/>
                <w:szCs w:val="21"/>
              </w:rPr>
              <w:t>自合同签订之日起</w:t>
            </w:r>
            <w:r>
              <w:rPr>
                <w:rFonts w:hint="eastAsia" w:ascii="宋体" w:hAnsi="宋体" w:eastAsia="宋体" w:cs="宋体"/>
                <w:szCs w:val="21"/>
                <w:u w:val="single"/>
              </w:rPr>
              <w:t xml:space="preserve"> 20</w:t>
            </w:r>
            <w:r>
              <w:rPr>
                <w:rFonts w:hint="eastAsia" w:ascii="宋体" w:hAnsi="宋体" w:eastAsia="宋体" w:cs="宋体"/>
                <w:szCs w:val="21"/>
              </w:rPr>
              <w:t>日</w:t>
            </w:r>
          </w:p>
        </w:tc>
      </w:tr>
      <w:tr w14:paraId="321DFA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8477" w:type="dxa"/>
            <w:gridSpan w:val="8"/>
            <w:tcBorders>
              <w:top w:val="single" w:color="auto" w:sz="4" w:space="0"/>
              <w:left w:val="single" w:color="auto" w:sz="4" w:space="0"/>
              <w:bottom w:val="single" w:color="auto" w:sz="4" w:space="0"/>
              <w:right w:val="single" w:color="auto" w:sz="4" w:space="0"/>
            </w:tcBorders>
            <w:vAlign w:val="center"/>
          </w:tcPr>
          <w:p w14:paraId="7100432D">
            <w:pPr>
              <w:spacing w:line="360" w:lineRule="auto"/>
              <w:ind w:leftChars="-1" w:right="-88" w:rightChars="-42" w:hanging="2" w:hangingChars="1"/>
              <w:jc w:val="center"/>
              <w:rPr>
                <w:rFonts w:ascii="宋体" w:hAnsi="宋体" w:eastAsia="宋体" w:cs="宋体"/>
                <w:szCs w:val="21"/>
              </w:rPr>
            </w:pPr>
            <w:r>
              <w:rPr>
                <w:rFonts w:hint="eastAsia" w:ascii="宋体" w:hAnsi="宋体" w:eastAsia="宋体" w:cs="宋体"/>
                <w:szCs w:val="21"/>
              </w:rPr>
              <w:t>合计人民币：</w:t>
            </w:r>
            <w:r>
              <w:rPr>
                <w:rFonts w:ascii="宋体" w:hAnsi="宋体" w:eastAsia="宋体" w:cs="宋体"/>
                <w:szCs w:val="21"/>
                <w:u w:val="single"/>
              </w:rPr>
              <w:t xml:space="preserve">                 </w:t>
            </w:r>
            <w:r>
              <w:rPr>
                <w:rFonts w:hint="eastAsia" w:ascii="宋体" w:hAnsi="宋体" w:eastAsia="宋体" w:cs="宋体"/>
                <w:szCs w:val="21"/>
              </w:rPr>
              <w:t>元，大写：</w:t>
            </w:r>
            <w:r>
              <w:rPr>
                <w:rFonts w:ascii="宋体" w:hAnsi="宋体" w:eastAsia="宋体" w:cs="宋体"/>
                <w:szCs w:val="21"/>
                <w:u w:val="single"/>
              </w:rPr>
              <w:t xml:space="preserve">                   </w:t>
            </w:r>
          </w:p>
        </w:tc>
      </w:tr>
    </w:tbl>
    <w:p w14:paraId="432B6237">
      <w:pPr>
        <w:spacing w:line="360" w:lineRule="auto"/>
        <w:rPr>
          <w:rFonts w:ascii="宋体" w:hAnsi="宋体" w:eastAsia="等线" w:cs="宋体"/>
          <w:b/>
          <w:sz w:val="24"/>
        </w:rPr>
      </w:pPr>
      <w:r>
        <w:rPr>
          <w:rFonts w:hint="eastAsia" w:ascii="宋体" w:hAnsi="宋体" w:eastAsia="等线" w:cs="宋体"/>
          <w:b/>
          <w:sz w:val="24"/>
        </w:rPr>
        <w:t>二、合同总价</w:t>
      </w:r>
    </w:p>
    <w:p w14:paraId="7263A65A">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合同总价为人民币大写：</w:t>
      </w:r>
      <w:r>
        <w:rPr>
          <w:rFonts w:ascii="宋体" w:hAnsi="宋体" w:eastAsia="宋体" w:cs="宋体"/>
          <w:sz w:val="24"/>
          <w:szCs w:val="24"/>
          <w:u w:val="single"/>
        </w:rPr>
        <w:t xml:space="preserve"> </w:t>
      </w:r>
      <w:r>
        <w:rPr>
          <w:rFonts w:hint="eastAsia" w:ascii="宋体" w:hAnsi="宋体" w:eastAsia="宋体" w:cs="宋体"/>
          <w:b/>
          <w:bCs/>
          <w:sz w:val="24"/>
          <w:szCs w:val="24"/>
          <w:u w:val="single"/>
        </w:rPr>
        <w:t xml:space="preserve">                </w:t>
      </w:r>
      <w:r>
        <w:rPr>
          <w:rFonts w:ascii="宋体" w:hAnsi="宋体" w:eastAsia="宋体" w:cs="宋体"/>
          <w:b/>
          <w:bCs/>
          <w:sz w:val="24"/>
          <w:szCs w:val="24"/>
          <w:u w:val="single"/>
        </w:rPr>
        <w:t xml:space="preserve"> </w:t>
      </w:r>
      <w:r>
        <w:rPr>
          <w:rFonts w:hint="eastAsia" w:ascii="宋体" w:hAnsi="宋体" w:eastAsia="宋体" w:cs="宋体"/>
          <w:b/>
          <w:bCs/>
          <w:sz w:val="24"/>
          <w:szCs w:val="24"/>
          <w:u w:val="single"/>
        </w:rPr>
        <w:t>元，即</w:t>
      </w:r>
      <w:r>
        <w:rPr>
          <w:rFonts w:ascii="宋体" w:hAnsi="宋体" w:eastAsia="宋体" w:cs="宋体"/>
          <w:b/>
          <w:bCs/>
          <w:sz w:val="24"/>
          <w:szCs w:val="24"/>
          <w:u w:val="single"/>
        </w:rPr>
        <w:t>RMB</w:t>
      </w:r>
      <w:r>
        <w:rPr>
          <w:rFonts w:hint="eastAsia" w:ascii="宋体" w:hAnsi="宋体" w:eastAsia="宋体" w:cs="宋体"/>
          <w:b/>
          <w:bCs/>
          <w:sz w:val="24"/>
          <w:szCs w:val="24"/>
          <w:u w:val="single"/>
        </w:rPr>
        <w:t>￥</w:t>
      </w:r>
      <w:r>
        <w:rPr>
          <w:rFonts w:ascii="宋体" w:hAnsi="宋体" w:eastAsia="宋体" w:cs="宋体"/>
          <w:b/>
          <w:bCs/>
          <w:sz w:val="24"/>
          <w:szCs w:val="24"/>
          <w:u w:val="single"/>
        </w:rPr>
        <w:t xml:space="preserve">          </w:t>
      </w:r>
      <w:r>
        <w:rPr>
          <w:rFonts w:hint="eastAsia" w:ascii="宋体" w:hAnsi="宋体" w:eastAsia="宋体" w:cs="宋体"/>
          <w:b/>
          <w:bCs/>
          <w:sz w:val="24"/>
          <w:szCs w:val="24"/>
        </w:rPr>
        <w:t>元</w:t>
      </w:r>
      <w:r>
        <w:rPr>
          <w:rFonts w:hint="eastAsia" w:ascii="宋体" w:hAnsi="宋体" w:eastAsia="宋体" w:cs="宋体"/>
          <w:sz w:val="24"/>
          <w:szCs w:val="24"/>
        </w:rPr>
        <w:t>；该合同总价已包括货物设计、材料、制造、包装、运输、安装、调试、检测、培训、验收合格交付使用之前及保修期内保修服务与备用物件等所有其他有关各项的含税费用及乙方合理利润。本合同执行期间合同总价不变，甲方无须另向乙方支付本合同规定之外的其他任何费用。</w:t>
      </w:r>
    </w:p>
    <w:p w14:paraId="73F1CABF">
      <w:pPr>
        <w:tabs>
          <w:tab w:val="left" w:pos="2145"/>
        </w:tabs>
        <w:spacing w:line="360" w:lineRule="auto"/>
        <w:rPr>
          <w:rFonts w:ascii="宋体" w:hAnsi="宋体" w:eastAsia="等线" w:cs="宋体"/>
          <w:b/>
          <w:sz w:val="24"/>
        </w:rPr>
      </w:pPr>
      <w:r>
        <w:rPr>
          <w:rFonts w:hint="eastAsia" w:ascii="宋体" w:hAnsi="宋体" w:eastAsia="等线" w:cs="宋体"/>
          <w:b/>
          <w:sz w:val="24"/>
        </w:rPr>
        <w:t>三、质量要求</w:t>
      </w:r>
      <w:r>
        <w:rPr>
          <w:rFonts w:hint="eastAsia" w:ascii="宋体" w:hAnsi="宋体" w:eastAsia="等线" w:cs="宋体"/>
          <w:b/>
          <w:sz w:val="24"/>
        </w:rPr>
        <w:tab/>
      </w:r>
    </w:p>
    <w:p w14:paraId="1DFBEB90">
      <w:pPr>
        <w:spacing w:line="360" w:lineRule="auto"/>
        <w:ind w:firstLine="480" w:firstLineChars="200"/>
        <w:rPr>
          <w:rFonts w:ascii="宋体" w:hAnsi="宋体" w:eastAsia="宋体" w:cs="宋体"/>
          <w:sz w:val="24"/>
        </w:rPr>
      </w:pPr>
      <w:r>
        <w:rPr>
          <w:rFonts w:hint="eastAsia" w:ascii="宋体" w:hAnsi="宋体" w:eastAsia="宋体" w:cs="宋体"/>
          <w:sz w:val="24"/>
        </w:rPr>
        <w:t>1.乙方须提供全新的货物（含零部件、配件等），表面无划伤、无碰撞痕迹，且权属清楚，不得侵害他人的知识产权。</w:t>
      </w:r>
    </w:p>
    <w:p w14:paraId="6488B59F">
      <w:pPr>
        <w:spacing w:line="360" w:lineRule="auto"/>
        <w:ind w:firstLine="480" w:firstLineChars="200"/>
        <w:rPr>
          <w:rFonts w:ascii="宋体" w:hAnsi="宋体" w:eastAsia="宋体" w:cs="宋体"/>
          <w:sz w:val="24"/>
        </w:rPr>
      </w:pPr>
      <w:r>
        <w:rPr>
          <w:rFonts w:hint="eastAsia" w:ascii="宋体" w:hAnsi="宋体" w:eastAsia="宋体" w:cs="宋体"/>
          <w:sz w:val="24"/>
        </w:rPr>
        <w:t>2.货物必须符合或优于国家（行业）相关标准，本项目招标文件的质量要求和技术指标以及乙方投标文件所响应的技术条款。因货物本身的缺陷等给甲方及第三人造成任何人身或者财产损失，由乙方承担责任，赔偿由此产生的一切损失。</w:t>
      </w:r>
    </w:p>
    <w:p w14:paraId="6BAC8B72">
      <w:pPr>
        <w:spacing w:line="360" w:lineRule="auto"/>
        <w:ind w:firstLine="480" w:firstLineChars="200"/>
        <w:rPr>
          <w:rFonts w:ascii="宋体" w:hAnsi="宋体" w:eastAsia="宋体" w:cs="宋体"/>
          <w:sz w:val="24"/>
        </w:rPr>
      </w:pPr>
      <w:r>
        <w:rPr>
          <w:rFonts w:hint="eastAsia" w:ascii="宋体" w:hAnsi="宋体" w:eastAsia="宋体" w:cs="宋体"/>
          <w:sz w:val="24"/>
        </w:rPr>
        <w:t>3、货物质量出现问题,在质保期内乙方应负责三包(包修、包换、包退),费用由乙方负担，但如果合同设备的故障是由于甲方原因造成的，则对合同设备进行修理和更换，因此产生的费用由甲方承担。</w:t>
      </w:r>
    </w:p>
    <w:p w14:paraId="556E89D3">
      <w:pPr>
        <w:spacing w:line="360" w:lineRule="auto"/>
        <w:ind w:firstLine="480" w:firstLineChars="200"/>
        <w:rPr>
          <w:rFonts w:ascii="宋体" w:hAnsi="宋体" w:eastAsia="宋体" w:cs="宋体"/>
          <w:sz w:val="24"/>
        </w:rPr>
      </w:pPr>
      <w:r>
        <w:rPr>
          <w:rFonts w:hint="eastAsia" w:ascii="宋体" w:hAnsi="宋体" w:eastAsia="宋体" w:cs="宋体"/>
          <w:sz w:val="24"/>
        </w:rPr>
        <w:t>4、货物初步验收合格后由于甲方保管不当造成的质量问题，乙方亦应负责惨理，但费用由甲方负担。</w:t>
      </w:r>
    </w:p>
    <w:p w14:paraId="0CAA55C6">
      <w:pPr>
        <w:pStyle w:val="3"/>
        <w:autoSpaceDE w:val="0"/>
        <w:spacing w:line="360" w:lineRule="auto"/>
        <w:jc w:val="left"/>
        <w:rPr>
          <w:rFonts w:ascii="宋体" w:hAnsi="宋体" w:eastAsia="宋体" w:cs="Times New Roman"/>
          <w:b/>
          <w:bCs/>
          <w:sz w:val="24"/>
          <w:szCs w:val="24"/>
        </w:rPr>
      </w:pPr>
      <w:r>
        <w:rPr>
          <w:rFonts w:hint="eastAsia" w:ascii="宋体" w:hAnsi="宋体" w:eastAsia="宋体"/>
          <w:b/>
          <w:bCs/>
          <w:sz w:val="24"/>
          <w:szCs w:val="24"/>
        </w:rPr>
        <w:t>四、交货及验收</w:t>
      </w:r>
    </w:p>
    <w:p w14:paraId="7DA9328A">
      <w:pPr>
        <w:pStyle w:val="3"/>
        <w:autoSpaceDE w:val="0"/>
        <w:spacing w:line="360" w:lineRule="auto"/>
        <w:ind w:firstLine="480" w:firstLineChars="200"/>
        <w:rPr>
          <w:rFonts w:ascii="宋体" w:hAnsi="宋体" w:eastAsia="宋体"/>
          <w:sz w:val="24"/>
          <w:szCs w:val="24"/>
        </w:rPr>
      </w:pPr>
      <w:r>
        <w:rPr>
          <w:rFonts w:hint="eastAsia" w:ascii="宋体" w:hAnsi="宋体" w:eastAsia="宋体"/>
          <w:sz w:val="24"/>
          <w:szCs w:val="24"/>
        </w:rPr>
        <w:t>1、乙方交货期限为合同签订生效后的</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u w:val="single"/>
        </w:rPr>
        <w:t>2</w:t>
      </w:r>
      <w:r>
        <w:rPr>
          <w:rFonts w:ascii="宋体" w:hAnsi="宋体" w:eastAsia="宋体"/>
          <w:sz w:val="24"/>
          <w:szCs w:val="24"/>
          <w:u w:val="single"/>
        </w:rPr>
        <w:t xml:space="preserve">0 </w:t>
      </w:r>
      <w:r>
        <w:rPr>
          <w:rFonts w:hint="eastAsia" w:ascii="宋体" w:hAnsi="宋体" w:eastAsia="宋体"/>
          <w:sz w:val="24"/>
          <w:szCs w:val="24"/>
          <w:u w:val="single"/>
        </w:rPr>
        <w:t xml:space="preserve"> </w:t>
      </w:r>
      <w:r>
        <w:rPr>
          <w:rFonts w:hint="eastAsia" w:ascii="宋体" w:hAnsi="宋体" w:eastAsia="宋体"/>
          <w:sz w:val="24"/>
          <w:szCs w:val="24"/>
        </w:rPr>
        <w:t>日内全部完成安装调试交付使用(如由于采购人的原因造成合同延迟签订或验收的，时间顺延)。</w:t>
      </w:r>
    </w:p>
    <w:p w14:paraId="5F04DF60">
      <w:pPr>
        <w:pStyle w:val="3"/>
        <w:autoSpaceDE w:val="0"/>
        <w:spacing w:line="360" w:lineRule="auto"/>
        <w:ind w:firstLine="480" w:firstLineChars="200"/>
        <w:jc w:val="both"/>
        <w:rPr>
          <w:rFonts w:ascii="宋体" w:hAnsi="宋体" w:eastAsia="宋体"/>
          <w:sz w:val="24"/>
          <w:szCs w:val="24"/>
        </w:rPr>
      </w:pPr>
      <w:r>
        <w:rPr>
          <w:rFonts w:hint="eastAsia" w:ascii="宋体" w:hAnsi="宋体" w:eastAsia="宋体"/>
          <w:sz w:val="24"/>
          <w:szCs w:val="24"/>
        </w:rPr>
        <w:t>2、验收由甲方组织，乙方配合进行:</w:t>
      </w:r>
    </w:p>
    <w:p w14:paraId="58FA60D5">
      <w:pPr>
        <w:pStyle w:val="5"/>
        <w:autoSpaceDE w:val="0"/>
        <w:spacing w:line="360" w:lineRule="auto"/>
        <w:ind w:firstLine="480" w:firstLineChars="200"/>
      </w:pPr>
      <w:r>
        <w:rPr>
          <w:rFonts w:hint="eastAsia"/>
        </w:rPr>
        <w:t>(1)货物在乙方通知安装调试完毕后十日内组织初步验收。初步验收合格后，进入为期不少于三十个工作日的试运行期。试运行期间发生一般性质量问题，修复后试用期相应顺延；出现系统故障或其他重大故障，从运行恢复正常后重新计算试运行期限。试运行正常的，期满后十五日内进行最终验收。如质量验收合格，双方签署《质量验收合格证明书》。初步验收、试运行、最终验收等遇学校放寒暑假，应顺延至学校开学后；遇开学后的国家法定休假、休息日的，应顺延至法定工作日。</w:t>
      </w:r>
    </w:p>
    <w:p w14:paraId="1861A7FE">
      <w:pPr>
        <w:pStyle w:val="3"/>
        <w:autoSpaceDE w:val="0"/>
        <w:spacing w:line="360" w:lineRule="auto"/>
        <w:ind w:firstLine="480" w:firstLineChars="200"/>
        <w:jc w:val="left"/>
        <w:rPr>
          <w:rFonts w:ascii="宋体" w:hAnsi="宋体" w:eastAsia="宋体"/>
          <w:sz w:val="24"/>
          <w:szCs w:val="24"/>
        </w:rPr>
      </w:pPr>
      <w:r>
        <w:rPr>
          <w:rFonts w:hint="eastAsia" w:ascii="宋体" w:hAnsi="宋体" w:eastAsia="宋体"/>
          <w:sz w:val="24"/>
          <w:szCs w:val="24"/>
        </w:rPr>
        <w:t>(2)验收标准:按国家有关规定以及甲方招标文件的质量要求和技术指标、乙方的投标文件及承诺与本合同的定标准进行验收:甲乙双方如对质量要求和技术指标的约定标准有相互抵触或异议的事项，由甲方在招标文件与投标文件中按质量要求和技术指标比较优胜的原则确定该项的约定标准进行验收。</w:t>
      </w:r>
    </w:p>
    <w:p w14:paraId="7576823A">
      <w:pPr>
        <w:widowControl/>
        <w:autoSpaceDE w:val="0"/>
        <w:spacing w:line="360" w:lineRule="auto"/>
        <w:ind w:firstLine="480" w:firstLineChars="200"/>
        <w:jc w:val="left"/>
        <w:rPr>
          <w:rFonts w:ascii="宋体" w:hAnsi="宋体" w:eastAsia="宋体"/>
          <w:sz w:val="24"/>
          <w:szCs w:val="24"/>
        </w:rPr>
      </w:pPr>
      <w:r>
        <w:rPr>
          <w:rFonts w:hint="eastAsia" w:ascii="宋体" w:hAnsi="宋体"/>
          <w:sz w:val="24"/>
          <w:szCs w:val="24"/>
        </w:rPr>
        <w:t>(3)验收时如发现所交付的货物有短装、次品、损坏或其它不符合标准及本合同规定之情形者，甲方应做出详尽的现场记录，或由甲乙双方签署备忘录，此现场记录或备忘录可用作补充、缺失和更换损坏部件的有效证据，由此产生的时间延误与有关费用由乙方承担，验收期限相应顺延。</w:t>
      </w:r>
    </w:p>
    <w:p w14:paraId="5E6EEBCC">
      <w:pPr>
        <w:widowControl/>
        <w:autoSpaceDE w:val="0"/>
        <w:spacing w:line="360" w:lineRule="auto"/>
        <w:ind w:firstLine="480" w:firstLineChars="200"/>
        <w:jc w:val="left"/>
        <w:rPr>
          <w:rFonts w:ascii="宋体" w:hAnsi="宋体"/>
          <w:sz w:val="24"/>
          <w:szCs w:val="24"/>
        </w:rPr>
      </w:pPr>
      <w:r>
        <w:rPr>
          <w:rFonts w:hint="eastAsia" w:ascii="宋体" w:hAnsi="宋体"/>
          <w:kern w:val="0"/>
          <w:sz w:val="24"/>
          <w:szCs w:val="24"/>
        </w:rPr>
        <w:t xml:space="preserve">（4）如质量验收合格，双方签署质量验收报告。 </w:t>
      </w:r>
    </w:p>
    <w:p w14:paraId="6058CD58">
      <w:pPr>
        <w:widowControl/>
        <w:autoSpaceDE w:val="0"/>
        <w:spacing w:line="360" w:lineRule="auto"/>
        <w:ind w:firstLine="480" w:firstLineChars="200"/>
        <w:jc w:val="left"/>
        <w:rPr>
          <w:rFonts w:ascii="宋体" w:hAnsi="宋体"/>
          <w:sz w:val="24"/>
          <w:szCs w:val="24"/>
        </w:rPr>
      </w:pPr>
      <w:r>
        <w:rPr>
          <w:rFonts w:hint="eastAsia" w:ascii="宋体" w:hAnsi="宋体"/>
          <w:kern w:val="0"/>
          <w:sz w:val="24"/>
          <w:szCs w:val="24"/>
        </w:rPr>
        <w:t>3、货物安装调试完毕后 30 日内，甲方无故不进行初步验收工作并已使用货物的，视同初步验收合格。试运行期满后十五日内甲方无故不进行最终验收的，视同最终验收合格。</w:t>
      </w:r>
    </w:p>
    <w:p w14:paraId="49CA99CF">
      <w:pPr>
        <w:widowControl/>
        <w:autoSpaceDE w:val="0"/>
        <w:spacing w:line="360" w:lineRule="auto"/>
        <w:ind w:firstLine="480" w:firstLineChars="200"/>
        <w:jc w:val="left"/>
        <w:rPr>
          <w:rFonts w:ascii="宋体" w:hAnsi="宋体"/>
          <w:sz w:val="24"/>
          <w:szCs w:val="24"/>
        </w:rPr>
      </w:pPr>
      <w:r>
        <w:rPr>
          <w:rFonts w:hint="eastAsia" w:ascii="宋体" w:hAnsi="宋体"/>
          <w:kern w:val="0"/>
          <w:sz w:val="24"/>
          <w:szCs w:val="24"/>
        </w:rPr>
        <w:t xml:space="preserve">4、乙方应将所提供货物的装箱清单、配件、随机工具、用户使用手册等资料交付给甲方；乙方不能完整交付货物及本款规定的单证和工具的，必须负责补齐，否则视为未按合同约定交货。 </w:t>
      </w:r>
    </w:p>
    <w:p w14:paraId="7C7B892A">
      <w:pPr>
        <w:widowControl/>
        <w:autoSpaceDE w:val="0"/>
        <w:spacing w:line="360" w:lineRule="auto"/>
        <w:ind w:firstLine="480" w:firstLineChars="200"/>
        <w:jc w:val="left"/>
        <w:rPr>
          <w:rFonts w:ascii="宋体" w:hAnsi="宋体"/>
          <w:sz w:val="24"/>
          <w:szCs w:val="24"/>
        </w:rPr>
      </w:pPr>
      <w:r>
        <w:rPr>
          <w:rFonts w:hint="eastAsia" w:ascii="宋体" w:hAnsi="宋体"/>
          <w:kern w:val="0"/>
          <w:sz w:val="24"/>
          <w:szCs w:val="24"/>
        </w:rPr>
        <w:t xml:space="preserve">5、其他未尽事宜应按照《财政部关于进一步加强政府采购需求和履约验收管理的指导意见》（财库〔2016〕205 号）的要求进行。 </w:t>
      </w:r>
    </w:p>
    <w:p w14:paraId="2A4A10D6">
      <w:pPr>
        <w:widowControl/>
        <w:autoSpaceDE w:val="0"/>
        <w:spacing w:line="360" w:lineRule="auto"/>
        <w:ind w:firstLine="480" w:firstLineChars="200"/>
        <w:jc w:val="left"/>
        <w:rPr>
          <w:rFonts w:ascii="宋体" w:hAnsi="宋体" w:eastAsia="等线" w:cs="宋体"/>
          <w:b/>
          <w:sz w:val="24"/>
        </w:rPr>
      </w:pPr>
      <w:r>
        <w:rPr>
          <w:rFonts w:hint="eastAsia" w:ascii="宋体" w:hAnsi="宋体" w:eastAsia="等线" w:cs="宋体"/>
          <w:b/>
          <w:sz w:val="24"/>
        </w:rPr>
        <w:t xml:space="preserve">五、履约保证金 </w:t>
      </w:r>
    </w:p>
    <w:p w14:paraId="7674AFE4">
      <w:pPr>
        <w:widowControl/>
        <w:autoSpaceDE w:val="0"/>
        <w:spacing w:line="360" w:lineRule="auto"/>
        <w:ind w:firstLine="480" w:firstLineChars="200"/>
        <w:jc w:val="left"/>
        <w:rPr>
          <w:rFonts w:ascii="宋体" w:hAnsi="宋体"/>
          <w:sz w:val="24"/>
          <w:szCs w:val="24"/>
        </w:rPr>
      </w:pPr>
      <w:r>
        <w:rPr>
          <w:rFonts w:hint="eastAsia" w:ascii="宋体" w:hAnsi="宋体"/>
          <w:kern w:val="0"/>
          <w:sz w:val="24"/>
          <w:szCs w:val="24"/>
        </w:rPr>
        <w:t>1、乙方交纳</w:t>
      </w:r>
      <w:r>
        <w:rPr>
          <w:rFonts w:hint="eastAsia" w:ascii="宋体" w:hAnsi="宋体"/>
          <w:b/>
          <w:bCs/>
          <w:kern w:val="0"/>
          <w:sz w:val="24"/>
          <w:szCs w:val="24"/>
          <w:u w:val="single"/>
        </w:rPr>
        <w:t xml:space="preserve">￥          元，人民币大写：              </w:t>
      </w:r>
      <w:r>
        <w:rPr>
          <w:rFonts w:hint="eastAsia" w:ascii="宋体" w:hAnsi="宋体"/>
          <w:kern w:val="0"/>
          <w:sz w:val="24"/>
          <w:szCs w:val="24"/>
        </w:rPr>
        <w:t xml:space="preserve">（采购合同金额的5%）作为本合同的履约保证金。 </w:t>
      </w:r>
    </w:p>
    <w:p w14:paraId="758CA8F9">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 xml:space="preserve">2、履约保证金作为违约金的一部分及用于补偿甲方因乙方不能履行合同义务而蒙受的损失。 </w:t>
      </w:r>
    </w:p>
    <w:p w14:paraId="303B4F12">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3、采购合同履约完成交货、调试、验收、质量保修范围和保修期义务后1年内，甲方财务部门接到乙方通知和支付凭证资料文件，以及甲乙双方确认本合同货物质量与服务等约定事项已经履行完毕的正式书面文件后的 30 日内，递交结算凭证资料，</w:t>
      </w:r>
      <w:r>
        <w:rPr>
          <w:rFonts w:ascii="宋体" w:hAnsi="宋体" w:eastAsia="宋体" w:cs="宋体"/>
          <w:kern w:val="0"/>
          <w:sz w:val="24"/>
        </w:rPr>
        <w:t>甲方审核通过后，</w:t>
      </w:r>
      <w:r>
        <w:rPr>
          <w:rFonts w:hint="eastAsia" w:ascii="宋体" w:hAnsi="宋体" w:eastAsia="宋体" w:cs="宋体"/>
          <w:kern w:val="0"/>
          <w:sz w:val="24"/>
        </w:rPr>
        <w:t>向乙方无息退还履约保证金。</w:t>
      </w:r>
    </w:p>
    <w:p w14:paraId="6E552DB1">
      <w:pPr>
        <w:spacing w:line="360" w:lineRule="auto"/>
        <w:ind w:firstLine="471" w:firstLineChars="196"/>
        <w:rPr>
          <w:rFonts w:ascii="宋体" w:hAnsi="宋体" w:eastAsia="等线" w:cs="宋体"/>
          <w:b/>
          <w:sz w:val="24"/>
        </w:rPr>
      </w:pPr>
      <w:r>
        <w:rPr>
          <w:rFonts w:hint="eastAsia" w:ascii="宋体" w:hAnsi="宋体" w:eastAsia="等线" w:cs="宋体"/>
          <w:b/>
          <w:sz w:val="24"/>
        </w:rPr>
        <w:t>六、付款方式</w:t>
      </w:r>
    </w:p>
    <w:p w14:paraId="54C6DC6E">
      <w:pPr>
        <w:widowControl/>
        <w:autoSpaceDE w:val="0"/>
        <w:spacing w:line="360" w:lineRule="auto"/>
        <w:ind w:firstLine="480" w:firstLineChars="200"/>
        <w:jc w:val="left"/>
        <w:rPr>
          <w:rFonts w:ascii="宋体" w:hAnsi="宋体"/>
          <w:kern w:val="0"/>
          <w:sz w:val="24"/>
          <w:szCs w:val="24"/>
        </w:rPr>
      </w:pPr>
      <w:r>
        <w:rPr>
          <w:rFonts w:hint="eastAsia" w:ascii="宋体" w:hAnsi="宋体"/>
          <w:kern w:val="0"/>
          <w:sz w:val="24"/>
          <w:szCs w:val="24"/>
        </w:rPr>
        <w:t>1.一次性付款</w:t>
      </w:r>
    </w:p>
    <w:p w14:paraId="6C034EFC">
      <w:pPr>
        <w:widowControl/>
        <w:autoSpaceDE w:val="0"/>
        <w:spacing w:line="360" w:lineRule="auto"/>
        <w:ind w:firstLine="480" w:firstLineChars="200"/>
        <w:jc w:val="left"/>
        <w:rPr>
          <w:rFonts w:ascii="宋体" w:hAnsi="宋体"/>
          <w:kern w:val="0"/>
          <w:sz w:val="24"/>
          <w:szCs w:val="24"/>
        </w:rPr>
      </w:pPr>
      <w:r>
        <w:rPr>
          <w:rFonts w:hint="eastAsia" w:ascii="宋体" w:hAnsi="宋体"/>
          <w:kern w:val="0"/>
          <w:sz w:val="24"/>
          <w:szCs w:val="24"/>
        </w:rPr>
        <w:t>项目最终验收合格，乙方提供相关票据凭证资料，经审核无误后 30 日内，向乙方支付合同价格的100%即：</w:t>
      </w:r>
      <w:r>
        <w:rPr>
          <w:rFonts w:hint="eastAsia" w:ascii="宋体" w:hAnsi="宋体"/>
          <w:b/>
          <w:bCs/>
          <w:kern w:val="0"/>
          <w:sz w:val="24"/>
          <w:szCs w:val="24"/>
          <w:u w:val="single"/>
        </w:rPr>
        <w:t>￥             元，大写：             整</w:t>
      </w:r>
      <w:r>
        <w:rPr>
          <w:rFonts w:hint="eastAsia" w:ascii="宋体" w:hAnsi="宋体"/>
          <w:kern w:val="0"/>
          <w:sz w:val="24"/>
          <w:szCs w:val="24"/>
        </w:rPr>
        <w:t xml:space="preserve">作为合同款。 </w:t>
      </w:r>
    </w:p>
    <w:p w14:paraId="55FA1062">
      <w:pPr>
        <w:spacing w:line="360" w:lineRule="auto"/>
        <w:ind w:firstLine="480" w:firstLineChars="200"/>
        <w:rPr>
          <w:rFonts w:hint="eastAsia" w:ascii="宋体" w:hAnsi="宋体" w:eastAsia="宋体" w:cs="宋体"/>
          <w:sz w:val="24"/>
        </w:rPr>
      </w:pPr>
      <w:r>
        <w:rPr>
          <w:rFonts w:hint="eastAsia" w:ascii="宋体" w:hAnsi="宋体" w:eastAsia="宋体" w:cs="宋体"/>
          <w:sz w:val="24"/>
        </w:rPr>
        <w:t>2.乙方须先行向甲方出具合法有效完整的完税发票及凭证资料进行支付结算，若</w:t>
      </w:r>
      <w:r>
        <w:rPr>
          <w:rFonts w:ascii="宋体" w:hAnsi="宋体" w:eastAsia="宋体" w:cs="宋体"/>
          <w:sz w:val="24"/>
        </w:rPr>
        <w:t>未开具发票的</w:t>
      </w:r>
      <w:r>
        <w:rPr>
          <w:rFonts w:hint="eastAsia" w:ascii="宋体" w:hAnsi="宋体" w:eastAsia="宋体" w:cs="宋体"/>
          <w:sz w:val="24"/>
        </w:rPr>
        <w:t>，</w:t>
      </w:r>
      <w:r>
        <w:rPr>
          <w:rFonts w:ascii="宋体" w:hAnsi="宋体" w:eastAsia="宋体" w:cs="宋体"/>
          <w:sz w:val="24"/>
        </w:rPr>
        <w:t>甲方有权拒绝付款</w:t>
      </w:r>
      <w:r>
        <w:rPr>
          <w:rFonts w:hint="eastAsia" w:ascii="宋体" w:hAnsi="宋体" w:eastAsia="宋体" w:cs="宋体"/>
          <w:sz w:val="24"/>
        </w:rPr>
        <w:t>且</w:t>
      </w:r>
      <w:r>
        <w:rPr>
          <w:rFonts w:ascii="宋体" w:hAnsi="宋体" w:eastAsia="宋体" w:cs="宋体"/>
          <w:sz w:val="24"/>
        </w:rPr>
        <w:t>不承担违约责任。</w:t>
      </w:r>
    </w:p>
    <w:p w14:paraId="75535CBC">
      <w:pPr>
        <w:widowControl/>
        <w:autoSpaceDE w:val="0"/>
        <w:spacing w:line="360" w:lineRule="auto"/>
        <w:jc w:val="left"/>
        <w:rPr>
          <w:rFonts w:ascii="宋体" w:hAnsi="宋体" w:eastAsia="宋体" w:cs="Times New Roman"/>
          <w:sz w:val="24"/>
          <w:szCs w:val="24"/>
        </w:rPr>
      </w:pPr>
      <w:r>
        <w:rPr>
          <w:rFonts w:hint="eastAsia" w:ascii="宋体" w:hAnsi="宋体"/>
          <w:b/>
          <w:bCs/>
          <w:kern w:val="0"/>
          <w:sz w:val="24"/>
          <w:szCs w:val="24"/>
        </w:rPr>
        <w:t xml:space="preserve">七、售后服务 </w:t>
      </w:r>
    </w:p>
    <w:p w14:paraId="1A199009">
      <w:pPr>
        <w:widowControl/>
        <w:autoSpaceDE w:val="0"/>
        <w:spacing w:line="360" w:lineRule="auto"/>
        <w:ind w:firstLine="480" w:firstLineChars="200"/>
        <w:jc w:val="left"/>
        <w:rPr>
          <w:rFonts w:ascii="宋体" w:hAnsi="宋体"/>
          <w:kern w:val="0"/>
          <w:sz w:val="24"/>
          <w:szCs w:val="24"/>
        </w:rPr>
      </w:pPr>
      <w:r>
        <w:rPr>
          <w:rFonts w:hint="eastAsia" w:ascii="宋体" w:hAnsi="宋体"/>
          <w:kern w:val="0"/>
          <w:sz w:val="24"/>
          <w:szCs w:val="24"/>
        </w:rPr>
        <w:t>1.质保期为验收合格后</w:t>
      </w:r>
      <w:r>
        <w:rPr>
          <w:rFonts w:hint="eastAsia" w:ascii="宋体" w:hAnsi="宋体"/>
          <w:kern w:val="0"/>
          <w:sz w:val="24"/>
          <w:szCs w:val="24"/>
          <w:u w:val="single"/>
        </w:rPr>
        <w:t xml:space="preserve"> 3 </w:t>
      </w:r>
      <w:r>
        <w:rPr>
          <w:rFonts w:hint="eastAsia" w:ascii="宋体" w:hAnsi="宋体"/>
          <w:kern w:val="0"/>
          <w:sz w:val="24"/>
          <w:szCs w:val="24"/>
        </w:rPr>
        <w:t>年，质保期内出现质量问题，乙方在接到通知后</w:t>
      </w:r>
      <w:r>
        <w:rPr>
          <w:rFonts w:hint="eastAsia" w:ascii="宋体" w:hAnsi="宋体"/>
          <w:kern w:val="0"/>
          <w:sz w:val="24"/>
          <w:szCs w:val="24"/>
          <w:u w:val="single"/>
        </w:rPr>
        <w:t xml:space="preserve"> 24 </w:t>
      </w:r>
      <w:r>
        <w:rPr>
          <w:rFonts w:hint="eastAsia" w:ascii="宋体" w:hAnsi="宋体"/>
          <w:kern w:val="0"/>
          <w:sz w:val="24"/>
          <w:szCs w:val="24"/>
        </w:rPr>
        <w:t>小时内响应到场，</w:t>
      </w:r>
      <w:r>
        <w:rPr>
          <w:rFonts w:hint="eastAsia" w:ascii="宋体" w:hAnsi="宋体"/>
          <w:kern w:val="0"/>
          <w:sz w:val="24"/>
          <w:szCs w:val="24"/>
          <w:u w:val="single"/>
        </w:rPr>
        <w:t xml:space="preserve">48 </w:t>
      </w:r>
      <w:r>
        <w:rPr>
          <w:rFonts w:hint="eastAsia" w:ascii="宋体" w:hAnsi="宋体"/>
          <w:kern w:val="0"/>
          <w:sz w:val="24"/>
          <w:szCs w:val="24"/>
        </w:rPr>
        <w:t>小时内完成维修或更换，并承担修理调换的费用；如货物经乙方</w:t>
      </w:r>
      <w:r>
        <w:rPr>
          <w:rFonts w:hint="eastAsia" w:ascii="宋体" w:hAnsi="宋体"/>
          <w:kern w:val="0"/>
          <w:sz w:val="24"/>
          <w:szCs w:val="24"/>
          <w:u w:val="single"/>
        </w:rPr>
        <w:t xml:space="preserve"> 3</w:t>
      </w:r>
      <w:r>
        <w:rPr>
          <w:rFonts w:hint="eastAsia" w:ascii="宋体" w:hAnsi="宋体"/>
          <w:kern w:val="0"/>
          <w:sz w:val="24"/>
          <w:szCs w:val="24"/>
        </w:rPr>
        <w:t>次维修仍不能达到本合同约定的质量标准，乙方须免费更换货物。</w:t>
      </w:r>
    </w:p>
    <w:p w14:paraId="61B766EF">
      <w:pPr>
        <w:widowControl/>
        <w:autoSpaceDE w:val="0"/>
        <w:spacing w:line="360" w:lineRule="auto"/>
        <w:ind w:firstLine="480" w:firstLineChars="200"/>
        <w:jc w:val="left"/>
        <w:rPr>
          <w:rFonts w:ascii="宋体" w:hAnsi="宋体"/>
          <w:kern w:val="0"/>
          <w:sz w:val="24"/>
          <w:szCs w:val="24"/>
        </w:rPr>
      </w:pPr>
      <w:r>
        <w:rPr>
          <w:rFonts w:hint="eastAsia" w:ascii="宋体" w:hAnsi="宋体"/>
          <w:kern w:val="0"/>
          <w:sz w:val="24"/>
          <w:szCs w:val="24"/>
        </w:rPr>
        <w:t xml:space="preserve">2.乙方须指派专人负责与甲方联系售后服务事宜。 </w:t>
      </w:r>
    </w:p>
    <w:p w14:paraId="53F4CB78">
      <w:pPr>
        <w:widowControl/>
        <w:autoSpaceDE w:val="0"/>
        <w:spacing w:line="360" w:lineRule="auto"/>
        <w:jc w:val="left"/>
        <w:rPr>
          <w:rFonts w:ascii="宋体" w:hAnsi="宋体"/>
          <w:sz w:val="24"/>
          <w:szCs w:val="24"/>
        </w:rPr>
      </w:pPr>
      <w:r>
        <w:rPr>
          <w:rFonts w:hint="eastAsia" w:ascii="宋体" w:hAnsi="宋体"/>
          <w:b/>
          <w:bCs/>
          <w:kern w:val="0"/>
          <w:sz w:val="24"/>
          <w:szCs w:val="24"/>
        </w:rPr>
        <w:t xml:space="preserve">八、违约责任 </w:t>
      </w:r>
    </w:p>
    <w:p w14:paraId="712EA2F7">
      <w:pPr>
        <w:widowControl/>
        <w:autoSpaceDE w:val="0"/>
        <w:spacing w:line="360" w:lineRule="auto"/>
        <w:ind w:firstLine="480" w:firstLineChars="200"/>
        <w:jc w:val="left"/>
        <w:rPr>
          <w:rFonts w:ascii="宋体" w:hAnsi="宋体"/>
          <w:sz w:val="24"/>
          <w:szCs w:val="24"/>
        </w:rPr>
      </w:pPr>
      <w:r>
        <w:rPr>
          <w:rFonts w:hint="eastAsia" w:ascii="宋体" w:hAnsi="宋体"/>
          <w:kern w:val="0"/>
          <w:sz w:val="24"/>
          <w:szCs w:val="24"/>
        </w:rPr>
        <w:t xml:space="preserve">1.甲方违约责任 </w:t>
      </w:r>
    </w:p>
    <w:p w14:paraId="252EDEE9">
      <w:pPr>
        <w:widowControl/>
        <w:autoSpaceDE w:val="0"/>
        <w:spacing w:line="360" w:lineRule="auto"/>
        <w:ind w:firstLine="480" w:firstLineChars="200"/>
        <w:jc w:val="left"/>
        <w:rPr>
          <w:rFonts w:ascii="宋体" w:hAnsi="宋体"/>
          <w:sz w:val="24"/>
          <w:szCs w:val="24"/>
        </w:rPr>
      </w:pPr>
      <w:r>
        <w:rPr>
          <w:rFonts w:hint="eastAsia" w:ascii="宋体" w:hAnsi="宋体"/>
          <w:kern w:val="0"/>
          <w:sz w:val="24"/>
          <w:szCs w:val="24"/>
        </w:rPr>
        <w:t xml:space="preserve">（1）甲方无正当理由拒收货物的，甲方应偿付合同总价百分之二十的违约金； </w:t>
      </w:r>
    </w:p>
    <w:p w14:paraId="122A49D1">
      <w:pPr>
        <w:widowControl/>
        <w:autoSpaceDE w:val="0"/>
        <w:spacing w:line="360" w:lineRule="auto"/>
        <w:ind w:firstLine="480" w:firstLineChars="200"/>
        <w:jc w:val="left"/>
        <w:rPr>
          <w:rFonts w:ascii="宋体" w:hAnsi="宋体"/>
          <w:sz w:val="24"/>
          <w:szCs w:val="24"/>
        </w:rPr>
      </w:pPr>
      <w:r>
        <w:rPr>
          <w:rFonts w:hint="eastAsia" w:ascii="宋体" w:hAnsi="宋体"/>
          <w:kern w:val="0"/>
          <w:sz w:val="24"/>
          <w:szCs w:val="24"/>
        </w:rPr>
        <w:t xml:space="preserve">（2）甲方逾期支付货款的，除应及时付足货款外，应按照合同订立时1年期贷款市场报价利率支付逾期利息（迟延付款违约金）；逾期付款超过 60 天的，乙方有权解除合同； </w:t>
      </w:r>
    </w:p>
    <w:p w14:paraId="7B5EA11A">
      <w:pPr>
        <w:widowControl/>
        <w:autoSpaceDE w:val="0"/>
        <w:spacing w:line="360" w:lineRule="auto"/>
        <w:ind w:firstLine="480" w:firstLineChars="200"/>
        <w:jc w:val="left"/>
        <w:rPr>
          <w:rFonts w:ascii="宋体" w:hAnsi="宋体"/>
          <w:sz w:val="24"/>
          <w:szCs w:val="24"/>
        </w:rPr>
      </w:pPr>
      <w:r>
        <w:rPr>
          <w:rFonts w:hint="eastAsia" w:ascii="宋体" w:hAnsi="宋体"/>
          <w:kern w:val="0"/>
          <w:sz w:val="24"/>
          <w:szCs w:val="24"/>
        </w:rPr>
        <w:t xml:space="preserve">（3）甲方偿付的违约金不足以弥补乙方损失的，还应按乙方损失尚未弥补的部分，支付赔偿金给乙方。 </w:t>
      </w:r>
    </w:p>
    <w:p w14:paraId="78575BE7">
      <w:pPr>
        <w:widowControl/>
        <w:autoSpaceDE w:val="0"/>
        <w:spacing w:line="360" w:lineRule="auto"/>
        <w:ind w:firstLine="480" w:firstLineChars="200"/>
        <w:jc w:val="left"/>
        <w:rPr>
          <w:rFonts w:ascii="宋体" w:hAnsi="宋体"/>
          <w:sz w:val="24"/>
          <w:szCs w:val="24"/>
        </w:rPr>
      </w:pPr>
      <w:r>
        <w:rPr>
          <w:rFonts w:hint="eastAsia" w:ascii="宋体" w:hAnsi="宋体"/>
          <w:kern w:val="0"/>
          <w:sz w:val="24"/>
          <w:szCs w:val="24"/>
        </w:rPr>
        <w:t xml:space="preserve">2.乙方违约责任 </w:t>
      </w:r>
    </w:p>
    <w:p w14:paraId="4A6D97B1">
      <w:pPr>
        <w:widowControl/>
        <w:autoSpaceDE w:val="0"/>
        <w:spacing w:line="360" w:lineRule="auto"/>
        <w:ind w:firstLine="480" w:firstLineChars="200"/>
        <w:jc w:val="left"/>
        <w:rPr>
          <w:rFonts w:ascii="宋体" w:hAnsi="宋体"/>
          <w:sz w:val="24"/>
          <w:szCs w:val="24"/>
        </w:rPr>
      </w:pPr>
      <w:r>
        <w:rPr>
          <w:rFonts w:hint="eastAsia" w:ascii="宋体" w:hAnsi="宋体"/>
          <w:kern w:val="0"/>
          <w:sz w:val="24"/>
          <w:szCs w:val="24"/>
        </w:rPr>
        <w:t xml:space="preserve">（1）乙方交付的货物质量不符合合同规定的，乙方应向甲方支付合同总价的百分之二十的违约金，并须在合同规定的交货时间内更换合格的货物给甲方，否则，视作乙方不能交付货物而违约，按本条本款下述第“（2）”项规定由乙方偿付违约赔偿金给甲方。 </w:t>
      </w:r>
    </w:p>
    <w:p w14:paraId="696134FE">
      <w:pPr>
        <w:widowControl/>
        <w:autoSpaceDE w:val="0"/>
        <w:spacing w:line="360" w:lineRule="auto"/>
        <w:ind w:firstLine="480" w:firstLineChars="200"/>
        <w:jc w:val="left"/>
        <w:rPr>
          <w:rFonts w:ascii="宋体" w:hAnsi="宋体"/>
          <w:sz w:val="24"/>
          <w:szCs w:val="24"/>
        </w:rPr>
      </w:pPr>
      <w:r>
        <w:rPr>
          <w:rFonts w:hint="eastAsia" w:ascii="宋体" w:hAnsi="宋体"/>
          <w:kern w:val="0"/>
          <w:sz w:val="24"/>
          <w:szCs w:val="24"/>
        </w:rPr>
        <w:t xml:space="preserve">（2）乙方不能交付货物或逾期交付货物而违约的，除应及时交付货物外，应向甲方偿付逾期交货部分货款总额的万分之四/日的违约金；逾期交货超过 60 日，甲方有权解除合同，乙方则应按合同总价的百分之二十的款额向甲方偿付赔偿金，并须全额退还甲方已经付给乙方的货款及其利息。 </w:t>
      </w:r>
    </w:p>
    <w:p w14:paraId="513AF05B">
      <w:pPr>
        <w:widowControl/>
        <w:autoSpaceDE w:val="0"/>
        <w:spacing w:line="360" w:lineRule="auto"/>
        <w:ind w:firstLine="480" w:firstLineChars="200"/>
        <w:jc w:val="left"/>
        <w:rPr>
          <w:rFonts w:ascii="宋体" w:hAnsi="宋体"/>
          <w:sz w:val="24"/>
          <w:szCs w:val="24"/>
        </w:rPr>
      </w:pPr>
      <w:r>
        <w:rPr>
          <w:rFonts w:hint="eastAsia" w:ascii="宋体" w:hAnsi="宋体"/>
          <w:kern w:val="0"/>
          <w:sz w:val="24"/>
          <w:szCs w:val="24"/>
        </w:rPr>
        <w:t xml:space="preserve">（3）乙方货物经甲方送交具有法定资格条件的质量技术监督机构检测后，如检测结果认定货物质量不符合本合同规定标准的，则视为乙方没有按时交货而违约，乙方须在 45 日内无条件更换合格的货物，如逾期不能更换合格的货物，甲方有权解除本合同，乙方应另付合同总价的百分之二十的赔偿金给甲方。 </w:t>
      </w:r>
    </w:p>
    <w:p w14:paraId="5D23A51B">
      <w:pPr>
        <w:widowControl/>
        <w:autoSpaceDE w:val="0"/>
        <w:spacing w:line="360" w:lineRule="auto"/>
        <w:ind w:firstLine="480" w:firstLineChars="200"/>
        <w:jc w:val="left"/>
        <w:rPr>
          <w:rFonts w:ascii="宋体" w:hAnsi="宋体"/>
          <w:sz w:val="24"/>
          <w:szCs w:val="24"/>
        </w:rPr>
      </w:pPr>
      <w:r>
        <w:rPr>
          <w:rFonts w:hint="eastAsia" w:ascii="宋体" w:hAnsi="宋体"/>
          <w:kern w:val="0"/>
          <w:sz w:val="24"/>
          <w:szCs w:val="24"/>
        </w:rPr>
        <w:t xml:space="preserve">（4）乙方保证本合同货物的权利无瑕疵，包括货物所有权及知识产权等权利无瑕疵。如任何第三方经法院（或仲裁机构）裁决有权对上述货物主张权利或国家机关依法对货物进行没收查处的，乙方除应向甲方返还已收款项外，还应另按合同总价的百分之二十向甲方支付违约金。 </w:t>
      </w:r>
    </w:p>
    <w:p w14:paraId="3B81D2AD">
      <w:pPr>
        <w:widowControl/>
        <w:autoSpaceDE w:val="0"/>
        <w:spacing w:line="360" w:lineRule="auto"/>
        <w:ind w:firstLine="480" w:firstLineChars="200"/>
        <w:jc w:val="left"/>
        <w:rPr>
          <w:rFonts w:ascii="宋体" w:hAnsi="宋体"/>
          <w:kern w:val="0"/>
          <w:sz w:val="24"/>
          <w:szCs w:val="24"/>
        </w:rPr>
      </w:pPr>
      <w:r>
        <w:rPr>
          <w:rFonts w:hint="eastAsia" w:ascii="宋体" w:hAnsi="宋体"/>
          <w:kern w:val="0"/>
          <w:sz w:val="24"/>
          <w:szCs w:val="24"/>
        </w:rPr>
        <w:t>（5）乙方偿付的违约金不足以弥补甲方损失的，还应按甲方损失尚未弥补的部分，支付赔偿金给甲方。</w:t>
      </w:r>
    </w:p>
    <w:p w14:paraId="7E7C16D4">
      <w:pPr>
        <w:widowControl/>
        <w:autoSpaceDE w:val="0"/>
        <w:spacing w:line="360" w:lineRule="auto"/>
        <w:jc w:val="left"/>
        <w:rPr>
          <w:rFonts w:ascii="宋体" w:hAnsi="宋体"/>
          <w:sz w:val="24"/>
          <w:szCs w:val="24"/>
        </w:rPr>
      </w:pPr>
      <w:r>
        <w:rPr>
          <w:rFonts w:hint="eastAsia" w:ascii="宋体" w:hAnsi="宋体"/>
          <w:b/>
          <w:bCs/>
          <w:kern w:val="0"/>
          <w:sz w:val="24"/>
          <w:szCs w:val="24"/>
        </w:rPr>
        <w:t xml:space="preserve">九、争议解决办法 </w:t>
      </w:r>
    </w:p>
    <w:p w14:paraId="7984B700">
      <w:pPr>
        <w:widowControl/>
        <w:autoSpaceDE w:val="0"/>
        <w:spacing w:line="360" w:lineRule="auto"/>
        <w:ind w:firstLine="480" w:firstLineChars="200"/>
        <w:jc w:val="left"/>
        <w:rPr>
          <w:rFonts w:ascii="宋体" w:hAnsi="宋体"/>
          <w:sz w:val="24"/>
          <w:szCs w:val="24"/>
        </w:rPr>
      </w:pPr>
      <w:r>
        <w:rPr>
          <w:rFonts w:hint="eastAsia" w:ascii="宋体" w:hAnsi="宋体"/>
          <w:kern w:val="0"/>
          <w:sz w:val="24"/>
          <w:szCs w:val="24"/>
        </w:rPr>
        <w:t xml:space="preserve">1.因货物的质量问题发生争议，由质量技术监督部门或其指定的质量鉴定机构进行质量鉴定。货物符合标准的，鉴定费由甲方承担；货物不符合质量标准的，鉴定费由乙方承担。 </w:t>
      </w:r>
    </w:p>
    <w:p w14:paraId="736D8218">
      <w:pPr>
        <w:autoSpaceDE w:val="0"/>
        <w:spacing w:line="360" w:lineRule="auto"/>
        <w:ind w:firstLine="480" w:firstLineChars="200"/>
        <w:rPr>
          <w:rFonts w:ascii="宋体" w:hAnsi="宋体"/>
          <w:sz w:val="24"/>
          <w:szCs w:val="24"/>
        </w:rPr>
      </w:pPr>
      <w:r>
        <w:rPr>
          <w:rFonts w:hint="eastAsia" w:ascii="宋体" w:hAnsi="宋体"/>
          <w:kern w:val="0"/>
          <w:sz w:val="24"/>
          <w:szCs w:val="24"/>
        </w:rPr>
        <w:t xml:space="preserve">2.合同履行期间,若双方发生争议，可协商或由有关部门调解解决，协商或调解不成的，由甲方所在地人民法院诉讼解决。 </w:t>
      </w:r>
      <w:r>
        <w:rPr>
          <w:rFonts w:hint="eastAsia" w:ascii="宋体" w:hAnsi="宋体"/>
          <w:sz w:val="24"/>
          <w:szCs w:val="24"/>
        </w:rPr>
        <w:t>违约方应当承担守约方为解决争议而支付的律师费、保全担保（保险）费、差旅费、公证费、鉴定费、评估费等实现权利的全部费用。</w:t>
      </w:r>
    </w:p>
    <w:p w14:paraId="4B24BFBD">
      <w:pPr>
        <w:widowControl/>
        <w:autoSpaceDE w:val="0"/>
        <w:spacing w:line="360" w:lineRule="auto"/>
        <w:jc w:val="left"/>
        <w:rPr>
          <w:rFonts w:ascii="宋体" w:hAnsi="宋体"/>
          <w:sz w:val="24"/>
          <w:szCs w:val="24"/>
        </w:rPr>
      </w:pPr>
      <w:r>
        <w:rPr>
          <w:rFonts w:hint="eastAsia" w:ascii="宋体" w:hAnsi="宋体"/>
          <w:b/>
          <w:bCs/>
          <w:kern w:val="0"/>
          <w:sz w:val="24"/>
          <w:szCs w:val="24"/>
        </w:rPr>
        <w:t xml:space="preserve">十、 其他 </w:t>
      </w:r>
    </w:p>
    <w:p w14:paraId="5BDC9A96">
      <w:pPr>
        <w:widowControl/>
        <w:autoSpaceDE w:val="0"/>
        <w:spacing w:line="360" w:lineRule="auto"/>
        <w:ind w:firstLine="480" w:firstLineChars="200"/>
        <w:jc w:val="left"/>
        <w:rPr>
          <w:rFonts w:ascii="宋体" w:hAnsi="宋体"/>
          <w:sz w:val="24"/>
          <w:szCs w:val="24"/>
        </w:rPr>
      </w:pPr>
      <w:r>
        <w:rPr>
          <w:rFonts w:hint="eastAsia" w:ascii="宋体" w:hAnsi="宋体"/>
          <w:kern w:val="0"/>
          <w:sz w:val="24"/>
          <w:szCs w:val="24"/>
        </w:rPr>
        <w:t xml:space="preserve">1.如有未尽事宜，由双方协商解决。 </w:t>
      </w:r>
    </w:p>
    <w:p w14:paraId="39236008">
      <w:pPr>
        <w:widowControl/>
        <w:autoSpaceDE w:val="0"/>
        <w:spacing w:line="360" w:lineRule="auto"/>
        <w:ind w:firstLine="480" w:firstLineChars="200"/>
        <w:jc w:val="left"/>
        <w:rPr>
          <w:rFonts w:ascii="宋体" w:hAnsi="宋体"/>
          <w:sz w:val="24"/>
          <w:szCs w:val="24"/>
        </w:rPr>
      </w:pPr>
      <w:r>
        <w:rPr>
          <w:rFonts w:hint="eastAsia" w:ascii="宋体" w:hAnsi="宋体"/>
          <w:kern w:val="0"/>
          <w:sz w:val="24"/>
          <w:szCs w:val="24"/>
        </w:rPr>
        <w:t xml:space="preserve">2.本合同双方应加盖骑缝章。 </w:t>
      </w:r>
    </w:p>
    <w:p w14:paraId="1D27F032">
      <w:pPr>
        <w:widowControl/>
        <w:autoSpaceDE w:val="0"/>
        <w:spacing w:line="360" w:lineRule="auto"/>
        <w:ind w:firstLine="480" w:firstLineChars="200"/>
        <w:jc w:val="left"/>
        <w:rPr>
          <w:rFonts w:ascii="宋体" w:hAnsi="宋体"/>
          <w:kern w:val="0"/>
          <w:sz w:val="24"/>
          <w:szCs w:val="24"/>
        </w:rPr>
      </w:pPr>
      <w:r>
        <w:rPr>
          <w:rFonts w:hint="eastAsia" w:ascii="宋体" w:hAnsi="宋体"/>
          <w:kern w:val="0"/>
          <w:sz w:val="24"/>
          <w:szCs w:val="24"/>
        </w:rPr>
        <w:t xml:space="preserve">3.本合同一式四份，自双方签章并经代理机构审核编号后生效。甲方、乙方、政府采购管理部门、采购代理机构各一份。 </w:t>
      </w:r>
    </w:p>
    <w:tbl>
      <w:tblPr>
        <w:tblStyle w:val="6"/>
        <w:tblW w:w="9348" w:type="dxa"/>
        <w:tblInd w:w="135" w:type="dxa"/>
        <w:tblLayout w:type="fixed"/>
        <w:tblCellMar>
          <w:top w:w="0" w:type="dxa"/>
          <w:left w:w="108" w:type="dxa"/>
          <w:bottom w:w="0" w:type="dxa"/>
          <w:right w:w="108" w:type="dxa"/>
        </w:tblCellMar>
      </w:tblPr>
      <w:tblGrid>
        <w:gridCol w:w="4786"/>
        <w:gridCol w:w="4562"/>
      </w:tblGrid>
      <w:tr w14:paraId="18606B87">
        <w:tblPrEx>
          <w:tblCellMar>
            <w:top w:w="0" w:type="dxa"/>
            <w:left w:w="108" w:type="dxa"/>
            <w:bottom w:w="0" w:type="dxa"/>
            <w:right w:w="108" w:type="dxa"/>
          </w:tblCellMar>
        </w:tblPrEx>
        <w:trPr>
          <w:trHeight w:val="808" w:hRule="atLeast"/>
        </w:trPr>
        <w:tc>
          <w:tcPr>
            <w:tcW w:w="4786" w:type="dxa"/>
            <w:tcBorders>
              <w:top w:val="nil"/>
              <w:left w:val="nil"/>
              <w:bottom w:val="nil"/>
              <w:right w:val="nil"/>
            </w:tcBorders>
          </w:tcPr>
          <w:p w14:paraId="2036671D">
            <w:pPr>
              <w:autoSpaceDE w:val="0"/>
              <w:spacing w:line="360" w:lineRule="auto"/>
              <w:rPr>
                <w:rFonts w:ascii="宋体" w:hAnsi="宋体"/>
                <w:sz w:val="24"/>
                <w:szCs w:val="24"/>
              </w:rPr>
            </w:pPr>
            <w:r>
              <w:rPr>
                <w:rFonts w:hint="eastAsia" w:ascii="宋体" w:hAnsi="宋体"/>
                <w:sz w:val="24"/>
                <w:szCs w:val="24"/>
              </w:rPr>
              <w:t>甲方(盖章)：</w:t>
            </w:r>
          </w:p>
          <w:p w14:paraId="621E78CF">
            <w:pPr>
              <w:autoSpaceDE w:val="0"/>
              <w:spacing w:line="360" w:lineRule="auto"/>
              <w:rPr>
                <w:rFonts w:ascii="宋体" w:hAnsi="宋体"/>
                <w:sz w:val="24"/>
                <w:szCs w:val="24"/>
              </w:rPr>
            </w:pPr>
            <w:r>
              <w:rPr>
                <w:rFonts w:hint="eastAsia" w:ascii="宋体" w:hAnsi="宋体"/>
                <w:sz w:val="24"/>
                <w:szCs w:val="24"/>
              </w:rPr>
              <w:t>四川工程职业技术大学</w:t>
            </w:r>
          </w:p>
        </w:tc>
        <w:tc>
          <w:tcPr>
            <w:tcW w:w="4562" w:type="dxa"/>
            <w:tcBorders>
              <w:top w:val="nil"/>
              <w:left w:val="nil"/>
              <w:bottom w:val="nil"/>
              <w:right w:val="nil"/>
            </w:tcBorders>
          </w:tcPr>
          <w:p w14:paraId="460D7CA8">
            <w:pPr>
              <w:autoSpaceDE w:val="0"/>
              <w:spacing w:line="360" w:lineRule="auto"/>
              <w:rPr>
                <w:rFonts w:ascii="宋体" w:hAnsi="宋体"/>
                <w:sz w:val="24"/>
                <w:szCs w:val="24"/>
              </w:rPr>
            </w:pPr>
            <w:r>
              <w:rPr>
                <w:rFonts w:hint="eastAsia" w:ascii="宋体" w:hAnsi="宋体"/>
                <w:sz w:val="24"/>
                <w:szCs w:val="24"/>
              </w:rPr>
              <w:t>乙方(盖章)：</w:t>
            </w:r>
          </w:p>
          <w:p w14:paraId="0E74229C">
            <w:pPr>
              <w:autoSpaceDE w:val="0"/>
              <w:spacing w:line="360" w:lineRule="auto"/>
              <w:rPr>
                <w:rFonts w:ascii="宋体" w:hAnsi="宋体"/>
                <w:sz w:val="24"/>
                <w:szCs w:val="24"/>
              </w:rPr>
            </w:pPr>
          </w:p>
        </w:tc>
      </w:tr>
      <w:tr w14:paraId="44001B3F">
        <w:tblPrEx>
          <w:tblCellMar>
            <w:top w:w="0" w:type="dxa"/>
            <w:left w:w="108" w:type="dxa"/>
            <w:bottom w:w="0" w:type="dxa"/>
            <w:right w:w="108" w:type="dxa"/>
          </w:tblCellMar>
        </w:tblPrEx>
        <w:trPr>
          <w:trHeight w:val="399" w:hRule="atLeast"/>
        </w:trPr>
        <w:tc>
          <w:tcPr>
            <w:tcW w:w="4786" w:type="dxa"/>
            <w:tcBorders>
              <w:top w:val="nil"/>
              <w:left w:val="nil"/>
              <w:bottom w:val="nil"/>
              <w:right w:val="nil"/>
            </w:tcBorders>
            <w:vAlign w:val="center"/>
          </w:tcPr>
          <w:p w14:paraId="4609DE01">
            <w:pPr>
              <w:widowControl/>
              <w:autoSpaceDE w:val="0"/>
              <w:spacing w:line="360" w:lineRule="auto"/>
              <w:jc w:val="left"/>
              <w:rPr>
                <w:rFonts w:ascii="宋体" w:hAnsi="宋体"/>
                <w:sz w:val="24"/>
                <w:szCs w:val="24"/>
              </w:rPr>
            </w:pPr>
            <w:r>
              <w:rPr>
                <w:rFonts w:hint="eastAsia" w:ascii="宋体" w:hAnsi="宋体"/>
                <w:sz w:val="24"/>
                <w:szCs w:val="24"/>
              </w:rPr>
              <w:t>法定代表人（</w:t>
            </w:r>
            <w:r>
              <w:rPr>
                <w:rFonts w:hint="eastAsia" w:ascii="宋体" w:hAnsi="宋体"/>
                <w:kern w:val="0"/>
                <w:sz w:val="24"/>
                <w:szCs w:val="24"/>
              </w:rPr>
              <w:t>授权代表</w:t>
            </w:r>
            <w:r>
              <w:rPr>
                <w:rFonts w:hint="eastAsia" w:ascii="宋体" w:hAnsi="宋体"/>
                <w:sz w:val="24"/>
                <w:szCs w:val="24"/>
              </w:rPr>
              <w:t>）：</w:t>
            </w:r>
          </w:p>
        </w:tc>
        <w:tc>
          <w:tcPr>
            <w:tcW w:w="4562" w:type="dxa"/>
            <w:tcBorders>
              <w:top w:val="nil"/>
              <w:left w:val="nil"/>
              <w:bottom w:val="nil"/>
              <w:right w:val="nil"/>
            </w:tcBorders>
            <w:vAlign w:val="center"/>
          </w:tcPr>
          <w:p w14:paraId="03969C8A">
            <w:pPr>
              <w:autoSpaceDE w:val="0"/>
              <w:spacing w:line="360" w:lineRule="auto"/>
              <w:rPr>
                <w:rFonts w:ascii="宋体" w:hAnsi="宋体"/>
                <w:sz w:val="24"/>
                <w:szCs w:val="24"/>
              </w:rPr>
            </w:pPr>
            <w:r>
              <w:rPr>
                <w:rFonts w:hint="eastAsia" w:ascii="宋体" w:hAnsi="宋体"/>
                <w:sz w:val="24"/>
                <w:szCs w:val="24"/>
              </w:rPr>
              <w:t>法定代表人（</w:t>
            </w:r>
            <w:r>
              <w:rPr>
                <w:rFonts w:hint="eastAsia" w:ascii="宋体" w:hAnsi="宋体"/>
                <w:kern w:val="0"/>
                <w:sz w:val="24"/>
                <w:szCs w:val="24"/>
              </w:rPr>
              <w:t>授权代表</w:t>
            </w:r>
            <w:r>
              <w:rPr>
                <w:rFonts w:hint="eastAsia" w:ascii="宋体" w:hAnsi="宋体"/>
                <w:sz w:val="24"/>
                <w:szCs w:val="24"/>
              </w:rPr>
              <w:t>）：</w:t>
            </w:r>
          </w:p>
        </w:tc>
      </w:tr>
      <w:tr w14:paraId="14A4648E">
        <w:tblPrEx>
          <w:tblCellMar>
            <w:top w:w="0" w:type="dxa"/>
            <w:left w:w="108" w:type="dxa"/>
            <w:bottom w:w="0" w:type="dxa"/>
            <w:right w:w="108" w:type="dxa"/>
          </w:tblCellMar>
        </w:tblPrEx>
        <w:trPr>
          <w:trHeight w:val="594" w:hRule="atLeast"/>
        </w:trPr>
        <w:tc>
          <w:tcPr>
            <w:tcW w:w="4786" w:type="dxa"/>
            <w:tcBorders>
              <w:top w:val="nil"/>
              <w:left w:val="nil"/>
              <w:bottom w:val="nil"/>
              <w:right w:val="nil"/>
            </w:tcBorders>
            <w:vAlign w:val="center"/>
          </w:tcPr>
          <w:p w14:paraId="532213CE">
            <w:pPr>
              <w:autoSpaceDE w:val="0"/>
              <w:spacing w:line="360" w:lineRule="auto"/>
              <w:jc w:val="left"/>
              <w:rPr>
                <w:rFonts w:ascii="宋体" w:hAnsi="宋体"/>
                <w:sz w:val="24"/>
                <w:szCs w:val="24"/>
              </w:rPr>
            </w:pPr>
            <w:r>
              <w:rPr>
                <w:rFonts w:hint="eastAsia" w:ascii="宋体" w:hAnsi="宋体"/>
                <w:sz w:val="24"/>
                <w:szCs w:val="24"/>
              </w:rPr>
              <w:t>地址：德阳市泰山南路二段801号</w:t>
            </w:r>
          </w:p>
        </w:tc>
        <w:tc>
          <w:tcPr>
            <w:tcW w:w="4562" w:type="dxa"/>
            <w:tcBorders>
              <w:top w:val="nil"/>
              <w:left w:val="nil"/>
              <w:bottom w:val="nil"/>
              <w:right w:val="nil"/>
            </w:tcBorders>
            <w:vAlign w:val="center"/>
          </w:tcPr>
          <w:p w14:paraId="5D5EB075">
            <w:pPr>
              <w:autoSpaceDE w:val="0"/>
              <w:spacing w:line="360" w:lineRule="auto"/>
              <w:jc w:val="left"/>
              <w:rPr>
                <w:rFonts w:ascii="宋体" w:hAnsi="宋体"/>
                <w:sz w:val="24"/>
                <w:szCs w:val="24"/>
              </w:rPr>
            </w:pPr>
            <w:r>
              <w:rPr>
                <w:rFonts w:hint="eastAsia" w:ascii="宋体" w:hAnsi="宋体"/>
                <w:sz w:val="24"/>
                <w:szCs w:val="24"/>
              </w:rPr>
              <w:t>地址：</w:t>
            </w:r>
          </w:p>
        </w:tc>
      </w:tr>
      <w:tr w14:paraId="3DAFB898">
        <w:tblPrEx>
          <w:tblCellMar>
            <w:top w:w="0" w:type="dxa"/>
            <w:left w:w="108" w:type="dxa"/>
            <w:bottom w:w="0" w:type="dxa"/>
            <w:right w:w="108" w:type="dxa"/>
          </w:tblCellMar>
        </w:tblPrEx>
        <w:tc>
          <w:tcPr>
            <w:tcW w:w="4786" w:type="dxa"/>
            <w:tcBorders>
              <w:top w:val="nil"/>
              <w:left w:val="nil"/>
              <w:bottom w:val="nil"/>
              <w:right w:val="nil"/>
            </w:tcBorders>
            <w:vAlign w:val="center"/>
          </w:tcPr>
          <w:p w14:paraId="01B24C38">
            <w:pPr>
              <w:autoSpaceDE w:val="0"/>
              <w:spacing w:line="360" w:lineRule="auto"/>
              <w:rPr>
                <w:rFonts w:ascii="宋体" w:hAnsi="宋体"/>
                <w:sz w:val="24"/>
                <w:szCs w:val="24"/>
              </w:rPr>
            </w:pPr>
            <w:r>
              <w:rPr>
                <w:rFonts w:hint="eastAsia" w:ascii="宋体" w:hAnsi="宋体"/>
                <w:sz w:val="24"/>
                <w:szCs w:val="24"/>
              </w:rPr>
              <w:t>开户银行：中国工商银行德阳市东大街支行</w:t>
            </w:r>
          </w:p>
        </w:tc>
        <w:tc>
          <w:tcPr>
            <w:tcW w:w="4562" w:type="dxa"/>
            <w:tcBorders>
              <w:top w:val="nil"/>
              <w:left w:val="nil"/>
              <w:bottom w:val="nil"/>
              <w:right w:val="nil"/>
            </w:tcBorders>
            <w:vAlign w:val="center"/>
          </w:tcPr>
          <w:p w14:paraId="3022AF66">
            <w:pPr>
              <w:autoSpaceDE w:val="0"/>
              <w:spacing w:line="360" w:lineRule="auto"/>
              <w:jc w:val="left"/>
              <w:rPr>
                <w:rFonts w:ascii="宋体" w:hAnsi="宋体"/>
                <w:sz w:val="24"/>
                <w:szCs w:val="24"/>
              </w:rPr>
            </w:pPr>
            <w:r>
              <w:rPr>
                <w:rFonts w:hint="eastAsia" w:ascii="宋体" w:hAnsi="宋体"/>
                <w:sz w:val="24"/>
                <w:szCs w:val="24"/>
              </w:rPr>
              <w:t>开户银行：</w:t>
            </w:r>
          </w:p>
        </w:tc>
      </w:tr>
      <w:tr w14:paraId="2DA1F4CF">
        <w:tblPrEx>
          <w:tblCellMar>
            <w:top w:w="0" w:type="dxa"/>
            <w:left w:w="108" w:type="dxa"/>
            <w:bottom w:w="0" w:type="dxa"/>
            <w:right w:w="108" w:type="dxa"/>
          </w:tblCellMar>
        </w:tblPrEx>
        <w:tc>
          <w:tcPr>
            <w:tcW w:w="4786" w:type="dxa"/>
            <w:tcBorders>
              <w:top w:val="nil"/>
              <w:left w:val="nil"/>
              <w:bottom w:val="nil"/>
              <w:right w:val="nil"/>
            </w:tcBorders>
            <w:vAlign w:val="center"/>
          </w:tcPr>
          <w:p w14:paraId="19497637">
            <w:pPr>
              <w:autoSpaceDE w:val="0"/>
              <w:spacing w:line="360" w:lineRule="auto"/>
              <w:jc w:val="left"/>
              <w:rPr>
                <w:rFonts w:ascii="宋体" w:hAnsi="宋体"/>
                <w:sz w:val="24"/>
                <w:szCs w:val="24"/>
              </w:rPr>
            </w:pPr>
            <w:r>
              <w:rPr>
                <w:rFonts w:hint="eastAsia" w:ascii="宋体" w:hAnsi="宋体"/>
                <w:sz w:val="24"/>
                <w:szCs w:val="24"/>
              </w:rPr>
              <w:t>银行账号：2305363109026440176</w:t>
            </w:r>
          </w:p>
        </w:tc>
        <w:tc>
          <w:tcPr>
            <w:tcW w:w="4562" w:type="dxa"/>
            <w:tcBorders>
              <w:top w:val="nil"/>
              <w:left w:val="nil"/>
              <w:bottom w:val="nil"/>
              <w:right w:val="nil"/>
            </w:tcBorders>
            <w:vAlign w:val="center"/>
          </w:tcPr>
          <w:p w14:paraId="3248CB09">
            <w:pPr>
              <w:autoSpaceDE w:val="0"/>
              <w:spacing w:line="360" w:lineRule="auto"/>
              <w:jc w:val="left"/>
              <w:rPr>
                <w:rFonts w:ascii="宋体" w:hAnsi="宋体"/>
                <w:sz w:val="24"/>
                <w:szCs w:val="24"/>
              </w:rPr>
            </w:pPr>
            <w:r>
              <w:rPr>
                <w:rFonts w:hint="eastAsia" w:ascii="宋体" w:hAnsi="宋体"/>
                <w:sz w:val="24"/>
                <w:szCs w:val="24"/>
              </w:rPr>
              <w:t>银行账号：</w:t>
            </w:r>
          </w:p>
        </w:tc>
      </w:tr>
      <w:tr w14:paraId="134C1D73">
        <w:tblPrEx>
          <w:tblCellMar>
            <w:top w:w="0" w:type="dxa"/>
            <w:left w:w="108" w:type="dxa"/>
            <w:bottom w:w="0" w:type="dxa"/>
            <w:right w:w="108" w:type="dxa"/>
          </w:tblCellMar>
        </w:tblPrEx>
        <w:tc>
          <w:tcPr>
            <w:tcW w:w="4786" w:type="dxa"/>
            <w:tcBorders>
              <w:top w:val="nil"/>
              <w:left w:val="nil"/>
              <w:bottom w:val="nil"/>
              <w:right w:val="nil"/>
            </w:tcBorders>
            <w:vAlign w:val="center"/>
          </w:tcPr>
          <w:p w14:paraId="39396930">
            <w:pPr>
              <w:autoSpaceDE w:val="0"/>
              <w:spacing w:line="360" w:lineRule="auto"/>
              <w:jc w:val="left"/>
              <w:rPr>
                <w:rFonts w:ascii="宋体" w:hAnsi="宋体"/>
                <w:sz w:val="24"/>
                <w:szCs w:val="24"/>
              </w:rPr>
            </w:pPr>
            <w:r>
              <w:rPr>
                <w:rFonts w:hint="eastAsia" w:ascii="宋体" w:hAnsi="宋体"/>
                <w:sz w:val="24"/>
                <w:szCs w:val="24"/>
              </w:rPr>
              <w:t>联系电话：0838-2652518</w:t>
            </w:r>
          </w:p>
        </w:tc>
        <w:tc>
          <w:tcPr>
            <w:tcW w:w="4562" w:type="dxa"/>
            <w:tcBorders>
              <w:top w:val="nil"/>
              <w:left w:val="nil"/>
              <w:bottom w:val="nil"/>
              <w:right w:val="nil"/>
            </w:tcBorders>
            <w:vAlign w:val="center"/>
          </w:tcPr>
          <w:p w14:paraId="6A8534EB">
            <w:pPr>
              <w:autoSpaceDE w:val="0"/>
              <w:spacing w:line="360" w:lineRule="auto"/>
              <w:jc w:val="left"/>
              <w:rPr>
                <w:rFonts w:ascii="宋体" w:hAnsi="宋体"/>
                <w:sz w:val="24"/>
                <w:szCs w:val="24"/>
              </w:rPr>
            </w:pPr>
            <w:r>
              <w:rPr>
                <w:rFonts w:hint="eastAsia" w:ascii="宋体" w:hAnsi="宋体"/>
                <w:sz w:val="24"/>
                <w:szCs w:val="24"/>
              </w:rPr>
              <w:t>联系电话：</w:t>
            </w:r>
          </w:p>
        </w:tc>
      </w:tr>
      <w:tr w14:paraId="1CD1728B">
        <w:tblPrEx>
          <w:tblCellMar>
            <w:top w:w="0" w:type="dxa"/>
            <w:left w:w="108" w:type="dxa"/>
            <w:bottom w:w="0" w:type="dxa"/>
            <w:right w:w="108" w:type="dxa"/>
          </w:tblCellMar>
        </w:tblPrEx>
        <w:tc>
          <w:tcPr>
            <w:tcW w:w="4786" w:type="dxa"/>
            <w:tcBorders>
              <w:top w:val="nil"/>
              <w:left w:val="nil"/>
              <w:bottom w:val="nil"/>
              <w:right w:val="nil"/>
            </w:tcBorders>
            <w:vAlign w:val="center"/>
          </w:tcPr>
          <w:p w14:paraId="6A1284D7">
            <w:pPr>
              <w:autoSpaceDE w:val="0"/>
              <w:spacing w:line="360" w:lineRule="auto"/>
              <w:rPr>
                <w:rFonts w:ascii="宋体" w:hAnsi="宋体"/>
                <w:sz w:val="24"/>
                <w:szCs w:val="24"/>
              </w:rPr>
            </w:pPr>
            <w:r>
              <w:rPr>
                <w:rFonts w:hint="eastAsia" w:ascii="宋体" w:hAnsi="宋体"/>
                <w:sz w:val="24"/>
                <w:szCs w:val="24"/>
              </w:rPr>
              <w:t>传    真：</w:t>
            </w:r>
          </w:p>
        </w:tc>
        <w:tc>
          <w:tcPr>
            <w:tcW w:w="4562" w:type="dxa"/>
            <w:tcBorders>
              <w:top w:val="nil"/>
              <w:left w:val="nil"/>
              <w:bottom w:val="nil"/>
              <w:right w:val="nil"/>
            </w:tcBorders>
            <w:vAlign w:val="center"/>
          </w:tcPr>
          <w:p w14:paraId="637F118E">
            <w:pPr>
              <w:autoSpaceDE w:val="0"/>
              <w:spacing w:line="360" w:lineRule="auto"/>
              <w:rPr>
                <w:rFonts w:ascii="宋体" w:hAnsi="宋体"/>
                <w:sz w:val="24"/>
                <w:szCs w:val="24"/>
              </w:rPr>
            </w:pPr>
            <w:r>
              <w:rPr>
                <w:rFonts w:hint="eastAsia" w:ascii="宋体" w:hAnsi="宋体"/>
                <w:sz w:val="24"/>
                <w:szCs w:val="24"/>
              </w:rPr>
              <w:t>传   真：</w:t>
            </w:r>
          </w:p>
        </w:tc>
      </w:tr>
      <w:tr w14:paraId="610EED76">
        <w:tblPrEx>
          <w:tblCellMar>
            <w:top w:w="0" w:type="dxa"/>
            <w:left w:w="108" w:type="dxa"/>
            <w:bottom w:w="0" w:type="dxa"/>
            <w:right w:w="108" w:type="dxa"/>
          </w:tblCellMar>
        </w:tblPrEx>
        <w:trPr>
          <w:trHeight w:val="90" w:hRule="atLeast"/>
        </w:trPr>
        <w:tc>
          <w:tcPr>
            <w:tcW w:w="4786" w:type="dxa"/>
            <w:tcBorders>
              <w:top w:val="nil"/>
              <w:left w:val="nil"/>
              <w:bottom w:val="nil"/>
              <w:right w:val="nil"/>
            </w:tcBorders>
            <w:vAlign w:val="center"/>
          </w:tcPr>
          <w:p w14:paraId="2A23FEF0">
            <w:pPr>
              <w:autoSpaceDE w:val="0"/>
              <w:spacing w:line="360" w:lineRule="auto"/>
              <w:jc w:val="left"/>
              <w:rPr>
                <w:rFonts w:ascii="宋体" w:hAnsi="宋体"/>
                <w:sz w:val="24"/>
                <w:szCs w:val="24"/>
              </w:rPr>
            </w:pPr>
            <w:r>
              <w:rPr>
                <w:rFonts w:hint="eastAsia" w:ascii="宋体" w:hAnsi="宋体"/>
                <w:sz w:val="24"/>
                <w:szCs w:val="24"/>
              </w:rPr>
              <w:t>签订时间：2026年    月    日</w:t>
            </w:r>
          </w:p>
        </w:tc>
        <w:tc>
          <w:tcPr>
            <w:tcW w:w="4562" w:type="dxa"/>
            <w:tcBorders>
              <w:top w:val="nil"/>
              <w:left w:val="nil"/>
              <w:bottom w:val="nil"/>
              <w:right w:val="nil"/>
            </w:tcBorders>
            <w:vAlign w:val="center"/>
          </w:tcPr>
          <w:p w14:paraId="41F7F8C1">
            <w:pPr>
              <w:autoSpaceDE w:val="0"/>
              <w:spacing w:line="360" w:lineRule="auto"/>
              <w:jc w:val="left"/>
              <w:rPr>
                <w:rFonts w:ascii="宋体" w:hAnsi="宋体"/>
                <w:sz w:val="24"/>
                <w:szCs w:val="24"/>
              </w:rPr>
            </w:pPr>
            <w:r>
              <w:rPr>
                <w:rFonts w:hint="eastAsia" w:ascii="宋体" w:hAnsi="宋体"/>
                <w:sz w:val="24"/>
                <w:szCs w:val="24"/>
              </w:rPr>
              <w:t>签订时间：2026年    月    日</w:t>
            </w:r>
          </w:p>
        </w:tc>
      </w:tr>
    </w:tbl>
    <w:p w14:paraId="63816766">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43662E"/>
    <w:multiLevelType w:val="multilevel"/>
    <w:tmpl w:val="5743662E"/>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BC7362"/>
    <w:rsid w:val="08BC73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ody Text"/>
    <w:basedOn w:val="1"/>
    <w:next w:val="4"/>
    <w:qFormat/>
    <w:uiPriority w:val="0"/>
    <w:pPr>
      <w:jc w:val="center"/>
    </w:pPr>
    <w:rPr>
      <w:rFonts w:eastAsia="黑体"/>
      <w:sz w:val="44"/>
      <w:szCs w:val="21"/>
    </w:rPr>
  </w:style>
  <w:style w:type="paragraph" w:customStyle="1" w:styleId="4">
    <w:name w:val="索引 81"/>
    <w:basedOn w:val="1"/>
    <w:next w:val="1"/>
    <w:qFormat/>
    <w:uiPriority w:val="0"/>
    <w:pPr>
      <w:ind w:left="2940"/>
    </w:pPr>
    <w:rPr>
      <w:rFonts w:ascii="Times New Roman" w:hAnsi="Times New Roman" w:eastAsia="宋体" w:cs="Times New Roman"/>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2026-04-30T01:47:00Z</dcterms:created>
  <dc:creator>符</dc:creator>
  <cp:lastModifiedBy>符</cp:lastModifiedBy>
  <dcterms:modified xsi:type="dcterms:W3CDTF">2026-04-30T01:47:58Z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89ECEBD66F7F4656B026D3F5CFFBED6F_11</vt:lpwstr>
  </property>
  <property fmtid="{D5CDD505-2E9C-101B-9397-08002B2CF9AE}" pid="4" name="KSOTemplateDocerSaveRecord">
    <vt:lpwstr>eyJoZGlkIjoiZDQxNDQ3Mjc0NGNmMjc3MDBiZWNhYTdiYmU0OWZlNTMiLCJ1c2VySWQiOiI0MzA5ODc1NzkifQ==</vt:lpwstr>
  </property>
</Properties>
</file>