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8ECBA5">
      <w:pPr>
        <w:pStyle w:val="11"/>
        <w:tabs>
          <w:tab w:val="left" w:pos="3780"/>
        </w:tabs>
        <w:rPr>
          <w:rFonts w:hint="default" w:ascii="仿宋" w:hAnsi="仿宋" w:eastAsia="仿宋" w:cs="仿宋"/>
          <w:color w:val="auto"/>
          <w:sz w:val="24"/>
          <w:szCs w:val="24"/>
          <w:highlight w:val="none"/>
          <w:lang w:val="en-US" w:eastAsia="zh-CN"/>
        </w:rPr>
      </w:pPr>
    </w:p>
    <w:p w14:paraId="67F920AD">
      <w:pPr>
        <w:pStyle w:val="11"/>
        <w:rPr>
          <w:rFonts w:hint="eastAsia" w:ascii="仿宋" w:hAnsi="仿宋" w:eastAsia="仿宋" w:cs="仿宋"/>
          <w:color w:val="auto"/>
          <w:sz w:val="24"/>
          <w:szCs w:val="24"/>
          <w:highlight w:val="none"/>
        </w:rPr>
      </w:pPr>
    </w:p>
    <w:p w14:paraId="4748D8F5">
      <w:pPr>
        <w:autoSpaceDE w:val="0"/>
        <w:autoSpaceDN w:val="0"/>
        <w:adjustRightInd w:val="0"/>
        <w:spacing w:line="360" w:lineRule="auto"/>
        <w:jc w:val="center"/>
        <w:rPr>
          <w:rFonts w:hint="eastAsia" w:ascii="仿宋" w:hAnsi="仿宋" w:eastAsia="仿宋" w:cs="仿宋"/>
          <w:b/>
          <w:bCs/>
          <w:color w:val="auto"/>
          <w:kern w:val="0"/>
          <w:sz w:val="24"/>
          <w:szCs w:val="24"/>
          <w:highlight w:val="none"/>
          <w:lang w:val="zh-CN"/>
        </w:rPr>
      </w:pPr>
    </w:p>
    <w:p w14:paraId="353CA983">
      <w:pPr>
        <w:autoSpaceDE w:val="0"/>
        <w:autoSpaceDN w:val="0"/>
        <w:adjustRightInd w:val="0"/>
        <w:spacing w:line="360" w:lineRule="auto"/>
        <w:jc w:val="center"/>
        <w:rPr>
          <w:rFonts w:hint="eastAsia" w:ascii="仿宋" w:hAnsi="仿宋" w:eastAsia="仿宋" w:cs="仿宋"/>
          <w:b/>
          <w:bCs/>
          <w:color w:val="auto"/>
          <w:kern w:val="0"/>
          <w:sz w:val="24"/>
          <w:szCs w:val="24"/>
          <w:highlight w:val="none"/>
          <w:lang w:val="zh-CN"/>
        </w:rPr>
      </w:pPr>
    </w:p>
    <w:p w14:paraId="5653EE3F">
      <w:pPr>
        <w:autoSpaceDE w:val="0"/>
        <w:autoSpaceDN w:val="0"/>
        <w:adjustRightInd w:val="0"/>
        <w:spacing w:line="360" w:lineRule="auto"/>
        <w:jc w:val="center"/>
        <w:rPr>
          <w:rFonts w:hint="eastAsia" w:ascii="仿宋" w:hAnsi="仿宋" w:eastAsia="仿宋" w:cs="仿宋"/>
          <w:b/>
          <w:bCs/>
          <w:color w:val="auto"/>
          <w:kern w:val="0"/>
          <w:sz w:val="24"/>
          <w:szCs w:val="24"/>
          <w:highlight w:val="none"/>
          <w:lang w:val="zh-CN"/>
        </w:rPr>
      </w:pPr>
    </w:p>
    <w:p w14:paraId="11E96A19">
      <w:pPr>
        <w:autoSpaceDE w:val="0"/>
        <w:autoSpaceDN w:val="0"/>
        <w:adjustRightInd w:val="0"/>
        <w:spacing w:line="360" w:lineRule="auto"/>
        <w:jc w:val="center"/>
        <w:rPr>
          <w:rFonts w:hint="eastAsia" w:ascii="仿宋" w:hAnsi="仿宋" w:eastAsia="仿宋" w:cs="仿宋"/>
          <w:b/>
          <w:bCs/>
          <w:color w:val="auto"/>
          <w:kern w:val="0"/>
          <w:sz w:val="24"/>
          <w:szCs w:val="24"/>
          <w:highlight w:val="none"/>
          <w:lang w:val="zh-CN"/>
        </w:rPr>
      </w:pPr>
    </w:p>
    <w:p w14:paraId="76DE01AD">
      <w:pPr>
        <w:autoSpaceDE w:val="0"/>
        <w:autoSpaceDN w:val="0"/>
        <w:adjustRightInd w:val="0"/>
        <w:spacing w:line="360" w:lineRule="auto"/>
        <w:jc w:val="center"/>
        <w:rPr>
          <w:rFonts w:hint="eastAsia" w:ascii="仿宋" w:hAnsi="仿宋" w:eastAsia="仿宋" w:cs="仿宋"/>
          <w:b/>
          <w:bCs/>
          <w:color w:val="auto"/>
          <w:kern w:val="0"/>
          <w:sz w:val="24"/>
          <w:szCs w:val="24"/>
          <w:highlight w:val="none"/>
          <w:lang w:val="zh-CN"/>
        </w:rPr>
      </w:pPr>
    </w:p>
    <w:p w14:paraId="4C7C155F">
      <w:pPr>
        <w:autoSpaceDE w:val="0"/>
        <w:autoSpaceDN w:val="0"/>
        <w:adjustRightInd w:val="0"/>
        <w:spacing w:line="360" w:lineRule="auto"/>
        <w:jc w:val="center"/>
        <w:rPr>
          <w:rFonts w:hint="eastAsia" w:ascii="仿宋" w:hAnsi="仿宋" w:eastAsia="仿宋" w:cs="仿宋"/>
          <w:b/>
          <w:bCs/>
          <w:color w:val="auto"/>
          <w:kern w:val="0"/>
          <w:sz w:val="24"/>
          <w:szCs w:val="24"/>
          <w:highlight w:val="none"/>
          <w:lang w:val="zh-CN"/>
        </w:rPr>
      </w:pPr>
    </w:p>
    <w:p w14:paraId="40830D86">
      <w:pPr>
        <w:autoSpaceDE w:val="0"/>
        <w:autoSpaceDN w:val="0"/>
        <w:adjustRightInd w:val="0"/>
        <w:spacing w:line="360" w:lineRule="auto"/>
        <w:jc w:val="center"/>
        <w:rPr>
          <w:rFonts w:hint="eastAsia" w:ascii="仿宋" w:hAnsi="仿宋" w:eastAsia="仿宋" w:cs="仿宋"/>
          <w:b/>
          <w:bCs/>
          <w:color w:val="auto"/>
          <w:kern w:val="0"/>
          <w:sz w:val="96"/>
          <w:szCs w:val="96"/>
          <w:highlight w:val="none"/>
        </w:rPr>
      </w:pPr>
      <w:r>
        <w:rPr>
          <w:rFonts w:hint="eastAsia" w:ascii="仿宋" w:hAnsi="仿宋" w:eastAsia="仿宋" w:cs="仿宋"/>
          <w:b/>
          <w:bCs/>
          <w:color w:val="auto"/>
          <w:kern w:val="0"/>
          <w:sz w:val="96"/>
          <w:szCs w:val="96"/>
          <w:highlight w:val="none"/>
          <w:lang w:val="zh-CN"/>
        </w:rPr>
        <w:t>公开招标文件</w:t>
      </w:r>
    </w:p>
    <w:p w14:paraId="6F5FBB53">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kern w:val="0"/>
          <w:sz w:val="24"/>
          <w:szCs w:val="24"/>
          <w:highlight w:val="none"/>
          <w:lang w:val="en-US" w:eastAsia="zh-CN"/>
        </w:rPr>
        <w:t xml:space="preserve">  </w:t>
      </w:r>
    </w:p>
    <w:p w14:paraId="26F1EFE1">
      <w:pPr>
        <w:pStyle w:val="7"/>
        <w:rPr>
          <w:rFonts w:hint="eastAsia" w:ascii="仿宋" w:hAnsi="仿宋" w:eastAsia="仿宋" w:cs="仿宋"/>
          <w:color w:val="auto"/>
          <w:sz w:val="24"/>
          <w:szCs w:val="24"/>
          <w:highlight w:val="none"/>
        </w:rPr>
      </w:pPr>
    </w:p>
    <w:p w14:paraId="6F507394">
      <w:pPr>
        <w:rPr>
          <w:rFonts w:hint="eastAsia" w:ascii="仿宋" w:hAnsi="仿宋" w:eastAsia="仿宋" w:cs="仿宋"/>
          <w:color w:val="auto"/>
          <w:sz w:val="24"/>
          <w:szCs w:val="24"/>
          <w:highlight w:val="none"/>
        </w:rPr>
      </w:pPr>
    </w:p>
    <w:p w14:paraId="6F128FDD">
      <w:pPr>
        <w:pStyle w:val="7"/>
        <w:rPr>
          <w:rFonts w:hint="eastAsia" w:ascii="仿宋" w:hAnsi="仿宋" w:eastAsia="仿宋" w:cs="仿宋"/>
          <w:color w:val="auto"/>
          <w:sz w:val="24"/>
          <w:szCs w:val="24"/>
          <w:highlight w:val="none"/>
        </w:rPr>
      </w:pPr>
    </w:p>
    <w:p w14:paraId="0032081B">
      <w:pPr>
        <w:rPr>
          <w:rFonts w:hint="eastAsia" w:ascii="仿宋" w:hAnsi="仿宋" w:eastAsia="仿宋" w:cs="仿宋"/>
          <w:color w:val="auto"/>
          <w:kern w:val="0"/>
          <w:sz w:val="24"/>
          <w:szCs w:val="24"/>
          <w:highlight w:val="none"/>
          <w:u w:val="dotDash"/>
        </w:rPr>
      </w:pPr>
    </w:p>
    <w:p w14:paraId="185CE322">
      <w:pPr>
        <w:pStyle w:val="11"/>
        <w:rPr>
          <w:rFonts w:hint="eastAsia" w:ascii="仿宋" w:hAnsi="仿宋" w:eastAsia="仿宋" w:cs="仿宋"/>
          <w:color w:val="auto"/>
          <w:kern w:val="0"/>
          <w:sz w:val="24"/>
          <w:szCs w:val="24"/>
          <w:highlight w:val="none"/>
          <w:u w:val="dotDash"/>
        </w:rPr>
      </w:pPr>
    </w:p>
    <w:p w14:paraId="48EFA879">
      <w:pPr>
        <w:rPr>
          <w:rFonts w:hint="eastAsia" w:ascii="仿宋" w:hAnsi="仿宋" w:eastAsia="仿宋" w:cs="仿宋"/>
          <w:color w:val="auto"/>
          <w:kern w:val="0"/>
          <w:sz w:val="24"/>
          <w:szCs w:val="24"/>
          <w:highlight w:val="none"/>
          <w:u w:val="dotDash"/>
        </w:rPr>
      </w:pPr>
    </w:p>
    <w:p w14:paraId="2A034858">
      <w:pPr>
        <w:rPr>
          <w:rFonts w:hint="eastAsia" w:ascii="仿宋" w:hAnsi="仿宋" w:eastAsia="仿宋" w:cs="仿宋"/>
          <w:color w:val="auto"/>
          <w:kern w:val="0"/>
          <w:sz w:val="24"/>
          <w:szCs w:val="24"/>
          <w:highlight w:val="none"/>
          <w:u w:val="dotDash"/>
        </w:rPr>
      </w:pPr>
    </w:p>
    <w:p w14:paraId="6E145469">
      <w:pPr>
        <w:autoSpaceDE w:val="0"/>
        <w:autoSpaceDN w:val="0"/>
        <w:adjustRightInd w:val="0"/>
        <w:spacing w:line="360" w:lineRule="auto"/>
        <w:jc w:val="left"/>
        <w:rPr>
          <w:rFonts w:hint="eastAsia" w:ascii="仿宋" w:hAnsi="仿宋" w:eastAsia="仿宋" w:cs="仿宋"/>
          <w:color w:val="auto"/>
          <w:kern w:val="0"/>
          <w:sz w:val="24"/>
          <w:szCs w:val="24"/>
          <w:highlight w:val="none"/>
          <w:u w:val="dotDash"/>
        </w:rPr>
      </w:pPr>
    </w:p>
    <w:p w14:paraId="788A8902">
      <w:pPr>
        <w:autoSpaceDE w:val="0"/>
        <w:autoSpaceDN w:val="0"/>
        <w:adjustRightInd w:val="0"/>
        <w:spacing w:line="360" w:lineRule="auto"/>
        <w:jc w:val="left"/>
        <w:rPr>
          <w:rFonts w:hint="eastAsia" w:ascii="仿宋" w:hAnsi="仿宋" w:eastAsia="仿宋" w:cs="仿宋"/>
          <w:color w:val="auto"/>
          <w:kern w:val="0"/>
          <w:sz w:val="24"/>
          <w:szCs w:val="24"/>
          <w:highlight w:val="none"/>
          <w:u w:val="dotDash"/>
        </w:rPr>
      </w:pPr>
    </w:p>
    <w:p w14:paraId="64681C74">
      <w:pPr>
        <w:autoSpaceDE w:val="0"/>
        <w:autoSpaceDN w:val="0"/>
        <w:adjustRightInd w:val="0"/>
        <w:spacing w:line="360" w:lineRule="auto"/>
        <w:jc w:val="left"/>
        <w:rPr>
          <w:rFonts w:hint="eastAsia" w:ascii="仿宋" w:hAnsi="仿宋" w:eastAsia="仿宋" w:cs="仿宋"/>
          <w:color w:val="auto"/>
          <w:kern w:val="0"/>
          <w:sz w:val="24"/>
          <w:szCs w:val="24"/>
          <w:highlight w:val="none"/>
          <w:u w:val="dotDash"/>
        </w:rPr>
      </w:pPr>
    </w:p>
    <w:p w14:paraId="0F9E2F7A">
      <w:pPr>
        <w:autoSpaceDE w:val="0"/>
        <w:autoSpaceDN w:val="0"/>
        <w:adjustRightInd w:val="0"/>
        <w:spacing w:line="360" w:lineRule="auto"/>
        <w:jc w:val="left"/>
        <w:rPr>
          <w:rFonts w:hint="eastAsia" w:ascii="仿宋" w:hAnsi="仿宋" w:eastAsia="仿宋" w:cs="仿宋"/>
          <w:color w:val="auto"/>
          <w:kern w:val="0"/>
          <w:sz w:val="24"/>
          <w:szCs w:val="24"/>
          <w:highlight w:val="none"/>
          <w:u w:val="dotDash"/>
        </w:rPr>
      </w:pPr>
    </w:p>
    <w:p w14:paraId="4A3CC4E6">
      <w:pPr>
        <w:autoSpaceDE w:val="0"/>
        <w:autoSpaceDN w:val="0"/>
        <w:adjustRightInd w:val="0"/>
        <w:spacing w:line="480" w:lineRule="auto"/>
        <w:ind w:left="1968" w:hanging="1968" w:hangingChars="700"/>
        <w:jc w:val="left"/>
        <w:rPr>
          <w:rFonts w:hint="eastAsia" w:ascii="仿宋" w:hAnsi="仿宋" w:eastAsia="仿宋" w:cs="仿宋"/>
          <w:b/>
          <w:bCs/>
          <w:color w:val="auto"/>
          <w:kern w:val="0"/>
          <w:sz w:val="28"/>
          <w:szCs w:val="28"/>
          <w:highlight w:val="none"/>
          <w:u w:val="single"/>
          <w:lang w:val="en-US" w:eastAsia="zh-CN"/>
        </w:rPr>
      </w:pPr>
      <w:bookmarkStart w:id="0" w:name="_Toc17138"/>
      <w:r>
        <w:rPr>
          <w:rFonts w:hint="eastAsia" w:ascii="仿宋" w:hAnsi="仿宋" w:eastAsia="仿宋" w:cs="仿宋"/>
          <w:b/>
          <w:bCs/>
          <w:color w:val="auto"/>
          <w:kern w:val="0"/>
          <w:sz w:val="28"/>
          <w:szCs w:val="28"/>
          <w:highlight w:val="none"/>
          <w:lang w:val="zh-CN"/>
        </w:rPr>
        <w:t>采购项目编号：</w:t>
      </w:r>
      <w:bookmarkEnd w:id="0"/>
      <w:r>
        <w:rPr>
          <w:rFonts w:hint="eastAsia" w:ascii="仿宋" w:hAnsi="仿宋" w:eastAsia="仿宋" w:cs="仿宋"/>
          <w:b/>
          <w:bCs/>
          <w:color w:val="auto"/>
          <w:kern w:val="0"/>
          <w:sz w:val="28"/>
          <w:szCs w:val="28"/>
          <w:highlight w:val="none"/>
          <w:u w:val="single"/>
          <w:lang w:val="zh-CN"/>
        </w:rPr>
        <w:t>PEZC2026-G1-01159-YNKZ-0072</w:t>
      </w:r>
    </w:p>
    <w:p w14:paraId="615F3A2B">
      <w:pPr>
        <w:autoSpaceDE w:val="0"/>
        <w:autoSpaceDN w:val="0"/>
        <w:adjustRightInd w:val="0"/>
        <w:spacing w:line="480" w:lineRule="auto"/>
        <w:ind w:left="1968" w:hanging="1968" w:hangingChars="700"/>
        <w:jc w:val="left"/>
        <w:rPr>
          <w:rFonts w:hint="eastAsia" w:ascii="仿宋" w:hAnsi="仿宋" w:eastAsia="仿宋" w:cs="仿宋"/>
          <w:b/>
          <w:bCs/>
          <w:color w:val="auto"/>
          <w:kern w:val="0"/>
          <w:sz w:val="28"/>
          <w:szCs w:val="28"/>
          <w:highlight w:val="none"/>
          <w:u w:val="single"/>
          <w:lang w:eastAsia="zh-CN"/>
        </w:rPr>
      </w:pPr>
      <w:r>
        <w:rPr>
          <w:rFonts w:hint="eastAsia" w:ascii="仿宋" w:hAnsi="仿宋" w:eastAsia="仿宋" w:cs="仿宋"/>
          <w:b/>
          <w:bCs/>
          <w:color w:val="auto"/>
          <w:kern w:val="0"/>
          <w:sz w:val="28"/>
          <w:szCs w:val="28"/>
          <w:highlight w:val="none"/>
          <w:lang w:val="zh-CN"/>
        </w:rPr>
        <w:t>采购项目名称：</w:t>
      </w:r>
      <w:r>
        <w:rPr>
          <w:rFonts w:hint="eastAsia" w:ascii="仿宋" w:hAnsi="仿宋" w:eastAsia="仿宋" w:cs="仿宋"/>
          <w:b/>
          <w:bCs/>
          <w:color w:val="auto"/>
          <w:kern w:val="0"/>
          <w:sz w:val="28"/>
          <w:szCs w:val="28"/>
          <w:highlight w:val="none"/>
          <w:u w:val="single"/>
          <w:lang w:eastAsia="zh-CN"/>
        </w:rPr>
        <w:t>普洱市动物疫病预防控制中心2026年中央农业防灾和水利救灾资金(动物防疫补助)(第二次)采购项目</w:t>
      </w:r>
    </w:p>
    <w:p w14:paraId="64F7797E">
      <w:pPr>
        <w:autoSpaceDE w:val="0"/>
        <w:autoSpaceDN w:val="0"/>
        <w:adjustRightInd w:val="0"/>
        <w:spacing w:line="480" w:lineRule="auto"/>
        <w:jc w:val="left"/>
        <w:outlineLvl w:val="0"/>
        <w:rPr>
          <w:rFonts w:hint="eastAsia" w:ascii="仿宋" w:hAnsi="仿宋" w:eastAsia="仿宋" w:cs="仿宋"/>
          <w:b/>
          <w:bCs/>
          <w:color w:val="auto"/>
          <w:kern w:val="0"/>
          <w:sz w:val="28"/>
          <w:szCs w:val="28"/>
          <w:highlight w:val="none"/>
          <w:lang w:val="zh-CN"/>
        </w:rPr>
      </w:pPr>
      <w:bookmarkStart w:id="1" w:name="_Toc29476"/>
      <w:r>
        <w:rPr>
          <w:rFonts w:hint="eastAsia" w:ascii="仿宋" w:hAnsi="仿宋" w:eastAsia="仿宋" w:cs="仿宋"/>
          <w:b/>
          <w:bCs/>
          <w:color w:val="auto"/>
          <w:kern w:val="0"/>
          <w:sz w:val="28"/>
          <w:szCs w:val="28"/>
          <w:highlight w:val="none"/>
          <w:lang w:val="zh-CN"/>
        </w:rPr>
        <w:t>采</w:t>
      </w:r>
      <w:r>
        <w:rPr>
          <w:rFonts w:hint="eastAsia" w:ascii="仿宋" w:hAnsi="仿宋" w:eastAsia="仿宋" w:cs="仿宋"/>
          <w:b/>
          <w:bCs/>
          <w:color w:val="auto"/>
          <w:kern w:val="0"/>
          <w:sz w:val="28"/>
          <w:szCs w:val="28"/>
          <w:highlight w:val="none"/>
          <w:lang w:val="en-US" w:eastAsia="zh-CN"/>
        </w:rPr>
        <w:t xml:space="preserve">   </w:t>
      </w:r>
      <w:r>
        <w:rPr>
          <w:rFonts w:hint="eastAsia" w:ascii="仿宋" w:hAnsi="仿宋" w:eastAsia="仿宋" w:cs="仿宋"/>
          <w:b/>
          <w:bCs/>
          <w:color w:val="auto"/>
          <w:kern w:val="0"/>
          <w:sz w:val="28"/>
          <w:szCs w:val="28"/>
          <w:highlight w:val="none"/>
          <w:lang w:val="zh-CN"/>
        </w:rPr>
        <w:t>购</w:t>
      </w:r>
      <w:r>
        <w:rPr>
          <w:rFonts w:hint="eastAsia" w:ascii="仿宋" w:hAnsi="仿宋" w:eastAsia="仿宋" w:cs="仿宋"/>
          <w:b/>
          <w:bCs/>
          <w:color w:val="auto"/>
          <w:kern w:val="0"/>
          <w:sz w:val="28"/>
          <w:szCs w:val="28"/>
          <w:highlight w:val="none"/>
          <w:lang w:val="en-US" w:eastAsia="zh-CN"/>
        </w:rPr>
        <w:t xml:space="preserve">   </w:t>
      </w:r>
      <w:r>
        <w:rPr>
          <w:rFonts w:hint="eastAsia" w:ascii="仿宋" w:hAnsi="仿宋" w:eastAsia="仿宋" w:cs="仿宋"/>
          <w:b/>
          <w:bCs/>
          <w:color w:val="auto"/>
          <w:kern w:val="0"/>
          <w:sz w:val="28"/>
          <w:szCs w:val="28"/>
          <w:highlight w:val="none"/>
          <w:lang w:val="zh-CN"/>
        </w:rPr>
        <w:t>人：</w:t>
      </w:r>
      <w:bookmarkEnd w:id="1"/>
      <w:r>
        <w:rPr>
          <w:rFonts w:hint="eastAsia" w:ascii="仿宋" w:hAnsi="仿宋" w:eastAsia="仿宋" w:cs="仿宋"/>
          <w:b/>
          <w:bCs/>
          <w:color w:val="auto"/>
          <w:kern w:val="0"/>
          <w:sz w:val="28"/>
          <w:szCs w:val="28"/>
          <w:highlight w:val="none"/>
          <w:u w:val="single"/>
          <w:lang w:eastAsia="zh-CN"/>
        </w:rPr>
        <w:t>普洱市动物疫病预防控制中心</w:t>
      </w:r>
    </w:p>
    <w:p w14:paraId="7D0090F7">
      <w:pPr>
        <w:autoSpaceDE w:val="0"/>
        <w:autoSpaceDN w:val="0"/>
        <w:adjustRightInd w:val="0"/>
        <w:spacing w:line="480" w:lineRule="auto"/>
        <w:jc w:val="both"/>
        <w:rPr>
          <w:rFonts w:hint="eastAsia" w:ascii="仿宋" w:hAnsi="仿宋" w:eastAsia="仿宋" w:cs="仿宋"/>
          <w:b/>
          <w:bCs/>
          <w:color w:val="auto"/>
          <w:kern w:val="0"/>
          <w:sz w:val="28"/>
          <w:szCs w:val="28"/>
          <w:highlight w:val="none"/>
          <w:u w:val="single"/>
          <w:lang w:val="zh-CN"/>
        </w:rPr>
      </w:pPr>
      <w:r>
        <w:rPr>
          <w:rFonts w:hint="eastAsia" w:ascii="仿宋" w:hAnsi="仿宋" w:eastAsia="仿宋" w:cs="仿宋"/>
          <w:b/>
          <w:bCs/>
          <w:color w:val="auto"/>
          <w:kern w:val="0"/>
          <w:sz w:val="28"/>
          <w:szCs w:val="28"/>
          <w:highlight w:val="none"/>
          <w:lang w:val="zh-CN"/>
        </w:rPr>
        <w:t>采购代理机构：</w:t>
      </w:r>
      <w:r>
        <w:rPr>
          <w:rFonts w:hint="eastAsia" w:ascii="仿宋" w:hAnsi="仿宋" w:eastAsia="仿宋" w:cs="仿宋"/>
          <w:b/>
          <w:bCs/>
          <w:color w:val="auto"/>
          <w:kern w:val="0"/>
          <w:sz w:val="28"/>
          <w:szCs w:val="28"/>
          <w:highlight w:val="none"/>
          <w:u w:val="single"/>
          <w:lang w:val="zh-CN"/>
        </w:rPr>
        <w:t>云南恪遵项目管理有限公司</w:t>
      </w:r>
    </w:p>
    <w:p w14:paraId="6C715650">
      <w:pPr>
        <w:pStyle w:val="11"/>
        <w:spacing w:line="480" w:lineRule="auto"/>
        <w:jc w:val="center"/>
        <w:rPr>
          <w:rFonts w:hint="eastAsia" w:ascii="仿宋" w:hAnsi="仿宋" w:eastAsia="仿宋" w:cs="仿宋"/>
          <w:b/>
          <w:bCs/>
          <w:color w:val="auto"/>
          <w:sz w:val="28"/>
          <w:szCs w:val="28"/>
          <w:highlight w:val="none"/>
          <w:u w:val="single"/>
          <w:lang w:val="zh-CN"/>
        </w:rPr>
      </w:pPr>
      <w:r>
        <w:rPr>
          <w:rFonts w:hint="eastAsia" w:ascii="仿宋" w:hAnsi="仿宋" w:eastAsia="仿宋" w:cs="仿宋"/>
          <w:b/>
          <w:bCs/>
          <w:color w:val="auto"/>
          <w:sz w:val="28"/>
          <w:szCs w:val="28"/>
          <w:highlight w:val="none"/>
          <w:u w:val="single"/>
          <w:lang w:val="zh-CN"/>
        </w:rPr>
        <w:t>20</w:t>
      </w:r>
      <w:r>
        <w:rPr>
          <w:rFonts w:hint="eastAsia" w:ascii="仿宋" w:hAnsi="仿宋" w:eastAsia="仿宋" w:cs="仿宋"/>
          <w:b/>
          <w:bCs/>
          <w:color w:val="auto"/>
          <w:sz w:val="28"/>
          <w:szCs w:val="28"/>
          <w:highlight w:val="none"/>
          <w:u w:val="single"/>
          <w:lang w:val="en-US" w:eastAsia="zh-CN"/>
        </w:rPr>
        <w:t>26</w:t>
      </w:r>
      <w:r>
        <w:rPr>
          <w:rFonts w:hint="eastAsia" w:ascii="仿宋" w:hAnsi="仿宋" w:eastAsia="仿宋" w:cs="仿宋"/>
          <w:b/>
          <w:bCs/>
          <w:color w:val="auto"/>
          <w:sz w:val="28"/>
          <w:szCs w:val="28"/>
          <w:highlight w:val="none"/>
          <w:u w:val="single"/>
          <w:lang w:val="zh-CN"/>
        </w:rPr>
        <w:t>年</w:t>
      </w:r>
      <w:r>
        <w:rPr>
          <w:rFonts w:hint="eastAsia" w:ascii="仿宋" w:hAnsi="仿宋" w:eastAsia="仿宋" w:cs="仿宋"/>
          <w:b/>
          <w:bCs/>
          <w:color w:val="auto"/>
          <w:sz w:val="28"/>
          <w:szCs w:val="28"/>
          <w:highlight w:val="none"/>
          <w:u w:val="single"/>
          <w:lang w:val="en-US" w:eastAsia="zh-CN"/>
        </w:rPr>
        <w:t>9</w:t>
      </w:r>
      <w:r>
        <w:rPr>
          <w:rFonts w:hint="eastAsia" w:ascii="仿宋" w:hAnsi="仿宋" w:eastAsia="仿宋" w:cs="仿宋"/>
          <w:b/>
          <w:bCs/>
          <w:color w:val="auto"/>
          <w:sz w:val="28"/>
          <w:szCs w:val="28"/>
          <w:highlight w:val="none"/>
          <w:u w:val="single"/>
          <w:lang w:val="zh-CN"/>
        </w:rPr>
        <w:t>月</w:t>
      </w:r>
    </w:p>
    <w:p w14:paraId="42FE1B3A">
      <w:pPr>
        <w:pStyle w:val="26"/>
        <w:tabs>
          <w:tab w:val="right" w:leader="dot" w:pos="8680"/>
        </w:tabs>
        <w:spacing w:line="48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fldChar w:fldCharType="begin"/>
      </w:r>
      <w:r>
        <w:rPr>
          <w:rFonts w:hint="eastAsia" w:ascii="仿宋" w:hAnsi="仿宋" w:eastAsia="仿宋" w:cs="仿宋"/>
          <w:b/>
          <w:bCs/>
          <w:color w:val="auto"/>
          <w:sz w:val="24"/>
          <w:szCs w:val="24"/>
          <w:highlight w:val="none"/>
        </w:rPr>
        <w:instrText xml:space="preserve"> TOC \o "1-1" \h \z \u </w:instrText>
      </w:r>
      <w:r>
        <w:rPr>
          <w:rFonts w:hint="eastAsia" w:ascii="仿宋" w:hAnsi="仿宋" w:eastAsia="仿宋" w:cs="仿宋"/>
          <w:b/>
          <w:bCs/>
          <w:color w:val="auto"/>
          <w:sz w:val="24"/>
          <w:szCs w:val="24"/>
          <w:highlight w:val="none"/>
        </w:rPr>
        <w:fldChar w:fldCharType="separate"/>
      </w:r>
    </w:p>
    <w:sdt>
      <w:sdtPr>
        <w:rPr>
          <w:rFonts w:hint="eastAsia" w:ascii="仿宋" w:hAnsi="仿宋" w:eastAsia="仿宋" w:cs="仿宋"/>
          <w:b/>
          <w:bCs/>
          <w:color w:val="auto"/>
          <w:kern w:val="2"/>
          <w:sz w:val="24"/>
          <w:szCs w:val="24"/>
          <w:highlight w:val="none"/>
          <w:lang w:val="en-US" w:eastAsia="zh-CN" w:bidi="ar-SA"/>
        </w:rPr>
        <w:id w:val="147481111"/>
        <w15:color w:val="DBDBDB"/>
      </w:sdtPr>
      <w:sdtEndPr>
        <w:rPr>
          <w:rFonts w:hint="eastAsia" w:ascii="仿宋" w:hAnsi="仿宋" w:eastAsia="仿宋" w:cs="仿宋"/>
          <w:b/>
          <w:bCs/>
          <w:color w:val="auto"/>
          <w:kern w:val="2"/>
          <w:sz w:val="24"/>
          <w:szCs w:val="24"/>
          <w:highlight w:val="none"/>
          <w:lang w:val="en-US" w:eastAsia="zh-CN" w:bidi="ar-SA"/>
        </w:rPr>
      </w:sdtEndPr>
      <w:sdtContent>
        <w:p w14:paraId="7AA8C1DA">
          <w:pPr>
            <w:spacing w:before="0" w:beforeLines="0" w:after="0" w:afterLines="0" w:line="240" w:lineRule="auto"/>
            <w:ind w:left="0" w:leftChars="0" w:right="0" w:rightChars="0" w:firstLine="0" w:firstLineChars="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36"/>
              <w:szCs w:val="36"/>
              <w:highlight w:val="none"/>
            </w:rPr>
            <w:t>目</w:t>
          </w:r>
          <w:r>
            <w:rPr>
              <w:rFonts w:hint="eastAsia" w:ascii="仿宋" w:hAnsi="仿宋" w:eastAsia="仿宋" w:cs="仿宋"/>
              <w:b/>
              <w:bCs/>
              <w:color w:val="auto"/>
              <w:sz w:val="36"/>
              <w:szCs w:val="36"/>
              <w:highlight w:val="none"/>
              <w:lang w:val="en-US" w:eastAsia="zh-CN"/>
            </w:rPr>
            <w:t xml:space="preserve">  </w:t>
          </w:r>
          <w:r>
            <w:rPr>
              <w:rFonts w:hint="eastAsia" w:ascii="仿宋" w:hAnsi="仿宋" w:eastAsia="仿宋" w:cs="仿宋"/>
              <w:b/>
              <w:bCs/>
              <w:color w:val="auto"/>
              <w:sz w:val="36"/>
              <w:szCs w:val="36"/>
              <w:highlight w:val="none"/>
            </w:rPr>
            <w:t>录</w:t>
          </w:r>
        </w:p>
        <w:p w14:paraId="5B379485">
          <w:pPr>
            <w:pStyle w:val="76"/>
            <w:tabs>
              <w:tab w:val="right" w:leader="dot" w:pos="8980"/>
            </w:tabs>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lang w:val="en-US" w:eastAsia="zh-CN"/>
            </w:rPr>
            <w:fldChar w:fldCharType="begin"/>
          </w:r>
          <w:r>
            <w:rPr>
              <w:rFonts w:hint="eastAsia" w:ascii="仿宋" w:hAnsi="仿宋" w:eastAsia="仿宋" w:cs="仿宋"/>
              <w:color w:val="auto"/>
              <w:sz w:val="28"/>
              <w:szCs w:val="28"/>
              <w:highlight w:val="none"/>
              <w:lang w:val="en-US" w:eastAsia="zh-CN"/>
            </w:rPr>
            <w:instrText xml:space="preserve">TOC \o "1-2" \h \u </w:instrText>
          </w:r>
          <w:r>
            <w:rPr>
              <w:rFonts w:hint="eastAsia" w:ascii="仿宋" w:hAnsi="仿宋" w:eastAsia="仿宋" w:cs="仿宋"/>
              <w:color w:val="auto"/>
              <w:sz w:val="28"/>
              <w:szCs w:val="28"/>
              <w:highlight w:val="none"/>
              <w:lang w:val="en-US" w:eastAsia="zh-CN"/>
            </w:rPr>
            <w:fldChar w:fldCharType="separate"/>
          </w:r>
        </w:p>
        <w:p w14:paraId="5314C2BA">
          <w:pPr>
            <w:pStyle w:val="76"/>
            <w:tabs>
              <w:tab w:val="right" w:leader="dot" w:pos="8980"/>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fldChar w:fldCharType="begin"/>
          </w:r>
          <w:r>
            <w:rPr>
              <w:rFonts w:hint="eastAsia" w:ascii="仿宋" w:hAnsi="仿宋" w:eastAsia="仿宋" w:cs="仿宋"/>
              <w:b/>
              <w:color w:val="auto"/>
              <w:sz w:val="28"/>
              <w:szCs w:val="28"/>
              <w:highlight w:val="none"/>
              <w:lang w:val="en-US" w:eastAsia="zh-CN"/>
            </w:rPr>
            <w:instrText xml:space="preserve"> HYPERLINK \l _Toc29051 </w:instrText>
          </w:r>
          <w:r>
            <w:rPr>
              <w:rFonts w:hint="eastAsia" w:ascii="仿宋" w:hAnsi="仿宋" w:eastAsia="仿宋" w:cs="仿宋"/>
              <w:b/>
              <w:color w:val="auto"/>
              <w:sz w:val="28"/>
              <w:szCs w:val="28"/>
              <w:highlight w:val="none"/>
              <w:lang w:val="en-US" w:eastAsia="zh-CN"/>
            </w:rPr>
            <w:fldChar w:fldCharType="separate"/>
          </w:r>
          <w:r>
            <w:rPr>
              <w:rFonts w:hint="eastAsia" w:ascii="仿宋" w:hAnsi="仿宋" w:eastAsia="仿宋" w:cs="仿宋"/>
              <w:b/>
              <w:color w:val="auto"/>
              <w:sz w:val="28"/>
              <w:szCs w:val="28"/>
              <w:highlight w:val="none"/>
            </w:rPr>
            <w:t>第一章 招标公告</w:t>
          </w:r>
          <w:r>
            <w:rPr>
              <w:rFonts w:hint="eastAsia" w:ascii="仿宋" w:hAnsi="仿宋" w:eastAsia="仿宋" w:cs="仿宋"/>
              <w:b/>
              <w:color w:val="auto"/>
              <w:sz w:val="28"/>
              <w:szCs w:val="28"/>
              <w:highlight w:val="none"/>
            </w:rPr>
            <w:tab/>
          </w: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 PAGEREF _Toc29051 \h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b/>
              <w:color w:val="auto"/>
              <w:sz w:val="28"/>
              <w:szCs w:val="28"/>
              <w:highlight w:val="none"/>
            </w:rPr>
            <w:t>3</w:t>
          </w:r>
          <w:r>
            <w:rPr>
              <w:rFonts w:hint="eastAsia" w:ascii="仿宋" w:hAnsi="仿宋" w:eastAsia="仿宋" w:cs="仿宋"/>
              <w:b/>
              <w:color w:val="auto"/>
              <w:sz w:val="28"/>
              <w:szCs w:val="28"/>
              <w:highlight w:val="none"/>
            </w:rPr>
            <w:fldChar w:fldCharType="end"/>
          </w:r>
          <w:r>
            <w:rPr>
              <w:rFonts w:hint="eastAsia" w:ascii="仿宋" w:hAnsi="仿宋" w:eastAsia="仿宋" w:cs="仿宋"/>
              <w:b/>
              <w:color w:val="auto"/>
              <w:sz w:val="28"/>
              <w:szCs w:val="28"/>
              <w:highlight w:val="none"/>
              <w:lang w:val="en-US" w:eastAsia="zh-CN"/>
            </w:rPr>
            <w:fldChar w:fldCharType="end"/>
          </w:r>
        </w:p>
        <w:p w14:paraId="37D9703F">
          <w:pPr>
            <w:pStyle w:val="77"/>
            <w:tabs>
              <w:tab w:val="right" w:leader="dot" w:pos="8980"/>
            </w:tabs>
            <w:rPr>
              <w:rFonts w:hint="eastAsia" w:ascii="仿宋" w:hAnsi="仿宋" w:eastAsia="仿宋" w:cs="仿宋"/>
              <w:color w:val="auto"/>
              <w:sz w:val="28"/>
              <w:szCs w:val="28"/>
              <w:highlight w:val="none"/>
            </w:rPr>
          </w:pPr>
        </w:p>
        <w:p w14:paraId="4EE27A7A">
          <w:pPr>
            <w:pStyle w:val="76"/>
            <w:tabs>
              <w:tab w:val="right" w:leader="dot" w:pos="8980"/>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fldChar w:fldCharType="begin"/>
          </w:r>
          <w:r>
            <w:rPr>
              <w:rFonts w:hint="eastAsia" w:ascii="仿宋" w:hAnsi="仿宋" w:eastAsia="仿宋" w:cs="仿宋"/>
              <w:b/>
              <w:color w:val="auto"/>
              <w:sz w:val="28"/>
              <w:szCs w:val="28"/>
              <w:highlight w:val="none"/>
              <w:lang w:val="en-US" w:eastAsia="zh-CN"/>
            </w:rPr>
            <w:instrText xml:space="preserve"> HYPERLINK \l _Toc28168 </w:instrText>
          </w:r>
          <w:r>
            <w:rPr>
              <w:rFonts w:hint="eastAsia" w:ascii="仿宋" w:hAnsi="仿宋" w:eastAsia="仿宋" w:cs="仿宋"/>
              <w:b/>
              <w:color w:val="auto"/>
              <w:sz w:val="28"/>
              <w:szCs w:val="28"/>
              <w:highlight w:val="none"/>
              <w:lang w:val="en-US" w:eastAsia="zh-CN"/>
            </w:rPr>
            <w:fldChar w:fldCharType="separate"/>
          </w:r>
          <w:r>
            <w:rPr>
              <w:rFonts w:hint="eastAsia" w:ascii="仿宋" w:hAnsi="仿宋" w:eastAsia="仿宋" w:cs="仿宋"/>
              <w:b/>
              <w:bCs/>
              <w:color w:val="auto"/>
              <w:kern w:val="44"/>
              <w:sz w:val="28"/>
              <w:szCs w:val="28"/>
              <w:highlight w:val="none"/>
              <w:lang w:val="en-US" w:eastAsia="zh-CN" w:bidi="ar-SA"/>
            </w:rPr>
            <w:t>第二章 投标人须知</w:t>
          </w:r>
          <w:r>
            <w:rPr>
              <w:rFonts w:hint="eastAsia" w:ascii="仿宋" w:hAnsi="仿宋" w:eastAsia="仿宋" w:cs="仿宋"/>
              <w:b/>
              <w:color w:val="auto"/>
              <w:sz w:val="28"/>
              <w:szCs w:val="28"/>
              <w:highlight w:val="none"/>
            </w:rPr>
            <w:tab/>
          </w: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 PAGEREF _Toc28168 \h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b/>
              <w:color w:val="auto"/>
              <w:sz w:val="28"/>
              <w:szCs w:val="28"/>
              <w:highlight w:val="none"/>
            </w:rPr>
            <w:t>7</w:t>
          </w:r>
          <w:r>
            <w:rPr>
              <w:rFonts w:hint="eastAsia" w:ascii="仿宋" w:hAnsi="仿宋" w:eastAsia="仿宋" w:cs="仿宋"/>
              <w:b/>
              <w:color w:val="auto"/>
              <w:sz w:val="28"/>
              <w:szCs w:val="28"/>
              <w:highlight w:val="none"/>
            </w:rPr>
            <w:fldChar w:fldCharType="end"/>
          </w:r>
          <w:r>
            <w:rPr>
              <w:rFonts w:hint="eastAsia" w:ascii="仿宋" w:hAnsi="仿宋" w:eastAsia="仿宋" w:cs="仿宋"/>
              <w:b/>
              <w:color w:val="auto"/>
              <w:sz w:val="28"/>
              <w:szCs w:val="28"/>
              <w:highlight w:val="none"/>
              <w:lang w:val="en-US" w:eastAsia="zh-CN"/>
            </w:rPr>
            <w:fldChar w:fldCharType="end"/>
          </w:r>
        </w:p>
        <w:p w14:paraId="2565DCAE">
          <w:pPr>
            <w:pStyle w:val="76"/>
            <w:tabs>
              <w:tab w:val="right" w:leader="dot" w:pos="8980"/>
            </w:tabs>
            <w:rPr>
              <w:rFonts w:hint="eastAsia" w:ascii="仿宋" w:hAnsi="仿宋" w:eastAsia="仿宋" w:cs="仿宋"/>
              <w:b/>
              <w:color w:val="auto"/>
              <w:sz w:val="28"/>
              <w:szCs w:val="28"/>
              <w:highlight w:val="none"/>
            </w:rPr>
          </w:pPr>
        </w:p>
        <w:p w14:paraId="3E87A74A">
          <w:pPr>
            <w:pStyle w:val="76"/>
            <w:tabs>
              <w:tab w:val="right" w:leader="dot" w:pos="8980"/>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fldChar w:fldCharType="begin"/>
          </w:r>
          <w:r>
            <w:rPr>
              <w:rFonts w:hint="eastAsia" w:ascii="仿宋" w:hAnsi="仿宋" w:eastAsia="仿宋" w:cs="仿宋"/>
              <w:b/>
              <w:color w:val="auto"/>
              <w:sz w:val="28"/>
              <w:szCs w:val="28"/>
              <w:highlight w:val="none"/>
              <w:lang w:val="en-US" w:eastAsia="zh-CN"/>
            </w:rPr>
            <w:instrText xml:space="preserve"> HYPERLINK \l _Toc21611 </w:instrText>
          </w:r>
          <w:r>
            <w:rPr>
              <w:rFonts w:hint="eastAsia" w:ascii="仿宋" w:hAnsi="仿宋" w:eastAsia="仿宋" w:cs="仿宋"/>
              <w:b/>
              <w:color w:val="auto"/>
              <w:sz w:val="28"/>
              <w:szCs w:val="28"/>
              <w:highlight w:val="none"/>
              <w:lang w:val="en-US" w:eastAsia="zh-CN"/>
            </w:rPr>
            <w:fldChar w:fldCharType="separate"/>
          </w:r>
          <w:r>
            <w:rPr>
              <w:rFonts w:hint="eastAsia" w:ascii="仿宋" w:hAnsi="仿宋" w:eastAsia="仿宋" w:cs="仿宋"/>
              <w:b/>
              <w:color w:val="auto"/>
              <w:sz w:val="28"/>
              <w:szCs w:val="28"/>
              <w:highlight w:val="none"/>
            </w:rPr>
            <w:t>第三章 评标办法（综合评分法）</w:t>
          </w:r>
          <w:r>
            <w:rPr>
              <w:rFonts w:hint="eastAsia" w:ascii="仿宋" w:hAnsi="仿宋" w:eastAsia="仿宋" w:cs="仿宋"/>
              <w:b/>
              <w:color w:val="auto"/>
              <w:sz w:val="28"/>
              <w:szCs w:val="28"/>
              <w:highlight w:val="none"/>
            </w:rPr>
            <w:tab/>
          </w: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 PAGEREF _Toc21611 \h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b/>
              <w:color w:val="auto"/>
              <w:sz w:val="28"/>
              <w:szCs w:val="28"/>
              <w:highlight w:val="none"/>
            </w:rPr>
            <w:t>26</w:t>
          </w:r>
          <w:r>
            <w:rPr>
              <w:rFonts w:hint="eastAsia" w:ascii="仿宋" w:hAnsi="仿宋" w:eastAsia="仿宋" w:cs="仿宋"/>
              <w:b/>
              <w:color w:val="auto"/>
              <w:sz w:val="28"/>
              <w:szCs w:val="28"/>
              <w:highlight w:val="none"/>
            </w:rPr>
            <w:fldChar w:fldCharType="end"/>
          </w:r>
          <w:r>
            <w:rPr>
              <w:rFonts w:hint="eastAsia" w:ascii="仿宋" w:hAnsi="仿宋" w:eastAsia="仿宋" w:cs="仿宋"/>
              <w:b/>
              <w:color w:val="auto"/>
              <w:sz w:val="28"/>
              <w:szCs w:val="28"/>
              <w:highlight w:val="none"/>
              <w:lang w:val="en-US" w:eastAsia="zh-CN"/>
            </w:rPr>
            <w:fldChar w:fldCharType="end"/>
          </w:r>
        </w:p>
        <w:p w14:paraId="3B96E6C8">
          <w:pPr>
            <w:pStyle w:val="76"/>
            <w:tabs>
              <w:tab w:val="right" w:leader="dot" w:pos="8980"/>
            </w:tabs>
            <w:rPr>
              <w:rFonts w:hint="eastAsia" w:ascii="仿宋" w:hAnsi="仿宋" w:eastAsia="仿宋" w:cs="仿宋"/>
              <w:b/>
              <w:color w:val="auto"/>
              <w:sz w:val="28"/>
              <w:szCs w:val="28"/>
              <w:highlight w:val="none"/>
            </w:rPr>
          </w:pPr>
        </w:p>
        <w:p w14:paraId="5E1C4719">
          <w:pPr>
            <w:pStyle w:val="76"/>
            <w:tabs>
              <w:tab w:val="right" w:leader="dot" w:pos="8980"/>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fldChar w:fldCharType="begin"/>
          </w:r>
          <w:r>
            <w:rPr>
              <w:rFonts w:hint="eastAsia" w:ascii="仿宋" w:hAnsi="仿宋" w:eastAsia="仿宋" w:cs="仿宋"/>
              <w:b/>
              <w:color w:val="auto"/>
              <w:sz w:val="28"/>
              <w:szCs w:val="28"/>
              <w:highlight w:val="none"/>
              <w:lang w:val="en-US" w:eastAsia="zh-CN"/>
            </w:rPr>
            <w:instrText xml:space="preserve"> HYPERLINK \l _Toc17667 </w:instrText>
          </w:r>
          <w:r>
            <w:rPr>
              <w:rFonts w:hint="eastAsia" w:ascii="仿宋" w:hAnsi="仿宋" w:eastAsia="仿宋" w:cs="仿宋"/>
              <w:b/>
              <w:color w:val="auto"/>
              <w:sz w:val="28"/>
              <w:szCs w:val="28"/>
              <w:highlight w:val="none"/>
              <w:lang w:val="en-US" w:eastAsia="zh-CN"/>
            </w:rPr>
            <w:fldChar w:fldCharType="separate"/>
          </w:r>
          <w:r>
            <w:rPr>
              <w:rFonts w:hint="eastAsia" w:ascii="仿宋" w:hAnsi="仿宋" w:eastAsia="仿宋" w:cs="仿宋"/>
              <w:b/>
              <w:color w:val="auto"/>
              <w:sz w:val="28"/>
              <w:szCs w:val="28"/>
              <w:highlight w:val="none"/>
            </w:rPr>
            <w:t>第四章 合同条款</w:t>
          </w:r>
          <w:r>
            <w:rPr>
              <w:rFonts w:hint="eastAsia" w:ascii="仿宋" w:hAnsi="仿宋" w:eastAsia="仿宋" w:cs="仿宋"/>
              <w:b/>
              <w:color w:val="auto"/>
              <w:sz w:val="28"/>
              <w:szCs w:val="28"/>
              <w:highlight w:val="none"/>
            </w:rPr>
            <w:tab/>
          </w: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 PAGEREF _Toc17667 \h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b/>
              <w:color w:val="auto"/>
              <w:sz w:val="28"/>
              <w:szCs w:val="28"/>
              <w:highlight w:val="none"/>
            </w:rPr>
            <w:t>42</w:t>
          </w:r>
          <w:r>
            <w:rPr>
              <w:rFonts w:hint="eastAsia" w:ascii="仿宋" w:hAnsi="仿宋" w:eastAsia="仿宋" w:cs="仿宋"/>
              <w:b/>
              <w:color w:val="auto"/>
              <w:sz w:val="28"/>
              <w:szCs w:val="28"/>
              <w:highlight w:val="none"/>
            </w:rPr>
            <w:fldChar w:fldCharType="end"/>
          </w:r>
          <w:r>
            <w:rPr>
              <w:rFonts w:hint="eastAsia" w:ascii="仿宋" w:hAnsi="仿宋" w:eastAsia="仿宋" w:cs="仿宋"/>
              <w:b/>
              <w:color w:val="auto"/>
              <w:sz w:val="28"/>
              <w:szCs w:val="28"/>
              <w:highlight w:val="none"/>
              <w:lang w:val="en-US" w:eastAsia="zh-CN"/>
            </w:rPr>
            <w:fldChar w:fldCharType="end"/>
          </w:r>
        </w:p>
        <w:p w14:paraId="640F2CE6">
          <w:pPr>
            <w:pStyle w:val="77"/>
            <w:tabs>
              <w:tab w:val="right" w:leader="dot" w:pos="8980"/>
            </w:tabs>
            <w:rPr>
              <w:rFonts w:hint="eastAsia" w:ascii="仿宋" w:hAnsi="仿宋" w:eastAsia="仿宋" w:cs="仿宋"/>
              <w:color w:val="auto"/>
              <w:sz w:val="28"/>
              <w:szCs w:val="28"/>
              <w:highlight w:val="none"/>
            </w:rPr>
          </w:pPr>
        </w:p>
        <w:p w14:paraId="4A5CA5E4">
          <w:pPr>
            <w:pStyle w:val="76"/>
            <w:tabs>
              <w:tab w:val="right" w:leader="dot" w:pos="8980"/>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fldChar w:fldCharType="begin"/>
          </w:r>
          <w:r>
            <w:rPr>
              <w:rFonts w:hint="eastAsia" w:ascii="仿宋" w:hAnsi="仿宋" w:eastAsia="仿宋" w:cs="仿宋"/>
              <w:b/>
              <w:color w:val="auto"/>
              <w:sz w:val="28"/>
              <w:szCs w:val="28"/>
              <w:highlight w:val="none"/>
              <w:lang w:val="en-US" w:eastAsia="zh-CN"/>
            </w:rPr>
            <w:instrText xml:space="preserve"> HYPERLINK \l _Toc18400 </w:instrText>
          </w:r>
          <w:r>
            <w:rPr>
              <w:rFonts w:hint="eastAsia" w:ascii="仿宋" w:hAnsi="仿宋" w:eastAsia="仿宋" w:cs="仿宋"/>
              <w:b/>
              <w:color w:val="auto"/>
              <w:sz w:val="28"/>
              <w:szCs w:val="28"/>
              <w:highlight w:val="none"/>
              <w:lang w:val="en-US" w:eastAsia="zh-CN"/>
            </w:rPr>
            <w:fldChar w:fldCharType="separate"/>
          </w:r>
          <w:r>
            <w:rPr>
              <w:rFonts w:hint="eastAsia" w:ascii="仿宋" w:hAnsi="仿宋" w:eastAsia="仿宋" w:cs="仿宋"/>
              <w:b/>
              <w:color w:val="auto"/>
              <w:sz w:val="28"/>
              <w:szCs w:val="28"/>
              <w:highlight w:val="none"/>
            </w:rPr>
            <w:t>第五章 项目内容</w:t>
          </w:r>
          <w:r>
            <w:rPr>
              <w:rFonts w:hint="eastAsia" w:ascii="仿宋" w:hAnsi="仿宋" w:eastAsia="仿宋" w:cs="仿宋"/>
              <w:b/>
              <w:color w:val="auto"/>
              <w:sz w:val="28"/>
              <w:szCs w:val="28"/>
              <w:highlight w:val="none"/>
            </w:rPr>
            <w:tab/>
          </w: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 PAGEREF _Toc18400 \h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b/>
              <w:color w:val="auto"/>
              <w:sz w:val="28"/>
              <w:szCs w:val="28"/>
              <w:highlight w:val="none"/>
            </w:rPr>
            <w:t>54</w:t>
          </w:r>
          <w:r>
            <w:rPr>
              <w:rFonts w:hint="eastAsia" w:ascii="仿宋" w:hAnsi="仿宋" w:eastAsia="仿宋" w:cs="仿宋"/>
              <w:b/>
              <w:color w:val="auto"/>
              <w:sz w:val="28"/>
              <w:szCs w:val="28"/>
              <w:highlight w:val="none"/>
            </w:rPr>
            <w:fldChar w:fldCharType="end"/>
          </w:r>
          <w:r>
            <w:rPr>
              <w:rFonts w:hint="eastAsia" w:ascii="仿宋" w:hAnsi="仿宋" w:eastAsia="仿宋" w:cs="仿宋"/>
              <w:b/>
              <w:color w:val="auto"/>
              <w:sz w:val="28"/>
              <w:szCs w:val="28"/>
              <w:highlight w:val="none"/>
              <w:lang w:val="en-US" w:eastAsia="zh-CN"/>
            </w:rPr>
            <w:fldChar w:fldCharType="end"/>
          </w:r>
        </w:p>
        <w:p w14:paraId="71D379AC">
          <w:pPr>
            <w:pStyle w:val="76"/>
            <w:tabs>
              <w:tab w:val="right" w:leader="dot" w:pos="8980"/>
            </w:tabs>
            <w:rPr>
              <w:rFonts w:hint="eastAsia" w:ascii="仿宋" w:hAnsi="仿宋" w:eastAsia="仿宋" w:cs="仿宋"/>
              <w:b/>
              <w:color w:val="auto"/>
              <w:sz w:val="28"/>
              <w:szCs w:val="28"/>
              <w:highlight w:val="none"/>
            </w:rPr>
          </w:pPr>
        </w:p>
        <w:p w14:paraId="66CBE3D1">
          <w:pPr>
            <w:pStyle w:val="76"/>
            <w:tabs>
              <w:tab w:val="right" w:leader="dot" w:pos="8980"/>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fldChar w:fldCharType="begin"/>
          </w:r>
          <w:r>
            <w:rPr>
              <w:rFonts w:hint="eastAsia" w:ascii="仿宋" w:hAnsi="仿宋" w:eastAsia="仿宋" w:cs="仿宋"/>
              <w:b/>
              <w:color w:val="auto"/>
              <w:sz w:val="28"/>
              <w:szCs w:val="28"/>
              <w:highlight w:val="none"/>
              <w:lang w:val="en-US" w:eastAsia="zh-CN"/>
            </w:rPr>
            <w:instrText xml:space="preserve"> HYPERLINK \l _Toc27344 </w:instrText>
          </w:r>
          <w:r>
            <w:rPr>
              <w:rFonts w:hint="eastAsia" w:ascii="仿宋" w:hAnsi="仿宋" w:eastAsia="仿宋" w:cs="仿宋"/>
              <w:b/>
              <w:color w:val="auto"/>
              <w:sz w:val="28"/>
              <w:szCs w:val="28"/>
              <w:highlight w:val="none"/>
              <w:lang w:val="en-US" w:eastAsia="zh-CN"/>
            </w:rPr>
            <w:fldChar w:fldCharType="separate"/>
          </w:r>
          <w:r>
            <w:rPr>
              <w:rFonts w:hint="eastAsia" w:ascii="仿宋" w:hAnsi="仿宋" w:eastAsia="仿宋" w:cs="仿宋"/>
              <w:b/>
              <w:color w:val="auto"/>
              <w:sz w:val="28"/>
              <w:szCs w:val="28"/>
              <w:highlight w:val="none"/>
            </w:rPr>
            <w:t>第六章 投标文件格式</w:t>
          </w:r>
          <w:r>
            <w:rPr>
              <w:rFonts w:hint="eastAsia" w:ascii="仿宋" w:hAnsi="仿宋" w:eastAsia="仿宋" w:cs="仿宋"/>
              <w:b/>
              <w:color w:val="auto"/>
              <w:sz w:val="28"/>
              <w:szCs w:val="28"/>
              <w:highlight w:val="none"/>
            </w:rPr>
            <w:tab/>
          </w: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 PAGEREF _Toc27344 \h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b/>
              <w:color w:val="auto"/>
              <w:sz w:val="28"/>
              <w:szCs w:val="28"/>
              <w:highlight w:val="none"/>
            </w:rPr>
            <w:t>60</w:t>
          </w:r>
          <w:r>
            <w:rPr>
              <w:rFonts w:hint="eastAsia" w:ascii="仿宋" w:hAnsi="仿宋" w:eastAsia="仿宋" w:cs="仿宋"/>
              <w:b/>
              <w:color w:val="auto"/>
              <w:sz w:val="28"/>
              <w:szCs w:val="28"/>
              <w:highlight w:val="none"/>
            </w:rPr>
            <w:fldChar w:fldCharType="end"/>
          </w:r>
          <w:r>
            <w:rPr>
              <w:rFonts w:hint="eastAsia" w:ascii="仿宋" w:hAnsi="仿宋" w:eastAsia="仿宋" w:cs="仿宋"/>
              <w:b/>
              <w:color w:val="auto"/>
              <w:sz w:val="28"/>
              <w:szCs w:val="28"/>
              <w:highlight w:val="none"/>
              <w:lang w:val="en-US" w:eastAsia="zh-CN"/>
            </w:rPr>
            <w:fldChar w:fldCharType="end"/>
          </w:r>
        </w:p>
        <w:p w14:paraId="0A22E3B5">
          <w:pPr>
            <w:pStyle w:val="77"/>
            <w:tabs>
              <w:tab w:val="right" w:leader="dot" w:pos="8980"/>
            </w:tabs>
            <w:rPr>
              <w:rFonts w:hint="eastAsia" w:ascii="仿宋" w:hAnsi="仿宋" w:eastAsia="仿宋" w:cs="仿宋"/>
              <w:color w:val="auto"/>
              <w:sz w:val="28"/>
              <w:szCs w:val="28"/>
              <w:highlight w:val="none"/>
            </w:rPr>
          </w:pPr>
        </w:p>
        <w:p w14:paraId="2C25DC71">
          <w:pPr>
            <w:rPr>
              <w:rFonts w:hint="eastAsia" w:ascii="仿宋" w:hAnsi="仿宋" w:eastAsia="仿宋" w:cs="仿宋"/>
              <w:color w:val="auto"/>
              <w:sz w:val="24"/>
              <w:szCs w:val="24"/>
              <w:highlight w:val="none"/>
              <w:lang w:val="en-US" w:eastAsia="zh-CN"/>
            </w:rPr>
          </w:pPr>
          <w:r>
            <w:rPr>
              <w:rFonts w:hint="eastAsia" w:ascii="仿宋" w:hAnsi="仿宋" w:eastAsia="仿宋" w:cs="仿宋"/>
              <w:b/>
              <w:color w:val="auto"/>
              <w:sz w:val="28"/>
              <w:szCs w:val="28"/>
              <w:highlight w:val="none"/>
              <w:lang w:val="en-US" w:eastAsia="zh-CN"/>
            </w:rPr>
            <w:fldChar w:fldCharType="end"/>
          </w:r>
        </w:p>
      </w:sdtContent>
    </w:sdt>
    <w:p w14:paraId="09276E9E">
      <w:pPr>
        <w:autoSpaceDE w:val="0"/>
        <w:autoSpaceDN w:val="0"/>
        <w:adjustRightInd w:val="0"/>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fldChar w:fldCharType="end"/>
      </w:r>
    </w:p>
    <w:p w14:paraId="0910E142">
      <w:pPr>
        <w:pStyle w:val="11"/>
        <w:rPr>
          <w:rFonts w:hint="eastAsia" w:ascii="仿宋" w:hAnsi="仿宋" w:eastAsia="仿宋" w:cs="仿宋"/>
          <w:color w:val="auto"/>
          <w:sz w:val="24"/>
          <w:szCs w:val="24"/>
          <w:highlight w:val="none"/>
        </w:rPr>
      </w:pPr>
    </w:p>
    <w:p w14:paraId="6227CD4E">
      <w:pPr>
        <w:pStyle w:val="11"/>
        <w:rPr>
          <w:rFonts w:hint="eastAsia" w:ascii="仿宋" w:hAnsi="仿宋" w:eastAsia="仿宋" w:cs="仿宋"/>
          <w:color w:val="auto"/>
          <w:sz w:val="24"/>
          <w:szCs w:val="24"/>
          <w:highlight w:val="none"/>
        </w:rPr>
      </w:pPr>
    </w:p>
    <w:p w14:paraId="1514DB5D">
      <w:pPr>
        <w:pStyle w:val="11"/>
        <w:rPr>
          <w:rFonts w:hint="eastAsia" w:ascii="仿宋" w:hAnsi="仿宋" w:eastAsia="仿宋" w:cs="仿宋"/>
          <w:color w:val="auto"/>
          <w:sz w:val="24"/>
          <w:szCs w:val="24"/>
          <w:highlight w:val="none"/>
        </w:rPr>
      </w:pPr>
    </w:p>
    <w:p w14:paraId="15BE1417">
      <w:pPr>
        <w:pStyle w:val="11"/>
        <w:rPr>
          <w:rFonts w:hint="eastAsia" w:ascii="仿宋" w:hAnsi="仿宋" w:eastAsia="仿宋" w:cs="仿宋"/>
          <w:color w:val="auto"/>
          <w:sz w:val="24"/>
          <w:szCs w:val="24"/>
          <w:highlight w:val="none"/>
        </w:rPr>
      </w:pPr>
    </w:p>
    <w:p w14:paraId="7A1FF05C">
      <w:pPr>
        <w:pStyle w:val="11"/>
        <w:rPr>
          <w:rFonts w:hint="eastAsia" w:ascii="仿宋" w:hAnsi="仿宋" w:eastAsia="仿宋" w:cs="仿宋"/>
          <w:color w:val="auto"/>
          <w:sz w:val="24"/>
          <w:szCs w:val="24"/>
          <w:highlight w:val="none"/>
        </w:rPr>
      </w:pPr>
    </w:p>
    <w:p w14:paraId="0A0E7513">
      <w:pPr>
        <w:pStyle w:val="11"/>
        <w:rPr>
          <w:rFonts w:hint="eastAsia" w:ascii="仿宋" w:hAnsi="仿宋" w:eastAsia="仿宋" w:cs="仿宋"/>
          <w:color w:val="auto"/>
          <w:sz w:val="24"/>
          <w:szCs w:val="24"/>
          <w:highlight w:val="none"/>
        </w:rPr>
      </w:pPr>
    </w:p>
    <w:p w14:paraId="416C53EE">
      <w:pPr>
        <w:pStyle w:val="11"/>
        <w:rPr>
          <w:rFonts w:hint="eastAsia" w:ascii="仿宋" w:hAnsi="仿宋" w:eastAsia="仿宋" w:cs="仿宋"/>
          <w:color w:val="auto"/>
          <w:sz w:val="24"/>
          <w:szCs w:val="24"/>
          <w:highlight w:val="none"/>
        </w:rPr>
      </w:pPr>
    </w:p>
    <w:p w14:paraId="07525F31">
      <w:pPr>
        <w:pStyle w:val="11"/>
        <w:rPr>
          <w:rFonts w:hint="eastAsia" w:ascii="仿宋" w:hAnsi="仿宋" w:eastAsia="仿宋" w:cs="仿宋"/>
          <w:color w:val="auto"/>
          <w:sz w:val="24"/>
          <w:szCs w:val="24"/>
          <w:highlight w:val="none"/>
        </w:rPr>
      </w:pPr>
    </w:p>
    <w:p w14:paraId="21C8FA16">
      <w:pPr>
        <w:pStyle w:val="11"/>
        <w:rPr>
          <w:rFonts w:hint="eastAsia" w:ascii="仿宋" w:hAnsi="仿宋" w:eastAsia="仿宋" w:cs="仿宋"/>
          <w:color w:val="auto"/>
          <w:sz w:val="24"/>
          <w:szCs w:val="24"/>
          <w:highlight w:val="none"/>
        </w:rPr>
      </w:pPr>
    </w:p>
    <w:p w14:paraId="7A906A73">
      <w:pPr>
        <w:pStyle w:val="11"/>
        <w:rPr>
          <w:rFonts w:hint="eastAsia" w:ascii="仿宋" w:hAnsi="仿宋" w:eastAsia="仿宋" w:cs="仿宋"/>
          <w:color w:val="auto"/>
          <w:sz w:val="24"/>
          <w:szCs w:val="24"/>
          <w:highlight w:val="none"/>
        </w:rPr>
      </w:pPr>
    </w:p>
    <w:p w14:paraId="134FF7B4">
      <w:pPr>
        <w:pStyle w:val="11"/>
        <w:rPr>
          <w:rFonts w:hint="eastAsia" w:ascii="仿宋" w:hAnsi="仿宋" w:eastAsia="仿宋" w:cs="仿宋"/>
          <w:color w:val="auto"/>
          <w:sz w:val="24"/>
          <w:szCs w:val="24"/>
          <w:highlight w:val="none"/>
        </w:rPr>
      </w:pPr>
    </w:p>
    <w:p w14:paraId="10AC6D1E">
      <w:pPr>
        <w:pStyle w:val="11"/>
        <w:rPr>
          <w:rFonts w:hint="eastAsia" w:ascii="仿宋" w:hAnsi="仿宋" w:eastAsia="仿宋" w:cs="仿宋"/>
          <w:color w:val="auto"/>
          <w:sz w:val="24"/>
          <w:szCs w:val="24"/>
          <w:highlight w:val="none"/>
        </w:rPr>
      </w:pPr>
    </w:p>
    <w:p w14:paraId="2D282EAB">
      <w:pPr>
        <w:rPr>
          <w:rFonts w:hint="eastAsia" w:ascii="仿宋" w:hAnsi="仿宋" w:eastAsia="仿宋" w:cs="仿宋"/>
          <w:color w:val="auto"/>
          <w:sz w:val="24"/>
          <w:szCs w:val="24"/>
          <w:highlight w:val="none"/>
        </w:rPr>
      </w:pPr>
      <w:bookmarkStart w:id="2" w:name="_Toc17040833"/>
      <w:bookmarkStart w:id="3" w:name="_Toc17040712"/>
      <w:bookmarkStart w:id="4" w:name="_Toc17040954"/>
    </w:p>
    <w:p w14:paraId="52BAA5C8">
      <w:pPr>
        <w:rPr>
          <w:rFonts w:hint="eastAsia" w:ascii="仿宋" w:hAnsi="仿宋" w:eastAsia="仿宋" w:cs="仿宋"/>
          <w:color w:val="auto"/>
          <w:sz w:val="24"/>
          <w:szCs w:val="24"/>
          <w:highlight w:val="none"/>
        </w:rPr>
      </w:pPr>
    </w:p>
    <w:p w14:paraId="5B29DF66">
      <w:pPr>
        <w:rPr>
          <w:rFonts w:hint="eastAsia" w:ascii="仿宋" w:hAnsi="仿宋" w:eastAsia="仿宋" w:cs="仿宋"/>
          <w:color w:val="auto"/>
          <w:sz w:val="24"/>
          <w:szCs w:val="24"/>
          <w:highlight w:val="none"/>
        </w:rPr>
      </w:pPr>
    </w:p>
    <w:p w14:paraId="6CA1D1FD">
      <w:pPr>
        <w:rPr>
          <w:rFonts w:hint="eastAsia" w:ascii="仿宋" w:hAnsi="仿宋" w:eastAsia="仿宋" w:cs="仿宋"/>
          <w:color w:val="auto"/>
          <w:sz w:val="24"/>
          <w:szCs w:val="24"/>
          <w:highlight w:val="none"/>
        </w:rPr>
      </w:pPr>
    </w:p>
    <w:p w14:paraId="26BEDE28">
      <w:pPr>
        <w:pStyle w:val="2"/>
        <w:jc w:val="center"/>
        <w:outlineLvl w:val="9"/>
        <w:rPr>
          <w:rFonts w:hint="eastAsia" w:ascii="仿宋" w:hAnsi="仿宋" w:eastAsia="仿宋" w:cs="仿宋"/>
          <w:color w:val="auto"/>
          <w:sz w:val="24"/>
          <w:szCs w:val="24"/>
          <w:highlight w:val="none"/>
        </w:rPr>
        <w:sectPr>
          <w:headerReference r:id="rId3" w:type="default"/>
          <w:footerReference r:id="rId4" w:type="default"/>
          <w:pgSz w:w="11850" w:h="16783"/>
          <w:pgMar w:top="1100" w:right="1350" w:bottom="840" w:left="1520" w:header="397" w:footer="567" w:gutter="0"/>
          <w:pgBorders>
            <w:top w:val="none" w:sz="0" w:space="0"/>
            <w:left w:val="none" w:sz="0" w:space="0"/>
            <w:bottom w:val="none" w:sz="0" w:space="0"/>
            <w:right w:val="none" w:sz="0" w:space="0"/>
          </w:pgBorders>
          <w:pgNumType w:fmt="decimal" w:start="1"/>
          <w:cols w:space="720" w:num="1"/>
        </w:sectPr>
      </w:pPr>
    </w:p>
    <w:p w14:paraId="5E37B109">
      <w:pPr>
        <w:pStyle w:val="2"/>
        <w:numPr>
          <w:ilvl w:val="0"/>
          <w:numId w:val="1"/>
        </w:numPr>
        <w:spacing w:line="240" w:lineRule="auto"/>
        <w:jc w:val="center"/>
        <w:rPr>
          <w:rFonts w:hint="eastAsia" w:ascii="仿宋" w:hAnsi="仿宋" w:eastAsia="仿宋" w:cs="仿宋"/>
          <w:color w:val="auto"/>
          <w:sz w:val="48"/>
          <w:szCs w:val="48"/>
          <w:highlight w:val="none"/>
        </w:rPr>
      </w:pPr>
      <w:r>
        <w:rPr>
          <w:rFonts w:hint="eastAsia" w:ascii="仿宋" w:hAnsi="仿宋" w:eastAsia="仿宋" w:cs="仿宋"/>
          <w:color w:val="auto"/>
          <w:sz w:val="48"/>
          <w:szCs w:val="48"/>
          <w:highlight w:val="none"/>
        </w:rPr>
        <w:t xml:space="preserve"> </w:t>
      </w:r>
      <w:bookmarkStart w:id="5" w:name="_Toc29051"/>
      <w:r>
        <w:rPr>
          <w:rFonts w:hint="eastAsia" w:ascii="仿宋" w:hAnsi="仿宋" w:eastAsia="仿宋" w:cs="仿宋"/>
          <w:color w:val="auto"/>
          <w:sz w:val="48"/>
          <w:szCs w:val="48"/>
          <w:highlight w:val="none"/>
        </w:rPr>
        <w:t>招标公告</w:t>
      </w:r>
      <w:bookmarkEnd w:id="2"/>
      <w:bookmarkEnd w:id="3"/>
      <w:bookmarkEnd w:id="4"/>
      <w:bookmarkEnd w:id="5"/>
    </w:p>
    <w:p w14:paraId="31093F8B">
      <w:pPr>
        <w:pStyle w:val="3"/>
        <w:rPr>
          <w:rFonts w:hint="eastAsia" w:ascii="仿宋" w:hAnsi="仿宋" w:eastAsia="仿宋" w:cs="仿宋"/>
          <w:b/>
          <w:bCs/>
          <w:color w:val="auto"/>
          <w:sz w:val="28"/>
          <w:szCs w:val="28"/>
          <w:highlight w:val="none"/>
          <w:lang w:eastAsia="zh-CN"/>
        </w:rPr>
      </w:pPr>
      <w:bookmarkStart w:id="6" w:name="_Toc29854"/>
      <w:bookmarkStart w:id="7" w:name="_Toc17040834"/>
      <w:bookmarkStart w:id="8" w:name="_Toc17040713"/>
      <w:r>
        <w:rPr>
          <w:rFonts w:hint="eastAsia" w:ascii="仿宋" w:hAnsi="仿宋" w:eastAsia="仿宋" w:cs="仿宋"/>
          <w:b/>
          <w:bCs/>
          <w:color w:val="auto"/>
          <w:sz w:val="28"/>
          <w:szCs w:val="28"/>
          <w:highlight w:val="none"/>
          <w:lang w:eastAsia="zh-CN"/>
        </w:rPr>
        <w:t>普洱市动物疫病预防控制中心2026年中央农业防灾和水利救灾资金(动物防疫补助)(第二次)采购项目公开招标采购公告</w:t>
      </w:r>
      <w:bookmarkEnd w:id="6"/>
      <w:bookmarkEnd w:id="7"/>
      <w:bookmarkEnd w:id="8"/>
      <w:r>
        <w:rPr>
          <w:rFonts w:hint="eastAsia" w:ascii="仿宋" w:hAnsi="仿宋" w:eastAsia="仿宋" w:cs="仿宋"/>
          <w:b/>
          <w:bCs/>
          <w:color w:val="auto"/>
          <w:sz w:val="28"/>
          <w:szCs w:val="28"/>
          <w:highlight w:val="none"/>
          <w:lang w:eastAsia="zh-CN"/>
        </w:rPr>
        <w:t xml:space="preserve"> </w:t>
      </w:r>
    </w:p>
    <w:p w14:paraId="4DB49307">
      <w:pPr>
        <w:pBdr>
          <w:top w:val="single" w:color="auto" w:sz="4" w:space="1"/>
          <w:left w:val="single" w:color="auto" w:sz="4" w:space="4"/>
          <w:bottom w:val="single" w:color="auto" w:sz="4" w:space="1"/>
          <w:right w:val="single" w:color="auto" w:sz="4" w:space="4"/>
        </w:pBdr>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p w14:paraId="37E7172E">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仿宋" w:hAnsi="仿宋" w:eastAsia="仿宋" w:cs="仿宋"/>
          <w:color w:val="auto"/>
          <w:sz w:val="24"/>
          <w:szCs w:val="24"/>
          <w:highlight w:val="none"/>
          <w:u w:val="none"/>
        </w:rPr>
      </w:pPr>
      <w:r>
        <w:rPr>
          <w:rFonts w:hint="eastAsia" w:ascii="仿宋" w:hAnsi="仿宋" w:eastAsia="仿宋" w:cs="仿宋"/>
          <w:b w:val="0"/>
          <w:bCs w:val="0"/>
          <w:color w:val="auto"/>
          <w:sz w:val="24"/>
          <w:szCs w:val="24"/>
          <w:highlight w:val="none"/>
          <w:u w:val="none"/>
          <w:lang w:eastAsia="zh-CN"/>
        </w:rPr>
        <w:t>普洱市动物疫病预防控制中心2026年中央农业防灾和水利救灾资金(动物防疫补助)(第二次)采购项目招标项目的潜在投标人应在云南省政府采购电子交易平台（政采云https://www.zcygov.cn/）获取招标文件，并于</w:t>
      </w:r>
      <w:r>
        <w:rPr>
          <w:rFonts w:hint="eastAsia" w:ascii="仿宋" w:hAnsi="仿宋" w:eastAsia="仿宋" w:cs="仿宋"/>
          <w:b w:val="0"/>
          <w:bCs w:val="0"/>
          <w:color w:val="auto"/>
          <w:sz w:val="24"/>
          <w:szCs w:val="24"/>
          <w:highlight w:val="none"/>
          <w:u w:val="none"/>
          <w:lang w:eastAsia="zh-CN"/>
        </w:rPr>
        <w:t>2026</w:t>
      </w:r>
      <w:r>
        <w:rPr>
          <w:rFonts w:hint="eastAsia" w:ascii="仿宋" w:hAnsi="仿宋" w:eastAsia="仿宋" w:cs="仿宋"/>
          <w:b w:val="0"/>
          <w:bCs w:val="0"/>
          <w:color w:val="auto"/>
          <w:sz w:val="24"/>
          <w:szCs w:val="24"/>
          <w:highlight w:val="none"/>
          <w:u w:val="none"/>
          <w:lang w:val="en-US" w:eastAsia="zh-CN"/>
        </w:rPr>
        <w:t>年10月9日09:00分</w:t>
      </w:r>
      <w:r>
        <w:rPr>
          <w:rFonts w:hint="eastAsia" w:ascii="仿宋" w:hAnsi="仿宋" w:eastAsia="仿宋" w:cs="仿宋"/>
          <w:b w:val="0"/>
          <w:bCs w:val="0"/>
          <w:color w:val="auto"/>
          <w:sz w:val="24"/>
          <w:szCs w:val="24"/>
          <w:highlight w:val="none"/>
          <w:u w:val="none"/>
          <w:lang w:eastAsia="zh-CN"/>
        </w:rPr>
        <w:t>（北京时间）前递交投标文件。</w:t>
      </w:r>
    </w:p>
    <w:p w14:paraId="256E842B">
      <w:pPr>
        <w:pStyle w:val="3"/>
        <w:numPr>
          <w:ilvl w:val="0"/>
          <w:numId w:val="0"/>
        </w:numPr>
        <w:tabs>
          <w:tab w:val="left" w:pos="360"/>
        </w:tabs>
        <w:ind w:left="425"/>
        <w:jc w:val="both"/>
        <w:rPr>
          <w:rFonts w:hint="eastAsia" w:ascii="仿宋" w:hAnsi="仿宋" w:eastAsia="仿宋" w:cs="仿宋"/>
          <w:b/>
          <w:bCs/>
          <w:color w:val="auto"/>
          <w:sz w:val="24"/>
          <w:szCs w:val="24"/>
          <w:highlight w:val="none"/>
        </w:rPr>
      </w:pPr>
      <w:bookmarkStart w:id="9" w:name="_Toc12275"/>
      <w:bookmarkStart w:id="10" w:name="_Toc35393798"/>
      <w:bookmarkStart w:id="11" w:name="_Toc28359012"/>
      <w:bookmarkStart w:id="12" w:name="_Toc28359089"/>
      <w:bookmarkStart w:id="13" w:name="_Toc43368449"/>
      <w:bookmarkStart w:id="14" w:name="_Toc12241"/>
      <w:bookmarkStart w:id="15" w:name="_Toc35393629"/>
      <w:bookmarkStart w:id="16" w:name="_Toc49431337"/>
      <w:r>
        <w:rPr>
          <w:rFonts w:hint="eastAsia" w:ascii="仿宋" w:hAnsi="仿宋" w:eastAsia="仿宋" w:cs="仿宋"/>
          <w:b/>
          <w:bCs/>
          <w:color w:val="auto"/>
          <w:sz w:val="24"/>
          <w:szCs w:val="24"/>
          <w:highlight w:val="none"/>
        </w:rPr>
        <w:t>一、项目基本情况</w:t>
      </w:r>
      <w:bookmarkEnd w:id="9"/>
      <w:bookmarkEnd w:id="10"/>
      <w:bookmarkEnd w:id="11"/>
      <w:bookmarkEnd w:id="12"/>
      <w:bookmarkEnd w:id="13"/>
      <w:bookmarkEnd w:id="14"/>
      <w:bookmarkEnd w:id="15"/>
      <w:bookmarkEnd w:id="16"/>
    </w:p>
    <w:p w14:paraId="26C73172">
      <w:pPr>
        <w:spacing w:line="360" w:lineRule="auto"/>
        <w:ind w:firstLine="42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1.项目编号：PEZC2026-G1-01159-YNKZ-0072</w:t>
      </w:r>
    </w:p>
    <w:p w14:paraId="3900FCAA">
      <w:pPr>
        <w:spacing w:line="360" w:lineRule="auto"/>
        <w:ind w:firstLine="42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2.项目名称：</w:t>
      </w:r>
      <w:r>
        <w:rPr>
          <w:rFonts w:hint="eastAsia" w:ascii="仿宋" w:hAnsi="仿宋" w:eastAsia="仿宋" w:cs="仿宋"/>
          <w:color w:val="auto"/>
          <w:sz w:val="24"/>
          <w:szCs w:val="24"/>
          <w:highlight w:val="none"/>
          <w:lang w:eastAsia="zh-CN"/>
        </w:rPr>
        <w:t>普洱市动物疫病预防控制中心2026年中央农业防灾和水利救灾资金(动物防疫补助)(第二次)采购项目</w:t>
      </w:r>
    </w:p>
    <w:p w14:paraId="07F1E978">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3.采购方式：公开招标</w:t>
      </w:r>
    </w:p>
    <w:p w14:paraId="45196803">
      <w:pPr>
        <w:spacing w:line="360" w:lineRule="auto"/>
        <w:ind w:firstLine="42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4.预算金额：</w:t>
      </w:r>
      <w:r>
        <w:rPr>
          <w:rFonts w:hint="eastAsia" w:ascii="仿宋" w:hAnsi="仿宋" w:eastAsia="仿宋" w:cs="仿宋"/>
          <w:color w:val="auto"/>
          <w:sz w:val="24"/>
          <w:szCs w:val="24"/>
          <w:highlight w:val="none"/>
          <w:lang w:val="en-US" w:eastAsia="zh-CN"/>
        </w:rPr>
        <w:t>67.00万元（一标段：67.00万元）</w:t>
      </w:r>
    </w:p>
    <w:p w14:paraId="1A328916">
      <w:pPr>
        <w:spacing w:line="360" w:lineRule="auto"/>
        <w:ind w:firstLine="42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5.最高限价：67.00万元（一标段：67.00万元）</w:t>
      </w:r>
    </w:p>
    <w:p w14:paraId="714655C6">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.采购需求：</w:t>
      </w:r>
    </w:p>
    <w:tbl>
      <w:tblPr>
        <w:tblStyle w:val="35"/>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65"/>
        <w:gridCol w:w="3147"/>
        <w:gridCol w:w="1250"/>
        <w:gridCol w:w="1870"/>
        <w:gridCol w:w="1920"/>
      </w:tblGrid>
      <w:tr w14:paraId="2F5A9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877" w:hRule="atLeast"/>
          <w:tblHeader/>
          <w:jc w:val="center"/>
        </w:trPr>
        <w:tc>
          <w:tcPr>
            <w:tcW w:w="5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0E00E4C">
            <w:pP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标段号</w:t>
            </w:r>
          </w:p>
        </w:tc>
        <w:tc>
          <w:tcPr>
            <w:tcW w:w="170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4035D35">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产品名称</w:t>
            </w:r>
          </w:p>
        </w:tc>
        <w:tc>
          <w:tcPr>
            <w:tcW w:w="67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FCD384C">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计量单位</w:t>
            </w:r>
          </w:p>
        </w:tc>
        <w:tc>
          <w:tcPr>
            <w:tcW w:w="101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554613E">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最高限价</w:t>
            </w:r>
          </w:p>
          <w:p w14:paraId="4410949C">
            <w:pP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（单价）</w:t>
            </w:r>
          </w:p>
        </w:tc>
        <w:tc>
          <w:tcPr>
            <w:tcW w:w="103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3C61EB2">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预算总金额</w:t>
            </w:r>
          </w:p>
        </w:tc>
      </w:tr>
      <w:tr w14:paraId="36071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568" w:hRule="atLeast"/>
          <w:jc w:val="center"/>
        </w:trPr>
        <w:tc>
          <w:tcPr>
            <w:tcW w:w="57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29480C4">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一标段</w:t>
            </w:r>
          </w:p>
        </w:tc>
        <w:tc>
          <w:tcPr>
            <w:tcW w:w="170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85E6EF4">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猪口蹄疫O型南非Ⅰ型二价疫苗</w:t>
            </w:r>
          </w:p>
        </w:tc>
        <w:tc>
          <w:tcPr>
            <w:tcW w:w="67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465A4A0">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头份</w:t>
            </w:r>
          </w:p>
        </w:tc>
        <w:tc>
          <w:tcPr>
            <w:tcW w:w="101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4E7AF24">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3.00元/头份</w:t>
            </w:r>
          </w:p>
        </w:tc>
        <w:tc>
          <w:tcPr>
            <w:tcW w:w="103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FFD3804">
            <w:pP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67万元</w:t>
            </w:r>
          </w:p>
        </w:tc>
      </w:tr>
    </w:tbl>
    <w:p w14:paraId="6CE6BAF1">
      <w:pPr>
        <w:spacing w:line="360" w:lineRule="auto"/>
        <w:ind w:firstLine="42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7.交货时间：接到采购方发货通知后15日历日内将货物交付至指定地点。</w:t>
      </w:r>
    </w:p>
    <w:p w14:paraId="086B12A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合同履行期限：</w:t>
      </w:r>
      <w:r>
        <w:rPr>
          <w:rFonts w:hint="eastAsia" w:ascii="仿宋" w:hAnsi="仿宋" w:eastAsia="仿宋" w:cs="仿宋"/>
          <w:color w:val="auto"/>
          <w:sz w:val="24"/>
          <w:szCs w:val="24"/>
          <w:highlight w:val="none"/>
          <w:lang w:val="en-US" w:eastAsia="zh-CN"/>
        </w:rPr>
        <w:t>供完采购金额同等价值货物</w:t>
      </w:r>
      <w:r>
        <w:rPr>
          <w:rFonts w:hint="eastAsia" w:ascii="仿宋" w:hAnsi="仿宋" w:eastAsia="仿宋" w:cs="仿宋"/>
          <w:i w:val="0"/>
          <w:caps w:val="0"/>
          <w:color w:val="auto"/>
          <w:spacing w:val="0"/>
          <w:kern w:val="0"/>
          <w:sz w:val="24"/>
          <w:szCs w:val="24"/>
          <w:highlight w:val="none"/>
          <w:shd w:val="clear" w:color="auto" w:fill="FFFFFF"/>
          <w:lang w:val="en-US" w:eastAsia="zh-CN" w:bidi="ar"/>
        </w:rPr>
        <w:t>为止</w:t>
      </w:r>
      <w:r>
        <w:rPr>
          <w:rFonts w:hint="eastAsia" w:ascii="仿宋" w:hAnsi="仿宋" w:eastAsia="仿宋" w:cs="仿宋"/>
          <w:color w:val="auto"/>
          <w:sz w:val="24"/>
          <w:szCs w:val="24"/>
          <w:highlight w:val="none"/>
        </w:rPr>
        <w:t>。</w:t>
      </w:r>
    </w:p>
    <w:p w14:paraId="67A9DD5B">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质量要求：满足现行国家强制标准，</w:t>
      </w:r>
      <w:r>
        <w:rPr>
          <w:rFonts w:hint="eastAsia" w:ascii="仿宋" w:hAnsi="仿宋" w:eastAsia="仿宋" w:cs="仿宋"/>
          <w:color w:val="auto"/>
          <w:sz w:val="24"/>
          <w:szCs w:val="24"/>
          <w:highlight w:val="none"/>
          <w:lang w:val="en-US" w:eastAsia="zh-CN"/>
        </w:rPr>
        <w:t>且</w:t>
      </w:r>
      <w:r>
        <w:rPr>
          <w:rFonts w:hint="eastAsia" w:ascii="仿宋" w:hAnsi="仿宋" w:eastAsia="仿宋" w:cs="仿宋"/>
          <w:color w:val="auto"/>
          <w:sz w:val="24"/>
          <w:szCs w:val="24"/>
          <w:highlight w:val="none"/>
        </w:rPr>
        <w:t>验收合格。</w:t>
      </w:r>
    </w:p>
    <w:p w14:paraId="4F15A70E">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.本项目不接受联合体。</w:t>
      </w:r>
    </w:p>
    <w:p w14:paraId="3F7ADBC2">
      <w:pPr>
        <w:pStyle w:val="3"/>
        <w:numPr>
          <w:ilvl w:val="0"/>
          <w:numId w:val="0"/>
        </w:numPr>
        <w:tabs>
          <w:tab w:val="left" w:pos="360"/>
        </w:tabs>
        <w:ind w:left="425"/>
        <w:jc w:val="both"/>
        <w:rPr>
          <w:rFonts w:hint="eastAsia" w:ascii="仿宋" w:hAnsi="仿宋" w:eastAsia="仿宋" w:cs="仿宋"/>
          <w:b/>
          <w:bCs/>
          <w:color w:val="auto"/>
          <w:sz w:val="24"/>
          <w:szCs w:val="24"/>
          <w:highlight w:val="none"/>
        </w:rPr>
      </w:pPr>
      <w:bookmarkStart w:id="17" w:name="_Toc12842"/>
      <w:bookmarkStart w:id="18" w:name="_Toc35393799"/>
      <w:bookmarkStart w:id="19" w:name="_Toc28359013"/>
      <w:bookmarkStart w:id="20" w:name="_Toc43368450"/>
      <w:bookmarkStart w:id="21" w:name="_Toc8489"/>
      <w:bookmarkStart w:id="22" w:name="_Toc35393630"/>
      <w:bookmarkStart w:id="23" w:name="_Toc28359090"/>
      <w:r>
        <w:rPr>
          <w:rFonts w:hint="eastAsia" w:ascii="仿宋" w:hAnsi="仿宋" w:eastAsia="仿宋" w:cs="仿宋"/>
          <w:b/>
          <w:bCs/>
          <w:color w:val="auto"/>
          <w:sz w:val="24"/>
          <w:szCs w:val="24"/>
          <w:highlight w:val="none"/>
        </w:rPr>
        <w:t>二、申请人的资格要求</w:t>
      </w:r>
      <w:bookmarkEnd w:id="17"/>
      <w:bookmarkEnd w:id="18"/>
      <w:bookmarkEnd w:id="19"/>
      <w:bookmarkEnd w:id="20"/>
      <w:bookmarkEnd w:id="21"/>
      <w:bookmarkEnd w:id="22"/>
      <w:bookmarkEnd w:id="23"/>
    </w:p>
    <w:p w14:paraId="148EA5F0">
      <w:pPr>
        <w:spacing w:line="360" w:lineRule="auto"/>
        <w:ind w:firstLine="42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1.满足《中华人民共和国政府采购法》第二十二条规定</w:t>
      </w:r>
      <w:r>
        <w:rPr>
          <w:rFonts w:hint="eastAsia" w:ascii="仿宋" w:hAnsi="仿宋" w:eastAsia="仿宋" w:cs="仿宋"/>
          <w:color w:val="auto"/>
          <w:sz w:val="24"/>
          <w:szCs w:val="24"/>
          <w:highlight w:val="none"/>
          <w:lang w:eastAsia="zh-CN"/>
        </w:rPr>
        <w:t>：</w:t>
      </w:r>
    </w:p>
    <w:p w14:paraId="1106BC39">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 具有独立承担民事责任的能力 </w:t>
      </w:r>
    </w:p>
    <w:p w14:paraId="2E5755E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 具有良好的商业信誉和健全的财务会计制度 </w:t>
      </w:r>
    </w:p>
    <w:p w14:paraId="318F400F">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 具有履行合同所必需的设备和专业技术能力 </w:t>
      </w:r>
    </w:p>
    <w:p w14:paraId="01BE1558">
      <w:pPr>
        <w:spacing w:line="360" w:lineRule="auto"/>
        <w:ind w:firstLine="42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 具有依法缴纳税收和社会保障资金的良好记录 </w:t>
      </w:r>
    </w:p>
    <w:p w14:paraId="03FC69B7">
      <w:pPr>
        <w:spacing w:line="360" w:lineRule="auto"/>
        <w:ind w:firstLine="42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 参加政府采购活动前三年内，在经营活动中没有重大违法记录 </w:t>
      </w:r>
    </w:p>
    <w:p w14:paraId="0F03DF34">
      <w:pPr>
        <w:spacing w:line="360" w:lineRule="auto"/>
        <w:ind w:firstLine="42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 法律、行政法规规定的其他条件</w:t>
      </w:r>
    </w:p>
    <w:p w14:paraId="1B0639A0">
      <w:pPr>
        <w:spacing w:line="360" w:lineRule="auto"/>
        <w:ind w:firstLine="480" w:firstLineChars="200"/>
        <w:jc w:val="left"/>
        <w:rPr>
          <w:rFonts w:hint="eastAsia" w:ascii="仿宋" w:hAnsi="仿宋" w:eastAsia="仿宋" w:cs="仿宋"/>
          <w:b w:val="0"/>
          <w:bCs w:val="0"/>
          <w:color w:val="auto"/>
          <w:sz w:val="24"/>
          <w:szCs w:val="24"/>
          <w:highlight w:val="none"/>
          <w:lang w:val="en-US" w:eastAsia="zh-CN"/>
        </w:rPr>
      </w:pPr>
      <w:bookmarkStart w:id="24" w:name="_Toc28359014"/>
      <w:bookmarkStart w:id="25" w:name="_Toc28359091"/>
      <w:r>
        <w:rPr>
          <w:rFonts w:hint="eastAsia" w:ascii="仿宋" w:hAnsi="仿宋" w:eastAsia="仿宋" w:cs="仿宋"/>
          <w:color w:val="auto"/>
          <w:sz w:val="24"/>
          <w:szCs w:val="24"/>
          <w:highlight w:val="none"/>
          <w:lang w:val="en-US" w:eastAsia="zh-CN"/>
        </w:rPr>
        <w:t>2.落实政府采购政策需满足的资格要求：本项目不属于专门面向中小企业采购的项目，落实小微企业、监狱企业、残疾人福利性单位等政策，</w:t>
      </w:r>
      <w:r>
        <w:rPr>
          <w:rFonts w:hint="eastAsia" w:ascii="仿宋" w:hAnsi="仿宋" w:eastAsia="仿宋" w:cs="仿宋"/>
          <w:color w:val="auto"/>
          <w:sz w:val="24"/>
          <w:szCs w:val="24"/>
          <w:highlight w:val="none"/>
          <w:lang w:val="en-US" w:eastAsia="zh-Hans"/>
        </w:rPr>
        <w:t>投标报价部分进行10%的价格扣除，用扣除后的价格参与评标。</w:t>
      </w:r>
    </w:p>
    <w:p w14:paraId="1BC83EC2">
      <w:pPr>
        <w:spacing w:line="360" w:lineRule="auto"/>
        <w:ind w:firstLine="42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3.本项目的特定资格要求：</w:t>
      </w:r>
    </w:p>
    <w:p w14:paraId="6B16794A">
      <w:pPr>
        <w:widowControl/>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3.1 </w:t>
      </w:r>
      <w:r>
        <w:rPr>
          <w:rFonts w:hint="eastAsia" w:ascii="仿宋" w:hAnsi="仿宋" w:eastAsia="仿宋" w:cs="仿宋"/>
          <w:b/>
          <w:bCs/>
          <w:color w:val="auto"/>
          <w:sz w:val="24"/>
          <w:szCs w:val="24"/>
          <w:highlight w:val="none"/>
          <w:lang w:val="en-US" w:eastAsia="zh-CN"/>
        </w:rPr>
        <w:t>（一标段）</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lang w:val="en-US" w:eastAsia="zh-CN"/>
        </w:rPr>
        <w:fldChar w:fldCharType="begin"/>
      </w:r>
      <w:r>
        <w:rPr>
          <w:rFonts w:hint="eastAsia" w:ascii="仿宋" w:hAnsi="仿宋" w:eastAsia="仿宋" w:cs="仿宋"/>
          <w:b w:val="0"/>
          <w:bCs w:val="0"/>
          <w:color w:val="auto"/>
          <w:sz w:val="24"/>
          <w:szCs w:val="24"/>
          <w:highlight w:val="none"/>
          <w:lang w:val="en-US" w:eastAsia="zh-CN"/>
        </w:rPr>
        <w:instrText xml:space="preserve"> = 1 \* GB3 \* MERGEFORMAT </w:instrText>
      </w:r>
      <w:r>
        <w:rPr>
          <w:rFonts w:hint="eastAsia" w:ascii="仿宋" w:hAnsi="仿宋" w:eastAsia="仿宋" w:cs="仿宋"/>
          <w:b w:val="0"/>
          <w:bCs w:val="0"/>
          <w:color w:val="auto"/>
          <w:sz w:val="24"/>
          <w:szCs w:val="24"/>
          <w:highlight w:val="none"/>
          <w:lang w:val="en-US" w:eastAsia="zh-CN"/>
        </w:rPr>
        <w:fldChar w:fldCharType="separate"/>
      </w:r>
      <w:r>
        <w:rPr>
          <w:rFonts w:hint="eastAsia" w:ascii="仿宋" w:hAnsi="仿宋" w:eastAsia="仿宋" w:cs="仿宋"/>
          <w:b w:val="0"/>
          <w:bCs w:val="0"/>
          <w:color w:val="auto"/>
          <w:sz w:val="24"/>
          <w:szCs w:val="24"/>
          <w:highlight w:val="none"/>
          <w:lang w:val="en-US" w:eastAsia="zh-CN"/>
        </w:rPr>
        <w:t>①</w:t>
      </w:r>
      <w:r>
        <w:rPr>
          <w:rFonts w:hint="eastAsia" w:ascii="仿宋" w:hAnsi="仿宋" w:eastAsia="仿宋" w:cs="仿宋"/>
          <w:b w:val="0"/>
          <w:bCs w:val="0"/>
          <w:color w:val="auto"/>
          <w:sz w:val="24"/>
          <w:szCs w:val="24"/>
          <w:highlight w:val="none"/>
          <w:lang w:val="en-US" w:eastAsia="zh-CN"/>
        </w:rPr>
        <w:fldChar w:fldCharType="end"/>
      </w:r>
      <w:r>
        <w:rPr>
          <w:rFonts w:hint="eastAsia" w:ascii="仿宋" w:hAnsi="仿宋" w:eastAsia="仿宋" w:cs="仿宋"/>
          <w:b w:val="0"/>
          <w:bCs w:val="0"/>
          <w:color w:val="auto"/>
          <w:sz w:val="24"/>
          <w:szCs w:val="24"/>
          <w:highlight w:val="none"/>
          <w:lang w:val="en-US" w:eastAsia="zh-CN"/>
        </w:rPr>
        <w:t>投标货物的生产厂家必须是农业农村部（农业部）的定点生产企业，并通过农业农村部（农业部）GMP认证（认证范围含有疫苗）；</w:t>
      </w:r>
      <w:r>
        <w:rPr>
          <w:rFonts w:hint="eastAsia" w:ascii="仿宋" w:hAnsi="仿宋" w:eastAsia="仿宋" w:cs="仿宋"/>
          <w:b w:val="0"/>
          <w:bCs w:val="0"/>
          <w:color w:val="auto"/>
          <w:sz w:val="24"/>
          <w:szCs w:val="24"/>
          <w:highlight w:val="none"/>
          <w:lang w:val="en-US" w:eastAsia="zh-CN"/>
        </w:rPr>
        <w:fldChar w:fldCharType="begin"/>
      </w:r>
      <w:r>
        <w:rPr>
          <w:rFonts w:hint="eastAsia" w:ascii="仿宋" w:hAnsi="仿宋" w:eastAsia="仿宋" w:cs="仿宋"/>
          <w:b w:val="0"/>
          <w:bCs w:val="0"/>
          <w:color w:val="auto"/>
          <w:sz w:val="24"/>
          <w:szCs w:val="24"/>
          <w:highlight w:val="none"/>
          <w:lang w:val="en-US" w:eastAsia="zh-CN"/>
        </w:rPr>
        <w:instrText xml:space="preserve"> = 2 \* GB3 \* MERGEFORMAT </w:instrText>
      </w:r>
      <w:r>
        <w:rPr>
          <w:rFonts w:hint="eastAsia" w:ascii="仿宋" w:hAnsi="仿宋" w:eastAsia="仿宋" w:cs="仿宋"/>
          <w:b w:val="0"/>
          <w:bCs w:val="0"/>
          <w:color w:val="auto"/>
          <w:sz w:val="24"/>
          <w:szCs w:val="24"/>
          <w:highlight w:val="none"/>
          <w:lang w:val="en-US" w:eastAsia="zh-CN"/>
        </w:rPr>
        <w:fldChar w:fldCharType="separate"/>
      </w:r>
      <w:r>
        <w:rPr>
          <w:rFonts w:hint="eastAsia" w:ascii="仿宋" w:hAnsi="仿宋" w:eastAsia="仿宋" w:cs="仿宋"/>
          <w:b w:val="0"/>
          <w:bCs w:val="0"/>
          <w:color w:val="auto"/>
          <w:sz w:val="24"/>
          <w:szCs w:val="24"/>
          <w:highlight w:val="none"/>
          <w:lang w:val="en-US" w:eastAsia="zh-CN"/>
        </w:rPr>
        <w:t>②</w:t>
      </w:r>
      <w:r>
        <w:rPr>
          <w:rFonts w:hint="eastAsia" w:ascii="仿宋" w:hAnsi="仿宋" w:eastAsia="仿宋" w:cs="仿宋"/>
          <w:b w:val="0"/>
          <w:bCs w:val="0"/>
          <w:color w:val="auto"/>
          <w:sz w:val="24"/>
          <w:szCs w:val="24"/>
          <w:highlight w:val="none"/>
          <w:lang w:val="en-US" w:eastAsia="zh-CN"/>
        </w:rPr>
        <w:fldChar w:fldCharType="end"/>
      </w:r>
      <w:r>
        <w:rPr>
          <w:rFonts w:hint="eastAsia" w:ascii="仿宋" w:hAnsi="仿宋" w:eastAsia="仿宋" w:cs="仿宋"/>
          <w:b w:val="0"/>
          <w:bCs w:val="0"/>
          <w:color w:val="auto"/>
          <w:sz w:val="24"/>
          <w:szCs w:val="24"/>
          <w:highlight w:val="none"/>
          <w:lang w:val="en-US" w:eastAsia="zh-CN"/>
        </w:rPr>
        <w:t>所投产品必须具有农业农村部（农业部）颁发的国家兽药生产许可证（生</w:t>
      </w:r>
      <w:r>
        <w:rPr>
          <w:rFonts w:hint="eastAsia" w:ascii="仿宋" w:hAnsi="仿宋" w:eastAsia="仿宋" w:cs="仿宋"/>
          <w:color w:val="auto"/>
          <w:sz w:val="24"/>
          <w:szCs w:val="24"/>
          <w:highlight w:val="none"/>
          <w:lang w:val="en-US" w:eastAsia="zh-CN"/>
        </w:rPr>
        <w:t>产许可范围含有疫苗），不接受代理商（贸易商、经销商）投标，只接受制造商（原厂商）投标。</w:t>
      </w:r>
    </w:p>
    <w:p w14:paraId="46D9C2EC">
      <w:pPr>
        <w:widowControl/>
        <w:spacing w:line="360" w:lineRule="auto"/>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 信用要求：投标人承诺其在截止至本项目投标截止时间未被列入“信用中国”网站 (www.creditchina.gov.c</w:t>
      </w:r>
      <w:bookmarkStart w:id="741" w:name="_GoBack"/>
      <w:bookmarkEnd w:id="741"/>
      <w:r>
        <w:rPr>
          <w:rFonts w:hint="eastAsia" w:ascii="仿宋" w:hAnsi="仿宋" w:eastAsia="仿宋" w:cs="仿宋"/>
          <w:color w:val="auto"/>
          <w:sz w:val="24"/>
          <w:szCs w:val="24"/>
          <w:highlight w:val="none"/>
          <w:lang w:val="en-US" w:eastAsia="zh-CN"/>
        </w:rPr>
        <w:t>n)、“中国政府采购网”网站(www.ccgp.gov.cn)中任一网站的失信被执行人名单或重大税收违法案件当事人名单或政府采购严重违法失信行为记录名单的承诺函。</w:t>
      </w:r>
    </w:p>
    <w:p w14:paraId="5CD76248">
      <w:pPr>
        <w:widowControl/>
        <w:spacing w:line="360" w:lineRule="auto"/>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 其他要求：单位负责人为同一人或者存在直接控股、管理关系的不同制造商或供应商，不得参加同一标段下的政府采购活动(提供承诺函)。</w:t>
      </w:r>
    </w:p>
    <w:bookmarkEnd w:id="24"/>
    <w:bookmarkEnd w:id="25"/>
    <w:p w14:paraId="50A8E848">
      <w:pPr>
        <w:pStyle w:val="3"/>
        <w:tabs>
          <w:tab w:val="left" w:pos="360"/>
        </w:tabs>
        <w:ind w:left="425"/>
        <w:jc w:val="both"/>
        <w:rPr>
          <w:rFonts w:hint="eastAsia" w:ascii="仿宋" w:hAnsi="仿宋" w:eastAsia="仿宋" w:cs="仿宋"/>
          <w:b/>
          <w:bCs/>
          <w:color w:val="auto"/>
          <w:sz w:val="24"/>
          <w:szCs w:val="24"/>
          <w:highlight w:val="none"/>
        </w:rPr>
      </w:pPr>
      <w:bookmarkStart w:id="26" w:name="_Toc18320"/>
      <w:r>
        <w:rPr>
          <w:rFonts w:hint="eastAsia" w:ascii="仿宋" w:hAnsi="仿宋" w:eastAsia="仿宋" w:cs="仿宋"/>
          <w:b/>
          <w:bCs/>
          <w:color w:val="auto"/>
          <w:sz w:val="24"/>
          <w:szCs w:val="24"/>
          <w:highlight w:val="none"/>
        </w:rPr>
        <w:t>三、获取招标文件</w:t>
      </w:r>
      <w:bookmarkEnd w:id="26"/>
    </w:p>
    <w:p w14:paraId="4C948B51">
      <w:pPr>
        <w:widowControl/>
        <w:spacing w:line="360" w:lineRule="auto"/>
        <w:ind w:firstLine="480" w:firstLineChars="200"/>
        <w:rPr>
          <w:rFonts w:hint="eastAsia" w:ascii="仿宋" w:hAnsi="仿宋" w:eastAsia="仿宋" w:cs="仿宋"/>
          <w:color w:val="auto"/>
          <w:sz w:val="24"/>
          <w:szCs w:val="24"/>
          <w:highlight w:val="none"/>
        </w:rPr>
      </w:pPr>
      <w:bookmarkStart w:id="27" w:name="_Toc35393801"/>
      <w:bookmarkStart w:id="28" w:name="_Toc35393632"/>
      <w:bookmarkStart w:id="29" w:name="_Toc28359092"/>
      <w:bookmarkStart w:id="30" w:name="_Toc13467"/>
      <w:bookmarkStart w:id="31" w:name="_Toc28359015"/>
      <w:bookmarkStart w:id="32" w:name="_Toc18729"/>
      <w:bookmarkStart w:id="33" w:name="_Toc43368452"/>
      <w:r>
        <w:rPr>
          <w:rFonts w:hint="eastAsia" w:ascii="仿宋" w:hAnsi="仿宋" w:eastAsia="仿宋" w:cs="仿宋"/>
          <w:color w:val="auto"/>
          <w:sz w:val="24"/>
          <w:szCs w:val="24"/>
          <w:highlight w:val="none"/>
        </w:rPr>
        <w:t>1.时间：</w:t>
      </w:r>
      <w:r>
        <w:rPr>
          <w:rFonts w:hint="eastAsia" w:ascii="仿宋" w:hAnsi="仿宋" w:eastAsia="仿宋" w:cs="仿宋"/>
          <w:color w:val="auto"/>
          <w:sz w:val="24"/>
          <w:szCs w:val="24"/>
          <w:highlight w:val="none"/>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9</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10</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起</w:t>
      </w:r>
      <w:r>
        <w:rPr>
          <w:rFonts w:hint="eastAsia" w:ascii="仿宋" w:hAnsi="仿宋" w:eastAsia="仿宋" w:cs="仿宋"/>
          <w:color w:val="auto"/>
          <w:sz w:val="24"/>
          <w:szCs w:val="24"/>
          <w:highlight w:val="none"/>
        </w:rPr>
        <w:t>至202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9</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17</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rPr>
        <w:t>，每天上午</w:t>
      </w:r>
      <w:r>
        <w:rPr>
          <w:rFonts w:hint="eastAsia" w:ascii="仿宋" w:hAnsi="仿宋" w:eastAsia="仿宋" w:cs="仿宋"/>
          <w:color w:val="auto"/>
          <w:sz w:val="24"/>
          <w:szCs w:val="24"/>
          <w:highlight w:val="none"/>
          <w:lang w:val="en-US" w:eastAsia="zh-CN"/>
        </w:rPr>
        <w:t>06</w:t>
      </w:r>
      <w:r>
        <w:rPr>
          <w:rFonts w:hint="eastAsia" w:ascii="仿宋" w:hAnsi="仿宋" w:eastAsia="仿宋" w:cs="仿宋"/>
          <w:color w:val="auto"/>
          <w:sz w:val="24"/>
          <w:szCs w:val="24"/>
          <w:highlight w:val="none"/>
        </w:rPr>
        <w:t>：00至12:00，下午1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:00至</w:t>
      </w:r>
      <w:r>
        <w:rPr>
          <w:rFonts w:hint="eastAsia" w:ascii="仿宋" w:hAnsi="仿宋" w:eastAsia="仿宋" w:cs="仿宋"/>
          <w:color w:val="auto"/>
          <w:sz w:val="24"/>
          <w:szCs w:val="24"/>
          <w:highlight w:val="none"/>
          <w:lang w:val="en-US" w:eastAsia="zh-CN"/>
        </w:rPr>
        <w:t>23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59</w:t>
      </w:r>
      <w:r>
        <w:rPr>
          <w:rFonts w:hint="eastAsia" w:ascii="仿宋" w:hAnsi="仿宋" w:eastAsia="仿宋" w:cs="仿宋"/>
          <w:color w:val="auto"/>
          <w:sz w:val="24"/>
          <w:szCs w:val="24"/>
          <w:highlight w:val="none"/>
        </w:rPr>
        <w:t>（北京时间，法定节假日除外）</w:t>
      </w:r>
    </w:p>
    <w:p w14:paraId="39D3CF48">
      <w:pPr>
        <w:widowControl/>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2.地点：“政采云”平台（http：//www.zcygov.cn）（操作路径：登录“政采云”平台-项目采购-获取采购文件 -找到本项目-点击“申请获取采购文件”）。政采云电子交易：服务热线95763</w:t>
      </w:r>
      <w:r>
        <w:rPr>
          <w:rFonts w:hint="eastAsia" w:ascii="仿宋" w:hAnsi="仿宋" w:eastAsia="仿宋" w:cs="仿宋"/>
          <w:color w:val="auto"/>
          <w:sz w:val="24"/>
          <w:szCs w:val="24"/>
          <w:highlight w:val="none"/>
          <w:lang w:eastAsia="zh-CN"/>
        </w:rPr>
        <w:t>。</w:t>
      </w:r>
    </w:p>
    <w:p w14:paraId="70F8196E">
      <w:pPr>
        <w:widowControl/>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注:云南本地投标人如之前已在云南CA在线数字证书办理网进行过注册并办理过企业数字证书（CA），直接绑定即可。外省投标人在政采云平台办理的其他CA可直接使用，无需重复办理。</w:t>
      </w:r>
    </w:p>
    <w:p w14:paraId="4B9B9F2D">
      <w:pPr>
        <w:widowControl/>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各投标人应在开标前确保成为政采云平台投标人，并完成CA数字证书申领。如因投标人自身原因，如：未注册入库，未办理CA数字证书、导致在规定时间内无法正常解密的(如:浏览器故障、未安装相关驱动、网络故障、加密CA与解密CA不一致等），造成无法投标或投标失败等由投标人自行承担。如有问题可拨打政采云客户服务热线95763进行咨询。</w:t>
      </w:r>
    </w:p>
    <w:p w14:paraId="565041A0">
      <w:pPr>
        <w:widowControl/>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4.方式：网络获取</w:t>
      </w:r>
    </w:p>
    <w:p w14:paraId="4FEE5744">
      <w:pPr>
        <w:widowControl/>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5.标书售价（元）：0</w:t>
      </w:r>
    </w:p>
    <w:p w14:paraId="5954788A">
      <w:pPr>
        <w:pStyle w:val="3"/>
        <w:tabs>
          <w:tab w:val="left" w:pos="360"/>
        </w:tabs>
        <w:ind w:left="425"/>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w:t>
      </w:r>
      <w:bookmarkEnd w:id="27"/>
      <w:bookmarkEnd w:id="28"/>
      <w:bookmarkEnd w:id="29"/>
      <w:bookmarkEnd w:id="30"/>
      <w:bookmarkEnd w:id="31"/>
      <w:bookmarkEnd w:id="32"/>
      <w:bookmarkEnd w:id="33"/>
      <w:r>
        <w:rPr>
          <w:rFonts w:hint="eastAsia" w:ascii="仿宋" w:hAnsi="仿宋" w:eastAsia="仿宋" w:cs="仿宋"/>
          <w:b/>
          <w:bCs/>
          <w:color w:val="auto"/>
          <w:sz w:val="24"/>
          <w:szCs w:val="24"/>
          <w:highlight w:val="none"/>
        </w:rPr>
        <w:t>提交投标文件截止时间、开标时间和地点</w:t>
      </w:r>
    </w:p>
    <w:p w14:paraId="287DC02C">
      <w:pPr>
        <w:widowControl/>
        <w:spacing w:line="360" w:lineRule="auto"/>
        <w:ind w:firstLine="480" w:firstLineChars="200"/>
        <w:rPr>
          <w:rFonts w:hint="eastAsia" w:ascii="仿宋" w:hAnsi="仿宋" w:eastAsia="仿宋" w:cs="仿宋"/>
          <w:color w:val="auto"/>
          <w:sz w:val="24"/>
          <w:szCs w:val="24"/>
          <w:highlight w:val="none"/>
        </w:rPr>
      </w:pPr>
      <w:bookmarkStart w:id="34" w:name="_Toc28359093"/>
      <w:bookmarkStart w:id="35" w:name="_Toc28359016"/>
      <w:bookmarkStart w:id="36" w:name="_Toc35393633"/>
      <w:bookmarkStart w:id="37" w:name="_Toc43368453"/>
      <w:bookmarkStart w:id="38" w:name="_Toc35393802"/>
      <w:bookmarkStart w:id="39" w:name="_Toc22453"/>
      <w:bookmarkStart w:id="40" w:name="_Toc28359094"/>
      <w:bookmarkStart w:id="41" w:name="_Toc35393803"/>
      <w:bookmarkStart w:id="42" w:name="_Toc7724"/>
      <w:bookmarkStart w:id="43" w:name="_Toc35393634"/>
      <w:bookmarkStart w:id="44" w:name="_Toc28359017"/>
      <w:bookmarkStart w:id="45" w:name="_Toc20188"/>
      <w:bookmarkStart w:id="46" w:name="_Toc43368454"/>
      <w:r>
        <w:rPr>
          <w:rFonts w:hint="eastAsia" w:ascii="仿宋" w:hAnsi="仿宋" w:eastAsia="仿宋" w:cs="仿宋"/>
          <w:color w:val="auto"/>
          <w:sz w:val="24"/>
          <w:szCs w:val="24"/>
          <w:highlight w:val="none"/>
        </w:rPr>
        <w:t>1.投标文件上传的截止时间</w:t>
      </w:r>
      <w:r>
        <w:rPr>
          <w:rFonts w:hint="eastAsia" w:ascii="仿宋" w:hAnsi="仿宋" w:eastAsia="仿宋" w:cs="仿宋"/>
          <w:color w:val="auto"/>
          <w:sz w:val="24"/>
          <w:szCs w:val="24"/>
          <w:highlight w:val="none"/>
          <w:lang w:val="en-US" w:eastAsia="zh-CN"/>
        </w:rPr>
        <w:t>及开标时间</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202</w:t>
      </w:r>
      <w:r>
        <w:rPr>
          <w:rFonts w:hint="eastAsia" w:ascii="仿宋" w:hAnsi="仿宋" w:eastAsia="仿宋" w:cs="仿宋"/>
          <w:color w:val="auto"/>
          <w:sz w:val="24"/>
          <w:szCs w:val="24"/>
          <w:highlight w:val="none"/>
          <w:u w:val="singl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10</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9</w:t>
      </w:r>
      <w:r>
        <w:rPr>
          <w:rFonts w:hint="eastAsia" w:ascii="仿宋" w:hAnsi="仿宋" w:eastAsia="仿宋" w:cs="仿宋"/>
          <w:color w:val="auto"/>
          <w:sz w:val="24"/>
          <w:szCs w:val="24"/>
          <w:highlight w:val="none"/>
        </w:rPr>
        <w:t>日上午09时00分。</w:t>
      </w:r>
    </w:p>
    <w:p w14:paraId="424833E4">
      <w:pPr>
        <w:widowControl/>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2.开标地点（同投标地点）：政采云平台。</w:t>
      </w:r>
    </w:p>
    <w:p w14:paraId="0220ECCF">
      <w:pPr>
        <w:widowControl/>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3.开启方式：政采云平台网上开标(投标人无需到现场）</w:t>
      </w:r>
    </w:p>
    <w:p w14:paraId="32D8CD2D">
      <w:pPr>
        <w:widowControl/>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投标人应按照本项目招标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bookmarkEnd w:id="34"/>
      <w:bookmarkEnd w:id="35"/>
      <w:bookmarkEnd w:id="36"/>
      <w:bookmarkEnd w:id="37"/>
      <w:bookmarkEnd w:id="38"/>
      <w:bookmarkEnd w:id="39"/>
    </w:p>
    <w:p w14:paraId="0F73219A">
      <w:pPr>
        <w:pStyle w:val="3"/>
        <w:tabs>
          <w:tab w:val="left" w:pos="360"/>
        </w:tabs>
        <w:ind w:left="425"/>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rPr>
        <w:t>、公告期限</w:t>
      </w:r>
      <w:bookmarkEnd w:id="40"/>
      <w:bookmarkEnd w:id="41"/>
      <w:bookmarkEnd w:id="42"/>
      <w:bookmarkEnd w:id="43"/>
      <w:bookmarkEnd w:id="44"/>
      <w:bookmarkEnd w:id="45"/>
      <w:bookmarkEnd w:id="46"/>
    </w:p>
    <w:p w14:paraId="6DB6F187">
      <w:pPr>
        <w:spacing w:line="360" w:lineRule="auto"/>
        <w:ind w:firstLine="420"/>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自本公告发布之日起5个工作日。</w:t>
      </w:r>
      <w:bookmarkStart w:id="47" w:name="_Toc43368455"/>
      <w:bookmarkStart w:id="48" w:name="_Toc35393635"/>
      <w:bookmarkStart w:id="49" w:name="_Toc21559"/>
      <w:bookmarkStart w:id="50" w:name="_Toc19586"/>
      <w:bookmarkStart w:id="51" w:name="_Toc35393804"/>
    </w:p>
    <w:p w14:paraId="77516691">
      <w:pPr>
        <w:pStyle w:val="3"/>
        <w:tabs>
          <w:tab w:val="left" w:pos="360"/>
        </w:tabs>
        <w:ind w:left="425"/>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rPr>
        <w:t>、其他补充事宜</w:t>
      </w:r>
      <w:bookmarkEnd w:id="47"/>
      <w:bookmarkEnd w:id="48"/>
      <w:bookmarkEnd w:id="49"/>
      <w:bookmarkEnd w:id="50"/>
      <w:bookmarkEnd w:id="51"/>
    </w:p>
    <w:p w14:paraId="43299CAE">
      <w:pPr>
        <w:keepNext w:val="0"/>
        <w:keepLines w:val="0"/>
        <w:pageBreakBefore w:val="0"/>
        <w:widowControl/>
        <w:kinsoku/>
        <w:overflowPunct/>
        <w:topLinePunct w:val="0"/>
        <w:autoSpaceDE/>
        <w:autoSpaceDN/>
        <w:bidi w:val="0"/>
        <w:adjustRightInd/>
        <w:spacing w:line="360" w:lineRule="auto"/>
        <w:ind w:firstLine="482" w:firstLineChars="200"/>
        <w:textAlignment w:val="auto"/>
        <w:rPr>
          <w:rFonts w:hint="eastAsia" w:ascii="仿宋" w:hAnsi="仿宋" w:eastAsia="仿宋" w:cs="仿宋"/>
          <w:color w:val="auto"/>
          <w:sz w:val="24"/>
          <w:szCs w:val="24"/>
          <w:highlight w:val="none"/>
        </w:rPr>
      </w:pPr>
      <w:bookmarkStart w:id="52" w:name="_Toc28359018"/>
      <w:bookmarkStart w:id="53" w:name="_Toc35393805"/>
      <w:bookmarkStart w:id="54" w:name="_Toc43368456"/>
      <w:bookmarkStart w:id="55" w:name="_Toc35393636"/>
      <w:bookmarkStart w:id="56" w:name="_Toc28359095"/>
      <w:bookmarkStart w:id="57" w:name="_Toc28898"/>
      <w:bookmarkStart w:id="58" w:name="_Toc7972"/>
      <w:r>
        <w:rPr>
          <w:rFonts w:hint="eastAsia" w:ascii="仿宋" w:hAnsi="仿宋" w:eastAsia="仿宋" w:cs="仿宋"/>
          <w:b/>
          <w:bCs/>
          <w:color w:val="auto"/>
          <w:sz w:val="24"/>
          <w:szCs w:val="24"/>
          <w:highlight w:val="none"/>
        </w:rPr>
        <w:t xml:space="preserve"> </w:t>
      </w:r>
      <w:bookmarkStart w:id="59" w:name="OLE_LINK7"/>
      <w:r>
        <w:rPr>
          <w:rFonts w:hint="eastAsia" w:ascii="仿宋" w:hAnsi="仿宋" w:eastAsia="仿宋" w:cs="仿宋"/>
          <w:color w:val="auto"/>
          <w:sz w:val="24"/>
          <w:szCs w:val="24"/>
          <w:highlight w:val="none"/>
        </w:rPr>
        <w:t>1.应知事项：投标人未被列入“信用中国”网站（www.creditchina.gov.cn）失信被执行人、重大税收违法案件当事人名单及中国政府采购网（www.ccgp.gov.cn）“政府采购严重违法失信行为信息记录”。</w:t>
      </w:r>
    </w:p>
    <w:p w14:paraId="44B1F9E4">
      <w:pPr>
        <w:keepNext w:val="0"/>
        <w:keepLines w:val="0"/>
        <w:pageBreakBefore w:val="0"/>
        <w:widowControl/>
        <w:kinsoku/>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为采购项目提供整体设计、规范编制或者项目管理、监理、检测等服务的投标人，不得参加本采购项目。投标人为采购人、采购代理机构在确定采购需求、编制招标文件过程中提供咨询论证，其提供的咨询论证意见成为招标文件中规定的投标人资格条件、技术服务商务要求、评审因素和标准、政府采购合同等实质性内容条款的，视同为采购项目提供规范编制。</w:t>
      </w:r>
    </w:p>
    <w:p w14:paraId="3F61A4C6">
      <w:pPr>
        <w:keepNext w:val="0"/>
        <w:keepLines w:val="0"/>
        <w:pageBreakBefore w:val="0"/>
        <w:widowControl/>
        <w:kinsoku/>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3.采购代理机构将拒绝接受非报名投标人的投标文件。</w:t>
      </w:r>
    </w:p>
    <w:p w14:paraId="521ADC6E">
      <w:pPr>
        <w:keepNext w:val="0"/>
        <w:keepLines w:val="0"/>
        <w:pageBreakBefore w:val="0"/>
        <w:widowControl/>
        <w:kinsoku/>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4.投标人认为采购文件使自己的权益受到损害的，可以自收到采购文件之日或者采购文件公告期限届满之日起7个工作日内，以书面形式向采购人和采购代理机构提出质疑。</w:t>
      </w:r>
    </w:p>
    <w:p w14:paraId="22A9379E">
      <w:pPr>
        <w:keepNext w:val="0"/>
        <w:keepLines w:val="0"/>
        <w:pageBreakBefore w:val="0"/>
        <w:widowControl/>
        <w:kinsoku/>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5.本项目实行网上采购，采用电子文件。若</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参与，自行承担一切费用。</w:t>
      </w:r>
    </w:p>
    <w:p w14:paraId="07556721">
      <w:pPr>
        <w:keepNext w:val="0"/>
        <w:keepLines w:val="0"/>
        <w:pageBreakBefore w:val="0"/>
        <w:widowControl/>
        <w:kinsoku/>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标前准备: 各</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应在开标前应确保成为政采云正式注册入库供应商，并完成 CA数字证书办理。因未注册入库、未办理 CA数字证书等原因造成无法获取采购文件、无法参与或失败等后果由供应商自行承担。</w:t>
      </w:r>
    </w:p>
    <w:p w14:paraId="285C0353">
      <w:pPr>
        <w:keepNext w:val="0"/>
        <w:keepLines w:val="0"/>
        <w:pageBreakBefore w:val="0"/>
        <w:widowControl/>
        <w:kinsoku/>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.本次公开招标采购公告将在云南省政府采购网上发布。采购人和采购代理机构对其他网站或媒体转载的公告及公告内容不承担任何责任。</w:t>
      </w:r>
      <w:bookmarkEnd w:id="59"/>
    </w:p>
    <w:p w14:paraId="63277771">
      <w:pPr>
        <w:pStyle w:val="3"/>
        <w:tabs>
          <w:tab w:val="left" w:pos="360"/>
        </w:tabs>
        <w:ind w:left="425"/>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rPr>
        <w:t>、凡对本次采购提出询问，请按以下方式联系</w:t>
      </w:r>
      <w:bookmarkEnd w:id="52"/>
      <w:bookmarkEnd w:id="53"/>
      <w:bookmarkEnd w:id="54"/>
      <w:bookmarkEnd w:id="55"/>
      <w:bookmarkEnd w:id="56"/>
      <w:bookmarkEnd w:id="57"/>
      <w:bookmarkEnd w:id="58"/>
    </w:p>
    <w:p w14:paraId="18F8FF22">
      <w:pPr>
        <w:spacing w:line="460" w:lineRule="exact"/>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1.采购人信息</w:t>
      </w:r>
    </w:p>
    <w:p w14:paraId="7417AADE">
      <w:pPr>
        <w:spacing w:line="460" w:lineRule="exact"/>
        <w:ind w:firstLine="480" w:firstLineChars="200"/>
        <w:rPr>
          <w:rFonts w:hint="eastAsia" w:ascii="仿宋" w:hAnsi="仿宋" w:eastAsia="仿宋" w:cs="仿宋"/>
          <w:bCs/>
          <w:color w:val="auto"/>
          <w:sz w:val="24"/>
          <w:szCs w:val="24"/>
          <w:highlight w:val="none"/>
          <w:lang w:val="en-US" w:eastAsia="zh-CN"/>
        </w:rPr>
      </w:pPr>
      <w:bookmarkStart w:id="60" w:name="_Toc28359009"/>
      <w:bookmarkStart w:id="61" w:name="_Toc28359086"/>
      <w:r>
        <w:rPr>
          <w:rFonts w:hint="eastAsia" w:ascii="仿宋" w:hAnsi="仿宋" w:eastAsia="仿宋" w:cs="仿宋"/>
          <w:bCs/>
          <w:color w:val="auto"/>
          <w:sz w:val="24"/>
          <w:szCs w:val="24"/>
          <w:highlight w:val="none"/>
          <w:lang w:val="en-US" w:eastAsia="zh-CN"/>
        </w:rPr>
        <w:t>采 购 人：普洱市动物疫病预防控制中心　　　　　　　　</w:t>
      </w:r>
    </w:p>
    <w:p w14:paraId="1C399CFB">
      <w:pPr>
        <w:spacing w:line="460" w:lineRule="exact"/>
        <w:ind w:firstLine="480" w:firstLineChars="20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联系地址：普洱市思茅区普洱人家西北门（原老农校内）　　　　　　　　　　</w:t>
      </w:r>
    </w:p>
    <w:p w14:paraId="51400D8C">
      <w:pPr>
        <w:spacing w:line="460" w:lineRule="exact"/>
        <w:ind w:firstLine="480" w:firstLineChars="20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联系方式：李老师</w:t>
      </w:r>
      <w:r>
        <w:rPr>
          <w:rFonts w:hint="eastAsia" w:ascii="仿宋" w:hAnsi="仿宋" w:eastAsia="仿宋" w:cs="仿宋"/>
          <w:bCs/>
          <w:color w:val="auto"/>
          <w:sz w:val="24"/>
          <w:szCs w:val="24"/>
          <w:highlight w:val="none"/>
          <w:lang w:eastAsia="zh-CN"/>
        </w:rPr>
        <w:t>，</w:t>
      </w:r>
      <w:bookmarkStart w:id="62" w:name="OLE_LINK8"/>
      <w:r>
        <w:rPr>
          <w:rFonts w:hint="eastAsia" w:ascii="仿宋" w:hAnsi="仿宋" w:eastAsia="仿宋" w:cs="仿宋"/>
          <w:bCs/>
          <w:color w:val="auto"/>
          <w:sz w:val="24"/>
          <w:szCs w:val="24"/>
          <w:highlight w:val="none"/>
          <w:lang w:val="en-US" w:eastAsia="zh-CN"/>
        </w:rPr>
        <w:t>0879-282820</w:t>
      </w:r>
      <w:bookmarkEnd w:id="62"/>
      <w:r>
        <w:rPr>
          <w:rFonts w:hint="eastAsia" w:ascii="仿宋" w:hAnsi="仿宋" w:eastAsia="仿宋" w:cs="仿宋"/>
          <w:bCs/>
          <w:color w:val="auto"/>
          <w:sz w:val="24"/>
          <w:szCs w:val="24"/>
          <w:highlight w:val="none"/>
          <w:lang w:val="en-US" w:eastAsia="zh-CN"/>
        </w:rPr>
        <w:t>5</w:t>
      </w:r>
    </w:p>
    <w:p w14:paraId="44CFCC99">
      <w:pPr>
        <w:spacing w:line="460" w:lineRule="exact"/>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2.采购代理机构信息</w:t>
      </w:r>
      <w:bookmarkEnd w:id="60"/>
      <w:bookmarkEnd w:id="61"/>
    </w:p>
    <w:p w14:paraId="4891FF08">
      <w:pPr>
        <w:spacing w:line="460" w:lineRule="exact"/>
        <w:ind w:firstLine="480" w:firstLineChars="200"/>
        <w:rPr>
          <w:rFonts w:hint="eastAsia" w:ascii="仿宋" w:hAnsi="仿宋" w:eastAsia="仿宋" w:cs="仿宋"/>
          <w:bCs/>
          <w:color w:val="auto"/>
          <w:sz w:val="24"/>
          <w:szCs w:val="24"/>
          <w:highlight w:val="none"/>
        </w:rPr>
      </w:pPr>
      <w:bookmarkStart w:id="63" w:name="_Toc28359087"/>
      <w:bookmarkStart w:id="64" w:name="_Toc28359010"/>
      <w:r>
        <w:rPr>
          <w:rFonts w:hint="eastAsia" w:ascii="仿宋" w:hAnsi="仿宋" w:eastAsia="仿宋" w:cs="仿宋"/>
          <w:bCs/>
          <w:color w:val="auto"/>
          <w:sz w:val="24"/>
          <w:szCs w:val="24"/>
          <w:highlight w:val="none"/>
        </w:rPr>
        <w:t>名    称：云南恪遵项目管理有限公司</w:t>
      </w:r>
    </w:p>
    <w:p w14:paraId="470E8E86">
      <w:pPr>
        <w:spacing w:line="460" w:lineRule="exact"/>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联系地址：</w:t>
      </w:r>
      <w:r>
        <w:rPr>
          <w:rFonts w:hint="eastAsia" w:ascii="仿宋" w:hAnsi="仿宋" w:eastAsia="仿宋" w:cs="仿宋"/>
          <w:bCs/>
          <w:color w:val="auto"/>
          <w:sz w:val="24"/>
          <w:szCs w:val="24"/>
          <w:highlight w:val="none"/>
          <w:lang w:eastAsia="zh-CN"/>
        </w:rPr>
        <w:t>普洱市思茅区碧桂园溪台1幢1-2层101室</w:t>
      </w:r>
    </w:p>
    <w:p w14:paraId="2992ADED">
      <w:pPr>
        <w:spacing w:line="460" w:lineRule="exact"/>
        <w:ind w:firstLine="480" w:firstLineChars="200"/>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联系</w:t>
      </w:r>
      <w:r>
        <w:rPr>
          <w:rFonts w:hint="eastAsia" w:ascii="仿宋" w:hAnsi="仿宋" w:eastAsia="仿宋" w:cs="仿宋"/>
          <w:bCs/>
          <w:color w:val="auto"/>
          <w:sz w:val="24"/>
          <w:szCs w:val="24"/>
          <w:highlight w:val="none"/>
          <w:lang w:val="zh-CN"/>
        </w:rPr>
        <w:t>方式</w:t>
      </w:r>
      <w:r>
        <w:rPr>
          <w:rFonts w:hint="eastAsia" w:ascii="仿宋" w:hAnsi="仿宋" w:eastAsia="仿宋" w:cs="仿宋"/>
          <w:bCs/>
          <w:color w:val="auto"/>
          <w:sz w:val="24"/>
          <w:szCs w:val="24"/>
          <w:highlight w:val="none"/>
        </w:rPr>
        <w:t>：吴发敏，</w:t>
      </w:r>
      <w:bookmarkStart w:id="65" w:name="OLE_LINK9"/>
      <w:r>
        <w:rPr>
          <w:rFonts w:hint="eastAsia" w:ascii="仿宋" w:hAnsi="仿宋" w:eastAsia="仿宋" w:cs="仿宋"/>
          <w:bCs/>
          <w:color w:val="auto"/>
          <w:sz w:val="24"/>
          <w:szCs w:val="24"/>
          <w:highlight w:val="none"/>
          <w:lang w:eastAsia="zh-CN"/>
        </w:rPr>
        <w:t>0879-3013333</w:t>
      </w:r>
      <w:bookmarkEnd w:id="65"/>
    </w:p>
    <w:p w14:paraId="6B55179F">
      <w:pPr>
        <w:spacing w:line="460" w:lineRule="exact"/>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3.项目联系方式</w:t>
      </w:r>
      <w:bookmarkEnd w:id="63"/>
      <w:bookmarkEnd w:id="64"/>
    </w:p>
    <w:p w14:paraId="72A86B16">
      <w:pPr>
        <w:spacing w:line="46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项目联系人：吴发敏   </w:t>
      </w:r>
    </w:p>
    <w:p w14:paraId="384EAB2D">
      <w:pPr>
        <w:spacing w:line="460" w:lineRule="exact"/>
        <w:ind w:firstLine="480" w:firstLineChars="200"/>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电　话：</w:t>
      </w:r>
      <w:r>
        <w:rPr>
          <w:rFonts w:hint="eastAsia" w:ascii="仿宋" w:hAnsi="仿宋" w:eastAsia="仿宋" w:cs="仿宋"/>
          <w:bCs/>
          <w:color w:val="auto"/>
          <w:sz w:val="24"/>
          <w:szCs w:val="24"/>
          <w:highlight w:val="none"/>
          <w:lang w:eastAsia="zh-CN"/>
        </w:rPr>
        <w:t>0879-3013333</w:t>
      </w:r>
    </w:p>
    <w:p w14:paraId="30BE872A">
      <w:pPr>
        <w:spacing w:line="460" w:lineRule="exact"/>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4.同级政府采购监督管理部门</w:t>
      </w:r>
    </w:p>
    <w:p w14:paraId="6B90702E">
      <w:pPr>
        <w:spacing w:line="460" w:lineRule="exact"/>
        <w:ind w:firstLine="480" w:firstLineChars="200"/>
        <w:rPr>
          <w:rFonts w:hint="eastAsia" w:ascii="仿宋" w:hAnsi="仿宋" w:eastAsia="仿宋" w:cs="仿宋"/>
          <w:bCs/>
          <w:color w:val="auto"/>
          <w:sz w:val="24"/>
          <w:szCs w:val="24"/>
          <w:highlight w:val="none"/>
        </w:rPr>
      </w:pPr>
      <w:bookmarkStart w:id="66" w:name="_Toc17040835"/>
      <w:bookmarkStart w:id="67" w:name="_Toc17040955"/>
      <w:bookmarkStart w:id="68" w:name="_Toc17040714"/>
      <w:r>
        <w:rPr>
          <w:rFonts w:hint="eastAsia" w:ascii="仿宋" w:hAnsi="仿宋" w:eastAsia="仿宋" w:cs="仿宋"/>
          <w:bCs/>
          <w:color w:val="auto"/>
          <w:sz w:val="24"/>
          <w:szCs w:val="24"/>
          <w:highlight w:val="none"/>
          <w:lang w:eastAsia="zh-CN"/>
        </w:rPr>
        <w:t>普洱市</w:t>
      </w:r>
      <w:r>
        <w:rPr>
          <w:rFonts w:hint="eastAsia" w:ascii="仿宋" w:hAnsi="仿宋" w:eastAsia="仿宋" w:cs="仿宋"/>
          <w:bCs/>
          <w:color w:val="auto"/>
          <w:sz w:val="24"/>
          <w:szCs w:val="24"/>
          <w:highlight w:val="none"/>
        </w:rPr>
        <w:t>财政局</w:t>
      </w:r>
    </w:p>
    <w:p w14:paraId="7706E391">
      <w:pPr>
        <w:spacing w:line="460" w:lineRule="exact"/>
        <w:ind w:firstLine="480" w:firstLineChars="200"/>
        <w:rPr>
          <w:rFonts w:hint="eastAsia" w:ascii="仿宋" w:hAnsi="仿宋" w:eastAsia="仿宋" w:cs="仿宋"/>
          <w:bCs/>
          <w:color w:val="auto"/>
          <w:sz w:val="24"/>
          <w:szCs w:val="24"/>
          <w:highlight w:val="none"/>
        </w:rPr>
      </w:pPr>
      <w:bookmarkStart w:id="69" w:name="OLE_LINK10"/>
      <w:r>
        <w:rPr>
          <w:rFonts w:hint="eastAsia" w:ascii="仿宋" w:hAnsi="仿宋" w:eastAsia="仿宋" w:cs="仿宋"/>
          <w:bCs/>
          <w:color w:val="auto"/>
          <w:sz w:val="24"/>
          <w:szCs w:val="24"/>
          <w:highlight w:val="none"/>
        </w:rPr>
        <w:t>0879-2165930</w:t>
      </w:r>
    </w:p>
    <w:bookmarkEnd w:id="69"/>
    <w:p w14:paraId="71B0DFC2">
      <w:pPr>
        <w:spacing w:line="460" w:lineRule="exact"/>
        <w:jc w:val="both"/>
        <w:rPr>
          <w:rFonts w:hint="eastAsia" w:ascii="仿宋" w:hAnsi="仿宋" w:eastAsia="仿宋" w:cs="仿宋"/>
          <w:b/>
          <w:bCs/>
          <w:color w:val="auto"/>
          <w:kern w:val="44"/>
          <w:sz w:val="24"/>
          <w:szCs w:val="24"/>
          <w:highlight w:val="none"/>
          <w:lang w:val="en-US" w:eastAsia="zh-CN" w:bidi="ar-SA"/>
        </w:rPr>
      </w:pPr>
    </w:p>
    <w:p w14:paraId="7303DACA">
      <w:pPr>
        <w:spacing w:line="460" w:lineRule="exact"/>
        <w:jc w:val="both"/>
        <w:rPr>
          <w:rFonts w:hint="eastAsia" w:ascii="仿宋" w:hAnsi="仿宋" w:eastAsia="仿宋" w:cs="仿宋"/>
          <w:b/>
          <w:bCs/>
          <w:color w:val="auto"/>
          <w:kern w:val="44"/>
          <w:sz w:val="24"/>
          <w:szCs w:val="24"/>
          <w:highlight w:val="none"/>
          <w:lang w:val="en-US" w:eastAsia="zh-CN" w:bidi="ar-SA"/>
        </w:rPr>
      </w:pPr>
    </w:p>
    <w:p w14:paraId="019C5111">
      <w:pPr>
        <w:spacing w:line="460" w:lineRule="exact"/>
        <w:jc w:val="both"/>
        <w:rPr>
          <w:rFonts w:hint="eastAsia" w:ascii="仿宋" w:hAnsi="仿宋" w:eastAsia="仿宋" w:cs="仿宋"/>
          <w:b/>
          <w:bCs/>
          <w:color w:val="auto"/>
          <w:kern w:val="44"/>
          <w:sz w:val="24"/>
          <w:szCs w:val="24"/>
          <w:highlight w:val="none"/>
          <w:lang w:val="en-US" w:eastAsia="zh-CN" w:bidi="ar-SA"/>
        </w:rPr>
      </w:pPr>
    </w:p>
    <w:p w14:paraId="3BCF0F90">
      <w:pPr>
        <w:spacing w:line="460" w:lineRule="exact"/>
        <w:jc w:val="both"/>
        <w:rPr>
          <w:rFonts w:hint="eastAsia" w:ascii="仿宋" w:hAnsi="仿宋" w:eastAsia="仿宋" w:cs="仿宋"/>
          <w:b/>
          <w:bCs/>
          <w:color w:val="auto"/>
          <w:kern w:val="44"/>
          <w:sz w:val="24"/>
          <w:szCs w:val="24"/>
          <w:highlight w:val="none"/>
          <w:lang w:val="en-US" w:eastAsia="zh-CN" w:bidi="ar-SA"/>
        </w:rPr>
      </w:pPr>
    </w:p>
    <w:p w14:paraId="278EEAC0">
      <w:pPr>
        <w:spacing w:line="460" w:lineRule="exact"/>
        <w:jc w:val="both"/>
        <w:rPr>
          <w:rFonts w:hint="eastAsia" w:ascii="仿宋" w:hAnsi="仿宋" w:eastAsia="仿宋" w:cs="仿宋"/>
          <w:b/>
          <w:bCs/>
          <w:color w:val="auto"/>
          <w:kern w:val="44"/>
          <w:sz w:val="24"/>
          <w:szCs w:val="24"/>
          <w:highlight w:val="none"/>
          <w:lang w:val="en-US" w:eastAsia="zh-CN" w:bidi="ar-SA"/>
        </w:rPr>
      </w:pPr>
    </w:p>
    <w:p w14:paraId="7ECF9B56">
      <w:pPr>
        <w:spacing w:line="460" w:lineRule="exact"/>
        <w:jc w:val="both"/>
        <w:rPr>
          <w:rFonts w:hint="eastAsia" w:ascii="仿宋" w:hAnsi="仿宋" w:eastAsia="仿宋" w:cs="仿宋"/>
          <w:b/>
          <w:bCs/>
          <w:color w:val="auto"/>
          <w:kern w:val="44"/>
          <w:sz w:val="24"/>
          <w:szCs w:val="24"/>
          <w:highlight w:val="none"/>
          <w:lang w:val="en-US" w:eastAsia="zh-CN" w:bidi="ar-SA"/>
        </w:rPr>
      </w:pPr>
    </w:p>
    <w:p w14:paraId="102DC602">
      <w:pPr>
        <w:spacing w:line="460" w:lineRule="exact"/>
        <w:jc w:val="both"/>
        <w:rPr>
          <w:rFonts w:hint="eastAsia" w:ascii="仿宋" w:hAnsi="仿宋" w:eastAsia="仿宋" w:cs="仿宋"/>
          <w:b/>
          <w:bCs/>
          <w:color w:val="auto"/>
          <w:kern w:val="44"/>
          <w:sz w:val="24"/>
          <w:szCs w:val="24"/>
          <w:highlight w:val="none"/>
          <w:lang w:val="en-US" w:eastAsia="zh-CN" w:bidi="ar-SA"/>
        </w:rPr>
      </w:pPr>
    </w:p>
    <w:p w14:paraId="346742C0">
      <w:pPr>
        <w:rPr>
          <w:rFonts w:hint="eastAsia"/>
          <w:color w:val="auto"/>
          <w:highlight w:val="none"/>
          <w:lang w:val="en-US" w:eastAsia="zh-CN"/>
        </w:rPr>
      </w:pPr>
      <w:bookmarkStart w:id="70" w:name="_Toc28168"/>
    </w:p>
    <w:p w14:paraId="156CCCAB">
      <w:pPr>
        <w:pStyle w:val="2"/>
        <w:numPr>
          <w:ilvl w:val="0"/>
          <w:numId w:val="1"/>
        </w:numPr>
        <w:spacing w:line="240" w:lineRule="auto"/>
        <w:jc w:val="center"/>
        <w:rPr>
          <w:rFonts w:hint="eastAsia" w:ascii="仿宋" w:hAnsi="仿宋" w:eastAsia="仿宋" w:cs="仿宋"/>
          <w:color w:val="auto"/>
          <w:sz w:val="48"/>
          <w:szCs w:val="48"/>
          <w:highlight w:val="none"/>
        </w:rPr>
      </w:pPr>
      <w:r>
        <w:rPr>
          <w:rFonts w:hint="eastAsia" w:ascii="仿宋" w:hAnsi="仿宋" w:eastAsia="仿宋" w:cs="仿宋"/>
          <w:color w:val="auto"/>
          <w:sz w:val="48"/>
          <w:szCs w:val="48"/>
          <w:highlight w:val="none"/>
          <w:lang w:val="en-US" w:eastAsia="zh-CN"/>
        </w:rPr>
        <w:t>投标人须知</w:t>
      </w:r>
      <w:bookmarkEnd w:id="66"/>
      <w:bookmarkEnd w:id="67"/>
      <w:bookmarkEnd w:id="68"/>
      <w:bookmarkEnd w:id="70"/>
    </w:p>
    <w:p w14:paraId="535F5B1D">
      <w:pPr>
        <w:pStyle w:val="3"/>
        <w:rPr>
          <w:rFonts w:hint="eastAsia" w:ascii="仿宋" w:hAnsi="仿宋" w:eastAsia="仿宋" w:cs="仿宋"/>
          <w:b/>
          <w:bCs/>
          <w:color w:val="auto"/>
          <w:sz w:val="28"/>
          <w:szCs w:val="28"/>
          <w:highlight w:val="none"/>
        </w:rPr>
      </w:pPr>
      <w:bookmarkStart w:id="71" w:name="_Toc17040715"/>
      <w:bookmarkStart w:id="72" w:name="_Toc17040836"/>
      <w:bookmarkStart w:id="73" w:name="_Toc3701"/>
      <w:r>
        <w:rPr>
          <w:rFonts w:hint="eastAsia" w:ascii="仿宋" w:hAnsi="仿宋" w:eastAsia="仿宋" w:cs="仿宋"/>
          <w:b/>
          <w:bCs/>
          <w:color w:val="auto"/>
          <w:sz w:val="28"/>
          <w:szCs w:val="28"/>
          <w:highlight w:val="none"/>
        </w:rPr>
        <w:t>（一）投标人须知前附表</w:t>
      </w:r>
      <w:bookmarkEnd w:id="71"/>
      <w:bookmarkEnd w:id="72"/>
      <w:bookmarkEnd w:id="73"/>
    </w:p>
    <w:tbl>
      <w:tblPr>
        <w:tblStyle w:val="35"/>
        <w:tblW w:w="4997" w:type="pct"/>
        <w:tblInd w:w="0" w:type="dxa"/>
        <w:tblLayout w:type="autofit"/>
        <w:tblCellMar>
          <w:top w:w="0" w:type="dxa"/>
          <w:left w:w="108" w:type="dxa"/>
          <w:bottom w:w="0" w:type="dxa"/>
          <w:right w:w="108" w:type="dxa"/>
        </w:tblCellMar>
      </w:tblPr>
      <w:tblGrid>
        <w:gridCol w:w="816"/>
        <w:gridCol w:w="469"/>
        <w:gridCol w:w="1319"/>
        <w:gridCol w:w="6675"/>
      </w:tblGrid>
      <w:tr w14:paraId="73E85DD0">
        <w:tblPrEx>
          <w:tblCellMar>
            <w:top w:w="0" w:type="dxa"/>
            <w:left w:w="108" w:type="dxa"/>
            <w:bottom w:w="0" w:type="dxa"/>
            <w:right w:w="108" w:type="dxa"/>
          </w:tblCellMar>
        </w:tblPrEx>
        <w:trPr>
          <w:trHeight w:val="595" w:hRule="atLeast"/>
        </w:trPr>
        <w:tc>
          <w:tcPr>
            <w:tcW w:w="439" w:type="pct"/>
            <w:tcBorders>
              <w:top w:val="single" w:color="auto" w:sz="4" w:space="0"/>
              <w:left w:val="single" w:color="auto" w:sz="4" w:space="0"/>
              <w:bottom w:val="single" w:color="auto" w:sz="4" w:space="0"/>
              <w:right w:val="single" w:color="auto" w:sz="4" w:space="0"/>
            </w:tcBorders>
            <w:vAlign w:val="center"/>
          </w:tcPr>
          <w:p w14:paraId="0914FA3E">
            <w:pPr>
              <w:autoSpaceDE w:val="0"/>
              <w:autoSpaceDN w:val="0"/>
              <w:adjustRightInd w:val="0"/>
              <w:spacing w:line="360" w:lineRule="auto"/>
              <w:jc w:val="center"/>
              <w:rPr>
                <w:rFonts w:hint="eastAsia" w:ascii="仿宋" w:hAnsi="仿宋" w:eastAsia="仿宋" w:cs="仿宋"/>
                <w:b/>
                <w:bCs/>
                <w:color w:val="auto"/>
                <w:kern w:val="0"/>
                <w:sz w:val="24"/>
                <w:szCs w:val="24"/>
                <w:highlight w:val="none"/>
              </w:rPr>
            </w:pPr>
            <w:bookmarkStart w:id="74" w:name="_Toc260172641"/>
            <w:bookmarkStart w:id="75" w:name="_Toc262675308"/>
            <w:r>
              <w:rPr>
                <w:rFonts w:hint="eastAsia" w:ascii="仿宋" w:hAnsi="仿宋" w:eastAsia="仿宋" w:cs="仿宋"/>
                <w:b/>
                <w:bCs/>
                <w:color w:val="auto"/>
                <w:kern w:val="0"/>
                <w:sz w:val="24"/>
                <w:szCs w:val="24"/>
                <w:highlight w:val="none"/>
              </w:rPr>
              <w:t>条款号</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2F2A3999">
            <w:pPr>
              <w:autoSpaceDE w:val="0"/>
              <w:autoSpaceDN w:val="0"/>
              <w:adjustRightInd w:val="0"/>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条款名称</w:t>
            </w:r>
          </w:p>
        </w:tc>
        <w:tc>
          <w:tcPr>
            <w:tcW w:w="3596" w:type="pct"/>
            <w:tcBorders>
              <w:top w:val="single" w:color="auto" w:sz="4" w:space="0"/>
              <w:left w:val="single" w:color="auto" w:sz="4" w:space="0"/>
              <w:bottom w:val="single" w:color="auto" w:sz="4" w:space="0"/>
              <w:right w:val="single" w:color="auto" w:sz="4" w:space="0"/>
            </w:tcBorders>
            <w:vAlign w:val="center"/>
          </w:tcPr>
          <w:p w14:paraId="71595281">
            <w:pPr>
              <w:autoSpaceDE w:val="0"/>
              <w:autoSpaceDN w:val="0"/>
              <w:adjustRightInd w:val="0"/>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编列内容</w:t>
            </w:r>
          </w:p>
        </w:tc>
      </w:tr>
      <w:tr w14:paraId="58CBCD2C">
        <w:tblPrEx>
          <w:tblCellMar>
            <w:top w:w="0" w:type="dxa"/>
            <w:left w:w="108" w:type="dxa"/>
            <w:bottom w:w="0" w:type="dxa"/>
            <w:right w:w="108" w:type="dxa"/>
          </w:tblCellMar>
        </w:tblPrEx>
        <w:trPr>
          <w:trHeight w:val="90" w:hRule="atLeast"/>
        </w:trPr>
        <w:tc>
          <w:tcPr>
            <w:tcW w:w="439" w:type="pct"/>
            <w:tcBorders>
              <w:top w:val="single" w:color="auto" w:sz="4" w:space="0"/>
              <w:left w:val="single" w:color="auto" w:sz="4" w:space="0"/>
              <w:bottom w:val="single" w:color="auto" w:sz="4" w:space="0"/>
              <w:right w:val="single" w:color="auto" w:sz="4" w:space="0"/>
            </w:tcBorders>
            <w:vAlign w:val="center"/>
          </w:tcPr>
          <w:p w14:paraId="4A0A64B0">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1.1.2</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6FE2A49B">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w:t>
            </w:r>
          </w:p>
        </w:tc>
        <w:tc>
          <w:tcPr>
            <w:tcW w:w="3596" w:type="pct"/>
            <w:tcBorders>
              <w:top w:val="single" w:color="auto" w:sz="4" w:space="0"/>
              <w:left w:val="single" w:color="auto" w:sz="4" w:space="0"/>
              <w:bottom w:val="single" w:color="auto" w:sz="4" w:space="0"/>
              <w:right w:val="single" w:color="auto" w:sz="4" w:space="0"/>
            </w:tcBorders>
            <w:vAlign w:val="center"/>
          </w:tcPr>
          <w:p w14:paraId="49DFF1E3">
            <w:pPr>
              <w:spacing w:line="46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采 购 人：普洱市动物疫病预防控制中心　　　　　　　　</w:t>
            </w:r>
          </w:p>
          <w:p w14:paraId="38C48EFF">
            <w:pPr>
              <w:spacing w:line="46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联系地址：普洱市思茅区普洱人家西北门（原老农校内）　　　　　　</w:t>
            </w:r>
          </w:p>
          <w:p w14:paraId="45B98C97">
            <w:pPr>
              <w:spacing w:line="460" w:lineRule="exact"/>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联系方式：李老师</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0879-2828205</w:t>
            </w:r>
          </w:p>
        </w:tc>
      </w:tr>
      <w:tr w14:paraId="216CA024">
        <w:tblPrEx>
          <w:tblCellMar>
            <w:top w:w="0" w:type="dxa"/>
            <w:left w:w="108" w:type="dxa"/>
            <w:bottom w:w="0" w:type="dxa"/>
            <w:right w:w="108" w:type="dxa"/>
          </w:tblCellMar>
        </w:tblPrEx>
        <w:trPr>
          <w:trHeight w:val="1213" w:hRule="atLeast"/>
        </w:trPr>
        <w:tc>
          <w:tcPr>
            <w:tcW w:w="439" w:type="pct"/>
            <w:tcBorders>
              <w:top w:val="single" w:color="auto" w:sz="4" w:space="0"/>
              <w:left w:val="single" w:color="auto" w:sz="4" w:space="0"/>
              <w:bottom w:val="single" w:color="auto" w:sz="4" w:space="0"/>
              <w:right w:val="single" w:color="auto" w:sz="4" w:space="0"/>
            </w:tcBorders>
            <w:vAlign w:val="center"/>
          </w:tcPr>
          <w:p w14:paraId="2DB741B4">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74E0BC8F">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采购代理机构</w:t>
            </w:r>
          </w:p>
        </w:tc>
        <w:tc>
          <w:tcPr>
            <w:tcW w:w="3596" w:type="pct"/>
            <w:tcBorders>
              <w:top w:val="single" w:color="auto" w:sz="4" w:space="0"/>
              <w:left w:val="single" w:color="auto" w:sz="4" w:space="0"/>
              <w:bottom w:val="single" w:color="auto" w:sz="4" w:space="0"/>
              <w:right w:val="single" w:color="auto" w:sz="4" w:space="0"/>
            </w:tcBorders>
            <w:vAlign w:val="top"/>
          </w:tcPr>
          <w:p w14:paraId="125600B9">
            <w:pPr>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名    称：云南恪遵项目管理有限公司</w:t>
            </w:r>
          </w:p>
          <w:p w14:paraId="3DF249FB">
            <w:pPr>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联系地址：普洱市思茅区碧桂园溪台1幢1-2层101室</w:t>
            </w:r>
          </w:p>
          <w:p w14:paraId="0B3FEC55">
            <w:pPr>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联系</w:t>
            </w:r>
            <w:r>
              <w:rPr>
                <w:rFonts w:hint="eastAsia" w:ascii="仿宋" w:hAnsi="仿宋" w:eastAsia="仿宋" w:cs="仿宋"/>
                <w:color w:val="auto"/>
                <w:sz w:val="24"/>
                <w:szCs w:val="24"/>
                <w:highlight w:val="none"/>
                <w:lang w:val="zh-CN" w:eastAsia="zh-CN"/>
              </w:rPr>
              <w:t>方式</w:t>
            </w:r>
            <w:r>
              <w:rPr>
                <w:rFonts w:hint="eastAsia" w:ascii="仿宋" w:hAnsi="仿宋" w:eastAsia="仿宋" w:cs="仿宋"/>
                <w:color w:val="auto"/>
                <w:sz w:val="24"/>
                <w:szCs w:val="24"/>
                <w:highlight w:val="none"/>
                <w:lang w:eastAsia="zh-CN"/>
              </w:rPr>
              <w:t xml:space="preserve">：吴发敏，0879-3013333                   </w:t>
            </w:r>
          </w:p>
        </w:tc>
      </w:tr>
      <w:tr w14:paraId="01E41E9A">
        <w:tblPrEx>
          <w:tblCellMar>
            <w:top w:w="0" w:type="dxa"/>
            <w:left w:w="108" w:type="dxa"/>
            <w:bottom w:w="0" w:type="dxa"/>
            <w:right w:w="108" w:type="dxa"/>
          </w:tblCellMar>
        </w:tblPrEx>
        <w:trPr>
          <w:trHeight w:val="330" w:hRule="atLeast"/>
        </w:trPr>
        <w:tc>
          <w:tcPr>
            <w:tcW w:w="439" w:type="pct"/>
            <w:tcBorders>
              <w:top w:val="single" w:color="auto" w:sz="4" w:space="0"/>
              <w:left w:val="single" w:color="auto" w:sz="4" w:space="0"/>
              <w:bottom w:val="single" w:color="auto" w:sz="4" w:space="0"/>
              <w:right w:val="single" w:color="auto" w:sz="4" w:space="0"/>
            </w:tcBorders>
            <w:vAlign w:val="center"/>
          </w:tcPr>
          <w:p w14:paraId="13D6F776">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1.1.4</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3BE10645">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项目名称</w:t>
            </w:r>
          </w:p>
        </w:tc>
        <w:tc>
          <w:tcPr>
            <w:tcW w:w="3596" w:type="pct"/>
            <w:tcBorders>
              <w:top w:val="single" w:color="auto" w:sz="4" w:space="0"/>
              <w:left w:val="single" w:color="auto" w:sz="4" w:space="0"/>
              <w:bottom w:val="single" w:color="auto" w:sz="4" w:space="0"/>
              <w:right w:val="single" w:color="auto" w:sz="4" w:space="0"/>
            </w:tcBorders>
            <w:vAlign w:val="top"/>
          </w:tcPr>
          <w:p w14:paraId="75BF1B2A">
            <w:pPr>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普洱市动物疫病预防控制中心2026年中央农业防灾和水利救灾资金(动物防疫补助)(第二次)采购项目 </w:t>
            </w:r>
          </w:p>
        </w:tc>
      </w:tr>
      <w:tr w14:paraId="097F837A">
        <w:tblPrEx>
          <w:tblCellMar>
            <w:top w:w="0" w:type="dxa"/>
            <w:left w:w="108" w:type="dxa"/>
            <w:bottom w:w="0" w:type="dxa"/>
            <w:right w:w="108" w:type="dxa"/>
          </w:tblCellMar>
        </w:tblPrEx>
        <w:trPr>
          <w:trHeight w:val="458" w:hRule="atLeast"/>
        </w:trPr>
        <w:tc>
          <w:tcPr>
            <w:tcW w:w="439" w:type="pct"/>
            <w:tcBorders>
              <w:top w:val="single" w:color="auto" w:sz="4" w:space="0"/>
              <w:left w:val="single" w:color="auto" w:sz="4" w:space="0"/>
              <w:bottom w:val="single" w:color="auto" w:sz="4" w:space="0"/>
              <w:right w:val="single" w:color="auto" w:sz="4" w:space="0"/>
            </w:tcBorders>
            <w:vAlign w:val="center"/>
          </w:tcPr>
          <w:p w14:paraId="030150AF">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1.1.5</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188BDB1F">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标段</w:t>
            </w:r>
          </w:p>
        </w:tc>
        <w:tc>
          <w:tcPr>
            <w:tcW w:w="3596" w:type="pct"/>
            <w:tcBorders>
              <w:top w:val="single" w:color="auto" w:sz="4" w:space="0"/>
              <w:left w:val="single" w:color="auto" w:sz="4" w:space="0"/>
              <w:bottom w:val="single" w:color="auto" w:sz="4" w:space="0"/>
              <w:right w:val="single" w:color="auto" w:sz="4" w:space="0"/>
            </w:tcBorders>
            <w:vAlign w:val="top"/>
          </w:tcPr>
          <w:p w14:paraId="576EE37C">
            <w:pPr>
              <w:autoSpaceDE w:val="0"/>
              <w:autoSpaceDN w:val="0"/>
              <w:adjustRightInd w:val="0"/>
              <w:spacing w:line="360" w:lineRule="auto"/>
              <w:outlineLvl w:val="0"/>
              <w:rPr>
                <w:rFonts w:hint="eastAsia" w:ascii="仿宋" w:hAnsi="仿宋" w:eastAsia="仿宋" w:cs="仿宋"/>
                <w:bCs/>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rPr>
              <w:t>本次招标为其中的一标段。</w:t>
            </w:r>
          </w:p>
        </w:tc>
      </w:tr>
      <w:tr w14:paraId="1AD0B6FE">
        <w:tblPrEx>
          <w:tblCellMar>
            <w:top w:w="0" w:type="dxa"/>
            <w:left w:w="108" w:type="dxa"/>
            <w:bottom w:w="0" w:type="dxa"/>
            <w:right w:w="108" w:type="dxa"/>
          </w:tblCellMar>
        </w:tblPrEx>
        <w:trPr>
          <w:trHeight w:val="458" w:hRule="atLeast"/>
        </w:trPr>
        <w:tc>
          <w:tcPr>
            <w:tcW w:w="439" w:type="pct"/>
            <w:tcBorders>
              <w:top w:val="single" w:color="auto" w:sz="4" w:space="0"/>
              <w:left w:val="single" w:color="auto" w:sz="4" w:space="0"/>
              <w:bottom w:val="single" w:color="auto" w:sz="4" w:space="0"/>
              <w:right w:val="single" w:color="auto" w:sz="4" w:space="0"/>
            </w:tcBorders>
            <w:vAlign w:val="center"/>
          </w:tcPr>
          <w:p w14:paraId="115CAEFC">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1.1.6</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7E03BB65">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项目地点</w:t>
            </w:r>
          </w:p>
        </w:tc>
        <w:tc>
          <w:tcPr>
            <w:tcW w:w="3596" w:type="pct"/>
            <w:tcBorders>
              <w:top w:val="single" w:color="auto" w:sz="4" w:space="0"/>
              <w:left w:val="single" w:color="auto" w:sz="4" w:space="0"/>
              <w:bottom w:val="single" w:color="auto" w:sz="4" w:space="0"/>
              <w:right w:val="single" w:color="auto" w:sz="4" w:space="0"/>
            </w:tcBorders>
            <w:vAlign w:val="top"/>
          </w:tcPr>
          <w:p w14:paraId="67C298F8">
            <w:pPr>
              <w:autoSpaceDE w:val="0"/>
              <w:autoSpaceDN w:val="0"/>
              <w:adjustRightInd w:val="0"/>
              <w:spacing w:line="360" w:lineRule="auto"/>
              <w:outlineLvl w:val="0"/>
              <w:rPr>
                <w:rFonts w:hint="eastAsia" w:ascii="仿宋" w:hAnsi="仿宋" w:eastAsia="仿宋" w:cs="仿宋"/>
                <w:bCs/>
                <w:color w:val="auto"/>
                <w:sz w:val="24"/>
                <w:szCs w:val="24"/>
                <w:highlight w:val="none"/>
                <w:lang w:val="zh-CN" w:bidi="ar"/>
              </w:rPr>
            </w:pPr>
            <w:bookmarkStart w:id="76" w:name="_Toc6029"/>
            <w:r>
              <w:rPr>
                <w:rFonts w:hint="eastAsia" w:ascii="仿宋" w:hAnsi="仿宋" w:eastAsia="仿宋" w:cs="仿宋"/>
                <w:bCs/>
                <w:color w:val="auto"/>
                <w:sz w:val="24"/>
                <w:szCs w:val="24"/>
                <w:highlight w:val="none"/>
                <w:lang w:val="en-US" w:eastAsia="zh-CN"/>
              </w:rPr>
              <w:t>普洱市动物疫病预防控制中心</w:t>
            </w:r>
            <w:r>
              <w:rPr>
                <w:rFonts w:hint="eastAsia" w:ascii="仿宋" w:hAnsi="仿宋" w:eastAsia="仿宋" w:cs="仿宋"/>
                <w:bCs/>
                <w:color w:val="auto"/>
                <w:sz w:val="24"/>
                <w:szCs w:val="24"/>
                <w:highlight w:val="none"/>
                <w:lang w:bidi="ar"/>
              </w:rPr>
              <w:t>（按采购人要求执行）</w:t>
            </w:r>
            <w:bookmarkEnd w:id="76"/>
          </w:p>
        </w:tc>
      </w:tr>
      <w:tr w14:paraId="69B98A9F">
        <w:tblPrEx>
          <w:tblCellMar>
            <w:top w:w="0" w:type="dxa"/>
            <w:left w:w="108" w:type="dxa"/>
            <w:bottom w:w="0" w:type="dxa"/>
            <w:right w:w="108" w:type="dxa"/>
          </w:tblCellMar>
        </w:tblPrEx>
        <w:trPr>
          <w:trHeight w:val="458" w:hRule="atLeast"/>
        </w:trPr>
        <w:tc>
          <w:tcPr>
            <w:tcW w:w="439" w:type="pct"/>
            <w:tcBorders>
              <w:top w:val="single" w:color="auto" w:sz="4" w:space="0"/>
              <w:left w:val="single" w:color="auto" w:sz="4" w:space="0"/>
              <w:bottom w:val="single" w:color="auto" w:sz="4" w:space="0"/>
              <w:right w:val="single" w:color="auto" w:sz="4" w:space="0"/>
            </w:tcBorders>
            <w:vAlign w:val="center"/>
          </w:tcPr>
          <w:p w14:paraId="5A06AD46">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1.2.1</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097A12E9">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资金来源</w:t>
            </w:r>
          </w:p>
        </w:tc>
        <w:tc>
          <w:tcPr>
            <w:tcW w:w="3596" w:type="pct"/>
            <w:tcBorders>
              <w:top w:val="single" w:color="auto" w:sz="4" w:space="0"/>
              <w:left w:val="single" w:color="auto" w:sz="4" w:space="0"/>
              <w:bottom w:val="single" w:color="auto" w:sz="4" w:space="0"/>
              <w:right w:val="single" w:color="auto" w:sz="4" w:space="0"/>
            </w:tcBorders>
            <w:vAlign w:val="top"/>
          </w:tcPr>
          <w:p w14:paraId="10499C07">
            <w:pPr>
              <w:autoSpaceDE w:val="0"/>
              <w:autoSpaceDN w:val="0"/>
              <w:adjustRightInd w:val="0"/>
              <w:spacing w:line="360" w:lineRule="auto"/>
              <w:outlineLvl w:val="0"/>
              <w:rPr>
                <w:rFonts w:hint="eastAsia" w:ascii="仿宋" w:hAnsi="仿宋" w:eastAsia="仿宋" w:cs="仿宋"/>
                <w:bCs/>
                <w:color w:val="auto"/>
                <w:sz w:val="24"/>
                <w:szCs w:val="24"/>
                <w:highlight w:val="none"/>
                <w:lang w:val="zh-CN" w:bidi="ar"/>
              </w:rPr>
            </w:pPr>
            <w:bookmarkStart w:id="77" w:name="_Toc17228"/>
            <w:r>
              <w:rPr>
                <w:rFonts w:hint="eastAsia" w:ascii="仿宋" w:hAnsi="仿宋" w:eastAsia="仿宋" w:cs="仿宋"/>
                <w:bCs/>
                <w:color w:val="auto"/>
                <w:sz w:val="24"/>
                <w:szCs w:val="24"/>
                <w:highlight w:val="none"/>
                <w:lang w:val="en-US" w:eastAsia="zh-CN" w:bidi="ar"/>
              </w:rPr>
              <w:t>财政</w:t>
            </w:r>
            <w:r>
              <w:rPr>
                <w:rFonts w:hint="eastAsia" w:ascii="仿宋" w:hAnsi="仿宋" w:eastAsia="仿宋" w:cs="仿宋"/>
                <w:bCs/>
                <w:color w:val="auto"/>
                <w:sz w:val="24"/>
                <w:szCs w:val="24"/>
                <w:highlight w:val="none"/>
                <w:lang w:val="zh-CN" w:bidi="ar"/>
              </w:rPr>
              <w:t>资金</w:t>
            </w:r>
            <w:bookmarkEnd w:id="77"/>
          </w:p>
        </w:tc>
      </w:tr>
      <w:tr w14:paraId="22B5022C">
        <w:tblPrEx>
          <w:tblCellMar>
            <w:top w:w="0" w:type="dxa"/>
            <w:left w:w="108" w:type="dxa"/>
            <w:bottom w:w="0" w:type="dxa"/>
            <w:right w:w="108" w:type="dxa"/>
          </w:tblCellMar>
        </w:tblPrEx>
        <w:trPr>
          <w:trHeight w:val="458" w:hRule="atLeast"/>
        </w:trPr>
        <w:tc>
          <w:tcPr>
            <w:tcW w:w="439" w:type="pct"/>
            <w:tcBorders>
              <w:top w:val="single" w:color="auto" w:sz="4" w:space="0"/>
              <w:left w:val="single" w:color="auto" w:sz="4" w:space="0"/>
              <w:bottom w:val="single" w:color="auto" w:sz="4" w:space="0"/>
              <w:right w:val="single" w:color="auto" w:sz="4" w:space="0"/>
            </w:tcBorders>
            <w:vAlign w:val="center"/>
          </w:tcPr>
          <w:p w14:paraId="79600496">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1.2.2</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2ABA2C76">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资金落实情况</w:t>
            </w:r>
          </w:p>
        </w:tc>
        <w:tc>
          <w:tcPr>
            <w:tcW w:w="3596" w:type="pct"/>
            <w:tcBorders>
              <w:top w:val="single" w:color="auto" w:sz="4" w:space="0"/>
              <w:left w:val="single" w:color="auto" w:sz="4" w:space="0"/>
              <w:bottom w:val="single" w:color="auto" w:sz="4" w:space="0"/>
              <w:right w:val="single" w:color="auto" w:sz="4" w:space="0"/>
            </w:tcBorders>
            <w:vAlign w:val="top"/>
          </w:tcPr>
          <w:p w14:paraId="47862512">
            <w:pPr>
              <w:autoSpaceDE w:val="0"/>
              <w:autoSpaceDN w:val="0"/>
              <w:adjustRightInd w:val="0"/>
              <w:spacing w:line="360" w:lineRule="auto"/>
              <w:outlineLvl w:val="0"/>
              <w:rPr>
                <w:rFonts w:hint="eastAsia" w:ascii="仿宋" w:hAnsi="仿宋" w:eastAsia="仿宋" w:cs="仿宋"/>
                <w:bCs/>
                <w:color w:val="auto"/>
                <w:sz w:val="24"/>
                <w:szCs w:val="24"/>
                <w:highlight w:val="none"/>
                <w:lang w:val="zh-CN" w:bidi="ar"/>
              </w:rPr>
            </w:pPr>
            <w:bookmarkStart w:id="78" w:name="_Toc1055"/>
            <w:r>
              <w:rPr>
                <w:rFonts w:hint="eastAsia" w:ascii="仿宋" w:hAnsi="仿宋" w:eastAsia="仿宋" w:cs="仿宋"/>
                <w:bCs/>
                <w:color w:val="auto"/>
                <w:sz w:val="24"/>
                <w:szCs w:val="24"/>
                <w:highlight w:val="none"/>
                <w:lang w:val="zh-CN" w:bidi="ar"/>
              </w:rPr>
              <w:t>已落实</w:t>
            </w:r>
            <w:bookmarkEnd w:id="78"/>
          </w:p>
        </w:tc>
      </w:tr>
      <w:tr w14:paraId="7D03B7C6">
        <w:tblPrEx>
          <w:tblCellMar>
            <w:top w:w="0" w:type="dxa"/>
            <w:left w:w="108" w:type="dxa"/>
            <w:bottom w:w="0" w:type="dxa"/>
            <w:right w:w="108" w:type="dxa"/>
          </w:tblCellMar>
        </w:tblPrEx>
        <w:trPr>
          <w:trHeight w:val="1280" w:hRule="atLeast"/>
        </w:trPr>
        <w:tc>
          <w:tcPr>
            <w:tcW w:w="439" w:type="pct"/>
            <w:tcBorders>
              <w:top w:val="single" w:color="auto" w:sz="4" w:space="0"/>
              <w:left w:val="single" w:color="auto" w:sz="4" w:space="0"/>
              <w:bottom w:val="single" w:color="auto" w:sz="4" w:space="0"/>
              <w:right w:val="single" w:color="auto" w:sz="4" w:space="0"/>
            </w:tcBorders>
            <w:vAlign w:val="center"/>
          </w:tcPr>
          <w:p w14:paraId="78F13874">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1.3.1</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30C754EC">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招标范围</w:t>
            </w:r>
          </w:p>
        </w:tc>
        <w:tc>
          <w:tcPr>
            <w:tcW w:w="3596" w:type="pct"/>
            <w:tcBorders>
              <w:top w:val="single" w:color="auto" w:sz="4" w:space="0"/>
              <w:left w:val="single" w:color="auto" w:sz="4" w:space="0"/>
              <w:bottom w:val="single" w:color="auto" w:sz="4" w:space="0"/>
              <w:right w:val="single" w:color="auto" w:sz="4" w:space="0"/>
            </w:tcBorders>
            <w:vAlign w:val="center"/>
          </w:tcPr>
          <w:p w14:paraId="65B148E3">
            <w:pPr>
              <w:autoSpaceDE w:val="0"/>
              <w:autoSpaceDN w:val="0"/>
              <w:adjustRightInd w:val="0"/>
              <w:spacing w:line="360" w:lineRule="auto"/>
              <w:outlineLvl w:val="0"/>
              <w:rPr>
                <w:rFonts w:hint="eastAsia" w:ascii="仿宋" w:hAnsi="仿宋" w:eastAsia="仿宋" w:cs="仿宋"/>
                <w:bCs/>
                <w:color w:val="auto"/>
                <w:sz w:val="24"/>
                <w:szCs w:val="24"/>
                <w:highlight w:val="none"/>
                <w:lang w:val="zh-CN" w:bidi="ar"/>
              </w:rPr>
            </w:pPr>
            <w:bookmarkStart w:id="79" w:name="_Toc22783"/>
            <w:bookmarkStart w:id="80" w:name="_Toc17034176"/>
            <w:bookmarkStart w:id="81" w:name="_Toc27748"/>
            <w:bookmarkStart w:id="82" w:name="_Toc17040724"/>
            <w:bookmarkStart w:id="83" w:name="_Toc17040964"/>
            <w:bookmarkStart w:id="84" w:name="_Toc17040845"/>
            <w:r>
              <w:rPr>
                <w:rFonts w:hint="eastAsia" w:ascii="仿宋" w:hAnsi="仿宋" w:eastAsia="仿宋" w:cs="仿宋"/>
                <w:bCs/>
                <w:color w:val="auto"/>
                <w:sz w:val="24"/>
                <w:szCs w:val="24"/>
                <w:highlight w:val="none"/>
                <w:lang w:bidi="ar"/>
              </w:rPr>
              <w:t>详见“</w:t>
            </w:r>
            <w:r>
              <w:rPr>
                <w:rFonts w:hint="eastAsia" w:ascii="仿宋" w:hAnsi="仿宋" w:eastAsia="仿宋" w:cs="仿宋"/>
                <w:bCs/>
                <w:color w:val="auto"/>
                <w:sz w:val="24"/>
                <w:szCs w:val="24"/>
                <w:highlight w:val="none"/>
                <w:lang w:val="zh-CN" w:bidi="ar"/>
              </w:rPr>
              <w:t>第五章 项目内容”</w:t>
            </w:r>
            <w:bookmarkEnd w:id="79"/>
            <w:bookmarkStart w:id="85" w:name="_Toc5602"/>
            <w:r>
              <w:rPr>
                <w:rFonts w:hint="eastAsia" w:ascii="仿宋" w:hAnsi="仿宋" w:eastAsia="仿宋" w:cs="仿宋"/>
                <w:bCs/>
                <w:color w:val="auto"/>
                <w:sz w:val="24"/>
                <w:szCs w:val="24"/>
                <w:highlight w:val="none"/>
                <w:lang w:val="zh-CN" w:bidi="ar"/>
              </w:rPr>
              <w:t>。投标人须按项目采购内容作出完整唯一的投标报价，不得缺项、漏项，否则其投标无效。</w:t>
            </w:r>
            <w:bookmarkEnd w:id="80"/>
            <w:bookmarkEnd w:id="81"/>
            <w:bookmarkEnd w:id="82"/>
            <w:bookmarkEnd w:id="83"/>
            <w:bookmarkEnd w:id="84"/>
            <w:bookmarkEnd w:id="85"/>
          </w:p>
        </w:tc>
      </w:tr>
      <w:tr w14:paraId="49716C91">
        <w:tblPrEx>
          <w:tblCellMar>
            <w:top w:w="0" w:type="dxa"/>
            <w:left w:w="108" w:type="dxa"/>
            <w:bottom w:w="0" w:type="dxa"/>
            <w:right w:w="108" w:type="dxa"/>
          </w:tblCellMar>
        </w:tblPrEx>
        <w:trPr>
          <w:trHeight w:val="679" w:hRule="atLeast"/>
        </w:trPr>
        <w:tc>
          <w:tcPr>
            <w:tcW w:w="439" w:type="pct"/>
            <w:tcBorders>
              <w:top w:val="single" w:color="auto" w:sz="4" w:space="0"/>
              <w:left w:val="single" w:color="auto" w:sz="4" w:space="0"/>
              <w:bottom w:val="single" w:color="auto" w:sz="4" w:space="0"/>
              <w:right w:val="single" w:color="auto" w:sz="4" w:space="0"/>
            </w:tcBorders>
            <w:vAlign w:val="center"/>
          </w:tcPr>
          <w:p w14:paraId="3283640F">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1.3.2</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19BA6073">
            <w:pPr>
              <w:autoSpaceDE w:val="0"/>
              <w:autoSpaceDN w:val="0"/>
              <w:adjustRightInd w:val="0"/>
              <w:spacing w:line="360" w:lineRule="auto"/>
              <w:jc w:val="center"/>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合同履约期限</w:t>
            </w:r>
          </w:p>
        </w:tc>
        <w:tc>
          <w:tcPr>
            <w:tcW w:w="3596" w:type="pct"/>
            <w:tcBorders>
              <w:top w:val="single" w:color="auto" w:sz="4" w:space="0"/>
              <w:left w:val="single" w:color="auto" w:sz="4" w:space="0"/>
              <w:bottom w:val="single" w:color="auto" w:sz="4" w:space="0"/>
              <w:right w:val="single" w:color="auto" w:sz="4" w:space="0"/>
            </w:tcBorders>
            <w:vAlign w:val="center"/>
          </w:tcPr>
          <w:p w14:paraId="03AC1A28">
            <w:pP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供完采购金额同等价值货物</w:t>
            </w:r>
            <w:r>
              <w:rPr>
                <w:rFonts w:hint="eastAsia" w:ascii="仿宋" w:hAnsi="仿宋" w:eastAsia="仿宋" w:cs="仿宋"/>
                <w:b w:val="0"/>
                <w:bCs w:val="0"/>
                <w:i w:val="0"/>
                <w:caps w:val="0"/>
                <w:color w:val="auto"/>
                <w:spacing w:val="0"/>
                <w:kern w:val="0"/>
                <w:sz w:val="24"/>
                <w:szCs w:val="24"/>
                <w:highlight w:val="none"/>
                <w:shd w:val="clear" w:color="auto" w:fill="FFFFFF"/>
                <w:lang w:val="en-US" w:eastAsia="zh-CN" w:bidi="ar"/>
              </w:rPr>
              <w:t>为止</w:t>
            </w:r>
            <w:r>
              <w:rPr>
                <w:rFonts w:hint="eastAsia" w:ascii="仿宋" w:hAnsi="仿宋" w:eastAsia="仿宋" w:cs="仿宋"/>
                <w:b w:val="0"/>
                <w:bCs w:val="0"/>
                <w:color w:val="auto"/>
                <w:sz w:val="24"/>
                <w:szCs w:val="24"/>
                <w:highlight w:val="none"/>
              </w:rPr>
              <w:t>。</w:t>
            </w:r>
          </w:p>
        </w:tc>
      </w:tr>
      <w:tr w14:paraId="3454B4AE">
        <w:tblPrEx>
          <w:tblCellMar>
            <w:top w:w="0" w:type="dxa"/>
            <w:left w:w="108" w:type="dxa"/>
            <w:bottom w:w="0" w:type="dxa"/>
            <w:right w:w="108" w:type="dxa"/>
          </w:tblCellMar>
        </w:tblPrEx>
        <w:trPr>
          <w:trHeight w:val="676" w:hRule="atLeast"/>
        </w:trPr>
        <w:tc>
          <w:tcPr>
            <w:tcW w:w="439" w:type="pct"/>
            <w:tcBorders>
              <w:top w:val="single" w:color="auto" w:sz="4" w:space="0"/>
              <w:left w:val="single" w:color="auto" w:sz="4" w:space="0"/>
              <w:bottom w:val="single" w:color="auto" w:sz="4" w:space="0"/>
              <w:right w:val="single" w:color="auto" w:sz="4" w:space="0"/>
            </w:tcBorders>
            <w:vAlign w:val="center"/>
          </w:tcPr>
          <w:p w14:paraId="5AE6A92C">
            <w:pPr>
              <w:autoSpaceDE w:val="0"/>
              <w:autoSpaceDN w:val="0"/>
              <w:adjustRightIn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1.3.3</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29C73536">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质量标准</w:t>
            </w:r>
          </w:p>
        </w:tc>
        <w:tc>
          <w:tcPr>
            <w:tcW w:w="3596" w:type="pct"/>
            <w:tcBorders>
              <w:top w:val="single" w:color="auto" w:sz="4" w:space="0"/>
              <w:left w:val="single" w:color="auto" w:sz="4" w:space="0"/>
              <w:bottom w:val="single" w:color="auto" w:sz="4" w:space="0"/>
              <w:right w:val="single" w:color="auto" w:sz="4" w:space="0"/>
            </w:tcBorders>
            <w:vAlign w:val="center"/>
          </w:tcPr>
          <w:p w14:paraId="7F40C1E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满足现行国家强制标准，</w:t>
            </w:r>
            <w:r>
              <w:rPr>
                <w:rFonts w:hint="eastAsia" w:ascii="仿宋" w:hAnsi="仿宋" w:eastAsia="仿宋" w:cs="仿宋"/>
                <w:color w:val="auto"/>
                <w:sz w:val="24"/>
                <w:szCs w:val="24"/>
                <w:highlight w:val="none"/>
                <w:lang w:val="en-US" w:eastAsia="zh-CN"/>
              </w:rPr>
              <w:t>且</w:t>
            </w:r>
            <w:r>
              <w:rPr>
                <w:rFonts w:hint="eastAsia" w:ascii="仿宋" w:hAnsi="仿宋" w:eastAsia="仿宋" w:cs="仿宋"/>
                <w:color w:val="auto"/>
                <w:sz w:val="24"/>
                <w:szCs w:val="24"/>
                <w:highlight w:val="none"/>
              </w:rPr>
              <w:t>验收合格。</w:t>
            </w:r>
          </w:p>
        </w:tc>
      </w:tr>
      <w:tr w14:paraId="712C78DC">
        <w:tblPrEx>
          <w:tblCellMar>
            <w:top w:w="0" w:type="dxa"/>
            <w:left w:w="108" w:type="dxa"/>
            <w:bottom w:w="0" w:type="dxa"/>
            <w:right w:w="108" w:type="dxa"/>
          </w:tblCellMar>
        </w:tblPrEx>
        <w:trPr>
          <w:trHeight w:val="404" w:hRule="atLeast"/>
        </w:trPr>
        <w:tc>
          <w:tcPr>
            <w:tcW w:w="439" w:type="pct"/>
            <w:tcBorders>
              <w:top w:val="single" w:color="auto" w:sz="4" w:space="0"/>
              <w:left w:val="single" w:color="auto" w:sz="4" w:space="0"/>
              <w:bottom w:val="single" w:color="auto" w:sz="4" w:space="0"/>
              <w:right w:val="single" w:color="auto" w:sz="4" w:space="0"/>
            </w:tcBorders>
            <w:vAlign w:val="center"/>
          </w:tcPr>
          <w:p w14:paraId="0A1291D6">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1.4.1</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68349836">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投标人资格要求</w:t>
            </w:r>
          </w:p>
        </w:tc>
        <w:tc>
          <w:tcPr>
            <w:tcW w:w="3596" w:type="pct"/>
            <w:tcBorders>
              <w:top w:val="single" w:color="auto" w:sz="4" w:space="0"/>
              <w:left w:val="single" w:color="auto" w:sz="4" w:space="0"/>
              <w:bottom w:val="single" w:color="auto" w:sz="4" w:space="0"/>
              <w:right w:val="single" w:color="auto" w:sz="4" w:space="0"/>
            </w:tcBorders>
            <w:vAlign w:val="center"/>
          </w:tcPr>
          <w:p w14:paraId="6FD214C1">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1.投标人应符合《中华人民共和国政府采购法》第二十二条及《中华人民共和国政府采购法实施条例》第十七条的要求：</w:t>
            </w:r>
          </w:p>
          <w:p w14:paraId="14AC70F4">
            <w:pPr>
              <w:spacing w:after="50" w:line="360" w:lineRule="auto"/>
              <w:ind w:right="-1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1.1具有独立承担民事责任的能力</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投标人为企业（包括合伙企业）的，应提供有效的营业执照；（2）投标人为事业单位的，应提供有效的事业单位法人证书；（3）投标人是非企业机构的，应提供有效的执业许可证或登记证书等证明文件；（4）投标人是个体工商户的，应提供有效的个体工商户营业执照；（5）投标人是自然人的，应提供有效的自然人身份证明；】；</w:t>
            </w:r>
          </w:p>
          <w:p w14:paraId="0EBED686">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1.2具有良好的商业信誉和健全的财务会计制度（提供承诺函）。</w:t>
            </w:r>
          </w:p>
          <w:p w14:paraId="043D5C70">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1.3提供依法缴纳税收和缴纳社会保障资金承诺函或依法免缴税费的证明。</w:t>
            </w:r>
          </w:p>
          <w:p w14:paraId="569959AC">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1.4具有履行合同所必需的设备和专业技术能力（提供承诺函）及相关证明材料。</w:t>
            </w:r>
          </w:p>
          <w:p w14:paraId="6FEECC51">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1.5参与本次政府采购活动前三年内，在经营活动中没有重大违法记录，提供参加本次政府采购活动前三年内在经营活动中没有重大违法记录的书面声明。</w:t>
            </w:r>
          </w:p>
          <w:p w14:paraId="74327CCD">
            <w:pPr>
              <w:pStyle w:val="11"/>
              <w:spacing w:line="360" w:lineRule="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1.6法律、行政法规规定的其他条件（提供承诺函）。</w:t>
            </w:r>
          </w:p>
          <w:p w14:paraId="56BAA9B6">
            <w:pPr>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2"/>
                <w:sz w:val="24"/>
                <w:szCs w:val="24"/>
                <w:highlight w:val="none"/>
                <w:lang w:val="en-US" w:eastAsia="zh-CN" w:bidi="ar-SA"/>
              </w:rPr>
              <w:t>2.落实政府采购政策需满足的资格要求：</w:t>
            </w:r>
            <w:r>
              <w:rPr>
                <w:rFonts w:hint="eastAsia" w:ascii="仿宋" w:hAnsi="仿宋" w:eastAsia="仿宋" w:cs="仿宋"/>
                <w:color w:val="auto"/>
                <w:kern w:val="2"/>
                <w:sz w:val="24"/>
                <w:szCs w:val="24"/>
                <w:highlight w:val="none"/>
                <w:lang w:val="en-US" w:eastAsia="zh-CN" w:bidi="ar-SA"/>
              </w:rPr>
              <w:t>本项目不属于专门面向中小企业采购的项目，落实小微企业、监狱企业、残疾人福利性单位</w:t>
            </w:r>
            <w:r>
              <w:rPr>
                <w:rFonts w:hint="eastAsia" w:ascii="仿宋" w:hAnsi="仿宋" w:eastAsia="仿宋" w:cs="仿宋"/>
                <w:color w:val="auto"/>
                <w:sz w:val="24"/>
                <w:szCs w:val="24"/>
                <w:highlight w:val="none"/>
                <w:lang w:val="en-US" w:eastAsia="zh-CN"/>
              </w:rPr>
              <w:t>等政策，</w:t>
            </w:r>
            <w:r>
              <w:rPr>
                <w:rFonts w:hint="eastAsia" w:ascii="仿宋" w:hAnsi="仿宋" w:eastAsia="仿宋" w:cs="仿宋"/>
                <w:color w:val="auto"/>
                <w:sz w:val="24"/>
                <w:szCs w:val="24"/>
                <w:highlight w:val="none"/>
                <w:lang w:val="en-US" w:eastAsia="zh-Hans"/>
              </w:rPr>
              <w:t>投标报价部分进行10%的价格扣除，用扣除后的价格参与评标</w:t>
            </w:r>
            <w:r>
              <w:rPr>
                <w:rFonts w:hint="eastAsia" w:ascii="仿宋" w:hAnsi="仿宋" w:eastAsia="仿宋" w:cs="仿宋"/>
                <w:color w:val="auto"/>
                <w:sz w:val="24"/>
                <w:szCs w:val="24"/>
                <w:highlight w:val="none"/>
                <w:lang w:eastAsia="zh-CN"/>
              </w:rPr>
              <w:t>。</w:t>
            </w:r>
          </w:p>
          <w:p w14:paraId="7B7489AE">
            <w:pPr>
              <w:autoSpaceDE w:val="0"/>
              <w:autoSpaceDN w:val="0"/>
              <w:adjustRightInd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3.本项目的特定资格要求：</w:t>
            </w:r>
          </w:p>
          <w:p w14:paraId="084DF21B">
            <w:pPr>
              <w:autoSpaceDE w:val="0"/>
              <w:autoSpaceDN w:val="0"/>
              <w:adjustRightInd w:val="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3.1 </w:t>
            </w:r>
            <w:r>
              <w:rPr>
                <w:rFonts w:hint="eastAsia" w:ascii="仿宋" w:hAnsi="仿宋" w:eastAsia="仿宋" w:cs="仿宋"/>
                <w:b/>
                <w:bCs/>
                <w:color w:val="auto"/>
                <w:sz w:val="24"/>
                <w:szCs w:val="24"/>
                <w:highlight w:val="none"/>
                <w:lang w:val="en-US" w:eastAsia="zh-CN"/>
              </w:rPr>
              <w:t>（一标段）：</w:t>
            </w:r>
            <w:r>
              <w:rPr>
                <w:rFonts w:hint="eastAsia" w:ascii="仿宋" w:hAnsi="仿宋" w:eastAsia="仿宋" w:cs="仿宋"/>
                <w:b w:val="0"/>
                <w:bCs w:val="0"/>
                <w:color w:val="auto"/>
                <w:sz w:val="24"/>
                <w:szCs w:val="24"/>
                <w:highlight w:val="none"/>
                <w:lang w:val="en-US" w:eastAsia="zh-CN"/>
              </w:rPr>
              <w:t>①投标货物的生产厂家必须是农业农村部（农业部）的定点生产企业，并通过农业农村部（农业部）GMP 认证（认证范围含有疫苗）；②所投产品必须具有农业农村部（农业部）颁发的国家兽药生产许可证（生产许可范围含有疫苗），不接受代理商（贸易商、经销商）投标，只接受制造商（原厂商）投标。</w:t>
            </w:r>
          </w:p>
          <w:p w14:paraId="1650F517">
            <w:pPr>
              <w:autoSpaceDE w:val="0"/>
              <w:autoSpaceDN w:val="0"/>
              <w:adjustRightInd w:val="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3.2 信用要求：投标人承诺其在截止至本项目投标截止时间未被列入“信用中国”网站 (www.creditchina.gov.cn)、“中国政府采购网”网站(www.ccgp.gov.cn)中任一网站的失信被执行人名单或重大税收违法案件当事人名单或政府采购严重违法失信行为记录名单的承诺函。</w:t>
            </w:r>
          </w:p>
          <w:p w14:paraId="5ECE95EB">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3.3 其他要求：单位负责人为同一人或者存在直接控股、管理关系的不同制造商或供应商，不得参加同一标段下的政府采购活动(提供承诺函)。</w:t>
            </w:r>
          </w:p>
        </w:tc>
      </w:tr>
      <w:tr w14:paraId="1C319058">
        <w:tblPrEx>
          <w:tblCellMar>
            <w:top w:w="0" w:type="dxa"/>
            <w:left w:w="108" w:type="dxa"/>
            <w:bottom w:w="0" w:type="dxa"/>
            <w:right w:w="108" w:type="dxa"/>
          </w:tblCellMar>
        </w:tblPrEx>
        <w:trPr>
          <w:trHeight w:val="561" w:hRule="atLeast"/>
        </w:trPr>
        <w:tc>
          <w:tcPr>
            <w:tcW w:w="439" w:type="pct"/>
            <w:tcBorders>
              <w:top w:val="single" w:color="auto" w:sz="4" w:space="0"/>
              <w:left w:val="single" w:color="auto" w:sz="4" w:space="0"/>
              <w:bottom w:val="single" w:color="auto" w:sz="4" w:space="0"/>
              <w:right w:val="single" w:color="auto" w:sz="4" w:space="0"/>
            </w:tcBorders>
            <w:vAlign w:val="center"/>
          </w:tcPr>
          <w:p w14:paraId="0CEC1CD0">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1.4.2</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1E0DAC63">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踏勘现场及答疑</w:t>
            </w:r>
          </w:p>
        </w:tc>
        <w:tc>
          <w:tcPr>
            <w:tcW w:w="3596" w:type="pct"/>
            <w:tcBorders>
              <w:top w:val="single" w:color="auto" w:sz="4" w:space="0"/>
              <w:left w:val="single" w:color="auto" w:sz="4" w:space="0"/>
              <w:bottom w:val="single" w:color="auto" w:sz="4" w:space="0"/>
              <w:right w:val="single" w:color="auto" w:sz="4" w:space="0"/>
            </w:tcBorders>
            <w:vAlign w:val="top"/>
          </w:tcPr>
          <w:p w14:paraId="47FD9DCB">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不接受现场踏勘</w:t>
            </w:r>
            <w:r>
              <w:rPr>
                <w:rFonts w:hint="eastAsia" w:ascii="仿宋" w:hAnsi="仿宋" w:eastAsia="仿宋" w:cs="仿宋"/>
                <w:color w:val="auto"/>
                <w:sz w:val="24"/>
                <w:szCs w:val="24"/>
                <w:highlight w:val="none"/>
              </w:rPr>
              <w:t>。</w:t>
            </w:r>
          </w:p>
        </w:tc>
      </w:tr>
      <w:tr w14:paraId="484963A8">
        <w:tblPrEx>
          <w:tblCellMar>
            <w:top w:w="0" w:type="dxa"/>
            <w:left w:w="108" w:type="dxa"/>
            <w:bottom w:w="0" w:type="dxa"/>
            <w:right w:w="108" w:type="dxa"/>
          </w:tblCellMar>
        </w:tblPrEx>
        <w:trPr>
          <w:trHeight w:val="561" w:hRule="atLeast"/>
        </w:trPr>
        <w:tc>
          <w:tcPr>
            <w:tcW w:w="439" w:type="pct"/>
            <w:tcBorders>
              <w:top w:val="single" w:color="auto" w:sz="4" w:space="0"/>
              <w:left w:val="single" w:color="auto" w:sz="4" w:space="0"/>
              <w:bottom w:val="single" w:color="auto" w:sz="4" w:space="0"/>
              <w:right w:val="single" w:color="auto" w:sz="4" w:space="0"/>
            </w:tcBorders>
            <w:vAlign w:val="center"/>
          </w:tcPr>
          <w:p w14:paraId="465A2D21">
            <w:pPr>
              <w:autoSpaceDE w:val="0"/>
              <w:autoSpaceDN w:val="0"/>
              <w:adjustRightInd w:val="0"/>
              <w:spacing w:line="360" w:lineRule="auto"/>
              <w:jc w:val="both"/>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1.4.3</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55A7D046">
            <w:pPr>
              <w:autoSpaceDE w:val="0"/>
              <w:autoSpaceDN w:val="0"/>
              <w:adjustRightIn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法定代表人身份证明书</w:t>
            </w:r>
          </w:p>
        </w:tc>
        <w:tc>
          <w:tcPr>
            <w:tcW w:w="3596" w:type="pct"/>
            <w:tcBorders>
              <w:top w:val="single" w:color="auto" w:sz="4" w:space="0"/>
              <w:left w:val="single" w:color="auto" w:sz="4" w:space="0"/>
              <w:bottom w:val="single" w:color="auto" w:sz="4" w:space="0"/>
              <w:right w:val="single" w:color="auto" w:sz="4" w:space="0"/>
            </w:tcBorders>
            <w:vAlign w:val="top"/>
          </w:tcPr>
          <w:p w14:paraId="76A3F5E6">
            <w:pPr>
              <w:autoSpaceDE w:val="0"/>
              <w:autoSpaceDN w:val="0"/>
              <w:adjustRightInd w:val="0"/>
              <w:spacing w:line="360" w:lineRule="auto"/>
              <w:jc w:val="left"/>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lang w:val="en-US" w:eastAsia="zh-CN"/>
              </w:rPr>
              <w:t>按照“</w:t>
            </w:r>
            <w:r>
              <w:rPr>
                <w:rFonts w:hint="eastAsia" w:ascii="仿宋" w:hAnsi="仿宋" w:eastAsia="仿宋" w:cs="仿宋"/>
                <w:color w:val="auto"/>
                <w:kern w:val="0"/>
                <w:sz w:val="24"/>
                <w:szCs w:val="24"/>
                <w:highlight w:val="none"/>
              </w:rPr>
              <w:t>第六章 投标文件格式</w:t>
            </w:r>
            <w:r>
              <w:rPr>
                <w:rFonts w:hint="eastAsia" w:ascii="仿宋" w:hAnsi="仿宋" w:eastAsia="仿宋" w:cs="仿宋"/>
                <w:color w:val="auto"/>
                <w:kern w:val="0"/>
                <w:sz w:val="24"/>
                <w:szCs w:val="24"/>
                <w:highlight w:val="none"/>
                <w:lang w:val="en-US" w:eastAsia="zh-CN"/>
              </w:rPr>
              <w:t>”提供</w:t>
            </w:r>
          </w:p>
        </w:tc>
      </w:tr>
      <w:tr w14:paraId="36AFF681">
        <w:tblPrEx>
          <w:tblCellMar>
            <w:top w:w="0" w:type="dxa"/>
            <w:left w:w="108" w:type="dxa"/>
            <w:bottom w:w="0" w:type="dxa"/>
            <w:right w:w="108" w:type="dxa"/>
          </w:tblCellMar>
        </w:tblPrEx>
        <w:trPr>
          <w:trHeight w:val="561" w:hRule="atLeast"/>
        </w:trPr>
        <w:tc>
          <w:tcPr>
            <w:tcW w:w="439" w:type="pct"/>
            <w:tcBorders>
              <w:top w:val="single" w:color="auto" w:sz="4" w:space="0"/>
              <w:left w:val="single" w:color="auto" w:sz="4" w:space="0"/>
              <w:bottom w:val="single" w:color="auto" w:sz="4" w:space="0"/>
              <w:right w:val="single" w:color="auto" w:sz="4" w:space="0"/>
            </w:tcBorders>
            <w:vAlign w:val="center"/>
          </w:tcPr>
          <w:p w14:paraId="1B54E2E8">
            <w:pPr>
              <w:autoSpaceDE w:val="0"/>
              <w:autoSpaceDN w:val="0"/>
              <w:adjustRightIn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1.4.4</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0C853470">
            <w:pPr>
              <w:autoSpaceDE w:val="0"/>
              <w:autoSpaceDN w:val="0"/>
              <w:adjustRightIn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法定代表人授权委托书</w:t>
            </w:r>
          </w:p>
        </w:tc>
        <w:tc>
          <w:tcPr>
            <w:tcW w:w="3596" w:type="pct"/>
            <w:tcBorders>
              <w:top w:val="single" w:color="auto" w:sz="4" w:space="0"/>
              <w:left w:val="single" w:color="auto" w:sz="4" w:space="0"/>
              <w:bottom w:val="single" w:color="auto" w:sz="4" w:space="0"/>
              <w:right w:val="single" w:color="auto" w:sz="4" w:space="0"/>
            </w:tcBorders>
            <w:vAlign w:val="top"/>
          </w:tcPr>
          <w:p w14:paraId="631191CF">
            <w:pPr>
              <w:autoSpaceDE w:val="0"/>
              <w:autoSpaceDN w:val="0"/>
              <w:adjustRightIn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按照“</w:t>
            </w:r>
            <w:r>
              <w:rPr>
                <w:rFonts w:hint="eastAsia" w:ascii="仿宋" w:hAnsi="仿宋" w:eastAsia="仿宋" w:cs="仿宋"/>
                <w:color w:val="auto"/>
                <w:kern w:val="0"/>
                <w:sz w:val="24"/>
                <w:szCs w:val="24"/>
                <w:highlight w:val="none"/>
              </w:rPr>
              <w:t>第六章 投标文件格式</w:t>
            </w:r>
            <w:r>
              <w:rPr>
                <w:rFonts w:hint="eastAsia" w:ascii="仿宋" w:hAnsi="仿宋" w:eastAsia="仿宋" w:cs="仿宋"/>
                <w:color w:val="auto"/>
                <w:kern w:val="0"/>
                <w:sz w:val="24"/>
                <w:szCs w:val="24"/>
                <w:highlight w:val="none"/>
                <w:lang w:val="en-US" w:eastAsia="zh-CN"/>
              </w:rPr>
              <w:t>”提供</w:t>
            </w:r>
          </w:p>
        </w:tc>
      </w:tr>
      <w:tr w14:paraId="2CEC4F87">
        <w:tblPrEx>
          <w:tblCellMar>
            <w:top w:w="0" w:type="dxa"/>
            <w:left w:w="108" w:type="dxa"/>
            <w:bottom w:w="0" w:type="dxa"/>
            <w:right w:w="108" w:type="dxa"/>
          </w:tblCellMar>
        </w:tblPrEx>
        <w:trPr>
          <w:trHeight w:val="458" w:hRule="atLeast"/>
        </w:trPr>
        <w:tc>
          <w:tcPr>
            <w:tcW w:w="439" w:type="pct"/>
            <w:tcBorders>
              <w:top w:val="single" w:color="auto" w:sz="4" w:space="0"/>
              <w:left w:val="single" w:color="auto" w:sz="4" w:space="0"/>
              <w:bottom w:val="single" w:color="auto" w:sz="4" w:space="0"/>
              <w:right w:val="single" w:color="auto" w:sz="4" w:space="0"/>
            </w:tcBorders>
            <w:vAlign w:val="center"/>
          </w:tcPr>
          <w:p w14:paraId="4AC4D9D7">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1.5.1</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0D856F11">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投标预备会</w:t>
            </w:r>
          </w:p>
        </w:tc>
        <w:tc>
          <w:tcPr>
            <w:tcW w:w="3596" w:type="pct"/>
            <w:tcBorders>
              <w:top w:val="single" w:color="auto" w:sz="4" w:space="0"/>
              <w:left w:val="single" w:color="auto" w:sz="4" w:space="0"/>
              <w:bottom w:val="single" w:color="auto" w:sz="4" w:space="0"/>
              <w:right w:val="single" w:color="auto" w:sz="4" w:space="0"/>
            </w:tcBorders>
            <w:vAlign w:val="center"/>
          </w:tcPr>
          <w:p w14:paraId="56EC5771">
            <w:pPr>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■不召开。</w:t>
            </w:r>
          </w:p>
        </w:tc>
      </w:tr>
      <w:tr w14:paraId="57E0878B">
        <w:tblPrEx>
          <w:tblCellMar>
            <w:top w:w="0" w:type="dxa"/>
            <w:left w:w="108" w:type="dxa"/>
            <w:bottom w:w="0" w:type="dxa"/>
            <w:right w:w="108" w:type="dxa"/>
          </w:tblCellMar>
        </w:tblPrEx>
        <w:trPr>
          <w:trHeight w:val="90" w:hRule="atLeast"/>
        </w:trPr>
        <w:tc>
          <w:tcPr>
            <w:tcW w:w="439" w:type="pct"/>
            <w:tcBorders>
              <w:top w:val="single" w:color="auto" w:sz="4" w:space="0"/>
              <w:left w:val="single" w:color="auto" w:sz="4" w:space="0"/>
              <w:bottom w:val="single" w:color="auto" w:sz="4" w:space="0"/>
              <w:right w:val="single" w:color="auto" w:sz="4" w:space="0"/>
            </w:tcBorders>
            <w:vAlign w:val="center"/>
          </w:tcPr>
          <w:p w14:paraId="717A4E36">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1.6.2</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41EAB717">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答疑与澄清</w:t>
            </w:r>
          </w:p>
        </w:tc>
        <w:tc>
          <w:tcPr>
            <w:tcW w:w="3596" w:type="pct"/>
            <w:tcBorders>
              <w:top w:val="single" w:color="auto" w:sz="4" w:space="0"/>
              <w:left w:val="single" w:color="auto" w:sz="4" w:space="0"/>
              <w:bottom w:val="single" w:color="auto" w:sz="4" w:space="0"/>
              <w:right w:val="single" w:color="auto" w:sz="4" w:space="0"/>
            </w:tcBorders>
            <w:vAlign w:val="center"/>
          </w:tcPr>
          <w:p w14:paraId="7DEEE469">
            <w:pPr>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如认为招标文件表述不清晰、存在歧视性、排他性或者其他违法内容的，应当在获取招标文件期限届满之日起7个工作日内，以书面形式要求采购人、采购代理机构做出书面解释、澄清或者向采购人、采购代理机构提出书面质疑；采购代理机构将于7个工作日内作出答复；答疑内容是招标文件的组成部</w:t>
            </w:r>
            <w:r>
              <w:rPr>
                <w:rFonts w:hint="eastAsia" w:ascii="仿宋" w:hAnsi="仿宋" w:eastAsia="仿宋" w:cs="仿宋"/>
                <w:color w:val="auto"/>
                <w:sz w:val="24"/>
                <w:szCs w:val="24"/>
                <w:highlight w:val="none"/>
                <w:lang w:val="en-US" w:eastAsia="zh-CN"/>
              </w:rPr>
              <w:t>分</w:t>
            </w:r>
            <w:r>
              <w:rPr>
                <w:rFonts w:hint="eastAsia" w:ascii="仿宋" w:hAnsi="仿宋" w:eastAsia="仿宋" w:cs="仿宋"/>
                <w:color w:val="auto"/>
                <w:sz w:val="24"/>
                <w:szCs w:val="24"/>
                <w:highlight w:val="none"/>
              </w:rPr>
              <w:t>，并将以书面形式送达所有已报名的投标人；因其他紧急情况影响本项目正常招标活动的，采购代理机构将于投标截止日期5天前书面通知所有已报名的投标人。</w:t>
            </w:r>
          </w:p>
          <w:p w14:paraId="7B697216">
            <w:pPr>
              <w:autoSpaceDE w:val="0"/>
              <w:autoSpaceDN w:val="0"/>
              <w:spacing w:before="60" w:after="60"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质疑：1.根据《中华人民共和国政府采购法》的规定，投标人质疑不得超出采购文件、采购过程、采购结果的范围。</w:t>
            </w:r>
          </w:p>
          <w:p w14:paraId="30987EF5">
            <w:pPr>
              <w:autoSpaceDE w:val="0"/>
              <w:autoSpaceDN w:val="0"/>
              <w:spacing w:before="60" w:after="60"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投标人认为采购文件、采购过程、中标结果使自己的权益受到损害的，可以在知道或者应知其权益受到损害之日起7个工作日内，按本招标文件规定的答复范围和权限，以书面形式向采购人、采购代理机构提出质疑。潜在投标人已依法获取其可质疑的采购文件的，可以对该文件提出质疑。对采购文件提出质疑的，应当在获取采购文件或者采购文件公告期限届满之日起7个工作日内提出。</w:t>
            </w:r>
          </w:p>
          <w:p w14:paraId="0676BB83">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3.其他未尽事宜按《政府采购质疑和投诉办法》（财政部令第94号）执行。</w:t>
            </w:r>
          </w:p>
        </w:tc>
      </w:tr>
      <w:tr w14:paraId="1AC7B772">
        <w:tblPrEx>
          <w:tblCellMar>
            <w:top w:w="0" w:type="dxa"/>
            <w:left w:w="108" w:type="dxa"/>
            <w:bottom w:w="0" w:type="dxa"/>
            <w:right w:w="108" w:type="dxa"/>
          </w:tblCellMar>
        </w:tblPrEx>
        <w:trPr>
          <w:trHeight w:val="584" w:hRule="atLeast"/>
        </w:trPr>
        <w:tc>
          <w:tcPr>
            <w:tcW w:w="439" w:type="pct"/>
            <w:tcBorders>
              <w:top w:val="single" w:color="auto" w:sz="4" w:space="0"/>
              <w:left w:val="single" w:color="auto" w:sz="4" w:space="0"/>
              <w:bottom w:val="single" w:color="auto" w:sz="4" w:space="0"/>
              <w:right w:val="single" w:color="auto" w:sz="4" w:space="0"/>
            </w:tcBorders>
            <w:vAlign w:val="center"/>
          </w:tcPr>
          <w:p w14:paraId="2DF6CEFD">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03AE14A8">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分包</w:t>
            </w:r>
          </w:p>
        </w:tc>
        <w:tc>
          <w:tcPr>
            <w:tcW w:w="3596" w:type="pct"/>
            <w:tcBorders>
              <w:top w:val="single" w:color="auto" w:sz="4" w:space="0"/>
              <w:left w:val="single" w:color="auto" w:sz="4" w:space="0"/>
              <w:bottom w:val="single" w:color="auto" w:sz="4" w:space="0"/>
              <w:right w:val="single" w:color="auto" w:sz="4" w:space="0"/>
            </w:tcBorders>
            <w:vAlign w:val="top"/>
          </w:tcPr>
          <w:p w14:paraId="708BBF3F">
            <w:pPr>
              <w:autoSpaceDE w:val="0"/>
              <w:autoSpaceDN w:val="0"/>
              <w:adjustRightIn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本项目不允许分包。</w:t>
            </w:r>
          </w:p>
        </w:tc>
      </w:tr>
      <w:tr w14:paraId="62E7D46B">
        <w:tblPrEx>
          <w:tblCellMar>
            <w:top w:w="0" w:type="dxa"/>
            <w:left w:w="108" w:type="dxa"/>
            <w:bottom w:w="0" w:type="dxa"/>
            <w:right w:w="108" w:type="dxa"/>
          </w:tblCellMar>
        </w:tblPrEx>
        <w:trPr>
          <w:trHeight w:val="907" w:hRule="atLeast"/>
        </w:trPr>
        <w:tc>
          <w:tcPr>
            <w:tcW w:w="439" w:type="pct"/>
            <w:tcBorders>
              <w:top w:val="single" w:color="auto" w:sz="4" w:space="0"/>
              <w:left w:val="single" w:color="auto" w:sz="4" w:space="0"/>
              <w:bottom w:val="single" w:color="auto" w:sz="4" w:space="0"/>
              <w:right w:val="single" w:color="auto" w:sz="4" w:space="0"/>
            </w:tcBorders>
            <w:vAlign w:val="center"/>
          </w:tcPr>
          <w:p w14:paraId="6CBA310C">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1.8</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24A214E0">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构成招标文件的其他材料</w:t>
            </w:r>
          </w:p>
        </w:tc>
        <w:tc>
          <w:tcPr>
            <w:tcW w:w="3596" w:type="pct"/>
            <w:tcBorders>
              <w:top w:val="single" w:color="auto" w:sz="4" w:space="0"/>
              <w:left w:val="single" w:color="auto" w:sz="4" w:space="0"/>
              <w:bottom w:val="single" w:color="auto" w:sz="4" w:space="0"/>
              <w:right w:val="single" w:color="auto" w:sz="4" w:space="0"/>
            </w:tcBorders>
            <w:vAlign w:val="center"/>
          </w:tcPr>
          <w:p w14:paraId="20261CC9">
            <w:pPr>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招标过程中所发出的澄清、修改、补遗、答疑。</w:t>
            </w:r>
          </w:p>
        </w:tc>
      </w:tr>
      <w:tr w14:paraId="53669880">
        <w:tblPrEx>
          <w:tblCellMar>
            <w:top w:w="0" w:type="dxa"/>
            <w:left w:w="108" w:type="dxa"/>
            <w:bottom w:w="0" w:type="dxa"/>
            <w:right w:w="108" w:type="dxa"/>
          </w:tblCellMar>
        </w:tblPrEx>
        <w:trPr>
          <w:trHeight w:val="458" w:hRule="atLeast"/>
        </w:trPr>
        <w:tc>
          <w:tcPr>
            <w:tcW w:w="439" w:type="pct"/>
            <w:tcBorders>
              <w:top w:val="single" w:color="auto" w:sz="4" w:space="0"/>
              <w:left w:val="single" w:color="auto" w:sz="4" w:space="0"/>
              <w:bottom w:val="single" w:color="auto" w:sz="4" w:space="0"/>
              <w:right w:val="single" w:color="auto" w:sz="4" w:space="0"/>
            </w:tcBorders>
            <w:vAlign w:val="center"/>
          </w:tcPr>
          <w:p w14:paraId="336AC1DD">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082D9C83">
            <w:pPr>
              <w:autoSpaceDE w:val="0"/>
              <w:autoSpaceDN w:val="0"/>
              <w:adjustRightIn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偏离</w:t>
            </w:r>
          </w:p>
        </w:tc>
        <w:tc>
          <w:tcPr>
            <w:tcW w:w="3596" w:type="pct"/>
            <w:tcBorders>
              <w:top w:val="single" w:color="auto" w:sz="4" w:space="0"/>
              <w:left w:val="single" w:color="auto" w:sz="4" w:space="0"/>
              <w:bottom w:val="single" w:color="auto" w:sz="4" w:space="0"/>
              <w:right w:val="single" w:color="auto" w:sz="4" w:space="0"/>
            </w:tcBorders>
            <w:vAlign w:val="center"/>
          </w:tcPr>
          <w:p w14:paraId="50F6FA33">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rPr>
              <w:t>不</w:t>
            </w:r>
            <w:r>
              <w:rPr>
                <w:rFonts w:hint="eastAsia" w:ascii="仿宋" w:hAnsi="仿宋" w:eastAsia="仿宋" w:cs="仿宋"/>
                <w:color w:val="auto"/>
                <w:kern w:val="0"/>
                <w:sz w:val="24"/>
                <w:szCs w:val="24"/>
                <w:highlight w:val="none"/>
                <w:lang w:eastAsia="zh-CN"/>
              </w:rPr>
              <w:t>允许。</w:t>
            </w:r>
          </w:p>
        </w:tc>
      </w:tr>
      <w:tr w14:paraId="4E8DE0B8">
        <w:tblPrEx>
          <w:tblCellMar>
            <w:top w:w="0" w:type="dxa"/>
            <w:left w:w="108" w:type="dxa"/>
            <w:bottom w:w="0" w:type="dxa"/>
            <w:right w:w="108" w:type="dxa"/>
          </w:tblCellMar>
        </w:tblPrEx>
        <w:trPr>
          <w:trHeight w:val="458" w:hRule="atLeast"/>
        </w:trPr>
        <w:tc>
          <w:tcPr>
            <w:tcW w:w="439" w:type="pct"/>
            <w:tcBorders>
              <w:top w:val="single" w:color="auto" w:sz="4" w:space="0"/>
              <w:left w:val="single" w:color="auto" w:sz="4" w:space="0"/>
              <w:bottom w:val="single" w:color="auto" w:sz="4" w:space="0"/>
              <w:right w:val="single" w:color="auto" w:sz="4" w:space="0"/>
            </w:tcBorders>
            <w:vAlign w:val="center"/>
          </w:tcPr>
          <w:p w14:paraId="50A53C52">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2.1</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2973E927">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投标人要求澄清招标文件的截止时间</w:t>
            </w:r>
          </w:p>
        </w:tc>
        <w:tc>
          <w:tcPr>
            <w:tcW w:w="3596" w:type="pct"/>
            <w:tcBorders>
              <w:top w:val="single" w:color="auto" w:sz="4" w:space="0"/>
              <w:left w:val="single" w:color="auto" w:sz="4" w:space="0"/>
              <w:bottom w:val="single" w:color="auto" w:sz="4" w:space="0"/>
              <w:right w:val="single" w:color="auto" w:sz="4" w:space="0"/>
            </w:tcBorders>
            <w:vAlign w:val="center"/>
          </w:tcPr>
          <w:p w14:paraId="4D254F5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同1.6.2的时间要求。</w:t>
            </w:r>
          </w:p>
          <w:p w14:paraId="51F092FE">
            <w:pPr>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投标人应仔细阅读和检查招标文件的全部内容。如发现缺页或附件不全，应及时向采购人提出，以便补齐。</w:t>
            </w:r>
          </w:p>
        </w:tc>
      </w:tr>
      <w:tr w14:paraId="56FFA618">
        <w:tblPrEx>
          <w:tblCellMar>
            <w:top w:w="0" w:type="dxa"/>
            <w:left w:w="108" w:type="dxa"/>
            <w:bottom w:w="0" w:type="dxa"/>
            <w:right w:w="108" w:type="dxa"/>
          </w:tblCellMar>
        </w:tblPrEx>
        <w:trPr>
          <w:trHeight w:val="458" w:hRule="atLeast"/>
        </w:trPr>
        <w:tc>
          <w:tcPr>
            <w:tcW w:w="439" w:type="pct"/>
            <w:tcBorders>
              <w:top w:val="single" w:color="auto" w:sz="4" w:space="0"/>
              <w:left w:val="single" w:color="auto" w:sz="4" w:space="0"/>
              <w:bottom w:val="single" w:color="auto" w:sz="4" w:space="0"/>
              <w:right w:val="single" w:color="auto" w:sz="4" w:space="0"/>
            </w:tcBorders>
            <w:vAlign w:val="center"/>
          </w:tcPr>
          <w:p w14:paraId="640B5059">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2.2</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3CDEEE1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投标截止时间</w:t>
            </w:r>
          </w:p>
        </w:tc>
        <w:tc>
          <w:tcPr>
            <w:tcW w:w="3596" w:type="pct"/>
            <w:tcBorders>
              <w:top w:val="single" w:color="auto" w:sz="4" w:space="0"/>
              <w:left w:val="single" w:color="auto" w:sz="4" w:space="0"/>
              <w:bottom w:val="single" w:color="auto" w:sz="4" w:space="0"/>
              <w:right w:val="single" w:color="auto" w:sz="4" w:space="0"/>
            </w:tcBorders>
            <w:vAlign w:val="center"/>
          </w:tcPr>
          <w:p w14:paraId="194D95F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202</w:t>
            </w:r>
            <w:r>
              <w:rPr>
                <w:rFonts w:hint="eastAsia" w:ascii="仿宋" w:hAnsi="仿宋" w:eastAsia="仿宋" w:cs="仿宋"/>
                <w:color w:val="auto"/>
                <w:sz w:val="24"/>
                <w:szCs w:val="24"/>
                <w:highlight w:val="none"/>
                <w:u w:val="singl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10</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9</w:t>
            </w:r>
            <w:r>
              <w:rPr>
                <w:rFonts w:hint="eastAsia" w:ascii="仿宋" w:hAnsi="仿宋" w:eastAsia="仿宋" w:cs="仿宋"/>
                <w:color w:val="auto"/>
                <w:sz w:val="24"/>
                <w:szCs w:val="24"/>
                <w:highlight w:val="none"/>
              </w:rPr>
              <w:t>日上午9时00分</w:t>
            </w:r>
          </w:p>
        </w:tc>
      </w:tr>
      <w:tr w14:paraId="607F96D1">
        <w:tblPrEx>
          <w:tblCellMar>
            <w:top w:w="0" w:type="dxa"/>
            <w:left w:w="108" w:type="dxa"/>
            <w:bottom w:w="0" w:type="dxa"/>
            <w:right w:w="108" w:type="dxa"/>
          </w:tblCellMar>
        </w:tblPrEx>
        <w:trPr>
          <w:trHeight w:val="907" w:hRule="atLeast"/>
        </w:trPr>
        <w:tc>
          <w:tcPr>
            <w:tcW w:w="439" w:type="pct"/>
            <w:tcBorders>
              <w:top w:val="single" w:color="auto" w:sz="4" w:space="0"/>
              <w:left w:val="single" w:color="auto" w:sz="4" w:space="0"/>
              <w:bottom w:val="single" w:color="auto" w:sz="4" w:space="0"/>
              <w:right w:val="single" w:color="auto" w:sz="4" w:space="0"/>
            </w:tcBorders>
            <w:vAlign w:val="center"/>
          </w:tcPr>
          <w:p w14:paraId="33C2DEB6">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2.3</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4D64A367">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投标人确认收到招标文件澄清的时间</w:t>
            </w:r>
          </w:p>
        </w:tc>
        <w:tc>
          <w:tcPr>
            <w:tcW w:w="3596" w:type="pct"/>
            <w:tcBorders>
              <w:top w:val="single" w:color="auto" w:sz="4" w:space="0"/>
              <w:left w:val="single" w:color="auto" w:sz="4" w:space="0"/>
              <w:bottom w:val="single" w:color="auto" w:sz="4" w:space="0"/>
              <w:right w:val="single" w:color="auto" w:sz="4" w:space="0"/>
            </w:tcBorders>
            <w:vAlign w:val="center"/>
          </w:tcPr>
          <w:p w14:paraId="05664FB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同1.6.2的时间要求。</w:t>
            </w:r>
          </w:p>
        </w:tc>
      </w:tr>
      <w:tr w14:paraId="7C373141">
        <w:tblPrEx>
          <w:tblCellMar>
            <w:top w:w="0" w:type="dxa"/>
            <w:left w:w="108" w:type="dxa"/>
            <w:bottom w:w="0" w:type="dxa"/>
            <w:right w:w="108" w:type="dxa"/>
          </w:tblCellMar>
        </w:tblPrEx>
        <w:trPr>
          <w:trHeight w:val="458" w:hRule="atLeast"/>
        </w:trPr>
        <w:tc>
          <w:tcPr>
            <w:tcW w:w="439" w:type="pct"/>
            <w:tcBorders>
              <w:top w:val="single" w:color="auto" w:sz="4" w:space="0"/>
              <w:left w:val="single" w:color="auto" w:sz="4" w:space="0"/>
              <w:bottom w:val="single" w:color="auto" w:sz="4" w:space="0"/>
              <w:right w:val="single" w:color="auto" w:sz="4" w:space="0"/>
            </w:tcBorders>
            <w:vAlign w:val="center"/>
          </w:tcPr>
          <w:p w14:paraId="26EE8EA5">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7BB49B8E">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3596" w:type="pct"/>
            <w:tcBorders>
              <w:top w:val="single" w:color="auto" w:sz="4" w:space="0"/>
              <w:left w:val="single" w:color="auto" w:sz="4" w:space="0"/>
              <w:bottom w:val="single" w:color="auto" w:sz="4" w:space="0"/>
              <w:right w:val="single" w:color="auto" w:sz="4" w:space="0"/>
            </w:tcBorders>
            <w:vAlign w:val="top"/>
          </w:tcPr>
          <w:p w14:paraId="55BC1BDB">
            <w:pPr>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报价方式：</w:t>
            </w:r>
          </w:p>
          <w:p w14:paraId="6ECC7B98">
            <w:pPr>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投标人填报下浮百分比，结算单价=限价单价×(1-下浮率)。</w:t>
            </w:r>
          </w:p>
          <w:p w14:paraId="5019E06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关于“投标报价要求”的相关内容，详见投标人须知正文部分。</w:t>
            </w:r>
          </w:p>
        </w:tc>
      </w:tr>
      <w:tr w14:paraId="077D176C">
        <w:tblPrEx>
          <w:tblCellMar>
            <w:top w:w="0" w:type="dxa"/>
            <w:left w:w="108" w:type="dxa"/>
            <w:bottom w:w="0" w:type="dxa"/>
            <w:right w:w="108" w:type="dxa"/>
          </w:tblCellMar>
        </w:tblPrEx>
        <w:trPr>
          <w:trHeight w:val="458" w:hRule="atLeast"/>
        </w:trPr>
        <w:tc>
          <w:tcPr>
            <w:tcW w:w="439" w:type="pct"/>
            <w:tcBorders>
              <w:top w:val="single" w:color="auto" w:sz="4" w:space="0"/>
              <w:left w:val="single" w:color="auto" w:sz="4" w:space="0"/>
              <w:bottom w:val="single" w:color="auto" w:sz="4" w:space="0"/>
              <w:right w:val="single" w:color="auto" w:sz="4" w:space="0"/>
            </w:tcBorders>
            <w:vAlign w:val="center"/>
          </w:tcPr>
          <w:p w14:paraId="6420D799">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3.3.1</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3EF48583">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投标有效期</w:t>
            </w:r>
          </w:p>
        </w:tc>
        <w:tc>
          <w:tcPr>
            <w:tcW w:w="3596" w:type="pct"/>
            <w:tcBorders>
              <w:top w:val="single" w:color="auto" w:sz="4" w:space="0"/>
              <w:left w:val="single" w:color="auto" w:sz="4" w:space="0"/>
              <w:bottom w:val="single" w:color="auto" w:sz="4" w:space="0"/>
              <w:right w:val="single" w:color="auto" w:sz="4" w:space="0"/>
            </w:tcBorders>
            <w:vAlign w:val="center"/>
          </w:tcPr>
          <w:p w14:paraId="7F9E5095">
            <w:pPr>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u w:val="single"/>
              </w:rPr>
              <w:t xml:space="preserve">  90  </w:t>
            </w:r>
            <w:r>
              <w:rPr>
                <w:rFonts w:hint="eastAsia" w:ascii="仿宋" w:hAnsi="仿宋" w:eastAsia="仿宋" w:cs="仿宋"/>
                <w:color w:val="auto"/>
                <w:sz w:val="24"/>
                <w:szCs w:val="24"/>
                <w:highlight w:val="none"/>
              </w:rPr>
              <w:t>日历天（从提交投标文件的截止之日起算。）</w:t>
            </w:r>
          </w:p>
        </w:tc>
      </w:tr>
      <w:tr w14:paraId="7642829C">
        <w:tblPrEx>
          <w:tblCellMar>
            <w:top w:w="0" w:type="dxa"/>
            <w:left w:w="108" w:type="dxa"/>
            <w:bottom w:w="0" w:type="dxa"/>
            <w:right w:w="108" w:type="dxa"/>
          </w:tblCellMar>
        </w:tblPrEx>
        <w:trPr>
          <w:trHeight w:val="525" w:hRule="atLeast"/>
        </w:trPr>
        <w:tc>
          <w:tcPr>
            <w:tcW w:w="439" w:type="pct"/>
            <w:tcBorders>
              <w:top w:val="single" w:color="auto" w:sz="4" w:space="0"/>
              <w:left w:val="single" w:color="auto" w:sz="4" w:space="0"/>
              <w:bottom w:val="single" w:color="auto" w:sz="4" w:space="0"/>
              <w:right w:val="single" w:color="auto" w:sz="4" w:space="0"/>
            </w:tcBorders>
            <w:vAlign w:val="center"/>
          </w:tcPr>
          <w:p w14:paraId="2C4B4DB8">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3.4.1</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3F353D9E">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投标保证金</w:t>
            </w:r>
          </w:p>
        </w:tc>
        <w:tc>
          <w:tcPr>
            <w:tcW w:w="3596" w:type="pct"/>
            <w:tcBorders>
              <w:top w:val="single" w:color="auto" w:sz="4" w:space="0"/>
              <w:left w:val="single" w:color="auto" w:sz="4" w:space="0"/>
              <w:bottom w:val="single" w:color="auto" w:sz="4" w:space="0"/>
              <w:right w:val="single" w:color="auto" w:sz="4" w:space="0"/>
            </w:tcBorders>
            <w:vAlign w:val="center"/>
          </w:tcPr>
          <w:p w14:paraId="66D05C7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p>
          <w:p w14:paraId="78F3F9B3">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一、投标保证金缴纳形式、金额及账户信息</w:t>
            </w:r>
          </w:p>
          <w:p w14:paraId="73C6016C">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投标保证金缴纳形式:投标保证金应当以支票、汇票、本票、银行转账或者金融机构、担保机构出具的保函等非现金形式提交。</w:t>
            </w:r>
          </w:p>
          <w:p w14:paraId="6F45651F">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保证金金额(人民币)</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一标段：0.67万元整。</w:t>
            </w:r>
          </w:p>
          <w:p w14:paraId="23458C1A">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投标保证金账户信息：</w:t>
            </w:r>
          </w:p>
          <w:p w14:paraId="21133443">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采用银行转账方式保证金账户信息：</w:t>
            </w:r>
          </w:p>
          <w:p w14:paraId="63F70FA0">
            <w:pPr>
              <w:spacing w:before="113" w:line="360" w:lineRule="auto"/>
              <w:ind w:left="120" w:leftChars="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开户名称：云南恪遵项目管理有限公司</w:t>
            </w:r>
          </w:p>
          <w:p w14:paraId="5D850E36">
            <w:pPr>
              <w:spacing w:before="113" w:line="360" w:lineRule="auto"/>
              <w:ind w:left="120" w:leftChars="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开户银行：中国建设银行股份有限公司普洱茶城支行</w:t>
            </w:r>
          </w:p>
          <w:p w14:paraId="778B1F69">
            <w:pPr>
              <w:spacing w:before="113" w:line="360" w:lineRule="auto"/>
              <w:ind w:left="120" w:leftChars="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账    号：</w:t>
            </w:r>
            <w:bookmarkStart w:id="86" w:name="OLE_LINK6"/>
            <w:r>
              <w:rPr>
                <w:rFonts w:hint="eastAsia" w:ascii="仿宋" w:hAnsi="仿宋" w:eastAsia="仿宋" w:cs="仿宋"/>
                <w:color w:val="auto"/>
                <w:sz w:val="24"/>
                <w:szCs w:val="24"/>
                <w:highlight w:val="none"/>
                <w:lang w:val="zh-CN"/>
              </w:rPr>
              <w:t>53050168616200000210</w:t>
            </w:r>
            <w:bookmarkEnd w:id="86"/>
          </w:p>
          <w:p w14:paraId="12642BE6">
            <w:pPr>
              <w:spacing w:before="113" w:line="360" w:lineRule="auto"/>
              <w:ind w:left="120" w:leftChars="0"/>
              <w:jc w:val="lef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rPr>
              <w:t>联系人：吴发敏         电话：</w:t>
            </w:r>
            <w:r>
              <w:rPr>
                <w:rFonts w:hint="eastAsia" w:ascii="仿宋" w:hAnsi="仿宋" w:eastAsia="仿宋" w:cs="仿宋"/>
                <w:color w:val="auto"/>
                <w:sz w:val="24"/>
                <w:szCs w:val="24"/>
                <w:highlight w:val="none"/>
                <w:lang w:val="en-US" w:eastAsia="zh-CN"/>
              </w:rPr>
              <w:t>0879-3013333</w:t>
            </w:r>
          </w:p>
          <w:p w14:paraId="42022E23">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、投标保证金缴纳其他要求:</w:t>
            </w:r>
          </w:p>
          <w:p w14:paraId="47D40D01">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拒绝私人账户汇款及银行存现;</w:t>
            </w:r>
          </w:p>
          <w:p w14:paraId="737CE0F8">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保证金方式为支票、汇票、本票、银行转账或者金融机构、担保机构出具的保函等非现金形式提交，其他方式视为无效；</w:t>
            </w:r>
          </w:p>
          <w:p w14:paraId="380A70CB">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保证金到账时间以保证金专用账户实际到账时间为准，未在投标截止时间前到账的保证金无效;</w:t>
            </w:r>
          </w:p>
          <w:p w14:paraId="75BB4366">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投标保证金缴纳时应注明项目</w:t>
            </w:r>
            <w:r>
              <w:rPr>
                <w:rFonts w:hint="eastAsia" w:ascii="仿宋" w:hAnsi="仿宋" w:eastAsia="仿宋" w:cs="仿宋"/>
                <w:color w:val="auto"/>
                <w:sz w:val="24"/>
                <w:szCs w:val="24"/>
                <w:highlight w:val="none"/>
                <w:lang w:val="en-US" w:eastAsia="zh-CN"/>
              </w:rPr>
              <w:t>编号</w:t>
            </w:r>
            <w:r>
              <w:rPr>
                <w:rFonts w:hint="eastAsia" w:ascii="仿宋" w:hAnsi="仿宋" w:eastAsia="仿宋" w:cs="仿宋"/>
                <w:color w:val="auto"/>
                <w:sz w:val="24"/>
                <w:szCs w:val="24"/>
                <w:highlight w:val="none"/>
              </w:rPr>
              <w:t>。</w:t>
            </w:r>
          </w:p>
          <w:p w14:paraId="2C20100E">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请潜在投标人在跨行转账时考虑以下因素：1、按照人民银行相关规定，跨行转账在工作日下午4点半前办理手续，可以保证实时跨行到账；2、跨行转账尽量采用电汇方式。</w:t>
            </w:r>
          </w:p>
          <w:p w14:paraId="23B3A5C0">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lang w:val="zh-CN" w:eastAsia="zh-CN"/>
              </w:rPr>
              <w:t>如采购项目变更开标时间，则保证金</w:t>
            </w:r>
            <w:r>
              <w:rPr>
                <w:rFonts w:hint="eastAsia" w:ascii="仿宋" w:hAnsi="仿宋" w:eastAsia="仿宋" w:cs="仿宋"/>
                <w:color w:val="auto"/>
                <w:sz w:val="24"/>
                <w:szCs w:val="24"/>
                <w:highlight w:val="none"/>
                <w:lang w:val="en-US" w:eastAsia="zh-CN"/>
              </w:rPr>
              <w:t>缴纳</w:t>
            </w:r>
            <w:r>
              <w:rPr>
                <w:rFonts w:hint="eastAsia" w:ascii="仿宋" w:hAnsi="仿宋" w:eastAsia="仿宋" w:cs="仿宋"/>
                <w:color w:val="auto"/>
                <w:sz w:val="24"/>
                <w:szCs w:val="24"/>
                <w:highlight w:val="none"/>
                <w:lang w:val="zh-CN" w:eastAsia="zh-CN"/>
              </w:rPr>
              <w:t>时间相应顺延。</w:t>
            </w:r>
          </w:p>
          <w:p w14:paraId="03291709">
            <w:pPr>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lang w:val="zh-CN" w:eastAsia="zh-CN"/>
              </w:rPr>
              <w:t>投标保证金退还：投标人在投标截止时间前撤回已提交的投标文件的，自收到投标人书面撤回通知之日起5个工作日内，退还已收取的投标保证金，但因投标人自身原因导致无法及时退还的除外。</w:t>
            </w:r>
          </w:p>
          <w:p w14:paraId="1D308211">
            <w:pPr>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lang w:val="zh-CN" w:eastAsia="zh-CN"/>
              </w:rPr>
              <w:t>自中标通知书发出之日起5个工作日内</w:t>
            </w:r>
            <w:r>
              <w:rPr>
                <w:rFonts w:hint="eastAsia" w:ascii="仿宋" w:hAnsi="仿宋" w:eastAsia="仿宋" w:cs="仿宋"/>
                <w:color w:val="auto"/>
                <w:sz w:val="24"/>
                <w:szCs w:val="24"/>
                <w:highlight w:val="none"/>
                <w:lang w:val="en-US" w:eastAsia="zh-CN"/>
              </w:rPr>
              <w:t>依法依规退还</w:t>
            </w:r>
            <w:r>
              <w:rPr>
                <w:rFonts w:hint="eastAsia" w:ascii="仿宋" w:hAnsi="仿宋" w:eastAsia="仿宋" w:cs="仿宋"/>
                <w:color w:val="auto"/>
                <w:sz w:val="24"/>
                <w:szCs w:val="24"/>
                <w:highlight w:val="none"/>
                <w:lang w:val="zh-CN" w:eastAsia="zh-CN"/>
              </w:rPr>
              <w:t>未中标人的投标保证金，自采购合同签订之日起5个工作日内</w:t>
            </w:r>
            <w:r>
              <w:rPr>
                <w:rFonts w:hint="eastAsia" w:ascii="仿宋" w:hAnsi="仿宋" w:eastAsia="仿宋" w:cs="仿宋"/>
                <w:color w:val="auto"/>
                <w:sz w:val="24"/>
                <w:szCs w:val="24"/>
                <w:highlight w:val="none"/>
                <w:lang w:val="en-US" w:eastAsia="zh-CN"/>
              </w:rPr>
              <w:t>依规退还</w:t>
            </w:r>
            <w:r>
              <w:rPr>
                <w:rFonts w:hint="eastAsia" w:ascii="仿宋" w:hAnsi="仿宋" w:eastAsia="仿宋" w:cs="仿宋"/>
                <w:color w:val="auto"/>
                <w:sz w:val="24"/>
                <w:szCs w:val="24"/>
                <w:highlight w:val="none"/>
                <w:lang w:val="zh-CN" w:eastAsia="zh-CN"/>
              </w:rPr>
              <w:t>中标人的投标保证金。</w:t>
            </w:r>
          </w:p>
          <w:p w14:paraId="3E6BAA98">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六、关于《不予退还投标保证金的情形》，详见投标人须知正文部分。</w:t>
            </w:r>
          </w:p>
        </w:tc>
      </w:tr>
      <w:tr w14:paraId="4ECD68EC">
        <w:tblPrEx>
          <w:tblCellMar>
            <w:top w:w="0" w:type="dxa"/>
            <w:left w:w="108" w:type="dxa"/>
            <w:bottom w:w="0" w:type="dxa"/>
            <w:right w:w="108" w:type="dxa"/>
          </w:tblCellMar>
        </w:tblPrEx>
        <w:trPr>
          <w:trHeight w:val="907" w:hRule="atLeast"/>
        </w:trPr>
        <w:tc>
          <w:tcPr>
            <w:tcW w:w="439" w:type="pct"/>
            <w:tcBorders>
              <w:top w:val="single" w:color="auto" w:sz="4" w:space="0"/>
              <w:left w:val="single" w:color="auto" w:sz="4" w:space="0"/>
              <w:bottom w:val="single" w:color="auto" w:sz="4" w:space="0"/>
              <w:right w:val="single" w:color="auto" w:sz="4" w:space="0"/>
            </w:tcBorders>
            <w:vAlign w:val="center"/>
          </w:tcPr>
          <w:p w14:paraId="054F81F1">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6A1A8329">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是否允许递交备选投标方案</w:t>
            </w:r>
          </w:p>
        </w:tc>
        <w:tc>
          <w:tcPr>
            <w:tcW w:w="3596" w:type="pct"/>
            <w:tcBorders>
              <w:top w:val="single" w:color="auto" w:sz="4" w:space="0"/>
              <w:left w:val="single" w:color="auto" w:sz="4" w:space="0"/>
              <w:bottom w:val="single" w:color="auto" w:sz="4" w:space="0"/>
              <w:right w:val="single" w:color="auto" w:sz="4" w:space="0"/>
            </w:tcBorders>
            <w:vAlign w:val="top"/>
          </w:tcPr>
          <w:p w14:paraId="417350F5">
            <w:pPr>
              <w:autoSpaceDE w:val="0"/>
              <w:autoSpaceDN w:val="0"/>
              <w:adjustRightIn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■不允许</w:t>
            </w:r>
          </w:p>
        </w:tc>
      </w:tr>
      <w:tr w14:paraId="61C2A24B">
        <w:tblPrEx>
          <w:tblCellMar>
            <w:top w:w="0" w:type="dxa"/>
            <w:left w:w="108" w:type="dxa"/>
            <w:bottom w:w="0" w:type="dxa"/>
            <w:right w:w="108" w:type="dxa"/>
          </w:tblCellMar>
        </w:tblPrEx>
        <w:trPr>
          <w:trHeight w:val="907" w:hRule="atLeast"/>
        </w:trPr>
        <w:tc>
          <w:tcPr>
            <w:tcW w:w="439" w:type="pct"/>
            <w:tcBorders>
              <w:top w:val="single" w:color="auto" w:sz="4" w:space="0"/>
              <w:left w:val="single" w:color="auto" w:sz="4" w:space="0"/>
              <w:bottom w:val="single" w:color="auto" w:sz="4" w:space="0"/>
              <w:right w:val="single" w:color="auto" w:sz="4" w:space="0"/>
            </w:tcBorders>
            <w:vAlign w:val="center"/>
          </w:tcPr>
          <w:p w14:paraId="3E8E6855">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7FEFE153">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投标文件的签字和盖章要求</w:t>
            </w:r>
          </w:p>
        </w:tc>
        <w:tc>
          <w:tcPr>
            <w:tcW w:w="3596" w:type="pct"/>
            <w:tcBorders>
              <w:top w:val="single" w:color="auto" w:sz="4" w:space="0"/>
              <w:left w:val="single" w:color="auto" w:sz="4" w:space="0"/>
              <w:bottom w:val="single" w:color="auto" w:sz="4" w:space="0"/>
              <w:right w:val="single" w:color="auto" w:sz="4" w:space="0"/>
            </w:tcBorders>
            <w:vAlign w:val="center"/>
          </w:tcPr>
          <w:p w14:paraId="419C74B2">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投标文件在需要签章的地方进行签章，无需逐页签章。</w:t>
            </w:r>
          </w:p>
        </w:tc>
      </w:tr>
      <w:tr w14:paraId="2AF14389">
        <w:tblPrEx>
          <w:tblCellMar>
            <w:top w:w="0" w:type="dxa"/>
            <w:left w:w="108" w:type="dxa"/>
            <w:bottom w:w="0" w:type="dxa"/>
            <w:right w:w="108" w:type="dxa"/>
          </w:tblCellMar>
        </w:tblPrEx>
        <w:trPr>
          <w:trHeight w:val="1805" w:hRule="atLeast"/>
        </w:trPr>
        <w:tc>
          <w:tcPr>
            <w:tcW w:w="439" w:type="pct"/>
            <w:tcBorders>
              <w:top w:val="single" w:color="auto" w:sz="4" w:space="0"/>
              <w:left w:val="single" w:color="auto" w:sz="4" w:space="0"/>
              <w:bottom w:val="single" w:color="auto" w:sz="4" w:space="0"/>
              <w:right w:val="single" w:color="auto" w:sz="4" w:space="0"/>
            </w:tcBorders>
            <w:vAlign w:val="center"/>
          </w:tcPr>
          <w:p w14:paraId="4D70971A">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7304ACF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现场递交投标文件份数</w:t>
            </w:r>
          </w:p>
        </w:tc>
        <w:tc>
          <w:tcPr>
            <w:tcW w:w="3596" w:type="pct"/>
            <w:tcBorders>
              <w:top w:val="single" w:color="auto" w:sz="4" w:space="0"/>
              <w:left w:val="single" w:color="auto" w:sz="4" w:space="0"/>
              <w:bottom w:val="single" w:color="auto" w:sz="4" w:space="0"/>
              <w:right w:val="single" w:color="auto" w:sz="4" w:space="0"/>
            </w:tcBorders>
            <w:vAlign w:val="center"/>
          </w:tcPr>
          <w:p w14:paraId="2B80D4BD">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（1）本次为远程开标，无需现场递交纸质版投标文件</w:t>
            </w:r>
          </w:p>
          <w:p w14:paraId="1D445C3D">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（2）中标人需在领取中标通知书时提交叁份纸质版投标文件（一正二副）给代理公司（内容须与电子投标文件一致）；未中标的</w:t>
            </w:r>
            <w:r>
              <w:rPr>
                <w:rFonts w:hint="eastAsia" w:ascii="仿宋" w:hAnsi="仿宋" w:eastAsia="仿宋" w:cs="仿宋"/>
                <w:b/>
                <w:bCs/>
                <w:color w:val="auto"/>
                <w:sz w:val="24"/>
                <w:szCs w:val="24"/>
                <w:highlight w:val="none"/>
                <w:lang w:val="en-US" w:eastAsia="zh-CN"/>
              </w:rPr>
              <w:t>投标人则无需递</w:t>
            </w:r>
            <w:r>
              <w:rPr>
                <w:rFonts w:hint="eastAsia" w:ascii="仿宋" w:hAnsi="仿宋" w:eastAsia="仿宋" w:cs="仿宋"/>
                <w:b/>
                <w:bCs/>
                <w:color w:val="auto"/>
                <w:sz w:val="24"/>
                <w:szCs w:val="24"/>
                <w:highlight w:val="none"/>
              </w:rPr>
              <w:t>交。</w:t>
            </w:r>
          </w:p>
        </w:tc>
      </w:tr>
      <w:tr w14:paraId="5AFA9AF0">
        <w:tblPrEx>
          <w:tblCellMar>
            <w:top w:w="0" w:type="dxa"/>
            <w:left w:w="108" w:type="dxa"/>
            <w:bottom w:w="0" w:type="dxa"/>
            <w:right w:w="108" w:type="dxa"/>
          </w:tblCellMar>
        </w:tblPrEx>
        <w:trPr>
          <w:trHeight w:val="907" w:hRule="atLeast"/>
        </w:trPr>
        <w:tc>
          <w:tcPr>
            <w:tcW w:w="439" w:type="pct"/>
            <w:tcBorders>
              <w:top w:val="single" w:color="auto" w:sz="4" w:space="0"/>
              <w:left w:val="single" w:color="auto" w:sz="4" w:space="0"/>
              <w:bottom w:val="single" w:color="auto" w:sz="4" w:space="0"/>
              <w:right w:val="single" w:color="auto" w:sz="4" w:space="0"/>
            </w:tcBorders>
            <w:vAlign w:val="center"/>
          </w:tcPr>
          <w:p w14:paraId="4297DBDE">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3.7.1</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000DBC4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电子投标文件编制要求</w:t>
            </w:r>
          </w:p>
        </w:tc>
        <w:tc>
          <w:tcPr>
            <w:tcW w:w="3596" w:type="pct"/>
            <w:tcBorders>
              <w:top w:val="single" w:color="auto" w:sz="4" w:space="0"/>
              <w:left w:val="single" w:color="auto" w:sz="4" w:space="0"/>
              <w:bottom w:val="single" w:color="auto" w:sz="4" w:space="0"/>
              <w:right w:val="single" w:color="auto" w:sz="4" w:space="0"/>
            </w:tcBorders>
            <w:vAlign w:val="center"/>
          </w:tcPr>
          <w:p w14:paraId="0F8F440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详见投标人须知正文部分。</w:t>
            </w:r>
          </w:p>
        </w:tc>
      </w:tr>
      <w:tr w14:paraId="7A638282">
        <w:tblPrEx>
          <w:tblCellMar>
            <w:top w:w="0" w:type="dxa"/>
            <w:left w:w="108" w:type="dxa"/>
            <w:bottom w:w="0" w:type="dxa"/>
            <w:right w:w="108" w:type="dxa"/>
          </w:tblCellMar>
        </w:tblPrEx>
        <w:trPr>
          <w:trHeight w:val="907" w:hRule="atLeast"/>
        </w:trPr>
        <w:tc>
          <w:tcPr>
            <w:tcW w:w="439" w:type="pct"/>
            <w:tcBorders>
              <w:top w:val="single" w:color="auto" w:sz="4" w:space="0"/>
              <w:left w:val="single" w:color="auto" w:sz="4" w:space="0"/>
              <w:bottom w:val="single" w:color="auto" w:sz="4" w:space="0"/>
              <w:right w:val="single" w:color="auto" w:sz="4" w:space="0"/>
            </w:tcBorders>
            <w:vAlign w:val="center"/>
          </w:tcPr>
          <w:p w14:paraId="2ED1A5A5">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58054ED2">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投标文件的密封和标记</w:t>
            </w:r>
          </w:p>
        </w:tc>
        <w:tc>
          <w:tcPr>
            <w:tcW w:w="3596" w:type="pct"/>
            <w:tcBorders>
              <w:top w:val="single" w:color="auto" w:sz="4" w:space="0"/>
              <w:left w:val="single" w:color="auto" w:sz="4" w:space="0"/>
              <w:bottom w:val="single" w:color="auto" w:sz="4" w:space="0"/>
              <w:right w:val="single" w:color="auto" w:sz="4" w:space="0"/>
            </w:tcBorders>
            <w:vAlign w:val="center"/>
          </w:tcPr>
          <w:p w14:paraId="36DCF58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网上递交的投标文件需要对投标文件进行加密。</w:t>
            </w:r>
          </w:p>
        </w:tc>
      </w:tr>
      <w:tr w14:paraId="4F4FC7A7">
        <w:tblPrEx>
          <w:tblCellMar>
            <w:top w:w="0" w:type="dxa"/>
            <w:left w:w="108" w:type="dxa"/>
            <w:bottom w:w="0" w:type="dxa"/>
            <w:right w:w="108" w:type="dxa"/>
          </w:tblCellMar>
        </w:tblPrEx>
        <w:trPr>
          <w:trHeight w:val="894" w:hRule="atLeast"/>
        </w:trPr>
        <w:tc>
          <w:tcPr>
            <w:tcW w:w="439" w:type="pct"/>
            <w:tcBorders>
              <w:top w:val="single" w:color="auto" w:sz="4" w:space="0"/>
              <w:left w:val="single" w:color="auto" w:sz="4" w:space="0"/>
              <w:bottom w:val="single" w:color="auto" w:sz="4" w:space="0"/>
              <w:right w:val="single" w:color="auto" w:sz="4" w:space="0"/>
            </w:tcBorders>
            <w:vAlign w:val="center"/>
          </w:tcPr>
          <w:p w14:paraId="617BD0DD">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4.1</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1CFFDB65">
            <w:pPr>
              <w:widowControl/>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递交投标文件地点</w:t>
            </w:r>
          </w:p>
        </w:tc>
        <w:tc>
          <w:tcPr>
            <w:tcW w:w="3596" w:type="pct"/>
            <w:tcBorders>
              <w:top w:val="single" w:color="auto" w:sz="4" w:space="0"/>
              <w:left w:val="single" w:color="auto" w:sz="4" w:space="0"/>
              <w:bottom w:val="single" w:color="auto" w:sz="4" w:space="0"/>
              <w:right w:val="single" w:color="auto" w:sz="4" w:space="0"/>
            </w:tcBorders>
            <w:vAlign w:val="bottom"/>
          </w:tcPr>
          <w:p w14:paraId="6BB3F5A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政采云平台</w:t>
            </w:r>
          </w:p>
        </w:tc>
      </w:tr>
      <w:tr w14:paraId="726C3710">
        <w:tblPrEx>
          <w:tblCellMar>
            <w:top w:w="0" w:type="dxa"/>
            <w:left w:w="108" w:type="dxa"/>
            <w:bottom w:w="0" w:type="dxa"/>
            <w:right w:w="108" w:type="dxa"/>
          </w:tblCellMar>
        </w:tblPrEx>
        <w:trPr>
          <w:trHeight w:val="458" w:hRule="atLeast"/>
        </w:trPr>
        <w:tc>
          <w:tcPr>
            <w:tcW w:w="439" w:type="pct"/>
            <w:tcBorders>
              <w:top w:val="single" w:color="auto" w:sz="4" w:space="0"/>
              <w:left w:val="single" w:color="auto" w:sz="4" w:space="0"/>
              <w:bottom w:val="single" w:color="auto" w:sz="4" w:space="0"/>
              <w:right w:val="single" w:color="auto" w:sz="4" w:space="0"/>
            </w:tcBorders>
            <w:vAlign w:val="center"/>
          </w:tcPr>
          <w:p w14:paraId="6F5DFC7C">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4.1.1</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0FF745A4">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是否退还投标文件</w:t>
            </w:r>
          </w:p>
        </w:tc>
        <w:tc>
          <w:tcPr>
            <w:tcW w:w="3596" w:type="pct"/>
            <w:tcBorders>
              <w:top w:val="single" w:color="auto" w:sz="4" w:space="0"/>
              <w:left w:val="single" w:color="auto" w:sz="4" w:space="0"/>
              <w:bottom w:val="single" w:color="auto" w:sz="4" w:space="0"/>
              <w:right w:val="single" w:color="auto" w:sz="4" w:space="0"/>
            </w:tcBorders>
            <w:vAlign w:val="center"/>
          </w:tcPr>
          <w:p w14:paraId="09C0F9E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■否</w:t>
            </w:r>
          </w:p>
        </w:tc>
      </w:tr>
      <w:tr w14:paraId="0E6EE2E4">
        <w:tblPrEx>
          <w:tblCellMar>
            <w:top w:w="0" w:type="dxa"/>
            <w:left w:w="108" w:type="dxa"/>
            <w:bottom w:w="0" w:type="dxa"/>
            <w:right w:w="108" w:type="dxa"/>
          </w:tblCellMar>
        </w:tblPrEx>
        <w:trPr>
          <w:trHeight w:val="907" w:hRule="atLeast"/>
        </w:trPr>
        <w:tc>
          <w:tcPr>
            <w:tcW w:w="439" w:type="pct"/>
            <w:tcBorders>
              <w:top w:val="single" w:color="auto" w:sz="4" w:space="0"/>
              <w:left w:val="single" w:color="auto" w:sz="4" w:space="0"/>
              <w:bottom w:val="single" w:color="auto" w:sz="4" w:space="0"/>
              <w:right w:val="single" w:color="auto" w:sz="4" w:space="0"/>
            </w:tcBorders>
            <w:vAlign w:val="center"/>
          </w:tcPr>
          <w:p w14:paraId="7107647C">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5.1</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2B13CDFF">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开标时间和地点</w:t>
            </w:r>
          </w:p>
        </w:tc>
        <w:tc>
          <w:tcPr>
            <w:tcW w:w="3596" w:type="pct"/>
            <w:tcBorders>
              <w:top w:val="single" w:color="auto" w:sz="4" w:space="0"/>
              <w:left w:val="single" w:color="auto" w:sz="4" w:space="0"/>
              <w:bottom w:val="single" w:color="auto" w:sz="4" w:space="0"/>
              <w:right w:val="single" w:color="auto" w:sz="4" w:space="0"/>
            </w:tcBorders>
            <w:vAlign w:val="center"/>
          </w:tcPr>
          <w:p w14:paraId="751B694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开标时间：同投标截止时间</w:t>
            </w:r>
          </w:p>
          <w:p w14:paraId="399A13A6">
            <w:pPr>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开标地点：同投标文件递交地点</w:t>
            </w:r>
          </w:p>
        </w:tc>
      </w:tr>
      <w:tr w14:paraId="5E20A5BA">
        <w:tblPrEx>
          <w:tblCellMar>
            <w:top w:w="0" w:type="dxa"/>
            <w:left w:w="108" w:type="dxa"/>
            <w:bottom w:w="0" w:type="dxa"/>
            <w:right w:w="108" w:type="dxa"/>
          </w:tblCellMar>
        </w:tblPrEx>
        <w:trPr>
          <w:trHeight w:val="458" w:hRule="atLeast"/>
        </w:trPr>
        <w:tc>
          <w:tcPr>
            <w:tcW w:w="439" w:type="pct"/>
            <w:tcBorders>
              <w:top w:val="single" w:color="auto" w:sz="4" w:space="0"/>
              <w:left w:val="single" w:color="auto" w:sz="4" w:space="0"/>
              <w:bottom w:val="single" w:color="auto" w:sz="4" w:space="0"/>
              <w:right w:val="single" w:color="auto" w:sz="4" w:space="0"/>
            </w:tcBorders>
            <w:vAlign w:val="center"/>
          </w:tcPr>
          <w:p w14:paraId="1FA539C7">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5.2</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400FE44D">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开标程序</w:t>
            </w:r>
          </w:p>
        </w:tc>
        <w:tc>
          <w:tcPr>
            <w:tcW w:w="3596" w:type="pct"/>
            <w:tcBorders>
              <w:top w:val="single" w:color="auto" w:sz="4" w:space="0"/>
              <w:left w:val="single" w:color="auto" w:sz="4" w:space="0"/>
              <w:bottom w:val="single" w:color="auto" w:sz="4" w:space="0"/>
              <w:right w:val="single" w:color="auto" w:sz="4" w:space="0"/>
            </w:tcBorders>
            <w:vAlign w:val="top"/>
          </w:tcPr>
          <w:p w14:paraId="46A8473F">
            <w:pPr>
              <w:autoSpaceDE w:val="0"/>
              <w:autoSpaceDN w:val="0"/>
              <w:adjustRightIn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详见投标人须知正文部分。</w:t>
            </w:r>
          </w:p>
        </w:tc>
      </w:tr>
      <w:tr w14:paraId="7F77E4B9">
        <w:tblPrEx>
          <w:tblCellMar>
            <w:top w:w="0" w:type="dxa"/>
            <w:left w:w="108" w:type="dxa"/>
            <w:bottom w:w="0" w:type="dxa"/>
            <w:right w:w="108" w:type="dxa"/>
          </w:tblCellMar>
        </w:tblPrEx>
        <w:trPr>
          <w:trHeight w:val="907" w:hRule="atLeast"/>
        </w:trPr>
        <w:tc>
          <w:tcPr>
            <w:tcW w:w="439" w:type="pct"/>
            <w:tcBorders>
              <w:top w:val="single" w:color="auto" w:sz="4" w:space="0"/>
              <w:left w:val="single" w:color="auto" w:sz="4" w:space="0"/>
              <w:bottom w:val="single" w:color="auto" w:sz="4" w:space="0"/>
              <w:right w:val="single" w:color="auto" w:sz="4" w:space="0"/>
            </w:tcBorders>
            <w:vAlign w:val="center"/>
          </w:tcPr>
          <w:p w14:paraId="27B4E513">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47923B84">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是否授权评标委员会确定中标人</w:t>
            </w:r>
          </w:p>
        </w:tc>
        <w:tc>
          <w:tcPr>
            <w:tcW w:w="3596" w:type="pct"/>
            <w:tcBorders>
              <w:top w:val="single" w:color="auto" w:sz="4" w:space="0"/>
              <w:left w:val="single" w:color="auto" w:sz="4" w:space="0"/>
              <w:bottom w:val="single" w:color="auto" w:sz="4" w:space="0"/>
              <w:right w:val="single" w:color="auto" w:sz="4" w:space="0"/>
            </w:tcBorders>
            <w:vAlign w:val="center"/>
          </w:tcPr>
          <w:p w14:paraId="6AE850BE">
            <w:pPr>
              <w:autoSpaceDE w:val="0"/>
              <w:autoSpaceDN w:val="0"/>
              <w:adjustRightIn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否</w:t>
            </w:r>
            <w:r>
              <w:rPr>
                <w:rFonts w:hint="eastAsia" w:ascii="仿宋" w:hAnsi="仿宋" w:eastAsia="仿宋" w:cs="仿宋"/>
                <w:color w:val="auto"/>
                <w:kern w:val="0"/>
                <w:sz w:val="24"/>
                <w:szCs w:val="24"/>
                <w:highlight w:val="none"/>
              </w:rPr>
              <w:t>，推荐的中标候选人数：前三名。</w:t>
            </w:r>
          </w:p>
        </w:tc>
      </w:tr>
      <w:tr w14:paraId="3B57A731">
        <w:tblPrEx>
          <w:tblCellMar>
            <w:top w:w="0" w:type="dxa"/>
            <w:left w:w="108" w:type="dxa"/>
            <w:bottom w:w="0" w:type="dxa"/>
            <w:right w:w="108" w:type="dxa"/>
          </w:tblCellMar>
        </w:tblPrEx>
        <w:trPr>
          <w:trHeight w:val="90" w:hRule="atLeast"/>
        </w:trPr>
        <w:tc>
          <w:tcPr>
            <w:tcW w:w="439" w:type="pct"/>
            <w:tcBorders>
              <w:top w:val="single" w:color="auto" w:sz="4" w:space="0"/>
              <w:left w:val="single" w:color="auto" w:sz="4" w:space="0"/>
              <w:bottom w:val="single" w:color="auto" w:sz="4" w:space="0"/>
              <w:right w:val="single" w:color="auto" w:sz="4" w:space="0"/>
            </w:tcBorders>
            <w:vAlign w:val="center"/>
          </w:tcPr>
          <w:p w14:paraId="59FC53EF">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w:t>
            </w:r>
          </w:p>
        </w:tc>
        <w:tc>
          <w:tcPr>
            <w:tcW w:w="964" w:type="pct"/>
            <w:gridSpan w:val="2"/>
            <w:tcBorders>
              <w:top w:val="single" w:color="auto" w:sz="4" w:space="0"/>
              <w:left w:val="single" w:color="auto" w:sz="4" w:space="0"/>
              <w:bottom w:val="single" w:color="auto" w:sz="4" w:space="0"/>
              <w:right w:val="single" w:color="auto" w:sz="4" w:space="0"/>
            </w:tcBorders>
            <w:vAlign w:val="center"/>
          </w:tcPr>
          <w:p w14:paraId="60CDFC68">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履约担保</w:t>
            </w:r>
          </w:p>
        </w:tc>
        <w:tc>
          <w:tcPr>
            <w:tcW w:w="3596" w:type="pct"/>
            <w:tcBorders>
              <w:top w:val="single" w:color="auto" w:sz="4" w:space="0"/>
              <w:left w:val="single" w:color="auto" w:sz="4" w:space="0"/>
              <w:bottom w:val="single" w:color="auto" w:sz="4" w:space="0"/>
              <w:right w:val="single" w:color="auto" w:sz="4" w:space="0"/>
            </w:tcBorders>
            <w:vAlign w:val="center"/>
          </w:tcPr>
          <w:p w14:paraId="3A852F66">
            <w:pPr>
              <w:autoSpaceDE w:val="0"/>
              <w:autoSpaceDN w:val="0"/>
              <w:adjustRightInd w:val="0"/>
              <w:spacing w:line="360" w:lineRule="auto"/>
              <w:rPr>
                <w:rFonts w:hint="default"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rPr>
              <w:t>履约保证金缴纳方式：应当以支票、汇票、本票、银行转账或者金融机构、担保机构出具的保函等非现金形式提交；</w:t>
            </w:r>
          </w:p>
          <w:p w14:paraId="5FF30E01">
            <w:pPr>
              <w:autoSpaceDE w:val="0"/>
              <w:autoSpaceDN w:val="0"/>
              <w:adjustRightInd w:val="0"/>
              <w:spacing w:line="360" w:lineRule="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履约保证金缴纳金额：合同金额的10%。</w:t>
            </w:r>
          </w:p>
          <w:p w14:paraId="335B7BC6">
            <w:pPr>
              <w:autoSpaceDE w:val="0"/>
              <w:autoSpaceDN w:val="0"/>
              <w:adjustRightInd w:val="0"/>
              <w:spacing w:line="360" w:lineRule="auto"/>
              <w:rPr>
                <w:rFonts w:hint="default" w:ascii="仿宋" w:hAnsi="仿宋" w:eastAsia="仿宋" w:cs="仿宋"/>
                <w:b/>
                <w:bCs/>
                <w:color w:val="auto"/>
                <w:kern w:val="0"/>
                <w:sz w:val="24"/>
                <w:szCs w:val="24"/>
                <w:highlight w:val="none"/>
                <w:lang w:val="en-US" w:eastAsia="zh-CN"/>
              </w:rPr>
            </w:pPr>
            <w:r>
              <w:rPr>
                <w:rFonts w:hint="default" w:ascii="仿宋" w:hAnsi="仿宋" w:eastAsia="仿宋" w:cs="仿宋"/>
                <w:b/>
                <w:bCs/>
                <w:color w:val="auto"/>
                <w:kern w:val="0"/>
                <w:sz w:val="24"/>
                <w:szCs w:val="24"/>
                <w:highlight w:val="none"/>
                <w:lang w:val="en-US" w:eastAsia="zh-CN"/>
              </w:rPr>
              <w:t>缴纳时间：</w:t>
            </w:r>
            <w:r>
              <w:rPr>
                <w:rFonts w:hint="eastAsia" w:ascii="仿宋" w:hAnsi="仿宋" w:eastAsia="仿宋" w:cs="仿宋"/>
                <w:b w:val="0"/>
                <w:bCs w:val="0"/>
                <w:color w:val="auto"/>
                <w:kern w:val="0"/>
                <w:sz w:val="24"/>
                <w:szCs w:val="24"/>
                <w:highlight w:val="none"/>
                <w:lang w:val="en-US" w:eastAsia="zh-CN"/>
              </w:rPr>
              <w:t>领取</w:t>
            </w:r>
            <w:r>
              <w:rPr>
                <w:rFonts w:hint="eastAsia" w:ascii="仿宋" w:hAnsi="仿宋" w:eastAsia="仿宋" w:cs="仿宋"/>
                <w:bCs/>
                <w:color w:val="auto"/>
                <w:sz w:val="24"/>
                <w:szCs w:val="24"/>
                <w:highlight w:val="none"/>
                <w:lang w:val="en-US" w:eastAsia="zh-CN"/>
              </w:rPr>
              <w:t>中标通知书后</w:t>
            </w:r>
            <w:r>
              <w:rPr>
                <w:rFonts w:hint="eastAsia" w:ascii="仿宋" w:hAnsi="仿宋" w:eastAsia="仿宋" w:cs="仿宋"/>
                <w:bCs/>
                <w:color w:val="auto"/>
                <w:sz w:val="24"/>
                <w:szCs w:val="24"/>
                <w:highlight w:val="none"/>
                <w:u w:val="single"/>
                <w:lang w:val="en-US" w:eastAsia="zh-CN"/>
              </w:rPr>
              <w:t>10</w:t>
            </w:r>
            <w:r>
              <w:rPr>
                <w:rFonts w:hint="eastAsia" w:ascii="仿宋" w:hAnsi="仿宋" w:eastAsia="仿宋" w:cs="仿宋"/>
                <w:bCs/>
                <w:color w:val="auto"/>
                <w:sz w:val="24"/>
                <w:szCs w:val="24"/>
                <w:highlight w:val="none"/>
                <w:lang w:val="en-US" w:eastAsia="zh-CN"/>
              </w:rPr>
              <w:t>日内。</w:t>
            </w:r>
          </w:p>
          <w:p w14:paraId="48F58AF2">
            <w:pPr>
              <w:autoSpaceDE w:val="0"/>
              <w:autoSpaceDN w:val="0"/>
              <w:adjustRightInd w:val="0"/>
              <w:spacing w:line="360" w:lineRule="auto"/>
              <w:rPr>
                <w:rFonts w:hint="default" w:ascii="仿宋" w:hAnsi="仿宋" w:eastAsia="仿宋" w:cs="仿宋"/>
                <w:b/>
                <w:bCs/>
                <w:color w:val="auto"/>
                <w:kern w:val="0"/>
                <w:sz w:val="24"/>
                <w:szCs w:val="24"/>
                <w:highlight w:val="none"/>
                <w:lang w:val="en-US" w:eastAsia="zh-CN"/>
              </w:rPr>
            </w:pPr>
            <w:r>
              <w:rPr>
                <w:rFonts w:hint="default" w:ascii="仿宋" w:hAnsi="仿宋" w:eastAsia="仿宋" w:cs="仿宋"/>
                <w:b/>
                <w:bCs/>
                <w:color w:val="auto"/>
                <w:kern w:val="0"/>
                <w:sz w:val="24"/>
                <w:szCs w:val="24"/>
                <w:highlight w:val="none"/>
                <w:lang w:val="en-US" w:eastAsia="zh-CN"/>
              </w:rPr>
              <w:t>开户银行：</w:t>
            </w:r>
            <w:r>
              <w:rPr>
                <w:rFonts w:hint="eastAsia" w:ascii="仿宋" w:hAnsi="仿宋" w:eastAsia="仿宋" w:cs="仿宋"/>
                <w:color w:val="auto"/>
                <w:sz w:val="24"/>
                <w:szCs w:val="24"/>
                <w:highlight w:val="none"/>
                <w:lang w:val="zh-CN"/>
              </w:rPr>
              <w:t>中国建设银行股份有限公司普洱阳光悦城支行</w:t>
            </w:r>
          </w:p>
          <w:p w14:paraId="7B185D01">
            <w:pPr>
              <w:autoSpaceDE w:val="0"/>
              <w:autoSpaceDN w:val="0"/>
              <w:adjustRightInd w:val="0"/>
              <w:spacing w:line="360" w:lineRule="auto"/>
              <w:rPr>
                <w:rFonts w:hint="default" w:ascii="仿宋" w:hAnsi="仿宋" w:eastAsia="仿宋" w:cs="仿宋"/>
                <w:b/>
                <w:bCs/>
                <w:color w:val="auto"/>
                <w:kern w:val="0"/>
                <w:sz w:val="24"/>
                <w:szCs w:val="24"/>
                <w:highlight w:val="none"/>
                <w:lang w:val="en-US" w:eastAsia="zh-CN"/>
              </w:rPr>
            </w:pPr>
            <w:r>
              <w:rPr>
                <w:rFonts w:hint="default" w:ascii="仿宋" w:hAnsi="仿宋" w:eastAsia="仿宋" w:cs="仿宋"/>
                <w:b/>
                <w:bCs/>
                <w:color w:val="auto"/>
                <w:kern w:val="0"/>
                <w:sz w:val="24"/>
                <w:szCs w:val="24"/>
                <w:highlight w:val="none"/>
                <w:lang w:val="en-US" w:eastAsia="zh-CN"/>
              </w:rPr>
              <w:t>收款户名：</w:t>
            </w:r>
            <w:r>
              <w:rPr>
                <w:rFonts w:hint="eastAsia" w:ascii="仿宋" w:hAnsi="仿宋" w:eastAsia="仿宋" w:cs="仿宋"/>
                <w:bCs/>
                <w:color w:val="auto"/>
                <w:sz w:val="24"/>
                <w:szCs w:val="24"/>
                <w:highlight w:val="none"/>
                <w:lang w:val="en-US" w:eastAsia="zh-CN"/>
              </w:rPr>
              <w:t>普洱市动物疫病预防控制中心</w:t>
            </w:r>
          </w:p>
          <w:p w14:paraId="1E9B180C">
            <w:pPr>
              <w:autoSpaceDE w:val="0"/>
              <w:autoSpaceDN w:val="0"/>
              <w:adjustRightInd w:val="0"/>
              <w:spacing w:line="360" w:lineRule="auto"/>
              <w:rPr>
                <w:rFonts w:hint="default" w:ascii="仿宋" w:hAnsi="仿宋" w:eastAsia="仿宋" w:cs="仿宋"/>
                <w:b w:val="0"/>
                <w:bCs w:val="0"/>
                <w:color w:val="auto"/>
                <w:kern w:val="0"/>
                <w:sz w:val="24"/>
                <w:szCs w:val="24"/>
                <w:highlight w:val="none"/>
                <w:lang w:val="en-US" w:eastAsia="zh-CN"/>
              </w:rPr>
            </w:pPr>
            <w:r>
              <w:rPr>
                <w:rFonts w:hint="default" w:ascii="仿宋" w:hAnsi="仿宋" w:eastAsia="仿宋" w:cs="仿宋"/>
                <w:b/>
                <w:bCs/>
                <w:color w:val="auto"/>
                <w:kern w:val="0"/>
                <w:sz w:val="24"/>
                <w:szCs w:val="24"/>
                <w:highlight w:val="none"/>
                <w:lang w:val="en-US" w:eastAsia="zh-CN"/>
              </w:rPr>
              <w:t>收款账号：</w:t>
            </w:r>
            <w:r>
              <w:rPr>
                <w:rFonts w:hint="default" w:ascii="仿宋" w:hAnsi="仿宋" w:eastAsia="仿宋" w:cs="仿宋"/>
                <w:b w:val="0"/>
                <w:bCs w:val="0"/>
                <w:color w:val="auto"/>
                <w:kern w:val="0"/>
                <w:sz w:val="24"/>
                <w:szCs w:val="24"/>
                <w:highlight w:val="none"/>
                <w:lang w:val="en-US" w:eastAsia="zh-CN"/>
              </w:rPr>
              <w:t>53001686138051000376</w:t>
            </w:r>
          </w:p>
          <w:p w14:paraId="44741B15">
            <w:pPr>
              <w:autoSpaceDE w:val="0"/>
              <w:autoSpaceDN w:val="0"/>
              <w:adjustRightInd w:val="0"/>
              <w:spacing w:line="360" w:lineRule="auto"/>
              <w:rPr>
                <w:rFonts w:hint="default" w:ascii="仿宋" w:hAnsi="仿宋" w:eastAsia="仿宋" w:cs="仿宋"/>
                <w:b w:val="0"/>
                <w:bCs w:val="0"/>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行号：</w:t>
            </w:r>
            <w:r>
              <w:rPr>
                <w:rFonts w:hint="eastAsia" w:ascii="仿宋" w:hAnsi="仿宋" w:eastAsia="仿宋" w:cs="仿宋"/>
                <w:b w:val="0"/>
                <w:bCs w:val="0"/>
                <w:color w:val="auto"/>
                <w:kern w:val="0"/>
                <w:sz w:val="24"/>
                <w:szCs w:val="24"/>
                <w:highlight w:val="none"/>
                <w:lang w:val="en-US" w:eastAsia="zh-CN"/>
              </w:rPr>
              <w:t>105747000035</w:t>
            </w:r>
          </w:p>
          <w:p w14:paraId="2BFE356A">
            <w:pPr>
              <w:autoSpaceDE w:val="0"/>
              <w:autoSpaceDN w:val="0"/>
              <w:adjustRightInd w:val="0"/>
              <w:spacing w:line="360" w:lineRule="auto"/>
              <w:rPr>
                <w:rFonts w:hint="eastAsia"/>
                <w:color w:val="auto"/>
                <w:highlight w:val="none"/>
              </w:rPr>
            </w:pPr>
            <w:r>
              <w:rPr>
                <w:rFonts w:hint="eastAsia" w:ascii="仿宋" w:hAnsi="仿宋" w:eastAsia="仿宋" w:cs="仿宋"/>
                <w:b/>
                <w:bCs/>
                <w:color w:val="auto"/>
                <w:kern w:val="0"/>
                <w:sz w:val="24"/>
                <w:szCs w:val="24"/>
                <w:highlight w:val="none"/>
                <w:lang w:val="en-US" w:eastAsia="zh-CN"/>
              </w:rPr>
              <w:t>退还时间：</w:t>
            </w:r>
            <w:r>
              <w:rPr>
                <w:rFonts w:hint="eastAsia" w:ascii="仿宋" w:hAnsi="仿宋" w:eastAsia="仿宋" w:cs="仿宋"/>
                <w:color w:val="auto"/>
                <w:kern w:val="0"/>
                <w:sz w:val="24"/>
                <w:szCs w:val="24"/>
                <w:highlight w:val="none"/>
                <w:lang w:val="en-US" w:eastAsia="zh-CN"/>
              </w:rPr>
              <w:t>一标段：</w:t>
            </w:r>
            <w:r>
              <w:rPr>
                <w:rFonts w:hint="eastAsia" w:ascii="仿宋" w:hAnsi="仿宋" w:eastAsia="仿宋" w:cs="仿宋"/>
                <w:color w:val="auto"/>
                <w:sz w:val="24"/>
                <w:szCs w:val="24"/>
                <w:highlight w:val="none"/>
                <w:lang w:val="en-US" w:eastAsia="zh-CN"/>
              </w:rPr>
              <w:t>全部货物供应完毕、免疫抗体效果评价合格、所有免疫副反应赔偿结清、废弃疫苗/空瓶全部合规处置完毕后30个工作日内，无息退还</w:t>
            </w:r>
            <w:r>
              <w:rPr>
                <w:rFonts w:hint="eastAsia" w:ascii="仿宋" w:hAnsi="仿宋" w:eastAsia="仿宋" w:cs="仿宋"/>
                <w:color w:val="auto"/>
                <w:kern w:val="0"/>
                <w:sz w:val="24"/>
                <w:szCs w:val="24"/>
                <w:highlight w:val="none"/>
                <w:lang w:val="en-US" w:eastAsia="zh-CN"/>
              </w:rPr>
              <w:t>。</w:t>
            </w:r>
          </w:p>
        </w:tc>
      </w:tr>
      <w:tr w14:paraId="1FB5AC7F">
        <w:tblPrEx>
          <w:tblCellMar>
            <w:top w:w="0" w:type="dxa"/>
            <w:left w:w="108" w:type="dxa"/>
            <w:bottom w:w="0" w:type="dxa"/>
            <w:right w:w="108" w:type="dxa"/>
          </w:tblCellMar>
        </w:tblPrEx>
        <w:trPr>
          <w:trHeight w:val="184" w:hRule="atLeast"/>
        </w:trPr>
        <w:tc>
          <w:tcPr>
            <w:tcW w:w="5000" w:type="pct"/>
            <w:gridSpan w:val="4"/>
            <w:tcBorders>
              <w:top w:val="single" w:color="auto" w:sz="4" w:space="0"/>
              <w:left w:val="single" w:color="auto" w:sz="4" w:space="0"/>
              <w:bottom w:val="single" w:color="auto" w:sz="4" w:space="0"/>
              <w:right w:val="single" w:color="auto" w:sz="4" w:space="0"/>
            </w:tcBorders>
            <w:vAlign w:val="center"/>
          </w:tcPr>
          <w:p w14:paraId="5EDBBD14">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b/>
                <w:bCs/>
                <w:color w:val="auto"/>
                <w:kern w:val="0"/>
                <w:sz w:val="24"/>
                <w:szCs w:val="24"/>
                <w:highlight w:val="none"/>
              </w:rPr>
              <w:t>需要补充的其他内容</w:t>
            </w:r>
          </w:p>
        </w:tc>
      </w:tr>
      <w:tr w14:paraId="4C6A88AC">
        <w:tblPrEx>
          <w:tblCellMar>
            <w:top w:w="0" w:type="dxa"/>
            <w:left w:w="108" w:type="dxa"/>
            <w:bottom w:w="0" w:type="dxa"/>
            <w:right w:w="108" w:type="dxa"/>
          </w:tblCellMar>
        </w:tblPrEx>
        <w:trPr>
          <w:trHeight w:val="90" w:hRule="atLeast"/>
        </w:trPr>
        <w:tc>
          <w:tcPr>
            <w:tcW w:w="692" w:type="pct"/>
            <w:gridSpan w:val="2"/>
            <w:tcBorders>
              <w:top w:val="single" w:color="auto" w:sz="4" w:space="0"/>
              <w:left w:val="single" w:color="auto" w:sz="4" w:space="0"/>
              <w:bottom w:val="single" w:color="auto" w:sz="4" w:space="0"/>
              <w:right w:val="single" w:color="auto" w:sz="4" w:space="0"/>
            </w:tcBorders>
            <w:vAlign w:val="center"/>
          </w:tcPr>
          <w:p w14:paraId="121F2B54">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8.1</w:t>
            </w:r>
          </w:p>
        </w:tc>
        <w:tc>
          <w:tcPr>
            <w:tcW w:w="711" w:type="pct"/>
            <w:tcBorders>
              <w:top w:val="single" w:color="auto" w:sz="4" w:space="0"/>
              <w:left w:val="single" w:color="auto" w:sz="4" w:space="0"/>
              <w:bottom w:val="single" w:color="auto" w:sz="4" w:space="0"/>
              <w:right w:val="single" w:color="auto" w:sz="4" w:space="0"/>
            </w:tcBorders>
            <w:vAlign w:val="center"/>
          </w:tcPr>
          <w:p w14:paraId="2675C072">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投标文件电子版提交要求</w:t>
            </w:r>
          </w:p>
        </w:tc>
        <w:tc>
          <w:tcPr>
            <w:tcW w:w="3596" w:type="pct"/>
            <w:tcBorders>
              <w:top w:val="single" w:color="auto" w:sz="4" w:space="0"/>
              <w:left w:val="single" w:color="auto" w:sz="4" w:space="0"/>
              <w:bottom w:val="single" w:color="auto" w:sz="4" w:space="0"/>
              <w:right w:val="single" w:color="auto" w:sz="4" w:space="0"/>
            </w:tcBorders>
            <w:vAlign w:val="center"/>
          </w:tcPr>
          <w:p w14:paraId="0F098861">
            <w:pPr>
              <w:autoSpaceDE w:val="0"/>
              <w:autoSpaceDN w:val="0"/>
              <w:adjustRightIn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详见投标人须知</w:t>
            </w:r>
            <w:r>
              <w:rPr>
                <w:rFonts w:hint="eastAsia" w:ascii="仿宋" w:hAnsi="仿宋" w:eastAsia="仿宋" w:cs="仿宋"/>
                <w:color w:val="auto"/>
                <w:sz w:val="24"/>
                <w:szCs w:val="24"/>
                <w:highlight w:val="none"/>
              </w:rPr>
              <w:t>前附表3.7条规定。</w:t>
            </w:r>
          </w:p>
        </w:tc>
      </w:tr>
      <w:tr w14:paraId="3BE31591">
        <w:tblPrEx>
          <w:tblCellMar>
            <w:top w:w="0" w:type="dxa"/>
            <w:left w:w="108" w:type="dxa"/>
            <w:bottom w:w="0" w:type="dxa"/>
            <w:right w:w="108" w:type="dxa"/>
          </w:tblCellMar>
        </w:tblPrEx>
        <w:trPr>
          <w:trHeight w:val="458" w:hRule="atLeast"/>
        </w:trPr>
        <w:tc>
          <w:tcPr>
            <w:tcW w:w="692" w:type="pct"/>
            <w:gridSpan w:val="2"/>
            <w:tcBorders>
              <w:top w:val="single" w:color="auto" w:sz="4" w:space="0"/>
              <w:left w:val="single" w:color="auto" w:sz="4" w:space="0"/>
              <w:bottom w:val="single" w:color="auto" w:sz="4" w:space="0"/>
              <w:right w:val="single" w:color="auto" w:sz="4" w:space="0"/>
            </w:tcBorders>
            <w:vAlign w:val="center"/>
          </w:tcPr>
          <w:p w14:paraId="2485FCCC">
            <w:pPr>
              <w:autoSpaceDE w:val="0"/>
              <w:autoSpaceDN w:val="0"/>
              <w:adjustRightIn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8.</w:t>
            </w:r>
            <w:r>
              <w:rPr>
                <w:rFonts w:hint="eastAsia" w:ascii="仿宋" w:hAnsi="仿宋" w:eastAsia="仿宋" w:cs="仿宋"/>
                <w:color w:val="auto"/>
                <w:kern w:val="0"/>
                <w:sz w:val="24"/>
                <w:szCs w:val="24"/>
                <w:highlight w:val="none"/>
                <w:lang w:val="en-US" w:eastAsia="zh-CN"/>
              </w:rPr>
              <w:t>2</w:t>
            </w:r>
          </w:p>
        </w:tc>
        <w:tc>
          <w:tcPr>
            <w:tcW w:w="711" w:type="pct"/>
            <w:tcBorders>
              <w:top w:val="single" w:color="auto" w:sz="4" w:space="0"/>
              <w:left w:val="single" w:color="auto" w:sz="4" w:space="0"/>
              <w:bottom w:val="single" w:color="auto" w:sz="4" w:space="0"/>
              <w:right w:val="single" w:color="auto" w:sz="4" w:space="0"/>
            </w:tcBorders>
            <w:vAlign w:val="center"/>
          </w:tcPr>
          <w:p w14:paraId="18A83126">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采购预算金额</w:t>
            </w:r>
          </w:p>
        </w:tc>
        <w:tc>
          <w:tcPr>
            <w:tcW w:w="3596" w:type="pct"/>
            <w:tcBorders>
              <w:top w:val="single" w:color="auto" w:sz="4" w:space="0"/>
              <w:left w:val="single" w:color="auto" w:sz="4" w:space="0"/>
              <w:bottom w:val="single" w:color="auto" w:sz="4" w:space="0"/>
              <w:right w:val="single" w:color="auto" w:sz="4" w:space="0"/>
            </w:tcBorders>
            <w:vAlign w:val="center"/>
          </w:tcPr>
          <w:p w14:paraId="3AB97100">
            <w:pPr>
              <w:spacing w:line="360" w:lineRule="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67.00万元（一标段：67.00万元）</w:t>
            </w:r>
          </w:p>
        </w:tc>
      </w:tr>
      <w:tr w14:paraId="66DD1CF4">
        <w:tblPrEx>
          <w:tblCellMar>
            <w:top w:w="0" w:type="dxa"/>
            <w:left w:w="108" w:type="dxa"/>
            <w:bottom w:w="0" w:type="dxa"/>
            <w:right w:w="108" w:type="dxa"/>
          </w:tblCellMar>
        </w:tblPrEx>
        <w:trPr>
          <w:trHeight w:val="224" w:hRule="atLeast"/>
        </w:trPr>
        <w:tc>
          <w:tcPr>
            <w:tcW w:w="692" w:type="pct"/>
            <w:gridSpan w:val="2"/>
            <w:tcBorders>
              <w:top w:val="single" w:color="auto" w:sz="4" w:space="0"/>
              <w:left w:val="single" w:color="auto" w:sz="4" w:space="0"/>
              <w:bottom w:val="single" w:color="auto" w:sz="4" w:space="0"/>
              <w:right w:val="single" w:color="auto" w:sz="4" w:space="0"/>
            </w:tcBorders>
            <w:vAlign w:val="center"/>
          </w:tcPr>
          <w:p w14:paraId="1F19756B">
            <w:pPr>
              <w:autoSpaceDE w:val="0"/>
              <w:autoSpaceDN w:val="0"/>
              <w:adjustRightIn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8.</w:t>
            </w:r>
            <w:r>
              <w:rPr>
                <w:rFonts w:hint="eastAsia" w:ascii="仿宋" w:hAnsi="仿宋" w:eastAsia="仿宋" w:cs="仿宋"/>
                <w:color w:val="auto"/>
                <w:kern w:val="0"/>
                <w:sz w:val="24"/>
                <w:szCs w:val="24"/>
                <w:highlight w:val="none"/>
                <w:lang w:val="en-US" w:eastAsia="zh-CN"/>
              </w:rPr>
              <w:t>3</w:t>
            </w:r>
          </w:p>
        </w:tc>
        <w:tc>
          <w:tcPr>
            <w:tcW w:w="711" w:type="pct"/>
            <w:tcBorders>
              <w:top w:val="single" w:color="auto" w:sz="4" w:space="0"/>
              <w:left w:val="single" w:color="auto" w:sz="4" w:space="0"/>
              <w:bottom w:val="single" w:color="auto" w:sz="4" w:space="0"/>
              <w:right w:val="single" w:color="auto" w:sz="4" w:space="0"/>
            </w:tcBorders>
            <w:vAlign w:val="center"/>
          </w:tcPr>
          <w:p w14:paraId="63451FF9">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电子投标文件编制及报送要求</w:t>
            </w:r>
          </w:p>
        </w:tc>
        <w:tc>
          <w:tcPr>
            <w:tcW w:w="3596" w:type="pct"/>
            <w:tcBorders>
              <w:top w:val="single" w:color="auto" w:sz="4" w:space="0"/>
              <w:left w:val="single" w:color="auto" w:sz="4" w:space="0"/>
              <w:bottom w:val="single" w:color="auto" w:sz="4" w:space="0"/>
              <w:right w:val="single" w:color="auto" w:sz="4" w:space="0"/>
            </w:tcBorders>
            <w:vAlign w:val="center"/>
          </w:tcPr>
          <w:p w14:paraId="09ED1C67">
            <w:pPr>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详见投标人须知正文部分。</w:t>
            </w:r>
          </w:p>
        </w:tc>
      </w:tr>
      <w:tr w14:paraId="7BC615DE">
        <w:tblPrEx>
          <w:tblCellMar>
            <w:top w:w="0" w:type="dxa"/>
            <w:left w:w="108" w:type="dxa"/>
            <w:bottom w:w="0" w:type="dxa"/>
            <w:right w:w="108" w:type="dxa"/>
          </w:tblCellMar>
        </w:tblPrEx>
        <w:trPr>
          <w:trHeight w:val="763" w:hRule="atLeast"/>
        </w:trPr>
        <w:tc>
          <w:tcPr>
            <w:tcW w:w="692" w:type="pct"/>
            <w:gridSpan w:val="2"/>
            <w:tcBorders>
              <w:top w:val="single" w:color="auto" w:sz="4" w:space="0"/>
              <w:left w:val="single" w:color="auto" w:sz="4" w:space="0"/>
              <w:bottom w:val="single" w:color="auto" w:sz="4" w:space="0"/>
              <w:right w:val="single" w:color="auto" w:sz="4" w:space="0"/>
            </w:tcBorders>
            <w:vAlign w:val="center"/>
          </w:tcPr>
          <w:p w14:paraId="5216EEB2">
            <w:pPr>
              <w:autoSpaceDE w:val="0"/>
              <w:autoSpaceDN w:val="0"/>
              <w:adjustRightIn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8.4</w:t>
            </w:r>
          </w:p>
        </w:tc>
        <w:tc>
          <w:tcPr>
            <w:tcW w:w="711" w:type="pct"/>
            <w:tcBorders>
              <w:top w:val="single" w:color="auto" w:sz="4" w:space="0"/>
              <w:left w:val="single" w:color="auto" w:sz="4" w:space="0"/>
              <w:bottom w:val="single" w:color="auto" w:sz="4" w:space="0"/>
              <w:right w:val="single" w:color="auto" w:sz="4" w:space="0"/>
            </w:tcBorders>
            <w:vAlign w:val="center"/>
          </w:tcPr>
          <w:p w14:paraId="45E349F2">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进口产品</w:t>
            </w:r>
          </w:p>
        </w:tc>
        <w:tc>
          <w:tcPr>
            <w:tcW w:w="3596" w:type="pct"/>
            <w:tcBorders>
              <w:top w:val="single" w:color="auto" w:sz="4" w:space="0"/>
              <w:left w:val="single" w:color="auto" w:sz="4" w:space="0"/>
              <w:bottom w:val="single" w:color="auto" w:sz="4" w:space="0"/>
              <w:right w:val="single" w:color="auto" w:sz="4" w:space="0"/>
            </w:tcBorders>
            <w:vAlign w:val="center"/>
          </w:tcPr>
          <w:p w14:paraId="2FE2110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是否接受进口产品：</w:t>
            </w:r>
          </w:p>
          <w:p w14:paraId="3B5118C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FE"/>
            </w:r>
            <w:r>
              <w:rPr>
                <w:rFonts w:hint="eastAsia" w:ascii="仿宋" w:hAnsi="仿宋" w:eastAsia="仿宋" w:cs="仿宋"/>
                <w:color w:val="auto"/>
                <w:sz w:val="24"/>
                <w:szCs w:val="24"/>
                <w:highlight w:val="none"/>
              </w:rPr>
              <w:t>否，本项目所有采购货物均不接受进口产品。</w:t>
            </w:r>
          </w:p>
          <w:p w14:paraId="335755B6">
            <w:pPr>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是，本项目接受进口产品。</w:t>
            </w:r>
          </w:p>
        </w:tc>
      </w:tr>
      <w:tr w14:paraId="1371D8E0">
        <w:tblPrEx>
          <w:tblCellMar>
            <w:top w:w="0" w:type="dxa"/>
            <w:left w:w="108" w:type="dxa"/>
            <w:bottom w:w="0" w:type="dxa"/>
            <w:right w:w="108" w:type="dxa"/>
          </w:tblCellMar>
        </w:tblPrEx>
        <w:trPr>
          <w:trHeight w:val="763" w:hRule="atLeast"/>
        </w:trPr>
        <w:tc>
          <w:tcPr>
            <w:tcW w:w="692" w:type="pct"/>
            <w:gridSpan w:val="2"/>
            <w:tcBorders>
              <w:top w:val="single" w:color="auto" w:sz="4" w:space="0"/>
              <w:left w:val="single" w:color="auto" w:sz="4" w:space="0"/>
              <w:bottom w:val="single" w:color="auto" w:sz="4" w:space="0"/>
              <w:right w:val="single" w:color="auto" w:sz="4" w:space="0"/>
            </w:tcBorders>
            <w:vAlign w:val="center"/>
          </w:tcPr>
          <w:p w14:paraId="788E860E">
            <w:pPr>
              <w:autoSpaceDE w:val="0"/>
              <w:autoSpaceDN w:val="0"/>
              <w:adjustRightInd w:val="0"/>
              <w:spacing w:line="360" w:lineRule="auto"/>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8.5</w:t>
            </w:r>
          </w:p>
        </w:tc>
        <w:tc>
          <w:tcPr>
            <w:tcW w:w="711" w:type="pct"/>
            <w:tcBorders>
              <w:top w:val="single" w:color="auto" w:sz="4" w:space="0"/>
              <w:left w:val="single" w:color="auto" w:sz="4" w:space="0"/>
              <w:bottom w:val="single" w:color="auto" w:sz="4" w:space="0"/>
              <w:right w:val="single" w:color="auto" w:sz="4" w:space="0"/>
            </w:tcBorders>
            <w:vAlign w:val="center"/>
          </w:tcPr>
          <w:p w14:paraId="59DBED3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关于本国产品的政策支持</w:t>
            </w:r>
          </w:p>
        </w:tc>
        <w:tc>
          <w:tcPr>
            <w:tcW w:w="3596" w:type="pct"/>
            <w:tcBorders>
              <w:top w:val="single" w:color="auto" w:sz="4" w:space="0"/>
              <w:left w:val="single" w:color="auto" w:sz="4" w:space="0"/>
              <w:bottom w:val="single" w:color="auto" w:sz="4" w:space="0"/>
              <w:right w:val="single" w:color="auto" w:sz="4" w:space="0"/>
            </w:tcBorders>
            <w:vAlign w:val="center"/>
          </w:tcPr>
          <w:p w14:paraId="48BAC9AE">
            <w:pPr>
              <w:pStyle w:val="10"/>
              <w:spacing w:line="360" w:lineRule="auto"/>
              <w:jc w:val="both"/>
              <w:rPr>
                <w:rFonts w:hint="eastAsia" w:ascii="仿宋" w:hAnsi="仿宋" w:eastAsia="仿宋" w:cs="仿宋"/>
                <w:color w:val="auto"/>
                <w:sz w:val="24"/>
                <w:szCs w:val="20"/>
                <w:highlight w:val="none"/>
                <w:u w:val="none"/>
                <w:lang w:val="en-US" w:eastAsia="zh-CN"/>
              </w:rPr>
            </w:pPr>
            <w:r>
              <w:rPr>
                <w:rFonts w:hint="eastAsia" w:ascii="仿宋" w:hAnsi="仿宋" w:eastAsia="仿宋" w:cs="仿宋"/>
                <w:color w:val="auto"/>
                <w:sz w:val="24"/>
                <w:szCs w:val="20"/>
                <w:highlight w:val="none"/>
                <w:u w:val="none"/>
                <w:lang w:val="en-US" w:eastAsia="zh-CN"/>
              </w:rPr>
              <w:t>1.本项目对采购本国产品给予政策支持：</w:t>
            </w:r>
          </w:p>
          <w:p w14:paraId="7A6BA0D1">
            <w:pPr>
              <w:pStyle w:val="10"/>
              <w:spacing w:line="360" w:lineRule="auto"/>
              <w:jc w:val="both"/>
              <w:rPr>
                <w:rFonts w:hint="eastAsia" w:ascii="仿宋" w:hAnsi="仿宋" w:eastAsia="仿宋" w:cs="仿宋"/>
                <w:color w:val="auto"/>
                <w:sz w:val="24"/>
                <w:szCs w:val="20"/>
                <w:highlight w:val="none"/>
                <w:u w:val="none"/>
                <w:lang w:val="en-US" w:eastAsia="zh-CN"/>
              </w:rPr>
            </w:pPr>
            <w:r>
              <w:rPr>
                <w:rFonts w:hint="eastAsia" w:ascii="仿宋" w:hAnsi="仿宋" w:eastAsia="仿宋" w:cs="仿宋"/>
                <w:color w:val="auto"/>
                <w:sz w:val="24"/>
                <w:szCs w:val="20"/>
                <w:highlight w:val="none"/>
                <w:u w:val="none"/>
                <w:lang w:val="en-US" w:eastAsia="zh-CN"/>
              </w:rPr>
              <w:t>1.1本项目政府采购活动中既有本国产品又有非本国产品参与竞争的，依法对本国产品给予价格评审优惠，对本国产品的报价给予20%的价格扣除，用扣除后的价格参与评审。</w:t>
            </w:r>
          </w:p>
          <w:p w14:paraId="2FF3EBB6">
            <w:pPr>
              <w:pStyle w:val="10"/>
              <w:spacing w:line="360" w:lineRule="auto"/>
              <w:jc w:val="both"/>
              <w:rPr>
                <w:rFonts w:hint="eastAsia" w:ascii="仿宋" w:hAnsi="仿宋" w:eastAsia="仿宋" w:cs="仿宋"/>
                <w:color w:val="auto"/>
                <w:sz w:val="24"/>
                <w:szCs w:val="20"/>
                <w:highlight w:val="none"/>
                <w:u w:val="none"/>
                <w:lang w:val="en-US" w:eastAsia="zh-CN"/>
              </w:rPr>
            </w:pPr>
            <w:r>
              <w:rPr>
                <w:rFonts w:hint="eastAsia" w:ascii="仿宋" w:hAnsi="仿宋" w:eastAsia="仿宋" w:cs="仿宋"/>
                <w:color w:val="auto"/>
                <w:sz w:val="24"/>
                <w:szCs w:val="20"/>
                <w:highlight w:val="none"/>
                <w:u w:val="none"/>
                <w:lang w:val="en-US" w:eastAsia="zh-CN"/>
              </w:rPr>
              <w:t>1.2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56F8DA66">
            <w:pPr>
              <w:pStyle w:val="10"/>
              <w:spacing w:line="360" w:lineRule="auto"/>
              <w:jc w:val="both"/>
              <w:rPr>
                <w:rFonts w:hint="eastAsia" w:ascii="仿宋" w:hAnsi="仿宋" w:eastAsia="仿宋" w:cs="仿宋"/>
                <w:color w:val="auto"/>
                <w:sz w:val="24"/>
                <w:szCs w:val="20"/>
                <w:highlight w:val="none"/>
                <w:u w:val="none"/>
                <w:lang w:val="en-US" w:eastAsia="zh-CN"/>
              </w:rPr>
            </w:pPr>
            <w:r>
              <w:rPr>
                <w:rFonts w:hint="eastAsia" w:ascii="仿宋" w:hAnsi="仿宋" w:eastAsia="仿宋" w:cs="仿宋"/>
                <w:color w:val="auto"/>
                <w:sz w:val="24"/>
                <w:szCs w:val="20"/>
                <w:highlight w:val="none"/>
                <w:u w:val="none"/>
                <w:lang w:val="en-US" w:eastAsia="zh-CN"/>
              </w:rPr>
              <w:t>1.3投标人需按照招标文件的要求提供《关于符合本国产品标准的声明函》（以下简称《声明函》），如不提供将不享受本国产品价格评审优惠。</w:t>
            </w:r>
          </w:p>
          <w:p w14:paraId="6952D1C8">
            <w:pPr>
              <w:pStyle w:val="10"/>
              <w:spacing w:line="360" w:lineRule="auto"/>
              <w:jc w:val="both"/>
              <w:rPr>
                <w:rFonts w:hint="eastAsia" w:ascii="仿宋" w:hAnsi="仿宋" w:eastAsia="仿宋" w:cs="仿宋"/>
                <w:color w:val="auto"/>
                <w:sz w:val="24"/>
                <w:szCs w:val="20"/>
                <w:highlight w:val="none"/>
                <w:u w:val="none"/>
                <w:lang w:val="en-US" w:eastAsia="zh-CN"/>
              </w:rPr>
            </w:pPr>
            <w:r>
              <w:rPr>
                <w:rFonts w:hint="eastAsia" w:ascii="仿宋" w:hAnsi="仿宋" w:eastAsia="仿宋" w:cs="仿宋"/>
                <w:color w:val="auto"/>
                <w:sz w:val="24"/>
                <w:szCs w:val="20"/>
                <w:highlight w:val="none"/>
                <w:u w:val="none"/>
                <w:lang w:val="en-US" w:eastAsia="zh-CN"/>
              </w:rPr>
              <w:t>1.4投标人需在《声明函》中逐一、准确填写产品名称、厂名、生产厂址三项信息（《声明函》中用斜线划除的地方无需填写），三项信息中任意一项未填写的视为该项产品不符合本国产品标准，不享受本国产品价格评审优惠。</w:t>
            </w:r>
          </w:p>
          <w:p w14:paraId="6030E402">
            <w:pPr>
              <w:pStyle w:val="10"/>
              <w:spacing w:line="360" w:lineRule="auto"/>
              <w:jc w:val="both"/>
              <w:rPr>
                <w:rFonts w:hint="eastAsia" w:ascii="仿宋" w:hAnsi="仿宋" w:eastAsia="仿宋" w:cs="仿宋"/>
                <w:color w:val="auto"/>
                <w:sz w:val="24"/>
                <w:szCs w:val="20"/>
                <w:highlight w:val="none"/>
                <w:u w:val="none"/>
                <w:lang w:val="en-US" w:eastAsia="zh-CN"/>
              </w:rPr>
            </w:pPr>
            <w:r>
              <w:rPr>
                <w:rFonts w:hint="eastAsia" w:ascii="仿宋" w:hAnsi="仿宋" w:eastAsia="仿宋" w:cs="仿宋"/>
                <w:color w:val="auto"/>
                <w:sz w:val="24"/>
                <w:szCs w:val="20"/>
                <w:highlight w:val="none"/>
                <w:u w:val="none"/>
                <w:lang w:val="en-US" w:eastAsia="zh-CN"/>
              </w:rPr>
              <w:t>1.5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67ECE407">
            <w:pPr>
              <w:pStyle w:val="10"/>
              <w:spacing w:line="360" w:lineRule="auto"/>
              <w:rPr>
                <w:rFonts w:hint="eastAsia" w:ascii="仿宋" w:hAnsi="仿宋" w:eastAsia="仿宋" w:cs="仿宋"/>
                <w:b/>
                <w:bCs/>
                <w:color w:val="auto"/>
                <w:sz w:val="24"/>
                <w:szCs w:val="20"/>
                <w:highlight w:val="none"/>
                <w:u w:val="none"/>
                <w:lang w:val="en-US" w:eastAsia="zh-CN"/>
              </w:rPr>
            </w:pPr>
            <w:r>
              <w:rPr>
                <w:rFonts w:hint="eastAsia" w:ascii="仿宋" w:hAnsi="仿宋" w:eastAsia="仿宋" w:cs="仿宋"/>
                <w:color w:val="auto"/>
                <w:sz w:val="24"/>
                <w:szCs w:val="20"/>
                <w:highlight w:val="none"/>
                <w:u w:val="none"/>
                <w:lang w:val="en-US" w:eastAsia="zh-CN"/>
              </w:rPr>
              <w:t>2.适用本国产品标准的货物具体是指《政府采购品目分类目录》中的货物类产品，</w:t>
            </w:r>
            <w:r>
              <w:rPr>
                <w:rFonts w:hint="eastAsia" w:ascii="仿宋" w:hAnsi="仿宋" w:eastAsia="仿宋" w:cs="仿宋"/>
                <w:b w:val="0"/>
                <w:bCs w:val="0"/>
                <w:color w:val="auto"/>
                <w:sz w:val="24"/>
                <w:szCs w:val="20"/>
                <w:highlight w:val="none"/>
                <w:u w:val="none"/>
                <w:lang w:val="en-US" w:eastAsia="zh-CN"/>
              </w:rPr>
              <w:t>但不包括其中的房屋和构筑物，文物和陈列品，图书和档案，特种动植物，农林牧渔业产品，矿与矿物，电力、城市燃气、蒸汽和热水、水，食品、饮料和烟草原料，无形资产。</w:t>
            </w:r>
          </w:p>
          <w:p w14:paraId="69250D3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0"/>
                <w:highlight w:val="none"/>
                <w:u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tc>
      </w:tr>
      <w:tr w14:paraId="3C091D11">
        <w:tblPrEx>
          <w:tblCellMar>
            <w:top w:w="0" w:type="dxa"/>
            <w:left w:w="108" w:type="dxa"/>
            <w:bottom w:w="0" w:type="dxa"/>
            <w:right w:w="108" w:type="dxa"/>
          </w:tblCellMar>
        </w:tblPrEx>
        <w:trPr>
          <w:trHeight w:val="332" w:hRule="atLeast"/>
        </w:trPr>
        <w:tc>
          <w:tcPr>
            <w:tcW w:w="1403" w:type="pct"/>
            <w:gridSpan w:val="3"/>
            <w:tcBorders>
              <w:top w:val="single" w:color="auto" w:sz="4" w:space="0"/>
              <w:left w:val="single" w:color="auto" w:sz="4" w:space="0"/>
              <w:bottom w:val="single" w:color="auto" w:sz="4" w:space="0"/>
              <w:right w:val="single" w:color="auto" w:sz="4" w:space="0"/>
            </w:tcBorders>
            <w:vAlign w:val="center"/>
          </w:tcPr>
          <w:p w14:paraId="0D59B12A">
            <w:pPr>
              <w:snapToGrid w:val="0"/>
              <w:spacing w:line="380" w:lineRule="exact"/>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其他释义</w:t>
            </w:r>
          </w:p>
        </w:tc>
        <w:tc>
          <w:tcPr>
            <w:tcW w:w="3596" w:type="pct"/>
            <w:tcBorders>
              <w:top w:val="single" w:color="auto" w:sz="4" w:space="0"/>
              <w:left w:val="single" w:color="auto" w:sz="4" w:space="0"/>
              <w:bottom w:val="single" w:color="auto" w:sz="4" w:space="0"/>
              <w:right w:val="single" w:color="auto" w:sz="4" w:space="0"/>
            </w:tcBorders>
            <w:vAlign w:val="center"/>
          </w:tcPr>
          <w:p w14:paraId="60F7A280">
            <w:pPr>
              <w:spacing w:line="38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.投标人为其他组织或者自然人时，本招标文件规定的法定代表人指负责人或者自然人。本招标文件所称负责人是指参加投标的其他组织营业执照上的负责人，本招标文件所称自然人指参与投标的自然人本人。</w:t>
            </w:r>
          </w:p>
          <w:p w14:paraId="187ED2E6">
            <w:pPr>
              <w:spacing w:line="38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.本招标文件中描述投标人的“签字”是指投标人的法定代表人或者委托代理人亲自在文件规定签署处亲笔写上个人的名字的行为，私章、签字章、印鉴、影印等其他形式均不能代替亲笔签字。</w:t>
            </w:r>
          </w:p>
          <w:p w14:paraId="5E352961">
            <w:pPr>
              <w:spacing w:line="38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.自然人投标的，招标文件规定盖公章处由自然人摁手指指印。</w:t>
            </w:r>
          </w:p>
          <w:p w14:paraId="303E4EFF">
            <w:pPr>
              <w:spacing w:line="38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.本招标文件所称的“以上”“以下”“以内”“届满”，包括本数；所称的“不满”“超过”“以外”，不包括本数。</w:t>
            </w:r>
          </w:p>
        </w:tc>
      </w:tr>
      <w:tr w14:paraId="725FD323">
        <w:tblPrEx>
          <w:tblCellMar>
            <w:top w:w="0" w:type="dxa"/>
            <w:left w:w="108" w:type="dxa"/>
            <w:bottom w:w="0" w:type="dxa"/>
            <w:right w:w="108" w:type="dxa"/>
          </w:tblCellMar>
        </w:tblPrEx>
        <w:trPr>
          <w:trHeight w:val="599" w:hRule="atLeast"/>
        </w:trPr>
        <w:tc>
          <w:tcPr>
            <w:tcW w:w="1403" w:type="pct"/>
            <w:gridSpan w:val="3"/>
            <w:tcBorders>
              <w:top w:val="single" w:color="auto" w:sz="4" w:space="0"/>
              <w:left w:val="single" w:color="auto" w:sz="4" w:space="0"/>
              <w:bottom w:val="single" w:color="auto" w:sz="4" w:space="0"/>
              <w:right w:val="single" w:color="auto" w:sz="4" w:space="0"/>
            </w:tcBorders>
            <w:vAlign w:val="center"/>
          </w:tcPr>
          <w:p w14:paraId="6EFB6647">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政府采购政策的应用</w:t>
            </w:r>
          </w:p>
        </w:tc>
        <w:tc>
          <w:tcPr>
            <w:tcW w:w="3596" w:type="pct"/>
            <w:tcBorders>
              <w:top w:val="single" w:color="auto" w:sz="4" w:space="0"/>
              <w:left w:val="single" w:color="auto" w:sz="4" w:space="0"/>
              <w:bottom w:val="single" w:color="auto" w:sz="4" w:space="0"/>
              <w:right w:val="single" w:color="auto" w:sz="4" w:space="0"/>
            </w:tcBorders>
            <w:vAlign w:val="center"/>
          </w:tcPr>
          <w:p w14:paraId="21F2C461">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1.本项目非</w:t>
            </w:r>
            <w:r>
              <w:rPr>
                <w:rFonts w:hint="eastAsia" w:ascii="仿宋" w:hAnsi="仿宋" w:eastAsia="仿宋" w:cs="仿宋"/>
                <w:color w:val="auto"/>
                <w:sz w:val="24"/>
                <w:szCs w:val="24"/>
                <w:highlight w:val="none"/>
              </w:rPr>
              <w:t>专门面向中小企业采购的项目</w:t>
            </w:r>
            <w:r>
              <w:rPr>
                <w:rFonts w:hint="eastAsia" w:ascii="仿宋" w:hAnsi="仿宋" w:eastAsia="仿宋" w:cs="仿宋"/>
                <w:color w:val="auto"/>
                <w:sz w:val="24"/>
                <w:szCs w:val="24"/>
                <w:highlight w:val="none"/>
                <w:lang w:eastAsia="zh-CN"/>
              </w:rPr>
              <w:t>。</w:t>
            </w:r>
          </w:p>
          <w:p w14:paraId="0A6A1E60">
            <w:pPr>
              <w:spacing w:line="360" w:lineRule="auto"/>
              <w:ind w:firstLine="240" w:firstLineChars="100"/>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根据《政府采购促进中小企业发展管理办法》（财库〔2020〕46号）及《关于进一步加大政府采购支持中小企业力度的通知》财库〔2022〕19号的规定</w:t>
            </w:r>
            <w:r>
              <w:rPr>
                <w:rFonts w:hint="eastAsia" w:ascii="仿宋" w:hAnsi="仿宋" w:eastAsia="仿宋" w:cs="仿宋"/>
                <w:color w:val="auto"/>
                <w:sz w:val="24"/>
                <w:szCs w:val="24"/>
                <w:highlight w:val="none"/>
                <w:lang w:val="en-US" w:eastAsia="zh-CN"/>
              </w:rPr>
              <w:t>执</w:t>
            </w:r>
            <w:r>
              <w:rPr>
                <w:rFonts w:hint="eastAsia" w:ascii="仿宋" w:hAnsi="仿宋" w:eastAsia="仿宋" w:cs="仿宋"/>
                <w:b w:val="0"/>
                <w:bCs w:val="0"/>
                <w:color w:val="auto"/>
                <w:sz w:val="24"/>
                <w:szCs w:val="24"/>
                <w:highlight w:val="none"/>
                <w:lang w:val="en-US" w:eastAsia="zh-CN"/>
              </w:rPr>
              <w:t>行，残疾人企业、监狱企业视同于小微企业。</w:t>
            </w:r>
          </w:p>
          <w:p w14:paraId="2F591384">
            <w:pPr>
              <w:spacing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采购标的对应的中小企业划分标准所属行业：根据《关于印发中小企业划型标准规定的通知》（工信部联企业〔2011〕300号），</w:t>
            </w:r>
            <w:r>
              <w:rPr>
                <w:rFonts w:hint="eastAsia" w:ascii="仿宋" w:hAnsi="仿宋" w:eastAsia="仿宋" w:cs="仿宋"/>
                <w:color w:val="auto"/>
                <w:sz w:val="24"/>
                <w:szCs w:val="24"/>
                <w:highlight w:val="none"/>
                <w:lang w:val="en-US" w:eastAsia="zh-CN"/>
              </w:rPr>
              <w:t>本项目采购类型为</w:t>
            </w:r>
            <w:r>
              <w:rPr>
                <w:rFonts w:hint="eastAsia" w:ascii="仿宋" w:hAnsi="仿宋" w:eastAsia="仿宋" w:cs="仿宋"/>
                <w:b/>
                <w:bCs/>
                <w:color w:val="auto"/>
                <w:sz w:val="24"/>
                <w:szCs w:val="24"/>
                <w:highlight w:val="none"/>
                <w:u w:val="single"/>
                <w:lang w:val="en-US" w:eastAsia="zh-CN"/>
              </w:rPr>
              <w:t>货物</w:t>
            </w:r>
            <w:r>
              <w:rPr>
                <w:rFonts w:hint="eastAsia" w:ascii="仿宋" w:hAnsi="仿宋" w:eastAsia="仿宋" w:cs="仿宋"/>
                <w:b w:val="0"/>
                <w:bCs w:val="0"/>
                <w:color w:val="auto"/>
                <w:sz w:val="24"/>
                <w:szCs w:val="24"/>
                <w:highlight w:val="none"/>
                <w:u w:val="none"/>
                <w:lang w:val="en-US" w:eastAsia="zh-CN"/>
              </w:rPr>
              <w:t>，</w:t>
            </w:r>
            <w:r>
              <w:rPr>
                <w:rFonts w:hint="eastAsia" w:ascii="仿宋" w:hAnsi="仿宋" w:eastAsia="仿宋" w:cs="仿宋"/>
                <w:b w:val="0"/>
                <w:bCs w:val="0"/>
                <w:color w:val="auto"/>
                <w:sz w:val="24"/>
                <w:szCs w:val="24"/>
                <w:highlight w:val="none"/>
              </w:rPr>
              <w:t>本次采购标的属于</w:t>
            </w:r>
            <w:r>
              <w:rPr>
                <w:rFonts w:hint="eastAsia" w:ascii="仿宋" w:hAnsi="仿宋" w:eastAsia="仿宋" w:cs="仿宋"/>
                <w:b/>
                <w:bCs/>
                <w:color w:val="auto"/>
                <w:sz w:val="28"/>
                <w:szCs w:val="28"/>
                <w:highlight w:val="none"/>
                <w:u w:val="single"/>
                <w:lang w:val="en-US" w:eastAsia="zh-CN"/>
              </w:rPr>
              <w:t>工业</w:t>
            </w:r>
            <w:r>
              <w:rPr>
                <w:rFonts w:hint="eastAsia" w:ascii="仿宋" w:hAnsi="仿宋" w:eastAsia="仿宋" w:cs="仿宋"/>
                <w:b w:val="0"/>
                <w:bCs w:val="0"/>
                <w:color w:val="auto"/>
                <w:sz w:val="24"/>
                <w:szCs w:val="24"/>
                <w:highlight w:val="none"/>
                <w:lang w:val="en-US" w:eastAsia="zh-CN"/>
              </w:rPr>
              <w:t>。</w:t>
            </w:r>
          </w:p>
        </w:tc>
      </w:tr>
    </w:tbl>
    <w:p w14:paraId="0D9F0735">
      <w:pPr>
        <w:spacing w:line="360" w:lineRule="auto"/>
        <w:jc w:val="left"/>
        <w:rPr>
          <w:rFonts w:hint="eastAsia" w:ascii="仿宋" w:hAnsi="仿宋" w:eastAsia="仿宋" w:cs="仿宋"/>
          <w:color w:val="auto"/>
          <w:kern w:val="0"/>
          <w:sz w:val="24"/>
          <w:szCs w:val="24"/>
          <w:highlight w:val="none"/>
        </w:rPr>
      </w:pPr>
      <w:bookmarkStart w:id="87" w:name="_Toc3725"/>
      <w:r>
        <w:rPr>
          <w:rFonts w:hint="eastAsia" w:ascii="仿宋" w:hAnsi="仿宋" w:eastAsia="仿宋" w:cs="仿宋"/>
          <w:color w:val="auto"/>
          <w:kern w:val="0"/>
          <w:sz w:val="24"/>
          <w:szCs w:val="24"/>
          <w:highlight w:val="none"/>
          <w:lang w:val="en-US" w:eastAsia="zh-CN"/>
        </w:rPr>
        <w:t>注：若“投标人须知前附表”内容出现与投标人须知正文部分不一致时，以投标人须知</w:t>
      </w:r>
      <w:r>
        <w:rPr>
          <w:rFonts w:hint="eastAsia" w:ascii="仿宋" w:hAnsi="仿宋" w:eastAsia="仿宋" w:cs="仿宋"/>
          <w:color w:val="auto"/>
          <w:kern w:val="0"/>
          <w:sz w:val="24"/>
          <w:szCs w:val="24"/>
          <w:highlight w:val="none"/>
        </w:rPr>
        <w:t>前附表为准。</w:t>
      </w:r>
    </w:p>
    <w:p w14:paraId="439D483E">
      <w:pPr>
        <w:rPr>
          <w:rFonts w:hint="eastAsia"/>
          <w:color w:val="auto"/>
          <w:highlight w:val="none"/>
        </w:rPr>
      </w:pPr>
    </w:p>
    <w:p w14:paraId="62449258">
      <w:pPr>
        <w:pStyle w:val="3"/>
        <w:jc w:val="center"/>
        <w:rPr>
          <w:rFonts w:hint="eastAsia" w:ascii="仿宋" w:hAnsi="仿宋" w:eastAsia="仿宋" w:cs="仿宋"/>
          <w:b/>
          <w:bCs/>
          <w:color w:val="auto"/>
          <w:sz w:val="28"/>
          <w:szCs w:val="28"/>
          <w:highlight w:val="none"/>
        </w:rPr>
      </w:pPr>
      <w:r>
        <w:rPr>
          <w:rFonts w:hint="eastAsia" w:ascii="仿宋" w:hAnsi="仿宋" w:eastAsia="仿宋" w:cs="仿宋"/>
          <w:color w:val="auto"/>
          <w:sz w:val="24"/>
          <w:szCs w:val="24"/>
          <w:highlight w:val="none"/>
        </w:rPr>
        <w:br w:type="page"/>
      </w:r>
      <w:bookmarkStart w:id="88" w:name="_Toc17040846"/>
      <w:bookmarkStart w:id="89" w:name="_Toc17040725"/>
      <w:bookmarkStart w:id="90" w:name="_Toc15561"/>
      <w:r>
        <w:rPr>
          <w:rFonts w:hint="eastAsia" w:ascii="仿宋" w:hAnsi="仿宋" w:eastAsia="仿宋" w:cs="仿宋"/>
          <w:b/>
          <w:bCs/>
          <w:color w:val="auto"/>
          <w:sz w:val="28"/>
          <w:szCs w:val="28"/>
          <w:highlight w:val="none"/>
        </w:rPr>
        <w:t>（二）投标人须知正文部分</w:t>
      </w:r>
      <w:bookmarkEnd w:id="87"/>
      <w:bookmarkEnd w:id="88"/>
      <w:bookmarkEnd w:id="89"/>
    </w:p>
    <w:p w14:paraId="42367ACD">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91" w:name="_Toc17040965"/>
      <w:bookmarkStart w:id="92" w:name="_Toc17040847"/>
      <w:bookmarkStart w:id="93" w:name="_Toc17815"/>
      <w:bookmarkStart w:id="94" w:name="_Toc17040726"/>
      <w:r>
        <w:rPr>
          <w:rFonts w:hint="eastAsia" w:ascii="仿宋" w:hAnsi="仿宋" w:eastAsia="仿宋" w:cs="仿宋"/>
          <w:b/>
          <w:bCs/>
          <w:color w:val="auto"/>
          <w:kern w:val="0"/>
          <w:sz w:val="24"/>
          <w:szCs w:val="24"/>
          <w:highlight w:val="none"/>
        </w:rPr>
        <w:t>1.总则</w:t>
      </w:r>
      <w:bookmarkEnd w:id="74"/>
      <w:bookmarkEnd w:id="75"/>
      <w:bookmarkEnd w:id="90"/>
      <w:bookmarkEnd w:id="91"/>
      <w:bookmarkEnd w:id="92"/>
      <w:bookmarkEnd w:id="93"/>
      <w:bookmarkEnd w:id="94"/>
    </w:p>
    <w:p w14:paraId="3ADF8DD1">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95" w:name="_Toc10145"/>
      <w:bookmarkStart w:id="96" w:name="_Toc17040848"/>
      <w:bookmarkStart w:id="97" w:name="_Toc31895"/>
      <w:bookmarkStart w:id="98" w:name="_Toc260172642"/>
      <w:bookmarkStart w:id="99" w:name="_Toc247277929"/>
      <w:bookmarkStart w:id="100" w:name="_Toc262675309"/>
      <w:bookmarkStart w:id="101" w:name="_Toc17040727"/>
      <w:bookmarkStart w:id="102" w:name="_Toc17040966"/>
      <w:bookmarkStart w:id="103" w:name="_Toc209498805"/>
      <w:bookmarkStart w:id="104" w:name="_Toc491246636"/>
      <w:bookmarkStart w:id="105" w:name="_Toc17034178"/>
      <w:bookmarkStart w:id="106" w:name="_Toc199321872"/>
      <w:r>
        <w:rPr>
          <w:rFonts w:hint="eastAsia" w:ascii="仿宋" w:hAnsi="仿宋" w:eastAsia="仿宋" w:cs="仿宋"/>
          <w:b/>
          <w:bCs/>
          <w:color w:val="auto"/>
          <w:kern w:val="0"/>
          <w:sz w:val="24"/>
          <w:szCs w:val="24"/>
          <w:highlight w:val="none"/>
        </w:rPr>
        <w:t>1.1 项目概况</w:t>
      </w:r>
      <w:bookmarkEnd w:id="95"/>
      <w:bookmarkEnd w:id="96"/>
      <w:bookmarkEnd w:id="97"/>
      <w:bookmarkEnd w:id="98"/>
      <w:bookmarkEnd w:id="99"/>
      <w:bookmarkEnd w:id="100"/>
      <w:bookmarkEnd w:id="101"/>
      <w:bookmarkEnd w:id="102"/>
      <w:bookmarkEnd w:id="103"/>
      <w:bookmarkEnd w:id="104"/>
      <w:bookmarkEnd w:id="105"/>
      <w:bookmarkEnd w:id="106"/>
    </w:p>
    <w:p w14:paraId="4C5AC64F">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1.1.1根据《中华人民共和国政府采购法》、《中华人民共和国政府采购法实施条例》、《政府采购货物和服务招标投标管理办法》（中华人民共和国财政部令第87号）等有关法律、法规和规章的规定，本招标项目已具备</w:t>
      </w:r>
      <w:r>
        <w:rPr>
          <w:rFonts w:hint="eastAsia" w:ascii="仿宋" w:hAnsi="仿宋" w:eastAsia="仿宋" w:cs="仿宋"/>
          <w:color w:val="auto"/>
          <w:kern w:val="0"/>
          <w:sz w:val="24"/>
          <w:szCs w:val="24"/>
          <w:highlight w:val="none"/>
        </w:rPr>
        <w:t>招标条件，现对本项目进行招标。</w:t>
      </w:r>
    </w:p>
    <w:p w14:paraId="560AAD8A">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bookmarkStart w:id="107" w:name="_Toc199321873"/>
      <w:r>
        <w:rPr>
          <w:rFonts w:hint="eastAsia" w:ascii="仿宋" w:hAnsi="仿宋" w:eastAsia="仿宋" w:cs="仿宋"/>
          <w:color w:val="auto"/>
          <w:sz w:val="24"/>
          <w:szCs w:val="24"/>
          <w:highlight w:val="none"/>
        </w:rPr>
        <w:t>1.1.2</w:t>
      </w:r>
      <w:r>
        <w:rPr>
          <w:rFonts w:hint="eastAsia" w:ascii="仿宋" w:hAnsi="仿宋" w:eastAsia="仿宋" w:cs="仿宋"/>
          <w:color w:val="auto"/>
          <w:kern w:val="0"/>
          <w:sz w:val="24"/>
          <w:szCs w:val="24"/>
          <w:highlight w:val="none"/>
        </w:rPr>
        <w:t>本项目采购人</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见投标人须知前附表。</w:t>
      </w:r>
      <w:bookmarkEnd w:id="107"/>
    </w:p>
    <w:p w14:paraId="77F2EBA5">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bookmarkStart w:id="108" w:name="_Toc199321874"/>
      <w:r>
        <w:rPr>
          <w:rFonts w:hint="eastAsia" w:ascii="仿宋" w:hAnsi="仿宋" w:eastAsia="仿宋" w:cs="仿宋"/>
          <w:color w:val="auto"/>
          <w:sz w:val="24"/>
          <w:szCs w:val="24"/>
          <w:highlight w:val="none"/>
        </w:rPr>
        <w:t>1.1.3</w:t>
      </w:r>
      <w:r>
        <w:rPr>
          <w:rFonts w:hint="eastAsia" w:ascii="仿宋" w:hAnsi="仿宋" w:eastAsia="仿宋" w:cs="仿宋"/>
          <w:color w:val="auto"/>
          <w:kern w:val="0"/>
          <w:sz w:val="24"/>
          <w:szCs w:val="24"/>
          <w:highlight w:val="none"/>
        </w:rPr>
        <w:t>本项目采购代理机构</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见投标人须知前附表。</w:t>
      </w:r>
      <w:bookmarkEnd w:id="108"/>
    </w:p>
    <w:p w14:paraId="59B46667">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1.1.4</w:t>
      </w:r>
      <w:r>
        <w:rPr>
          <w:rFonts w:hint="eastAsia" w:ascii="仿宋" w:hAnsi="仿宋" w:eastAsia="仿宋" w:cs="仿宋"/>
          <w:color w:val="auto"/>
          <w:kern w:val="0"/>
          <w:sz w:val="24"/>
          <w:szCs w:val="24"/>
          <w:highlight w:val="none"/>
        </w:rPr>
        <w:t>本招标项目名称</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见投标人须知前附表。</w:t>
      </w:r>
    </w:p>
    <w:p w14:paraId="1323A498">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bookmarkStart w:id="109" w:name="_Toc199321875"/>
      <w:r>
        <w:rPr>
          <w:rFonts w:hint="eastAsia" w:ascii="仿宋" w:hAnsi="仿宋" w:eastAsia="仿宋" w:cs="仿宋"/>
          <w:color w:val="auto"/>
          <w:sz w:val="24"/>
          <w:szCs w:val="24"/>
          <w:highlight w:val="none"/>
        </w:rPr>
        <w:t>1.1.5</w:t>
      </w:r>
      <w:r>
        <w:rPr>
          <w:rFonts w:hint="eastAsia" w:ascii="仿宋" w:hAnsi="仿宋" w:eastAsia="仿宋" w:cs="仿宋"/>
          <w:color w:val="auto"/>
          <w:kern w:val="0"/>
          <w:sz w:val="24"/>
          <w:szCs w:val="24"/>
          <w:highlight w:val="none"/>
        </w:rPr>
        <w:t>本项目服务地点</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见投标人须知前附表。</w:t>
      </w:r>
      <w:bookmarkEnd w:id="109"/>
    </w:p>
    <w:p w14:paraId="4976E1D6">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110" w:name="_Toc17040849"/>
      <w:bookmarkStart w:id="111" w:name="_Toc22821"/>
      <w:bookmarkStart w:id="112" w:name="_Toc17040967"/>
      <w:bookmarkStart w:id="113" w:name="_Toc17040728"/>
      <w:bookmarkStart w:id="114" w:name="_Toc262406294"/>
      <w:bookmarkStart w:id="115" w:name="_Toc25897"/>
      <w:bookmarkStart w:id="116" w:name="_Toc17034179"/>
      <w:r>
        <w:rPr>
          <w:rFonts w:hint="eastAsia" w:ascii="仿宋" w:hAnsi="仿宋" w:eastAsia="仿宋" w:cs="仿宋"/>
          <w:b/>
          <w:bCs/>
          <w:color w:val="auto"/>
          <w:kern w:val="0"/>
          <w:sz w:val="24"/>
          <w:szCs w:val="24"/>
          <w:highlight w:val="none"/>
        </w:rPr>
        <w:t>1.2 资金来源和落实情况</w:t>
      </w:r>
      <w:bookmarkEnd w:id="110"/>
      <w:bookmarkEnd w:id="111"/>
      <w:bookmarkEnd w:id="112"/>
      <w:bookmarkEnd w:id="113"/>
      <w:bookmarkEnd w:id="114"/>
      <w:bookmarkEnd w:id="115"/>
      <w:bookmarkEnd w:id="116"/>
    </w:p>
    <w:p w14:paraId="272EAA81">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1.2.1本招标项目的资金来源</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见投标人须知前附表。</w:t>
      </w:r>
    </w:p>
    <w:p w14:paraId="43618252">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1.2.2本招标项目的资金落实情况</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见投标人须知前附表。</w:t>
      </w:r>
    </w:p>
    <w:p w14:paraId="3866C347">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117" w:name="_Toc17040968"/>
      <w:bookmarkStart w:id="118" w:name="_Toc17034180"/>
      <w:bookmarkStart w:id="119" w:name="_Toc262406295"/>
      <w:bookmarkStart w:id="120" w:name="_Toc23793"/>
      <w:bookmarkStart w:id="121" w:name="_Toc17040729"/>
      <w:bookmarkStart w:id="122" w:name="_Toc17040850"/>
      <w:bookmarkStart w:id="123" w:name="_Toc27873"/>
      <w:r>
        <w:rPr>
          <w:rFonts w:hint="eastAsia" w:ascii="仿宋" w:hAnsi="仿宋" w:eastAsia="仿宋" w:cs="仿宋"/>
          <w:b/>
          <w:bCs/>
          <w:color w:val="auto"/>
          <w:kern w:val="0"/>
          <w:sz w:val="24"/>
          <w:szCs w:val="24"/>
          <w:highlight w:val="none"/>
        </w:rPr>
        <w:t>1.3 招标范围、合同履约期限、</w:t>
      </w:r>
      <w:bookmarkEnd w:id="117"/>
      <w:bookmarkEnd w:id="118"/>
      <w:bookmarkEnd w:id="119"/>
      <w:bookmarkEnd w:id="120"/>
      <w:bookmarkEnd w:id="121"/>
      <w:bookmarkEnd w:id="122"/>
      <w:bookmarkEnd w:id="123"/>
      <w:r>
        <w:rPr>
          <w:rFonts w:hint="eastAsia" w:ascii="仿宋" w:hAnsi="仿宋" w:eastAsia="仿宋" w:cs="仿宋"/>
          <w:b/>
          <w:bCs/>
          <w:color w:val="auto"/>
          <w:kern w:val="0"/>
          <w:sz w:val="24"/>
          <w:szCs w:val="24"/>
          <w:highlight w:val="none"/>
        </w:rPr>
        <w:t>质量标准</w:t>
      </w:r>
    </w:p>
    <w:p w14:paraId="2819B613">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1.3.1 本次招标范围</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见投标人须知前附表。</w:t>
      </w:r>
    </w:p>
    <w:p w14:paraId="337101D8">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 xml:space="preserve"> 本项目的合同履约期限要求：见投标人须知前附表。</w:t>
      </w:r>
    </w:p>
    <w:p w14:paraId="44063DC0">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本项目的质量标准：见投标人须知前附表。</w:t>
      </w:r>
    </w:p>
    <w:p w14:paraId="4445E496">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124" w:name="_Toc17034181"/>
      <w:bookmarkStart w:id="125" w:name="_Toc17040851"/>
      <w:bookmarkStart w:id="126" w:name="_Toc262406296"/>
      <w:bookmarkStart w:id="127" w:name="_Toc4751"/>
      <w:bookmarkStart w:id="128" w:name="_Toc32131"/>
      <w:bookmarkStart w:id="129" w:name="_Toc17040969"/>
      <w:bookmarkStart w:id="130" w:name="_Toc17040730"/>
      <w:r>
        <w:rPr>
          <w:rFonts w:hint="eastAsia" w:ascii="仿宋" w:hAnsi="仿宋" w:eastAsia="仿宋" w:cs="仿宋"/>
          <w:b/>
          <w:bCs/>
          <w:color w:val="auto"/>
          <w:kern w:val="0"/>
          <w:sz w:val="24"/>
          <w:szCs w:val="24"/>
          <w:highlight w:val="none"/>
        </w:rPr>
        <w:t>1.4 投标人资格要求</w:t>
      </w:r>
      <w:bookmarkEnd w:id="124"/>
      <w:bookmarkEnd w:id="125"/>
      <w:bookmarkEnd w:id="126"/>
      <w:bookmarkEnd w:id="127"/>
      <w:bookmarkEnd w:id="128"/>
      <w:bookmarkEnd w:id="129"/>
      <w:bookmarkEnd w:id="130"/>
    </w:p>
    <w:p w14:paraId="63E31588">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1.4.1投标人应具备的资格要求：见投标人须知前附表。</w:t>
      </w:r>
    </w:p>
    <w:p w14:paraId="07751524">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131" w:name="_Toc18049"/>
      <w:bookmarkStart w:id="132" w:name="_Toc17034182"/>
      <w:bookmarkStart w:id="133" w:name="_Toc262406297"/>
      <w:bookmarkStart w:id="134" w:name="_Toc17040852"/>
      <w:bookmarkStart w:id="135" w:name="_Toc23056"/>
      <w:bookmarkStart w:id="136" w:name="_Toc17040731"/>
      <w:bookmarkStart w:id="137" w:name="_Toc17040970"/>
      <w:r>
        <w:rPr>
          <w:rFonts w:hint="eastAsia" w:ascii="仿宋" w:hAnsi="仿宋" w:eastAsia="仿宋" w:cs="仿宋"/>
          <w:b/>
          <w:bCs/>
          <w:color w:val="auto"/>
          <w:kern w:val="0"/>
          <w:sz w:val="24"/>
          <w:szCs w:val="24"/>
          <w:highlight w:val="none"/>
        </w:rPr>
        <w:t>1.5 费用承担</w:t>
      </w:r>
      <w:bookmarkEnd w:id="131"/>
      <w:bookmarkEnd w:id="132"/>
      <w:bookmarkEnd w:id="133"/>
      <w:bookmarkEnd w:id="134"/>
      <w:bookmarkEnd w:id="135"/>
      <w:bookmarkEnd w:id="136"/>
      <w:bookmarkEnd w:id="137"/>
    </w:p>
    <w:p w14:paraId="24A5A346">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1.5.1 投标人准备和参加投标活动发生的费用自理。</w:t>
      </w:r>
    </w:p>
    <w:p w14:paraId="47E4D636">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1.5.2 招标代理服务费</w:t>
      </w:r>
      <w:r>
        <w:rPr>
          <w:rFonts w:hint="eastAsia" w:ascii="仿宋" w:hAnsi="仿宋" w:eastAsia="仿宋" w:cs="仿宋"/>
          <w:color w:val="auto"/>
          <w:kern w:val="0"/>
          <w:sz w:val="24"/>
          <w:highlight w:val="none"/>
          <w:lang w:val="zh-CN"/>
        </w:rPr>
        <w:t>按照《云南省建设工程招标代理服务收费参考意见》云建招协〔2024〕58号文件执行，</w:t>
      </w:r>
      <w:r>
        <w:rPr>
          <w:rFonts w:hint="eastAsia" w:ascii="仿宋" w:hAnsi="仿宋" w:eastAsia="仿宋" w:cs="仿宋"/>
          <w:color w:val="auto"/>
          <w:kern w:val="0"/>
          <w:sz w:val="24"/>
          <w:highlight w:val="none"/>
          <w:lang w:val="en-US" w:eastAsia="zh-CN"/>
        </w:rPr>
        <w:t>向中标人收取</w:t>
      </w:r>
      <w:r>
        <w:rPr>
          <w:rFonts w:hint="eastAsia" w:ascii="仿宋" w:hAnsi="仿宋" w:eastAsia="仿宋" w:cs="仿宋"/>
          <w:color w:val="auto"/>
          <w:kern w:val="0"/>
          <w:sz w:val="24"/>
          <w:szCs w:val="24"/>
          <w:highlight w:val="none"/>
        </w:rPr>
        <w:t>。</w:t>
      </w:r>
    </w:p>
    <w:tbl>
      <w:tblPr>
        <w:tblStyle w:val="35"/>
        <w:tblW w:w="5000" w:type="pct"/>
        <w:jc w:val="center"/>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3896"/>
        <w:gridCol w:w="1829"/>
        <w:gridCol w:w="1721"/>
        <w:gridCol w:w="1839"/>
      </w:tblGrid>
      <w:tr w14:paraId="4083EBCB">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5000" w:type="pct"/>
            <w:gridSpan w:val="4"/>
            <w:noWrap w:val="0"/>
            <w:vAlign w:val="center"/>
          </w:tcPr>
          <w:p w14:paraId="76292538">
            <w:pPr>
              <w:adjustRightInd w:val="0"/>
              <w:snapToGrid w:val="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《云南省招标代理服务收费参考费率》</w:t>
            </w:r>
          </w:p>
          <w:p w14:paraId="2A0A2D8D">
            <w:pPr>
              <w:pStyle w:val="33"/>
              <w:adjustRightInd w:val="0"/>
              <w:snapToGrid w:val="0"/>
              <w:spacing w:before="0" w:beforeAutospacing="0" w:after="0" w:afterAutospacing="0"/>
              <w:jc w:val="center"/>
              <w:rPr>
                <w:rFonts w:hint="eastAsia" w:ascii="仿宋" w:hAnsi="仿宋" w:eastAsia="仿宋" w:cs="仿宋"/>
                <w:b w:val="0"/>
                <w:bCs w:val="0"/>
                <w:color w:val="auto"/>
                <w:sz w:val="24"/>
                <w:szCs w:val="24"/>
                <w:highlight w:val="none"/>
              </w:rPr>
            </w:pPr>
          </w:p>
        </w:tc>
      </w:tr>
      <w:tr w14:paraId="2B871D53">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vMerge w:val="restart"/>
            <w:noWrap w:val="0"/>
            <w:vAlign w:val="center"/>
          </w:tcPr>
          <w:p w14:paraId="55E108E4">
            <w:pPr>
              <w:pStyle w:val="33"/>
              <w:adjustRightInd w:val="0"/>
              <w:snapToGrid w:val="0"/>
              <w:spacing w:before="0" w:beforeAutospacing="0" w:after="0" w:afterAutospacing="0"/>
              <w:jc w:val="center"/>
              <w:rPr>
                <w:rStyle w:val="38"/>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计价金额</w:t>
            </w:r>
          </w:p>
        </w:tc>
        <w:tc>
          <w:tcPr>
            <w:tcW w:w="2901" w:type="pct"/>
            <w:gridSpan w:val="3"/>
            <w:noWrap w:val="0"/>
            <w:vAlign w:val="center"/>
          </w:tcPr>
          <w:p w14:paraId="7A6B2394">
            <w:pPr>
              <w:pStyle w:val="33"/>
              <w:adjustRightInd w:val="0"/>
              <w:snapToGrid w:val="0"/>
              <w:spacing w:before="0" w:beforeAutospacing="0" w:after="0" w:afterAutospacing="0"/>
              <w:jc w:val="center"/>
              <w:rPr>
                <w:rStyle w:val="38"/>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服务类型</w:t>
            </w:r>
          </w:p>
        </w:tc>
      </w:tr>
      <w:tr w14:paraId="641B05BE">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vMerge w:val="continue"/>
            <w:noWrap w:val="0"/>
            <w:vAlign w:val="center"/>
          </w:tcPr>
          <w:p w14:paraId="2A939055">
            <w:pPr>
              <w:pStyle w:val="33"/>
              <w:adjustRightInd w:val="0"/>
              <w:snapToGrid w:val="0"/>
              <w:spacing w:before="0" w:beforeAutospacing="0" w:after="0" w:afterAutospacing="0"/>
              <w:jc w:val="center"/>
              <w:rPr>
                <w:rStyle w:val="38"/>
                <w:rFonts w:hint="eastAsia" w:ascii="仿宋" w:hAnsi="仿宋" w:eastAsia="仿宋" w:cs="仿宋"/>
                <w:b w:val="0"/>
                <w:bCs w:val="0"/>
                <w:color w:val="auto"/>
                <w:sz w:val="24"/>
                <w:szCs w:val="24"/>
                <w:highlight w:val="none"/>
              </w:rPr>
            </w:pPr>
          </w:p>
        </w:tc>
        <w:tc>
          <w:tcPr>
            <w:tcW w:w="985" w:type="pct"/>
            <w:noWrap w:val="0"/>
            <w:vAlign w:val="center"/>
          </w:tcPr>
          <w:p w14:paraId="64FC8386">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货物招标</w:t>
            </w:r>
          </w:p>
        </w:tc>
        <w:tc>
          <w:tcPr>
            <w:tcW w:w="927" w:type="pct"/>
            <w:noWrap w:val="0"/>
            <w:vAlign w:val="center"/>
          </w:tcPr>
          <w:p w14:paraId="3B124D55">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服务招标</w:t>
            </w:r>
          </w:p>
        </w:tc>
        <w:tc>
          <w:tcPr>
            <w:tcW w:w="988" w:type="pct"/>
            <w:noWrap w:val="0"/>
            <w:vAlign w:val="center"/>
          </w:tcPr>
          <w:p w14:paraId="564C2DDC">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工程招标</w:t>
            </w:r>
          </w:p>
        </w:tc>
      </w:tr>
      <w:tr w14:paraId="3C698FE3">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vMerge w:val="continue"/>
            <w:noWrap w:val="0"/>
            <w:vAlign w:val="center"/>
          </w:tcPr>
          <w:p w14:paraId="61F41AA2">
            <w:pPr>
              <w:pStyle w:val="33"/>
              <w:adjustRightInd w:val="0"/>
              <w:snapToGrid w:val="0"/>
              <w:spacing w:before="0" w:beforeAutospacing="0" w:after="0" w:afterAutospacing="0"/>
              <w:jc w:val="center"/>
              <w:rPr>
                <w:rStyle w:val="38"/>
                <w:rFonts w:hint="eastAsia" w:ascii="仿宋" w:hAnsi="仿宋" w:eastAsia="仿宋" w:cs="仿宋"/>
                <w:b w:val="0"/>
                <w:bCs w:val="0"/>
                <w:color w:val="auto"/>
                <w:sz w:val="24"/>
                <w:szCs w:val="24"/>
                <w:highlight w:val="none"/>
              </w:rPr>
            </w:pPr>
          </w:p>
        </w:tc>
        <w:tc>
          <w:tcPr>
            <w:tcW w:w="2901" w:type="pct"/>
            <w:gridSpan w:val="3"/>
            <w:noWrap w:val="0"/>
            <w:vAlign w:val="center"/>
          </w:tcPr>
          <w:p w14:paraId="3E7B9BE8">
            <w:pPr>
              <w:pStyle w:val="33"/>
              <w:adjustRightInd w:val="0"/>
              <w:snapToGrid w:val="0"/>
              <w:spacing w:before="0" w:beforeAutospacing="0" w:after="0" w:afterAutospacing="0"/>
              <w:jc w:val="center"/>
              <w:rPr>
                <w:rStyle w:val="38"/>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费  率</w:t>
            </w:r>
          </w:p>
        </w:tc>
      </w:tr>
      <w:tr w14:paraId="250C8196">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noWrap w:val="0"/>
            <w:vAlign w:val="center"/>
          </w:tcPr>
          <w:p w14:paraId="135377B9">
            <w:pPr>
              <w:pStyle w:val="33"/>
              <w:adjustRightInd w:val="0"/>
              <w:snapToGrid w:val="0"/>
              <w:spacing w:before="0" w:beforeAutospacing="0" w:after="0" w:afterAutospacing="0"/>
              <w:jc w:val="center"/>
              <w:rPr>
                <w:rStyle w:val="38"/>
                <w:rFonts w:hint="eastAsia" w:ascii="仿宋" w:hAnsi="仿宋" w:eastAsia="仿宋" w:cs="仿宋"/>
                <w:b w:val="0"/>
                <w:bCs w:val="0"/>
                <w:color w:val="auto"/>
                <w:sz w:val="24"/>
                <w:szCs w:val="24"/>
                <w:highlight w:val="none"/>
              </w:rPr>
            </w:pPr>
            <w:r>
              <w:rPr>
                <w:rStyle w:val="38"/>
                <w:rFonts w:hint="eastAsia" w:ascii="仿宋" w:hAnsi="仿宋" w:eastAsia="仿宋" w:cs="仿宋"/>
                <w:b w:val="0"/>
                <w:bCs w:val="0"/>
                <w:color w:val="auto"/>
                <w:sz w:val="24"/>
                <w:szCs w:val="24"/>
                <w:highlight w:val="none"/>
              </w:rPr>
              <w:t>50万元及以下</w:t>
            </w:r>
          </w:p>
        </w:tc>
        <w:tc>
          <w:tcPr>
            <w:tcW w:w="2901" w:type="pct"/>
            <w:gridSpan w:val="3"/>
            <w:noWrap w:val="0"/>
            <w:vAlign w:val="center"/>
          </w:tcPr>
          <w:p w14:paraId="34731F0E">
            <w:pPr>
              <w:pStyle w:val="33"/>
              <w:adjustRightInd w:val="0"/>
              <w:snapToGrid w:val="0"/>
              <w:spacing w:before="0" w:beforeAutospacing="0" w:after="0" w:afterAutospacing="0"/>
              <w:jc w:val="center"/>
              <w:rPr>
                <w:rStyle w:val="38"/>
                <w:rFonts w:hint="eastAsia" w:ascii="仿宋" w:hAnsi="仿宋" w:eastAsia="仿宋" w:cs="仿宋"/>
                <w:b w:val="0"/>
                <w:bCs w:val="0"/>
                <w:color w:val="auto"/>
                <w:sz w:val="24"/>
                <w:szCs w:val="24"/>
                <w:highlight w:val="none"/>
              </w:rPr>
            </w:pPr>
            <w:r>
              <w:rPr>
                <w:rStyle w:val="38"/>
                <w:rFonts w:hint="eastAsia" w:ascii="仿宋" w:hAnsi="仿宋" w:eastAsia="仿宋" w:cs="仿宋"/>
                <w:b w:val="0"/>
                <w:bCs w:val="0"/>
                <w:color w:val="auto"/>
                <w:sz w:val="24"/>
                <w:szCs w:val="24"/>
                <w:highlight w:val="none"/>
              </w:rPr>
              <w:t>0.7万元</w:t>
            </w:r>
          </w:p>
        </w:tc>
      </w:tr>
      <w:tr w14:paraId="2DE51679">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noWrap w:val="0"/>
            <w:vAlign w:val="center"/>
          </w:tcPr>
          <w:p w14:paraId="6373EA39">
            <w:pPr>
              <w:pStyle w:val="33"/>
              <w:adjustRightInd w:val="0"/>
              <w:snapToGrid w:val="0"/>
              <w:spacing w:before="0" w:beforeAutospacing="0" w:after="0" w:afterAutospacing="0"/>
              <w:jc w:val="center"/>
              <w:rPr>
                <w:rStyle w:val="38"/>
                <w:rFonts w:hint="eastAsia" w:ascii="仿宋" w:hAnsi="仿宋" w:eastAsia="仿宋" w:cs="仿宋"/>
                <w:b w:val="0"/>
                <w:bCs w:val="0"/>
                <w:color w:val="auto"/>
                <w:sz w:val="24"/>
                <w:szCs w:val="24"/>
                <w:highlight w:val="none"/>
              </w:rPr>
            </w:pPr>
            <w:r>
              <w:rPr>
                <w:rStyle w:val="38"/>
                <w:rFonts w:hint="eastAsia" w:ascii="仿宋" w:hAnsi="仿宋" w:eastAsia="仿宋" w:cs="仿宋"/>
                <w:b w:val="0"/>
                <w:bCs w:val="0"/>
                <w:color w:val="auto"/>
                <w:sz w:val="24"/>
                <w:szCs w:val="24"/>
                <w:highlight w:val="none"/>
              </w:rPr>
              <w:t>50万元—100万元（含）</w:t>
            </w:r>
          </w:p>
        </w:tc>
        <w:tc>
          <w:tcPr>
            <w:tcW w:w="2901" w:type="pct"/>
            <w:gridSpan w:val="3"/>
            <w:noWrap w:val="0"/>
            <w:vAlign w:val="center"/>
          </w:tcPr>
          <w:p w14:paraId="57489802">
            <w:pPr>
              <w:pStyle w:val="33"/>
              <w:adjustRightInd w:val="0"/>
              <w:snapToGrid w:val="0"/>
              <w:spacing w:before="0" w:beforeAutospacing="0" w:after="0" w:afterAutospacing="0"/>
              <w:jc w:val="center"/>
              <w:rPr>
                <w:rStyle w:val="38"/>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1.5%</w:t>
            </w:r>
          </w:p>
        </w:tc>
      </w:tr>
      <w:tr w14:paraId="1FE45D09">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noWrap w:val="0"/>
            <w:vAlign w:val="center"/>
          </w:tcPr>
          <w:p w14:paraId="5886FA14">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100万元</w:t>
            </w:r>
            <w:r>
              <w:rPr>
                <w:rStyle w:val="38"/>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rPr>
              <w:t>500</w:t>
            </w:r>
            <w:r>
              <w:rPr>
                <w:rStyle w:val="38"/>
                <w:rFonts w:hint="eastAsia" w:ascii="仿宋" w:hAnsi="仿宋" w:eastAsia="仿宋" w:cs="仿宋"/>
                <w:b w:val="0"/>
                <w:bCs w:val="0"/>
                <w:color w:val="auto"/>
                <w:sz w:val="24"/>
                <w:szCs w:val="24"/>
                <w:highlight w:val="none"/>
              </w:rPr>
              <w:t>万元（含）</w:t>
            </w:r>
          </w:p>
        </w:tc>
        <w:tc>
          <w:tcPr>
            <w:tcW w:w="985" w:type="pct"/>
            <w:noWrap w:val="0"/>
            <w:vAlign w:val="center"/>
          </w:tcPr>
          <w:p w14:paraId="17167971">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1.3%</w:t>
            </w:r>
          </w:p>
        </w:tc>
        <w:tc>
          <w:tcPr>
            <w:tcW w:w="927" w:type="pct"/>
            <w:noWrap w:val="0"/>
            <w:vAlign w:val="center"/>
          </w:tcPr>
          <w:p w14:paraId="5E9B8CCC">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1.3%</w:t>
            </w:r>
          </w:p>
        </w:tc>
        <w:tc>
          <w:tcPr>
            <w:tcW w:w="988" w:type="pct"/>
            <w:noWrap w:val="0"/>
            <w:vAlign w:val="center"/>
          </w:tcPr>
          <w:p w14:paraId="26CC5EC1">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w:t>
            </w:r>
          </w:p>
        </w:tc>
      </w:tr>
      <w:tr w14:paraId="716F91AA">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noWrap w:val="0"/>
            <w:vAlign w:val="center"/>
          </w:tcPr>
          <w:p w14:paraId="71E83377">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500万元</w:t>
            </w:r>
            <w:r>
              <w:rPr>
                <w:rStyle w:val="38"/>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rPr>
              <w:t>1000</w:t>
            </w:r>
            <w:r>
              <w:rPr>
                <w:rStyle w:val="38"/>
                <w:rFonts w:hint="eastAsia" w:ascii="仿宋" w:hAnsi="仿宋" w:eastAsia="仿宋" w:cs="仿宋"/>
                <w:b w:val="0"/>
                <w:bCs w:val="0"/>
                <w:color w:val="auto"/>
                <w:sz w:val="24"/>
                <w:szCs w:val="24"/>
                <w:highlight w:val="none"/>
              </w:rPr>
              <w:t>万元（含）</w:t>
            </w:r>
          </w:p>
        </w:tc>
        <w:tc>
          <w:tcPr>
            <w:tcW w:w="985" w:type="pct"/>
            <w:noWrap w:val="0"/>
            <w:vAlign w:val="center"/>
          </w:tcPr>
          <w:p w14:paraId="5863417E">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w:t>
            </w:r>
          </w:p>
        </w:tc>
        <w:tc>
          <w:tcPr>
            <w:tcW w:w="927" w:type="pct"/>
            <w:noWrap w:val="0"/>
            <w:vAlign w:val="center"/>
          </w:tcPr>
          <w:p w14:paraId="103C793A">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0.5%</w:t>
            </w:r>
          </w:p>
        </w:tc>
        <w:tc>
          <w:tcPr>
            <w:tcW w:w="988" w:type="pct"/>
            <w:noWrap w:val="0"/>
            <w:vAlign w:val="center"/>
          </w:tcPr>
          <w:p w14:paraId="5DCAE485">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0.7%</w:t>
            </w:r>
          </w:p>
        </w:tc>
      </w:tr>
      <w:tr w14:paraId="09CD887D">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noWrap w:val="0"/>
            <w:vAlign w:val="center"/>
          </w:tcPr>
          <w:p w14:paraId="5CFBEAAF">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1000万元</w:t>
            </w:r>
            <w:r>
              <w:rPr>
                <w:rStyle w:val="38"/>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rPr>
              <w:t>5000</w:t>
            </w:r>
            <w:r>
              <w:rPr>
                <w:rStyle w:val="38"/>
                <w:rFonts w:hint="eastAsia" w:ascii="仿宋" w:hAnsi="仿宋" w:eastAsia="仿宋" w:cs="仿宋"/>
                <w:b w:val="0"/>
                <w:bCs w:val="0"/>
                <w:color w:val="auto"/>
                <w:sz w:val="24"/>
                <w:szCs w:val="24"/>
                <w:highlight w:val="none"/>
              </w:rPr>
              <w:t>万元（含）</w:t>
            </w:r>
          </w:p>
        </w:tc>
        <w:tc>
          <w:tcPr>
            <w:tcW w:w="985" w:type="pct"/>
            <w:noWrap w:val="0"/>
            <w:vAlign w:val="center"/>
          </w:tcPr>
          <w:p w14:paraId="43043074">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0.7%</w:t>
            </w:r>
          </w:p>
        </w:tc>
        <w:tc>
          <w:tcPr>
            <w:tcW w:w="927" w:type="pct"/>
            <w:noWrap w:val="0"/>
            <w:vAlign w:val="center"/>
          </w:tcPr>
          <w:p w14:paraId="4BFC275A">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0.4%</w:t>
            </w:r>
          </w:p>
        </w:tc>
        <w:tc>
          <w:tcPr>
            <w:tcW w:w="988" w:type="pct"/>
            <w:noWrap w:val="0"/>
            <w:vAlign w:val="center"/>
          </w:tcPr>
          <w:p w14:paraId="59603AA3">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0.4%</w:t>
            </w:r>
          </w:p>
        </w:tc>
      </w:tr>
      <w:tr w14:paraId="33B26394">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noWrap w:val="0"/>
            <w:vAlign w:val="center"/>
          </w:tcPr>
          <w:p w14:paraId="7196A08D">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5000万元</w:t>
            </w:r>
            <w:r>
              <w:rPr>
                <w:rStyle w:val="38"/>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rPr>
              <w:t>1亿</w:t>
            </w:r>
            <w:r>
              <w:rPr>
                <w:rStyle w:val="38"/>
                <w:rFonts w:hint="eastAsia" w:ascii="仿宋" w:hAnsi="仿宋" w:eastAsia="仿宋" w:cs="仿宋"/>
                <w:b w:val="0"/>
                <w:bCs w:val="0"/>
                <w:color w:val="auto"/>
                <w:sz w:val="24"/>
                <w:szCs w:val="24"/>
                <w:highlight w:val="none"/>
              </w:rPr>
              <w:t>元（含）</w:t>
            </w:r>
          </w:p>
        </w:tc>
        <w:tc>
          <w:tcPr>
            <w:tcW w:w="985" w:type="pct"/>
            <w:noWrap w:val="0"/>
            <w:vAlign w:val="center"/>
          </w:tcPr>
          <w:p w14:paraId="365B9273">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0.25%</w:t>
            </w:r>
          </w:p>
        </w:tc>
        <w:tc>
          <w:tcPr>
            <w:tcW w:w="927" w:type="pct"/>
            <w:noWrap w:val="0"/>
            <w:vAlign w:val="center"/>
          </w:tcPr>
          <w:p w14:paraId="29073DAB">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0.1%</w:t>
            </w:r>
          </w:p>
        </w:tc>
        <w:tc>
          <w:tcPr>
            <w:tcW w:w="988" w:type="pct"/>
            <w:noWrap w:val="0"/>
            <w:vAlign w:val="center"/>
          </w:tcPr>
          <w:p w14:paraId="1C87AB61">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0.25%</w:t>
            </w:r>
          </w:p>
        </w:tc>
      </w:tr>
      <w:tr w14:paraId="781864CF">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noWrap w:val="0"/>
            <w:vAlign w:val="center"/>
          </w:tcPr>
          <w:p w14:paraId="6BB26DC4">
            <w:pPr>
              <w:pStyle w:val="33"/>
              <w:adjustRightInd w:val="0"/>
              <w:snapToGrid w:val="0"/>
              <w:spacing w:before="0" w:beforeAutospacing="0" w:after="0" w:afterAutospacing="0"/>
              <w:jc w:val="center"/>
              <w:rPr>
                <w:rStyle w:val="38"/>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1亿</w:t>
            </w:r>
            <w:r>
              <w:rPr>
                <w:rStyle w:val="38"/>
                <w:rFonts w:hint="eastAsia" w:ascii="仿宋" w:hAnsi="仿宋" w:eastAsia="仿宋" w:cs="仿宋"/>
                <w:b w:val="0"/>
                <w:bCs w:val="0"/>
                <w:color w:val="auto"/>
                <w:sz w:val="24"/>
                <w:szCs w:val="24"/>
                <w:highlight w:val="none"/>
              </w:rPr>
              <w:t>元—</w:t>
            </w:r>
            <w:r>
              <w:rPr>
                <w:rFonts w:hint="eastAsia" w:ascii="仿宋" w:hAnsi="仿宋" w:eastAsia="仿宋" w:cs="仿宋"/>
                <w:b w:val="0"/>
                <w:bCs w:val="0"/>
                <w:color w:val="auto"/>
                <w:sz w:val="24"/>
                <w:szCs w:val="24"/>
                <w:highlight w:val="none"/>
              </w:rPr>
              <w:t>5亿</w:t>
            </w:r>
            <w:r>
              <w:rPr>
                <w:rStyle w:val="38"/>
                <w:rFonts w:hint="eastAsia" w:ascii="仿宋" w:hAnsi="仿宋" w:eastAsia="仿宋" w:cs="仿宋"/>
                <w:b w:val="0"/>
                <w:bCs w:val="0"/>
                <w:color w:val="auto"/>
                <w:sz w:val="24"/>
                <w:szCs w:val="24"/>
                <w:highlight w:val="none"/>
              </w:rPr>
              <w:t>元（含）</w:t>
            </w:r>
          </w:p>
        </w:tc>
        <w:tc>
          <w:tcPr>
            <w:tcW w:w="2901" w:type="pct"/>
            <w:gridSpan w:val="3"/>
            <w:noWrap w:val="0"/>
            <w:vAlign w:val="center"/>
          </w:tcPr>
          <w:p w14:paraId="3F83F825">
            <w:pPr>
              <w:adjustRightInd w:val="0"/>
              <w:snapToGrid w:val="0"/>
              <w:jc w:val="center"/>
              <w:rPr>
                <w:rStyle w:val="38"/>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0.05%</w:t>
            </w:r>
          </w:p>
        </w:tc>
      </w:tr>
      <w:tr w14:paraId="6673DA04">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noWrap w:val="0"/>
            <w:vAlign w:val="center"/>
          </w:tcPr>
          <w:p w14:paraId="0824D29E">
            <w:pPr>
              <w:pStyle w:val="33"/>
              <w:adjustRightInd w:val="0"/>
              <w:snapToGrid w:val="0"/>
              <w:spacing w:before="0" w:beforeAutospacing="0" w:after="0" w:afterAutospacing="0"/>
              <w:jc w:val="center"/>
              <w:rPr>
                <w:rStyle w:val="38"/>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5亿</w:t>
            </w:r>
            <w:r>
              <w:rPr>
                <w:rStyle w:val="38"/>
                <w:rFonts w:hint="eastAsia" w:ascii="仿宋" w:hAnsi="仿宋" w:eastAsia="仿宋" w:cs="仿宋"/>
                <w:b w:val="0"/>
                <w:bCs w:val="0"/>
                <w:color w:val="auto"/>
                <w:sz w:val="24"/>
                <w:szCs w:val="24"/>
                <w:highlight w:val="none"/>
              </w:rPr>
              <w:t>元—</w:t>
            </w:r>
            <w:r>
              <w:rPr>
                <w:rFonts w:hint="eastAsia" w:ascii="仿宋" w:hAnsi="仿宋" w:eastAsia="仿宋" w:cs="仿宋"/>
                <w:b w:val="0"/>
                <w:bCs w:val="0"/>
                <w:color w:val="auto"/>
                <w:sz w:val="24"/>
                <w:szCs w:val="24"/>
                <w:highlight w:val="none"/>
              </w:rPr>
              <w:t>10亿</w:t>
            </w:r>
            <w:r>
              <w:rPr>
                <w:rStyle w:val="38"/>
                <w:rFonts w:hint="eastAsia" w:ascii="仿宋" w:hAnsi="仿宋" w:eastAsia="仿宋" w:cs="仿宋"/>
                <w:b w:val="0"/>
                <w:bCs w:val="0"/>
                <w:color w:val="auto"/>
                <w:sz w:val="24"/>
                <w:szCs w:val="24"/>
                <w:highlight w:val="none"/>
              </w:rPr>
              <w:t>元（含）</w:t>
            </w:r>
          </w:p>
        </w:tc>
        <w:tc>
          <w:tcPr>
            <w:tcW w:w="2901" w:type="pct"/>
            <w:gridSpan w:val="3"/>
            <w:noWrap w:val="0"/>
            <w:vAlign w:val="center"/>
          </w:tcPr>
          <w:p w14:paraId="403D1FD3">
            <w:pPr>
              <w:adjustRightInd w:val="0"/>
              <w:snapToGrid w:val="0"/>
              <w:jc w:val="center"/>
              <w:rPr>
                <w:rStyle w:val="38"/>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0.035%</w:t>
            </w:r>
          </w:p>
        </w:tc>
      </w:tr>
      <w:tr w14:paraId="4A9D8906">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noWrap w:val="0"/>
            <w:vAlign w:val="center"/>
          </w:tcPr>
          <w:p w14:paraId="092A8E60">
            <w:pPr>
              <w:pStyle w:val="33"/>
              <w:adjustRightInd w:val="0"/>
              <w:snapToGrid w:val="0"/>
              <w:spacing w:before="0" w:beforeAutospacing="0" w:after="0" w:afterAutospacing="0"/>
              <w:jc w:val="center"/>
              <w:rPr>
                <w:rStyle w:val="38"/>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10亿</w:t>
            </w:r>
            <w:r>
              <w:rPr>
                <w:rStyle w:val="38"/>
                <w:rFonts w:hint="eastAsia" w:ascii="仿宋" w:hAnsi="仿宋" w:eastAsia="仿宋" w:cs="仿宋"/>
                <w:b w:val="0"/>
                <w:bCs w:val="0"/>
                <w:color w:val="auto"/>
                <w:sz w:val="24"/>
                <w:szCs w:val="24"/>
                <w:highlight w:val="none"/>
              </w:rPr>
              <w:t>元以上</w:t>
            </w:r>
          </w:p>
        </w:tc>
        <w:tc>
          <w:tcPr>
            <w:tcW w:w="2901" w:type="pct"/>
            <w:gridSpan w:val="3"/>
            <w:noWrap w:val="0"/>
            <w:vAlign w:val="center"/>
          </w:tcPr>
          <w:p w14:paraId="2E5981FB">
            <w:pPr>
              <w:adjustRightInd w:val="0"/>
              <w:snapToGrid w:val="0"/>
              <w:jc w:val="center"/>
              <w:rPr>
                <w:rStyle w:val="38"/>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0.008%</w:t>
            </w:r>
          </w:p>
        </w:tc>
      </w:tr>
      <w:tr w14:paraId="3BE0EE7F">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2537" w:hRule="atLeast"/>
          <w:jc w:val="center"/>
        </w:trPr>
        <w:tc>
          <w:tcPr>
            <w:tcW w:w="5000" w:type="pct"/>
            <w:gridSpan w:val="4"/>
            <w:noWrap w:val="0"/>
            <w:vAlign w:val="center"/>
          </w:tcPr>
          <w:p w14:paraId="723CFDC7">
            <w:pPr>
              <w:adjustRightInd w:val="0"/>
              <w:snapToGrid w:val="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说明：招标代理服务收费按差额定率累进法计算以单个项目（或标段）中标通知书的中标金额为计算基数。中标金额大于50万时，50万元以内的固定收费金额不参与累进，直接以50万元</w:t>
            </w:r>
            <w:r>
              <w:rPr>
                <w:rStyle w:val="38"/>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rPr>
              <w:t>100万元（含）的费率进行计算。</w:t>
            </w:r>
          </w:p>
          <w:p w14:paraId="366EEC62">
            <w:pPr>
              <w:adjustRightInd w:val="0"/>
              <w:snapToGrid w:val="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例如：某工程总承包（含勘察设计、施工）项目，中标金额中勘察设计费为300万元，施工费用为10000万元，计算招标代理服务收费额如下：</w:t>
            </w:r>
          </w:p>
          <w:p w14:paraId="5E896ABE">
            <w:pPr>
              <w:pStyle w:val="11"/>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（一）勘察设计部分招标代理服务收费额</w:t>
            </w:r>
          </w:p>
          <w:p w14:paraId="12FCF90D">
            <w:pPr>
              <w:adjustRightInd w:val="0"/>
              <w:snapToGrid w:val="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100万元×1.5%=1.50万元</w:t>
            </w:r>
          </w:p>
          <w:p w14:paraId="4C303FD5">
            <w:pPr>
              <w:adjustRightInd w:val="0"/>
              <w:snapToGrid w:val="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（300-100）万元×1.3%=2.6万元</w:t>
            </w:r>
          </w:p>
          <w:p w14:paraId="3397B2E2">
            <w:pPr>
              <w:adjustRightInd w:val="0"/>
              <w:snapToGrid w:val="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该部分</w:t>
            </w:r>
            <w:r>
              <w:rPr>
                <w:rFonts w:hint="eastAsia" w:ascii="仿宋" w:hAnsi="仿宋" w:eastAsia="仿宋" w:cs="仿宋"/>
                <w:b w:val="0"/>
                <w:bCs w:val="0"/>
                <w:color w:val="auto"/>
                <w:sz w:val="24"/>
                <w:szCs w:val="24"/>
                <w:highlight w:val="none"/>
              </w:rPr>
              <w:t>合计收费=1.5＋2.6=4.1（万元）</w:t>
            </w:r>
          </w:p>
          <w:p w14:paraId="0AFBF32C">
            <w:pPr>
              <w:pStyle w:val="11"/>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（二）施工部分招标代理服务收费额</w:t>
            </w:r>
          </w:p>
          <w:p w14:paraId="5C41D30B">
            <w:pPr>
              <w:adjustRightInd w:val="0"/>
              <w:snapToGrid w:val="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100万元×1.5%=1.50万元</w:t>
            </w:r>
          </w:p>
          <w:p w14:paraId="4E5BF849">
            <w:pPr>
              <w:adjustRightInd w:val="0"/>
              <w:snapToGrid w:val="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（500-100）万元×1%=4万元</w:t>
            </w:r>
          </w:p>
          <w:p w14:paraId="3B2DD27E">
            <w:pPr>
              <w:adjustRightInd w:val="0"/>
              <w:snapToGrid w:val="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（100</w:t>
            </w:r>
            <w:r>
              <w:rPr>
                <w:rFonts w:hint="eastAsia" w:ascii="仿宋" w:hAnsi="仿宋" w:eastAsia="仿宋" w:cs="仿宋"/>
                <w:b w:val="0"/>
                <w:bCs w:val="0"/>
                <w:color w:val="auto"/>
                <w:sz w:val="24"/>
                <w:szCs w:val="24"/>
                <w:highlight w:val="none"/>
                <w:lang w:val="en-US" w:eastAsia="zh-CN"/>
              </w:rPr>
              <w:t>0</w:t>
            </w:r>
            <w:r>
              <w:rPr>
                <w:rFonts w:hint="eastAsia" w:ascii="仿宋" w:hAnsi="仿宋" w:eastAsia="仿宋" w:cs="仿宋"/>
                <w:b w:val="0"/>
                <w:bCs w:val="0"/>
                <w:color w:val="auto"/>
                <w:sz w:val="24"/>
                <w:szCs w:val="24"/>
                <w:highlight w:val="none"/>
              </w:rPr>
              <w:t>-500）万元×0.7%=3.5万元</w:t>
            </w:r>
          </w:p>
          <w:p w14:paraId="135D14A2">
            <w:pPr>
              <w:adjustRightInd w:val="0"/>
              <w:snapToGrid w:val="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（5000-1000）万元×0.4%=16万元</w:t>
            </w:r>
          </w:p>
          <w:p w14:paraId="16EB01FE">
            <w:pPr>
              <w:adjustRightInd w:val="0"/>
              <w:snapToGrid w:val="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（10000-5000）万元×0.25%=12.5万元</w:t>
            </w:r>
          </w:p>
          <w:p w14:paraId="28DC0C5B">
            <w:pPr>
              <w:adjustRightInd w:val="0"/>
              <w:snapToGrid w:val="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该部分</w:t>
            </w:r>
            <w:r>
              <w:rPr>
                <w:rFonts w:hint="eastAsia" w:ascii="仿宋" w:hAnsi="仿宋" w:eastAsia="仿宋" w:cs="仿宋"/>
                <w:b w:val="0"/>
                <w:bCs w:val="0"/>
                <w:color w:val="auto"/>
                <w:sz w:val="24"/>
                <w:szCs w:val="24"/>
                <w:highlight w:val="none"/>
              </w:rPr>
              <w:t>合计收费=1.5＋4＋3.5＋16＋12.5=37.5（万元）</w:t>
            </w:r>
          </w:p>
          <w:p w14:paraId="257A32CC">
            <w:pPr>
              <w:pStyle w:val="11"/>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（三）招标代理服务收费额</w:t>
            </w:r>
          </w:p>
          <w:p w14:paraId="299DA8A3">
            <w:pPr>
              <w:adjustRightInd w:val="0"/>
              <w:snapToGrid w:val="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合计收费</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4.1+37.5=41.6万元</w:t>
            </w:r>
          </w:p>
        </w:tc>
      </w:tr>
    </w:tbl>
    <w:p w14:paraId="0990D4D2">
      <w:pPr>
        <w:pStyle w:val="40"/>
        <w:rPr>
          <w:rFonts w:hint="eastAsia"/>
          <w:color w:val="auto"/>
          <w:highlight w:val="none"/>
        </w:rPr>
      </w:pPr>
    </w:p>
    <w:p w14:paraId="1EA025EB">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138" w:name="_Toc17040971"/>
      <w:bookmarkStart w:id="139" w:name="_Toc17040853"/>
      <w:bookmarkStart w:id="140" w:name="_Toc17040732"/>
      <w:bookmarkStart w:id="141" w:name="_Toc26938"/>
      <w:bookmarkStart w:id="142" w:name="_Toc262406298"/>
      <w:bookmarkStart w:id="143" w:name="_Toc17034183"/>
      <w:bookmarkStart w:id="144" w:name="_Toc827"/>
      <w:r>
        <w:rPr>
          <w:rFonts w:hint="eastAsia" w:ascii="仿宋" w:hAnsi="仿宋" w:eastAsia="仿宋" w:cs="仿宋"/>
          <w:b/>
          <w:bCs/>
          <w:color w:val="auto"/>
          <w:kern w:val="0"/>
          <w:sz w:val="24"/>
          <w:szCs w:val="24"/>
          <w:highlight w:val="none"/>
        </w:rPr>
        <w:t>1.6 保密</w:t>
      </w:r>
      <w:bookmarkEnd w:id="138"/>
      <w:bookmarkEnd w:id="139"/>
      <w:bookmarkEnd w:id="140"/>
      <w:bookmarkEnd w:id="141"/>
      <w:bookmarkEnd w:id="142"/>
      <w:bookmarkEnd w:id="143"/>
      <w:bookmarkEnd w:id="144"/>
    </w:p>
    <w:p w14:paraId="2B645D01">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参与招标投标活动的各方应对招标文件和投标文件中的商业和技术等秘密保密，保密义务自合同签署之日起生效，并于合同终止后两年内继续有效。违者应对由此造成的后果承担法律责任。</w:t>
      </w:r>
    </w:p>
    <w:p w14:paraId="4096B130">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145" w:name="_Toc17034184"/>
      <w:bookmarkStart w:id="146" w:name="_Toc17040854"/>
      <w:bookmarkStart w:id="147" w:name="_Toc262406299"/>
      <w:bookmarkStart w:id="148" w:name="_Toc17040733"/>
      <w:bookmarkStart w:id="149" w:name="_Toc19638"/>
      <w:bookmarkStart w:id="150" w:name="_Toc20109"/>
      <w:bookmarkStart w:id="151" w:name="_Toc17040972"/>
      <w:r>
        <w:rPr>
          <w:rFonts w:hint="eastAsia" w:ascii="仿宋" w:hAnsi="仿宋" w:eastAsia="仿宋" w:cs="仿宋"/>
          <w:b/>
          <w:bCs/>
          <w:color w:val="auto"/>
          <w:kern w:val="0"/>
          <w:sz w:val="24"/>
          <w:szCs w:val="24"/>
          <w:highlight w:val="none"/>
        </w:rPr>
        <w:t>1.7 语言文字</w:t>
      </w:r>
      <w:bookmarkEnd w:id="145"/>
      <w:bookmarkEnd w:id="146"/>
      <w:bookmarkEnd w:id="147"/>
      <w:bookmarkEnd w:id="148"/>
      <w:bookmarkEnd w:id="149"/>
      <w:bookmarkEnd w:id="150"/>
      <w:bookmarkEnd w:id="151"/>
    </w:p>
    <w:p w14:paraId="7C543E20">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除专用术语外，与招标投标有关的语言均使用中文。必要时专用术语应附有中文注释。</w:t>
      </w:r>
    </w:p>
    <w:p w14:paraId="14B898F0">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152" w:name="_Toc262406300"/>
      <w:bookmarkStart w:id="153" w:name="_Toc17040973"/>
      <w:bookmarkStart w:id="154" w:name="_Toc17040734"/>
      <w:bookmarkStart w:id="155" w:name="_Toc17040855"/>
      <w:bookmarkStart w:id="156" w:name="_Toc23178"/>
      <w:bookmarkStart w:id="157" w:name="_Toc23812"/>
      <w:bookmarkStart w:id="158" w:name="_Toc17034185"/>
      <w:r>
        <w:rPr>
          <w:rFonts w:hint="eastAsia" w:ascii="仿宋" w:hAnsi="仿宋" w:eastAsia="仿宋" w:cs="仿宋"/>
          <w:b/>
          <w:bCs/>
          <w:color w:val="auto"/>
          <w:kern w:val="0"/>
          <w:sz w:val="24"/>
          <w:szCs w:val="24"/>
          <w:highlight w:val="none"/>
        </w:rPr>
        <w:t>1.8 计量单位</w:t>
      </w:r>
      <w:bookmarkEnd w:id="152"/>
      <w:bookmarkEnd w:id="153"/>
      <w:bookmarkEnd w:id="154"/>
      <w:bookmarkEnd w:id="155"/>
      <w:bookmarkEnd w:id="156"/>
      <w:bookmarkEnd w:id="157"/>
      <w:bookmarkEnd w:id="158"/>
    </w:p>
    <w:p w14:paraId="08AF1775">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所有计量均采用中华人民共和国法定计量单位。</w:t>
      </w:r>
    </w:p>
    <w:p w14:paraId="2BB81C9F">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159" w:name="_Toc17040974"/>
      <w:bookmarkStart w:id="160" w:name="_Toc17040856"/>
      <w:bookmarkStart w:id="161" w:name="_Toc29390"/>
      <w:bookmarkStart w:id="162" w:name="_Toc17040735"/>
      <w:bookmarkStart w:id="163" w:name="_Toc262406301"/>
      <w:bookmarkStart w:id="164" w:name="_Toc21861"/>
      <w:bookmarkStart w:id="165" w:name="_Toc17034186"/>
      <w:r>
        <w:rPr>
          <w:rFonts w:hint="eastAsia" w:ascii="仿宋" w:hAnsi="仿宋" w:eastAsia="仿宋" w:cs="仿宋"/>
          <w:b/>
          <w:bCs/>
          <w:color w:val="auto"/>
          <w:kern w:val="0"/>
          <w:sz w:val="24"/>
          <w:szCs w:val="24"/>
          <w:highlight w:val="none"/>
        </w:rPr>
        <w:t>1.9 踏勘现场</w:t>
      </w:r>
      <w:bookmarkEnd w:id="159"/>
      <w:bookmarkEnd w:id="160"/>
      <w:bookmarkEnd w:id="161"/>
      <w:bookmarkEnd w:id="162"/>
      <w:bookmarkEnd w:id="163"/>
      <w:bookmarkEnd w:id="164"/>
      <w:bookmarkEnd w:id="165"/>
    </w:p>
    <w:p w14:paraId="70AEFA80">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不接受现场勘踏。</w:t>
      </w:r>
    </w:p>
    <w:p w14:paraId="1F1F7600">
      <w:pPr>
        <w:pStyle w:val="19"/>
        <w:keepNext w:val="0"/>
        <w:keepLines w:val="0"/>
        <w:pageBreakBefore w:val="0"/>
        <w:widowControl w:val="0"/>
        <w:kinsoku/>
        <w:wordWrap/>
        <w:overflowPunct/>
        <w:topLinePunct w:val="0"/>
        <w:bidi w:val="0"/>
        <w:snapToGrid/>
        <w:spacing w:line="360" w:lineRule="auto"/>
        <w:ind w:left="210" w:leftChars="1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1.10 投标预备会</w:t>
      </w:r>
    </w:p>
    <w:p w14:paraId="20B762BD">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不召开。</w:t>
      </w:r>
    </w:p>
    <w:p w14:paraId="09536EBE">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166" w:name="_Toc260172653"/>
      <w:bookmarkStart w:id="167" w:name="_Toc17040736"/>
      <w:bookmarkStart w:id="168" w:name="_Toc17034187"/>
      <w:bookmarkStart w:id="169" w:name="_Toc20560"/>
      <w:bookmarkStart w:id="170" w:name="_Toc262675320"/>
      <w:bookmarkStart w:id="171" w:name="_Toc30338"/>
      <w:bookmarkStart w:id="172" w:name="_Toc247277940"/>
      <w:bookmarkStart w:id="173" w:name="_Toc17040857"/>
      <w:bookmarkStart w:id="174" w:name="_Toc209498815"/>
      <w:bookmarkStart w:id="175" w:name="_Toc17040975"/>
      <w:r>
        <w:rPr>
          <w:rFonts w:hint="eastAsia" w:ascii="仿宋" w:hAnsi="仿宋" w:eastAsia="仿宋" w:cs="仿宋"/>
          <w:b/>
          <w:bCs/>
          <w:color w:val="auto"/>
          <w:kern w:val="0"/>
          <w:sz w:val="24"/>
          <w:szCs w:val="24"/>
          <w:highlight w:val="none"/>
        </w:rPr>
        <w:t>1.11 偏离</w:t>
      </w:r>
      <w:bookmarkEnd w:id="166"/>
      <w:bookmarkEnd w:id="167"/>
      <w:bookmarkEnd w:id="168"/>
      <w:bookmarkEnd w:id="169"/>
      <w:bookmarkEnd w:id="170"/>
      <w:bookmarkEnd w:id="171"/>
      <w:bookmarkEnd w:id="172"/>
      <w:bookmarkEnd w:id="173"/>
      <w:bookmarkEnd w:id="174"/>
      <w:bookmarkEnd w:id="175"/>
    </w:p>
    <w:p w14:paraId="55211408">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bookmarkStart w:id="176" w:name="_Toc17034188"/>
      <w:bookmarkStart w:id="177" w:name="_Toc17040976"/>
      <w:bookmarkStart w:id="178" w:name="_Toc1355"/>
      <w:bookmarkStart w:id="179" w:name="_Toc17040858"/>
      <w:bookmarkStart w:id="180" w:name="_Toc17040737"/>
      <w:r>
        <w:rPr>
          <w:rFonts w:hint="eastAsia" w:ascii="仿宋" w:hAnsi="仿宋" w:eastAsia="仿宋" w:cs="仿宋"/>
          <w:color w:val="auto"/>
          <w:kern w:val="0"/>
          <w:sz w:val="24"/>
          <w:szCs w:val="24"/>
          <w:highlight w:val="none"/>
          <w:lang w:val="en-US" w:eastAsia="zh-CN"/>
        </w:rPr>
        <w:t>不允许负偏离。</w:t>
      </w:r>
    </w:p>
    <w:p w14:paraId="73968D07">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1.12 分包</w:t>
      </w:r>
      <w:bookmarkEnd w:id="176"/>
      <w:bookmarkEnd w:id="177"/>
      <w:bookmarkEnd w:id="178"/>
      <w:bookmarkEnd w:id="179"/>
      <w:bookmarkEnd w:id="180"/>
    </w:p>
    <w:p w14:paraId="28D900F5">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不允许。</w:t>
      </w:r>
    </w:p>
    <w:p w14:paraId="143D6B80">
      <w:pPr>
        <w:rPr>
          <w:rFonts w:hint="eastAsia"/>
          <w:color w:val="auto"/>
          <w:highlight w:val="none"/>
        </w:rPr>
      </w:pPr>
      <w:bookmarkStart w:id="181" w:name="_Toc262675321"/>
      <w:bookmarkStart w:id="182" w:name="_Toc209498817"/>
      <w:bookmarkStart w:id="183" w:name="_Toc17040859"/>
      <w:bookmarkStart w:id="184" w:name="_Toc491246646"/>
      <w:bookmarkStart w:id="185" w:name="_Toc17040977"/>
      <w:bookmarkStart w:id="186" w:name="_Toc199321891"/>
      <w:bookmarkStart w:id="187" w:name="_Toc260172654"/>
      <w:bookmarkStart w:id="188" w:name="_Toc17040738"/>
      <w:bookmarkStart w:id="189" w:name="_Toc31896"/>
      <w:bookmarkStart w:id="190" w:name="_Toc4254"/>
      <w:bookmarkStart w:id="191" w:name="_Toc247277941"/>
    </w:p>
    <w:p w14:paraId="6CE033E9">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2.招标文件</w:t>
      </w:r>
      <w:bookmarkEnd w:id="181"/>
      <w:bookmarkEnd w:id="182"/>
      <w:bookmarkEnd w:id="183"/>
      <w:bookmarkEnd w:id="184"/>
      <w:bookmarkEnd w:id="185"/>
      <w:bookmarkEnd w:id="186"/>
      <w:bookmarkEnd w:id="187"/>
      <w:bookmarkEnd w:id="188"/>
      <w:bookmarkEnd w:id="189"/>
      <w:bookmarkEnd w:id="190"/>
      <w:bookmarkEnd w:id="191"/>
    </w:p>
    <w:p w14:paraId="1BB5043B">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192" w:name="_Toc260172655"/>
      <w:bookmarkStart w:id="193" w:name="_Toc247277942"/>
      <w:bookmarkStart w:id="194" w:name="_Toc209498818"/>
      <w:bookmarkStart w:id="195" w:name="_Toc17040978"/>
      <w:bookmarkStart w:id="196" w:name="_Toc32165"/>
      <w:bookmarkStart w:id="197" w:name="_Toc13647"/>
      <w:bookmarkStart w:id="198" w:name="_Toc491246647"/>
      <w:bookmarkStart w:id="199" w:name="_Toc17040860"/>
      <w:bookmarkStart w:id="200" w:name="_Toc262675322"/>
      <w:bookmarkStart w:id="201" w:name="_Toc17040739"/>
      <w:bookmarkStart w:id="202" w:name="_Toc199321892"/>
      <w:r>
        <w:rPr>
          <w:rFonts w:hint="eastAsia" w:ascii="仿宋" w:hAnsi="仿宋" w:eastAsia="仿宋" w:cs="仿宋"/>
          <w:b/>
          <w:bCs/>
          <w:color w:val="auto"/>
          <w:kern w:val="0"/>
          <w:sz w:val="24"/>
          <w:szCs w:val="24"/>
          <w:highlight w:val="none"/>
        </w:rPr>
        <w:t>2.1 招标文件的组成</w:t>
      </w:r>
      <w:bookmarkEnd w:id="192"/>
      <w:bookmarkEnd w:id="193"/>
      <w:bookmarkEnd w:id="194"/>
      <w:bookmarkEnd w:id="195"/>
      <w:bookmarkEnd w:id="196"/>
      <w:bookmarkEnd w:id="197"/>
      <w:bookmarkEnd w:id="198"/>
      <w:bookmarkEnd w:id="199"/>
      <w:bookmarkEnd w:id="200"/>
      <w:bookmarkEnd w:id="201"/>
      <w:bookmarkEnd w:id="202"/>
    </w:p>
    <w:p w14:paraId="6E1ADD59">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2.1.1 本招标文件包括：</w:t>
      </w:r>
    </w:p>
    <w:p w14:paraId="74F0A69B">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（1）招标公告； </w:t>
      </w:r>
    </w:p>
    <w:p w14:paraId="30F26492">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（2）投标人须知；</w:t>
      </w:r>
    </w:p>
    <w:p w14:paraId="4CBCB521">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（3）评标办法（综合评分法）；</w:t>
      </w:r>
    </w:p>
    <w:p w14:paraId="7F11BB8F">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（4）合同条款；</w:t>
      </w:r>
    </w:p>
    <w:p w14:paraId="47F02AE4">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（5）项目内容； </w:t>
      </w:r>
    </w:p>
    <w:p w14:paraId="38B56AA8">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（6）投标文件格式。 </w:t>
      </w:r>
    </w:p>
    <w:p w14:paraId="6C8B5AA2">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2.1.2 根据本章第2.2款、第2.3款对招标文件所作的澄清、修改，构成招标文件的组成部分。</w:t>
      </w:r>
    </w:p>
    <w:p w14:paraId="071F3A9B">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203" w:name="_Toc17040740"/>
      <w:bookmarkStart w:id="204" w:name="_Toc209498819"/>
      <w:bookmarkStart w:id="205" w:name="_Toc247277943"/>
      <w:bookmarkStart w:id="206" w:name="_Toc17040979"/>
      <w:bookmarkStart w:id="207" w:name="_Toc17040861"/>
      <w:bookmarkStart w:id="208" w:name="_Toc491246648"/>
      <w:bookmarkStart w:id="209" w:name="_Toc1565"/>
      <w:bookmarkStart w:id="210" w:name="_Toc199321893"/>
      <w:bookmarkStart w:id="211" w:name="_Toc2193"/>
      <w:bookmarkStart w:id="212" w:name="_Toc260172656"/>
      <w:bookmarkStart w:id="213" w:name="_Toc262675323"/>
      <w:r>
        <w:rPr>
          <w:rFonts w:hint="eastAsia" w:ascii="仿宋" w:hAnsi="仿宋" w:eastAsia="仿宋" w:cs="仿宋"/>
          <w:b/>
          <w:bCs/>
          <w:color w:val="auto"/>
          <w:kern w:val="0"/>
          <w:sz w:val="24"/>
          <w:szCs w:val="24"/>
          <w:highlight w:val="none"/>
        </w:rPr>
        <w:t>2.2 招标文件的澄清</w:t>
      </w:r>
      <w:bookmarkEnd w:id="203"/>
      <w:bookmarkEnd w:id="204"/>
      <w:bookmarkEnd w:id="205"/>
      <w:bookmarkEnd w:id="206"/>
      <w:bookmarkEnd w:id="207"/>
      <w:bookmarkEnd w:id="208"/>
      <w:bookmarkEnd w:id="209"/>
      <w:bookmarkEnd w:id="210"/>
      <w:bookmarkEnd w:id="211"/>
      <w:bookmarkEnd w:id="212"/>
      <w:bookmarkEnd w:id="213"/>
    </w:p>
    <w:p w14:paraId="029B689A">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2.2.1 投标人应仔细阅读和检查招标文件的全部内容。如发现缺页或附件不全，应及时向采购人提出，以便补齐。</w:t>
      </w:r>
    </w:p>
    <w:p w14:paraId="281B5FE6">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2.2.2 如果澄清发出的时间距投标人须知前附表规定的投标截止时间不足15天，并且澄清内容影响投标文件编制的，将相应延长投标截止时间。</w:t>
      </w:r>
    </w:p>
    <w:p w14:paraId="3B71D75A">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214" w:name="_Toc199321897"/>
      <w:bookmarkStart w:id="215" w:name="_Toc17040741"/>
      <w:bookmarkStart w:id="216" w:name="_Toc260172657"/>
      <w:bookmarkStart w:id="217" w:name="_Toc209498820"/>
      <w:bookmarkStart w:id="218" w:name="_Toc17040862"/>
      <w:bookmarkStart w:id="219" w:name="_Toc17040980"/>
      <w:bookmarkStart w:id="220" w:name="_Toc20290"/>
      <w:bookmarkStart w:id="221" w:name="_Toc262675324"/>
      <w:bookmarkStart w:id="222" w:name="_Toc13506"/>
      <w:bookmarkStart w:id="223" w:name="_Toc247277944"/>
      <w:bookmarkStart w:id="224" w:name="_Toc491246649"/>
      <w:r>
        <w:rPr>
          <w:rFonts w:hint="eastAsia" w:ascii="仿宋" w:hAnsi="仿宋" w:eastAsia="仿宋" w:cs="仿宋"/>
          <w:b/>
          <w:bCs/>
          <w:color w:val="auto"/>
          <w:kern w:val="0"/>
          <w:sz w:val="24"/>
          <w:szCs w:val="24"/>
          <w:highlight w:val="none"/>
        </w:rPr>
        <w:t>2.3 招标文件的修改</w:t>
      </w:r>
      <w:bookmarkEnd w:id="214"/>
      <w:bookmarkEnd w:id="215"/>
      <w:bookmarkEnd w:id="216"/>
      <w:bookmarkEnd w:id="217"/>
      <w:bookmarkEnd w:id="218"/>
      <w:bookmarkEnd w:id="219"/>
      <w:bookmarkEnd w:id="220"/>
      <w:bookmarkEnd w:id="221"/>
      <w:bookmarkEnd w:id="222"/>
      <w:bookmarkEnd w:id="223"/>
      <w:bookmarkEnd w:id="224"/>
    </w:p>
    <w:p w14:paraId="384A4ACF">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2.3.1 采购人可主动或在解答投标人提出的澄清问题时对招标文件进行修改。采购人无论对评标办法、评审项目等重要内容作何种变更，都要发布补遗文件进行说明，以保证各投标人都能下载用于编制电子投标文件。招标文件的修改将在云南省政府采购网发布，招标文件的修改作为招标文件的组成部分，并具有约束力。</w:t>
      </w:r>
    </w:p>
    <w:p w14:paraId="3802671D">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如果修改招标文件的时间距投标截止时间不足15天，并且修改内容影响投标文件编制的，将相应延长投标截止时间。 </w:t>
      </w:r>
    </w:p>
    <w:p w14:paraId="273B86D3">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2.3.2 投标人自行登录云南省政府采购网收取修改内容，无须回复确认已收到该修改。投标人应在投标截止时间前随时查看电子服务系统中有关该招标文件的答疑、补遗等内容。否则，由此引起的投标损失自负。</w:t>
      </w:r>
    </w:p>
    <w:p w14:paraId="4DDD2328">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225" w:name="_Toc17040742"/>
      <w:bookmarkStart w:id="226" w:name="_Toc17040981"/>
      <w:bookmarkStart w:id="227" w:name="_Toc9155"/>
      <w:bookmarkStart w:id="228" w:name="_Toc17040863"/>
      <w:r>
        <w:rPr>
          <w:rFonts w:hint="eastAsia" w:ascii="仿宋" w:hAnsi="仿宋" w:eastAsia="仿宋" w:cs="仿宋"/>
          <w:b/>
          <w:bCs/>
          <w:color w:val="auto"/>
          <w:kern w:val="0"/>
          <w:sz w:val="24"/>
          <w:szCs w:val="24"/>
          <w:highlight w:val="none"/>
        </w:rPr>
        <w:t>2.4 招标文件的澄清、招标文件的修改均以网上电子文件为准，当招标文件、招标文件的澄清、招标文件的修改内容前后相互矛盾时，以最后发出的为准。</w:t>
      </w:r>
      <w:bookmarkEnd w:id="225"/>
      <w:bookmarkEnd w:id="226"/>
      <w:bookmarkEnd w:id="227"/>
      <w:bookmarkEnd w:id="228"/>
    </w:p>
    <w:p w14:paraId="51034F09">
      <w:pPr>
        <w:pStyle w:val="11"/>
        <w:keepNext w:val="0"/>
        <w:keepLines w:val="0"/>
        <w:pageBreakBefore w:val="0"/>
        <w:widowControl w:val="0"/>
        <w:kinsoku/>
        <w:wordWrap/>
        <w:overflowPunct/>
        <w:topLinePunct w:val="0"/>
        <w:bidi w:val="0"/>
        <w:snapToGrid/>
        <w:spacing w:line="360" w:lineRule="auto"/>
        <w:ind w:left="210" w:leftChars="100"/>
        <w:jc w:val="left"/>
        <w:textAlignment w:val="auto"/>
        <w:rPr>
          <w:rFonts w:hint="eastAsia" w:ascii="仿宋" w:hAnsi="仿宋" w:eastAsia="仿宋" w:cs="仿宋"/>
          <w:b/>
          <w:bCs/>
          <w:color w:val="auto"/>
          <w:sz w:val="24"/>
          <w:szCs w:val="24"/>
          <w:highlight w:val="none"/>
        </w:rPr>
      </w:pPr>
    </w:p>
    <w:p w14:paraId="418B6CD4">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229" w:name="_Toc209498821"/>
      <w:bookmarkStart w:id="230" w:name="_Toc17040982"/>
      <w:bookmarkStart w:id="231" w:name="_Toc17040743"/>
      <w:bookmarkStart w:id="232" w:name="_Toc11443"/>
      <w:bookmarkStart w:id="233" w:name="_Toc491246650"/>
      <w:bookmarkStart w:id="234" w:name="_Toc199321900"/>
      <w:bookmarkStart w:id="235" w:name="_Toc260172658"/>
      <w:bookmarkStart w:id="236" w:name="_Toc262675325"/>
      <w:bookmarkStart w:id="237" w:name="_Toc17040864"/>
      <w:bookmarkStart w:id="238" w:name="_Toc247277945"/>
      <w:bookmarkStart w:id="239" w:name="_Toc6293"/>
      <w:r>
        <w:rPr>
          <w:rFonts w:hint="eastAsia" w:ascii="仿宋" w:hAnsi="仿宋" w:eastAsia="仿宋" w:cs="仿宋"/>
          <w:b/>
          <w:bCs/>
          <w:color w:val="auto"/>
          <w:kern w:val="0"/>
          <w:sz w:val="24"/>
          <w:szCs w:val="24"/>
          <w:highlight w:val="none"/>
        </w:rPr>
        <w:t>3.投标文件</w:t>
      </w:r>
      <w:bookmarkEnd w:id="229"/>
      <w:bookmarkEnd w:id="230"/>
      <w:bookmarkEnd w:id="231"/>
      <w:bookmarkEnd w:id="232"/>
      <w:bookmarkEnd w:id="233"/>
      <w:bookmarkEnd w:id="234"/>
      <w:bookmarkEnd w:id="235"/>
      <w:bookmarkEnd w:id="236"/>
      <w:bookmarkEnd w:id="237"/>
      <w:bookmarkEnd w:id="238"/>
      <w:bookmarkEnd w:id="239"/>
    </w:p>
    <w:p w14:paraId="18C3197A">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240" w:name="_Toc247277946"/>
      <w:bookmarkStart w:id="241" w:name="_Toc491246651"/>
      <w:bookmarkStart w:id="242" w:name="_Toc15868"/>
      <w:bookmarkStart w:id="243" w:name="_Toc17040865"/>
      <w:bookmarkStart w:id="244" w:name="_Toc17040983"/>
      <w:bookmarkStart w:id="245" w:name="_Toc199321901"/>
      <w:bookmarkStart w:id="246" w:name="_Toc262675326"/>
      <w:bookmarkStart w:id="247" w:name="_Toc2051"/>
      <w:bookmarkStart w:id="248" w:name="_Toc209498822"/>
      <w:bookmarkStart w:id="249" w:name="_Toc17040744"/>
      <w:bookmarkStart w:id="250" w:name="_Toc260172659"/>
      <w:r>
        <w:rPr>
          <w:rFonts w:hint="eastAsia" w:ascii="仿宋" w:hAnsi="仿宋" w:eastAsia="仿宋" w:cs="仿宋"/>
          <w:b/>
          <w:bCs/>
          <w:color w:val="auto"/>
          <w:kern w:val="0"/>
          <w:sz w:val="24"/>
          <w:szCs w:val="24"/>
          <w:highlight w:val="none"/>
        </w:rPr>
        <w:t>3.1 投标文件的组成</w:t>
      </w:r>
      <w:bookmarkEnd w:id="240"/>
      <w:bookmarkEnd w:id="241"/>
      <w:bookmarkEnd w:id="242"/>
      <w:bookmarkEnd w:id="243"/>
      <w:bookmarkEnd w:id="244"/>
      <w:bookmarkEnd w:id="245"/>
      <w:bookmarkEnd w:id="246"/>
      <w:bookmarkEnd w:id="247"/>
      <w:bookmarkEnd w:id="248"/>
      <w:bookmarkEnd w:id="249"/>
      <w:bookmarkEnd w:id="250"/>
    </w:p>
    <w:p w14:paraId="49E7C7FC">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bookmarkStart w:id="251" w:name="_Toc22288"/>
      <w:bookmarkStart w:id="252" w:name="_Toc17041000"/>
      <w:bookmarkStart w:id="253" w:name="_Toc17040882"/>
      <w:bookmarkStart w:id="254" w:name="_Toc17040761"/>
      <w:bookmarkStart w:id="255" w:name="_Toc262675327"/>
      <w:bookmarkStart w:id="256" w:name="_Toc199321902"/>
      <w:bookmarkStart w:id="257" w:name="_Toc27250"/>
      <w:bookmarkStart w:id="258" w:name="_Toc247277947"/>
      <w:bookmarkStart w:id="259" w:name="_Toc260172660"/>
      <w:bookmarkStart w:id="260" w:name="_Toc209498823"/>
      <w:bookmarkStart w:id="261" w:name="_Toc491246652"/>
      <w:r>
        <w:rPr>
          <w:rFonts w:hint="eastAsia" w:ascii="仿宋" w:hAnsi="仿宋" w:eastAsia="仿宋" w:cs="仿宋"/>
          <w:color w:val="auto"/>
          <w:kern w:val="0"/>
          <w:sz w:val="24"/>
          <w:szCs w:val="24"/>
          <w:highlight w:val="none"/>
          <w:lang w:val="en-US" w:eastAsia="zh-CN"/>
        </w:rPr>
        <w:t>（1）资格文件</w:t>
      </w:r>
    </w:p>
    <w:p w14:paraId="7D3E09BA">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（2）报价文件</w:t>
      </w:r>
    </w:p>
    <w:p w14:paraId="7140075A">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（3）技术/商务文件</w:t>
      </w:r>
    </w:p>
    <w:p w14:paraId="044FD1A2">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投标文件包含且不限于3.1款规定的全部内容，投标人提交的投标文件应当使用招标文件所提供的投标文件格式（表格可以按同样格式扩展），未提供格式的由投标人自拟格式。</w:t>
      </w:r>
      <w:bookmarkEnd w:id="251"/>
      <w:bookmarkEnd w:id="252"/>
      <w:bookmarkEnd w:id="253"/>
      <w:bookmarkEnd w:id="254"/>
    </w:p>
    <w:p w14:paraId="5DDD78E9">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color w:val="auto"/>
          <w:kern w:val="0"/>
          <w:sz w:val="24"/>
          <w:szCs w:val="24"/>
          <w:highlight w:val="none"/>
        </w:rPr>
      </w:pPr>
      <w:bookmarkStart w:id="262" w:name="_Toc18970"/>
      <w:bookmarkStart w:id="263" w:name="_Toc17041001"/>
      <w:bookmarkStart w:id="264" w:name="_Toc17040762"/>
      <w:bookmarkStart w:id="265" w:name="_Toc17040883"/>
      <w:r>
        <w:rPr>
          <w:rFonts w:hint="eastAsia" w:ascii="仿宋" w:hAnsi="仿宋" w:eastAsia="仿宋" w:cs="仿宋"/>
          <w:b/>
          <w:bCs/>
          <w:color w:val="auto"/>
          <w:kern w:val="0"/>
          <w:sz w:val="24"/>
          <w:szCs w:val="24"/>
          <w:highlight w:val="none"/>
        </w:rPr>
        <w:t>3.2 投标报价</w:t>
      </w:r>
      <w:bookmarkEnd w:id="255"/>
      <w:bookmarkEnd w:id="256"/>
      <w:bookmarkEnd w:id="257"/>
      <w:bookmarkEnd w:id="258"/>
      <w:bookmarkEnd w:id="259"/>
      <w:bookmarkEnd w:id="260"/>
      <w:bookmarkEnd w:id="261"/>
      <w:bookmarkEnd w:id="262"/>
      <w:bookmarkEnd w:id="263"/>
      <w:bookmarkEnd w:id="264"/>
      <w:bookmarkEnd w:id="265"/>
    </w:p>
    <w:p w14:paraId="421B8C15">
      <w:pPr>
        <w:spacing w:line="360" w:lineRule="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3.2.1 投标人必须对本项目所有采购内容作完整唯一报价</w:t>
      </w:r>
      <w:r>
        <w:rPr>
          <w:rFonts w:hint="eastAsia" w:ascii="仿宋" w:hAnsi="仿宋" w:eastAsia="仿宋" w:cs="仿宋"/>
          <w:b/>
          <w:bCs/>
          <w:color w:val="auto"/>
          <w:kern w:val="0"/>
          <w:sz w:val="24"/>
          <w:szCs w:val="24"/>
          <w:highlight w:val="none"/>
          <w:lang w:val="en-US" w:eastAsia="zh-CN"/>
        </w:rPr>
        <w:t>（报价方式为：</w:t>
      </w:r>
      <w:r>
        <w:rPr>
          <w:rFonts w:hint="eastAsia" w:ascii="仿宋" w:hAnsi="仿宋" w:eastAsia="仿宋" w:cs="仿宋"/>
          <w:b/>
          <w:bCs/>
          <w:color w:val="auto"/>
          <w:sz w:val="24"/>
          <w:szCs w:val="24"/>
          <w:highlight w:val="none"/>
          <w:lang w:val="en-US" w:eastAsia="zh-CN"/>
        </w:rPr>
        <w:t>投标人填报下浮百分比，结算单价 = 限价单价 ×(1 - 下浮率)</w:t>
      </w:r>
      <w:r>
        <w:rPr>
          <w:rFonts w:hint="eastAsia" w:ascii="仿宋" w:hAnsi="仿宋" w:eastAsia="仿宋" w:cs="仿宋"/>
          <w:b/>
          <w:bCs/>
          <w:color w:val="auto"/>
          <w:kern w:val="0"/>
          <w:sz w:val="24"/>
          <w:szCs w:val="24"/>
          <w:highlight w:val="none"/>
          <w:lang w:val="en-US" w:eastAsia="zh-CN"/>
        </w:rPr>
        <w:t>）</w:t>
      </w:r>
      <w:r>
        <w:rPr>
          <w:rFonts w:hint="eastAsia" w:ascii="仿宋" w:hAnsi="仿宋" w:eastAsia="仿宋" w:cs="仿宋"/>
          <w:b w:val="0"/>
          <w:bCs w:val="0"/>
          <w:color w:val="auto"/>
          <w:kern w:val="0"/>
          <w:sz w:val="24"/>
          <w:szCs w:val="24"/>
          <w:highlight w:val="none"/>
          <w:lang w:val="en-US" w:eastAsia="zh-CN"/>
        </w:rPr>
        <w:t>，</w:t>
      </w:r>
      <w:r>
        <w:rPr>
          <w:rFonts w:hint="eastAsia" w:ascii="仿宋" w:hAnsi="仿宋" w:eastAsia="仿宋" w:cs="仿宋"/>
          <w:color w:val="auto"/>
          <w:kern w:val="0"/>
          <w:sz w:val="24"/>
          <w:szCs w:val="24"/>
          <w:highlight w:val="none"/>
          <w:lang w:val="en-US" w:eastAsia="zh-CN"/>
        </w:rPr>
        <w:t>不得缺项、漏项，否则其投标文件将按无效投标处理。</w:t>
      </w:r>
    </w:p>
    <w:p w14:paraId="579080D2">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3.2.2 投标报价指服务范围内所有费用及必要的保险费用和各项税金等所有费用的总和，投标人得以任何理由予以重复计价。投标人应依据招标文件的要求及有关资料，执行国家或行业现行技术、经济标准、定额及规范，根据现行市场价格自行测算出满足采购要求的货物、工程或服务的投标报价。</w:t>
      </w:r>
    </w:p>
    <w:p w14:paraId="7800DB5A">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 3.2.5 投标人不得哄抬报价，也不能低于成本价竞标。评标委员会认为投标人的投标报价或者某些分项报价明显不合理或者低于成本，有可能影响服务质量或不能诚信履约的，将要求其在规定的期限内提供说明文件予以解释说明，并提交相关证明材料；投标人不能证明其报价合理性的，评标委员会将认定投标人的投标文件无效。</w:t>
      </w:r>
    </w:p>
    <w:p w14:paraId="0B01B755">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3.2.6 投标人应保证其提供的货物、工程或服务是全新的，投标人应保证其提供的货物、工程或服务在采购人使用期间不受第三方可能提出的所有权、用益物权、担保物权、占有等一切涉及物权及知识产权、商标权、专利权、著作权等相关权利的起诉。</w:t>
      </w:r>
    </w:p>
    <w:p w14:paraId="4A3926F9">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3.2.7 投标人应按“投标文件格式”的要求填写相应表格。报价货币为人民币。</w:t>
      </w:r>
    </w:p>
    <w:p w14:paraId="4CE9BE58">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266" w:name="_Toc260172661"/>
      <w:bookmarkStart w:id="267" w:name="_Toc209498824"/>
      <w:bookmarkStart w:id="268" w:name="_Toc491246653"/>
      <w:bookmarkStart w:id="269" w:name="_Toc247277948"/>
      <w:bookmarkStart w:id="270" w:name="_Toc262675328"/>
      <w:bookmarkStart w:id="271" w:name="_Toc23309"/>
      <w:bookmarkStart w:id="272" w:name="_Toc14382"/>
      <w:bookmarkStart w:id="273" w:name="_Toc199321903"/>
      <w:bookmarkStart w:id="274" w:name="_Toc17041002"/>
      <w:bookmarkStart w:id="275" w:name="_Toc17040763"/>
      <w:bookmarkStart w:id="276" w:name="_Toc17040884"/>
      <w:r>
        <w:rPr>
          <w:rFonts w:hint="eastAsia" w:ascii="仿宋" w:hAnsi="仿宋" w:eastAsia="仿宋" w:cs="仿宋"/>
          <w:b/>
          <w:bCs/>
          <w:color w:val="auto"/>
          <w:kern w:val="0"/>
          <w:sz w:val="24"/>
          <w:szCs w:val="24"/>
          <w:highlight w:val="none"/>
        </w:rPr>
        <w:t>3.3 投标有效期</w:t>
      </w:r>
      <w:bookmarkEnd w:id="266"/>
      <w:bookmarkEnd w:id="267"/>
      <w:bookmarkEnd w:id="268"/>
      <w:bookmarkEnd w:id="269"/>
      <w:bookmarkEnd w:id="270"/>
      <w:bookmarkEnd w:id="271"/>
      <w:bookmarkEnd w:id="272"/>
      <w:bookmarkEnd w:id="273"/>
      <w:bookmarkEnd w:id="274"/>
      <w:bookmarkEnd w:id="275"/>
      <w:bookmarkEnd w:id="276"/>
    </w:p>
    <w:p w14:paraId="42A0761A">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bookmarkStart w:id="277" w:name="_Toc17041003"/>
      <w:bookmarkStart w:id="278" w:name="_Toc17040764"/>
      <w:bookmarkStart w:id="279" w:name="_Toc209498825"/>
      <w:bookmarkStart w:id="280" w:name="_Toc17040885"/>
      <w:bookmarkStart w:id="281" w:name="_Toc262675329"/>
      <w:bookmarkStart w:id="282" w:name="_Toc491246654"/>
      <w:bookmarkStart w:id="283" w:name="_Toc6738"/>
      <w:bookmarkStart w:id="284" w:name="_Toc247277949"/>
      <w:bookmarkStart w:id="285" w:name="_Toc199321904"/>
      <w:bookmarkStart w:id="286" w:name="_Toc260172662"/>
      <w:r>
        <w:rPr>
          <w:rFonts w:hint="eastAsia" w:ascii="仿宋" w:hAnsi="仿宋" w:eastAsia="仿宋" w:cs="仿宋"/>
          <w:color w:val="auto"/>
          <w:kern w:val="0"/>
          <w:sz w:val="24"/>
          <w:szCs w:val="24"/>
          <w:highlight w:val="none"/>
          <w:lang w:val="en-US" w:eastAsia="zh-CN"/>
        </w:rPr>
        <w:t>3.3.1 在投标人须知前附表规定的投标有效期内，投标人不得要求撤销或修改其投标文件。</w:t>
      </w:r>
    </w:p>
    <w:p w14:paraId="7927685E">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3.3.2 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3CB6E57F">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287" w:name="_Toc29545"/>
      <w:r>
        <w:rPr>
          <w:rFonts w:hint="eastAsia" w:ascii="仿宋" w:hAnsi="仿宋" w:eastAsia="仿宋" w:cs="仿宋"/>
          <w:b/>
          <w:bCs/>
          <w:color w:val="auto"/>
          <w:kern w:val="0"/>
          <w:sz w:val="24"/>
          <w:szCs w:val="24"/>
          <w:highlight w:val="none"/>
        </w:rPr>
        <w:t>3.4 投标保证金</w:t>
      </w:r>
      <w:bookmarkEnd w:id="277"/>
      <w:bookmarkEnd w:id="278"/>
      <w:bookmarkEnd w:id="279"/>
      <w:bookmarkEnd w:id="280"/>
      <w:bookmarkEnd w:id="281"/>
      <w:bookmarkEnd w:id="282"/>
      <w:bookmarkEnd w:id="283"/>
      <w:bookmarkEnd w:id="284"/>
      <w:bookmarkEnd w:id="285"/>
      <w:bookmarkEnd w:id="286"/>
      <w:bookmarkEnd w:id="287"/>
    </w:p>
    <w:p w14:paraId="7E9C3A81">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3.4.1 投标人在递交投标文件的同时，应按投标人须知前附表规定的金额、担保形式递交投标保证金，并作为其投标文件的组成部分。</w:t>
      </w:r>
    </w:p>
    <w:p w14:paraId="6D186345">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3.4.2 投标人不按本章第3.4.1项要求提交投标保证金的，其投标文件作无效投标处理。</w:t>
      </w:r>
    </w:p>
    <w:p w14:paraId="3799C7BE">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3.4.3 未中标的投标人的投标保证金在中标通知书发出之日起5个工作日内向未中标的投标人退还。中标人的投标保证金自采购合同签订之日起5个工作日内退还。但因投标人自身原因导致无法及时退还的除外。</w:t>
      </w:r>
    </w:p>
    <w:p w14:paraId="3192CC7D">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3.4.4 有下列情形之一的，投标保证金将不予退还：</w:t>
      </w:r>
    </w:p>
    <w:p w14:paraId="1032C247">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（1）投标人在规定的投标有效期内撤销其投标文件的；</w:t>
      </w:r>
    </w:p>
    <w:p w14:paraId="41118C8F">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（2）中标人在收到中标通知书后，无正当理由拒签合同协议书的；或未按招标文件规定提交履约担保的；</w:t>
      </w:r>
    </w:p>
    <w:p w14:paraId="157F6ACD">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（3）被发现投标人有串标围标行为的。</w:t>
      </w:r>
    </w:p>
    <w:p w14:paraId="60AE4F29">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288" w:name="_Toc17040886"/>
      <w:bookmarkStart w:id="289" w:name="_Toc17041004"/>
      <w:bookmarkStart w:id="290" w:name="_Toc21134"/>
      <w:bookmarkStart w:id="291" w:name="_Toc27750"/>
      <w:bookmarkStart w:id="292" w:name="_Toc199321905"/>
      <w:bookmarkStart w:id="293" w:name="_Toc491246655"/>
      <w:bookmarkStart w:id="294" w:name="_Toc209498826"/>
      <w:bookmarkStart w:id="295" w:name="_Toc17040765"/>
      <w:bookmarkStart w:id="296" w:name="_Toc262675330"/>
      <w:bookmarkStart w:id="297" w:name="_Toc247277950"/>
      <w:bookmarkStart w:id="298" w:name="_Toc260172663"/>
      <w:r>
        <w:rPr>
          <w:rFonts w:hint="eastAsia" w:ascii="仿宋" w:hAnsi="仿宋" w:eastAsia="仿宋" w:cs="仿宋"/>
          <w:b/>
          <w:bCs/>
          <w:color w:val="auto"/>
          <w:kern w:val="0"/>
          <w:sz w:val="24"/>
          <w:szCs w:val="24"/>
          <w:highlight w:val="none"/>
        </w:rPr>
        <w:t>3.5 资格审查资料</w:t>
      </w:r>
      <w:bookmarkEnd w:id="288"/>
      <w:bookmarkEnd w:id="289"/>
      <w:bookmarkEnd w:id="290"/>
      <w:bookmarkEnd w:id="291"/>
      <w:bookmarkEnd w:id="292"/>
      <w:bookmarkEnd w:id="293"/>
      <w:bookmarkEnd w:id="294"/>
      <w:bookmarkEnd w:id="295"/>
      <w:bookmarkEnd w:id="296"/>
      <w:bookmarkEnd w:id="297"/>
      <w:bookmarkEnd w:id="298"/>
    </w:p>
    <w:p w14:paraId="2878E162">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outlineLvl w:val="0"/>
        <w:rPr>
          <w:rFonts w:hint="eastAsia" w:ascii="仿宋" w:hAnsi="仿宋" w:eastAsia="仿宋" w:cs="仿宋"/>
          <w:color w:val="auto"/>
          <w:kern w:val="0"/>
          <w:sz w:val="24"/>
          <w:szCs w:val="24"/>
          <w:highlight w:val="none"/>
        </w:rPr>
      </w:pPr>
      <w:bookmarkStart w:id="299" w:name="_Toc4143"/>
      <w:bookmarkStart w:id="300" w:name="_Toc17041005"/>
      <w:bookmarkStart w:id="301" w:name="_Toc17040766"/>
      <w:bookmarkStart w:id="302" w:name="_Toc17040887"/>
      <w:bookmarkStart w:id="303" w:name="_Toc3030"/>
      <w:r>
        <w:rPr>
          <w:rFonts w:hint="eastAsia" w:ascii="仿宋" w:hAnsi="仿宋" w:eastAsia="仿宋" w:cs="仿宋"/>
          <w:color w:val="auto"/>
          <w:kern w:val="0"/>
          <w:sz w:val="24"/>
          <w:szCs w:val="24"/>
          <w:highlight w:val="none"/>
        </w:rPr>
        <w:t>资格审查资料：详见“投标人须知前附表”。</w:t>
      </w:r>
      <w:bookmarkEnd w:id="299"/>
      <w:bookmarkEnd w:id="300"/>
      <w:bookmarkEnd w:id="301"/>
      <w:bookmarkEnd w:id="302"/>
      <w:r>
        <w:rPr>
          <w:rFonts w:hint="eastAsia" w:ascii="仿宋" w:hAnsi="仿宋" w:eastAsia="仿宋" w:cs="仿宋"/>
          <w:color w:val="auto"/>
          <w:kern w:val="0"/>
          <w:sz w:val="24"/>
          <w:szCs w:val="24"/>
          <w:highlight w:val="none"/>
        </w:rPr>
        <w:t xml:space="preserve"> </w:t>
      </w:r>
    </w:p>
    <w:p w14:paraId="5C6C1E5C">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304" w:name="_Toc17041006"/>
      <w:bookmarkStart w:id="305" w:name="_Toc17040767"/>
      <w:bookmarkStart w:id="306" w:name="_Toc17040888"/>
      <w:bookmarkStart w:id="307" w:name="_Toc14793"/>
      <w:r>
        <w:rPr>
          <w:rFonts w:hint="eastAsia" w:ascii="仿宋" w:hAnsi="仿宋" w:eastAsia="仿宋" w:cs="仿宋"/>
          <w:b/>
          <w:bCs/>
          <w:color w:val="auto"/>
          <w:kern w:val="0"/>
          <w:sz w:val="24"/>
          <w:szCs w:val="24"/>
          <w:highlight w:val="none"/>
        </w:rPr>
        <w:t>3.6 备选投标方案</w:t>
      </w:r>
      <w:bookmarkEnd w:id="303"/>
      <w:bookmarkEnd w:id="304"/>
      <w:bookmarkEnd w:id="305"/>
      <w:bookmarkEnd w:id="306"/>
      <w:bookmarkEnd w:id="307"/>
    </w:p>
    <w:p w14:paraId="5358870B">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bidi="ar-SA"/>
        </w:rPr>
        <w:t>本项目不接受备选方案</w:t>
      </w:r>
      <w:r>
        <w:rPr>
          <w:rFonts w:hint="eastAsia" w:ascii="仿宋" w:hAnsi="仿宋" w:eastAsia="仿宋" w:cs="仿宋"/>
          <w:color w:val="auto"/>
          <w:kern w:val="0"/>
          <w:sz w:val="24"/>
          <w:szCs w:val="24"/>
          <w:highlight w:val="none"/>
        </w:rPr>
        <w:t>。</w:t>
      </w:r>
    </w:p>
    <w:p w14:paraId="476F6895">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308" w:name="_Toc260172665"/>
      <w:bookmarkStart w:id="309" w:name="_Toc491246657"/>
      <w:bookmarkStart w:id="310" w:name="_Toc262675331"/>
      <w:bookmarkStart w:id="311" w:name="_Toc17040889"/>
      <w:bookmarkStart w:id="312" w:name="_Toc247277952"/>
      <w:bookmarkStart w:id="313" w:name="_Toc31372"/>
      <w:bookmarkStart w:id="314" w:name="_Toc17040768"/>
      <w:bookmarkStart w:id="315" w:name="_Toc209498828"/>
      <w:bookmarkStart w:id="316" w:name="_Toc58"/>
      <w:bookmarkStart w:id="317" w:name="_Toc199321908"/>
      <w:bookmarkStart w:id="318" w:name="_Toc17041007"/>
      <w:r>
        <w:rPr>
          <w:rFonts w:hint="eastAsia" w:ascii="仿宋" w:hAnsi="仿宋" w:eastAsia="仿宋" w:cs="仿宋"/>
          <w:b/>
          <w:bCs/>
          <w:color w:val="auto"/>
          <w:kern w:val="0"/>
          <w:sz w:val="24"/>
          <w:szCs w:val="24"/>
          <w:highlight w:val="none"/>
        </w:rPr>
        <w:t>3.7 投标文件的编制</w:t>
      </w:r>
      <w:bookmarkEnd w:id="308"/>
      <w:bookmarkEnd w:id="309"/>
      <w:bookmarkEnd w:id="310"/>
      <w:bookmarkEnd w:id="311"/>
      <w:bookmarkEnd w:id="312"/>
      <w:bookmarkEnd w:id="313"/>
      <w:bookmarkEnd w:id="314"/>
      <w:bookmarkEnd w:id="315"/>
      <w:bookmarkEnd w:id="316"/>
      <w:bookmarkEnd w:id="317"/>
      <w:bookmarkEnd w:id="318"/>
    </w:p>
    <w:p w14:paraId="59019E60">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bidi="ar-SA"/>
        </w:rPr>
      </w:pPr>
      <w:bookmarkStart w:id="319" w:name="_Toc199321909"/>
      <w:r>
        <w:rPr>
          <w:rFonts w:hint="eastAsia" w:ascii="仿宋" w:hAnsi="仿宋" w:eastAsia="仿宋" w:cs="仿宋"/>
          <w:color w:val="auto"/>
          <w:kern w:val="0"/>
          <w:sz w:val="24"/>
          <w:szCs w:val="24"/>
          <w:highlight w:val="none"/>
          <w:lang w:val="en-US" w:eastAsia="zh-CN" w:bidi="ar-SA"/>
        </w:rPr>
        <w:t>3.7.1 投标文件应按第六章“投标文件格式”进行编写，如有必要可以增加附页，作</w:t>
      </w:r>
      <w:bookmarkEnd w:id="319"/>
      <w:r>
        <w:rPr>
          <w:rFonts w:hint="eastAsia" w:ascii="仿宋" w:hAnsi="仿宋" w:eastAsia="仿宋" w:cs="仿宋"/>
          <w:color w:val="auto"/>
          <w:kern w:val="0"/>
          <w:sz w:val="24"/>
          <w:szCs w:val="24"/>
          <w:highlight w:val="none"/>
          <w:lang w:val="en-US" w:eastAsia="zh-CN" w:bidi="ar-SA"/>
        </w:rPr>
        <w:t>为投标文件的组成部分。其中“投标函”在满足招标文件实质性要求的基础上，可以提出比招标文件要求更有利于采购人的承诺。</w:t>
      </w:r>
    </w:p>
    <w:p w14:paraId="00079419">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bidi="ar-SA"/>
        </w:rPr>
      </w:pPr>
      <w:bookmarkStart w:id="320" w:name="_Toc199321910"/>
      <w:r>
        <w:rPr>
          <w:rFonts w:hint="eastAsia" w:ascii="仿宋" w:hAnsi="仿宋" w:eastAsia="仿宋" w:cs="仿宋"/>
          <w:color w:val="auto"/>
          <w:kern w:val="0"/>
          <w:sz w:val="24"/>
          <w:szCs w:val="24"/>
          <w:highlight w:val="none"/>
          <w:lang w:val="en-US" w:eastAsia="zh-CN" w:bidi="ar-SA"/>
        </w:rPr>
        <w:t>3.7.2 投标文件应当对招标文件有关招标内容、合同履行期限、投标有效期、质量标准</w:t>
      </w:r>
      <w:bookmarkEnd w:id="320"/>
      <w:r>
        <w:rPr>
          <w:rFonts w:hint="eastAsia" w:ascii="仿宋" w:hAnsi="仿宋" w:eastAsia="仿宋" w:cs="仿宋"/>
          <w:color w:val="auto"/>
          <w:kern w:val="0"/>
          <w:sz w:val="24"/>
          <w:szCs w:val="24"/>
          <w:highlight w:val="none"/>
          <w:lang w:val="en-US" w:eastAsia="zh-CN" w:bidi="ar-SA"/>
        </w:rPr>
        <w:t>等实质性内容作出响应。</w:t>
      </w:r>
    </w:p>
    <w:p w14:paraId="0A58C74D">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3.7.3 投标文件的签字和盖章要求：见投标人须知前附表。</w:t>
      </w:r>
    </w:p>
    <w:p w14:paraId="1A05BD0E">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3.7.4 现场递交投标文件份数：见投标人须知前附表。</w:t>
      </w:r>
    </w:p>
    <w:p w14:paraId="4DDA4FAD">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3.7.5 纸质投标文件装订要求：见投标人须知前附表。</w:t>
      </w:r>
    </w:p>
    <w:p w14:paraId="1A0668F8">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bidi="ar-SA"/>
        </w:rPr>
      </w:pPr>
      <w:bookmarkStart w:id="321" w:name="_Toc247277953"/>
      <w:bookmarkStart w:id="322" w:name="_Toc199321914"/>
      <w:bookmarkStart w:id="323" w:name="_Toc262675332"/>
      <w:bookmarkStart w:id="324" w:name="_Toc491246658"/>
      <w:bookmarkStart w:id="325" w:name="_Toc260172666"/>
      <w:bookmarkStart w:id="326" w:name="_Toc209498829"/>
      <w:r>
        <w:rPr>
          <w:rFonts w:hint="eastAsia" w:ascii="仿宋" w:hAnsi="仿宋" w:eastAsia="仿宋" w:cs="仿宋"/>
          <w:color w:val="auto"/>
          <w:kern w:val="0"/>
          <w:sz w:val="24"/>
          <w:szCs w:val="24"/>
          <w:highlight w:val="none"/>
          <w:lang w:val="en-US" w:eastAsia="zh-CN" w:bidi="ar-SA"/>
        </w:rPr>
        <w:t>3.7.6 电子投标文件编制要求：</w:t>
      </w:r>
    </w:p>
    <w:bookmarkEnd w:id="321"/>
    <w:bookmarkEnd w:id="322"/>
    <w:bookmarkEnd w:id="323"/>
    <w:bookmarkEnd w:id="324"/>
    <w:bookmarkEnd w:id="325"/>
    <w:bookmarkEnd w:id="326"/>
    <w:p w14:paraId="31AA4B9C">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bidi="ar-SA"/>
        </w:rPr>
      </w:pPr>
      <w:bookmarkStart w:id="327" w:name="_Toc12233"/>
      <w:bookmarkStart w:id="328" w:name="_Toc17040769"/>
      <w:bookmarkStart w:id="329" w:name="_Toc17041008"/>
      <w:bookmarkStart w:id="330" w:name="_Toc17040890"/>
      <w:bookmarkStart w:id="331" w:name="_Toc19002"/>
      <w:r>
        <w:rPr>
          <w:rFonts w:hint="eastAsia" w:ascii="仿宋" w:hAnsi="仿宋" w:eastAsia="仿宋" w:cs="仿宋"/>
          <w:color w:val="auto"/>
          <w:kern w:val="0"/>
          <w:sz w:val="24"/>
          <w:szCs w:val="24"/>
          <w:highlight w:val="none"/>
          <w:lang w:val="en-US" w:eastAsia="zh-CN" w:bidi="ar-SA"/>
        </w:rPr>
        <w:t>（1）投标人应按本招标文件规定的格式和顺序编制，投标文件内容不完整、编排混乱导致投标文件被误读、漏读或者查找不到相关内容的，是投标人的责任。</w:t>
      </w:r>
    </w:p>
    <w:p w14:paraId="4212180E">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（2）如投标人提交的电子投标文件不符合要求或开标时无法读取导入或解密，其投标文件视为未按要求提交。</w:t>
      </w:r>
    </w:p>
    <w:p w14:paraId="7EF757C0">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投标人在提交投标文件截止时间前，首先应将电子投标文件上传到政采云系统。如果投标人没有按规定网上递交电子投标文件，视为未按要求提交。</w:t>
      </w:r>
    </w:p>
    <w:p w14:paraId="6DE2E59E">
      <w:pPr>
        <w:pStyle w:val="19"/>
        <w:keepNext w:val="0"/>
        <w:keepLines w:val="0"/>
        <w:pageBreakBefore w:val="0"/>
        <w:widowControl w:val="0"/>
        <w:kinsoku/>
        <w:wordWrap/>
        <w:overflowPunct/>
        <w:topLinePunct w:val="0"/>
        <w:bidi w:val="0"/>
        <w:snapToGrid/>
        <w:spacing w:line="360" w:lineRule="auto"/>
        <w:ind w:left="210" w:leftChars="100"/>
        <w:jc w:val="left"/>
        <w:textAlignment w:val="auto"/>
        <w:rPr>
          <w:rFonts w:hint="eastAsia" w:ascii="仿宋" w:hAnsi="仿宋" w:eastAsia="仿宋" w:cs="仿宋"/>
          <w:b/>
          <w:bCs/>
          <w:color w:val="auto"/>
          <w:kern w:val="0"/>
          <w:sz w:val="24"/>
          <w:szCs w:val="24"/>
          <w:highlight w:val="none"/>
        </w:rPr>
      </w:pPr>
    </w:p>
    <w:p w14:paraId="50C9C4F3">
      <w:pPr>
        <w:pStyle w:val="19"/>
        <w:keepNext w:val="0"/>
        <w:keepLines w:val="0"/>
        <w:pageBreakBefore w:val="0"/>
        <w:widowControl w:val="0"/>
        <w:kinsoku/>
        <w:wordWrap/>
        <w:overflowPunct/>
        <w:topLinePunct w:val="0"/>
        <w:bidi w:val="0"/>
        <w:snapToGrid/>
        <w:spacing w:line="360" w:lineRule="auto"/>
        <w:ind w:left="210" w:leftChars="1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4.投标</w:t>
      </w:r>
      <w:bookmarkEnd w:id="327"/>
      <w:bookmarkEnd w:id="328"/>
      <w:bookmarkEnd w:id="329"/>
      <w:bookmarkEnd w:id="330"/>
      <w:bookmarkEnd w:id="331"/>
    </w:p>
    <w:p w14:paraId="3148E47C">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332" w:name="_Toc17040770"/>
      <w:bookmarkStart w:id="333" w:name="_Toc262675333"/>
      <w:bookmarkStart w:id="334" w:name="_Toc199321915"/>
      <w:bookmarkStart w:id="335" w:name="_Toc1340"/>
      <w:bookmarkStart w:id="336" w:name="_Toc17040891"/>
      <w:bookmarkStart w:id="337" w:name="_Toc491246659"/>
      <w:bookmarkStart w:id="338" w:name="_Toc17041009"/>
      <w:bookmarkStart w:id="339" w:name="_Toc209498830"/>
      <w:bookmarkStart w:id="340" w:name="_Toc29341"/>
      <w:bookmarkStart w:id="341" w:name="_Toc260172667"/>
      <w:bookmarkStart w:id="342" w:name="_Toc247277954"/>
      <w:r>
        <w:rPr>
          <w:rFonts w:hint="eastAsia" w:ascii="仿宋" w:hAnsi="仿宋" w:eastAsia="仿宋" w:cs="仿宋"/>
          <w:b/>
          <w:bCs/>
          <w:color w:val="auto"/>
          <w:kern w:val="0"/>
          <w:sz w:val="24"/>
          <w:szCs w:val="24"/>
          <w:highlight w:val="none"/>
        </w:rPr>
        <w:t>4.1 投标文件的密封和标记</w:t>
      </w:r>
      <w:bookmarkEnd w:id="332"/>
      <w:bookmarkEnd w:id="333"/>
      <w:bookmarkEnd w:id="334"/>
      <w:bookmarkEnd w:id="335"/>
      <w:bookmarkEnd w:id="336"/>
      <w:bookmarkEnd w:id="337"/>
      <w:bookmarkEnd w:id="338"/>
      <w:bookmarkEnd w:id="339"/>
      <w:bookmarkEnd w:id="340"/>
      <w:bookmarkEnd w:id="341"/>
      <w:bookmarkEnd w:id="342"/>
    </w:p>
    <w:p w14:paraId="6DB1D79C">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outlineLvl w:val="0"/>
        <w:rPr>
          <w:rFonts w:hint="eastAsia" w:ascii="仿宋" w:hAnsi="仿宋" w:eastAsia="仿宋" w:cs="仿宋"/>
          <w:b/>
          <w:bCs/>
          <w:color w:val="auto"/>
          <w:kern w:val="0"/>
          <w:sz w:val="24"/>
          <w:szCs w:val="24"/>
          <w:highlight w:val="none"/>
          <w:lang w:val="en-US" w:eastAsia="zh-CN"/>
        </w:rPr>
      </w:pPr>
      <w:bookmarkStart w:id="343" w:name="_Toc30280"/>
      <w:bookmarkStart w:id="344" w:name="_Toc3724"/>
      <w:bookmarkStart w:id="345" w:name="_Toc260172668"/>
      <w:bookmarkStart w:id="346" w:name="_Toc247277955"/>
      <w:bookmarkStart w:id="347" w:name="_Toc491246660"/>
      <w:bookmarkStart w:id="348" w:name="_Toc17041010"/>
      <w:bookmarkStart w:id="349" w:name="_Toc199321918"/>
      <w:bookmarkStart w:id="350" w:name="_Toc262675334"/>
      <w:bookmarkStart w:id="351" w:name="_Toc17040771"/>
      <w:bookmarkStart w:id="352" w:name="_Toc17040892"/>
      <w:bookmarkStart w:id="353" w:name="_Toc209498831"/>
      <w:r>
        <w:rPr>
          <w:rFonts w:hint="eastAsia" w:ascii="仿宋" w:hAnsi="仿宋" w:eastAsia="仿宋" w:cs="仿宋"/>
          <w:color w:val="auto"/>
          <w:kern w:val="0"/>
          <w:sz w:val="24"/>
          <w:szCs w:val="24"/>
          <w:highlight w:val="none"/>
          <w:lang w:eastAsia="zh-CN"/>
        </w:rPr>
        <w:t>详</w:t>
      </w:r>
      <w:r>
        <w:rPr>
          <w:rFonts w:hint="eastAsia" w:ascii="仿宋" w:hAnsi="仿宋" w:eastAsia="仿宋" w:cs="仿宋"/>
          <w:color w:val="auto"/>
          <w:kern w:val="0"/>
          <w:sz w:val="24"/>
          <w:szCs w:val="24"/>
          <w:highlight w:val="none"/>
        </w:rPr>
        <w:t>见投标人须知前附表</w:t>
      </w:r>
      <w:bookmarkEnd w:id="343"/>
    </w:p>
    <w:p w14:paraId="694C90C1">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354" w:name="_Toc7264"/>
      <w:r>
        <w:rPr>
          <w:rFonts w:hint="eastAsia" w:ascii="仿宋" w:hAnsi="仿宋" w:eastAsia="仿宋" w:cs="仿宋"/>
          <w:b/>
          <w:bCs/>
          <w:color w:val="auto"/>
          <w:kern w:val="0"/>
          <w:sz w:val="24"/>
          <w:szCs w:val="24"/>
          <w:highlight w:val="none"/>
        </w:rPr>
        <w:t>4.2 投标文件的递交</w:t>
      </w:r>
      <w:bookmarkEnd w:id="344"/>
      <w:bookmarkEnd w:id="345"/>
      <w:bookmarkEnd w:id="346"/>
      <w:bookmarkEnd w:id="347"/>
      <w:bookmarkEnd w:id="348"/>
      <w:bookmarkEnd w:id="349"/>
      <w:bookmarkEnd w:id="350"/>
      <w:bookmarkEnd w:id="351"/>
      <w:bookmarkEnd w:id="352"/>
      <w:bookmarkEnd w:id="353"/>
      <w:bookmarkEnd w:id="354"/>
    </w:p>
    <w:p w14:paraId="3B10599A">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bookmarkStart w:id="355" w:name="_Toc262675335"/>
      <w:r>
        <w:rPr>
          <w:rFonts w:hint="eastAsia" w:ascii="仿宋" w:hAnsi="仿宋" w:eastAsia="仿宋" w:cs="仿宋"/>
          <w:color w:val="auto"/>
          <w:kern w:val="0"/>
          <w:sz w:val="24"/>
          <w:szCs w:val="24"/>
          <w:highlight w:val="none"/>
        </w:rPr>
        <w:t>4.2.1 投标人应在规定的投标截止时间前递交投标文件。</w:t>
      </w:r>
      <w:bookmarkEnd w:id="355"/>
    </w:p>
    <w:p w14:paraId="09BAE27E">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4.2.2 投标人递交投标文件的地点：见投标人须知前附表。</w:t>
      </w:r>
    </w:p>
    <w:p w14:paraId="7BDA5212">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4.2.3 除投标人须知前附表另有规定外，投标人所递交的投标文件不予退还。</w:t>
      </w:r>
    </w:p>
    <w:p w14:paraId="0310F14C">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4.2.</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szCs w:val="24"/>
          <w:highlight w:val="none"/>
          <w:lang w:val="en-US" w:eastAsia="zh-CN"/>
        </w:rPr>
        <w:t>本次为远程开标，无需递交纸质版投标文件及U盘。</w:t>
      </w:r>
    </w:p>
    <w:p w14:paraId="0201B16A">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356" w:name="_Toc17040772"/>
      <w:bookmarkStart w:id="357" w:name="_Toc24592"/>
      <w:bookmarkStart w:id="358" w:name="_Toc17040893"/>
      <w:bookmarkStart w:id="359" w:name="_Toc17041011"/>
      <w:r>
        <w:rPr>
          <w:rFonts w:hint="eastAsia" w:ascii="仿宋" w:hAnsi="仿宋" w:eastAsia="仿宋" w:cs="仿宋"/>
          <w:b/>
          <w:bCs/>
          <w:color w:val="auto"/>
          <w:kern w:val="0"/>
          <w:sz w:val="24"/>
          <w:szCs w:val="24"/>
          <w:highlight w:val="none"/>
        </w:rPr>
        <w:t>4.3 投标文件的修改与撤回</w:t>
      </w:r>
      <w:bookmarkEnd w:id="356"/>
      <w:bookmarkEnd w:id="357"/>
      <w:bookmarkEnd w:id="358"/>
      <w:bookmarkEnd w:id="359"/>
      <w:r>
        <w:rPr>
          <w:rFonts w:hint="eastAsia" w:ascii="仿宋" w:hAnsi="仿宋" w:eastAsia="仿宋" w:cs="仿宋"/>
          <w:b/>
          <w:bCs/>
          <w:color w:val="auto"/>
          <w:kern w:val="0"/>
          <w:sz w:val="24"/>
          <w:szCs w:val="24"/>
          <w:highlight w:val="none"/>
        </w:rPr>
        <w:t xml:space="preserve"> </w:t>
      </w:r>
    </w:p>
    <w:p w14:paraId="0280821C">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4.3.1在本章第2.2项规定的投标截止时间前，投标人可以修改或撤回已在网上递交的电子投标文件，无须书面形式通知采购人。</w:t>
      </w:r>
    </w:p>
    <w:p w14:paraId="34135B80">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4.3.</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 xml:space="preserve"> 修改的内容为投标文件的组成部分。 </w:t>
      </w:r>
    </w:p>
    <w:p w14:paraId="585B97E5">
      <w:pPr>
        <w:rPr>
          <w:rFonts w:hint="eastAsia"/>
          <w:color w:val="auto"/>
          <w:highlight w:val="none"/>
        </w:rPr>
      </w:pPr>
      <w:bookmarkStart w:id="360" w:name="_Toc247277957"/>
      <w:bookmarkStart w:id="361" w:name="_Toc209498833"/>
      <w:bookmarkStart w:id="362" w:name="_Toc199321920"/>
      <w:bookmarkStart w:id="363" w:name="_Toc17040894"/>
      <w:bookmarkStart w:id="364" w:name="_Toc19972"/>
      <w:bookmarkStart w:id="365" w:name="_Toc262675337"/>
      <w:bookmarkStart w:id="366" w:name="_Toc17041012"/>
      <w:bookmarkStart w:id="367" w:name="_Toc260172670"/>
      <w:bookmarkStart w:id="368" w:name="_Toc12019"/>
      <w:bookmarkStart w:id="369" w:name="_Toc17040773"/>
      <w:bookmarkStart w:id="370" w:name="_Toc491246662"/>
    </w:p>
    <w:p w14:paraId="4849E52C">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5.开标</w:t>
      </w:r>
      <w:bookmarkEnd w:id="360"/>
      <w:bookmarkEnd w:id="361"/>
      <w:bookmarkEnd w:id="362"/>
      <w:bookmarkEnd w:id="363"/>
      <w:bookmarkEnd w:id="364"/>
      <w:bookmarkEnd w:id="365"/>
      <w:bookmarkEnd w:id="366"/>
      <w:bookmarkEnd w:id="367"/>
      <w:bookmarkEnd w:id="368"/>
      <w:bookmarkEnd w:id="369"/>
      <w:bookmarkEnd w:id="370"/>
    </w:p>
    <w:p w14:paraId="08A7017C">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zh-CN"/>
        </w:rPr>
      </w:pPr>
      <w:bookmarkStart w:id="371" w:name="_Toc17040895"/>
      <w:bookmarkStart w:id="372" w:name="_Toc491246665"/>
      <w:bookmarkStart w:id="373" w:name="_Toc262675340"/>
      <w:bookmarkStart w:id="374" w:name="_Toc2130"/>
      <w:bookmarkStart w:id="375" w:name="_Toc209498836"/>
      <w:bookmarkStart w:id="376" w:name="_Toc17040774"/>
      <w:bookmarkStart w:id="377" w:name="_Toc17041013"/>
      <w:bookmarkStart w:id="378" w:name="_Toc247277960"/>
      <w:bookmarkStart w:id="379" w:name="_Toc260172673"/>
      <w:bookmarkStart w:id="380" w:name="_Toc21878"/>
      <w:bookmarkStart w:id="381" w:name="_Toc199321921"/>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lang w:val="zh-CN"/>
        </w:rPr>
        <w:t>1</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lang w:val="zh-CN"/>
        </w:rPr>
        <w:t>根据电子标系统显示投标人名称正顺序解密投标文件并唱标；</w:t>
      </w:r>
    </w:p>
    <w:p w14:paraId="09B418CA">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en-US" w:eastAsia="zh-CN"/>
        </w:rPr>
        <w:t xml:space="preserve">5.2 </w:t>
      </w:r>
      <w:r>
        <w:rPr>
          <w:rFonts w:hint="eastAsia" w:ascii="仿宋" w:hAnsi="仿宋" w:eastAsia="仿宋" w:cs="仿宋"/>
          <w:color w:val="auto"/>
          <w:kern w:val="0"/>
          <w:sz w:val="24"/>
          <w:szCs w:val="24"/>
          <w:highlight w:val="none"/>
          <w:lang w:val="zh-CN"/>
        </w:rPr>
        <w:t>在投标截止时间前提前进入到“网上开标室”，根据网上远程解密（</w:t>
      </w:r>
      <w:r>
        <w:rPr>
          <w:rFonts w:hint="eastAsia" w:ascii="仿宋" w:hAnsi="仿宋" w:eastAsia="仿宋" w:cs="仿宋"/>
          <w:color w:val="auto"/>
          <w:kern w:val="0"/>
          <w:sz w:val="24"/>
          <w:szCs w:val="24"/>
          <w:highlight w:val="none"/>
          <w:lang w:val="en-US" w:eastAsia="zh-CN"/>
        </w:rPr>
        <w:t>时长：30分钟</w:t>
      </w:r>
      <w:r>
        <w:rPr>
          <w:rFonts w:hint="eastAsia" w:ascii="仿宋" w:hAnsi="仿宋" w:eastAsia="仿宋" w:cs="仿宋"/>
          <w:color w:val="auto"/>
          <w:kern w:val="0"/>
          <w:sz w:val="24"/>
          <w:szCs w:val="24"/>
          <w:highlight w:val="none"/>
          <w:lang w:val="zh-CN"/>
        </w:rPr>
        <w:t>）、开标要求，在下达投标文件解密指令后，在规定时间内完成远程解密，因投标人操作失误或自身原因导致解密失败的，视为放弃此次投标；唱标结束后，投标人未提出异议的，视为认可开标、唱标结果。</w:t>
      </w:r>
    </w:p>
    <w:p w14:paraId="58881EB5">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en-US" w:eastAsia="zh-CN"/>
        </w:rPr>
        <w:t xml:space="preserve">5.3 </w:t>
      </w:r>
      <w:r>
        <w:rPr>
          <w:rFonts w:hint="eastAsia" w:ascii="仿宋" w:hAnsi="仿宋" w:eastAsia="仿宋" w:cs="仿宋"/>
          <w:color w:val="auto"/>
          <w:kern w:val="0"/>
          <w:sz w:val="24"/>
          <w:szCs w:val="24"/>
          <w:highlight w:val="none"/>
          <w:lang w:val="zh-CN"/>
        </w:rPr>
        <w:t>开标会议结束。</w:t>
      </w:r>
    </w:p>
    <w:p w14:paraId="208D5EE2">
      <w:pPr>
        <w:rPr>
          <w:rFonts w:hint="eastAsia"/>
          <w:color w:val="auto"/>
          <w:highlight w:val="none"/>
        </w:rPr>
      </w:pPr>
    </w:p>
    <w:p w14:paraId="4EB71C39">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6.评标</w:t>
      </w:r>
      <w:bookmarkEnd w:id="371"/>
      <w:bookmarkEnd w:id="372"/>
      <w:bookmarkEnd w:id="373"/>
      <w:bookmarkEnd w:id="374"/>
      <w:bookmarkEnd w:id="375"/>
      <w:bookmarkEnd w:id="376"/>
      <w:bookmarkEnd w:id="377"/>
      <w:bookmarkEnd w:id="378"/>
      <w:bookmarkEnd w:id="379"/>
      <w:bookmarkEnd w:id="380"/>
      <w:bookmarkEnd w:id="381"/>
    </w:p>
    <w:p w14:paraId="3DE969DB">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382" w:name="_Toc247277961"/>
      <w:bookmarkStart w:id="383" w:name="_Toc491246666"/>
      <w:bookmarkStart w:id="384" w:name="_Toc11985"/>
      <w:bookmarkStart w:id="385" w:name="_Toc199321922"/>
      <w:bookmarkStart w:id="386" w:name="_Toc209498837"/>
      <w:bookmarkStart w:id="387" w:name="_Toc260172674"/>
      <w:bookmarkStart w:id="388" w:name="_Toc262675341"/>
      <w:bookmarkStart w:id="389" w:name="_Toc17040775"/>
      <w:bookmarkStart w:id="390" w:name="_Toc17040896"/>
      <w:bookmarkStart w:id="391" w:name="_Toc32602"/>
      <w:bookmarkStart w:id="392" w:name="_Toc17041014"/>
      <w:r>
        <w:rPr>
          <w:rFonts w:hint="eastAsia" w:ascii="仿宋" w:hAnsi="仿宋" w:eastAsia="仿宋" w:cs="仿宋"/>
          <w:b/>
          <w:bCs/>
          <w:color w:val="auto"/>
          <w:kern w:val="0"/>
          <w:sz w:val="24"/>
          <w:szCs w:val="24"/>
          <w:highlight w:val="none"/>
        </w:rPr>
        <w:t>6.1 评标委员会</w:t>
      </w:r>
      <w:bookmarkEnd w:id="382"/>
      <w:bookmarkEnd w:id="383"/>
      <w:bookmarkEnd w:id="384"/>
      <w:bookmarkEnd w:id="385"/>
      <w:bookmarkEnd w:id="386"/>
      <w:bookmarkEnd w:id="387"/>
      <w:bookmarkEnd w:id="388"/>
      <w:r>
        <w:rPr>
          <w:rFonts w:hint="eastAsia" w:ascii="仿宋" w:hAnsi="仿宋" w:eastAsia="仿宋" w:cs="仿宋"/>
          <w:b/>
          <w:bCs/>
          <w:color w:val="auto"/>
          <w:kern w:val="0"/>
          <w:sz w:val="24"/>
          <w:szCs w:val="24"/>
          <w:highlight w:val="none"/>
        </w:rPr>
        <w:t>的组建</w:t>
      </w:r>
      <w:bookmarkEnd w:id="389"/>
      <w:bookmarkEnd w:id="390"/>
      <w:bookmarkEnd w:id="391"/>
      <w:bookmarkEnd w:id="392"/>
    </w:p>
    <w:p w14:paraId="6AD3ACE1">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6.1.1 评标委员会由采购人代表和评审专家组成，成员人数应当为5人或5人以上单数，其中评审专家不得少于成员总数的三分之二。评标委员会成员名单在评标结果公告前应当保密。</w:t>
      </w:r>
    </w:p>
    <w:p w14:paraId="4E67B2D0">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6.1.2 采购项目符合下列情形之一的，评标委员会成员人数应当为7人及以上单数：</w:t>
      </w:r>
    </w:p>
    <w:p w14:paraId="180C5075">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（1）采购预算金额在1000万元以上；</w:t>
      </w:r>
    </w:p>
    <w:p w14:paraId="11812C9F">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（2）技术复杂；</w:t>
      </w:r>
    </w:p>
    <w:p w14:paraId="76E24D36">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（3）社会影响较大。</w:t>
      </w:r>
    </w:p>
    <w:p w14:paraId="79F1D249">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评审专家对本单位的采购项目只能作为采购人代表参与评标。</w:t>
      </w:r>
    </w:p>
    <w:p w14:paraId="1536433C">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6.1.3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14:paraId="166BAC6E">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6.1.4 评标中因评标委员会成员缺席、回避或者健康等特殊原因导致评标委员会组成不符合本办法规定的，采购人或者采购代理机构应当依法补足后继续评标。被更换的评标委员会成员所作出的评标意见无效。</w:t>
      </w:r>
    </w:p>
    <w:p w14:paraId="27868B87">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无法及时补足评标委员会成员的，采购人或者采购代理机构应当停止评标活动，封存所有投标文件和开标、评标资料，依法重新组建评标委员会进行评标。原评标委员会所作出的评标意见无效。</w:t>
      </w:r>
    </w:p>
    <w:p w14:paraId="603E7BC0">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采购人或者采购代理机构应当将变更、重新组建评标委员会的情况予以记录，并随采购文件一并存档。</w:t>
      </w:r>
    </w:p>
    <w:p w14:paraId="4126D6EB">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6.1.5 评标委员会成员有下列情形之一的，不得担任评标委员会成员：</w:t>
      </w:r>
    </w:p>
    <w:p w14:paraId="33D6942C">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（1）招标采购单位就招标文件征询过意见的专家，不得再作为评标专家参加评标；</w:t>
      </w:r>
    </w:p>
    <w:p w14:paraId="0E157285">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（2）采购人不得以专家身份参与本部门或者本单位采购项目的评标；</w:t>
      </w:r>
    </w:p>
    <w:p w14:paraId="5510A842">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（3）采购代理机构工作人员不得参加由本机构代理的政府采购项目评标；</w:t>
      </w:r>
    </w:p>
    <w:p w14:paraId="591127F9">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评审专家不得参加与自己有利害关系的政府采购项目的评审活动。对与自己有利害关系的评审项目，如受到邀请，应主动提出回避。财政部门、采购人或采购代理机构也可要求该评审专家回避。有利害关系主要是指3年内曾在参加该采购项目供应商中任职（包括一般工作）或担任顾问，配偶或直系亲属在参加该采购项目的供应商中任职或担任顾问，与参加该采购项目供应商发生过法律纠纷，以及其他可能影响公正评标的情况。</w:t>
      </w:r>
    </w:p>
    <w:p w14:paraId="74FB3DF0">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393" w:name="_Toc247277962"/>
      <w:bookmarkStart w:id="394" w:name="_Toc17040776"/>
      <w:bookmarkStart w:id="395" w:name="_Toc491246667"/>
      <w:bookmarkStart w:id="396" w:name="_Toc14282"/>
      <w:bookmarkStart w:id="397" w:name="_Toc260172675"/>
      <w:bookmarkStart w:id="398" w:name="_Toc209498838"/>
      <w:bookmarkStart w:id="399" w:name="_Toc17040897"/>
      <w:bookmarkStart w:id="400" w:name="_Toc262675342"/>
      <w:bookmarkStart w:id="401" w:name="_Toc17041015"/>
      <w:bookmarkStart w:id="402" w:name="_Toc20763"/>
      <w:bookmarkStart w:id="403" w:name="_Toc199321923"/>
      <w:r>
        <w:rPr>
          <w:rFonts w:hint="eastAsia" w:ascii="仿宋" w:hAnsi="仿宋" w:eastAsia="仿宋" w:cs="仿宋"/>
          <w:b/>
          <w:bCs/>
          <w:color w:val="auto"/>
          <w:kern w:val="0"/>
          <w:sz w:val="24"/>
          <w:szCs w:val="24"/>
          <w:highlight w:val="none"/>
        </w:rPr>
        <w:t>6.2 评标原则</w:t>
      </w:r>
      <w:bookmarkEnd w:id="393"/>
      <w:bookmarkEnd w:id="394"/>
      <w:bookmarkEnd w:id="395"/>
      <w:bookmarkEnd w:id="396"/>
      <w:bookmarkEnd w:id="397"/>
      <w:bookmarkEnd w:id="398"/>
      <w:bookmarkEnd w:id="399"/>
      <w:bookmarkEnd w:id="400"/>
      <w:bookmarkEnd w:id="401"/>
      <w:bookmarkEnd w:id="402"/>
      <w:bookmarkEnd w:id="403"/>
    </w:p>
    <w:p w14:paraId="78630067">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评标活动遵循公平、公正、合法和择优的原则。</w:t>
      </w:r>
    </w:p>
    <w:p w14:paraId="1168A132">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404" w:name="_Toc17040777"/>
      <w:bookmarkStart w:id="405" w:name="_Toc17040898"/>
      <w:bookmarkStart w:id="406" w:name="_Toc17041016"/>
      <w:bookmarkStart w:id="407" w:name="_Toc260172676"/>
      <w:bookmarkStart w:id="408" w:name="_Toc247277963"/>
      <w:bookmarkStart w:id="409" w:name="_Toc199321924"/>
      <w:bookmarkStart w:id="410" w:name="_Toc15535"/>
      <w:bookmarkStart w:id="411" w:name="_Toc32062"/>
      <w:bookmarkStart w:id="412" w:name="_Toc209498839"/>
      <w:bookmarkStart w:id="413" w:name="_Toc491246668"/>
      <w:bookmarkStart w:id="414" w:name="_Toc262675343"/>
      <w:r>
        <w:rPr>
          <w:rFonts w:hint="eastAsia" w:ascii="仿宋" w:hAnsi="仿宋" w:eastAsia="仿宋" w:cs="仿宋"/>
          <w:b/>
          <w:bCs/>
          <w:color w:val="auto"/>
          <w:kern w:val="0"/>
          <w:sz w:val="24"/>
          <w:szCs w:val="24"/>
          <w:highlight w:val="none"/>
        </w:rPr>
        <w:t>6.3 评标</w:t>
      </w:r>
      <w:bookmarkEnd w:id="404"/>
      <w:bookmarkEnd w:id="405"/>
      <w:bookmarkEnd w:id="406"/>
      <w:bookmarkEnd w:id="407"/>
      <w:bookmarkEnd w:id="408"/>
      <w:bookmarkEnd w:id="409"/>
      <w:bookmarkEnd w:id="410"/>
      <w:bookmarkEnd w:id="411"/>
      <w:bookmarkEnd w:id="412"/>
      <w:bookmarkEnd w:id="413"/>
      <w:bookmarkEnd w:id="414"/>
    </w:p>
    <w:p w14:paraId="4C560912">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采购人代表及评标委员会按照“评标办法”规定的方法、评审因素、标准和程序对投标文件进行评审。“评标办法”没有规定的方法、评审因素和标准，不作为评标依据。</w:t>
      </w:r>
      <w:bookmarkStart w:id="415" w:name="_Toc262675344"/>
      <w:bookmarkStart w:id="416" w:name="_Toc260172677"/>
      <w:bookmarkStart w:id="417" w:name="_Toc209498840"/>
      <w:bookmarkStart w:id="418" w:name="_Toc29123"/>
      <w:bookmarkStart w:id="419" w:name="_Toc199321925"/>
      <w:bookmarkStart w:id="420" w:name="_Toc247277964"/>
      <w:bookmarkStart w:id="421" w:name="_Toc491246669"/>
    </w:p>
    <w:p w14:paraId="05E472FE">
      <w:pPr>
        <w:rPr>
          <w:rFonts w:hint="eastAsia"/>
          <w:color w:val="auto"/>
          <w:highlight w:val="none"/>
        </w:rPr>
      </w:pPr>
      <w:bookmarkStart w:id="422" w:name="_Toc17040778"/>
      <w:bookmarkStart w:id="423" w:name="_Toc722"/>
      <w:bookmarkStart w:id="424" w:name="_Toc17040899"/>
      <w:bookmarkStart w:id="425" w:name="_Toc17041017"/>
    </w:p>
    <w:p w14:paraId="77CF25D0">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7.合同授予</w:t>
      </w:r>
      <w:bookmarkEnd w:id="415"/>
      <w:bookmarkEnd w:id="416"/>
      <w:bookmarkEnd w:id="417"/>
      <w:bookmarkEnd w:id="418"/>
      <w:bookmarkEnd w:id="419"/>
      <w:bookmarkEnd w:id="420"/>
      <w:bookmarkEnd w:id="421"/>
      <w:bookmarkEnd w:id="422"/>
      <w:bookmarkEnd w:id="423"/>
      <w:bookmarkEnd w:id="424"/>
      <w:bookmarkEnd w:id="425"/>
    </w:p>
    <w:p w14:paraId="7BD25A81">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426" w:name="_Toc17040900"/>
      <w:bookmarkStart w:id="427" w:name="_Toc17041018"/>
      <w:bookmarkStart w:id="428" w:name="_Toc23983"/>
      <w:bookmarkStart w:id="429" w:name="_Toc209498841"/>
      <w:bookmarkStart w:id="430" w:name="_Toc18828"/>
      <w:bookmarkStart w:id="431" w:name="_Toc17040779"/>
      <w:bookmarkStart w:id="432" w:name="_Toc491246670"/>
      <w:bookmarkStart w:id="433" w:name="_Toc199321926"/>
      <w:bookmarkStart w:id="434" w:name="_Toc262675345"/>
      <w:bookmarkStart w:id="435" w:name="_Toc247277965"/>
      <w:bookmarkStart w:id="436" w:name="_Toc260172678"/>
      <w:r>
        <w:rPr>
          <w:rFonts w:hint="eastAsia" w:ascii="仿宋" w:hAnsi="仿宋" w:eastAsia="仿宋" w:cs="仿宋"/>
          <w:b/>
          <w:bCs/>
          <w:color w:val="auto"/>
          <w:kern w:val="0"/>
          <w:sz w:val="24"/>
          <w:szCs w:val="24"/>
          <w:highlight w:val="none"/>
        </w:rPr>
        <w:t>7.1 定标方式</w:t>
      </w:r>
      <w:bookmarkEnd w:id="426"/>
      <w:bookmarkEnd w:id="427"/>
      <w:bookmarkEnd w:id="428"/>
      <w:bookmarkEnd w:id="429"/>
      <w:bookmarkEnd w:id="430"/>
      <w:bookmarkEnd w:id="431"/>
      <w:bookmarkEnd w:id="432"/>
      <w:bookmarkEnd w:id="433"/>
      <w:bookmarkEnd w:id="434"/>
      <w:bookmarkEnd w:id="435"/>
      <w:bookmarkEnd w:id="436"/>
    </w:p>
    <w:p w14:paraId="2F563D40">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7.1.1 采购代理机构应当在评标结束后 2 个工作日内将评标报告送采购人。</w:t>
      </w:r>
    </w:p>
    <w:p w14:paraId="1DC4025C">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7.1.2 采购人应当自收到评标报告之日起 5 个工作日内，在评标报告确定的中标候选人名单中，依据评标委员会推荐的中标候选人确定第一中标候选人为中标人。中标候选人并列的，由评标委员会按照招标文件规定的方式确定中标人。</w:t>
      </w:r>
    </w:p>
    <w:p w14:paraId="263CFBA5">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437" w:name="_Toc17041019"/>
      <w:bookmarkStart w:id="438" w:name="_Toc13605"/>
      <w:bookmarkStart w:id="439" w:name="_Toc491246671"/>
      <w:bookmarkStart w:id="440" w:name="_Toc20143"/>
      <w:bookmarkStart w:id="441" w:name="_Toc209498842"/>
      <w:bookmarkStart w:id="442" w:name="_Toc260172679"/>
      <w:bookmarkStart w:id="443" w:name="_Toc247277966"/>
      <w:bookmarkStart w:id="444" w:name="_Toc17040780"/>
      <w:bookmarkStart w:id="445" w:name="_Toc262675346"/>
      <w:bookmarkStart w:id="446" w:name="_Toc17040901"/>
      <w:r>
        <w:rPr>
          <w:rFonts w:hint="eastAsia" w:ascii="仿宋" w:hAnsi="仿宋" w:eastAsia="仿宋" w:cs="仿宋"/>
          <w:b/>
          <w:bCs/>
          <w:color w:val="auto"/>
          <w:kern w:val="0"/>
          <w:sz w:val="24"/>
          <w:szCs w:val="24"/>
          <w:highlight w:val="none"/>
        </w:rPr>
        <w:t>7.2 中标通知</w:t>
      </w:r>
      <w:bookmarkEnd w:id="437"/>
      <w:bookmarkEnd w:id="438"/>
      <w:bookmarkEnd w:id="439"/>
      <w:bookmarkEnd w:id="440"/>
      <w:bookmarkEnd w:id="441"/>
      <w:bookmarkEnd w:id="442"/>
      <w:bookmarkEnd w:id="443"/>
      <w:bookmarkEnd w:id="444"/>
      <w:bookmarkEnd w:id="445"/>
      <w:bookmarkEnd w:id="446"/>
    </w:p>
    <w:p w14:paraId="081E0C47">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bookmarkStart w:id="447" w:name="_Toc260172680"/>
      <w:bookmarkStart w:id="448" w:name="_Toc247277967"/>
      <w:bookmarkStart w:id="449" w:name="_Toc262675347"/>
      <w:bookmarkStart w:id="450" w:name="_Toc199321927"/>
      <w:bookmarkStart w:id="451" w:name="_Toc209498843"/>
      <w:bookmarkStart w:id="452" w:name="_Toc491246672"/>
      <w:r>
        <w:rPr>
          <w:rFonts w:hint="eastAsia" w:ascii="仿宋" w:hAnsi="仿宋" w:eastAsia="仿宋" w:cs="仿宋"/>
          <w:color w:val="auto"/>
          <w:kern w:val="0"/>
          <w:sz w:val="24"/>
          <w:szCs w:val="24"/>
          <w:highlight w:val="none"/>
          <w:lang w:val="en-US" w:eastAsia="zh-CN"/>
        </w:rPr>
        <w:t>中标人确定之日起 2 个工作日内，采购代理机构向中标人发出中标通知书，并在招标公告发布的同一媒介上公告中标结果。中标公告期限为 1 个工作日。中标通知书是合同的一个组成部分。</w:t>
      </w:r>
    </w:p>
    <w:p w14:paraId="493006FA">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453" w:name="_Toc26372"/>
      <w:bookmarkStart w:id="454" w:name="_Toc17040902"/>
      <w:bookmarkStart w:id="455" w:name="_Toc17040781"/>
      <w:bookmarkStart w:id="456" w:name="_Toc21564"/>
      <w:bookmarkStart w:id="457" w:name="_Toc17041020"/>
      <w:r>
        <w:rPr>
          <w:rFonts w:hint="eastAsia" w:ascii="仿宋" w:hAnsi="仿宋" w:eastAsia="仿宋" w:cs="仿宋"/>
          <w:b/>
          <w:bCs/>
          <w:color w:val="auto"/>
          <w:kern w:val="0"/>
          <w:sz w:val="24"/>
          <w:szCs w:val="24"/>
          <w:highlight w:val="none"/>
        </w:rPr>
        <w:t>7.3 履约担保</w:t>
      </w:r>
      <w:bookmarkEnd w:id="447"/>
      <w:bookmarkEnd w:id="448"/>
      <w:bookmarkEnd w:id="449"/>
      <w:bookmarkEnd w:id="450"/>
      <w:bookmarkEnd w:id="451"/>
      <w:bookmarkEnd w:id="452"/>
      <w:bookmarkEnd w:id="453"/>
      <w:bookmarkEnd w:id="454"/>
      <w:bookmarkEnd w:id="455"/>
      <w:bookmarkEnd w:id="456"/>
      <w:bookmarkEnd w:id="457"/>
    </w:p>
    <w:p w14:paraId="29B8C497">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7.3.1 中标人应按投标人须知前附表规定的担保形式、金额向采购人提交履约担保。履约担保应符合投标人须知前附表规定的要求。</w:t>
      </w:r>
    </w:p>
    <w:p w14:paraId="75C8A131">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7.3.2 中标人不能按本章第7.3.1项要求提交履约担保的，视为放弃中标，给采购人造成的损失中标人还应当予以赔偿。</w:t>
      </w:r>
      <w:bookmarkStart w:id="458" w:name="_Toc199321928"/>
    </w:p>
    <w:p w14:paraId="6B7E6718">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459" w:name="_Toc262675348"/>
      <w:bookmarkStart w:id="460" w:name="_Toc25060"/>
      <w:bookmarkStart w:id="461" w:name="_Toc17041021"/>
      <w:bookmarkStart w:id="462" w:name="_Toc19152"/>
      <w:bookmarkStart w:id="463" w:name="_Toc17040903"/>
      <w:bookmarkStart w:id="464" w:name="_Toc247277968"/>
      <w:bookmarkStart w:id="465" w:name="_Toc260172681"/>
      <w:bookmarkStart w:id="466" w:name="_Toc17040782"/>
      <w:r>
        <w:rPr>
          <w:rFonts w:hint="eastAsia" w:ascii="仿宋" w:hAnsi="仿宋" w:eastAsia="仿宋" w:cs="仿宋"/>
          <w:b/>
          <w:bCs/>
          <w:color w:val="auto"/>
          <w:kern w:val="0"/>
          <w:sz w:val="24"/>
          <w:szCs w:val="24"/>
          <w:highlight w:val="none"/>
        </w:rPr>
        <w:t>7.4 签订合同</w:t>
      </w:r>
      <w:bookmarkEnd w:id="458"/>
      <w:bookmarkEnd w:id="459"/>
      <w:bookmarkEnd w:id="460"/>
      <w:bookmarkEnd w:id="461"/>
      <w:bookmarkEnd w:id="462"/>
      <w:bookmarkEnd w:id="463"/>
      <w:bookmarkEnd w:id="464"/>
      <w:bookmarkEnd w:id="465"/>
      <w:bookmarkEnd w:id="466"/>
    </w:p>
    <w:p w14:paraId="3B8DFCEE">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7.4.1 采购人和中标人应当自中标通知书发出之日起30天内，根据招标文件和中标人的投标文件订立书面合同。中标人无正当理由拒签合同的，采购人取消其中标资格，给采购人造成的损失中标人还应当予以赔偿。</w:t>
      </w:r>
    </w:p>
    <w:p w14:paraId="63101BED">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7.4.2 发出中标通知书后，采购人无正当理由拒签合同的，采购人向中标人补偿投标人损失。</w:t>
      </w:r>
    </w:p>
    <w:p w14:paraId="1C59942E">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7.4.3 政府采购合同应当包括采购人与中标人的名称和住所、标的、数量、质量、价款或者报酬、履行期限及地点和方式、验收要求、违约责任、解决争议的方法等内容。</w:t>
      </w:r>
    </w:p>
    <w:p w14:paraId="7CA6C8D5">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7.4.4 政府采购合同履行中，采购人需追加与合同标的相同的货物、工程或者服务的，在不改变合同其他条款的前提下，可以与中标人协商签订补充合同，但所有补充合同的采购金额不得超过原合同采购金额的百分之十。</w:t>
      </w:r>
      <w:bookmarkStart w:id="467" w:name="_Toc209498844"/>
      <w:bookmarkStart w:id="468" w:name="_Toc262675349"/>
      <w:bookmarkStart w:id="469" w:name="_Toc260172682"/>
      <w:bookmarkStart w:id="470" w:name="_Toc3238"/>
      <w:bookmarkStart w:id="471" w:name="_Toc247277969"/>
      <w:bookmarkStart w:id="472" w:name="_Toc491246673"/>
      <w:bookmarkStart w:id="473" w:name="_Toc199321929"/>
    </w:p>
    <w:p w14:paraId="01FA5C11">
      <w:pPr>
        <w:rPr>
          <w:rFonts w:hint="eastAsia"/>
          <w:color w:val="auto"/>
          <w:highlight w:val="none"/>
        </w:rPr>
      </w:pPr>
      <w:bookmarkStart w:id="474" w:name="_Toc17040904"/>
      <w:bookmarkStart w:id="475" w:name="_Toc17041022"/>
      <w:bookmarkStart w:id="476" w:name="_Toc17040783"/>
      <w:bookmarkStart w:id="477" w:name="_Toc1647"/>
    </w:p>
    <w:p w14:paraId="7EBF8461">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8.重新招标和不再招标</w:t>
      </w:r>
      <w:bookmarkEnd w:id="467"/>
      <w:bookmarkEnd w:id="468"/>
      <w:bookmarkEnd w:id="469"/>
      <w:bookmarkEnd w:id="470"/>
      <w:bookmarkEnd w:id="471"/>
      <w:bookmarkEnd w:id="472"/>
      <w:bookmarkEnd w:id="473"/>
      <w:bookmarkEnd w:id="474"/>
      <w:bookmarkEnd w:id="475"/>
      <w:bookmarkEnd w:id="476"/>
      <w:bookmarkEnd w:id="477"/>
    </w:p>
    <w:p w14:paraId="7278BE18">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478" w:name="_Toc260172683"/>
      <w:bookmarkStart w:id="479" w:name="_Toc30457"/>
      <w:bookmarkStart w:id="480" w:name="_Toc262675350"/>
      <w:bookmarkStart w:id="481" w:name="_Toc247277970"/>
      <w:bookmarkStart w:id="482" w:name="_Toc13096"/>
      <w:bookmarkStart w:id="483" w:name="_Toc17041023"/>
      <w:bookmarkStart w:id="484" w:name="_Toc17040905"/>
      <w:bookmarkStart w:id="485" w:name="_Toc491246674"/>
      <w:bookmarkStart w:id="486" w:name="_Toc17040784"/>
      <w:bookmarkStart w:id="487" w:name="_Toc209498845"/>
      <w:r>
        <w:rPr>
          <w:rFonts w:hint="eastAsia" w:ascii="仿宋" w:hAnsi="仿宋" w:eastAsia="仿宋" w:cs="仿宋"/>
          <w:b/>
          <w:bCs/>
          <w:color w:val="auto"/>
          <w:kern w:val="0"/>
          <w:sz w:val="24"/>
          <w:szCs w:val="24"/>
          <w:highlight w:val="none"/>
        </w:rPr>
        <w:t>8.1 重新招标</w:t>
      </w:r>
      <w:bookmarkEnd w:id="478"/>
      <w:bookmarkEnd w:id="479"/>
      <w:bookmarkEnd w:id="480"/>
      <w:bookmarkEnd w:id="481"/>
      <w:bookmarkEnd w:id="482"/>
      <w:bookmarkEnd w:id="483"/>
      <w:bookmarkEnd w:id="484"/>
      <w:bookmarkEnd w:id="485"/>
      <w:bookmarkEnd w:id="486"/>
      <w:bookmarkEnd w:id="487"/>
    </w:p>
    <w:p w14:paraId="4D21430C">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有下列情形之一的，采购人将重新招标：</w:t>
      </w:r>
    </w:p>
    <w:p w14:paraId="47FF6E4B">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（1）投标截止时间止，投标人少于3个的；</w:t>
      </w:r>
    </w:p>
    <w:p w14:paraId="34244F21">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（2）经评标委员会评审后否决所有投标的。</w:t>
      </w:r>
    </w:p>
    <w:p w14:paraId="77EB232E">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（3）评标委员会否决不合格投标或者界定为否决投标后因有效投标不足3个使得投标明显缺乏竞争，评标委员会决定否决全部投标的；</w:t>
      </w:r>
    </w:p>
    <w:p w14:paraId="5249E675">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（4）同意延长投标有效期的投标人少于3个的；</w:t>
      </w:r>
    </w:p>
    <w:p w14:paraId="5E454374">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（5）中标候选人均未与采购人签订合同的。</w:t>
      </w:r>
      <w:bookmarkStart w:id="488" w:name="_Toc209498846"/>
      <w:bookmarkStart w:id="489" w:name="_Toc491246675"/>
      <w:bookmarkStart w:id="490" w:name="_Toc17040906"/>
      <w:bookmarkStart w:id="491" w:name="_Toc17041024"/>
      <w:bookmarkStart w:id="492" w:name="_Toc260172684"/>
      <w:bookmarkStart w:id="493" w:name="_Toc262675351"/>
      <w:bookmarkStart w:id="494" w:name="_Toc247277971"/>
      <w:bookmarkStart w:id="495" w:name="_Toc30412"/>
      <w:bookmarkStart w:id="496" w:name="_Toc17040785"/>
      <w:bookmarkStart w:id="497" w:name="_Toc8322"/>
    </w:p>
    <w:p w14:paraId="7D954294">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8.2 不再招标</w:t>
      </w:r>
      <w:bookmarkEnd w:id="488"/>
      <w:bookmarkEnd w:id="489"/>
      <w:bookmarkEnd w:id="490"/>
      <w:bookmarkEnd w:id="491"/>
      <w:bookmarkEnd w:id="492"/>
      <w:bookmarkEnd w:id="493"/>
      <w:bookmarkEnd w:id="494"/>
      <w:bookmarkEnd w:id="495"/>
      <w:bookmarkEnd w:id="496"/>
      <w:bookmarkEnd w:id="497"/>
    </w:p>
    <w:p w14:paraId="05259A20">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重新招标后，仍出现本章第8.1条规定情形之一的，属于必须审批或核准的项目建设项目，经原审批或核准部门批准后不再进行招标。</w:t>
      </w:r>
      <w:bookmarkStart w:id="498" w:name="_Toc260172685"/>
      <w:bookmarkStart w:id="499" w:name="_Toc491246676"/>
      <w:bookmarkStart w:id="500" w:name="_Toc17041025"/>
      <w:bookmarkStart w:id="501" w:name="_Toc209498847"/>
      <w:bookmarkStart w:id="502" w:name="_Toc17040786"/>
      <w:bookmarkStart w:id="503" w:name="_Toc17040907"/>
      <w:bookmarkStart w:id="504" w:name="_Toc32560"/>
      <w:bookmarkStart w:id="505" w:name="_Toc262675352"/>
      <w:bookmarkStart w:id="506" w:name="_Toc1789"/>
      <w:bookmarkStart w:id="507" w:name="_Toc247277972"/>
    </w:p>
    <w:p w14:paraId="6CED1905">
      <w:pPr>
        <w:rPr>
          <w:rFonts w:hint="eastAsia"/>
          <w:color w:val="auto"/>
          <w:highlight w:val="none"/>
        </w:rPr>
      </w:pPr>
    </w:p>
    <w:p w14:paraId="7CE8138B">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9.纪律和监督</w:t>
      </w:r>
      <w:bookmarkEnd w:id="498"/>
      <w:bookmarkEnd w:id="499"/>
      <w:bookmarkEnd w:id="500"/>
      <w:bookmarkEnd w:id="501"/>
      <w:bookmarkEnd w:id="502"/>
      <w:bookmarkEnd w:id="503"/>
      <w:bookmarkEnd w:id="504"/>
      <w:bookmarkEnd w:id="505"/>
      <w:bookmarkEnd w:id="506"/>
      <w:bookmarkEnd w:id="507"/>
    </w:p>
    <w:p w14:paraId="7BFB32E2">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508" w:name="_Toc247277973"/>
      <w:bookmarkStart w:id="509" w:name="_Toc491246677"/>
      <w:bookmarkStart w:id="510" w:name="_Toc6623"/>
      <w:bookmarkStart w:id="511" w:name="_Toc17040787"/>
      <w:bookmarkStart w:id="512" w:name="_Toc260172686"/>
      <w:bookmarkStart w:id="513" w:name="_Toc209498848"/>
      <w:bookmarkStart w:id="514" w:name="_Toc5220"/>
      <w:bookmarkStart w:id="515" w:name="_Toc17040908"/>
      <w:bookmarkStart w:id="516" w:name="_Toc262675353"/>
      <w:bookmarkStart w:id="517" w:name="_Toc17041026"/>
      <w:r>
        <w:rPr>
          <w:rFonts w:hint="eastAsia" w:ascii="仿宋" w:hAnsi="仿宋" w:eastAsia="仿宋" w:cs="仿宋"/>
          <w:b/>
          <w:bCs/>
          <w:color w:val="auto"/>
          <w:kern w:val="0"/>
          <w:sz w:val="24"/>
          <w:szCs w:val="24"/>
          <w:highlight w:val="none"/>
        </w:rPr>
        <w:t>9.1 对采购人的纪律要求</w:t>
      </w:r>
      <w:bookmarkEnd w:id="508"/>
      <w:bookmarkEnd w:id="509"/>
      <w:bookmarkEnd w:id="510"/>
      <w:bookmarkEnd w:id="511"/>
      <w:bookmarkEnd w:id="512"/>
      <w:bookmarkEnd w:id="513"/>
      <w:bookmarkEnd w:id="514"/>
      <w:bookmarkEnd w:id="515"/>
      <w:bookmarkEnd w:id="516"/>
      <w:bookmarkEnd w:id="517"/>
    </w:p>
    <w:p w14:paraId="40EADBE2">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9.1.1 采购人不得泄露招标投标活动中应当保密的情况和资料，不得与投标人串通损害国家利益、社会公共利益或者他人合法权益。</w:t>
      </w:r>
    </w:p>
    <w:p w14:paraId="1F4D2353">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bookmarkStart w:id="518" w:name="_Toc491246678"/>
      <w:bookmarkStart w:id="519" w:name="_Toc209498849"/>
      <w:bookmarkStart w:id="520" w:name="_Toc247277974"/>
      <w:r>
        <w:rPr>
          <w:rFonts w:hint="eastAsia" w:ascii="仿宋" w:hAnsi="仿宋" w:eastAsia="仿宋" w:cs="仿宋"/>
          <w:color w:val="auto"/>
          <w:kern w:val="0"/>
          <w:sz w:val="24"/>
          <w:szCs w:val="24"/>
          <w:highlight w:val="none"/>
          <w:lang w:val="en-US" w:eastAsia="zh-CN"/>
        </w:rPr>
        <w:t>9.1.2 下列行为均属采购人与投标人串通投标：</w:t>
      </w:r>
    </w:p>
    <w:p w14:paraId="368763AA">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（1）采购人在开标前开启投标文件，并将投标情况告知其他投标人，或者协助投标人撤换投标文件，更改报价；</w:t>
      </w:r>
    </w:p>
    <w:p w14:paraId="65095837">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（2）采购人向投标人泄露标底；</w:t>
      </w:r>
    </w:p>
    <w:p w14:paraId="69C848FE">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（3）采购人与投标人商定，投标时压低或抬高标价，中标后再给投标人或采购人额外补偿；</w:t>
      </w:r>
    </w:p>
    <w:p w14:paraId="5E158A09">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（4）采购人预定内定中标人；</w:t>
      </w:r>
    </w:p>
    <w:p w14:paraId="00368F74">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（5）其它串通投标行为。</w:t>
      </w:r>
    </w:p>
    <w:p w14:paraId="54D6BD7E">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 xml:space="preserve">9.2 </w:t>
      </w:r>
      <w:r>
        <w:rPr>
          <w:rFonts w:hint="eastAsia" w:ascii="仿宋" w:hAnsi="仿宋" w:eastAsia="仿宋" w:cs="仿宋"/>
          <w:b/>
          <w:bCs/>
          <w:color w:val="auto"/>
          <w:kern w:val="0"/>
          <w:sz w:val="24"/>
          <w:szCs w:val="24"/>
          <w:highlight w:val="none"/>
        </w:rPr>
        <w:t>对</w:t>
      </w:r>
      <w:r>
        <w:rPr>
          <w:rFonts w:hint="eastAsia" w:ascii="仿宋" w:hAnsi="仿宋" w:eastAsia="仿宋" w:cs="仿宋"/>
          <w:b/>
          <w:bCs/>
          <w:color w:val="auto"/>
          <w:kern w:val="0"/>
          <w:sz w:val="24"/>
          <w:szCs w:val="24"/>
          <w:highlight w:val="none"/>
          <w:lang w:val="en-US" w:eastAsia="zh-CN"/>
        </w:rPr>
        <w:t>采购代理机构</w:t>
      </w:r>
      <w:r>
        <w:rPr>
          <w:rFonts w:hint="eastAsia" w:ascii="仿宋" w:hAnsi="仿宋" w:eastAsia="仿宋" w:cs="仿宋"/>
          <w:b/>
          <w:bCs/>
          <w:color w:val="auto"/>
          <w:kern w:val="0"/>
          <w:sz w:val="24"/>
          <w:szCs w:val="24"/>
          <w:highlight w:val="none"/>
        </w:rPr>
        <w:t>的纪律要求</w:t>
      </w:r>
    </w:p>
    <w:p w14:paraId="47D6172E">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9.1.1 采购代理机构不得泄露招标投标活动中应当保密的情况和资料，不得与投标人串通损害国家利益、社会公共利益或者他人合法权益。</w:t>
      </w:r>
    </w:p>
    <w:p w14:paraId="20B5A113">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9.1.2 下列行为均属采购代理机构与投标人串通投标：</w:t>
      </w:r>
    </w:p>
    <w:p w14:paraId="15AF583C">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（1）采购代理机构在开标前开启投标文件，并将投标情况告知其他投标人，或者协助投标人撤换投标文件，更改报价；</w:t>
      </w:r>
    </w:p>
    <w:p w14:paraId="0AD977D7">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（2）采购代理机构向投标人泄露标底；</w:t>
      </w:r>
    </w:p>
    <w:p w14:paraId="00842430">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（3）采购代理机构预定内定中标人；</w:t>
      </w:r>
    </w:p>
    <w:p w14:paraId="41422C98">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（4）其它串通投标行为。</w:t>
      </w:r>
    </w:p>
    <w:p w14:paraId="5401BB3B">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521" w:name="_Toc262675354"/>
      <w:bookmarkStart w:id="522" w:name="_Toc17040788"/>
      <w:bookmarkStart w:id="523" w:name="_Toc1114"/>
      <w:bookmarkStart w:id="524" w:name="_Toc17040909"/>
      <w:bookmarkStart w:id="525" w:name="_Toc3054"/>
      <w:bookmarkStart w:id="526" w:name="_Toc260172687"/>
      <w:bookmarkStart w:id="527" w:name="_Toc17041027"/>
      <w:r>
        <w:rPr>
          <w:rFonts w:hint="eastAsia" w:ascii="仿宋" w:hAnsi="仿宋" w:eastAsia="仿宋" w:cs="仿宋"/>
          <w:b/>
          <w:bCs/>
          <w:color w:val="auto"/>
          <w:kern w:val="0"/>
          <w:sz w:val="24"/>
          <w:szCs w:val="24"/>
          <w:highlight w:val="none"/>
        </w:rPr>
        <w:t>9.</w:t>
      </w:r>
      <w:r>
        <w:rPr>
          <w:rFonts w:hint="eastAsia" w:ascii="仿宋" w:hAnsi="仿宋" w:eastAsia="仿宋" w:cs="仿宋"/>
          <w:b/>
          <w:bCs/>
          <w:color w:val="auto"/>
          <w:kern w:val="0"/>
          <w:sz w:val="24"/>
          <w:szCs w:val="24"/>
          <w:highlight w:val="none"/>
          <w:lang w:val="en-US" w:eastAsia="zh-CN"/>
        </w:rPr>
        <w:t>3</w:t>
      </w:r>
      <w:r>
        <w:rPr>
          <w:rFonts w:hint="eastAsia" w:ascii="仿宋" w:hAnsi="仿宋" w:eastAsia="仿宋" w:cs="仿宋"/>
          <w:b/>
          <w:bCs/>
          <w:color w:val="auto"/>
          <w:kern w:val="0"/>
          <w:sz w:val="24"/>
          <w:szCs w:val="24"/>
          <w:highlight w:val="none"/>
        </w:rPr>
        <w:t xml:space="preserve"> 对投标人的纪律要求</w:t>
      </w:r>
      <w:bookmarkEnd w:id="518"/>
      <w:bookmarkEnd w:id="519"/>
      <w:bookmarkEnd w:id="520"/>
      <w:bookmarkEnd w:id="521"/>
      <w:bookmarkEnd w:id="522"/>
      <w:bookmarkEnd w:id="523"/>
      <w:bookmarkEnd w:id="524"/>
      <w:bookmarkEnd w:id="525"/>
      <w:bookmarkEnd w:id="526"/>
      <w:bookmarkEnd w:id="527"/>
    </w:p>
    <w:p w14:paraId="75DCB614">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9.3.1 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14:paraId="794BAC79">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9.3.2 有下列情形之一的，视为投标人串通投标，其投标无效：</w:t>
      </w:r>
    </w:p>
    <w:p w14:paraId="55D15834">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（1）不同投标人的投标文件由同一单位或者个人编制；</w:t>
      </w:r>
    </w:p>
    <w:p w14:paraId="6032D2C2">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（2）不同投标人委托同一单位或者个人办理投标事宜；</w:t>
      </w:r>
    </w:p>
    <w:p w14:paraId="232EFDC2">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（3）不同投标人的投标文件载明的项目管理成员或者联系人员为同一人；</w:t>
      </w:r>
    </w:p>
    <w:p w14:paraId="3BEEBB1F">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（4）不同投标人的投标文件异常一致或者投标报价呈规律性差异；</w:t>
      </w:r>
    </w:p>
    <w:p w14:paraId="1DF7B573">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（5）不同投标人的投标文件相互混装；</w:t>
      </w:r>
    </w:p>
    <w:p w14:paraId="6C9DA4DE">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rPr>
        <w:t>（6）不同投标人的投标保证金从同一单位或者个人的账户转出。</w:t>
      </w:r>
    </w:p>
    <w:p w14:paraId="07E4EA3A">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528" w:name="_Toc491246679"/>
      <w:bookmarkStart w:id="529" w:name="_Toc20260"/>
      <w:bookmarkStart w:id="530" w:name="_Toc17041028"/>
      <w:bookmarkStart w:id="531" w:name="_Toc262675355"/>
      <w:bookmarkStart w:id="532" w:name="_Toc17040789"/>
      <w:bookmarkStart w:id="533" w:name="_Toc209498850"/>
      <w:bookmarkStart w:id="534" w:name="_Toc247277975"/>
      <w:bookmarkStart w:id="535" w:name="_Toc17040910"/>
      <w:bookmarkStart w:id="536" w:name="_Toc260172688"/>
      <w:bookmarkStart w:id="537" w:name="_Toc5724"/>
      <w:r>
        <w:rPr>
          <w:rFonts w:hint="eastAsia" w:ascii="仿宋" w:hAnsi="仿宋" w:eastAsia="仿宋" w:cs="仿宋"/>
          <w:b/>
          <w:bCs/>
          <w:color w:val="auto"/>
          <w:kern w:val="0"/>
          <w:sz w:val="24"/>
          <w:szCs w:val="24"/>
          <w:highlight w:val="none"/>
        </w:rPr>
        <w:t>9.</w:t>
      </w:r>
      <w:r>
        <w:rPr>
          <w:rFonts w:hint="eastAsia" w:ascii="仿宋" w:hAnsi="仿宋" w:eastAsia="仿宋" w:cs="仿宋"/>
          <w:b/>
          <w:bCs/>
          <w:color w:val="auto"/>
          <w:kern w:val="0"/>
          <w:sz w:val="24"/>
          <w:szCs w:val="24"/>
          <w:highlight w:val="none"/>
          <w:lang w:val="en-US" w:eastAsia="zh-CN"/>
        </w:rPr>
        <w:t>4</w:t>
      </w:r>
      <w:r>
        <w:rPr>
          <w:rFonts w:hint="eastAsia" w:ascii="仿宋" w:hAnsi="仿宋" w:eastAsia="仿宋" w:cs="仿宋"/>
          <w:b/>
          <w:bCs/>
          <w:color w:val="auto"/>
          <w:kern w:val="0"/>
          <w:sz w:val="24"/>
          <w:szCs w:val="24"/>
          <w:highlight w:val="none"/>
        </w:rPr>
        <w:t xml:space="preserve"> 对评标委员会成员的纪律要求</w:t>
      </w:r>
      <w:bookmarkEnd w:id="528"/>
      <w:bookmarkEnd w:id="529"/>
      <w:bookmarkEnd w:id="530"/>
      <w:bookmarkEnd w:id="531"/>
      <w:bookmarkEnd w:id="532"/>
      <w:bookmarkEnd w:id="533"/>
      <w:bookmarkEnd w:id="534"/>
      <w:bookmarkEnd w:id="535"/>
      <w:bookmarkEnd w:id="536"/>
      <w:bookmarkEnd w:id="537"/>
    </w:p>
    <w:p w14:paraId="68B0F946">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9.4.1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评标办法”没有规定的评审因素和标准进行评标。</w:t>
      </w:r>
    </w:p>
    <w:p w14:paraId="1DFA17BD">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9.4.2 除上述情形，评标委员会及其成员不得有下列行为：</w:t>
      </w:r>
    </w:p>
    <w:p w14:paraId="22CC052D">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（1）确定参与评标至评标结束前私自接触投标人；</w:t>
      </w:r>
    </w:p>
    <w:p w14:paraId="685AD912">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（2）接受投标人提出的与投标文件不一致的澄清或者说明（评标委员会要求投标人澄清的情形除外）；</w:t>
      </w:r>
    </w:p>
    <w:p w14:paraId="6428E50C">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（3）违反评标纪律发表倾向性意见或者征询采购人的倾向性意见；</w:t>
      </w:r>
    </w:p>
    <w:p w14:paraId="22F24481">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（4）对需要专业判断的主观评审因素协商评分；</w:t>
      </w:r>
    </w:p>
    <w:p w14:paraId="43CC715F">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（5）在评标过程中擅离职守，影响评标程序正常进行的；</w:t>
      </w:r>
    </w:p>
    <w:p w14:paraId="407D9561">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（6）记录、复制或者带走任何评标资料；</w:t>
      </w:r>
    </w:p>
    <w:p w14:paraId="214B30DC">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（7）其他不遵守评标纪律的行为。</w:t>
      </w:r>
    </w:p>
    <w:p w14:paraId="1BE6C885">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评标委员会成员有前款第一至五项行为之一的，其评审意见无效，并不得获取评审劳务报酬和报销异地评审差旅费。</w:t>
      </w:r>
      <w:bookmarkStart w:id="538" w:name="_Toc8631"/>
      <w:bookmarkStart w:id="539" w:name="_Toc17040793"/>
      <w:bookmarkStart w:id="540" w:name="_Toc17040914"/>
      <w:bookmarkStart w:id="541" w:name="_Toc21611"/>
      <w:bookmarkStart w:id="542" w:name="_Toc17041032"/>
      <w:bookmarkStart w:id="543" w:name="_Toc260172690"/>
      <w:bookmarkStart w:id="544" w:name="_Toc262675357"/>
      <w:bookmarkStart w:id="545" w:name="_Toc17040791"/>
      <w:bookmarkStart w:id="546" w:name="_Toc17040912"/>
      <w:bookmarkStart w:id="547" w:name="_Toc209498852"/>
      <w:bookmarkStart w:id="548" w:name="_Toc25703"/>
      <w:bookmarkStart w:id="549" w:name="_Toc17041030"/>
      <w:bookmarkStart w:id="550" w:name="_Toc27514"/>
      <w:bookmarkStart w:id="551" w:name="_Toc247277977"/>
      <w:bookmarkStart w:id="552" w:name="_Toc491246681"/>
    </w:p>
    <w:p w14:paraId="377E830B">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lang w:val="en-US" w:eastAsia="zh-CN"/>
        </w:rPr>
        <w:t xml:space="preserve">9.5 </w:t>
      </w:r>
      <w:r>
        <w:rPr>
          <w:rFonts w:hint="eastAsia" w:ascii="仿宋" w:hAnsi="仿宋" w:eastAsia="仿宋" w:cs="仿宋"/>
          <w:b/>
          <w:bCs/>
          <w:color w:val="auto"/>
          <w:kern w:val="0"/>
          <w:sz w:val="24"/>
          <w:szCs w:val="24"/>
          <w:highlight w:val="none"/>
        </w:rPr>
        <w:t>对与评标活动有关的工作人员的纪律要求</w:t>
      </w:r>
    </w:p>
    <w:p w14:paraId="69DF7716">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79187C55">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9.</w:t>
      </w:r>
      <w:r>
        <w:rPr>
          <w:rFonts w:hint="eastAsia" w:ascii="仿宋" w:hAnsi="仿宋" w:eastAsia="仿宋" w:cs="仿宋"/>
          <w:b/>
          <w:bCs/>
          <w:color w:val="auto"/>
          <w:kern w:val="0"/>
          <w:sz w:val="24"/>
          <w:szCs w:val="24"/>
          <w:highlight w:val="none"/>
          <w:lang w:val="en-US" w:eastAsia="zh-CN"/>
        </w:rPr>
        <w:t>6</w:t>
      </w:r>
      <w:r>
        <w:rPr>
          <w:rFonts w:hint="eastAsia" w:ascii="仿宋" w:hAnsi="仿宋" w:eastAsia="仿宋" w:cs="仿宋"/>
          <w:b/>
          <w:bCs/>
          <w:color w:val="auto"/>
          <w:kern w:val="0"/>
          <w:sz w:val="24"/>
          <w:szCs w:val="24"/>
          <w:highlight w:val="none"/>
        </w:rPr>
        <w:t xml:space="preserve"> 投诉</w:t>
      </w:r>
    </w:p>
    <w:p w14:paraId="0AD1656F">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投标人和其他利害关系人认为本次招标活动违反法律、法规和规章规定的，有权向有关行政监督部门投诉。</w:t>
      </w:r>
      <w:bookmarkStart w:id="553" w:name="_Toc260172691"/>
      <w:bookmarkStart w:id="554" w:name="_Toc17040792"/>
      <w:bookmarkStart w:id="555" w:name="_Toc17041031"/>
      <w:bookmarkStart w:id="556" w:name="_Toc199321930"/>
      <w:bookmarkStart w:id="557" w:name="_Toc5761"/>
      <w:bookmarkStart w:id="558" w:name="_Toc262675358"/>
      <w:bookmarkStart w:id="559" w:name="_Toc29761"/>
      <w:bookmarkStart w:id="560" w:name="_Toc209498853"/>
      <w:bookmarkStart w:id="561" w:name="_Toc247277978"/>
      <w:bookmarkStart w:id="562" w:name="_Toc491246682"/>
      <w:bookmarkStart w:id="563" w:name="_Toc17040913"/>
    </w:p>
    <w:p w14:paraId="6941B3B0">
      <w:pPr>
        <w:rPr>
          <w:rFonts w:hint="eastAsia"/>
          <w:color w:val="auto"/>
          <w:highlight w:val="none"/>
        </w:rPr>
      </w:pPr>
    </w:p>
    <w:p w14:paraId="553532DC">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10.需要补充的其他内容</w:t>
      </w:r>
      <w:bookmarkEnd w:id="553"/>
      <w:bookmarkEnd w:id="554"/>
      <w:bookmarkEnd w:id="555"/>
      <w:bookmarkEnd w:id="556"/>
      <w:bookmarkEnd w:id="557"/>
      <w:bookmarkEnd w:id="558"/>
      <w:bookmarkEnd w:id="559"/>
      <w:bookmarkEnd w:id="560"/>
      <w:bookmarkEnd w:id="561"/>
      <w:bookmarkEnd w:id="562"/>
      <w:bookmarkEnd w:id="563"/>
    </w:p>
    <w:p w14:paraId="7CF182B3">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10.1 投标文件电子版提交要求：见投标人须知前附表。</w:t>
      </w:r>
    </w:p>
    <w:p w14:paraId="497614EA">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10.2 采购预算金额：见投标人须知前附表。</w:t>
      </w:r>
    </w:p>
    <w:p w14:paraId="32C4B744">
      <w:pPr>
        <w:pStyle w:val="19"/>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10.3 电子投标文件编制及报送要求：</w:t>
      </w:r>
    </w:p>
    <w:p w14:paraId="64330198">
      <w:pPr>
        <w:pStyle w:val="40"/>
        <w:rPr>
          <w:rFonts w:hint="eastAsia" w:ascii="仿宋" w:hAnsi="仿宋" w:eastAsia="仿宋" w:cs="仿宋"/>
          <w:color w:val="auto"/>
          <w:sz w:val="24"/>
          <w:szCs w:val="24"/>
          <w:highlight w:val="none"/>
        </w:rPr>
      </w:pPr>
    </w:p>
    <w:p w14:paraId="19ABD456">
      <w:pPr>
        <w:pStyle w:val="2"/>
        <w:numPr>
          <w:ilvl w:val="0"/>
          <w:numId w:val="1"/>
        </w:numPr>
        <w:spacing w:line="360" w:lineRule="auto"/>
        <w:jc w:val="center"/>
        <w:rPr>
          <w:rFonts w:hint="eastAsia" w:ascii="仿宋" w:hAnsi="仿宋" w:eastAsia="仿宋" w:cs="仿宋"/>
          <w:color w:val="auto"/>
          <w:sz w:val="48"/>
          <w:szCs w:val="48"/>
          <w:highlight w:val="none"/>
          <w:lang w:val="en-US" w:eastAsia="zh-CN"/>
        </w:rPr>
      </w:pPr>
      <w:r>
        <w:rPr>
          <w:rFonts w:hint="eastAsia" w:ascii="仿宋" w:hAnsi="仿宋" w:eastAsia="仿宋" w:cs="仿宋"/>
          <w:color w:val="auto"/>
          <w:sz w:val="48"/>
          <w:szCs w:val="48"/>
          <w:highlight w:val="none"/>
          <w:lang w:val="en-US" w:eastAsia="zh-CN"/>
        </w:rPr>
        <w:t>评标办法（综合评分法</w:t>
      </w:r>
      <w:bookmarkEnd w:id="538"/>
      <w:bookmarkStart w:id="564" w:name="_Toc265505133"/>
      <w:bookmarkStart w:id="565" w:name="_Toc262675370"/>
      <w:r>
        <w:rPr>
          <w:rFonts w:hint="eastAsia" w:ascii="仿宋" w:hAnsi="仿宋" w:eastAsia="仿宋" w:cs="仿宋"/>
          <w:color w:val="auto"/>
          <w:sz w:val="48"/>
          <w:szCs w:val="48"/>
          <w:highlight w:val="none"/>
          <w:lang w:val="en-US" w:eastAsia="zh-CN"/>
        </w:rPr>
        <w:t>）</w:t>
      </w:r>
      <w:bookmarkEnd w:id="539"/>
      <w:bookmarkEnd w:id="540"/>
      <w:bookmarkEnd w:id="541"/>
      <w:bookmarkEnd w:id="542"/>
    </w:p>
    <w:p w14:paraId="12D473C6">
      <w:pPr>
        <w:pStyle w:val="3"/>
        <w:spacing w:line="360" w:lineRule="auto"/>
        <w:rPr>
          <w:rFonts w:hint="eastAsia" w:ascii="仿宋" w:hAnsi="仿宋" w:eastAsia="仿宋" w:cs="仿宋"/>
          <w:b/>
          <w:bCs/>
          <w:color w:val="auto"/>
          <w:sz w:val="28"/>
          <w:szCs w:val="28"/>
          <w:highlight w:val="none"/>
        </w:rPr>
      </w:pPr>
      <w:bookmarkStart w:id="566" w:name="_Toc17040794"/>
      <w:bookmarkStart w:id="567" w:name="_Toc31935"/>
      <w:bookmarkStart w:id="568" w:name="_Toc17040915"/>
      <w:r>
        <w:rPr>
          <w:rFonts w:hint="eastAsia" w:ascii="仿宋" w:hAnsi="仿宋" w:eastAsia="仿宋" w:cs="仿宋"/>
          <w:b/>
          <w:bCs/>
          <w:color w:val="auto"/>
          <w:sz w:val="28"/>
          <w:szCs w:val="28"/>
          <w:highlight w:val="none"/>
        </w:rPr>
        <w:t>（一）评标办法前附表</w:t>
      </w:r>
      <w:bookmarkEnd w:id="566"/>
      <w:bookmarkEnd w:id="567"/>
      <w:bookmarkEnd w:id="568"/>
    </w:p>
    <w:bookmarkEnd w:id="564"/>
    <w:bookmarkEnd w:id="565"/>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9"/>
        <w:gridCol w:w="1140"/>
        <w:gridCol w:w="1985"/>
        <w:gridCol w:w="5167"/>
      </w:tblGrid>
      <w:tr w14:paraId="5973D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147" w:type="pct"/>
            <w:gridSpan w:val="2"/>
            <w:tcBorders>
              <w:top w:val="single" w:color="auto" w:sz="4" w:space="0"/>
              <w:left w:val="single" w:color="auto" w:sz="4" w:space="0"/>
              <w:bottom w:val="single" w:color="auto" w:sz="4" w:space="0"/>
              <w:right w:val="single" w:color="auto" w:sz="4" w:space="0"/>
            </w:tcBorders>
            <w:vAlign w:val="center"/>
          </w:tcPr>
          <w:p w14:paraId="04E052C5">
            <w:pPr>
              <w:autoSpaceDE w:val="0"/>
              <w:autoSpaceDN w:val="0"/>
              <w:adjustRightInd w:val="0"/>
              <w:spacing w:line="360" w:lineRule="auto"/>
              <w:jc w:val="center"/>
              <w:rPr>
                <w:rFonts w:hint="eastAsia" w:ascii="仿宋" w:hAnsi="仿宋" w:eastAsia="仿宋" w:cs="仿宋"/>
                <w:b/>
                <w:bCs/>
                <w:color w:val="auto"/>
                <w:kern w:val="0"/>
                <w:sz w:val="24"/>
                <w:szCs w:val="24"/>
                <w:highlight w:val="none"/>
              </w:rPr>
            </w:pPr>
            <w:bookmarkStart w:id="569" w:name="_Toc304717309"/>
            <w:bookmarkStart w:id="570" w:name="_Toc383442326"/>
            <w:bookmarkStart w:id="571" w:name="_Toc310814318"/>
            <w:r>
              <w:rPr>
                <w:rFonts w:hint="eastAsia" w:ascii="仿宋" w:hAnsi="仿宋" w:eastAsia="仿宋" w:cs="仿宋"/>
                <w:b/>
                <w:bCs/>
                <w:color w:val="auto"/>
                <w:kern w:val="0"/>
                <w:sz w:val="24"/>
                <w:szCs w:val="24"/>
                <w:highlight w:val="none"/>
              </w:rPr>
              <w:t>条款号</w:t>
            </w:r>
          </w:p>
        </w:tc>
        <w:tc>
          <w:tcPr>
            <w:tcW w:w="1069" w:type="pct"/>
            <w:tcBorders>
              <w:top w:val="single" w:color="auto" w:sz="4" w:space="0"/>
              <w:left w:val="single" w:color="auto" w:sz="4" w:space="0"/>
              <w:bottom w:val="single" w:color="auto" w:sz="4" w:space="0"/>
              <w:right w:val="single" w:color="auto" w:sz="4" w:space="0"/>
            </w:tcBorders>
            <w:vAlign w:val="center"/>
          </w:tcPr>
          <w:p w14:paraId="5E59E01B">
            <w:pPr>
              <w:autoSpaceDE w:val="0"/>
              <w:autoSpaceDN w:val="0"/>
              <w:adjustRightInd w:val="0"/>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2783" w:type="pct"/>
            <w:tcBorders>
              <w:top w:val="single" w:color="auto" w:sz="4" w:space="0"/>
              <w:left w:val="single" w:color="auto" w:sz="4" w:space="0"/>
              <w:bottom w:val="single" w:color="auto" w:sz="4" w:space="0"/>
              <w:right w:val="single" w:color="auto" w:sz="4" w:space="0"/>
            </w:tcBorders>
            <w:vAlign w:val="center"/>
          </w:tcPr>
          <w:p w14:paraId="264FF0AB">
            <w:pPr>
              <w:autoSpaceDE w:val="0"/>
              <w:autoSpaceDN w:val="0"/>
              <w:adjustRightInd w:val="0"/>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评审标准</w:t>
            </w:r>
          </w:p>
        </w:tc>
      </w:tr>
      <w:tr w14:paraId="17224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33" w:type="pct"/>
            <w:vMerge w:val="restart"/>
            <w:tcBorders>
              <w:top w:val="single" w:color="auto" w:sz="4" w:space="0"/>
              <w:left w:val="single" w:color="auto" w:sz="4" w:space="0"/>
              <w:right w:val="single" w:color="auto" w:sz="4" w:space="0"/>
            </w:tcBorders>
            <w:vAlign w:val="center"/>
          </w:tcPr>
          <w:p w14:paraId="4D8BBB90">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2.1.1</w:t>
            </w:r>
          </w:p>
        </w:tc>
        <w:tc>
          <w:tcPr>
            <w:tcW w:w="614" w:type="pct"/>
            <w:vMerge w:val="restart"/>
            <w:tcBorders>
              <w:top w:val="single" w:color="auto" w:sz="4" w:space="0"/>
              <w:left w:val="single" w:color="auto" w:sz="4" w:space="0"/>
              <w:right w:val="single" w:color="auto" w:sz="4" w:space="0"/>
            </w:tcBorders>
            <w:vAlign w:val="center"/>
          </w:tcPr>
          <w:p w14:paraId="2745B630">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资格</w:t>
            </w:r>
          </w:p>
          <w:p w14:paraId="04B32621">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评审标准</w:t>
            </w:r>
          </w:p>
        </w:tc>
        <w:tc>
          <w:tcPr>
            <w:tcW w:w="1069" w:type="pct"/>
            <w:tcBorders>
              <w:top w:val="single" w:color="auto" w:sz="4" w:space="0"/>
              <w:left w:val="single" w:color="auto" w:sz="4" w:space="0"/>
              <w:bottom w:val="single" w:color="auto" w:sz="4" w:space="0"/>
              <w:right w:val="single" w:color="auto" w:sz="4" w:space="0"/>
            </w:tcBorders>
            <w:vAlign w:val="center"/>
          </w:tcPr>
          <w:p w14:paraId="68E7FED7">
            <w:pPr>
              <w:autoSpaceDE w:val="0"/>
              <w:autoSpaceDN w:val="0"/>
              <w:adjustRightIn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具有独立承担民事责任的能力</w:t>
            </w:r>
          </w:p>
        </w:tc>
        <w:tc>
          <w:tcPr>
            <w:tcW w:w="2783" w:type="pct"/>
            <w:tcBorders>
              <w:top w:val="single" w:color="auto" w:sz="4" w:space="0"/>
              <w:left w:val="single" w:color="auto" w:sz="4" w:space="0"/>
              <w:bottom w:val="single" w:color="auto" w:sz="4" w:space="0"/>
              <w:right w:val="single" w:color="auto" w:sz="4" w:space="0"/>
            </w:tcBorders>
            <w:vAlign w:val="center"/>
          </w:tcPr>
          <w:p w14:paraId="2C329DE6">
            <w:pPr>
              <w:spacing w:after="50" w:line="360" w:lineRule="auto"/>
              <w:ind w:right="-10"/>
              <w:jc w:val="left"/>
              <w:rPr>
                <w:rFonts w:hint="eastAsia" w:ascii="仿宋" w:hAnsi="仿宋" w:eastAsia="仿宋" w:cs="仿宋"/>
                <w:color w:val="auto"/>
                <w:kern w:val="0"/>
                <w:sz w:val="24"/>
                <w:szCs w:val="24"/>
                <w:highlight w:val="none"/>
                <w:lang w:eastAsia="zh-CN"/>
              </w:rPr>
            </w:pPr>
            <w:bookmarkStart w:id="572" w:name="OLE_LINK11"/>
            <w:r>
              <w:rPr>
                <w:rFonts w:hint="eastAsia" w:ascii="仿宋" w:hAnsi="仿宋" w:eastAsia="仿宋" w:cs="仿宋"/>
                <w:color w:val="auto"/>
                <w:sz w:val="24"/>
                <w:szCs w:val="24"/>
                <w:highlight w:val="none"/>
              </w:rPr>
              <w:t>（1）投标人为企业（包括合伙企业）的，应提供有效的营业执照；（2）投标人为事业单位的，应提供有效的事业单位法人证书；（3）投标人是非企业机构的，应提供有效的执业许可证或登记证书等证明文件；（4）投标人是个体工商户的，应提供有效的个体工商户营业执照；（5）投标人是自然人的，应提供有效的自然人身份证明；</w:t>
            </w:r>
            <w:bookmarkEnd w:id="572"/>
          </w:p>
        </w:tc>
      </w:tr>
      <w:tr w14:paraId="23810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33" w:type="pct"/>
            <w:vMerge w:val="continue"/>
            <w:tcBorders>
              <w:left w:val="single" w:color="auto" w:sz="4" w:space="0"/>
              <w:right w:val="single" w:color="auto" w:sz="4" w:space="0"/>
            </w:tcBorders>
            <w:vAlign w:val="center"/>
          </w:tcPr>
          <w:p w14:paraId="50E22D56">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614" w:type="pct"/>
            <w:vMerge w:val="continue"/>
            <w:tcBorders>
              <w:left w:val="single" w:color="auto" w:sz="4" w:space="0"/>
              <w:right w:val="single" w:color="auto" w:sz="4" w:space="0"/>
            </w:tcBorders>
            <w:vAlign w:val="center"/>
          </w:tcPr>
          <w:p w14:paraId="1AF9B158">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069" w:type="pct"/>
            <w:tcBorders>
              <w:top w:val="single" w:color="auto" w:sz="4" w:space="0"/>
              <w:left w:val="single" w:color="auto" w:sz="4" w:space="0"/>
              <w:bottom w:val="single" w:color="auto" w:sz="4" w:space="0"/>
              <w:right w:val="single" w:color="auto" w:sz="4" w:space="0"/>
            </w:tcBorders>
            <w:vAlign w:val="center"/>
          </w:tcPr>
          <w:p w14:paraId="116A79DD">
            <w:pPr>
              <w:autoSpaceDE w:val="0"/>
              <w:autoSpaceDN w:val="0"/>
              <w:adjustRightIn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具有良好的商业信誉和健全的财务会计制度</w:t>
            </w:r>
          </w:p>
        </w:tc>
        <w:tc>
          <w:tcPr>
            <w:tcW w:w="2783" w:type="pct"/>
            <w:tcBorders>
              <w:top w:val="single" w:color="auto" w:sz="4" w:space="0"/>
              <w:left w:val="single" w:color="auto" w:sz="4" w:space="0"/>
              <w:bottom w:val="single" w:color="auto" w:sz="4" w:space="0"/>
              <w:right w:val="single" w:color="auto" w:sz="4" w:space="0"/>
            </w:tcBorders>
            <w:vAlign w:val="center"/>
          </w:tcPr>
          <w:p w14:paraId="54DFC20D">
            <w:pPr>
              <w:autoSpaceDE w:val="0"/>
              <w:autoSpaceDN w:val="0"/>
              <w:adjustRightInd w:val="0"/>
              <w:spacing w:line="360" w:lineRule="auto"/>
              <w:ind w:right="-113" w:rightChars="-54"/>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sz w:val="24"/>
                <w:szCs w:val="24"/>
                <w:highlight w:val="none"/>
              </w:rPr>
              <w:t>提供承诺函</w:t>
            </w:r>
            <w:r>
              <w:rPr>
                <w:rFonts w:hint="eastAsia" w:ascii="仿宋" w:hAnsi="仿宋" w:eastAsia="仿宋" w:cs="仿宋"/>
                <w:color w:val="auto"/>
                <w:sz w:val="24"/>
                <w:szCs w:val="24"/>
                <w:highlight w:val="none"/>
                <w:lang w:eastAsia="zh-CN"/>
              </w:rPr>
              <w:t>。</w:t>
            </w:r>
          </w:p>
        </w:tc>
      </w:tr>
      <w:tr w14:paraId="70FA6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jc w:val="center"/>
        </w:trPr>
        <w:tc>
          <w:tcPr>
            <w:tcW w:w="533" w:type="pct"/>
            <w:vMerge w:val="continue"/>
            <w:tcBorders>
              <w:left w:val="single" w:color="auto" w:sz="4" w:space="0"/>
              <w:right w:val="single" w:color="auto" w:sz="4" w:space="0"/>
            </w:tcBorders>
            <w:vAlign w:val="center"/>
          </w:tcPr>
          <w:p w14:paraId="5F5BA92C">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614" w:type="pct"/>
            <w:vMerge w:val="continue"/>
            <w:tcBorders>
              <w:left w:val="single" w:color="auto" w:sz="4" w:space="0"/>
              <w:right w:val="single" w:color="auto" w:sz="4" w:space="0"/>
            </w:tcBorders>
            <w:vAlign w:val="center"/>
          </w:tcPr>
          <w:p w14:paraId="32019CDF">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069" w:type="pct"/>
            <w:tcBorders>
              <w:top w:val="single" w:color="auto" w:sz="4" w:space="0"/>
              <w:left w:val="single" w:color="auto" w:sz="4" w:space="0"/>
              <w:bottom w:val="single" w:color="auto" w:sz="4" w:space="0"/>
              <w:right w:val="single" w:color="auto" w:sz="4" w:space="0"/>
            </w:tcBorders>
            <w:vAlign w:val="center"/>
          </w:tcPr>
          <w:p w14:paraId="6F359375">
            <w:pPr>
              <w:autoSpaceDE w:val="0"/>
              <w:autoSpaceDN w:val="0"/>
              <w:adjustRightIn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具有履行合同所必需的设备和专业技术能力</w:t>
            </w:r>
          </w:p>
        </w:tc>
        <w:tc>
          <w:tcPr>
            <w:tcW w:w="2783" w:type="pct"/>
            <w:tcBorders>
              <w:top w:val="single" w:color="auto" w:sz="4" w:space="0"/>
              <w:left w:val="single" w:color="auto" w:sz="4" w:space="0"/>
              <w:bottom w:val="single" w:color="auto" w:sz="4" w:space="0"/>
              <w:right w:val="single" w:color="auto" w:sz="4" w:space="0"/>
            </w:tcBorders>
            <w:vAlign w:val="center"/>
          </w:tcPr>
          <w:p w14:paraId="669E1F76">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提供承诺函及相关证明材料。</w:t>
            </w:r>
          </w:p>
          <w:p w14:paraId="4E37F544">
            <w:pPr>
              <w:autoSpaceDE w:val="0"/>
              <w:autoSpaceDN w:val="0"/>
              <w:adjustRightInd w:val="0"/>
              <w:spacing w:line="360" w:lineRule="auto"/>
              <w:ind w:right="-113" w:rightChars="-54"/>
              <w:jc w:val="left"/>
              <w:rPr>
                <w:rFonts w:hint="eastAsia" w:ascii="仿宋" w:hAnsi="仿宋" w:eastAsia="仿宋" w:cs="仿宋"/>
                <w:color w:val="auto"/>
                <w:sz w:val="24"/>
                <w:szCs w:val="24"/>
                <w:highlight w:val="none"/>
              </w:rPr>
            </w:pPr>
          </w:p>
        </w:tc>
      </w:tr>
      <w:tr w14:paraId="7601F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33" w:type="pct"/>
            <w:vMerge w:val="continue"/>
            <w:tcBorders>
              <w:left w:val="single" w:color="auto" w:sz="4" w:space="0"/>
              <w:right w:val="single" w:color="auto" w:sz="4" w:space="0"/>
            </w:tcBorders>
            <w:vAlign w:val="center"/>
          </w:tcPr>
          <w:p w14:paraId="54824EDB">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614" w:type="pct"/>
            <w:vMerge w:val="continue"/>
            <w:tcBorders>
              <w:left w:val="single" w:color="auto" w:sz="4" w:space="0"/>
              <w:right w:val="single" w:color="auto" w:sz="4" w:space="0"/>
            </w:tcBorders>
            <w:vAlign w:val="center"/>
          </w:tcPr>
          <w:p w14:paraId="229D7473">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069" w:type="pct"/>
            <w:tcBorders>
              <w:top w:val="single" w:color="auto" w:sz="4" w:space="0"/>
              <w:left w:val="single" w:color="auto" w:sz="4" w:space="0"/>
              <w:bottom w:val="single" w:color="auto" w:sz="4" w:space="0"/>
              <w:right w:val="single" w:color="auto" w:sz="4" w:space="0"/>
            </w:tcBorders>
            <w:vAlign w:val="center"/>
          </w:tcPr>
          <w:p w14:paraId="57014A94">
            <w:pPr>
              <w:autoSpaceDE w:val="0"/>
              <w:autoSpaceDN w:val="0"/>
              <w:adjustRightIn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具有依法缴纳税收和社会保障资金的良好记录</w:t>
            </w:r>
          </w:p>
        </w:tc>
        <w:tc>
          <w:tcPr>
            <w:tcW w:w="2783" w:type="pct"/>
            <w:tcBorders>
              <w:top w:val="single" w:color="auto" w:sz="4" w:space="0"/>
              <w:left w:val="single" w:color="auto" w:sz="4" w:space="0"/>
              <w:bottom w:val="single" w:color="auto" w:sz="4" w:space="0"/>
              <w:right w:val="single" w:color="auto" w:sz="4" w:space="0"/>
            </w:tcBorders>
            <w:vAlign w:val="center"/>
          </w:tcPr>
          <w:p w14:paraId="68E7B9DD">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提供</w:t>
            </w:r>
            <w:r>
              <w:rPr>
                <w:rFonts w:hint="eastAsia" w:ascii="仿宋" w:hAnsi="仿宋" w:eastAsia="仿宋" w:cs="仿宋"/>
                <w:color w:val="auto"/>
                <w:sz w:val="24"/>
                <w:szCs w:val="24"/>
                <w:highlight w:val="none"/>
              </w:rPr>
              <w:t>承诺函或依法免缴税费的证明。</w:t>
            </w:r>
          </w:p>
          <w:p w14:paraId="150D636C">
            <w:pPr>
              <w:autoSpaceDE w:val="0"/>
              <w:autoSpaceDN w:val="0"/>
              <w:adjustRightInd w:val="0"/>
              <w:spacing w:line="360" w:lineRule="auto"/>
              <w:ind w:right="-113" w:rightChars="-54"/>
              <w:jc w:val="left"/>
              <w:rPr>
                <w:rFonts w:hint="eastAsia" w:ascii="仿宋" w:hAnsi="仿宋" w:eastAsia="仿宋" w:cs="仿宋"/>
                <w:color w:val="auto"/>
                <w:kern w:val="0"/>
                <w:sz w:val="24"/>
                <w:szCs w:val="24"/>
                <w:highlight w:val="none"/>
              </w:rPr>
            </w:pPr>
          </w:p>
        </w:tc>
      </w:tr>
      <w:tr w14:paraId="29B2A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33" w:type="pct"/>
            <w:vMerge w:val="continue"/>
            <w:tcBorders>
              <w:left w:val="single" w:color="auto" w:sz="4" w:space="0"/>
              <w:right w:val="single" w:color="auto" w:sz="4" w:space="0"/>
            </w:tcBorders>
            <w:vAlign w:val="center"/>
          </w:tcPr>
          <w:p w14:paraId="3A47CA8C">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614" w:type="pct"/>
            <w:vMerge w:val="continue"/>
            <w:tcBorders>
              <w:left w:val="single" w:color="auto" w:sz="4" w:space="0"/>
              <w:right w:val="single" w:color="auto" w:sz="4" w:space="0"/>
            </w:tcBorders>
            <w:vAlign w:val="center"/>
          </w:tcPr>
          <w:p w14:paraId="6DD6DE66">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069" w:type="pct"/>
            <w:tcBorders>
              <w:top w:val="single" w:color="auto" w:sz="4" w:space="0"/>
              <w:left w:val="single" w:color="auto" w:sz="4" w:space="0"/>
              <w:bottom w:val="single" w:color="auto" w:sz="4" w:space="0"/>
              <w:right w:val="single" w:color="auto" w:sz="4" w:space="0"/>
            </w:tcBorders>
            <w:vAlign w:val="center"/>
          </w:tcPr>
          <w:p w14:paraId="4BEED1EF">
            <w:pPr>
              <w:autoSpaceDE w:val="0"/>
              <w:autoSpaceDN w:val="0"/>
              <w:adjustRightIn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参加政府采购活动前三年内，在经营活动中没有重大违法记录</w:t>
            </w:r>
          </w:p>
        </w:tc>
        <w:tc>
          <w:tcPr>
            <w:tcW w:w="2783" w:type="pct"/>
            <w:tcBorders>
              <w:top w:val="single" w:color="auto" w:sz="4" w:space="0"/>
              <w:left w:val="single" w:color="auto" w:sz="4" w:space="0"/>
              <w:bottom w:val="single" w:color="auto" w:sz="4" w:space="0"/>
              <w:right w:val="single" w:color="auto" w:sz="4" w:space="0"/>
            </w:tcBorders>
            <w:vAlign w:val="center"/>
          </w:tcPr>
          <w:p w14:paraId="39309961">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提供参加本次政府采购活动前三年内在经营活动中没有重大违法记录的书面声明。</w:t>
            </w:r>
          </w:p>
          <w:p w14:paraId="5703D55A">
            <w:pPr>
              <w:autoSpaceDE w:val="0"/>
              <w:autoSpaceDN w:val="0"/>
              <w:adjustRightInd w:val="0"/>
              <w:spacing w:line="360" w:lineRule="auto"/>
              <w:ind w:right="-113" w:rightChars="-54"/>
              <w:jc w:val="left"/>
              <w:rPr>
                <w:rFonts w:hint="eastAsia" w:ascii="仿宋" w:hAnsi="仿宋" w:eastAsia="仿宋" w:cs="仿宋"/>
                <w:color w:val="auto"/>
                <w:kern w:val="0"/>
                <w:sz w:val="24"/>
                <w:szCs w:val="24"/>
                <w:highlight w:val="none"/>
              </w:rPr>
            </w:pPr>
          </w:p>
        </w:tc>
      </w:tr>
      <w:tr w14:paraId="4DFC6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33" w:type="pct"/>
            <w:vMerge w:val="continue"/>
            <w:tcBorders>
              <w:left w:val="single" w:color="auto" w:sz="4" w:space="0"/>
              <w:right w:val="single" w:color="auto" w:sz="4" w:space="0"/>
            </w:tcBorders>
            <w:vAlign w:val="center"/>
          </w:tcPr>
          <w:p w14:paraId="4978949D">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614" w:type="pct"/>
            <w:vMerge w:val="continue"/>
            <w:tcBorders>
              <w:left w:val="single" w:color="auto" w:sz="4" w:space="0"/>
              <w:right w:val="single" w:color="auto" w:sz="4" w:space="0"/>
            </w:tcBorders>
            <w:vAlign w:val="center"/>
          </w:tcPr>
          <w:p w14:paraId="0C95D85F">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069" w:type="pct"/>
            <w:tcBorders>
              <w:top w:val="single" w:color="auto" w:sz="4" w:space="0"/>
              <w:left w:val="single" w:color="auto" w:sz="4" w:space="0"/>
              <w:bottom w:val="single" w:color="auto" w:sz="4" w:space="0"/>
              <w:right w:val="single" w:color="auto" w:sz="4" w:space="0"/>
            </w:tcBorders>
            <w:vAlign w:val="center"/>
          </w:tcPr>
          <w:p w14:paraId="05109988">
            <w:pPr>
              <w:autoSpaceDE w:val="0"/>
              <w:autoSpaceDN w:val="0"/>
              <w:adjustRightIn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0"/>
                <w:sz w:val="24"/>
                <w:szCs w:val="24"/>
                <w:highlight w:val="none"/>
              </w:rPr>
              <w:t>法律、行政法规规定的其他条件</w:t>
            </w:r>
          </w:p>
        </w:tc>
        <w:tc>
          <w:tcPr>
            <w:tcW w:w="2783" w:type="pct"/>
            <w:tcBorders>
              <w:top w:val="single" w:color="auto" w:sz="4" w:space="0"/>
              <w:left w:val="single" w:color="auto" w:sz="4" w:space="0"/>
              <w:bottom w:val="single" w:color="auto" w:sz="4" w:space="0"/>
              <w:right w:val="single" w:color="auto" w:sz="4" w:space="0"/>
            </w:tcBorders>
            <w:vAlign w:val="center"/>
          </w:tcPr>
          <w:p w14:paraId="3ACEFEAC">
            <w:pPr>
              <w:autoSpaceDE w:val="0"/>
              <w:autoSpaceDN w:val="0"/>
              <w:adjustRightInd w:val="0"/>
              <w:spacing w:line="360" w:lineRule="auto"/>
              <w:ind w:right="-113" w:rightChars="-54"/>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提供承诺函</w:t>
            </w:r>
            <w:r>
              <w:rPr>
                <w:rFonts w:hint="eastAsia" w:ascii="仿宋" w:hAnsi="仿宋" w:eastAsia="仿宋" w:cs="仿宋"/>
                <w:color w:val="auto"/>
                <w:kern w:val="0"/>
                <w:sz w:val="24"/>
                <w:szCs w:val="24"/>
                <w:highlight w:val="none"/>
                <w:lang w:eastAsia="zh-CN"/>
              </w:rPr>
              <w:t>。</w:t>
            </w:r>
          </w:p>
        </w:tc>
      </w:tr>
      <w:tr w14:paraId="1AE81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33" w:type="pct"/>
            <w:vMerge w:val="continue"/>
            <w:tcBorders>
              <w:left w:val="single" w:color="auto" w:sz="4" w:space="0"/>
              <w:right w:val="single" w:color="auto" w:sz="4" w:space="0"/>
            </w:tcBorders>
            <w:vAlign w:val="center"/>
          </w:tcPr>
          <w:p w14:paraId="3D19DD17">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614" w:type="pct"/>
            <w:vMerge w:val="continue"/>
            <w:tcBorders>
              <w:left w:val="single" w:color="auto" w:sz="4" w:space="0"/>
              <w:right w:val="single" w:color="auto" w:sz="4" w:space="0"/>
            </w:tcBorders>
            <w:vAlign w:val="center"/>
          </w:tcPr>
          <w:p w14:paraId="233C3EBB">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069" w:type="pct"/>
            <w:tcBorders>
              <w:top w:val="single" w:color="auto" w:sz="4" w:space="0"/>
              <w:left w:val="single" w:color="auto" w:sz="4" w:space="0"/>
              <w:bottom w:val="single" w:color="auto" w:sz="4" w:space="0"/>
              <w:right w:val="single" w:color="auto" w:sz="4" w:space="0"/>
            </w:tcBorders>
            <w:vAlign w:val="center"/>
          </w:tcPr>
          <w:p w14:paraId="71139AE9">
            <w:pPr>
              <w:autoSpaceDE w:val="0"/>
              <w:autoSpaceDN w:val="0"/>
              <w:adjustRightIn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本项目的特定资格要求</w:t>
            </w:r>
          </w:p>
        </w:tc>
        <w:tc>
          <w:tcPr>
            <w:tcW w:w="2783" w:type="pct"/>
            <w:tcBorders>
              <w:top w:val="single" w:color="auto" w:sz="4" w:space="0"/>
              <w:left w:val="single" w:color="auto" w:sz="4" w:space="0"/>
              <w:bottom w:val="single" w:color="auto" w:sz="4" w:space="0"/>
              <w:right w:val="single" w:color="auto" w:sz="4" w:space="0"/>
            </w:tcBorders>
            <w:vAlign w:val="center"/>
          </w:tcPr>
          <w:p w14:paraId="0A114DD2">
            <w:pPr>
              <w:numPr>
                <w:ilvl w:val="0"/>
                <w:numId w:val="0"/>
              </w:num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kern w:val="2"/>
                <w:sz w:val="24"/>
                <w:szCs w:val="24"/>
                <w:highlight w:val="none"/>
                <w:lang w:val="en-US" w:eastAsia="zh-CN" w:bidi="ar-SA"/>
              </w:rPr>
              <w:t>1.</w:t>
            </w:r>
            <w:r>
              <w:rPr>
                <w:rFonts w:hint="eastAsia" w:ascii="仿宋" w:hAnsi="仿宋" w:eastAsia="仿宋" w:cs="仿宋"/>
                <w:b/>
                <w:bCs/>
                <w:color w:val="auto"/>
                <w:sz w:val="24"/>
                <w:szCs w:val="24"/>
                <w:highlight w:val="none"/>
                <w:lang w:val="en-US" w:eastAsia="zh-CN"/>
              </w:rPr>
              <w:t>（一标段）</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lang w:val="en-US" w:eastAsia="zh-CN"/>
              </w:rPr>
              <w:fldChar w:fldCharType="begin"/>
            </w:r>
            <w:r>
              <w:rPr>
                <w:rFonts w:hint="eastAsia" w:ascii="仿宋" w:hAnsi="仿宋" w:eastAsia="仿宋" w:cs="仿宋"/>
                <w:b w:val="0"/>
                <w:bCs w:val="0"/>
                <w:color w:val="auto"/>
                <w:sz w:val="24"/>
                <w:szCs w:val="24"/>
                <w:highlight w:val="none"/>
                <w:lang w:val="en-US" w:eastAsia="zh-CN"/>
              </w:rPr>
              <w:instrText xml:space="preserve"> = 1 \* GB3 \* MERGEFORMAT </w:instrText>
            </w:r>
            <w:r>
              <w:rPr>
                <w:rFonts w:hint="eastAsia" w:ascii="仿宋" w:hAnsi="仿宋" w:eastAsia="仿宋" w:cs="仿宋"/>
                <w:b w:val="0"/>
                <w:bCs w:val="0"/>
                <w:color w:val="auto"/>
                <w:sz w:val="24"/>
                <w:szCs w:val="24"/>
                <w:highlight w:val="none"/>
                <w:lang w:val="en-US" w:eastAsia="zh-CN"/>
              </w:rPr>
              <w:fldChar w:fldCharType="separate"/>
            </w:r>
            <w:r>
              <w:rPr>
                <w:rFonts w:hint="eastAsia" w:ascii="仿宋" w:hAnsi="仿宋" w:eastAsia="仿宋" w:cs="仿宋"/>
                <w:b w:val="0"/>
                <w:bCs w:val="0"/>
                <w:color w:val="auto"/>
                <w:sz w:val="24"/>
                <w:szCs w:val="24"/>
                <w:highlight w:val="none"/>
                <w:lang w:val="en-US" w:eastAsia="zh-CN"/>
              </w:rPr>
              <w:t>①</w:t>
            </w:r>
            <w:r>
              <w:rPr>
                <w:rFonts w:hint="eastAsia" w:ascii="仿宋" w:hAnsi="仿宋" w:eastAsia="仿宋" w:cs="仿宋"/>
                <w:b w:val="0"/>
                <w:bCs w:val="0"/>
                <w:color w:val="auto"/>
                <w:sz w:val="24"/>
                <w:szCs w:val="24"/>
                <w:highlight w:val="none"/>
                <w:lang w:val="en-US" w:eastAsia="zh-CN"/>
              </w:rPr>
              <w:fldChar w:fldCharType="end"/>
            </w:r>
            <w:r>
              <w:rPr>
                <w:rFonts w:hint="eastAsia" w:ascii="仿宋" w:hAnsi="仿宋" w:eastAsia="仿宋" w:cs="仿宋"/>
                <w:b w:val="0"/>
                <w:bCs w:val="0"/>
                <w:color w:val="auto"/>
                <w:sz w:val="24"/>
                <w:szCs w:val="24"/>
                <w:highlight w:val="none"/>
                <w:lang w:val="en-US" w:eastAsia="zh-CN"/>
              </w:rPr>
              <w:t>投标货物的生产厂家必须是农业农村部（农业部）的定点生产企业，并通过农业农村部（农业部）GMP 认证（认证范围含有疫苗）；</w:t>
            </w:r>
            <w:r>
              <w:rPr>
                <w:rFonts w:hint="eastAsia" w:ascii="仿宋" w:hAnsi="仿宋" w:eastAsia="仿宋" w:cs="仿宋"/>
                <w:b w:val="0"/>
                <w:bCs w:val="0"/>
                <w:color w:val="auto"/>
                <w:sz w:val="24"/>
                <w:szCs w:val="24"/>
                <w:highlight w:val="none"/>
                <w:lang w:val="en-US" w:eastAsia="zh-CN"/>
              </w:rPr>
              <w:fldChar w:fldCharType="begin"/>
            </w:r>
            <w:r>
              <w:rPr>
                <w:rFonts w:hint="eastAsia" w:ascii="仿宋" w:hAnsi="仿宋" w:eastAsia="仿宋" w:cs="仿宋"/>
                <w:b w:val="0"/>
                <w:bCs w:val="0"/>
                <w:color w:val="auto"/>
                <w:sz w:val="24"/>
                <w:szCs w:val="24"/>
                <w:highlight w:val="none"/>
                <w:lang w:val="en-US" w:eastAsia="zh-CN"/>
              </w:rPr>
              <w:instrText xml:space="preserve"> = 2 \* GB3 \* MERGEFORMAT </w:instrText>
            </w:r>
            <w:r>
              <w:rPr>
                <w:rFonts w:hint="eastAsia" w:ascii="仿宋" w:hAnsi="仿宋" w:eastAsia="仿宋" w:cs="仿宋"/>
                <w:b w:val="0"/>
                <w:bCs w:val="0"/>
                <w:color w:val="auto"/>
                <w:sz w:val="24"/>
                <w:szCs w:val="24"/>
                <w:highlight w:val="none"/>
                <w:lang w:val="en-US" w:eastAsia="zh-CN"/>
              </w:rPr>
              <w:fldChar w:fldCharType="separate"/>
            </w:r>
            <w:r>
              <w:rPr>
                <w:rFonts w:hint="eastAsia" w:ascii="仿宋" w:hAnsi="仿宋" w:eastAsia="仿宋" w:cs="仿宋"/>
                <w:b w:val="0"/>
                <w:bCs w:val="0"/>
                <w:color w:val="auto"/>
                <w:sz w:val="24"/>
                <w:szCs w:val="24"/>
                <w:highlight w:val="none"/>
                <w:lang w:val="en-US" w:eastAsia="zh-CN"/>
              </w:rPr>
              <w:t>②</w:t>
            </w:r>
            <w:r>
              <w:rPr>
                <w:rFonts w:hint="eastAsia" w:ascii="仿宋" w:hAnsi="仿宋" w:eastAsia="仿宋" w:cs="仿宋"/>
                <w:b w:val="0"/>
                <w:bCs w:val="0"/>
                <w:color w:val="auto"/>
                <w:sz w:val="24"/>
                <w:szCs w:val="24"/>
                <w:highlight w:val="none"/>
                <w:lang w:val="en-US" w:eastAsia="zh-CN"/>
              </w:rPr>
              <w:fldChar w:fldCharType="end"/>
            </w:r>
            <w:r>
              <w:rPr>
                <w:rFonts w:hint="eastAsia" w:ascii="仿宋" w:hAnsi="仿宋" w:eastAsia="仿宋" w:cs="仿宋"/>
                <w:b w:val="0"/>
                <w:bCs w:val="0"/>
                <w:color w:val="auto"/>
                <w:sz w:val="24"/>
                <w:szCs w:val="24"/>
                <w:highlight w:val="none"/>
                <w:lang w:val="en-US" w:eastAsia="zh-CN"/>
              </w:rPr>
              <w:t>所投产品必须具有农业农村部（农业部）颁发的国家兽药生产许可证（生产许可范围含有疫苗），不接受代理商（贸易商、经销商）投标，只接受制造商（原厂商）投标。</w:t>
            </w:r>
          </w:p>
          <w:p w14:paraId="1F41A0D2">
            <w:pPr>
              <w:pStyle w:val="11"/>
              <w:numPr>
                <w:ilvl w:val="0"/>
                <w:numId w:val="0"/>
              </w:numPr>
              <w:spacing w:line="360" w:lineRule="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2.信用要求：投标人承诺其在截止至本项目投标截止时间未被列入“信用中国”网站 (www.creditchina.gov.cn)、“中国政府采购网”网站(www.ccgp.gov.cn)中任一网站的失信被执行人名单或重大税收违法案件当事人名单或政府采购严重违法失信行为记录名单的承诺函。</w:t>
            </w:r>
          </w:p>
          <w:p w14:paraId="4AC16568">
            <w:pPr>
              <w:pStyle w:val="11"/>
              <w:numPr>
                <w:ilvl w:val="0"/>
                <w:numId w:val="0"/>
              </w:numPr>
              <w:spacing w:line="360" w:lineRule="auto"/>
              <w:rPr>
                <w:rFonts w:hint="default"/>
                <w:color w:val="auto"/>
                <w:highlight w:val="none"/>
                <w:lang w:val="en-US" w:eastAsia="zh-CN"/>
              </w:rPr>
            </w:pPr>
            <w:r>
              <w:rPr>
                <w:rFonts w:hint="eastAsia" w:ascii="仿宋" w:hAnsi="仿宋" w:eastAsia="仿宋" w:cs="仿宋"/>
                <w:b w:val="0"/>
                <w:bCs w:val="0"/>
                <w:color w:val="auto"/>
                <w:kern w:val="2"/>
                <w:sz w:val="24"/>
                <w:szCs w:val="24"/>
                <w:highlight w:val="none"/>
                <w:lang w:val="en-US" w:eastAsia="zh-CN" w:bidi="ar-SA"/>
              </w:rPr>
              <w:t>3.其他要求：单位负责人为同一人或者存在直接控股、管理关系的不同制造商或供应商，不得参加同一标段下的政府采购活动(提供承诺函)。</w:t>
            </w:r>
          </w:p>
        </w:tc>
      </w:tr>
      <w:tr w14:paraId="5552C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3" w:type="pct"/>
            <w:vMerge w:val="restart"/>
            <w:tcBorders>
              <w:left w:val="single" w:color="auto" w:sz="4" w:space="0"/>
              <w:right w:val="single" w:color="auto" w:sz="4" w:space="0"/>
            </w:tcBorders>
            <w:vAlign w:val="center"/>
          </w:tcPr>
          <w:p w14:paraId="59C15F30">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2.1.2</w:t>
            </w:r>
          </w:p>
        </w:tc>
        <w:tc>
          <w:tcPr>
            <w:tcW w:w="614" w:type="pct"/>
            <w:vMerge w:val="restart"/>
            <w:tcBorders>
              <w:left w:val="single" w:color="auto" w:sz="4" w:space="0"/>
              <w:right w:val="single" w:color="auto" w:sz="4" w:space="0"/>
            </w:tcBorders>
            <w:vAlign w:val="center"/>
          </w:tcPr>
          <w:p w14:paraId="2290B134">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符合性</w:t>
            </w:r>
          </w:p>
          <w:p w14:paraId="722435A2">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评审标准</w:t>
            </w:r>
          </w:p>
        </w:tc>
        <w:tc>
          <w:tcPr>
            <w:tcW w:w="1069" w:type="pct"/>
            <w:tcBorders>
              <w:top w:val="single" w:color="auto" w:sz="4" w:space="0"/>
              <w:left w:val="single" w:color="auto" w:sz="4" w:space="0"/>
              <w:bottom w:val="single" w:color="auto" w:sz="4" w:space="0"/>
              <w:right w:val="single" w:color="auto" w:sz="4" w:space="0"/>
            </w:tcBorders>
            <w:vAlign w:val="center"/>
          </w:tcPr>
          <w:p w14:paraId="437B095A">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法定代表人身份证明书</w:t>
            </w:r>
          </w:p>
        </w:tc>
        <w:tc>
          <w:tcPr>
            <w:tcW w:w="2783" w:type="pct"/>
            <w:tcBorders>
              <w:top w:val="single" w:color="auto" w:sz="4" w:space="0"/>
              <w:left w:val="single" w:color="auto" w:sz="4" w:space="0"/>
              <w:bottom w:val="single" w:color="auto" w:sz="4" w:space="0"/>
              <w:right w:val="single" w:color="auto" w:sz="4" w:space="0"/>
            </w:tcBorders>
            <w:vAlign w:val="center"/>
          </w:tcPr>
          <w:p w14:paraId="669D66D1">
            <w:pPr>
              <w:autoSpaceDE w:val="0"/>
              <w:autoSpaceDN w:val="0"/>
              <w:adjustRightInd w:val="0"/>
              <w:spacing w:line="360" w:lineRule="auto"/>
              <w:ind w:right="-113" w:rightChars="-54"/>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符合第二章“投标人须知</w:t>
            </w:r>
            <w:r>
              <w:rPr>
                <w:rFonts w:hint="eastAsia" w:ascii="仿宋" w:hAnsi="仿宋" w:eastAsia="仿宋" w:cs="仿宋"/>
                <w:color w:val="auto"/>
                <w:kern w:val="0"/>
                <w:sz w:val="24"/>
                <w:szCs w:val="24"/>
                <w:highlight w:val="none"/>
                <w:lang w:val="en-US" w:eastAsia="zh-CN"/>
              </w:rPr>
              <w:t>前附表1.4.3</w:t>
            </w:r>
            <w:r>
              <w:rPr>
                <w:rFonts w:hint="eastAsia" w:ascii="仿宋" w:hAnsi="仿宋" w:eastAsia="仿宋" w:cs="仿宋"/>
                <w:color w:val="auto"/>
                <w:kern w:val="0"/>
                <w:sz w:val="24"/>
                <w:szCs w:val="24"/>
                <w:highlight w:val="none"/>
              </w:rPr>
              <w:t>”规定（具备有效证明文件）。</w:t>
            </w:r>
          </w:p>
        </w:tc>
      </w:tr>
      <w:tr w14:paraId="5BB11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33" w:type="pct"/>
            <w:vMerge w:val="continue"/>
            <w:tcBorders>
              <w:left w:val="single" w:color="auto" w:sz="4" w:space="0"/>
              <w:right w:val="single" w:color="auto" w:sz="4" w:space="0"/>
            </w:tcBorders>
            <w:vAlign w:val="center"/>
          </w:tcPr>
          <w:p w14:paraId="423D22C9">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614" w:type="pct"/>
            <w:vMerge w:val="continue"/>
            <w:tcBorders>
              <w:left w:val="single" w:color="auto" w:sz="4" w:space="0"/>
              <w:right w:val="single" w:color="auto" w:sz="4" w:space="0"/>
            </w:tcBorders>
            <w:vAlign w:val="center"/>
          </w:tcPr>
          <w:p w14:paraId="19FAA4C7">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069" w:type="pct"/>
            <w:tcBorders>
              <w:top w:val="single" w:color="auto" w:sz="4" w:space="0"/>
              <w:left w:val="single" w:color="auto" w:sz="4" w:space="0"/>
              <w:bottom w:val="single" w:color="auto" w:sz="4" w:space="0"/>
              <w:right w:val="single" w:color="auto" w:sz="4" w:space="0"/>
            </w:tcBorders>
            <w:vAlign w:val="center"/>
          </w:tcPr>
          <w:p w14:paraId="26C8A371">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法定代表人授权委托书</w:t>
            </w:r>
          </w:p>
        </w:tc>
        <w:tc>
          <w:tcPr>
            <w:tcW w:w="2783" w:type="pct"/>
            <w:tcBorders>
              <w:top w:val="single" w:color="auto" w:sz="4" w:space="0"/>
              <w:left w:val="single" w:color="auto" w:sz="4" w:space="0"/>
              <w:bottom w:val="single" w:color="auto" w:sz="4" w:space="0"/>
              <w:right w:val="single" w:color="auto" w:sz="4" w:space="0"/>
            </w:tcBorders>
            <w:vAlign w:val="center"/>
          </w:tcPr>
          <w:p w14:paraId="49F0D7E0">
            <w:pPr>
              <w:autoSpaceDE w:val="0"/>
              <w:autoSpaceDN w:val="0"/>
              <w:adjustRightInd w:val="0"/>
              <w:spacing w:line="360" w:lineRule="auto"/>
              <w:ind w:right="-113" w:rightChars="-54"/>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符合第二章“投标人须知</w:t>
            </w:r>
            <w:r>
              <w:rPr>
                <w:rFonts w:hint="eastAsia" w:ascii="仿宋" w:hAnsi="仿宋" w:eastAsia="仿宋" w:cs="仿宋"/>
                <w:color w:val="auto"/>
                <w:kern w:val="0"/>
                <w:sz w:val="24"/>
                <w:szCs w:val="24"/>
                <w:highlight w:val="none"/>
                <w:lang w:val="en-US" w:eastAsia="zh-CN"/>
              </w:rPr>
              <w:t>前附表1.4.4</w:t>
            </w:r>
            <w:r>
              <w:rPr>
                <w:rFonts w:hint="eastAsia" w:ascii="仿宋" w:hAnsi="仿宋" w:eastAsia="仿宋" w:cs="仿宋"/>
                <w:color w:val="auto"/>
                <w:kern w:val="0"/>
                <w:sz w:val="24"/>
                <w:szCs w:val="24"/>
                <w:highlight w:val="none"/>
              </w:rPr>
              <w:t>”规定（具备有效证明文件）。</w:t>
            </w:r>
          </w:p>
        </w:tc>
      </w:tr>
      <w:tr w14:paraId="18DD7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533" w:type="pct"/>
            <w:vMerge w:val="continue"/>
            <w:tcBorders>
              <w:left w:val="single" w:color="auto" w:sz="4" w:space="0"/>
              <w:right w:val="single" w:color="auto" w:sz="4" w:space="0"/>
            </w:tcBorders>
            <w:vAlign w:val="center"/>
          </w:tcPr>
          <w:p w14:paraId="5B1B676B">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614" w:type="pct"/>
            <w:vMerge w:val="continue"/>
            <w:tcBorders>
              <w:left w:val="single" w:color="auto" w:sz="4" w:space="0"/>
              <w:right w:val="single" w:color="auto" w:sz="4" w:space="0"/>
            </w:tcBorders>
            <w:vAlign w:val="center"/>
          </w:tcPr>
          <w:p w14:paraId="014062FC">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069" w:type="pct"/>
            <w:tcBorders>
              <w:top w:val="single" w:color="auto" w:sz="4" w:space="0"/>
              <w:left w:val="single" w:color="auto" w:sz="4" w:space="0"/>
              <w:bottom w:val="single" w:color="auto" w:sz="4" w:space="0"/>
              <w:right w:val="single" w:color="auto" w:sz="4" w:space="0"/>
            </w:tcBorders>
            <w:vAlign w:val="center"/>
          </w:tcPr>
          <w:p w14:paraId="2E236DFA">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投标保证金</w:t>
            </w:r>
          </w:p>
        </w:tc>
        <w:tc>
          <w:tcPr>
            <w:tcW w:w="2783" w:type="pct"/>
            <w:tcBorders>
              <w:top w:val="single" w:color="auto" w:sz="4" w:space="0"/>
              <w:left w:val="single" w:color="auto" w:sz="4" w:space="0"/>
              <w:bottom w:val="single" w:color="auto" w:sz="4" w:space="0"/>
              <w:right w:val="single" w:color="auto" w:sz="4" w:space="0"/>
            </w:tcBorders>
            <w:vAlign w:val="center"/>
          </w:tcPr>
          <w:p w14:paraId="27F08EFC">
            <w:pPr>
              <w:autoSpaceDE w:val="0"/>
              <w:autoSpaceDN w:val="0"/>
              <w:adjustRightIn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符合第二章“投标人须知”3.4.1项规定。</w:t>
            </w:r>
          </w:p>
        </w:tc>
      </w:tr>
      <w:tr w14:paraId="21380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533" w:type="pct"/>
            <w:vMerge w:val="continue"/>
            <w:tcBorders>
              <w:left w:val="single" w:color="auto" w:sz="4" w:space="0"/>
              <w:right w:val="single" w:color="auto" w:sz="4" w:space="0"/>
            </w:tcBorders>
            <w:vAlign w:val="center"/>
          </w:tcPr>
          <w:p w14:paraId="7D63AF69">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614" w:type="pct"/>
            <w:vMerge w:val="continue"/>
            <w:tcBorders>
              <w:left w:val="single" w:color="auto" w:sz="4" w:space="0"/>
              <w:right w:val="single" w:color="auto" w:sz="4" w:space="0"/>
            </w:tcBorders>
            <w:vAlign w:val="center"/>
          </w:tcPr>
          <w:p w14:paraId="0F710F51">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069" w:type="pct"/>
            <w:tcBorders>
              <w:top w:val="single" w:color="auto" w:sz="4" w:space="0"/>
              <w:left w:val="single" w:color="auto" w:sz="4" w:space="0"/>
              <w:bottom w:val="single" w:color="auto" w:sz="4" w:space="0"/>
              <w:right w:val="single" w:color="auto" w:sz="4" w:space="0"/>
            </w:tcBorders>
            <w:vAlign w:val="center"/>
          </w:tcPr>
          <w:p w14:paraId="1B1E42D2">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投标文件的签字盖章</w:t>
            </w:r>
          </w:p>
        </w:tc>
        <w:tc>
          <w:tcPr>
            <w:tcW w:w="2783" w:type="pct"/>
            <w:tcBorders>
              <w:top w:val="single" w:color="auto" w:sz="4" w:space="0"/>
              <w:left w:val="single" w:color="auto" w:sz="4" w:space="0"/>
              <w:bottom w:val="single" w:color="auto" w:sz="4" w:space="0"/>
              <w:right w:val="single" w:color="auto" w:sz="4" w:space="0"/>
            </w:tcBorders>
            <w:vAlign w:val="center"/>
          </w:tcPr>
          <w:p w14:paraId="371DC281">
            <w:pPr>
              <w:autoSpaceDE w:val="0"/>
              <w:autoSpaceDN w:val="0"/>
              <w:adjustRightInd w:val="0"/>
              <w:spacing w:line="360" w:lineRule="auto"/>
              <w:ind w:right="-113" w:rightChars="-54"/>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符合第二章“投标人须知</w:t>
            </w:r>
            <w:r>
              <w:rPr>
                <w:rFonts w:hint="eastAsia" w:ascii="仿宋" w:hAnsi="仿宋" w:eastAsia="仿宋" w:cs="仿宋"/>
                <w:color w:val="auto"/>
                <w:kern w:val="0"/>
                <w:sz w:val="24"/>
                <w:szCs w:val="24"/>
                <w:highlight w:val="none"/>
                <w:lang w:val="en-US" w:eastAsia="zh-CN"/>
              </w:rPr>
              <w:t>前附表3.6</w:t>
            </w:r>
            <w:r>
              <w:rPr>
                <w:rFonts w:hint="eastAsia" w:ascii="仿宋" w:hAnsi="仿宋" w:eastAsia="仿宋" w:cs="仿宋"/>
                <w:color w:val="auto"/>
                <w:kern w:val="0"/>
                <w:sz w:val="24"/>
                <w:szCs w:val="24"/>
                <w:highlight w:val="none"/>
              </w:rPr>
              <w:t>”规定。</w:t>
            </w:r>
          </w:p>
        </w:tc>
      </w:tr>
      <w:tr w14:paraId="4A928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33" w:type="pct"/>
            <w:vMerge w:val="continue"/>
            <w:tcBorders>
              <w:left w:val="single" w:color="auto" w:sz="4" w:space="0"/>
              <w:right w:val="single" w:color="auto" w:sz="4" w:space="0"/>
            </w:tcBorders>
            <w:vAlign w:val="center"/>
          </w:tcPr>
          <w:p w14:paraId="216CB277">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614" w:type="pct"/>
            <w:vMerge w:val="continue"/>
            <w:tcBorders>
              <w:left w:val="single" w:color="auto" w:sz="4" w:space="0"/>
              <w:right w:val="single" w:color="auto" w:sz="4" w:space="0"/>
            </w:tcBorders>
            <w:vAlign w:val="center"/>
          </w:tcPr>
          <w:p w14:paraId="1FA98AF8">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069" w:type="pct"/>
            <w:tcBorders>
              <w:top w:val="single" w:color="auto" w:sz="4" w:space="0"/>
              <w:left w:val="single" w:color="auto" w:sz="4" w:space="0"/>
              <w:bottom w:val="single" w:color="auto" w:sz="4" w:space="0"/>
              <w:right w:val="single" w:color="auto" w:sz="4" w:space="0"/>
            </w:tcBorders>
            <w:vAlign w:val="center"/>
          </w:tcPr>
          <w:p w14:paraId="00B096C2">
            <w:pPr>
              <w:autoSpaceDE w:val="0"/>
              <w:autoSpaceDN w:val="0"/>
              <w:adjustRightIn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投标文件格式</w:t>
            </w:r>
          </w:p>
        </w:tc>
        <w:tc>
          <w:tcPr>
            <w:tcW w:w="2783" w:type="pct"/>
            <w:tcBorders>
              <w:top w:val="single" w:color="auto" w:sz="4" w:space="0"/>
              <w:left w:val="single" w:color="auto" w:sz="4" w:space="0"/>
              <w:bottom w:val="single" w:color="auto" w:sz="4" w:space="0"/>
              <w:right w:val="single" w:color="auto" w:sz="4" w:space="0"/>
            </w:tcBorders>
            <w:vAlign w:val="center"/>
          </w:tcPr>
          <w:p w14:paraId="00AA2017">
            <w:pPr>
              <w:autoSpaceDE w:val="0"/>
              <w:autoSpaceDN w:val="0"/>
              <w:adjustRightInd w:val="0"/>
              <w:spacing w:line="360" w:lineRule="auto"/>
              <w:ind w:right="-113" w:rightChars="-54"/>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符合招标文件对“</w:t>
            </w:r>
            <w:r>
              <w:rPr>
                <w:rFonts w:hint="eastAsia" w:ascii="仿宋" w:hAnsi="仿宋" w:eastAsia="仿宋" w:cs="仿宋"/>
                <w:color w:val="auto"/>
                <w:kern w:val="0"/>
                <w:sz w:val="24"/>
                <w:szCs w:val="24"/>
                <w:highlight w:val="none"/>
                <w:lang w:val="en-US" w:eastAsia="zh-CN"/>
              </w:rPr>
              <w:t xml:space="preserve">第六章 </w:t>
            </w:r>
            <w:r>
              <w:rPr>
                <w:rFonts w:hint="eastAsia" w:ascii="仿宋" w:hAnsi="仿宋" w:eastAsia="仿宋" w:cs="仿宋"/>
                <w:color w:val="auto"/>
                <w:kern w:val="0"/>
                <w:sz w:val="24"/>
                <w:szCs w:val="24"/>
                <w:highlight w:val="none"/>
              </w:rPr>
              <w:t>投标文件格式”的要求。</w:t>
            </w:r>
          </w:p>
        </w:tc>
      </w:tr>
      <w:tr w14:paraId="50ACE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33" w:type="pct"/>
            <w:vMerge w:val="continue"/>
            <w:tcBorders>
              <w:left w:val="single" w:color="auto" w:sz="4" w:space="0"/>
              <w:right w:val="single" w:color="auto" w:sz="4" w:space="0"/>
            </w:tcBorders>
            <w:vAlign w:val="center"/>
          </w:tcPr>
          <w:p w14:paraId="33A9C71E">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614" w:type="pct"/>
            <w:vMerge w:val="continue"/>
            <w:tcBorders>
              <w:left w:val="single" w:color="auto" w:sz="4" w:space="0"/>
              <w:right w:val="single" w:color="auto" w:sz="4" w:space="0"/>
            </w:tcBorders>
            <w:vAlign w:val="center"/>
          </w:tcPr>
          <w:p w14:paraId="3FCEFF50">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069" w:type="pct"/>
            <w:tcBorders>
              <w:top w:val="single" w:color="auto" w:sz="4" w:space="0"/>
              <w:left w:val="single" w:color="auto" w:sz="4" w:space="0"/>
              <w:bottom w:val="single" w:color="auto" w:sz="4" w:space="0"/>
              <w:right w:val="single" w:color="auto" w:sz="4" w:space="0"/>
            </w:tcBorders>
            <w:vAlign w:val="center"/>
          </w:tcPr>
          <w:p w14:paraId="29876816">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投标内容</w:t>
            </w:r>
          </w:p>
        </w:tc>
        <w:tc>
          <w:tcPr>
            <w:tcW w:w="2783" w:type="pct"/>
            <w:tcBorders>
              <w:top w:val="single" w:color="auto" w:sz="4" w:space="0"/>
              <w:left w:val="single" w:color="auto" w:sz="4" w:space="0"/>
              <w:bottom w:val="single" w:color="auto" w:sz="4" w:space="0"/>
              <w:right w:val="single" w:color="auto" w:sz="4" w:space="0"/>
            </w:tcBorders>
            <w:vAlign w:val="center"/>
          </w:tcPr>
          <w:p w14:paraId="60AEBB28">
            <w:pPr>
              <w:autoSpaceDE w:val="0"/>
              <w:autoSpaceDN w:val="0"/>
              <w:adjustRightInd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符合第二章“投标人须知</w:t>
            </w:r>
            <w:r>
              <w:rPr>
                <w:rFonts w:hint="eastAsia" w:ascii="仿宋" w:hAnsi="仿宋" w:eastAsia="仿宋" w:cs="仿宋"/>
                <w:color w:val="auto"/>
                <w:kern w:val="0"/>
                <w:sz w:val="24"/>
                <w:szCs w:val="24"/>
                <w:highlight w:val="none"/>
                <w:lang w:val="en-US" w:eastAsia="zh-CN"/>
              </w:rPr>
              <w:t>前附表1.3.1</w:t>
            </w:r>
            <w:r>
              <w:rPr>
                <w:rFonts w:hint="eastAsia" w:ascii="仿宋" w:hAnsi="仿宋" w:eastAsia="仿宋" w:cs="仿宋"/>
                <w:color w:val="auto"/>
                <w:kern w:val="0"/>
                <w:sz w:val="24"/>
                <w:szCs w:val="24"/>
                <w:highlight w:val="none"/>
              </w:rPr>
              <w:t>”规定。</w:t>
            </w:r>
          </w:p>
        </w:tc>
      </w:tr>
      <w:tr w14:paraId="2215F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33" w:type="pct"/>
            <w:vMerge w:val="continue"/>
            <w:tcBorders>
              <w:left w:val="single" w:color="auto" w:sz="4" w:space="0"/>
              <w:right w:val="single" w:color="auto" w:sz="4" w:space="0"/>
            </w:tcBorders>
            <w:vAlign w:val="center"/>
          </w:tcPr>
          <w:p w14:paraId="70C16DF8">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614" w:type="pct"/>
            <w:vMerge w:val="continue"/>
            <w:tcBorders>
              <w:left w:val="single" w:color="auto" w:sz="4" w:space="0"/>
              <w:right w:val="single" w:color="auto" w:sz="4" w:space="0"/>
            </w:tcBorders>
            <w:vAlign w:val="center"/>
          </w:tcPr>
          <w:p w14:paraId="6F19D940">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069" w:type="pct"/>
            <w:tcBorders>
              <w:top w:val="single" w:color="auto" w:sz="4" w:space="0"/>
              <w:left w:val="single" w:color="auto" w:sz="4" w:space="0"/>
              <w:bottom w:val="single" w:color="auto" w:sz="4" w:space="0"/>
              <w:right w:val="single" w:color="auto" w:sz="4" w:space="0"/>
            </w:tcBorders>
            <w:vAlign w:val="center"/>
          </w:tcPr>
          <w:p w14:paraId="69BD02EB">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合同履约期限</w:t>
            </w:r>
          </w:p>
        </w:tc>
        <w:tc>
          <w:tcPr>
            <w:tcW w:w="2783" w:type="pct"/>
            <w:tcBorders>
              <w:top w:val="single" w:color="auto" w:sz="4" w:space="0"/>
              <w:left w:val="single" w:color="auto" w:sz="4" w:space="0"/>
              <w:bottom w:val="single" w:color="auto" w:sz="4" w:space="0"/>
              <w:right w:val="single" w:color="auto" w:sz="4" w:space="0"/>
            </w:tcBorders>
            <w:vAlign w:val="center"/>
          </w:tcPr>
          <w:p w14:paraId="1322677F">
            <w:pPr>
              <w:autoSpaceDE w:val="0"/>
              <w:autoSpaceDN w:val="0"/>
              <w:adjustRightInd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符合第二章“投标人须知</w:t>
            </w:r>
            <w:r>
              <w:rPr>
                <w:rFonts w:hint="eastAsia" w:ascii="仿宋" w:hAnsi="仿宋" w:eastAsia="仿宋" w:cs="仿宋"/>
                <w:color w:val="auto"/>
                <w:kern w:val="0"/>
                <w:sz w:val="24"/>
                <w:szCs w:val="24"/>
                <w:highlight w:val="none"/>
                <w:lang w:val="en-US" w:eastAsia="zh-CN"/>
              </w:rPr>
              <w:t>前附表1.3.2</w:t>
            </w:r>
            <w:r>
              <w:rPr>
                <w:rFonts w:hint="eastAsia" w:ascii="仿宋" w:hAnsi="仿宋" w:eastAsia="仿宋" w:cs="仿宋"/>
                <w:color w:val="auto"/>
                <w:kern w:val="0"/>
                <w:sz w:val="24"/>
                <w:szCs w:val="24"/>
                <w:highlight w:val="none"/>
              </w:rPr>
              <w:t>”规定。</w:t>
            </w:r>
          </w:p>
        </w:tc>
      </w:tr>
      <w:tr w14:paraId="1BBF5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33" w:type="pct"/>
            <w:vMerge w:val="continue"/>
            <w:tcBorders>
              <w:left w:val="single" w:color="auto" w:sz="4" w:space="0"/>
              <w:right w:val="single" w:color="auto" w:sz="4" w:space="0"/>
            </w:tcBorders>
            <w:vAlign w:val="center"/>
          </w:tcPr>
          <w:p w14:paraId="6DC4DA3D">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614" w:type="pct"/>
            <w:vMerge w:val="continue"/>
            <w:tcBorders>
              <w:left w:val="single" w:color="auto" w:sz="4" w:space="0"/>
              <w:right w:val="single" w:color="auto" w:sz="4" w:space="0"/>
            </w:tcBorders>
            <w:vAlign w:val="center"/>
          </w:tcPr>
          <w:p w14:paraId="72BB86B0">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069" w:type="pct"/>
            <w:tcBorders>
              <w:top w:val="single" w:color="auto" w:sz="4" w:space="0"/>
              <w:left w:val="single" w:color="auto" w:sz="4" w:space="0"/>
              <w:bottom w:val="single" w:color="auto" w:sz="4" w:space="0"/>
              <w:right w:val="single" w:color="auto" w:sz="4" w:space="0"/>
            </w:tcBorders>
            <w:vAlign w:val="center"/>
          </w:tcPr>
          <w:p w14:paraId="2DA9AC55">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质量标准</w:t>
            </w:r>
          </w:p>
        </w:tc>
        <w:tc>
          <w:tcPr>
            <w:tcW w:w="2783" w:type="pct"/>
            <w:tcBorders>
              <w:top w:val="single" w:color="auto" w:sz="4" w:space="0"/>
              <w:left w:val="single" w:color="auto" w:sz="4" w:space="0"/>
              <w:bottom w:val="single" w:color="auto" w:sz="4" w:space="0"/>
              <w:right w:val="single" w:color="auto" w:sz="4" w:space="0"/>
            </w:tcBorders>
            <w:vAlign w:val="center"/>
          </w:tcPr>
          <w:p w14:paraId="47C21B11">
            <w:pPr>
              <w:autoSpaceDE w:val="0"/>
              <w:autoSpaceDN w:val="0"/>
              <w:adjustRightInd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符合第二章“投标人须知</w:t>
            </w:r>
            <w:r>
              <w:rPr>
                <w:rFonts w:hint="eastAsia" w:ascii="仿宋" w:hAnsi="仿宋" w:eastAsia="仿宋" w:cs="仿宋"/>
                <w:color w:val="auto"/>
                <w:kern w:val="0"/>
                <w:sz w:val="24"/>
                <w:szCs w:val="24"/>
                <w:highlight w:val="none"/>
                <w:lang w:val="en-US" w:eastAsia="zh-CN"/>
              </w:rPr>
              <w:t>前附表1.3.3</w:t>
            </w:r>
            <w:r>
              <w:rPr>
                <w:rFonts w:hint="eastAsia" w:ascii="仿宋" w:hAnsi="仿宋" w:eastAsia="仿宋" w:cs="仿宋"/>
                <w:color w:val="auto"/>
                <w:kern w:val="0"/>
                <w:sz w:val="24"/>
                <w:szCs w:val="24"/>
                <w:highlight w:val="none"/>
              </w:rPr>
              <w:t>”规定。</w:t>
            </w:r>
          </w:p>
        </w:tc>
      </w:tr>
      <w:tr w14:paraId="6E1B3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33" w:type="pct"/>
            <w:vMerge w:val="continue"/>
            <w:tcBorders>
              <w:left w:val="single" w:color="auto" w:sz="4" w:space="0"/>
              <w:right w:val="single" w:color="auto" w:sz="4" w:space="0"/>
            </w:tcBorders>
            <w:vAlign w:val="center"/>
          </w:tcPr>
          <w:p w14:paraId="47C55A91">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614" w:type="pct"/>
            <w:vMerge w:val="continue"/>
            <w:tcBorders>
              <w:left w:val="single" w:color="auto" w:sz="4" w:space="0"/>
              <w:right w:val="single" w:color="auto" w:sz="4" w:space="0"/>
            </w:tcBorders>
            <w:vAlign w:val="center"/>
          </w:tcPr>
          <w:p w14:paraId="34DEBFA7">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069" w:type="pct"/>
            <w:tcBorders>
              <w:top w:val="single" w:color="auto" w:sz="4" w:space="0"/>
              <w:left w:val="single" w:color="auto" w:sz="4" w:space="0"/>
              <w:bottom w:val="single" w:color="auto" w:sz="4" w:space="0"/>
              <w:right w:val="single" w:color="auto" w:sz="4" w:space="0"/>
            </w:tcBorders>
            <w:vAlign w:val="center"/>
          </w:tcPr>
          <w:p w14:paraId="40AF5104">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投标有效期</w:t>
            </w:r>
          </w:p>
        </w:tc>
        <w:tc>
          <w:tcPr>
            <w:tcW w:w="2783" w:type="pct"/>
            <w:tcBorders>
              <w:top w:val="single" w:color="auto" w:sz="4" w:space="0"/>
              <w:left w:val="single" w:color="auto" w:sz="4" w:space="0"/>
              <w:bottom w:val="single" w:color="auto" w:sz="4" w:space="0"/>
              <w:right w:val="single" w:color="auto" w:sz="4" w:space="0"/>
            </w:tcBorders>
            <w:vAlign w:val="center"/>
          </w:tcPr>
          <w:p w14:paraId="6A57D2E8">
            <w:pPr>
              <w:autoSpaceDE w:val="0"/>
              <w:autoSpaceDN w:val="0"/>
              <w:adjustRightIn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符合第二章“投标人须知</w:t>
            </w:r>
            <w:r>
              <w:rPr>
                <w:rFonts w:hint="eastAsia" w:ascii="仿宋" w:hAnsi="仿宋" w:eastAsia="仿宋" w:cs="仿宋"/>
                <w:color w:val="auto"/>
                <w:kern w:val="0"/>
                <w:sz w:val="24"/>
                <w:szCs w:val="24"/>
                <w:highlight w:val="none"/>
                <w:lang w:val="en-US" w:eastAsia="zh-CN"/>
              </w:rPr>
              <w:t>前附表3.3.1</w:t>
            </w:r>
            <w:r>
              <w:rPr>
                <w:rFonts w:hint="eastAsia" w:ascii="仿宋" w:hAnsi="仿宋" w:eastAsia="仿宋" w:cs="仿宋"/>
                <w:color w:val="auto"/>
                <w:kern w:val="0"/>
                <w:sz w:val="24"/>
                <w:szCs w:val="24"/>
                <w:highlight w:val="none"/>
              </w:rPr>
              <w:t>”规定。</w:t>
            </w:r>
          </w:p>
        </w:tc>
      </w:tr>
      <w:tr w14:paraId="1D9AB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533" w:type="pct"/>
            <w:vMerge w:val="continue"/>
            <w:tcBorders>
              <w:left w:val="single" w:color="auto" w:sz="4" w:space="0"/>
              <w:right w:val="single" w:color="auto" w:sz="4" w:space="0"/>
            </w:tcBorders>
            <w:vAlign w:val="center"/>
          </w:tcPr>
          <w:p w14:paraId="5F2E7DAB">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614" w:type="pct"/>
            <w:vMerge w:val="continue"/>
            <w:tcBorders>
              <w:left w:val="single" w:color="auto" w:sz="4" w:space="0"/>
              <w:right w:val="single" w:color="auto" w:sz="4" w:space="0"/>
            </w:tcBorders>
            <w:vAlign w:val="center"/>
          </w:tcPr>
          <w:p w14:paraId="7C7610FC">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069" w:type="pct"/>
            <w:tcBorders>
              <w:top w:val="single" w:color="auto" w:sz="4" w:space="0"/>
              <w:left w:val="single" w:color="auto" w:sz="4" w:space="0"/>
              <w:bottom w:val="single" w:color="auto" w:sz="4" w:space="0"/>
              <w:right w:val="single" w:color="auto" w:sz="4" w:space="0"/>
            </w:tcBorders>
            <w:vAlign w:val="center"/>
          </w:tcPr>
          <w:p w14:paraId="2E473D3F">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投标报价</w:t>
            </w:r>
          </w:p>
        </w:tc>
        <w:tc>
          <w:tcPr>
            <w:tcW w:w="2783" w:type="pct"/>
            <w:tcBorders>
              <w:top w:val="single" w:color="auto" w:sz="4" w:space="0"/>
              <w:left w:val="single" w:color="auto" w:sz="4" w:space="0"/>
              <w:bottom w:val="single" w:color="auto" w:sz="4" w:space="0"/>
              <w:right w:val="single" w:color="auto" w:sz="4" w:space="0"/>
            </w:tcBorders>
            <w:vAlign w:val="center"/>
          </w:tcPr>
          <w:p w14:paraId="378A7751">
            <w:pPr>
              <w:autoSpaceDE w:val="0"/>
              <w:autoSpaceDN w:val="0"/>
              <w:adjustRightIn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未超过</w:t>
            </w:r>
            <w:r>
              <w:rPr>
                <w:rFonts w:hint="eastAsia" w:ascii="仿宋" w:hAnsi="仿宋" w:eastAsia="仿宋" w:cs="仿宋"/>
                <w:color w:val="auto"/>
                <w:kern w:val="0"/>
                <w:sz w:val="24"/>
                <w:szCs w:val="24"/>
                <w:highlight w:val="none"/>
                <w:lang w:val="en-US" w:eastAsia="zh-CN"/>
              </w:rPr>
              <w:t>招标控制单价</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报价方式正确，</w:t>
            </w:r>
            <w:r>
              <w:rPr>
                <w:rFonts w:hint="eastAsia" w:ascii="仿宋" w:hAnsi="仿宋" w:eastAsia="仿宋" w:cs="仿宋"/>
                <w:color w:val="auto"/>
                <w:kern w:val="0"/>
                <w:sz w:val="24"/>
                <w:szCs w:val="24"/>
                <w:highlight w:val="none"/>
              </w:rPr>
              <w:t>未出现缺项、漏项</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错项</w:t>
            </w:r>
            <w:r>
              <w:rPr>
                <w:rFonts w:hint="eastAsia" w:ascii="仿宋" w:hAnsi="仿宋" w:eastAsia="仿宋" w:cs="仿宋"/>
                <w:color w:val="auto"/>
                <w:kern w:val="0"/>
                <w:sz w:val="24"/>
                <w:szCs w:val="24"/>
                <w:highlight w:val="none"/>
              </w:rPr>
              <w:t>，对采购的所有内容作出完整、唯一报价。</w:t>
            </w:r>
          </w:p>
        </w:tc>
      </w:tr>
      <w:tr w14:paraId="5A008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533" w:type="pct"/>
            <w:vMerge w:val="continue"/>
            <w:tcBorders>
              <w:left w:val="single" w:color="auto" w:sz="4" w:space="0"/>
              <w:right w:val="single" w:color="auto" w:sz="4" w:space="0"/>
            </w:tcBorders>
            <w:vAlign w:val="center"/>
          </w:tcPr>
          <w:p w14:paraId="31AA9B4F">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614" w:type="pct"/>
            <w:vMerge w:val="continue"/>
            <w:tcBorders>
              <w:left w:val="single" w:color="auto" w:sz="4" w:space="0"/>
              <w:right w:val="single" w:color="auto" w:sz="4" w:space="0"/>
            </w:tcBorders>
            <w:vAlign w:val="center"/>
          </w:tcPr>
          <w:p w14:paraId="1AE68F5C">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069" w:type="pct"/>
            <w:tcBorders>
              <w:top w:val="single" w:color="auto" w:sz="4" w:space="0"/>
              <w:left w:val="single" w:color="auto" w:sz="4" w:space="0"/>
              <w:bottom w:val="single" w:color="auto" w:sz="4" w:space="0"/>
              <w:right w:val="single" w:color="auto" w:sz="4" w:space="0"/>
            </w:tcBorders>
            <w:vAlign w:val="center"/>
          </w:tcPr>
          <w:p w14:paraId="7923E33D">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其他实质性要求</w:t>
            </w:r>
          </w:p>
        </w:tc>
        <w:tc>
          <w:tcPr>
            <w:tcW w:w="2783" w:type="pct"/>
            <w:tcBorders>
              <w:top w:val="single" w:color="auto" w:sz="4" w:space="0"/>
              <w:left w:val="single" w:color="auto" w:sz="4" w:space="0"/>
              <w:bottom w:val="single" w:color="auto" w:sz="4" w:space="0"/>
              <w:right w:val="single" w:color="auto" w:sz="4" w:space="0"/>
            </w:tcBorders>
            <w:vAlign w:val="center"/>
          </w:tcPr>
          <w:p w14:paraId="26FAD112">
            <w:pPr>
              <w:autoSpaceDE w:val="0"/>
              <w:autoSpaceDN w:val="0"/>
              <w:adjustRightIn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符合招标文件规定的其他实质性要求</w:t>
            </w:r>
            <w:r>
              <w:rPr>
                <w:rFonts w:hint="eastAsia" w:ascii="仿宋" w:hAnsi="仿宋" w:eastAsia="仿宋" w:cs="仿宋"/>
                <w:color w:val="auto"/>
                <w:kern w:val="0"/>
                <w:sz w:val="24"/>
                <w:szCs w:val="24"/>
                <w:highlight w:val="none"/>
                <w:lang w:val="en-US" w:eastAsia="zh-CN"/>
              </w:rPr>
              <w:t>(技术及商务要求)</w:t>
            </w:r>
            <w:r>
              <w:rPr>
                <w:rFonts w:hint="eastAsia" w:ascii="仿宋" w:hAnsi="仿宋" w:eastAsia="仿宋" w:cs="仿宋"/>
                <w:color w:val="auto"/>
                <w:kern w:val="0"/>
                <w:sz w:val="24"/>
                <w:szCs w:val="24"/>
                <w:highlight w:val="none"/>
              </w:rPr>
              <w:t>。</w:t>
            </w:r>
          </w:p>
        </w:tc>
      </w:tr>
      <w:tr w14:paraId="2E5BC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533" w:type="pct"/>
            <w:vMerge w:val="continue"/>
            <w:tcBorders>
              <w:left w:val="single" w:color="auto" w:sz="4" w:space="0"/>
              <w:right w:val="single" w:color="auto" w:sz="4" w:space="0"/>
            </w:tcBorders>
            <w:vAlign w:val="center"/>
          </w:tcPr>
          <w:p w14:paraId="3DC4F4BF">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614" w:type="pct"/>
            <w:vMerge w:val="continue"/>
            <w:tcBorders>
              <w:left w:val="single" w:color="auto" w:sz="4" w:space="0"/>
              <w:right w:val="single" w:color="auto" w:sz="4" w:space="0"/>
            </w:tcBorders>
            <w:vAlign w:val="center"/>
          </w:tcPr>
          <w:p w14:paraId="3A1CECF1">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069" w:type="pct"/>
            <w:tcBorders>
              <w:top w:val="single" w:color="auto" w:sz="4" w:space="0"/>
              <w:left w:val="single" w:color="auto" w:sz="4" w:space="0"/>
              <w:bottom w:val="single" w:color="auto" w:sz="4" w:space="0"/>
              <w:right w:val="single" w:color="auto" w:sz="4" w:space="0"/>
            </w:tcBorders>
            <w:vAlign w:val="center"/>
          </w:tcPr>
          <w:p w14:paraId="78E81070">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“投标无效”情形</w:t>
            </w:r>
          </w:p>
        </w:tc>
        <w:tc>
          <w:tcPr>
            <w:tcW w:w="2783" w:type="pct"/>
            <w:tcBorders>
              <w:top w:val="single" w:color="auto" w:sz="4" w:space="0"/>
              <w:left w:val="single" w:color="auto" w:sz="4" w:space="0"/>
              <w:bottom w:val="single" w:color="auto" w:sz="4" w:space="0"/>
              <w:right w:val="single" w:color="auto" w:sz="4" w:space="0"/>
            </w:tcBorders>
            <w:vAlign w:val="center"/>
          </w:tcPr>
          <w:p w14:paraId="5DA93716">
            <w:pPr>
              <w:autoSpaceDE w:val="0"/>
              <w:autoSpaceDN w:val="0"/>
              <w:adjustRightIn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不存在“投标无效”情形中任一条款。</w:t>
            </w:r>
          </w:p>
        </w:tc>
      </w:tr>
      <w:bookmarkEnd w:id="569"/>
      <w:bookmarkEnd w:id="570"/>
      <w:bookmarkEnd w:id="571"/>
    </w:tbl>
    <w:p w14:paraId="79100D5D">
      <w:pPr>
        <w:autoSpaceDE w:val="0"/>
        <w:autoSpaceDN w:val="0"/>
        <w:adjustRightInd w:val="0"/>
        <w:spacing w:line="360" w:lineRule="auto"/>
        <w:jc w:val="both"/>
        <w:rPr>
          <w:rFonts w:hint="eastAsia" w:ascii="仿宋" w:hAnsi="仿宋" w:eastAsia="仿宋" w:cs="仿宋"/>
          <w:b/>
          <w:bCs/>
          <w:color w:val="auto"/>
          <w:kern w:val="0"/>
          <w:sz w:val="24"/>
          <w:szCs w:val="24"/>
          <w:highlight w:val="none"/>
        </w:rPr>
      </w:pPr>
    </w:p>
    <w:p w14:paraId="2DAAB479">
      <w:pPr>
        <w:pStyle w:val="3"/>
        <w:pageBreakBefore w:val="0"/>
        <w:widowControl w:val="0"/>
        <w:kinsoku/>
        <w:wordWrap/>
        <w:overflowPunct/>
        <w:topLinePunct w:val="0"/>
        <w:bidi w:val="0"/>
        <w:spacing w:line="360" w:lineRule="auto"/>
        <w:ind w:left="420" w:leftChars="200"/>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（二）投标人须知正文部分</w:t>
      </w:r>
    </w:p>
    <w:p w14:paraId="680CAF20">
      <w:pPr>
        <w:pStyle w:val="19"/>
        <w:keepNext w:val="0"/>
        <w:keepLines w:val="0"/>
        <w:pageBreakBefore w:val="0"/>
        <w:widowControl w:val="0"/>
        <w:kinsoku/>
        <w:wordWrap/>
        <w:overflowPunct/>
        <w:topLinePunct w:val="0"/>
        <w:bidi w:val="0"/>
        <w:adjustRightInd w:val="0"/>
        <w:snapToGrid w:val="0"/>
        <w:spacing w:line="360" w:lineRule="auto"/>
        <w:ind w:left="210" w:leftChars="1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1. 评标方法</w:t>
      </w:r>
    </w:p>
    <w:p w14:paraId="4AF4248B">
      <w:pPr>
        <w:keepNext w:val="0"/>
        <w:keepLines w:val="0"/>
        <w:pageBreakBefore w:val="0"/>
        <w:widowControl w:val="0"/>
        <w:kinsoku/>
        <w:wordWrap/>
        <w:overflowPunct/>
        <w:topLinePunct w:val="0"/>
        <w:autoSpaceDE w:val="0"/>
        <w:autoSpaceDN w:val="0"/>
        <w:bidi w:val="0"/>
        <w:adjustRightInd w:val="0"/>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本次评标采用综合评分法。评标委员会对通过资格审查和符合性审查的投标文件按照评分标准进行综合评分后，按投标人的最终得分由高到低顺序推荐三名中标候选人。</w:t>
      </w:r>
    </w:p>
    <w:p w14:paraId="0F68267F">
      <w:pPr>
        <w:keepNext w:val="0"/>
        <w:keepLines w:val="0"/>
        <w:pageBreakBefore w:val="0"/>
        <w:widowControl w:val="0"/>
        <w:kinsoku/>
        <w:wordWrap/>
        <w:overflowPunct/>
        <w:topLinePunct w:val="0"/>
        <w:autoSpaceDE w:val="0"/>
        <w:autoSpaceDN w:val="0"/>
        <w:bidi w:val="0"/>
        <w:adjustRightInd w:val="0"/>
        <w:spacing w:line="360" w:lineRule="auto"/>
        <w:ind w:left="210" w:leftChars="10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若中标候选人出现有 2 家及以上综合评分相等时，按投标报价由低到高顺序排列。若投标报价相等的，则根据“</w:t>
      </w:r>
      <w:r>
        <w:rPr>
          <w:rFonts w:hint="eastAsia" w:ascii="仿宋" w:hAnsi="仿宋" w:eastAsia="仿宋" w:cs="仿宋"/>
          <w:color w:val="auto"/>
          <w:kern w:val="0"/>
          <w:sz w:val="24"/>
          <w:szCs w:val="24"/>
          <w:highlight w:val="none"/>
          <w:lang w:val="en-US" w:eastAsia="zh-CN"/>
        </w:rPr>
        <w:t>商务及</w:t>
      </w:r>
      <w:r>
        <w:rPr>
          <w:rFonts w:hint="eastAsia" w:ascii="仿宋" w:hAnsi="仿宋" w:eastAsia="仿宋" w:cs="仿宋"/>
          <w:color w:val="auto"/>
          <w:kern w:val="0"/>
          <w:sz w:val="24"/>
          <w:szCs w:val="24"/>
          <w:highlight w:val="none"/>
        </w:rPr>
        <w:t>技术部分得分”高低顺序排列。</w:t>
      </w:r>
    </w:p>
    <w:bookmarkEnd w:id="543"/>
    <w:bookmarkEnd w:id="544"/>
    <w:bookmarkEnd w:id="545"/>
    <w:bookmarkEnd w:id="546"/>
    <w:bookmarkEnd w:id="547"/>
    <w:bookmarkEnd w:id="548"/>
    <w:bookmarkEnd w:id="549"/>
    <w:bookmarkEnd w:id="550"/>
    <w:bookmarkEnd w:id="551"/>
    <w:bookmarkEnd w:id="552"/>
    <w:p w14:paraId="4939CAE2">
      <w:pPr>
        <w:keepNext w:val="0"/>
        <w:keepLines w:val="0"/>
        <w:pageBreakBefore w:val="0"/>
        <w:widowControl w:val="0"/>
        <w:kinsoku/>
        <w:wordWrap/>
        <w:overflowPunct/>
        <w:topLinePunct w:val="0"/>
        <w:autoSpaceDE w:val="0"/>
        <w:autoSpaceDN w:val="0"/>
        <w:bidi w:val="0"/>
        <w:adjustRightInd w:val="0"/>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573" w:name="_Toc17041033"/>
      <w:bookmarkStart w:id="574" w:name="_Toc13463"/>
      <w:bookmarkStart w:id="575" w:name="_Toc383442327"/>
      <w:bookmarkStart w:id="576" w:name="_Toc18969"/>
      <w:bookmarkStart w:id="577" w:name="_Toc310814319"/>
      <w:bookmarkStart w:id="578" w:name="_Toc304717310"/>
      <w:bookmarkStart w:id="579" w:name="_Toc27219"/>
      <w:bookmarkStart w:id="580" w:name="_Toc17040916"/>
      <w:bookmarkStart w:id="581" w:name="_Toc17040795"/>
      <w:r>
        <w:rPr>
          <w:rFonts w:hint="eastAsia" w:ascii="仿宋" w:hAnsi="仿宋" w:eastAsia="仿宋" w:cs="仿宋"/>
          <w:b/>
          <w:bCs/>
          <w:color w:val="auto"/>
          <w:kern w:val="0"/>
          <w:sz w:val="24"/>
          <w:szCs w:val="24"/>
          <w:highlight w:val="none"/>
        </w:rPr>
        <w:t>2. 评审标准</w:t>
      </w:r>
      <w:bookmarkEnd w:id="573"/>
      <w:bookmarkEnd w:id="574"/>
      <w:bookmarkEnd w:id="575"/>
      <w:bookmarkEnd w:id="576"/>
      <w:bookmarkEnd w:id="577"/>
      <w:bookmarkEnd w:id="578"/>
      <w:bookmarkEnd w:id="579"/>
      <w:bookmarkEnd w:id="580"/>
      <w:bookmarkEnd w:id="581"/>
    </w:p>
    <w:p w14:paraId="19DB482E">
      <w:pPr>
        <w:pStyle w:val="11"/>
        <w:keepNext w:val="0"/>
        <w:keepLines w:val="0"/>
        <w:pageBreakBefore w:val="0"/>
        <w:widowControl w:val="0"/>
        <w:kinsoku/>
        <w:wordWrap/>
        <w:overflowPunct/>
        <w:topLinePunct w:val="0"/>
        <w:bidi w:val="0"/>
        <w:spacing w:line="360" w:lineRule="auto"/>
        <w:ind w:left="210" w:leftChars="10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资格评审标准：见评标办法前附表。</w:t>
      </w:r>
    </w:p>
    <w:p w14:paraId="340F2879">
      <w:pPr>
        <w:pStyle w:val="11"/>
        <w:keepNext w:val="0"/>
        <w:keepLines w:val="0"/>
        <w:pageBreakBefore w:val="0"/>
        <w:widowControl w:val="0"/>
        <w:kinsoku/>
        <w:wordWrap/>
        <w:overflowPunct/>
        <w:topLinePunct w:val="0"/>
        <w:bidi w:val="0"/>
        <w:spacing w:line="360" w:lineRule="auto"/>
        <w:ind w:left="210" w:leftChars="10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公开招标采购项目开标结束后，采购人或者采购代理机构应当依法对投标人的资格进行审查。合格投标人不足3家的，不得评标。</w:t>
      </w:r>
    </w:p>
    <w:p w14:paraId="7F35723A">
      <w:pPr>
        <w:keepNext w:val="0"/>
        <w:keepLines w:val="0"/>
        <w:pageBreakBefore w:val="0"/>
        <w:widowControl w:val="0"/>
        <w:kinsoku/>
        <w:wordWrap/>
        <w:overflowPunct/>
        <w:topLinePunct w:val="0"/>
        <w:autoSpaceDE w:val="0"/>
        <w:autoSpaceDN w:val="0"/>
        <w:bidi w:val="0"/>
        <w:adjustRightInd w:val="0"/>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582" w:name="_Toc271137424"/>
      <w:bookmarkStart w:id="583" w:name="_Toc304717311"/>
      <w:bookmarkStart w:id="584" w:name="_Toc17040917"/>
      <w:bookmarkStart w:id="585" w:name="_Toc383442328"/>
      <w:bookmarkStart w:id="586" w:name="_Toc17040796"/>
      <w:bookmarkStart w:id="587" w:name="_Toc217567698"/>
      <w:bookmarkStart w:id="588" w:name="_Toc17041034"/>
      <w:bookmarkStart w:id="589" w:name="_Toc310814320"/>
      <w:bookmarkStart w:id="590" w:name="_Toc2770"/>
      <w:bookmarkStart w:id="591" w:name="_Toc17535"/>
      <w:bookmarkStart w:id="592" w:name="_Toc31737"/>
      <w:r>
        <w:rPr>
          <w:rFonts w:hint="eastAsia" w:ascii="仿宋" w:hAnsi="仿宋" w:eastAsia="仿宋" w:cs="仿宋"/>
          <w:b/>
          <w:bCs/>
          <w:color w:val="auto"/>
          <w:kern w:val="0"/>
          <w:sz w:val="24"/>
          <w:szCs w:val="24"/>
          <w:highlight w:val="none"/>
        </w:rPr>
        <w:t>2.1 符合性评审标准</w:t>
      </w:r>
      <w:bookmarkEnd w:id="582"/>
      <w:bookmarkEnd w:id="583"/>
      <w:bookmarkEnd w:id="584"/>
      <w:bookmarkEnd w:id="585"/>
      <w:bookmarkEnd w:id="586"/>
      <w:bookmarkEnd w:id="587"/>
      <w:bookmarkEnd w:id="588"/>
      <w:bookmarkEnd w:id="589"/>
      <w:bookmarkEnd w:id="590"/>
      <w:bookmarkEnd w:id="591"/>
      <w:bookmarkEnd w:id="592"/>
    </w:p>
    <w:p w14:paraId="5523ABF9">
      <w:pPr>
        <w:keepNext w:val="0"/>
        <w:keepLines w:val="0"/>
        <w:pageBreakBefore w:val="0"/>
        <w:widowControl w:val="0"/>
        <w:kinsoku/>
        <w:wordWrap/>
        <w:overflowPunct/>
        <w:topLinePunct w:val="0"/>
        <w:autoSpaceDE w:val="0"/>
        <w:autoSpaceDN w:val="0"/>
        <w:bidi w:val="0"/>
        <w:adjustRightInd w:val="0"/>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符合性评审标准：见评标办法前附表。</w:t>
      </w:r>
    </w:p>
    <w:p w14:paraId="10B93519">
      <w:pPr>
        <w:keepNext w:val="0"/>
        <w:keepLines w:val="0"/>
        <w:pageBreakBefore w:val="0"/>
        <w:widowControl w:val="0"/>
        <w:kinsoku/>
        <w:wordWrap/>
        <w:overflowPunct/>
        <w:topLinePunct w:val="0"/>
        <w:autoSpaceDE w:val="0"/>
        <w:autoSpaceDN w:val="0"/>
        <w:bidi w:val="0"/>
        <w:adjustRightInd w:val="0"/>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公开招标采购项目开标结束后，由评标委员会对投标人的符合性进行审查。</w:t>
      </w:r>
    </w:p>
    <w:p w14:paraId="7C58396E">
      <w:pPr>
        <w:keepNext w:val="0"/>
        <w:keepLines w:val="0"/>
        <w:pageBreakBefore w:val="0"/>
        <w:widowControl w:val="0"/>
        <w:kinsoku/>
        <w:wordWrap/>
        <w:overflowPunct/>
        <w:topLinePunct w:val="0"/>
        <w:autoSpaceDE w:val="0"/>
        <w:autoSpaceDN w:val="0"/>
        <w:bidi w:val="0"/>
        <w:adjustRightInd w:val="0"/>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593" w:name="_Toc17041035"/>
      <w:bookmarkStart w:id="594" w:name="_Toc32717"/>
      <w:bookmarkStart w:id="595" w:name="_Toc271137425"/>
      <w:bookmarkStart w:id="596" w:name="_Toc882"/>
      <w:bookmarkStart w:id="597" w:name="_Toc310814321"/>
      <w:bookmarkStart w:id="598" w:name="_Toc4548"/>
      <w:bookmarkStart w:id="599" w:name="_Toc383442329"/>
      <w:bookmarkStart w:id="600" w:name="_Toc17040797"/>
      <w:bookmarkStart w:id="601" w:name="_Toc304717312"/>
      <w:bookmarkStart w:id="602" w:name="_Toc17040918"/>
      <w:bookmarkStart w:id="603" w:name="_Toc217567699"/>
      <w:r>
        <w:rPr>
          <w:rFonts w:hint="eastAsia" w:ascii="仿宋" w:hAnsi="仿宋" w:eastAsia="仿宋" w:cs="仿宋"/>
          <w:b/>
          <w:bCs/>
          <w:color w:val="auto"/>
          <w:kern w:val="0"/>
          <w:sz w:val="24"/>
          <w:szCs w:val="24"/>
          <w:highlight w:val="none"/>
        </w:rPr>
        <w:t>2.2 详细评审标准</w:t>
      </w:r>
      <w:bookmarkEnd w:id="593"/>
      <w:bookmarkEnd w:id="594"/>
      <w:bookmarkEnd w:id="595"/>
      <w:bookmarkEnd w:id="596"/>
      <w:bookmarkEnd w:id="597"/>
      <w:bookmarkEnd w:id="598"/>
      <w:bookmarkEnd w:id="599"/>
      <w:bookmarkEnd w:id="600"/>
      <w:bookmarkEnd w:id="601"/>
      <w:bookmarkEnd w:id="602"/>
      <w:bookmarkEnd w:id="603"/>
    </w:p>
    <w:p w14:paraId="1BE3FC0B">
      <w:pPr>
        <w:keepNext w:val="0"/>
        <w:keepLines w:val="0"/>
        <w:pageBreakBefore w:val="0"/>
        <w:widowControl w:val="0"/>
        <w:kinsoku/>
        <w:wordWrap/>
        <w:overflowPunct/>
        <w:topLinePunct w:val="0"/>
        <w:autoSpaceDE w:val="0"/>
        <w:autoSpaceDN w:val="0"/>
        <w:bidi w:val="0"/>
        <w:adjustRightInd w:val="0"/>
        <w:spacing w:line="360" w:lineRule="auto"/>
        <w:ind w:left="210" w:leftChars="100" w:firstLine="480" w:firstLineChars="200"/>
        <w:jc w:val="left"/>
        <w:textAlignment w:val="auto"/>
        <w:outlineLvl w:val="0"/>
        <w:rPr>
          <w:rFonts w:hint="eastAsia" w:ascii="仿宋" w:hAnsi="仿宋" w:eastAsia="仿宋" w:cs="仿宋"/>
          <w:color w:val="auto"/>
          <w:kern w:val="0"/>
          <w:sz w:val="24"/>
          <w:szCs w:val="24"/>
          <w:highlight w:val="none"/>
        </w:rPr>
      </w:pPr>
      <w:bookmarkStart w:id="604" w:name="_Toc8851"/>
      <w:bookmarkStart w:id="605" w:name="_Toc17041036"/>
      <w:bookmarkStart w:id="606" w:name="_Toc16904"/>
      <w:bookmarkStart w:id="607" w:name="_Toc17040919"/>
      <w:bookmarkStart w:id="608" w:name="_Toc17040798"/>
      <w:bookmarkStart w:id="609" w:name="_Toc310814322"/>
      <w:bookmarkStart w:id="610" w:name="_Toc3364"/>
      <w:bookmarkStart w:id="611" w:name="_Toc383442330"/>
      <w:bookmarkStart w:id="612" w:name="_Toc304717313"/>
      <w:r>
        <w:rPr>
          <w:rFonts w:hint="eastAsia" w:ascii="仿宋" w:hAnsi="仿宋" w:eastAsia="仿宋" w:cs="仿宋"/>
          <w:color w:val="auto"/>
          <w:kern w:val="0"/>
          <w:sz w:val="24"/>
          <w:szCs w:val="24"/>
          <w:highlight w:val="none"/>
        </w:rPr>
        <w:t>2.2.1 分值构成及权重系数：见</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 xml:space="preserve">3.2 </w:t>
      </w:r>
      <w:r>
        <w:rPr>
          <w:rFonts w:hint="eastAsia" w:ascii="仿宋" w:hAnsi="仿宋" w:eastAsia="仿宋" w:cs="仿宋"/>
          <w:color w:val="auto"/>
          <w:kern w:val="0"/>
          <w:sz w:val="24"/>
          <w:szCs w:val="24"/>
          <w:highlight w:val="none"/>
        </w:rPr>
        <w:t>详细评审表</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w:t>
      </w:r>
      <w:bookmarkEnd w:id="604"/>
      <w:bookmarkEnd w:id="605"/>
      <w:bookmarkEnd w:id="606"/>
      <w:bookmarkEnd w:id="607"/>
      <w:bookmarkEnd w:id="608"/>
    </w:p>
    <w:p w14:paraId="330FC58E">
      <w:pPr>
        <w:keepNext w:val="0"/>
        <w:keepLines w:val="0"/>
        <w:pageBreakBefore w:val="0"/>
        <w:widowControl w:val="0"/>
        <w:kinsoku/>
        <w:wordWrap/>
        <w:overflowPunct/>
        <w:topLinePunct w:val="0"/>
        <w:autoSpaceDE w:val="0"/>
        <w:autoSpaceDN w:val="0"/>
        <w:bidi w:val="0"/>
        <w:adjustRightInd w:val="0"/>
        <w:spacing w:line="360" w:lineRule="auto"/>
        <w:ind w:left="210" w:leftChars="100" w:firstLine="480" w:firstLineChars="200"/>
        <w:jc w:val="left"/>
        <w:textAlignment w:val="auto"/>
        <w:outlineLvl w:val="0"/>
        <w:rPr>
          <w:rFonts w:hint="eastAsia" w:ascii="仿宋" w:hAnsi="仿宋" w:eastAsia="仿宋" w:cs="仿宋"/>
          <w:color w:val="auto"/>
          <w:kern w:val="0"/>
          <w:sz w:val="24"/>
          <w:szCs w:val="24"/>
          <w:highlight w:val="none"/>
        </w:rPr>
      </w:pPr>
      <w:bookmarkStart w:id="613" w:name="_Toc15426"/>
      <w:bookmarkStart w:id="614" w:name="_Toc17041037"/>
      <w:bookmarkStart w:id="615" w:name="_Toc32169"/>
      <w:bookmarkStart w:id="616" w:name="_Toc17040920"/>
      <w:bookmarkStart w:id="617" w:name="_Toc17040799"/>
      <w:r>
        <w:rPr>
          <w:rFonts w:hint="eastAsia" w:ascii="仿宋" w:hAnsi="仿宋" w:eastAsia="仿宋" w:cs="仿宋"/>
          <w:color w:val="auto"/>
          <w:kern w:val="0"/>
          <w:sz w:val="24"/>
          <w:szCs w:val="24"/>
          <w:highlight w:val="none"/>
        </w:rPr>
        <w:t>2.2.2 评标基准价计算方法：见</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 xml:space="preserve">3.2 </w:t>
      </w:r>
      <w:r>
        <w:rPr>
          <w:rFonts w:hint="eastAsia" w:ascii="仿宋" w:hAnsi="仿宋" w:eastAsia="仿宋" w:cs="仿宋"/>
          <w:color w:val="auto"/>
          <w:kern w:val="0"/>
          <w:sz w:val="24"/>
          <w:szCs w:val="24"/>
          <w:highlight w:val="none"/>
        </w:rPr>
        <w:t>详细评审表</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w:t>
      </w:r>
      <w:bookmarkEnd w:id="613"/>
      <w:bookmarkEnd w:id="614"/>
      <w:bookmarkEnd w:id="615"/>
      <w:bookmarkEnd w:id="616"/>
      <w:bookmarkEnd w:id="617"/>
    </w:p>
    <w:p w14:paraId="40C77719">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outlineLvl w:val="0"/>
        <w:rPr>
          <w:rFonts w:hint="eastAsia" w:ascii="仿宋" w:hAnsi="仿宋" w:eastAsia="仿宋" w:cs="仿宋"/>
          <w:color w:val="auto"/>
          <w:kern w:val="0"/>
          <w:sz w:val="24"/>
          <w:szCs w:val="24"/>
          <w:highlight w:val="none"/>
        </w:rPr>
      </w:pPr>
      <w:bookmarkStart w:id="618" w:name="_Toc17041038"/>
      <w:bookmarkStart w:id="619" w:name="_Toc718"/>
      <w:bookmarkStart w:id="620" w:name="_Toc17040800"/>
      <w:bookmarkStart w:id="621" w:name="_Toc17040921"/>
      <w:bookmarkStart w:id="622" w:name="_Toc26505"/>
      <w:r>
        <w:rPr>
          <w:rFonts w:hint="eastAsia" w:ascii="仿宋" w:hAnsi="仿宋" w:eastAsia="仿宋" w:cs="仿宋"/>
          <w:color w:val="auto"/>
          <w:kern w:val="0"/>
          <w:sz w:val="24"/>
          <w:szCs w:val="24"/>
          <w:highlight w:val="none"/>
        </w:rPr>
        <w:t>2.2.3 评分标准：按招标文件中规定的评标方法和标准，对资格评审和符合性评审合格的投标文件进行评分，除投标报价得分外，商务部分得分和技术部分得分由评标委员会综合比较后自主评分。</w:t>
      </w:r>
      <w:bookmarkEnd w:id="618"/>
      <w:bookmarkEnd w:id="619"/>
      <w:bookmarkEnd w:id="620"/>
      <w:bookmarkEnd w:id="621"/>
      <w:bookmarkEnd w:id="622"/>
    </w:p>
    <w:p w14:paraId="4445695B">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outlineLvl w:val="0"/>
        <w:rPr>
          <w:rFonts w:hint="eastAsia" w:ascii="仿宋" w:hAnsi="仿宋" w:eastAsia="仿宋" w:cs="仿宋"/>
          <w:color w:val="auto"/>
          <w:kern w:val="0"/>
          <w:sz w:val="24"/>
          <w:szCs w:val="24"/>
          <w:highlight w:val="none"/>
        </w:rPr>
      </w:pPr>
      <w:bookmarkStart w:id="623" w:name="_Toc17041039"/>
      <w:bookmarkStart w:id="624" w:name="_Toc19600"/>
      <w:bookmarkStart w:id="625" w:name="_Toc17040922"/>
      <w:bookmarkStart w:id="626" w:name="_Toc17040801"/>
      <w:bookmarkStart w:id="627" w:name="_Toc2766"/>
      <w:r>
        <w:rPr>
          <w:rFonts w:hint="eastAsia" w:ascii="仿宋" w:hAnsi="仿宋" w:eastAsia="仿宋" w:cs="仿宋"/>
          <w:color w:val="auto"/>
          <w:kern w:val="0"/>
          <w:sz w:val="24"/>
          <w:szCs w:val="24"/>
          <w:highlight w:val="none"/>
        </w:rPr>
        <w:t>（1）投标报价评分标准：见</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 xml:space="preserve">3.2 </w:t>
      </w:r>
      <w:r>
        <w:rPr>
          <w:rFonts w:hint="eastAsia" w:ascii="仿宋" w:hAnsi="仿宋" w:eastAsia="仿宋" w:cs="仿宋"/>
          <w:color w:val="auto"/>
          <w:kern w:val="0"/>
          <w:sz w:val="24"/>
          <w:szCs w:val="24"/>
          <w:highlight w:val="none"/>
        </w:rPr>
        <w:t>详细评审表</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w:t>
      </w:r>
      <w:bookmarkEnd w:id="623"/>
      <w:bookmarkEnd w:id="624"/>
      <w:bookmarkEnd w:id="625"/>
      <w:bookmarkEnd w:id="626"/>
      <w:bookmarkEnd w:id="627"/>
    </w:p>
    <w:p w14:paraId="3AA2FCFB">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outlineLvl w:val="0"/>
        <w:rPr>
          <w:rFonts w:hint="eastAsia" w:ascii="仿宋" w:hAnsi="仿宋" w:eastAsia="仿宋" w:cs="仿宋"/>
          <w:color w:val="auto"/>
          <w:kern w:val="0"/>
          <w:sz w:val="24"/>
          <w:szCs w:val="24"/>
          <w:highlight w:val="none"/>
        </w:rPr>
      </w:pPr>
      <w:bookmarkStart w:id="628" w:name="_Toc17040923"/>
      <w:bookmarkStart w:id="629" w:name="_Toc6341"/>
      <w:bookmarkStart w:id="630" w:name="_Toc17040802"/>
      <w:bookmarkStart w:id="631" w:name="_Toc20102"/>
      <w:bookmarkStart w:id="632" w:name="_Toc17041040"/>
      <w:r>
        <w:rPr>
          <w:rFonts w:hint="eastAsia" w:ascii="仿宋" w:hAnsi="仿宋" w:eastAsia="仿宋" w:cs="仿宋"/>
          <w:color w:val="auto"/>
          <w:kern w:val="0"/>
          <w:sz w:val="24"/>
          <w:szCs w:val="24"/>
          <w:highlight w:val="none"/>
        </w:rPr>
        <w:t>（2）商务部分评分标准：见</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 xml:space="preserve">3.2 </w:t>
      </w:r>
      <w:r>
        <w:rPr>
          <w:rFonts w:hint="eastAsia" w:ascii="仿宋" w:hAnsi="仿宋" w:eastAsia="仿宋" w:cs="仿宋"/>
          <w:color w:val="auto"/>
          <w:kern w:val="0"/>
          <w:sz w:val="24"/>
          <w:szCs w:val="24"/>
          <w:highlight w:val="none"/>
        </w:rPr>
        <w:t>详细评审表</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w:t>
      </w:r>
      <w:bookmarkEnd w:id="628"/>
      <w:bookmarkEnd w:id="629"/>
      <w:bookmarkEnd w:id="630"/>
      <w:bookmarkEnd w:id="631"/>
      <w:bookmarkEnd w:id="632"/>
    </w:p>
    <w:p w14:paraId="2FBC17BE">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outlineLvl w:val="0"/>
        <w:rPr>
          <w:rFonts w:hint="eastAsia" w:ascii="仿宋" w:hAnsi="仿宋" w:eastAsia="仿宋" w:cs="仿宋"/>
          <w:color w:val="auto"/>
          <w:kern w:val="0"/>
          <w:sz w:val="24"/>
          <w:szCs w:val="24"/>
          <w:highlight w:val="none"/>
        </w:rPr>
      </w:pPr>
      <w:bookmarkStart w:id="633" w:name="_Toc17040803"/>
      <w:bookmarkStart w:id="634" w:name="_Toc17040924"/>
      <w:bookmarkStart w:id="635" w:name="_Toc17041041"/>
      <w:bookmarkStart w:id="636" w:name="_Toc17570"/>
      <w:bookmarkStart w:id="637" w:name="_Toc30786"/>
      <w:r>
        <w:rPr>
          <w:rFonts w:hint="eastAsia" w:ascii="仿宋" w:hAnsi="仿宋" w:eastAsia="仿宋" w:cs="仿宋"/>
          <w:color w:val="auto"/>
          <w:kern w:val="0"/>
          <w:sz w:val="24"/>
          <w:szCs w:val="24"/>
          <w:highlight w:val="none"/>
        </w:rPr>
        <w:t>（3）技术部分评分标准：见</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 xml:space="preserve">3.2 </w:t>
      </w:r>
      <w:r>
        <w:rPr>
          <w:rFonts w:hint="eastAsia" w:ascii="仿宋" w:hAnsi="仿宋" w:eastAsia="仿宋" w:cs="仿宋"/>
          <w:color w:val="auto"/>
          <w:kern w:val="0"/>
          <w:sz w:val="24"/>
          <w:szCs w:val="24"/>
          <w:highlight w:val="none"/>
        </w:rPr>
        <w:t>详细评审表</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w:t>
      </w:r>
      <w:bookmarkEnd w:id="633"/>
      <w:bookmarkEnd w:id="634"/>
      <w:bookmarkEnd w:id="635"/>
      <w:bookmarkEnd w:id="636"/>
      <w:bookmarkEnd w:id="637"/>
    </w:p>
    <w:p w14:paraId="4C19E232">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638" w:name="_Toc11154"/>
      <w:bookmarkStart w:id="639" w:name="_Toc17041042"/>
      <w:bookmarkStart w:id="640" w:name="_Toc17040804"/>
      <w:bookmarkStart w:id="641" w:name="_Toc17040925"/>
      <w:bookmarkStart w:id="642" w:name="_Toc24894"/>
      <w:r>
        <w:rPr>
          <w:rFonts w:hint="eastAsia" w:ascii="仿宋" w:hAnsi="仿宋" w:eastAsia="仿宋" w:cs="仿宋"/>
          <w:b/>
          <w:bCs/>
          <w:color w:val="auto"/>
          <w:kern w:val="0"/>
          <w:sz w:val="24"/>
          <w:szCs w:val="24"/>
          <w:highlight w:val="none"/>
        </w:rPr>
        <w:t>3. 评标程序</w:t>
      </w:r>
      <w:bookmarkEnd w:id="609"/>
      <w:bookmarkEnd w:id="610"/>
      <w:bookmarkEnd w:id="611"/>
      <w:bookmarkEnd w:id="612"/>
      <w:bookmarkEnd w:id="638"/>
      <w:bookmarkEnd w:id="639"/>
      <w:bookmarkEnd w:id="640"/>
      <w:bookmarkEnd w:id="641"/>
      <w:bookmarkEnd w:id="642"/>
    </w:p>
    <w:p w14:paraId="1C783B9E">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643" w:name="_Toc30154"/>
      <w:bookmarkStart w:id="644" w:name="_Toc17040805"/>
      <w:bookmarkStart w:id="645" w:name="_Toc17041043"/>
      <w:bookmarkStart w:id="646" w:name="_Toc17040926"/>
      <w:bookmarkStart w:id="647" w:name="_Toc304717314"/>
      <w:bookmarkStart w:id="648" w:name="_Toc310814323"/>
      <w:bookmarkStart w:id="649" w:name="_Toc271137426"/>
      <w:bookmarkStart w:id="650" w:name="_Toc383442331"/>
      <w:bookmarkStart w:id="651" w:name="_Toc4410"/>
      <w:bookmarkStart w:id="652" w:name="_Toc4731"/>
      <w:bookmarkStart w:id="653" w:name="_Toc217567700"/>
      <w:r>
        <w:rPr>
          <w:rFonts w:hint="eastAsia" w:ascii="仿宋" w:hAnsi="仿宋" w:eastAsia="仿宋" w:cs="仿宋"/>
          <w:b/>
          <w:bCs/>
          <w:color w:val="auto"/>
          <w:kern w:val="0"/>
          <w:sz w:val="24"/>
          <w:szCs w:val="24"/>
          <w:highlight w:val="none"/>
        </w:rPr>
        <w:t>3.1 初步评审</w:t>
      </w:r>
      <w:bookmarkEnd w:id="643"/>
      <w:bookmarkEnd w:id="644"/>
      <w:bookmarkEnd w:id="645"/>
      <w:bookmarkEnd w:id="646"/>
      <w:bookmarkEnd w:id="647"/>
      <w:bookmarkEnd w:id="648"/>
      <w:bookmarkEnd w:id="649"/>
      <w:bookmarkEnd w:id="650"/>
      <w:bookmarkEnd w:id="651"/>
      <w:bookmarkEnd w:id="652"/>
      <w:bookmarkEnd w:id="653"/>
    </w:p>
    <w:p w14:paraId="64C3A10D">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3.1</w:t>
      </w:r>
      <w:r>
        <w:rPr>
          <w:rFonts w:hint="eastAsia" w:ascii="仿宋" w:hAnsi="仿宋" w:eastAsia="仿宋" w:cs="仿宋"/>
          <w:b w:val="0"/>
          <w:bCs w:val="0"/>
          <w:color w:val="auto"/>
          <w:kern w:val="0"/>
          <w:sz w:val="24"/>
          <w:szCs w:val="24"/>
          <w:highlight w:val="none"/>
        </w:rPr>
        <w:t>.1</w:t>
      </w:r>
      <w:r>
        <w:rPr>
          <w:rFonts w:hint="eastAsia" w:ascii="仿宋" w:hAnsi="仿宋" w:eastAsia="仿宋" w:cs="仿宋"/>
          <w:b w:val="0"/>
          <w:bCs w:val="0"/>
          <w:color w:val="auto"/>
          <w:sz w:val="24"/>
          <w:szCs w:val="24"/>
          <w:highlight w:val="none"/>
        </w:rPr>
        <w:t>公开招标采购项目开标结束后，采购人或者采购代理机构应当依法对投标人的资格进行审查。合格投标人不足3家的，不得评标。</w:t>
      </w:r>
      <w:r>
        <w:rPr>
          <w:rFonts w:hint="eastAsia" w:ascii="仿宋" w:hAnsi="仿宋" w:eastAsia="仿宋" w:cs="仿宋"/>
          <w:color w:val="auto"/>
          <w:kern w:val="0"/>
          <w:sz w:val="24"/>
          <w:szCs w:val="24"/>
          <w:highlight w:val="none"/>
        </w:rPr>
        <w:t>评标委员会依据本章第2.1</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项规定的符合性评审标准对通过资格审查的投标文件进行符合性评审。有一项不符合评审标准的，作否决投标处理。</w:t>
      </w:r>
    </w:p>
    <w:p w14:paraId="7940F149">
      <w:pPr>
        <w:pStyle w:val="11"/>
        <w:keepNext w:val="0"/>
        <w:keepLines w:val="0"/>
        <w:pageBreakBefore w:val="0"/>
        <w:widowControl w:val="0"/>
        <w:kinsoku/>
        <w:wordWrap/>
        <w:overflowPunct/>
        <w:topLinePunct w:val="0"/>
        <w:bidi w:val="0"/>
        <w:snapToGrid/>
        <w:spacing w:line="360" w:lineRule="auto"/>
        <w:ind w:left="210" w:leftChars="100" w:firstLine="48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3.1.2 投标人存在下列情况之一的，投标无效：</w:t>
      </w:r>
    </w:p>
    <w:p w14:paraId="40115AB0">
      <w:pPr>
        <w:pStyle w:val="11"/>
        <w:keepNext w:val="0"/>
        <w:keepLines w:val="0"/>
        <w:pageBreakBefore w:val="0"/>
        <w:widowControl w:val="0"/>
        <w:kinsoku/>
        <w:wordWrap/>
        <w:overflowPunct/>
        <w:topLinePunct w:val="0"/>
        <w:bidi w:val="0"/>
        <w:snapToGrid/>
        <w:spacing w:line="360" w:lineRule="auto"/>
        <w:ind w:left="210" w:leftChars="100" w:firstLine="48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（1）不符合第二章“投标人须知”第1.4.1项规定的任何一种情形的；</w:t>
      </w:r>
    </w:p>
    <w:p w14:paraId="3E9160CC">
      <w:pPr>
        <w:pStyle w:val="11"/>
        <w:keepNext w:val="0"/>
        <w:keepLines w:val="0"/>
        <w:pageBreakBefore w:val="0"/>
        <w:widowControl w:val="0"/>
        <w:kinsoku/>
        <w:wordWrap/>
        <w:overflowPunct/>
        <w:topLinePunct w:val="0"/>
        <w:bidi w:val="0"/>
        <w:snapToGrid/>
        <w:spacing w:line="360" w:lineRule="auto"/>
        <w:ind w:left="210" w:leftChars="100" w:firstLine="48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（2）不符合第三章“初步评审”标准规定的任何一种情形的；</w:t>
      </w:r>
    </w:p>
    <w:p w14:paraId="14049BF3">
      <w:pPr>
        <w:pStyle w:val="11"/>
        <w:keepNext w:val="0"/>
        <w:keepLines w:val="0"/>
        <w:pageBreakBefore w:val="0"/>
        <w:widowControl w:val="0"/>
        <w:kinsoku/>
        <w:wordWrap/>
        <w:overflowPunct/>
        <w:topLinePunct w:val="0"/>
        <w:bidi w:val="0"/>
        <w:snapToGrid/>
        <w:spacing w:line="360" w:lineRule="auto"/>
        <w:ind w:left="210" w:leftChars="100" w:firstLine="48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（3）报价超过招标文件中规定的预算金额或者最高限价的；</w:t>
      </w:r>
    </w:p>
    <w:p w14:paraId="5588AAAB">
      <w:pPr>
        <w:pStyle w:val="11"/>
        <w:keepNext w:val="0"/>
        <w:keepLines w:val="0"/>
        <w:pageBreakBefore w:val="0"/>
        <w:widowControl w:val="0"/>
        <w:kinsoku/>
        <w:wordWrap/>
        <w:overflowPunct/>
        <w:topLinePunct w:val="0"/>
        <w:bidi w:val="0"/>
        <w:snapToGrid/>
        <w:spacing w:line="360" w:lineRule="auto"/>
        <w:ind w:left="210" w:leftChars="100" w:firstLine="48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）投标文件未按招标文件要求签署、盖章的；</w:t>
      </w:r>
    </w:p>
    <w:p w14:paraId="474E1CE1">
      <w:pPr>
        <w:pStyle w:val="11"/>
        <w:keepNext w:val="0"/>
        <w:keepLines w:val="0"/>
        <w:pageBreakBefore w:val="0"/>
        <w:widowControl w:val="0"/>
        <w:kinsoku/>
        <w:wordWrap/>
        <w:overflowPunct/>
        <w:topLinePunct w:val="0"/>
        <w:bidi w:val="0"/>
        <w:snapToGrid/>
        <w:spacing w:line="360" w:lineRule="auto"/>
        <w:ind w:left="210" w:leftChars="100" w:firstLine="48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）串通投标或弄虚作假或有其他违法行为的；</w:t>
      </w:r>
    </w:p>
    <w:p w14:paraId="07F45E94">
      <w:pPr>
        <w:pStyle w:val="11"/>
        <w:keepNext w:val="0"/>
        <w:keepLines w:val="0"/>
        <w:pageBreakBefore w:val="0"/>
        <w:widowControl w:val="0"/>
        <w:kinsoku/>
        <w:wordWrap/>
        <w:overflowPunct/>
        <w:topLinePunct w:val="0"/>
        <w:bidi w:val="0"/>
        <w:snapToGrid/>
        <w:spacing w:line="360" w:lineRule="auto"/>
        <w:ind w:left="210" w:leftChars="100" w:firstLine="48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rPr>
        <w:t>）不按评标委员会要求澄清、说明或补正的；</w:t>
      </w:r>
    </w:p>
    <w:p w14:paraId="219AA53B">
      <w:pPr>
        <w:pStyle w:val="11"/>
        <w:keepNext w:val="0"/>
        <w:keepLines w:val="0"/>
        <w:pageBreakBefore w:val="0"/>
        <w:widowControl w:val="0"/>
        <w:kinsoku/>
        <w:wordWrap/>
        <w:overflowPunct/>
        <w:topLinePunct w:val="0"/>
        <w:bidi w:val="0"/>
        <w:snapToGrid/>
        <w:spacing w:line="360" w:lineRule="auto"/>
        <w:ind w:left="210" w:leftChars="100" w:firstLine="48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7</w:t>
      </w:r>
      <w:r>
        <w:rPr>
          <w:rFonts w:hint="eastAsia" w:ascii="仿宋" w:hAnsi="仿宋" w:eastAsia="仿宋" w:cs="仿宋"/>
          <w:b/>
          <w:bCs/>
          <w:color w:val="auto"/>
          <w:sz w:val="24"/>
          <w:szCs w:val="24"/>
          <w:highlight w:val="none"/>
        </w:rPr>
        <w:t>）投标文件含有采购人不能接受的附加条件的；</w:t>
      </w:r>
    </w:p>
    <w:p w14:paraId="525F1821">
      <w:pPr>
        <w:pStyle w:val="11"/>
        <w:keepNext w:val="0"/>
        <w:keepLines w:val="0"/>
        <w:pageBreakBefore w:val="0"/>
        <w:widowControl w:val="0"/>
        <w:kinsoku/>
        <w:wordWrap/>
        <w:overflowPunct/>
        <w:topLinePunct w:val="0"/>
        <w:bidi w:val="0"/>
        <w:snapToGrid/>
        <w:spacing w:line="360" w:lineRule="auto"/>
        <w:ind w:left="210" w:leftChars="100" w:firstLine="480"/>
        <w:jc w:val="left"/>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8</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未按照招标文件的规定提交投标保证金的</w:t>
      </w:r>
      <w:r>
        <w:rPr>
          <w:rFonts w:hint="eastAsia" w:ascii="仿宋" w:hAnsi="仿宋" w:eastAsia="仿宋" w:cs="仿宋"/>
          <w:b/>
          <w:bCs/>
          <w:color w:val="auto"/>
          <w:sz w:val="24"/>
          <w:szCs w:val="24"/>
          <w:highlight w:val="none"/>
          <w:lang w:val="en-US" w:eastAsia="zh-CN"/>
        </w:rPr>
        <w:t>；</w:t>
      </w:r>
    </w:p>
    <w:p w14:paraId="1E53DCF6">
      <w:pPr>
        <w:pStyle w:val="11"/>
        <w:keepNext w:val="0"/>
        <w:keepLines w:val="0"/>
        <w:pageBreakBefore w:val="0"/>
        <w:widowControl w:val="0"/>
        <w:kinsoku/>
        <w:wordWrap/>
        <w:overflowPunct/>
        <w:topLinePunct w:val="0"/>
        <w:bidi w:val="0"/>
        <w:snapToGrid/>
        <w:spacing w:line="360" w:lineRule="auto"/>
        <w:ind w:left="210" w:leftChars="100" w:firstLine="480"/>
        <w:jc w:val="left"/>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9</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法律、法规和招标文件规定的其他无效情形</w:t>
      </w:r>
      <w:r>
        <w:rPr>
          <w:rFonts w:hint="eastAsia" w:ascii="仿宋" w:hAnsi="仿宋" w:eastAsia="仿宋" w:cs="仿宋"/>
          <w:b/>
          <w:bCs/>
          <w:color w:val="auto"/>
          <w:sz w:val="24"/>
          <w:szCs w:val="24"/>
          <w:highlight w:val="none"/>
          <w:lang w:eastAsia="zh-CN"/>
        </w:rPr>
        <w:t>。</w:t>
      </w:r>
    </w:p>
    <w:p w14:paraId="058DD981">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360" w:firstLineChars="15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3.1.3  投标文件报价出现前后不一致的，除招标文件另有规定外，按照下列规定修正：</w:t>
      </w:r>
    </w:p>
    <w:p w14:paraId="63C5095B">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360" w:firstLineChars="15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（1）投标文件中“投标报价一览表”内容与投标文件中相应内容不一致的，以投标报价一览表为准；</w:t>
      </w:r>
    </w:p>
    <w:p w14:paraId="583B3417">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360" w:firstLineChars="15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（2）大写金额和小写金额不一致的，以大写金额为准；</w:t>
      </w:r>
    </w:p>
    <w:p w14:paraId="208885CE">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360" w:firstLineChars="15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（3）单价金额小数点或者百分比有明显错位的，以投标报价一览表的总价为准，并修改单价；</w:t>
      </w:r>
    </w:p>
    <w:p w14:paraId="3990ADEE">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360" w:firstLineChars="15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（4）总价金额与按单价汇总金额不一致的，以单价金额计算结果为准。</w:t>
      </w:r>
    </w:p>
    <w:p w14:paraId="2A91BCA9">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360" w:firstLineChars="15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同时出现两种以上不一致的，按照前款规定的顺序修正。修正后的报价按照规定经投标人确认后产生约束力，投标人不确认的，其投标无效。</w:t>
      </w:r>
    </w:p>
    <w:p w14:paraId="17079514">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654" w:name="_Toc383442332"/>
      <w:bookmarkStart w:id="655" w:name="_Toc17041044"/>
      <w:bookmarkStart w:id="656" w:name="_Toc217567701"/>
      <w:bookmarkStart w:id="657" w:name="_Toc17040927"/>
      <w:bookmarkStart w:id="658" w:name="_Toc17040806"/>
      <w:bookmarkStart w:id="659" w:name="_Toc887"/>
      <w:bookmarkStart w:id="660" w:name="_Toc14501"/>
      <w:bookmarkStart w:id="661" w:name="_Toc304717315"/>
      <w:bookmarkStart w:id="662" w:name="_Toc310814324"/>
      <w:bookmarkStart w:id="663" w:name="_Toc28121"/>
      <w:bookmarkStart w:id="664" w:name="_Toc271137427"/>
      <w:bookmarkStart w:id="665" w:name="_Toc271137428"/>
      <w:bookmarkStart w:id="666" w:name="_Toc383442333"/>
      <w:bookmarkStart w:id="667" w:name="_Toc217567702"/>
      <w:bookmarkStart w:id="668" w:name="_Toc17040928"/>
      <w:bookmarkStart w:id="669" w:name="_Toc5570"/>
      <w:bookmarkStart w:id="670" w:name="_Toc304717316"/>
      <w:bookmarkStart w:id="671" w:name="_Toc17041045"/>
      <w:bookmarkStart w:id="672" w:name="_Toc6448"/>
      <w:bookmarkStart w:id="673" w:name="_Toc17040807"/>
      <w:bookmarkStart w:id="674" w:name="_Toc310814325"/>
      <w:bookmarkStart w:id="675" w:name="_Toc23844"/>
      <w:r>
        <w:rPr>
          <w:rFonts w:hint="eastAsia" w:ascii="仿宋" w:hAnsi="仿宋" w:eastAsia="仿宋" w:cs="仿宋"/>
          <w:b/>
          <w:bCs/>
          <w:color w:val="auto"/>
          <w:kern w:val="0"/>
          <w:sz w:val="24"/>
          <w:szCs w:val="24"/>
          <w:highlight w:val="none"/>
        </w:rPr>
        <w:t>3.2 详细评审</w:t>
      </w:r>
      <w:bookmarkEnd w:id="654"/>
      <w:bookmarkEnd w:id="655"/>
      <w:bookmarkEnd w:id="656"/>
      <w:bookmarkEnd w:id="657"/>
      <w:bookmarkEnd w:id="658"/>
      <w:bookmarkEnd w:id="659"/>
      <w:bookmarkEnd w:id="660"/>
      <w:bookmarkEnd w:id="661"/>
      <w:bookmarkEnd w:id="662"/>
      <w:bookmarkEnd w:id="663"/>
      <w:bookmarkEnd w:id="664"/>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3"/>
        <w:gridCol w:w="1317"/>
        <w:gridCol w:w="914"/>
        <w:gridCol w:w="6061"/>
      </w:tblGrid>
      <w:tr w14:paraId="0D3FC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0" w:hRule="atLeast"/>
          <w:jc w:val="center"/>
        </w:trPr>
        <w:tc>
          <w:tcPr>
            <w:tcW w:w="5000" w:type="pct"/>
            <w:gridSpan w:val="4"/>
            <w:tcBorders>
              <w:left w:val="single" w:color="auto" w:sz="4" w:space="0"/>
              <w:right w:val="single" w:color="auto" w:sz="4" w:space="0"/>
            </w:tcBorders>
            <w:vAlign w:val="center"/>
          </w:tcPr>
          <w:p w14:paraId="42100981">
            <w:pPr>
              <w:autoSpaceDE w:val="0"/>
              <w:autoSpaceDN w:val="0"/>
              <w:adjustRightInd w:val="0"/>
              <w:spacing w:line="360" w:lineRule="auto"/>
              <w:jc w:val="center"/>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kern w:val="0"/>
                <w:sz w:val="24"/>
                <w:szCs w:val="24"/>
                <w:highlight w:val="none"/>
                <w:lang w:val="en-US" w:eastAsia="zh-CN"/>
              </w:rPr>
              <w:t>一标段</w:t>
            </w:r>
            <w:r>
              <w:rPr>
                <w:rFonts w:hint="eastAsia" w:ascii="仿宋" w:hAnsi="仿宋" w:eastAsia="仿宋" w:cs="仿宋"/>
                <w:b/>
                <w:bCs/>
                <w:color w:val="auto"/>
                <w:kern w:val="0"/>
                <w:sz w:val="24"/>
                <w:szCs w:val="24"/>
                <w:highlight w:val="none"/>
              </w:rPr>
              <w:t>详细评审</w:t>
            </w:r>
            <w:r>
              <w:rPr>
                <w:rFonts w:hint="eastAsia" w:ascii="仿宋" w:hAnsi="仿宋" w:eastAsia="仿宋" w:cs="仿宋"/>
                <w:b/>
                <w:bCs/>
                <w:color w:val="auto"/>
                <w:kern w:val="0"/>
                <w:sz w:val="24"/>
                <w:szCs w:val="24"/>
                <w:highlight w:val="none"/>
                <w:lang w:val="en-US" w:eastAsia="zh-CN"/>
              </w:rPr>
              <w:t>【猪口蹄疫O型南非Ⅰ型二价疫苗】</w:t>
            </w:r>
          </w:p>
        </w:tc>
      </w:tr>
      <w:tr w14:paraId="6832C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535" w:type="pct"/>
            <w:tcBorders>
              <w:top w:val="single" w:color="auto" w:sz="4" w:space="0"/>
              <w:left w:val="single" w:color="auto" w:sz="4" w:space="0"/>
              <w:bottom w:val="single" w:color="auto" w:sz="4" w:space="0"/>
              <w:right w:val="single" w:color="auto" w:sz="4" w:space="0"/>
            </w:tcBorders>
            <w:vAlign w:val="center"/>
          </w:tcPr>
          <w:p w14:paraId="5A86B76D">
            <w:pPr>
              <w:autoSpaceDE w:val="0"/>
              <w:autoSpaceDN w:val="0"/>
              <w:adjustRightInd w:val="0"/>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条款号</w:t>
            </w:r>
          </w:p>
        </w:tc>
        <w:tc>
          <w:tcPr>
            <w:tcW w:w="709" w:type="pct"/>
            <w:tcBorders>
              <w:top w:val="single" w:color="auto" w:sz="4" w:space="0"/>
              <w:left w:val="single" w:color="auto" w:sz="4" w:space="0"/>
              <w:bottom w:val="single" w:color="auto" w:sz="4" w:space="0"/>
              <w:right w:val="single" w:color="auto" w:sz="4" w:space="0"/>
            </w:tcBorders>
            <w:vAlign w:val="center"/>
          </w:tcPr>
          <w:p w14:paraId="6317BB27">
            <w:pPr>
              <w:autoSpaceDE w:val="0"/>
              <w:autoSpaceDN w:val="0"/>
              <w:adjustRightInd w:val="0"/>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条款内容</w:t>
            </w:r>
          </w:p>
        </w:tc>
        <w:tc>
          <w:tcPr>
            <w:tcW w:w="3754" w:type="pct"/>
            <w:gridSpan w:val="2"/>
            <w:tcBorders>
              <w:top w:val="single" w:color="auto" w:sz="4" w:space="0"/>
              <w:left w:val="single" w:color="auto" w:sz="4" w:space="0"/>
              <w:bottom w:val="single" w:color="auto" w:sz="4" w:space="0"/>
              <w:right w:val="single" w:color="auto" w:sz="4" w:space="0"/>
            </w:tcBorders>
            <w:vAlign w:val="center"/>
          </w:tcPr>
          <w:p w14:paraId="2A304987">
            <w:pPr>
              <w:autoSpaceDE w:val="0"/>
              <w:autoSpaceDN w:val="0"/>
              <w:adjustRightInd w:val="0"/>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编列内容</w:t>
            </w:r>
          </w:p>
        </w:tc>
      </w:tr>
      <w:tr w14:paraId="39299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535" w:type="pct"/>
            <w:tcBorders>
              <w:top w:val="single" w:color="auto" w:sz="4" w:space="0"/>
              <w:left w:val="single" w:color="auto" w:sz="4" w:space="0"/>
              <w:bottom w:val="single" w:color="auto" w:sz="4" w:space="0"/>
              <w:right w:val="single" w:color="auto" w:sz="4" w:space="0"/>
            </w:tcBorders>
            <w:vAlign w:val="center"/>
          </w:tcPr>
          <w:p w14:paraId="1F461B5F">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2.2.1</w:t>
            </w:r>
          </w:p>
        </w:tc>
        <w:tc>
          <w:tcPr>
            <w:tcW w:w="709" w:type="pct"/>
            <w:tcBorders>
              <w:top w:val="single" w:color="auto" w:sz="4" w:space="0"/>
              <w:left w:val="single" w:color="auto" w:sz="4" w:space="0"/>
              <w:bottom w:val="single" w:color="auto" w:sz="4" w:space="0"/>
              <w:right w:val="single" w:color="auto" w:sz="4" w:space="0"/>
            </w:tcBorders>
            <w:vAlign w:val="center"/>
          </w:tcPr>
          <w:p w14:paraId="1EDE620A">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分值构成</w:t>
            </w:r>
          </w:p>
          <w:p w14:paraId="1D272385">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（满分100分）</w:t>
            </w:r>
          </w:p>
        </w:tc>
        <w:tc>
          <w:tcPr>
            <w:tcW w:w="3754" w:type="pct"/>
            <w:gridSpan w:val="2"/>
            <w:tcBorders>
              <w:top w:val="single" w:color="auto" w:sz="4" w:space="0"/>
              <w:left w:val="single" w:color="auto" w:sz="4" w:space="0"/>
              <w:bottom w:val="single" w:color="auto" w:sz="4" w:space="0"/>
              <w:right w:val="single" w:color="auto" w:sz="4" w:space="0"/>
            </w:tcBorders>
            <w:vAlign w:val="center"/>
          </w:tcPr>
          <w:p w14:paraId="4EA1D26D">
            <w:pPr>
              <w:autoSpaceDE w:val="0"/>
              <w:autoSpaceDN w:val="0"/>
              <w:adjustRightInd w:val="0"/>
              <w:spacing w:line="36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投标人总得分 = F1 ＋F2 ＋F3</w:t>
            </w:r>
          </w:p>
          <w:p w14:paraId="298C4C1D">
            <w:pPr>
              <w:pStyle w:val="11"/>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rPr>
              <w:t>其中：投标报价得分</w:t>
            </w:r>
            <w:r>
              <w:rPr>
                <w:rFonts w:hint="eastAsia" w:ascii="仿宋" w:hAnsi="仿宋" w:eastAsia="仿宋" w:cs="仿宋"/>
                <w:color w:val="auto"/>
                <w:sz w:val="24"/>
                <w:szCs w:val="24"/>
                <w:highlight w:val="none"/>
                <w:lang w:val="en-US" w:eastAsia="zh-CN"/>
              </w:rPr>
              <w:t>F1，满分30分，权重：1；</w:t>
            </w:r>
          </w:p>
          <w:p w14:paraId="32DB7ACA">
            <w:pPr>
              <w:pStyle w:val="11"/>
              <w:spacing w:line="360" w:lineRule="auto"/>
              <w:ind w:firstLine="720" w:firstLineChars="3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rPr>
              <w:t>技术部分得分</w:t>
            </w:r>
            <w:r>
              <w:rPr>
                <w:rFonts w:hint="eastAsia" w:ascii="仿宋" w:hAnsi="仿宋" w:eastAsia="仿宋" w:cs="仿宋"/>
                <w:color w:val="auto"/>
                <w:sz w:val="24"/>
                <w:szCs w:val="24"/>
                <w:highlight w:val="none"/>
                <w:lang w:val="en-US" w:eastAsia="zh-CN"/>
              </w:rPr>
              <w:t>F2，满分40分，权重：1.</w:t>
            </w:r>
          </w:p>
          <w:p w14:paraId="73F8363F">
            <w:pPr>
              <w:pStyle w:val="11"/>
              <w:spacing w:line="360" w:lineRule="auto"/>
              <w:ind w:firstLine="720" w:firstLineChars="3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rPr>
              <w:t>商务部分得分</w:t>
            </w:r>
            <w:r>
              <w:rPr>
                <w:rFonts w:hint="eastAsia" w:ascii="仿宋" w:hAnsi="仿宋" w:eastAsia="仿宋" w:cs="仿宋"/>
                <w:color w:val="auto"/>
                <w:sz w:val="24"/>
                <w:szCs w:val="24"/>
                <w:highlight w:val="none"/>
                <w:lang w:val="en-US" w:eastAsia="zh-CN"/>
              </w:rPr>
              <w:t>F3，满分30分，权重：1.</w:t>
            </w:r>
          </w:p>
        </w:tc>
      </w:tr>
      <w:tr w14:paraId="070FB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535" w:type="pct"/>
            <w:tcBorders>
              <w:top w:val="single" w:color="auto" w:sz="4" w:space="0"/>
              <w:left w:val="single" w:color="auto" w:sz="4" w:space="0"/>
              <w:bottom w:val="single" w:color="auto" w:sz="4" w:space="0"/>
              <w:right w:val="single" w:color="auto" w:sz="4" w:space="0"/>
            </w:tcBorders>
            <w:vAlign w:val="center"/>
          </w:tcPr>
          <w:p w14:paraId="32D1D824">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2.2.2</w:t>
            </w:r>
          </w:p>
        </w:tc>
        <w:tc>
          <w:tcPr>
            <w:tcW w:w="709" w:type="pct"/>
            <w:tcBorders>
              <w:top w:val="single" w:color="auto" w:sz="4" w:space="0"/>
              <w:left w:val="single" w:color="auto" w:sz="4" w:space="0"/>
              <w:bottom w:val="single" w:color="auto" w:sz="4" w:space="0"/>
              <w:right w:val="single" w:color="auto" w:sz="4" w:space="0"/>
            </w:tcBorders>
            <w:vAlign w:val="center"/>
          </w:tcPr>
          <w:p w14:paraId="5898926E">
            <w:pPr>
              <w:autoSpaceDE w:val="0"/>
              <w:autoSpaceDN w:val="0"/>
              <w:adjustRightIn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评标基准价计算方法</w:t>
            </w:r>
          </w:p>
        </w:tc>
        <w:tc>
          <w:tcPr>
            <w:tcW w:w="3754" w:type="pct"/>
            <w:gridSpan w:val="2"/>
            <w:tcBorders>
              <w:top w:val="single" w:color="auto" w:sz="4" w:space="0"/>
              <w:left w:val="single" w:color="auto" w:sz="4" w:space="0"/>
              <w:bottom w:val="single" w:color="auto" w:sz="4" w:space="0"/>
              <w:right w:val="single" w:color="auto" w:sz="4" w:space="0"/>
            </w:tcBorders>
            <w:vAlign w:val="center"/>
          </w:tcPr>
          <w:p w14:paraId="64FC91AE">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13"/>
                <w:sz w:val="24"/>
                <w:szCs w:val="24"/>
                <w:highlight w:val="none"/>
              </w:rPr>
              <w:t>以通过资格性审查和符合性审查的</w:t>
            </w:r>
            <w:r>
              <w:rPr>
                <w:rFonts w:hint="eastAsia" w:ascii="仿宋" w:hAnsi="仿宋" w:eastAsia="仿宋" w:cs="仿宋"/>
                <w:color w:val="auto"/>
                <w:sz w:val="24"/>
                <w:szCs w:val="24"/>
                <w:highlight w:val="none"/>
              </w:rPr>
              <w:t>供应商</w:t>
            </w:r>
            <w:r>
              <w:rPr>
                <w:rFonts w:hint="eastAsia" w:ascii="仿宋" w:hAnsi="仿宋" w:eastAsia="仿宋" w:cs="仿宋"/>
                <w:color w:val="auto"/>
                <w:sz w:val="24"/>
                <w:szCs w:val="24"/>
                <w:highlight w:val="none"/>
                <w:lang w:val="en-US" w:eastAsia="zh-CN"/>
              </w:rPr>
              <w:t>1-最高投标报价（下浮率）为基准价，有效投标报价为1-投标报价（下浮率）</w:t>
            </w:r>
            <w:r>
              <w:rPr>
                <w:rFonts w:hint="eastAsia" w:ascii="仿宋" w:hAnsi="仿宋" w:eastAsia="仿宋" w:cs="仿宋"/>
                <w:color w:val="auto"/>
                <w:sz w:val="24"/>
                <w:szCs w:val="24"/>
                <w:highlight w:val="none"/>
              </w:rPr>
              <w:t>。</w:t>
            </w:r>
          </w:p>
          <w:p w14:paraId="7BAE6492">
            <w:pPr>
              <w:autoSpaceDE w:val="0"/>
              <w:autoSpaceDN w:val="0"/>
              <w:adjustRightInd w:val="0"/>
              <w:spacing w:line="360" w:lineRule="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0"/>
                <w:sz w:val="24"/>
                <w:szCs w:val="24"/>
                <w:highlight w:val="none"/>
              </w:rPr>
              <w:t>依据财政部87号令《政府采购货物和服务招标投标管理办法》、第六十条</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rPr>
                <w:rFonts w:hint="eastAsia" w:ascii="仿宋" w:hAnsi="仿宋" w:eastAsia="仿宋" w:cs="仿宋"/>
                <w:color w:val="auto"/>
                <w:kern w:val="0"/>
                <w:sz w:val="24"/>
                <w:szCs w:val="24"/>
                <w:highlight w:val="none"/>
                <w:lang w:val="en-US" w:eastAsia="zh-CN"/>
              </w:rPr>
              <w:t>提供证明材料时间为（30）分钟。</w:t>
            </w:r>
          </w:p>
        </w:tc>
      </w:tr>
      <w:tr w14:paraId="524D9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535" w:type="pct"/>
            <w:tcBorders>
              <w:top w:val="single" w:color="auto" w:sz="4" w:space="0"/>
              <w:left w:val="single" w:color="auto" w:sz="4" w:space="0"/>
              <w:bottom w:val="single" w:color="auto" w:sz="4" w:space="0"/>
              <w:right w:val="single" w:color="auto" w:sz="4" w:space="0"/>
            </w:tcBorders>
            <w:vAlign w:val="center"/>
          </w:tcPr>
          <w:p w14:paraId="3C219C38">
            <w:pPr>
              <w:autoSpaceDE w:val="0"/>
              <w:autoSpaceDN w:val="0"/>
              <w:adjustRightInd w:val="0"/>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条款号</w:t>
            </w:r>
          </w:p>
        </w:tc>
        <w:tc>
          <w:tcPr>
            <w:tcW w:w="709" w:type="pct"/>
            <w:tcBorders>
              <w:top w:val="single" w:color="auto" w:sz="4" w:space="0"/>
              <w:left w:val="single" w:color="auto" w:sz="4" w:space="0"/>
              <w:bottom w:val="single" w:color="auto" w:sz="4" w:space="0"/>
              <w:right w:val="single" w:color="auto" w:sz="4" w:space="0"/>
            </w:tcBorders>
            <w:vAlign w:val="center"/>
          </w:tcPr>
          <w:p w14:paraId="3953CBAC">
            <w:pPr>
              <w:autoSpaceDE w:val="0"/>
              <w:autoSpaceDN w:val="0"/>
              <w:adjustRightInd w:val="0"/>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评分因素</w:t>
            </w:r>
          </w:p>
        </w:tc>
        <w:tc>
          <w:tcPr>
            <w:tcW w:w="3754" w:type="pct"/>
            <w:gridSpan w:val="2"/>
            <w:tcBorders>
              <w:top w:val="single" w:color="auto" w:sz="4" w:space="0"/>
              <w:left w:val="single" w:color="auto" w:sz="4" w:space="0"/>
              <w:bottom w:val="single" w:color="auto" w:sz="4" w:space="0"/>
              <w:right w:val="single" w:color="auto" w:sz="4" w:space="0"/>
            </w:tcBorders>
            <w:vAlign w:val="center"/>
          </w:tcPr>
          <w:p w14:paraId="5606D530">
            <w:pPr>
              <w:autoSpaceDE w:val="0"/>
              <w:autoSpaceDN w:val="0"/>
              <w:adjustRightInd w:val="0"/>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r>
      <w:tr w14:paraId="099C1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535" w:type="pct"/>
            <w:tcBorders>
              <w:top w:val="single" w:color="auto" w:sz="4" w:space="0"/>
              <w:left w:val="single" w:color="auto" w:sz="4" w:space="0"/>
              <w:bottom w:val="single" w:color="auto" w:sz="4" w:space="0"/>
              <w:right w:val="single" w:color="auto" w:sz="4" w:space="0"/>
            </w:tcBorders>
            <w:vAlign w:val="center"/>
          </w:tcPr>
          <w:p w14:paraId="75DE356C">
            <w:pPr>
              <w:autoSpaceDE w:val="0"/>
              <w:autoSpaceDN w:val="0"/>
              <w:adjustRightIn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2.2.3（1）</w:t>
            </w:r>
          </w:p>
        </w:tc>
        <w:tc>
          <w:tcPr>
            <w:tcW w:w="709" w:type="pct"/>
            <w:tcBorders>
              <w:top w:val="single" w:color="auto" w:sz="4" w:space="0"/>
              <w:left w:val="single" w:color="auto" w:sz="4" w:space="0"/>
              <w:bottom w:val="single" w:color="auto" w:sz="4" w:space="0"/>
              <w:right w:val="single" w:color="auto" w:sz="4" w:space="0"/>
            </w:tcBorders>
            <w:vAlign w:val="center"/>
          </w:tcPr>
          <w:p w14:paraId="047270F1">
            <w:pPr>
              <w:autoSpaceDE w:val="0"/>
              <w:autoSpaceDN w:val="0"/>
              <w:adjustRightIn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F1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投标报价评分标准</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pacing w:val="-9"/>
                <w:sz w:val="24"/>
                <w:szCs w:val="24"/>
                <w:highlight w:val="none"/>
              </w:rPr>
              <w:t>满分</w:t>
            </w:r>
            <w:r>
              <w:rPr>
                <w:rFonts w:hint="eastAsia" w:ascii="仿宋" w:hAnsi="仿宋" w:eastAsia="仿宋" w:cs="仿宋"/>
                <w:color w:val="auto"/>
                <w:sz w:val="24"/>
                <w:szCs w:val="24"/>
                <w:highlight w:val="none"/>
                <w:lang w:val="en-US" w:eastAsia="zh-CN"/>
              </w:rPr>
              <w:t>30分）</w:t>
            </w:r>
          </w:p>
          <w:p w14:paraId="7C514FBA">
            <w:pPr>
              <w:pStyle w:val="11"/>
              <w:spacing w:line="360" w:lineRule="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sz w:val="24"/>
                <w:szCs w:val="24"/>
                <w:highlight w:val="none"/>
                <w:lang w:val="en-US" w:eastAsia="zh-CN"/>
              </w:rPr>
              <w:t>权重：1</w:t>
            </w:r>
          </w:p>
        </w:tc>
        <w:tc>
          <w:tcPr>
            <w:tcW w:w="3754" w:type="pct"/>
            <w:gridSpan w:val="2"/>
            <w:tcBorders>
              <w:top w:val="single" w:color="auto" w:sz="4" w:space="0"/>
              <w:left w:val="single" w:color="auto" w:sz="4" w:space="0"/>
              <w:bottom w:val="single" w:color="auto" w:sz="4" w:space="0"/>
              <w:right w:val="single" w:color="auto" w:sz="4" w:space="0"/>
            </w:tcBorders>
            <w:vAlign w:val="center"/>
          </w:tcPr>
          <w:p w14:paraId="1CA43387">
            <w:pPr>
              <w:pStyle w:val="69"/>
              <w:spacing w:before="3"/>
              <w:ind w:left="107"/>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一、中小企业：</w:t>
            </w:r>
          </w:p>
          <w:p w14:paraId="58E45918">
            <w:pPr>
              <w:spacing w:line="360" w:lineRule="auto"/>
              <w:ind w:firstLine="480" w:firstLineChars="200"/>
              <w:jc w:val="left"/>
              <w:rPr>
                <w:rFonts w:hint="eastAsia" w:ascii="仿宋" w:hAnsi="仿宋" w:eastAsia="仿宋" w:cs="仿宋"/>
                <w:color w:val="auto"/>
                <w:sz w:val="24"/>
                <w:szCs w:val="24"/>
                <w:highlight w:val="none"/>
                <w:vertAlign w:val="baseline"/>
                <w:lang w:val="en-US" w:eastAsia="zh-Hans"/>
              </w:rPr>
            </w:pPr>
            <w:r>
              <w:rPr>
                <w:rFonts w:hint="eastAsia" w:ascii="仿宋" w:hAnsi="仿宋" w:eastAsia="仿宋" w:cs="仿宋"/>
                <w:color w:val="auto"/>
                <w:sz w:val="24"/>
                <w:szCs w:val="24"/>
                <w:highlight w:val="none"/>
                <w:vertAlign w:val="baseline"/>
                <w:lang w:val="en-US" w:eastAsia="zh-Hans"/>
              </w:rPr>
              <w:t>据《政府采购促进中小企业发展管理办法》（财库〔2020〕46号）、《关于进一步加大政府采购支持中小企业力度的通知》（财库〔2022〕19号）、云南省财政厅关于贯彻《财政部关于进一步加大政府采购支持中小企业力度的通知》的通知（云财采〔2022〕9号）、《财政部 民政部 中国残疾人联合会关于促进残疾人就业政府采购政策的通知》（财库〔2017〕141号）及《财政部 司法部关于政府采购支持监狱企业发展有关问题的通知》（财库〔2014〕68号）</w:t>
            </w:r>
            <w:r>
              <w:rPr>
                <w:rFonts w:hint="eastAsia" w:ascii="仿宋" w:hAnsi="仿宋" w:eastAsia="仿宋" w:cs="仿宋"/>
                <w:color w:val="auto"/>
                <w:sz w:val="24"/>
                <w:szCs w:val="24"/>
                <w:highlight w:val="none"/>
                <w:vertAlign w:val="baseline"/>
                <w:lang w:val="en-US" w:eastAsia="zh-CN"/>
              </w:rPr>
              <w:t>的规定</w:t>
            </w:r>
            <w:r>
              <w:rPr>
                <w:rFonts w:hint="eastAsia" w:ascii="仿宋" w:hAnsi="仿宋" w:eastAsia="仿宋" w:cs="仿宋"/>
                <w:color w:val="auto"/>
                <w:sz w:val="24"/>
                <w:szCs w:val="24"/>
                <w:highlight w:val="none"/>
                <w:vertAlign w:val="baseline"/>
                <w:lang w:val="en-US" w:eastAsia="zh-Hans"/>
              </w:rPr>
              <w:t>，本次招标将对符合要求的小微企业、残疾人福利性单位、监狱企业的投标人投标报价部分进行10%的价格扣除，用扣除后的价格参与评标。</w:t>
            </w:r>
          </w:p>
          <w:p w14:paraId="2D2BAA6B">
            <w:pPr>
              <w:pStyle w:val="69"/>
              <w:spacing w:before="5"/>
              <w:ind w:left="107"/>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二、报价分计算方式：</w:t>
            </w:r>
          </w:p>
          <w:p w14:paraId="314F0772">
            <w:pPr>
              <w:pStyle w:val="69"/>
              <w:spacing w:before="158" w:line="364" w:lineRule="auto"/>
              <w:ind w:left="107" w:right="95" w:firstLine="480"/>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 xml:space="preserve">供应商的报价评分 </w:t>
            </w:r>
            <w:r>
              <w:rPr>
                <w:rFonts w:hint="eastAsia" w:ascii="仿宋" w:hAnsi="仿宋" w:eastAsia="仿宋" w:cs="仿宋"/>
                <w:color w:val="auto"/>
                <w:sz w:val="24"/>
                <w:szCs w:val="24"/>
                <w:highlight w:val="none"/>
              </w:rPr>
              <w:t>F1(</w:t>
            </w:r>
            <w:r>
              <w:rPr>
                <w:rFonts w:hint="eastAsia" w:ascii="仿宋" w:hAnsi="仿宋" w:eastAsia="仿宋" w:cs="仿宋"/>
                <w:color w:val="auto"/>
                <w:spacing w:val="-20"/>
                <w:sz w:val="24"/>
                <w:szCs w:val="24"/>
                <w:highlight w:val="none"/>
              </w:rPr>
              <w:t>满分</w:t>
            </w:r>
            <w:r>
              <w:rPr>
                <w:rFonts w:hint="eastAsia" w:ascii="仿宋" w:hAnsi="仿宋" w:eastAsia="仿宋" w:cs="仿宋"/>
                <w:color w:val="auto"/>
                <w:spacing w:val="-20"/>
                <w:sz w:val="24"/>
                <w:szCs w:val="24"/>
                <w:highlight w:val="none"/>
                <w:lang w:val="en-US" w:eastAsia="zh-CN"/>
              </w:rPr>
              <w:t>30</w:t>
            </w:r>
            <w:r>
              <w:rPr>
                <w:rFonts w:hint="eastAsia" w:ascii="仿宋" w:hAnsi="仿宋" w:eastAsia="仿宋" w:cs="仿宋"/>
                <w:color w:val="auto"/>
                <w:spacing w:val="-13"/>
                <w:sz w:val="24"/>
                <w:szCs w:val="24"/>
                <w:highlight w:val="none"/>
              </w:rPr>
              <w:t>分)，以通过资格性审查和符合性审查的</w:t>
            </w:r>
            <w:r>
              <w:rPr>
                <w:rFonts w:hint="eastAsia" w:ascii="仿宋" w:hAnsi="仿宋" w:eastAsia="仿宋" w:cs="仿宋"/>
                <w:color w:val="auto"/>
                <w:sz w:val="24"/>
                <w:szCs w:val="24"/>
                <w:highlight w:val="none"/>
              </w:rPr>
              <w:t>供应商</w:t>
            </w:r>
            <w:r>
              <w:rPr>
                <w:rFonts w:hint="eastAsia" w:ascii="仿宋" w:hAnsi="仿宋" w:eastAsia="仿宋" w:cs="仿宋"/>
                <w:b/>
                <w:bCs/>
                <w:color w:val="auto"/>
                <w:sz w:val="24"/>
                <w:szCs w:val="24"/>
                <w:highlight w:val="none"/>
                <w:u w:val="single"/>
                <w:lang w:val="en-US" w:eastAsia="zh-CN"/>
              </w:rPr>
              <w:t>1-最高投标报价（下浮率）为基准价</w:t>
            </w:r>
            <w:r>
              <w:rPr>
                <w:rFonts w:hint="eastAsia" w:ascii="仿宋" w:hAnsi="仿宋" w:eastAsia="仿宋" w:cs="仿宋"/>
                <w:color w:val="auto"/>
                <w:sz w:val="24"/>
                <w:szCs w:val="24"/>
                <w:highlight w:val="none"/>
              </w:rPr>
              <w:t>，</w:t>
            </w:r>
            <w:r>
              <w:rPr>
                <w:rFonts w:hint="eastAsia" w:ascii="仿宋" w:hAnsi="仿宋" w:eastAsia="仿宋" w:cs="仿宋"/>
                <w:b/>
                <w:bCs/>
                <w:color w:val="auto"/>
                <w:sz w:val="24"/>
                <w:szCs w:val="24"/>
                <w:highlight w:val="none"/>
                <w:u w:val="single"/>
                <w:lang w:val="en-US" w:eastAsia="zh-CN"/>
              </w:rPr>
              <w:t>有效投标报价为1-投标报价（下浮率）</w:t>
            </w:r>
            <w:r>
              <w:rPr>
                <w:rFonts w:hint="eastAsia" w:ascii="仿宋" w:hAnsi="仿宋" w:eastAsia="仿宋" w:cs="仿宋"/>
                <w:color w:val="auto"/>
                <w:sz w:val="24"/>
                <w:szCs w:val="24"/>
                <w:highlight w:val="none"/>
              </w:rPr>
              <w:t>（若存在价格评审优惠的场景，此处投标报价为进行相应价格评审优惠后的价格，最终以评标结果为准）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供应商的价格分统一按照下列公式计算：</w:t>
            </w:r>
          </w:p>
          <w:p w14:paraId="1950FAC3">
            <w:pPr>
              <w:pStyle w:val="69"/>
              <w:spacing w:before="158" w:line="364" w:lineRule="auto"/>
              <w:ind w:right="95"/>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投标报价得分=（评标基准价/投标报价）×</w:t>
            </w:r>
            <w:r>
              <w:rPr>
                <w:rFonts w:hint="eastAsia" w:ascii="仿宋" w:hAnsi="仿宋" w:eastAsia="仿宋" w:cs="仿宋"/>
                <w:b/>
                <w:bCs/>
                <w:color w:val="auto"/>
                <w:sz w:val="24"/>
                <w:szCs w:val="24"/>
                <w:highlight w:val="none"/>
                <w:lang w:val="en-US" w:eastAsia="zh-CN"/>
              </w:rPr>
              <w:t>30</w:t>
            </w:r>
            <w:r>
              <w:rPr>
                <w:rFonts w:hint="eastAsia" w:ascii="仿宋" w:hAnsi="仿宋" w:eastAsia="仿宋" w:cs="仿宋"/>
                <w:b/>
                <w:bCs/>
                <w:color w:val="auto"/>
                <w:sz w:val="24"/>
                <w:szCs w:val="24"/>
                <w:highlight w:val="none"/>
              </w:rPr>
              <w:t>。（计算到小数点后二位）</w:t>
            </w:r>
          </w:p>
          <w:p w14:paraId="556688EE">
            <w:pPr>
              <w:autoSpaceDE w:val="0"/>
              <w:autoSpaceDN w:val="0"/>
              <w:adjustRightInd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在评标过程中，评标委员会认为投标人投标报价明显</w:t>
            </w:r>
            <w:r>
              <w:rPr>
                <w:rFonts w:hint="eastAsia" w:ascii="仿宋" w:hAnsi="仿宋" w:eastAsia="仿宋" w:cs="仿宋"/>
                <w:color w:val="auto"/>
                <w:sz w:val="24"/>
                <w:szCs w:val="24"/>
                <w:highlight w:val="none"/>
                <w:lang w:val="en-US" w:eastAsia="zh-CN"/>
              </w:rPr>
              <w:t>高</w:t>
            </w:r>
            <w:r>
              <w:rPr>
                <w:rFonts w:hint="eastAsia" w:ascii="仿宋" w:hAnsi="仿宋" w:eastAsia="仿宋" w:cs="仿宋"/>
                <w:color w:val="auto"/>
                <w:sz w:val="24"/>
                <w:szCs w:val="24"/>
                <w:highlight w:val="none"/>
              </w:rPr>
              <w:t>于其他通过符合性审查投标人的投标报价，有可能影响产品质量或者不能诚信履约的，评标委员会应当要求其在合理的时间内通过项目电子化交易系统进行书面说明，必要时提交相关证明材料。投标人提交的书面说明，应当加盖投标人公章，在评标委员会要求的时间内通过项目电子化交易系统进行提交，否则视为不能证明其投标报价合理性。投标人不能证明其投标报价合理性的，评标委员会应当将其投标文件作为无效投标处理。</w:t>
            </w:r>
          </w:p>
          <w:p w14:paraId="0EDEA4A9">
            <w:pPr>
              <w:autoSpaceDE w:val="0"/>
              <w:autoSpaceDN w:val="0"/>
              <w:adjustRightInd w:val="0"/>
              <w:spacing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当涉及政府采购政策叠加适用，统一在原投标报价的基础上逐项进行价格扣除</w:t>
            </w:r>
            <w:r>
              <w:rPr>
                <w:rFonts w:hint="eastAsia" w:ascii="仿宋" w:hAnsi="仿宋" w:eastAsia="仿宋" w:cs="仿宋"/>
                <w:color w:val="auto"/>
                <w:sz w:val="24"/>
                <w:szCs w:val="24"/>
                <w:highlight w:val="none"/>
                <w:lang w:eastAsia="zh-CN"/>
              </w:rPr>
              <w:t>。</w:t>
            </w:r>
          </w:p>
        </w:tc>
      </w:tr>
      <w:tr w14:paraId="16B98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535" w:type="pct"/>
            <w:vMerge w:val="restart"/>
            <w:tcBorders>
              <w:top w:val="single" w:color="auto" w:sz="4" w:space="0"/>
              <w:left w:val="single" w:color="auto" w:sz="4" w:space="0"/>
              <w:right w:val="single" w:color="auto" w:sz="4" w:space="0"/>
            </w:tcBorders>
            <w:vAlign w:val="center"/>
          </w:tcPr>
          <w:p w14:paraId="7F83E1BE">
            <w:pPr>
              <w:autoSpaceDE w:val="0"/>
              <w:autoSpaceDN w:val="0"/>
              <w:adjustRightInd w:val="0"/>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color w:val="auto"/>
                <w:sz w:val="24"/>
                <w:szCs w:val="24"/>
                <w:highlight w:val="none"/>
              </w:rPr>
              <w:t>2.2.3（2）</w:t>
            </w:r>
          </w:p>
        </w:tc>
        <w:tc>
          <w:tcPr>
            <w:tcW w:w="709" w:type="pct"/>
            <w:vMerge w:val="restart"/>
            <w:tcBorders>
              <w:top w:val="single" w:color="auto" w:sz="4" w:space="0"/>
              <w:left w:val="single" w:color="auto" w:sz="4" w:space="0"/>
              <w:right w:val="single" w:color="auto" w:sz="4" w:space="0"/>
            </w:tcBorders>
            <w:vAlign w:val="center"/>
          </w:tcPr>
          <w:p w14:paraId="296C88C9">
            <w:pPr>
              <w:pStyle w:val="69"/>
              <w:spacing w:before="1" w:line="364" w:lineRule="auto"/>
              <w:ind w:right="95"/>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F2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技术</w:t>
            </w:r>
            <w:r>
              <w:rPr>
                <w:rFonts w:hint="eastAsia" w:ascii="仿宋" w:hAnsi="仿宋" w:eastAsia="仿宋" w:cs="仿宋"/>
                <w:color w:val="auto"/>
                <w:sz w:val="24"/>
                <w:szCs w:val="24"/>
                <w:highlight w:val="none"/>
              </w:rPr>
              <w:t>部分评分（</w:t>
            </w:r>
            <w:r>
              <w:rPr>
                <w:rFonts w:hint="eastAsia" w:ascii="仿宋" w:hAnsi="仿宋" w:eastAsia="仿宋" w:cs="仿宋"/>
                <w:color w:val="auto"/>
                <w:spacing w:val="-9"/>
                <w:sz w:val="24"/>
                <w:szCs w:val="24"/>
                <w:highlight w:val="none"/>
              </w:rPr>
              <w:t>满分</w:t>
            </w:r>
            <w:r>
              <w:rPr>
                <w:rFonts w:hint="eastAsia" w:ascii="仿宋" w:hAnsi="仿宋" w:eastAsia="仿宋" w:cs="仿宋"/>
                <w:color w:val="auto"/>
                <w:spacing w:val="-9"/>
                <w:sz w:val="24"/>
                <w:szCs w:val="24"/>
                <w:highlight w:val="none"/>
                <w:lang w:val="en-US" w:eastAsia="zh-CN"/>
              </w:rPr>
              <w:t>40</w:t>
            </w:r>
            <w:r>
              <w:rPr>
                <w:rFonts w:hint="eastAsia" w:ascii="仿宋" w:hAnsi="仿宋" w:eastAsia="仿宋" w:cs="仿宋"/>
                <w:color w:val="auto"/>
                <w:spacing w:val="-30"/>
                <w:sz w:val="24"/>
                <w:szCs w:val="24"/>
                <w:highlight w:val="none"/>
              </w:rPr>
              <w:t>分</w:t>
            </w:r>
            <w:r>
              <w:rPr>
                <w:rFonts w:hint="eastAsia" w:ascii="仿宋" w:hAnsi="仿宋" w:eastAsia="仿宋" w:cs="仿宋"/>
                <w:color w:val="auto"/>
                <w:sz w:val="24"/>
                <w:szCs w:val="24"/>
                <w:highlight w:val="none"/>
              </w:rPr>
              <w:t>）</w:t>
            </w:r>
          </w:p>
          <w:p w14:paraId="7EAF3C75">
            <w:pPr>
              <w:pStyle w:val="11"/>
              <w:spacing w:line="360" w:lineRule="auto"/>
              <w:jc w:val="cente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sz w:val="24"/>
                <w:szCs w:val="24"/>
                <w:highlight w:val="none"/>
                <w:lang w:eastAsia="zh-CN"/>
              </w:rPr>
              <w:t>权重：</w:t>
            </w:r>
            <w:r>
              <w:rPr>
                <w:rFonts w:hint="eastAsia" w:ascii="仿宋" w:hAnsi="仿宋" w:eastAsia="仿宋" w:cs="仿宋"/>
                <w:color w:val="auto"/>
                <w:sz w:val="24"/>
                <w:szCs w:val="24"/>
                <w:highlight w:val="none"/>
                <w:lang w:val="en-US" w:eastAsia="zh-CN"/>
              </w:rPr>
              <w:t>1</w:t>
            </w:r>
          </w:p>
        </w:tc>
        <w:tc>
          <w:tcPr>
            <w:tcW w:w="492" w:type="pct"/>
            <w:tcBorders>
              <w:top w:val="single" w:color="auto" w:sz="4" w:space="0"/>
              <w:left w:val="single" w:color="auto" w:sz="4" w:space="0"/>
              <w:bottom w:val="single" w:color="auto" w:sz="4" w:space="0"/>
              <w:right w:val="single" w:color="auto" w:sz="4" w:space="0"/>
            </w:tcBorders>
            <w:vAlign w:val="center"/>
          </w:tcPr>
          <w:p w14:paraId="4BBBBF18">
            <w:pPr>
              <w:pStyle w:val="69"/>
              <w:spacing w:before="1" w:line="364" w:lineRule="auto"/>
              <w:ind w:right="95"/>
              <w:jc w:val="both"/>
              <w:rPr>
                <w:rFonts w:hint="eastAsia" w:ascii="仿宋" w:hAnsi="仿宋" w:eastAsia="仿宋" w:cs="仿宋"/>
                <w:color w:val="auto"/>
                <w:sz w:val="24"/>
                <w:szCs w:val="24"/>
                <w:highlight w:val="none"/>
                <w:lang w:val="en-US" w:eastAsia="zh-CN"/>
              </w:rPr>
            </w:pPr>
            <w:bookmarkStart w:id="676" w:name="OLE_LINK18"/>
            <w:r>
              <w:rPr>
                <w:rFonts w:hint="eastAsia" w:ascii="仿宋" w:hAnsi="仿宋" w:eastAsia="仿宋" w:cs="仿宋"/>
                <w:color w:val="auto"/>
                <w:sz w:val="24"/>
                <w:szCs w:val="24"/>
                <w:highlight w:val="none"/>
              </w:rPr>
              <w:t>技术</w:t>
            </w:r>
            <w:r>
              <w:rPr>
                <w:rFonts w:hint="eastAsia" w:ascii="仿宋" w:hAnsi="仿宋" w:eastAsia="仿宋" w:cs="仿宋"/>
                <w:color w:val="auto"/>
                <w:sz w:val="24"/>
                <w:szCs w:val="24"/>
                <w:highlight w:val="none"/>
                <w:lang w:val="en-US" w:eastAsia="zh-CN"/>
              </w:rPr>
              <w:t>及</w:t>
            </w:r>
            <w:r>
              <w:rPr>
                <w:rFonts w:hint="eastAsia" w:ascii="仿宋" w:hAnsi="仿宋" w:eastAsia="仿宋" w:cs="仿宋"/>
                <w:color w:val="auto"/>
                <w:sz w:val="24"/>
                <w:szCs w:val="24"/>
                <w:highlight w:val="none"/>
              </w:rPr>
              <w:t>性能指标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满分30分</w:t>
            </w:r>
            <w:r>
              <w:rPr>
                <w:rFonts w:hint="eastAsia" w:ascii="仿宋" w:hAnsi="仿宋" w:eastAsia="仿宋" w:cs="仿宋"/>
                <w:color w:val="auto"/>
                <w:sz w:val="24"/>
                <w:szCs w:val="24"/>
                <w:highlight w:val="none"/>
                <w:lang w:eastAsia="zh-CN"/>
              </w:rPr>
              <w:t>）</w:t>
            </w:r>
            <w:bookmarkEnd w:id="676"/>
          </w:p>
        </w:tc>
        <w:tc>
          <w:tcPr>
            <w:tcW w:w="3262" w:type="pct"/>
            <w:tcBorders>
              <w:top w:val="single" w:color="auto" w:sz="4" w:space="0"/>
              <w:left w:val="single" w:color="auto" w:sz="4" w:space="0"/>
              <w:bottom w:val="single" w:color="auto" w:sz="4" w:space="0"/>
              <w:right w:val="single" w:color="auto" w:sz="4" w:space="0"/>
            </w:tcBorders>
            <w:vAlign w:val="center"/>
          </w:tcPr>
          <w:p w14:paraId="31AF7383">
            <w:pPr>
              <w:pStyle w:val="69"/>
              <w:numPr>
                <w:ilvl w:val="0"/>
                <w:numId w:val="0"/>
              </w:numPr>
              <w:spacing w:before="1" w:line="364" w:lineRule="auto"/>
              <w:ind w:right="95" w:rightChars="0"/>
              <w:jc w:val="both"/>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投标人所投产品必须提供</w:t>
            </w:r>
            <w:r>
              <w:rPr>
                <w:rFonts w:hint="eastAsia" w:ascii="仿宋" w:hAnsi="仿宋" w:eastAsia="仿宋" w:cs="仿宋"/>
                <w:b w:val="0"/>
                <w:bCs w:val="0"/>
                <w:color w:val="auto"/>
                <w:sz w:val="24"/>
                <w:szCs w:val="24"/>
                <w:highlight w:val="none"/>
                <w:lang w:val="en-US" w:eastAsia="zh-CN"/>
              </w:rPr>
              <w:t>2026年至</w:t>
            </w:r>
            <w:r>
              <w:rPr>
                <w:rFonts w:hint="eastAsia" w:ascii="仿宋" w:hAnsi="仿宋" w:eastAsia="仿宋" w:cs="仿宋"/>
                <w:b w:val="0"/>
                <w:bCs w:val="0"/>
                <w:color w:val="auto"/>
                <w:sz w:val="24"/>
                <w:szCs w:val="24"/>
                <w:highlight w:val="none"/>
              </w:rPr>
              <w:t>本项目投标报名截止</w:t>
            </w:r>
            <w:r>
              <w:rPr>
                <w:rFonts w:hint="eastAsia" w:ascii="仿宋" w:hAnsi="仿宋" w:eastAsia="仿宋" w:cs="仿宋"/>
                <w:b w:val="0"/>
                <w:bCs w:val="0"/>
                <w:color w:val="auto"/>
                <w:sz w:val="24"/>
                <w:szCs w:val="24"/>
                <w:highlight w:val="none"/>
                <w:lang w:val="en-US" w:eastAsia="zh-CN"/>
              </w:rPr>
              <w:t>日期期间内</w:t>
            </w:r>
            <w:r>
              <w:rPr>
                <w:rFonts w:hint="eastAsia" w:ascii="仿宋" w:hAnsi="仿宋" w:eastAsia="仿宋" w:cs="仿宋"/>
                <w:b/>
                <w:bCs/>
                <w:color w:val="auto"/>
                <w:sz w:val="24"/>
                <w:szCs w:val="24"/>
                <w:highlight w:val="none"/>
              </w:rPr>
              <w:t>连续三批次</w:t>
            </w:r>
            <w:r>
              <w:rPr>
                <w:rFonts w:hint="eastAsia" w:ascii="仿宋" w:hAnsi="仿宋" w:eastAsia="仿宋" w:cs="仿宋"/>
                <w:b w:val="0"/>
                <w:bCs w:val="0"/>
                <w:color w:val="auto"/>
                <w:sz w:val="24"/>
                <w:szCs w:val="24"/>
                <w:highlight w:val="none"/>
                <w:lang w:val="en-US" w:eastAsia="zh-CN"/>
              </w:rPr>
              <w:t>合格有效的检验报告</w:t>
            </w:r>
            <w:r>
              <w:rPr>
                <w:rFonts w:hint="eastAsia" w:ascii="仿宋" w:hAnsi="仿宋" w:eastAsia="仿宋" w:cs="仿宋"/>
                <w:color w:val="auto"/>
                <w:sz w:val="24"/>
                <w:szCs w:val="24"/>
                <w:highlight w:val="none"/>
                <w:lang w:val="en-US" w:eastAsia="zh-CN"/>
              </w:rPr>
              <w:t>（</w:t>
            </w:r>
            <w:r>
              <w:rPr>
                <w:rFonts w:hint="eastAsia" w:ascii="仿宋" w:hAnsi="仿宋" w:eastAsia="仿宋" w:cs="仿宋"/>
                <w:b/>
                <w:bCs/>
                <w:color w:val="auto"/>
                <w:sz w:val="24"/>
                <w:szCs w:val="24"/>
                <w:highlight w:val="none"/>
                <w:lang w:val="en-US" w:eastAsia="zh-CN"/>
              </w:rPr>
              <w:t>检验报告是指由中国兽医药品监察所审核意见的《兽用生物制品生产与检验报告》</w:t>
            </w:r>
            <w:r>
              <w:rPr>
                <w:rFonts w:hint="eastAsia" w:ascii="仿宋" w:hAnsi="仿宋" w:eastAsia="仿宋" w:cs="仿宋"/>
                <w:color w:val="auto"/>
                <w:sz w:val="24"/>
                <w:szCs w:val="24"/>
                <w:highlight w:val="none"/>
                <w:lang w:val="en-US" w:eastAsia="zh-CN"/>
              </w:rPr>
              <w:t>）等相关技术参数和性能指标的证明资料(注：未提供连续三批次检测报告或提供的连续三批次检测报告中有一批次及以上检测结果不合格的，技术及性能指标不得分)。</w:t>
            </w:r>
          </w:p>
          <w:p w14:paraId="59050F91">
            <w:pPr>
              <w:pStyle w:val="69"/>
              <w:numPr>
                <w:ilvl w:val="0"/>
                <w:numId w:val="0"/>
              </w:numPr>
              <w:spacing w:before="1" w:line="364" w:lineRule="auto"/>
              <w:ind w:right="95" w:rightChars="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招标文件技术参数要求并同时满足国家对该产品的技术生产要求，并按顺序要求提供所投产品的产品说明书、使用范围、使用方法、注意事项、产品彩页等。</w:t>
            </w:r>
          </w:p>
          <w:p w14:paraId="78E4A856">
            <w:pPr>
              <w:pStyle w:val="69"/>
              <w:numPr>
                <w:ilvl w:val="0"/>
                <w:numId w:val="0"/>
              </w:numPr>
              <w:spacing w:before="1" w:line="364" w:lineRule="auto"/>
              <w:ind w:right="95" w:rightChars="0"/>
              <w:jc w:val="both"/>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连续三批次</w:t>
            </w:r>
            <w:r>
              <w:rPr>
                <w:rFonts w:hint="eastAsia" w:ascii="仿宋" w:hAnsi="仿宋" w:eastAsia="仿宋" w:cs="仿宋"/>
                <w:b/>
                <w:bCs/>
                <w:color w:val="auto"/>
                <w:sz w:val="24"/>
                <w:szCs w:val="24"/>
                <w:highlight w:val="none"/>
                <w:lang w:val="en-US" w:eastAsia="zh-CN"/>
              </w:rPr>
              <w:t>检验结果（满分2分）</w:t>
            </w:r>
          </w:p>
          <w:p w14:paraId="24C4F02D">
            <w:pPr>
              <w:pStyle w:val="69"/>
              <w:numPr>
                <w:ilvl w:val="0"/>
                <w:numId w:val="0"/>
              </w:numPr>
              <w:spacing w:before="1" w:line="364" w:lineRule="auto"/>
              <w:ind w:right="95" w:rightChars="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①所提供的投标产品相关资料按上述招标技术要求和顺序要求提供完整齐全，所提供的检验报告为</w:t>
            </w:r>
            <w:r>
              <w:rPr>
                <w:rFonts w:hint="eastAsia" w:ascii="仿宋" w:hAnsi="仿宋" w:eastAsia="仿宋" w:cs="仿宋"/>
                <w:b/>
                <w:bCs/>
                <w:color w:val="auto"/>
                <w:sz w:val="24"/>
                <w:szCs w:val="24"/>
                <w:highlight w:val="none"/>
                <w:lang w:val="en-US" w:eastAsia="zh-CN"/>
              </w:rPr>
              <w:t>中国兽医药品监察所审核意见的《兽用生物制品生产与检验报告》</w:t>
            </w:r>
            <w:r>
              <w:rPr>
                <w:rFonts w:hint="eastAsia" w:ascii="仿宋" w:hAnsi="仿宋" w:eastAsia="仿宋" w:cs="仿宋"/>
                <w:color w:val="auto"/>
                <w:sz w:val="24"/>
                <w:szCs w:val="24"/>
                <w:highlight w:val="none"/>
                <w:lang w:val="en-US" w:eastAsia="zh-CN"/>
              </w:rPr>
              <w:t>，检验项目包含疫苗效力、内毒素等主要指标，检验结果均</w:t>
            </w:r>
            <w:r>
              <w:rPr>
                <w:rFonts w:hint="eastAsia" w:ascii="仿宋" w:hAnsi="仿宋" w:eastAsia="仿宋" w:cs="仿宋"/>
                <w:b/>
                <w:bCs/>
                <w:color w:val="auto"/>
                <w:sz w:val="24"/>
                <w:szCs w:val="24"/>
                <w:highlight w:val="none"/>
                <w:lang w:val="en-US" w:eastAsia="zh-CN"/>
              </w:rPr>
              <w:t>高于</w:t>
            </w:r>
            <w:r>
              <w:rPr>
                <w:rFonts w:hint="eastAsia" w:ascii="仿宋" w:hAnsi="仿宋" w:eastAsia="仿宋" w:cs="仿宋"/>
                <w:color w:val="auto"/>
                <w:sz w:val="24"/>
                <w:szCs w:val="24"/>
                <w:highlight w:val="none"/>
                <w:lang w:val="en-US" w:eastAsia="zh-CN"/>
              </w:rPr>
              <w:t>国家标准的，得2分；检验结果</w:t>
            </w:r>
            <w:r>
              <w:rPr>
                <w:rFonts w:hint="eastAsia" w:ascii="仿宋" w:hAnsi="仿宋" w:eastAsia="仿宋" w:cs="仿宋"/>
                <w:b/>
                <w:bCs/>
                <w:color w:val="auto"/>
                <w:sz w:val="24"/>
                <w:szCs w:val="24"/>
                <w:highlight w:val="none"/>
                <w:lang w:val="en-US" w:eastAsia="zh-CN"/>
              </w:rPr>
              <w:t>刚好达到</w:t>
            </w:r>
            <w:r>
              <w:rPr>
                <w:rFonts w:hint="eastAsia" w:ascii="仿宋" w:hAnsi="仿宋" w:eastAsia="仿宋" w:cs="仿宋"/>
                <w:color w:val="auto"/>
                <w:sz w:val="24"/>
                <w:szCs w:val="24"/>
                <w:highlight w:val="none"/>
                <w:lang w:val="en-US" w:eastAsia="zh-CN"/>
              </w:rPr>
              <w:t>国家标准的得1分；检验结果低于国家标准的得0分。</w:t>
            </w:r>
          </w:p>
          <w:p w14:paraId="3055BA74">
            <w:pPr>
              <w:pStyle w:val="69"/>
              <w:numPr>
                <w:ilvl w:val="0"/>
                <w:numId w:val="0"/>
              </w:numPr>
              <w:spacing w:before="1" w:line="364" w:lineRule="auto"/>
              <w:ind w:right="95" w:rightChars="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②存在：不提供投标产品资料、提供的投标产品资料不齐全、缺少合格有效的检验报告、</w:t>
            </w:r>
            <w:r>
              <w:rPr>
                <w:rFonts w:hint="eastAsia" w:ascii="仿宋" w:hAnsi="仿宋" w:eastAsia="仿宋" w:cs="仿宋"/>
                <w:b w:val="0"/>
                <w:bCs w:val="0"/>
                <w:color w:val="auto"/>
                <w:sz w:val="24"/>
                <w:szCs w:val="24"/>
                <w:highlight w:val="none"/>
                <w:lang w:val="en-US" w:eastAsia="zh-CN"/>
              </w:rPr>
              <w:t>提供的检验报告是由其他检测机构出具的（非中国兽医药品监察所审核意见的《兽用生物制品生产与检验报告》）</w:t>
            </w:r>
            <w:r>
              <w:rPr>
                <w:rFonts w:hint="eastAsia" w:ascii="仿宋" w:hAnsi="仿宋" w:eastAsia="仿宋" w:cs="仿宋"/>
                <w:color w:val="auto"/>
                <w:sz w:val="24"/>
                <w:szCs w:val="24"/>
                <w:highlight w:val="none"/>
                <w:lang w:val="en-US" w:eastAsia="zh-CN"/>
              </w:rPr>
              <w:t>、所提供的产品资料表明所投产品满足不了招标技术参数和性能指标需求等</w:t>
            </w:r>
            <w:r>
              <w:rPr>
                <w:rFonts w:hint="eastAsia" w:ascii="仿宋" w:hAnsi="仿宋" w:eastAsia="仿宋" w:cs="仿宋"/>
                <w:b/>
                <w:bCs/>
                <w:color w:val="auto"/>
                <w:sz w:val="24"/>
                <w:szCs w:val="24"/>
                <w:highlight w:val="none"/>
                <w:lang w:val="en-US" w:eastAsia="zh-CN"/>
              </w:rPr>
              <w:t>所列情况之一的</w:t>
            </w:r>
            <w:r>
              <w:rPr>
                <w:rFonts w:hint="eastAsia" w:ascii="仿宋" w:hAnsi="仿宋" w:eastAsia="仿宋" w:cs="仿宋"/>
                <w:color w:val="auto"/>
                <w:sz w:val="24"/>
                <w:szCs w:val="24"/>
                <w:highlight w:val="none"/>
                <w:lang w:val="en-US" w:eastAsia="zh-CN"/>
              </w:rPr>
              <w:t>，得0分。</w:t>
            </w:r>
          </w:p>
          <w:p w14:paraId="0F847277">
            <w:pPr>
              <w:pStyle w:val="69"/>
              <w:numPr>
                <w:ilvl w:val="0"/>
                <w:numId w:val="0"/>
              </w:numPr>
              <w:spacing w:before="1" w:line="364" w:lineRule="auto"/>
              <w:ind w:right="95" w:rightChars="0"/>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rPr>
              <w:t>连续三次批签发</w:t>
            </w:r>
            <w:r>
              <w:rPr>
                <w:rFonts w:hint="eastAsia" w:ascii="仿宋" w:hAnsi="仿宋" w:eastAsia="仿宋" w:cs="仿宋"/>
                <w:b/>
                <w:bCs/>
                <w:color w:val="auto"/>
                <w:sz w:val="24"/>
                <w:szCs w:val="24"/>
                <w:highlight w:val="none"/>
                <w:lang w:val="en-US" w:eastAsia="zh-CN"/>
              </w:rPr>
              <w:t>指标（满分26分）</w:t>
            </w:r>
          </w:p>
          <w:p w14:paraId="43D66480">
            <w:pPr>
              <w:pStyle w:val="69"/>
              <w:spacing w:before="1" w:line="364" w:lineRule="auto"/>
              <w:ind w:right="95"/>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①连续三次批签发PD50平均值与各批次PD50误差≤</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%的得</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%＜误差≤</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%的得</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%＜误差≤1</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%的得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分，误差＞1</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%的得0分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口蹄疫合成肽疫苗连续三次批签发PD50平均值与各批次PD50误差≤5%的得</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分，5%＜误差≤10%的得</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分，误差＞10%的得0分</w:t>
            </w:r>
            <w:r>
              <w:rPr>
                <w:rFonts w:hint="eastAsia" w:ascii="仿宋" w:hAnsi="仿宋" w:eastAsia="仿宋" w:cs="仿宋"/>
                <w:color w:val="auto"/>
                <w:sz w:val="24"/>
                <w:szCs w:val="24"/>
                <w:highlight w:val="none"/>
                <w:lang w:eastAsia="zh-CN"/>
              </w:rPr>
              <w:t>）；</w:t>
            </w:r>
          </w:p>
          <w:p w14:paraId="7C818D28">
            <w:pPr>
              <w:pStyle w:val="69"/>
              <w:spacing w:before="1" w:line="364" w:lineRule="auto"/>
              <w:ind w:right="95"/>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②连续三次批签发粘度检测平均值与各批次粘度检测值误差≤5%的得</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分，5%＜误差≤10%的得</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分，10%＜误差≤15%的得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分，误差＞15%的得0分</w:t>
            </w:r>
            <w:r>
              <w:rPr>
                <w:rFonts w:hint="eastAsia" w:ascii="仿宋" w:hAnsi="仿宋" w:eastAsia="仿宋" w:cs="仿宋"/>
                <w:color w:val="auto"/>
                <w:sz w:val="24"/>
                <w:szCs w:val="24"/>
                <w:highlight w:val="none"/>
                <w:lang w:eastAsia="zh-CN"/>
              </w:rPr>
              <w:t>；</w:t>
            </w:r>
          </w:p>
          <w:p w14:paraId="3ED60046">
            <w:pPr>
              <w:pStyle w:val="69"/>
              <w:spacing w:before="1" w:line="364" w:lineRule="auto"/>
              <w:ind w:right="95"/>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③疫苗连续三次批签发蛋白检测平均值与各批次蛋白检测值误差≤5%的得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分，5%＜误差≤10%的得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分，误差＞10%的得0分（</w:t>
            </w:r>
            <w:r>
              <w:rPr>
                <w:rFonts w:hint="eastAsia" w:ascii="仿宋" w:hAnsi="仿宋" w:eastAsia="仿宋" w:cs="仿宋"/>
                <w:b/>
                <w:bCs/>
                <w:color w:val="auto"/>
                <w:sz w:val="24"/>
                <w:szCs w:val="24"/>
                <w:highlight w:val="none"/>
              </w:rPr>
              <w:t>口蹄疫合成肽疫苗此项</w:t>
            </w:r>
            <w:r>
              <w:rPr>
                <w:rFonts w:hint="eastAsia" w:ascii="仿宋" w:hAnsi="仿宋" w:eastAsia="仿宋" w:cs="仿宋"/>
                <w:b/>
                <w:bCs/>
                <w:color w:val="auto"/>
                <w:sz w:val="24"/>
                <w:szCs w:val="24"/>
                <w:highlight w:val="none"/>
                <w:lang w:val="en-US" w:eastAsia="zh-CN"/>
              </w:rPr>
              <w:t>不评分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p>
          <w:p w14:paraId="552A9B3B">
            <w:pPr>
              <w:pStyle w:val="69"/>
              <w:spacing w:before="1" w:line="364" w:lineRule="auto"/>
              <w:ind w:right="95"/>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④疫苗连续三次批签发内毒素检测值平均值≤1EU/头份的得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分，1EU/头份＜平均值≤3EU/头份的得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平均值</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EU/头份的得0分（</w:t>
            </w:r>
            <w:r>
              <w:rPr>
                <w:rFonts w:hint="eastAsia" w:ascii="仿宋" w:hAnsi="仿宋" w:eastAsia="仿宋" w:cs="仿宋"/>
                <w:b/>
                <w:bCs/>
                <w:color w:val="auto"/>
                <w:sz w:val="24"/>
                <w:szCs w:val="24"/>
                <w:highlight w:val="none"/>
              </w:rPr>
              <w:t>口蹄疫合成肽疫苗此项</w:t>
            </w:r>
            <w:r>
              <w:rPr>
                <w:rFonts w:hint="eastAsia" w:ascii="仿宋" w:hAnsi="仿宋" w:eastAsia="仿宋" w:cs="仿宋"/>
                <w:b/>
                <w:bCs/>
                <w:color w:val="auto"/>
                <w:sz w:val="24"/>
                <w:szCs w:val="24"/>
                <w:highlight w:val="none"/>
                <w:lang w:val="en-US" w:eastAsia="zh-CN"/>
              </w:rPr>
              <w:t>不</w:t>
            </w:r>
            <w:r>
              <w:rPr>
                <w:rFonts w:hint="eastAsia" w:ascii="仿宋" w:hAnsi="仿宋" w:eastAsia="仿宋" w:cs="仿宋"/>
                <w:b/>
                <w:bCs/>
                <w:color w:val="auto"/>
                <w:sz w:val="24"/>
                <w:szCs w:val="24"/>
                <w:highlight w:val="none"/>
              </w:rPr>
              <w:t>评分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p>
          <w:p w14:paraId="0440D8FA">
            <w:pPr>
              <w:pStyle w:val="69"/>
              <w:spacing w:before="1" w:line="364" w:lineRule="auto"/>
              <w:ind w:right="95"/>
              <w:jc w:val="both"/>
              <w:rPr>
                <w:rFonts w:hint="eastAsia" w:ascii="仿宋" w:hAnsi="仿宋" w:eastAsia="仿宋" w:cs="仿宋"/>
                <w:b/>
                <w:bCs/>
                <w:color w:val="auto"/>
                <w:kern w:val="2"/>
                <w:sz w:val="24"/>
                <w:szCs w:val="24"/>
                <w:highlight w:val="none"/>
                <w:lang w:val="en-US" w:eastAsia="zh-CN" w:bidi="zh-CN"/>
              </w:rPr>
            </w:pPr>
            <w:r>
              <w:rPr>
                <w:rFonts w:hint="eastAsia" w:ascii="仿宋" w:hAnsi="仿宋" w:eastAsia="仿宋" w:cs="仿宋"/>
                <w:color w:val="auto"/>
                <w:sz w:val="24"/>
                <w:szCs w:val="24"/>
                <w:highlight w:val="none"/>
              </w:rPr>
              <w:t>⑤口蹄疫合成肽疫苗连续三次批签发的PD50值离散度均在±1以内得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分，均在±2以内得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分，有一个或以上批次疫苗PD50值离散度超出得分范围的得</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分。（注：批签发报告中</w:t>
            </w:r>
            <w:r>
              <w:rPr>
                <w:rFonts w:hint="eastAsia" w:ascii="仿宋" w:hAnsi="仿宋" w:eastAsia="仿宋" w:cs="仿宋"/>
                <w:color w:val="auto"/>
                <w:sz w:val="24"/>
                <w:szCs w:val="24"/>
                <w:highlight w:val="none"/>
                <w:lang w:val="en-US" w:eastAsia="zh-CN"/>
              </w:rPr>
              <w:t>不能体现</w:t>
            </w:r>
            <w:r>
              <w:rPr>
                <w:rFonts w:hint="eastAsia" w:ascii="仿宋" w:hAnsi="仿宋" w:eastAsia="仿宋" w:cs="仿宋"/>
                <w:color w:val="auto"/>
                <w:sz w:val="24"/>
                <w:szCs w:val="24"/>
                <w:highlight w:val="none"/>
              </w:rPr>
              <w:t>此项指标数值，需提供政府行政主管部</w:t>
            </w:r>
            <w:r>
              <w:rPr>
                <w:rFonts w:hint="eastAsia" w:ascii="仿宋" w:hAnsi="仿宋" w:eastAsia="仿宋" w:cs="仿宋"/>
                <w:color w:val="auto"/>
                <w:sz w:val="24"/>
                <w:szCs w:val="24"/>
                <w:highlight w:val="none"/>
                <w:lang w:val="en-US" w:eastAsia="zh-CN"/>
              </w:rPr>
              <w:t>门</w:t>
            </w:r>
            <w:r>
              <w:rPr>
                <w:rFonts w:hint="eastAsia" w:ascii="仿宋" w:hAnsi="仿宋" w:eastAsia="仿宋" w:cs="仿宋"/>
                <w:color w:val="auto"/>
                <w:sz w:val="24"/>
                <w:szCs w:val="24"/>
                <w:highlight w:val="none"/>
              </w:rPr>
              <w:t>认可的具有相应资质的权威检测机构出具的检测报告做为证明材料）</w:t>
            </w:r>
            <w:r>
              <w:rPr>
                <w:rFonts w:hint="eastAsia" w:ascii="仿宋" w:hAnsi="仿宋" w:eastAsia="仿宋" w:cs="仿宋"/>
                <w:color w:val="auto"/>
                <w:sz w:val="24"/>
                <w:szCs w:val="24"/>
                <w:highlight w:val="none"/>
                <w:lang w:eastAsia="zh-CN"/>
              </w:rPr>
              <w:t>（</w:t>
            </w:r>
            <w:r>
              <w:rPr>
                <w:rFonts w:hint="eastAsia" w:ascii="仿宋" w:hAnsi="仿宋" w:eastAsia="仿宋" w:cs="仿宋"/>
                <w:b/>
                <w:bCs/>
                <w:color w:val="auto"/>
                <w:sz w:val="24"/>
                <w:szCs w:val="24"/>
                <w:highlight w:val="none"/>
              </w:rPr>
              <w:t>口蹄疫</w:t>
            </w:r>
            <w:r>
              <w:rPr>
                <w:rFonts w:hint="eastAsia" w:ascii="仿宋" w:hAnsi="仿宋" w:eastAsia="仿宋" w:cs="仿宋"/>
                <w:b/>
                <w:bCs/>
                <w:color w:val="auto"/>
                <w:sz w:val="24"/>
                <w:szCs w:val="24"/>
                <w:highlight w:val="none"/>
                <w:lang w:val="en-US" w:eastAsia="zh-CN"/>
              </w:rPr>
              <w:t>灭活</w:t>
            </w:r>
            <w:r>
              <w:rPr>
                <w:rFonts w:hint="eastAsia" w:ascii="仿宋" w:hAnsi="仿宋" w:eastAsia="仿宋" w:cs="仿宋"/>
                <w:b/>
                <w:bCs/>
                <w:color w:val="auto"/>
                <w:sz w:val="24"/>
                <w:szCs w:val="24"/>
                <w:highlight w:val="none"/>
              </w:rPr>
              <w:t>疫苗此项</w:t>
            </w:r>
            <w:r>
              <w:rPr>
                <w:rFonts w:hint="eastAsia" w:ascii="仿宋" w:hAnsi="仿宋" w:eastAsia="仿宋" w:cs="仿宋"/>
                <w:b/>
                <w:bCs/>
                <w:color w:val="auto"/>
                <w:sz w:val="24"/>
                <w:szCs w:val="24"/>
                <w:highlight w:val="none"/>
                <w:lang w:val="en-US" w:eastAsia="zh-CN"/>
              </w:rPr>
              <w:t>不</w:t>
            </w:r>
            <w:r>
              <w:rPr>
                <w:rFonts w:hint="eastAsia" w:ascii="仿宋" w:hAnsi="仿宋" w:eastAsia="仿宋" w:cs="仿宋"/>
                <w:b/>
                <w:bCs/>
                <w:color w:val="auto"/>
                <w:sz w:val="24"/>
                <w:szCs w:val="24"/>
                <w:highlight w:val="none"/>
              </w:rPr>
              <w:t>评分</w:t>
            </w:r>
            <w:r>
              <w:rPr>
                <w:rFonts w:hint="eastAsia" w:ascii="仿宋" w:hAnsi="仿宋" w:eastAsia="仿宋" w:cs="仿宋"/>
                <w:color w:val="auto"/>
                <w:sz w:val="24"/>
                <w:szCs w:val="24"/>
                <w:highlight w:val="none"/>
                <w:lang w:eastAsia="zh-CN"/>
              </w:rPr>
              <w:t>）。</w:t>
            </w:r>
          </w:p>
          <w:p w14:paraId="5D3B8EBF">
            <w:pPr>
              <w:spacing w:line="380" w:lineRule="exact"/>
              <w:rPr>
                <w:rFonts w:hint="eastAsia" w:ascii="仿宋" w:hAnsi="仿宋" w:eastAsia="仿宋" w:cs="仿宋"/>
                <w:b/>
                <w:bCs/>
                <w:color w:val="auto"/>
                <w:kern w:val="2"/>
                <w:sz w:val="24"/>
                <w:szCs w:val="24"/>
                <w:highlight w:val="none"/>
                <w:lang w:val="en-US" w:eastAsia="zh-CN" w:bidi="zh-CN"/>
              </w:rPr>
            </w:pPr>
            <w:r>
              <w:rPr>
                <w:rFonts w:hint="eastAsia" w:ascii="仿宋" w:hAnsi="仿宋" w:eastAsia="仿宋" w:cs="仿宋"/>
                <w:b/>
                <w:bCs/>
                <w:color w:val="auto"/>
                <w:kern w:val="2"/>
                <w:sz w:val="24"/>
                <w:szCs w:val="24"/>
                <w:highlight w:val="none"/>
                <w:lang w:val="en-US" w:eastAsia="zh-CN" w:bidi="zh-CN"/>
              </w:rPr>
              <w:t>3.抗原含量（满分2分）</w:t>
            </w:r>
          </w:p>
          <w:p w14:paraId="44F44BB5">
            <w:pPr>
              <w:spacing w:line="380" w:lineRule="exact"/>
              <w:rPr>
                <w:rFonts w:hint="eastAsia" w:ascii="仿宋" w:hAnsi="仿宋" w:eastAsia="仿宋" w:cs="仿宋"/>
                <w:b/>
                <w:bCs/>
                <w:color w:val="auto"/>
                <w:sz w:val="24"/>
                <w:szCs w:val="24"/>
                <w:highlight w:val="none"/>
                <w:lang w:val="zh-CN" w:eastAsia="zh-CN"/>
              </w:rPr>
            </w:pPr>
            <w:r>
              <w:rPr>
                <w:rFonts w:hint="eastAsia" w:ascii="仿宋" w:hAnsi="仿宋" w:eastAsia="仿宋" w:cs="仿宋"/>
                <w:color w:val="auto"/>
                <w:sz w:val="24"/>
                <w:szCs w:val="24"/>
                <w:highlight w:val="none"/>
              </w:rPr>
              <w:t>①</w:t>
            </w:r>
            <w:r>
              <w:rPr>
                <w:rFonts w:hint="eastAsia" w:ascii="仿宋" w:hAnsi="仿宋" w:eastAsia="仿宋" w:cs="仿宋"/>
                <w:color w:val="auto"/>
                <w:kern w:val="2"/>
                <w:sz w:val="24"/>
                <w:szCs w:val="24"/>
                <w:highlight w:val="none"/>
                <w:lang w:val="zh-CN" w:eastAsia="zh-CN" w:bidi="zh-CN"/>
              </w:rPr>
              <w:t>所投口蹄疫灭活疫苗产品每头份疫苗抗原（146S）含量检测，含量≥10μg得2分，5μg≤含量＜10μg得1分，含量＜5μg得0分；</w:t>
            </w:r>
            <w:r>
              <w:rPr>
                <w:rFonts w:hint="eastAsia" w:ascii="仿宋" w:hAnsi="仿宋" w:eastAsia="仿宋" w:cs="仿宋"/>
                <w:b/>
                <w:bCs/>
                <w:color w:val="auto"/>
                <w:kern w:val="2"/>
                <w:sz w:val="24"/>
                <w:szCs w:val="24"/>
                <w:highlight w:val="none"/>
                <w:lang w:val="zh-CN" w:eastAsia="zh-CN" w:bidi="zh-CN"/>
              </w:rPr>
              <w:t>（</w:t>
            </w:r>
            <w:r>
              <w:rPr>
                <w:rFonts w:hint="eastAsia" w:ascii="仿宋" w:hAnsi="仿宋" w:eastAsia="仿宋" w:cs="仿宋"/>
                <w:b/>
                <w:bCs/>
                <w:color w:val="auto"/>
                <w:sz w:val="24"/>
                <w:szCs w:val="24"/>
                <w:highlight w:val="none"/>
              </w:rPr>
              <w:t>口蹄疫合成肽疫苗</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zh-CN" w:eastAsia="zh-CN"/>
              </w:rPr>
              <w:t>猪口蹄疫病毒样颗粒疫苗</w:t>
            </w:r>
            <w:r>
              <w:rPr>
                <w:rFonts w:hint="eastAsia" w:ascii="仿宋" w:hAnsi="仿宋" w:eastAsia="仿宋" w:cs="仿宋"/>
                <w:b/>
                <w:bCs/>
                <w:color w:val="auto"/>
                <w:sz w:val="24"/>
                <w:szCs w:val="24"/>
                <w:highlight w:val="none"/>
              </w:rPr>
              <w:t>此项</w:t>
            </w:r>
            <w:r>
              <w:rPr>
                <w:rFonts w:hint="eastAsia" w:ascii="仿宋" w:hAnsi="仿宋" w:eastAsia="仿宋" w:cs="仿宋"/>
                <w:b/>
                <w:bCs/>
                <w:color w:val="auto"/>
                <w:sz w:val="24"/>
                <w:szCs w:val="24"/>
                <w:highlight w:val="none"/>
                <w:lang w:val="en-US" w:eastAsia="zh-CN"/>
              </w:rPr>
              <w:t>不评分</w:t>
            </w:r>
            <w:r>
              <w:rPr>
                <w:rFonts w:hint="eastAsia" w:ascii="仿宋" w:hAnsi="仿宋" w:eastAsia="仿宋" w:cs="仿宋"/>
                <w:b/>
                <w:bCs/>
                <w:color w:val="auto"/>
                <w:sz w:val="24"/>
                <w:szCs w:val="24"/>
                <w:highlight w:val="none"/>
                <w:lang w:val="zh-CN" w:eastAsia="zh-CN"/>
              </w:rPr>
              <w:t>）</w:t>
            </w:r>
          </w:p>
          <w:p w14:paraId="080744D8">
            <w:pPr>
              <w:spacing w:line="380" w:lineRule="exact"/>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②</w:t>
            </w:r>
            <w:r>
              <w:rPr>
                <w:rFonts w:hint="eastAsia" w:ascii="仿宋" w:hAnsi="仿宋" w:eastAsia="仿宋" w:cs="仿宋"/>
                <w:color w:val="auto"/>
                <w:kern w:val="2"/>
                <w:sz w:val="24"/>
                <w:szCs w:val="24"/>
                <w:highlight w:val="none"/>
                <w:lang w:val="zh-CN" w:eastAsia="zh-CN" w:bidi="zh-CN"/>
              </w:rPr>
              <w:t>猪口蹄疫病毒样颗粒疫苗75S含量≥75微克每头份得2分，猪口蹄疫病毒样颗粒疫苗75S含量＜75微克每头份得0分；</w:t>
            </w:r>
            <w:r>
              <w:rPr>
                <w:rFonts w:hint="eastAsia" w:ascii="仿宋" w:hAnsi="仿宋" w:eastAsia="仿宋" w:cs="仿宋"/>
                <w:color w:val="auto"/>
                <w:sz w:val="24"/>
                <w:szCs w:val="24"/>
                <w:highlight w:val="none"/>
              </w:rPr>
              <w:t>（</w:t>
            </w:r>
            <w:r>
              <w:rPr>
                <w:rFonts w:hint="eastAsia" w:ascii="仿宋" w:hAnsi="仿宋" w:eastAsia="仿宋" w:cs="仿宋"/>
                <w:b/>
                <w:bCs/>
                <w:color w:val="auto"/>
                <w:sz w:val="24"/>
                <w:szCs w:val="24"/>
                <w:highlight w:val="none"/>
              </w:rPr>
              <w:t>口蹄疫合成肽疫苗</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口蹄疫</w:t>
            </w:r>
            <w:r>
              <w:rPr>
                <w:rFonts w:hint="eastAsia" w:ascii="仿宋" w:hAnsi="仿宋" w:eastAsia="仿宋" w:cs="仿宋"/>
                <w:b/>
                <w:bCs/>
                <w:color w:val="auto"/>
                <w:sz w:val="24"/>
                <w:szCs w:val="24"/>
                <w:highlight w:val="none"/>
                <w:lang w:val="en-US" w:eastAsia="zh-CN"/>
              </w:rPr>
              <w:t>灭活</w:t>
            </w:r>
            <w:r>
              <w:rPr>
                <w:rFonts w:hint="eastAsia" w:ascii="仿宋" w:hAnsi="仿宋" w:eastAsia="仿宋" w:cs="仿宋"/>
                <w:b/>
                <w:bCs/>
                <w:color w:val="auto"/>
                <w:sz w:val="24"/>
                <w:szCs w:val="24"/>
                <w:highlight w:val="none"/>
              </w:rPr>
              <w:t>疫苗此项</w:t>
            </w:r>
            <w:r>
              <w:rPr>
                <w:rFonts w:hint="eastAsia" w:ascii="仿宋" w:hAnsi="仿宋" w:eastAsia="仿宋" w:cs="仿宋"/>
                <w:b/>
                <w:bCs/>
                <w:color w:val="auto"/>
                <w:sz w:val="24"/>
                <w:szCs w:val="24"/>
                <w:highlight w:val="none"/>
                <w:lang w:val="en-US" w:eastAsia="zh-CN"/>
              </w:rPr>
              <w:t>不评分</w:t>
            </w:r>
            <w:r>
              <w:rPr>
                <w:rFonts w:hint="eastAsia" w:ascii="仿宋" w:hAnsi="仿宋" w:eastAsia="仿宋" w:cs="仿宋"/>
                <w:color w:val="auto"/>
                <w:sz w:val="24"/>
                <w:szCs w:val="24"/>
                <w:highlight w:val="none"/>
              </w:rPr>
              <w:t>）</w:t>
            </w:r>
          </w:p>
          <w:p w14:paraId="185D2439">
            <w:pPr>
              <w:spacing w:line="380" w:lineRule="exact"/>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rPr>
              <w:t>③</w:t>
            </w:r>
            <w:r>
              <w:rPr>
                <w:rFonts w:hint="eastAsia" w:ascii="仿宋" w:hAnsi="仿宋" w:eastAsia="仿宋" w:cs="仿宋"/>
                <w:color w:val="auto"/>
                <w:kern w:val="2"/>
                <w:sz w:val="24"/>
                <w:szCs w:val="24"/>
                <w:highlight w:val="none"/>
                <w:lang w:val="zh-CN" w:eastAsia="zh-CN" w:bidi="zh-CN"/>
              </w:rPr>
              <w:t>猪口蹄疫O型合成肽疫苗效力检验含量≥6PD50/头份得</w:t>
            </w:r>
            <w:r>
              <w:rPr>
                <w:rFonts w:hint="eastAsia" w:ascii="仿宋" w:hAnsi="仿宋" w:eastAsia="仿宋" w:cs="仿宋"/>
                <w:color w:val="auto"/>
                <w:kern w:val="2"/>
                <w:sz w:val="24"/>
                <w:szCs w:val="24"/>
                <w:highlight w:val="none"/>
                <w:lang w:val="en-US" w:eastAsia="zh-CN" w:bidi="zh-CN"/>
              </w:rPr>
              <w:t>2分，含量</w:t>
            </w:r>
            <w:r>
              <w:rPr>
                <w:rFonts w:hint="eastAsia" w:ascii="仿宋" w:hAnsi="仿宋" w:eastAsia="仿宋" w:cs="仿宋"/>
                <w:color w:val="auto"/>
                <w:kern w:val="2"/>
                <w:sz w:val="24"/>
                <w:szCs w:val="24"/>
                <w:highlight w:val="none"/>
                <w:lang w:val="zh-CN" w:eastAsia="zh-CN" w:bidi="zh-CN"/>
              </w:rPr>
              <w:t>＜6PD50/头份得</w:t>
            </w:r>
            <w:r>
              <w:rPr>
                <w:rFonts w:hint="eastAsia" w:ascii="仿宋" w:hAnsi="仿宋" w:eastAsia="仿宋" w:cs="仿宋"/>
                <w:color w:val="auto"/>
                <w:kern w:val="2"/>
                <w:sz w:val="24"/>
                <w:szCs w:val="24"/>
                <w:highlight w:val="none"/>
                <w:lang w:val="en-US" w:eastAsia="zh-CN" w:bidi="zh-CN"/>
              </w:rPr>
              <w:t>0分</w:t>
            </w:r>
            <w:r>
              <w:rPr>
                <w:rFonts w:hint="eastAsia" w:ascii="仿宋" w:hAnsi="仿宋" w:eastAsia="仿宋" w:cs="仿宋"/>
                <w:color w:val="auto"/>
                <w:kern w:val="2"/>
                <w:sz w:val="24"/>
                <w:szCs w:val="24"/>
                <w:highlight w:val="none"/>
                <w:lang w:val="zh-CN" w:eastAsia="zh-CN" w:bidi="zh-CN"/>
              </w:rPr>
              <w:t>。</w:t>
            </w:r>
            <w:r>
              <w:rPr>
                <w:rFonts w:hint="eastAsia" w:ascii="仿宋" w:hAnsi="仿宋" w:eastAsia="仿宋" w:cs="仿宋"/>
                <w:b/>
                <w:bCs/>
                <w:color w:val="auto"/>
                <w:kern w:val="2"/>
                <w:sz w:val="24"/>
                <w:szCs w:val="24"/>
                <w:highlight w:val="none"/>
                <w:lang w:val="zh-CN" w:eastAsia="zh-CN" w:bidi="zh-CN"/>
              </w:rPr>
              <w:t>（</w:t>
            </w:r>
            <w:r>
              <w:rPr>
                <w:rFonts w:hint="eastAsia" w:ascii="仿宋" w:hAnsi="仿宋" w:eastAsia="仿宋" w:cs="仿宋"/>
                <w:b/>
                <w:bCs/>
                <w:color w:val="auto"/>
                <w:sz w:val="24"/>
                <w:szCs w:val="24"/>
                <w:highlight w:val="none"/>
                <w:lang w:val="zh-CN" w:eastAsia="zh-CN"/>
              </w:rPr>
              <w:t>猪口蹄疫病毒样颗粒疫苗、</w:t>
            </w:r>
            <w:r>
              <w:rPr>
                <w:rFonts w:hint="eastAsia" w:ascii="仿宋" w:hAnsi="仿宋" w:eastAsia="仿宋" w:cs="仿宋"/>
                <w:b/>
                <w:bCs/>
                <w:color w:val="auto"/>
                <w:sz w:val="24"/>
                <w:szCs w:val="24"/>
                <w:highlight w:val="none"/>
              </w:rPr>
              <w:t>口蹄疫</w:t>
            </w:r>
            <w:r>
              <w:rPr>
                <w:rFonts w:hint="eastAsia" w:ascii="仿宋" w:hAnsi="仿宋" w:eastAsia="仿宋" w:cs="仿宋"/>
                <w:b/>
                <w:bCs/>
                <w:color w:val="auto"/>
                <w:sz w:val="24"/>
                <w:szCs w:val="24"/>
                <w:highlight w:val="none"/>
                <w:lang w:val="en-US" w:eastAsia="zh-CN"/>
              </w:rPr>
              <w:t>灭活</w:t>
            </w:r>
            <w:r>
              <w:rPr>
                <w:rFonts w:hint="eastAsia" w:ascii="仿宋" w:hAnsi="仿宋" w:eastAsia="仿宋" w:cs="仿宋"/>
                <w:b/>
                <w:bCs/>
                <w:color w:val="auto"/>
                <w:sz w:val="24"/>
                <w:szCs w:val="24"/>
                <w:highlight w:val="none"/>
              </w:rPr>
              <w:t>疫苗此项</w:t>
            </w:r>
            <w:r>
              <w:rPr>
                <w:rFonts w:hint="eastAsia" w:ascii="仿宋" w:hAnsi="仿宋" w:eastAsia="仿宋" w:cs="仿宋"/>
                <w:b/>
                <w:bCs/>
                <w:color w:val="auto"/>
                <w:sz w:val="24"/>
                <w:szCs w:val="24"/>
                <w:highlight w:val="none"/>
                <w:lang w:val="en-US" w:eastAsia="zh-CN"/>
              </w:rPr>
              <w:t>不评分</w:t>
            </w:r>
            <w:r>
              <w:rPr>
                <w:rFonts w:hint="eastAsia" w:ascii="仿宋" w:hAnsi="仿宋" w:eastAsia="仿宋" w:cs="仿宋"/>
                <w:b/>
                <w:bCs/>
                <w:color w:val="auto"/>
                <w:kern w:val="2"/>
                <w:sz w:val="24"/>
                <w:szCs w:val="24"/>
                <w:highlight w:val="none"/>
                <w:lang w:val="zh-CN" w:eastAsia="zh-CN" w:bidi="zh-CN"/>
              </w:rPr>
              <w:t>）</w:t>
            </w:r>
          </w:p>
          <w:p w14:paraId="50729F8C">
            <w:pPr>
              <w:pStyle w:val="69"/>
              <w:spacing w:before="1" w:line="364" w:lineRule="auto"/>
              <w:ind w:right="95"/>
              <w:jc w:val="both"/>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注：</w:t>
            </w:r>
            <w:r>
              <w:rPr>
                <w:rFonts w:hint="eastAsia" w:ascii="仿宋" w:hAnsi="仿宋" w:eastAsia="仿宋" w:cs="仿宋"/>
                <w:b/>
                <w:bCs w:val="0"/>
                <w:color w:val="auto"/>
                <w:sz w:val="24"/>
                <w:szCs w:val="24"/>
                <w:highlight w:val="none"/>
                <w:lang w:val="en-US" w:eastAsia="zh-CN"/>
              </w:rPr>
              <w:t>本项得分=1+2+3，满分为30分。</w:t>
            </w:r>
            <w:r>
              <w:rPr>
                <w:rFonts w:hint="eastAsia" w:ascii="仿宋" w:hAnsi="仿宋" w:eastAsia="仿宋" w:cs="仿宋"/>
                <w:b/>
                <w:bCs/>
                <w:color w:val="auto"/>
                <w:sz w:val="24"/>
                <w:szCs w:val="24"/>
                <w:highlight w:val="none"/>
              </w:rPr>
              <w:t>投标单位需提供证明材料以供评审，如未提供，则按0分处理。</w:t>
            </w:r>
          </w:p>
        </w:tc>
      </w:tr>
      <w:tr w14:paraId="41E90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535" w:type="pct"/>
            <w:vMerge w:val="continue"/>
            <w:tcBorders>
              <w:left w:val="single" w:color="auto" w:sz="4" w:space="0"/>
              <w:right w:val="single" w:color="auto" w:sz="4" w:space="0"/>
            </w:tcBorders>
            <w:vAlign w:val="center"/>
          </w:tcPr>
          <w:p w14:paraId="4BD2A459">
            <w:pPr>
              <w:autoSpaceDE w:val="0"/>
              <w:autoSpaceDN w:val="0"/>
              <w:adjustRightInd w:val="0"/>
              <w:spacing w:line="360" w:lineRule="auto"/>
              <w:jc w:val="center"/>
              <w:rPr>
                <w:rFonts w:hint="eastAsia" w:ascii="仿宋" w:hAnsi="仿宋" w:eastAsia="仿宋" w:cs="仿宋"/>
                <w:color w:val="auto"/>
                <w:sz w:val="24"/>
                <w:szCs w:val="24"/>
                <w:highlight w:val="none"/>
              </w:rPr>
            </w:pPr>
          </w:p>
        </w:tc>
        <w:tc>
          <w:tcPr>
            <w:tcW w:w="709" w:type="pct"/>
            <w:vMerge w:val="continue"/>
            <w:tcBorders>
              <w:left w:val="single" w:color="auto" w:sz="4" w:space="0"/>
              <w:right w:val="single" w:color="auto" w:sz="4" w:space="0"/>
            </w:tcBorders>
            <w:vAlign w:val="center"/>
          </w:tcPr>
          <w:p w14:paraId="3E33AC4C">
            <w:pPr>
              <w:pStyle w:val="11"/>
              <w:spacing w:line="360" w:lineRule="auto"/>
              <w:jc w:val="center"/>
              <w:rPr>
                <w:rFonts w:hint="eastAsia" w:ascii="仿宋" w:hAnsi="仿宋" w:eastAsia="仿宋" w:cs="仿宋"/>
                <w:color w:val="auto"/>
                <w:sz w:val="24"/>
                <w:szCs w:val="24"/>
                <w:highlight w:val="none"/>
                <w:lang w:eastAsia="zh-CN"/>
              </w:rPr>
            </w:pPr>
          </w:p>
        </w:tc>
        <w:tc>
          <w:tcPr>
            <w:tcW w:w="492" w:type="pct"/>
            <w:tcBorders>
              <w:top w:val="single" w:color="auto" w:sz="4" w:space="0"/>
              <w:left w:val="single" w:color="auto" w:sz="4" w:space="0"/>
              <w:bottom w:val="single" w:color="auto" w:sz="4" w:space="0"/>
              <w:right w:val="single" w:color="auto" w:sz="4" w:space="0"/>
            </w:tcBorders>
            <w:vAlign w:val="center"/>
          </w:tcPr>
          <w:p w14:paraId="46AB9E9D">
            <w:pPr>
              <w:spacing w:line="360" w:lineRule="auto"/>
              <w:jc w:val="center"/>
              <w:rPr>
                <w:rFonts w:hint="eastAsia" w:ascii="仿宋" w:hAnsi="仿宋" w:eastAsia="仿宋" w:cs="仿宋"/>
                <w:color w:val="auto"/>
                <w:sz w:val="24"/>
                <w:szCs w:val="24"/>
                <w:highlight w:val="none"/>
                <w:lang w:val="en-US" w:eastAsia="zh-CN"/>
              </w:rPr>
            </w:pPr>
            <w:bookmarkStart w:id="677" w:name="OLE_LINK19"/>
            <w:r>
              <w:rPr>
                <w:rFonts w:hint="eastAsia" w:ascii="仿宋" w:hAnsi="仿宋" w:eastAsia="仿宋" w:cs="仿宋"/>
                <w:color w:val="auto"/>
                <w:sz w:val="24"/>
                <w:szCs w:val="24"/>
                <w:highlight w:val="none"/>
                <w:lang w:val="en-US" w:eastAsia="zh-CN"/>
              </w:rPr>
              <w:t>项目实施方案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10分）</w:t>
            </w:r>
            <w:bookmarkEnd w:id="677"/>
          </w:p>
        </w:tc>
        <w:tc>
          <w:tcPr>
            <w:tcW w:w="3262" w:type="pct"/>
            <w:tcBorders>
              <w:top w:val="single" w:color="auto" w:sz="4" w:space="0"/>
              <w:left w:val="single" w:color="auto" w:sz="4" w:space="0"/>
              <w:bottom w:val="single" w:color="auto" w:sz="4" w:space="0"/>
              <w:right w:val="single" w:color="auto" w:sz="4" w:space="0"/>
            </w:tcBorders>
            <w:vAlign w:val="top"/>
          </w:tcPr>
          <w:p w14:paraId="02D9F778">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2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根据投标人提供的项目实施方案包括①产品生产（安全生产管理目标、安全管理制度、安全技术措施等内容）、备货。②项目管理制度（管理机构图、内部管理的职责分工、日常管理制度和考核办法等）。③人员配置。④产品验收方案。⑤产品安全的控制方案内容。</w:t>
            </w:r>
          </w:p>
          <w:p w14:paraId="0FCABDC0">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2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前述5项内容齐全且无缺陷得10分，每缺少一项内容扣2分，每有一项内容存在缺陷的扣1分，扣完小项分值为止，未提供不得分。 </w:t>
            </w:r>
          </w:p>
          <w:p w14:paraId="27B35F5E">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内容存在缺陷是指以下任意一种情形：</w:t>
            </w:r>
          </w:p>
          <w:p w14:paraId="41695CE1">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2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（1）针对性不足：与项目实际情况不匹配、不符合项目特点、不适用于本项目或与本项目采购要求不相符；</w:t>
            </w:r>
          </w:p>
          <w:p w14:paraId="5BE7375F">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2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（2）过于简略：内容过于简单而不能对采购需求作出足够响应；</w:t>
            </w:r>
          </w:p>
          <w:p w14:paraId="0E6680A1">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2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（3）专业性不足：提出的服务内容不能迅速找到问题的根源并采取有效的解决措施，解决问题的能力不足。</w:t>
            </w:r>
          </w:p>
          <w:p w14:paraId="3AE9C84D">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2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（4）合理性不足：提出的服务内容不够贴合实际需求，逻辑性差。</w:t>
            </w:r>
          </w:p>
          <w:p w14:paraId="74D1FA32">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2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（5）瑕疵或有明显错误：文字表述、技术描述、引用、图表制作有明显错误。</w:t>
            </w:r>
          </w:p>
        </w:tc>
      </w:tr>
      <w:tr w14:paraId="31EAF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535" w:type="pct"/>
            <w:vMerge w:val="restart"/>
            <w:tcBorders>
              <w:left w:val="single" w:color="auto" w:sz="4" w:space="0"/>
              <w:right w:val="single" w:color="auto" w:sz="4" w:space="0"/>
            </w:tcBorders>
            <w:vAlign w:val="center"/>
          </w:tcPr>
          <w:p w14:paraId="4BF020C9">
            <w:pPr>
              <w:pStyle w:val="69"/>
              <w:spacing w:before="5" w:line="364" w:lineRule="auto"/>
              <w:ind w:right="95"/>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2.2.3</w:t>
            </w:r>
          </w:p>
          <w:p w14:paraId="6156FE31">
            <w:pPr>
              <w:pStyle w:val="69"/>
              <w:spacing w:before="5" w:line="364" w:lineRule="auto"/>
              <w:ind w:right="95"/>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709" w:type="pct"/>
            <w:vMerge w:val="restart"/>
            <w:tcBorders>
              <w:left w:val="single" w:color="auto" w:sz="4" w:space="0"/>
              <w:right w:val="single" w:color="auto" w:sz="4" w:space="0"/>
            </w:tcBorders>
            <w:vAlign w:val="center"/>
          </w:tcPr>
          <w:p w14:paraId="4446FAB4">
            <w:pPr>
              <w:pStyle w:val="69"/>
              <w:spacing w:before="5" w:line="364" w:lineRule="auto"/>
              <w:ind w:right="95"/>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F3：商务部分评分 (满分30分)</w:t>
            </w:r>
          </w:p>
          <w:p w14:paraId="763F42DE">
            <w:pPr>
              <w:pStyle w:val="69"/>
              <w:spacing w:before="5" w:line="364" w:lineRule="auto"/>
              <w:ind w:right="95"/>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权重：1</w:t>
            </w:r>
          </w:p>
          <w:p w14:paraId="50F24EB9">
            <w:pPr>
              <w:autoSpaceDE w:val="0"/>
              <w:autoSpaceDN w:val="0"/>
              <w:adjustRightInd w:val="0"/>
              <w:spacing w:line="360" w:lineRule="auto"/>
              <w:jc w:val="center"/>
              <w:rPr>
                <w:rFonts w:hint="eastAsia" w:ascii="仿宋" w:hAnsi="仿宋" w:eastAsia="仿宋" w:cs="仿宋"/>
                <w:color w:val="auto"/>
                <w:sz w:val="24"/>
                <w:szCs w:val="24"/>
                <w:highlight w:val="none"/>
              </w:rPr>
            </w:pPr>
          </w:p>
        </w:tc>
        <w:tc>
          <w:tcPr>
            <w:tcW w:w="492" w:type="pct"/>
            <w:tcBorders>
              <w:top w:val="single" w:color="auto" w:sz="4" w:space="0"/>
              <w:left w:val="single" w:color="auto" w:sz="4" w:space="0"/>
              <w:bottom w:val="single" w:color="auto" w:sz="4" w:space="0"/>
              <w:right w:val="single" w:color="auto" w:sz="4" w:space="0"/>
            </w:tcBorders>
            <w:vAlign w:val="center"/>
          </w:tcPr>
          <w:p w14:paraId="41EBC7D5">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售前、售中和售后服务（</w:t>
            </w: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分）</w:t>
            </w:r>
          </w:p>
        </w:tc>
        <w:tc>
          <w:tcPr>
            <w:tcW w:w="3262" w:type="pct"/>
            <w:tcBorders>
              <w:top w:val="single" w:color="auto" w:sz="4" w:space="0"/>
              <w:left w:val="single" w:color="auto" w:sz="4" w:space="0"/>
              <w:bottom w:val="single" w:color="auto" w:sz="4" w:space="0"/>
              <w:right w:val="single" w:color="auto" w:sz="4" w:space="0"/>
            </w:tcBorders>
            <w:vAlign w:val="top"/>
          </w:tcPr>
          <w:p w14:paraId="0F439E46">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2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由评委根据各投标人提供的售前及对采购方：①对接方案、②疫苗运输配送及质量保障方案、③监测、④廉政承诺及保障措施、⑤疫苗产品废弃容器和报废疫苗回收或无害化处置承诺、⑥违约责任及处罚措施进行评审。</w:t>
            </w:r>
          </w:p>
          <w:p w14:paraId="226A4067">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前述6项内容齐全且无缺陷得12分，每缺少一项内容扣2分，每有一项内容存在缺陷的扣1分，扣完小项分值为止，未提供不得分。 </w:t>
            </w:r>
          </w:p>
          <w:p w14:paraId="1422AB70">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内容存在缺陷是指以下任意一种情形：</w:t>
            </w:r>
          </w:p>
          <w:p w14:paraId="05BBB725">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2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（1）针对性不足：与项目实际情况不匹配、不符合项目特点、不适用于本项目或与本项目采购要求不相符；</w:t>
            </w:r>
          </w:p>
          <w:p w14:paraId="7544069E">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2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（2）过于简略：内容过于简单而不能对采购需求作出足够响应；</w:t>
            </w:r>
          </w:p>
          <w:p w14:paraId="68EEE1D0">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2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（3）专业性不足：提出的服务内容不能迅速找到问题的根源并采取有效的解决措施，解决问题的能力不足。</w:t>
            </w:r>
          </w:p>
          <w:p w14:paraId="5535E998">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2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（4）合理性不足：提出的服务内容不够贴合实际需求，逻辑性差。</w:t>
            </w:r>
          </w:p>
          <w:p w14:paraId="297A3DB5">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2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（5）瑕疵或有明显错误：文字表述、技术描述、引用、图表制作有明显错误。</w:t>
            </w:r>
          </w:p>
        </w:tc>
      </w:tr>
      <w:tr w14:paraId="1C261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535" w:type="pct"/>
            <w:vMerge w:val="continue"/>
            <w:tcBorders>
              <w:left w:val="single" w:color="auto" w:sz="4" w:space="0"/>
              <w:right w:val="single" w:color="auto" w:sz="4" w:space="0"/>
            </w:tcBorders>
            <w:vAlign w:val="center"/>
          </w:tcPr>
          <w:p w14:paraId="61A7B9F9">
            <w:pPr>
              <w:pStyle w:val="69"/>
              <w:spacing w:before="5" w:line="364" w:lineRule="auto"/>
              <w:ind w:right="95"/>
              <w:jc w:val="both"/>
              <w:rPr>
                <w:rFonts w:hint="eastAsia" w:ascii="仿宋" w:hAnsi="仿宋" w:eastAsia="仿宋" w:cs="仿宋"/>
                <w:color w:val="auto"/>
                <w:sz w:val="24"/>
                <w:szCs w:val="24"/>
                <w:highlight w:val="none"/>
                <w:lang w:val="en-US" w:eastAsia="zh-CN"/>
              </w:rPr>
            </w:pPr>
          </w:p>
        </w:tc>
        <w:tc>
          <w:tcPr>
            <w:tcW w:w="709" w:type="pct"/>
            <w:vMerge w:val="continue"/>
            <w:tcBorders>
              <w:left w:val="single" w:color="auto" w:sz="4" w:space="0"/>
              <w:right w:val="single" w:color="auto" w:sz="4" w:space="0"/>
            </w:tcBorders>
            <w:vAlign w:val="center"/>
          </w:tcPr>
          <w:p w14:paraId="3FDF7892">
            <w:pPr>
              <w:autoSpaceDE w:val="0"/>
              <w:autoSpaceDN w:val="0"/>
              <w:adjustRightInd w:val="0"/>
              <w:spacing w:line="360" w:lineRule="auto"/>
              <w:jc w:val="center"/>
              <w:rPr>
                <w:rFonts w:hint="eastAsia" w:ascii="仿宋" w:hAnsi="仿宋" w:eastAsia="仿宋" w:cs="仿宋"/>
                <w:color w:val="auto"/>
                <w:sz w:val="24"/>
                <w:szCs w:val="24"/>
                <w:highlight w:val="none"/>
              </w:rPr>
            </w:pPr>
          </w:p>
        </w:tc>
        <w:tc>
          <w:tcPr>
            <w:tcW w:w="492" w:type="pct"/>
            <w:tcBorders>
              <w:top w:val="single" w:color="auto" w:sz="4" w:space="0"/>
              <w:left w:val="single" w:color="auto" w:sz="4" w:space="0"/>
              <w:bottom w:val="single" w:color="auto" w:sz="4" w:space="0"/>
              <w:right w:val="single" w:color="auto" w:sz="4" w:space="0"/>
            </w:tcBorders>
            <w:vAlign w:val="center"/>
          </w:tcPr>
          <w:p w14:paraId="7DF40E43">
            <w:pPr>
              <w:spacing w:line="360" w:lineRule="auto"/>
              <w:jc w:val="center"/>
              <w:rPr>
                <w:rFonts w:hint="default" w:ascii="仿宋" w:hAnsi="仿宋" w:eastAsia="仿宋" w:cs="仿宋"/>
                <w:color w:val="auto"/>
                <w:sz w:val="24"/>
                <w:szCs w:val="24"/>
                <w:highlight w:val="none"/>
                <w:lang w:val="en-US"/>
              </w:rPr>
            </w:pPr>
            <w:r>
              <w:rPr>
                <w:rFonts w:hint="eastAsia" w:ascii="仿宋" w:hAnsi="仿宋" w:eastAsia="仿宋" w:cs="仿宋"/>
                <w:bCs/>
                <w:color w:val="auto"/>
                <w:sz w:val="24"/>
                <w:szCs w:val="24"/>
                <w:highlight w:val="none"/>
                <w:lang w:val="en-US" w:eastAsia="zh-CN"/>
              </w:rPr>
              <w:t>培训(6分)</w:t>
            </w:r>
          </w:p>
        </w:tc>
        <w:tc>
          <w:tcPr>
            <w:tcW w:w="3262" w:type="pct"/>
            <w:tcBorders>
              <w:top w:val="single" w:color="auto" w:sz="4" w:space="0"/>
              <w:left w:val="single" w:color="auto" w:sz="4" w:space="0"/>
              <w:bottom w:val="single" w:color="auto" w:sz="4" w:space="0"/>
              <w:right w:val="single" w:color="auto" w:sz="4" w:space="0"/>
            </w:tcBorders>
            <w:vAlign w:val="top"/>
          </w:tcPr>
          <w:p w14:paraId="672C328D">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(一)投标人根据普洱实际情况提供培训承诺：培训规模（300人及以上得2分，200人-299人得1.5分，100人-199人得1分、100人以下得0.5分，不提供则不得分）。</w:t>
            </w:r>
          </w:p>
          <w:p w14:paraId="57C4B81A">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(二)培训方案应包括但不局限于：</w:t>
            </w:r>
          </w:p>
          <w:p w14:paraId="29AA8CE8">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(1)培训目标；</w:t>
            </w:r>
          </w:p>
          <w:p w14:paraId="36CE3D8E">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(2)培训对象与培训时间、培训形式、培训地点、培训讲师等；</w:t>
            </w:r>
          </w:p>
          <w:p w14:paraId="5DEC25F8">
            <w:pPr>
              <w:spacing w:line="360" w:lineRule="auto"/>
              <w:rPr>
                <w:rFonts w:hint="default"/>
                <w:color w:val="auto"/>
                <w:highlight w:val="none"/>
                <w:lang w:val="en-US" w:eastAsia="zh-CN"/>
              </w:rPr>
            </w:pPr>
            <w:r>
              <w:rPr>
                <w:rFonts w:hint="eastAsia" w:ascii="仿宋" w:hAnsi="仿宋" w:eastAsia="仿宋" w:cs="仿宋"/>
                <w:bCs/>
                <w:color w:val="auto"/>
                <w:sz w:val="24"/>
                <w:szCs w:val="24"/>
                <w:highlight w:val="none"/>
                <w:lang w:val="en-US" w:eastAsia="zh-CN"/>
              </w:rPr>
              <w:t>(3)培训内容(疫苗相关知识，包含但不限于1.重大动物疫病防控知识、2.人畜共患传染病防控知识、3.动物检疫知识等);</w:t>
            </w:r>
          </w:p>
          <w:p w14:paraId="5DFFE200">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(4)培训保障措施(1.人员保障、2.物资保障、3.质量保障等)；</w:t>
            </w:r>
          </w:p>
          <w:p w14:paraId="451280DC">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(5)培训资料移交等。</w:t>
            </w:r>
          </w:p>
          <w:p w14:paraId="70F553E8">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内容齐全、详细且符合本项目实际需求的得</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分；每缺少一项内容扣</w:t>
            </w:r>
            <w:r>
              <w:rPr>
                <w:rFonts w:hint="eastAsia" w:ascii="仿宋" w:hAnsi="仿宋" w:eastAsia="仿宋" w:cs="仿宋"/>
                <w:color w:val="auto"/>
                <w:sz w:val="24"/>
                <w:highlight w:val="none"/>
                <w:lang w:val="en-US" w:eastAsia="zh-CN"/>
              </w:rPr>
              <w:t>0.8</w:t>
            </w:r>
            <w:r>
              <w:rPr>
                <w:rFonts w:hint="eastAsia" w:ascii="仿宋" w:hAnsi="仿宋" w:eastAsia="仿宋" w:cs="仿宋"/>
                <w:color w:val="auto"/>
                <w:sz w:val="24"/>
                <w:highlight w:val="none"/>
              </w:rPr>
              <w:t>分，每项内容里存在缺陷的，一处扣</w:t>
            </w:r>
            <w:r>
              <w:rPr>
                <w:rFonts w:hint="eastAsia" w:ascii="仿宋" w:hAnsi="仿宋" w:eastAsia="仿宋" w:cs="仿宋"/>
                <w:color w:val="auto"/>
                <w:sz w:val="24"/>
                <w:highlight w:val="none"/>
                <w:lang w:val="en-US" w:eastAsia="zh-CN"/>
              </w:rPr>
              <w:t>0.4</w:t>
            </w:r>
            <w:r>
              <w:rPr>
                <w:rFonts w:hint="eastAsia" w:ascii="仿宋" w:hAnsi="仿宋" w:eastAsia="仿宋" w:cs="仿宋"/>
                <w:color w:val="auto"/>
                <w:sz w:val="24"/>
                <w:highlight w:val="none"/>
              </w:rPr>
              <w:t>分，扣完为止。</w:t>
            </w:r>
          </w:p>
          <w:p w14:paraId="742F5042">
            <w:pPr>
              <w:spacing w:line="360" w:lineRule="auto"/>
              <w:ind w:left="0" w:leftChars="0" w:firstLine="0" w:firstLineChars="0"/>
              <w:rPr>
                <w:rFonts w:hint="default"/>
                <w:color w:val="auto"/>
                <w:highlight w:val="none"/>
                <w:lang w:val="en-US" w:eastAsia="zh-CN"/>
              </w:rPr>
            </w:pPr>
            <w:r>
              <w:rPr>
                <w:rFonts w:hint="eastAsia" w:ascii="仿宋" w:hAnsi="仿宋" w:eastAsia="仿宋" w:cs="仿宋"/>
                <w:bCs/>
                <w:color w:val="auto"/>
                <w:sz w:val="24"/>
                <w:szCs w:val="24"/>
                <w:highlight w:val="none"/>
                <w:lang w:val="en-US" w:eastAsia="zh-CN"/>
              </w:rPr>
              <w:t>内容缺陷是指：存在不适用项目实际情况的情形（不符合项目特点）、凭空编造、套用其他项目方案内容、方案中内容前后不一致或前后内容不连贯、时间地点区域错误、涉及的规范及标准错误以及不可能实现的夸大情形（存在以上任意一种情形）</w:t>
            </w:r>
            <w:r>
              <w:rPr>
                <w:rFonts w:hint="eastAsia" w:ascii="仿宋" w:hAnsi="仿宋" w:eastAsia="仿宋" w:cs="仿宋"/>
                <w:color w:val="auto"/>
                <w:sz w:val="24"/>
                <w:highlight w:val="none"/>
              </w:rPr>
              <w:t>。</w:t>
            </w:r>
          </w:p>
        </w:tc>
      </w:tr>
      <w:tr w14:paraId="0297C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535" w:type="pct"/>
            <w:vMerge w:val="continue"/>
            <w:tcBorders>
              <w:left w:val="single" w:color="auto" w:sz="4" w:space="0"/>
              <w:right w:val="single" w:color="auto" w:sz="4" w:space="0"/>
            </w:tcBorders>
            <w:vAlign w:val="center"/>
          </w:tcPr>
          <w:p w14:paraId="31E619EC">
            <w:pPr>
              <w:pStyle w:val="69"/>
              <w:spacing w:before="5" w:line="364" w:lineRule="auto"/>
              <w:ind w:right="95"/>
              <w:jc w:val="both"/>
              <w:rPr>
                <w:rFonts w:hint="eastAsia" w:ascii="仿宋" w:hAnsi="仿宋" w:eastAsia="仿宋" w:cs="仿宋"/>
                <w:color w:val="auto"/>
                <w:sz w:val="24"/>
                <w:szCs w:val="24"/>
                <w:highlight w:val="none"/>
                <w:lang w:val="en-US" w:eastAsia="zh-CN"/>
              </w:rPr>
            </w:pPr>
          </w:p>
        </w:tc>
        <w:tc>
          <w:tcPr>
            <w:tcW w:w="709" w:type="pct"/>
            <w:vMerge w:val="continue"/>
            <w:tcBorders>
              <w:left w:val="single" w:color="auto" w:sz="4" w:space="0"/>
              <w:right w:val="single" w:color="auto" w:sz="4" w:space="0"/>
            </w:tcBorders>
            <w:vAlign w:val="center"/>
          </w:tcPr>
          <w:p w14:paraId="3B6B8B1F">
            <w:pPr>
              <w:autoSpaceDE w:val="0"/>
              <w:autoSpaceDN w:val="0"/>
              <w:adjustRightInd w:val="0"/>
              <w:spacing w:line="360" w:lineRule="auto"/>
              <w:jc w:val="center"/>
              <w:rPr>
                <w:rFonts w:hint="eastAsia" w:ascii="仿宋" w:hAnsi="仿宋" w:eastAsia="仿宋" w:cs="仿宋"/>
                <w:color w:val="auto"/>
                <w:sz w:val="24"/>
                <w:szCs w:val="24"/>
                <w:highlight w:val="none"/>
              </w:rPr>
            </w:pPr>
          </w:p>
        </w:tc>
        <w:tc>
          <w:tcPr>
            <w:tcW w:w="492" w:type="pct"/>
            <w:tcBorders>
              <w:top w:val="single" w:color="auto" w:sz="4" w:space="0"/>
              <w:left w:val="single" w:color="auto" w:sz="4" w:space="0"/>
              <w:bottom w:val="single" w:color="auto" w:sz="4" w:space="0"/>
              <w:right w:val="single" w:color="auto" w:sz="4" w:space="0"/>
            </w:tcBorders>
            <w:vAlign w:val="center"/>
          </w:tcPr>
          <w:p w14:paraId="0DA3D3EA">
            <w:pPr>
              <w:spacing w:line="360" w:lineRule="auto"/>
              <w:jc w:val="center"/>
              <w:rPr>
                <w:rFonts w:hint="eastAsia" w:ascii="仿宋" w:hAnsi="仿宋" w:eastAsia="仿宋" w:cs="仿宋"/>
                <w:color w:val="auto"/>
                <w:sz w:val="24"/>
                <w:szCs w:val="24"/>
                <w:highlight w:val="none"/>
                <w:lang w:eastAsia="zh-CN"/>
              </w:rPr>
            </w:pPr>
            <w:bookmarkStart w:id="678" w:name="OLE_LINK21"/>
            <w:r>
              <w:rPr>
                <w:rFonts w:hint="eastAsia" w:ascii="仿宋" w:hAnsi="仿宋" w:eastAsia="仿宋" w:cs="仿宋"/>
                <w:color w:val="auto"/>
                <w:sz w:val="24"/>
                <w:szCs w:val="24"/>
                <w:highlight w:val="none"/>
              </w:rPr>
              <w:t>应</w:t>
            </w:r>
            <w:r>
              <w:rPr>
                <w:rFonts w:hint="eastAsia" w:ascii="仿宋" w:hAnsi="仿宋" w:eastAsia="仿宋" w:cs="仿宋"/>
                <w:color w:val="auto"/>
                <w:sz w:val="24"/>
                <w:szCs w:val="24"/>
                <w:highlight w:val="none"/>
                <w:lang w:val="en-US" w:eastAsia="zh-CN"/>
              </w:rPr>
              <w:t>激</w:t>
            </w:r>
            <w:r>
              <w:rPr>
                <w:rFonts w:hint="eastAsia" w:ascii="仿宋" w:hAnsi="仿宋" w:eastAsia="仿宋" w:cs="仿宋"/>
                <w:color w:val="auto"/>
                <w:sz w:val="24"/>
                <w:szCs w:val="24"/>
                <w:highlight w:val="none"/>
              </w:rPr>
              <w:t>副反应处置承诺及措施（</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bookmarkEnd w:id="678"/>
          </w:p>
          <w:p w14:paraId="7C74DDA2">
            <w:pPr>
              <w:spacing w:line="360" w:lineRule="auto"/>
              <w:jc w:val="center"/>
              <w:rPr>
                <w:rFonts w:hint="eastAsia" w:ascii="仿宋" w:hAnsi="仿宋" w:eastAsia="仿宋" w:cs="仿宋"/>
                <w:color w:val="auto"/>
                <w:sz w:val="24"/>
                <w:szCs w:val="24"/>
                <w:highlight w:val="none"/>
              </w:rPr>
            </w:pPr>
          </w:p>
        </w:tc>
        <w:tc>
          <w:tcPr>
            <w:tcW w:w="3262" w:type="pct"/>
            <w:tcBorders>
              <w:top w:val="single" w:color="auto" w:sz="4" w:space="0"/>
              <w:left w:val="single" w:color="auto" w:sz="4" w:space="0"/>
              <w:bottom w:val="single" w:color="auto" w:sz="4" w:space="0"/>
              <w:right w:val="single" w:color="auto" w:sz="4" w:space="0"/>
            </w:tcBorders>
            <w:vAlign w:val="top"/>
          </w:tcPr>
          <w:p w14:paraId="18A5C02E">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2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1.注射疫苗后异常反应赔付承诺（3分）：发生应激副反应时乙方应及时派人到现场处理，按当地市场价格全额赔付的得3分，低于当地市场价格的得0分。</w:t>
            </w:r>
          </w:p>
          <w:p w14:paraId="12773CC1">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2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2.应激副反应处置承诺及措施（3分）</w:t>
            </w:r>
          </w:p>
          <w:p w14:paraId="0EB9F25D">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2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内容包括：①疫苗免疫产生副反应（包括严重副反应）处置承诺及措施；②疫苗免疫产生副反应（包括严重副反应）现场处置响应时间；③反应死亡赔偿费兑付时限承诺；</w:t>
            </w:r>
          </w:p>
          <w:p w14:paraId="65BA5E85">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2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以上3个方面，经评定应激副反应处置承诺及措施内容从实际出发，切合项目背景、项目需求以及市场供应情况发现问题并提出合理化专业技术建议或者解决方案；内容符合国家、地方、行业标准、行业惯例以及项目特点、能有效落地执行和操作，保障项目高质量履约，实现采购目标。现场处置响应时间最短，反应死亡赔偿费及时兑付，且相应措施完善有具体可行，得3分，每缺少一项内容扣1分，每有一处内容存在不清晰或不完善的、不合理的扣0.5分。</w:t>
            </w:r>
          </w:p>
          <w:p w14:paraId="6881B2D7">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2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本项得分扣完为止。</w:t>
            </w:r>
          </w:p>
          <w:p w14:paraId="5BC7C5FC">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20" w:firstLineChars="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（注：应激副反应的赔付标准及要求，执行项目所在地政府要求，中标人不得设置其他限制性赔付条款，此项需作出相应承诺，未承诺的其本项不得分。）</w:t>
            </w:r>
          </w:p>
        </w:tc>
      </w:tr>
      <w:tr w14:paraId="21AD2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535" w:type="pct"/>
            <w:vMerge w:val="continue"/>
            <w:tcBorders>
              <w:left w:val="single" w:color="auto" w:sz="4" w:space="0"/>
              <w:right w:val="single" w:color="auto" w:sz="4" w:space="0"/>
            </w:tcBorders>
            <w:vAlign w:val="center"/>
          </w:tcPr>
          <w:p w14:paraId="70FD6E2E">
            <w:pPr>
              <w:pStyle w:val="69"/>
              <w:spacing w:before="5" w:line="364" w:lineRule="auto"/>
              <w:ind w:right="95"/>
              <w:jc w:val="both"/>
              <w:rPr>
                <w:rFonts w:hint="eastAsia" w:ascii="仿宋" w:hAnsi="仿宋" w:eastAsia="仿宋" w:cs="仿宋"/>
                <w:color w:val="auto"/>
                <w:sz w:val="24"/>
                <w:szCs w:val="24"/>
                <w:highlight w:val="none"/>
                <w:lang w:val="en-US" w:eastAsia="zh-CN"/>
              </w:rPr>
            </w:pPr>
          </w:p>
        </w:tc>
        <w:tc>
          <w:tcPr>
            <w:tcW w:w="709" w:type="pct"/>
            <w:vMerge w:val="continue"/>
            <w:tcBorders>
              <w:left w:val="single" w:color="auto" w:sz="4" w:space="0"/>
              <w:right w:val="single" w:color="auto" w:sz="4" w:space="0"/>
            </w:tcBorders>
            <w:vAlign w:val="center"/>
          </w:tcPr>
          <w:p w14:paraId="49096F24">
            <w:pPr>
              <w:autoSpaceDE w:val="0"/>
              <w:autoSpaceDN w:val="0"/>
              <w:adjustRightInd w:val="0"/>
              <w:spacing w:line="360" w:lineRule="auto"/>
              <w:jc w:val="center"/>
              <w:rPr>
                <w:rFonts w:hint="eastAsia" w:ascii="仿宋" w:hAnsi="仿宋" w:eastAsia="仿宋" w:cs="仿宋"/>
                <w:color w:val="auto"/>
                <w:sz w:val="24"/>
                <w:szCs w:val="24"/>
                <w:highlight w:val="none"/>
              </w:rPr>
            </w:pPr>
          </w:p>
        </w:tc>
        <w:tc>
          <w:tcPr>
            <w:tcW w:w="492" w:type="pct"/>
            <w:tcBorders>
              <w:top w:val="single" w:color="auto" w:sz="4" w:space="0"/>
              <w:left w:val="single" w:color="auto" w:sz="4" w:space="0"/>
              <w:bottom w:val="single" w:color="auto" w:sz="4" w:space="0"/>
              <w:right w:val="single" w:color="auto" w:sz="4" w:space="0"/>
            </w:tcBorders>
            <w:vAlign w:val="center"/>
          </w:tcPr>
          <w:p w14:paraId="1F83D11E">
            <w:pPr>
              <w:spacing w:line="360" w:lineRule="auto"/>
              <w:jc w:val="center"/>
              <w:rPr>
                <w:rFonts w:hint="eastAsia" w:ascii="仿宋" w:hAnsi="仿宋" w:eastAsia="仿宋" w:cs="仿宋"/>
                <w:color w:val="auto"/>
                <w:sz w:val="24"/>
                <w:szCs w:val="24"/>
                <w:highlight w:val="none"/>
                <w:lang w:val="en-US" w:eastAsia="zh-CN"/>
              </w:rPr>
            </w:pPr>
            <w:bookmarkStart w:id="679" w:name="OLE_LINK22"/>
            <w:r>
              <w:rPr>
                <w:rFonts w:hint="eastAsia" w:ascii="仿宋" w:hAnsi="仿宋" w:eastAsia="仿宋" w:cs="仿宋"/>
                <w:color w:val="auto"/>
                <w:sz w:val="24"/>
                <w:szCs w:val="24"/>
                <w:highlight w:val="none"/>
              </w:rPr>
              <w:t>履约服务能力（</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bookmarkEnd w:id="679"/>
          </w:p>
        </w:tc>
        <w:tc>
          <w:tcPr>
            <w:tcW w:w="3262" w:type="pct"/>
            <w:tcBorders>
              <w:top w:val="single" w:color="auto" w:sz="4" w:space="0"/>
              <w:left w:val="single" w:color="auto" w:sz="4" w:space="0"/>
              <w:bottom w:val="single" w:color="auto" w:sz="4" w:space="0"/>
              <w:right w:val="single" w:color="auto" w:sz="4" w:space="0"/>
            </w:tcBorders>
            <w:vAlign w:val="top"/>
          </w:tcPr>
          <w:p w14:paraId="04F996FB">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仿宋" w:hAnsi="仿宋" w:eastAsia="仿宋" w:cs="仿宋"/>
                <w:bCs/>
                <w:color w:val="auto"/>
                <w:sz w:val="24"/>
                <w:szCs w:val="24"/>
                <w:highlight w:val="none"/>
                <w:lang w:val="en-US" w:eastAsia="zh-CN"/>
              </w:rPr>
            </w:pPr>
            <w:bookmarkStart w:id="680" w:name="OLE_LINK23"/>
            <w:r>
              <w:rPr>
                <w:rFonts w:hint="eastAsia" w:ascii="仿宋" w:hAnsi="仿宋" w:eastAsia="仿宋" w:cs="仿宋"/>
                <w:bCs/>
                <w:color w:val="auto"/>
                <w:sz w:val="24"/>
                <w:szCs w:val="24"/>
                <w:highlight w:val="none"/>
                <w:lang w:val="en-US" w:eastAsia="zh-CN"/>
              </w:rPr>
              <w:t>1.每提供所投标产品（2024年1月1日至今）1件类似项目业绩的得0.5分，6件及以上得满分3分。</w:t>
            </w:r>
          </w:p>
          <w:p w14:paraId="1073AF97">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所投标产品（2024年1月1日至今）在国内使用过程中经用户检测，抗体合格率或转阳率达到国家要求（≥70%）以上的得3分，达不到国家要求的得0分。注：产品销售业绩需提供合同或中标通知书等做为证明材料；产品使用过程中经用户检测的需提供抗体检测结果报告等资料做为证明材料。</w:t>
            </w:r>
          </w:p>
          <w:p w14:paraId="29A9019C">
            <w:pPr>
              <w:pStyle w:val="19"/>
              <w:keepNext w:val="0"/>
              <w:keepLines w:val="0"/>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注：本项得分=1+2，满分为6分</w:t>
            </w:r>
            <w:r>
              <w:rPr>
                <w:rFonts w:hint="eastAsia" w:ascii="仿宋" w:hAnsi="仿宋" w:eastAsia="仿宋" w:cs="仿宋"/>
                <w:bCs/>
                <w:color w:val="auto"/>
                <w:sz w:val="24"/>
                <w:szCs w:val="24"/>
                <w:highlight w:val="none"/>
                <w:lang w:val="en-US" w:eastAsia="zh-CN"/>
              </w:rPr>
              <w:t>。</w:t>
            </w:r>
            <w:bookmarkEnd w:id="680"/>
          </w:p>
        </w:tc>
      </w:tr>
      <w:bookmarkEnd w:id="665"/>
      <w:bookmarkEnd w:id="666"/>
      <w:bookmarkEnd w:id="667"/>
      <w:bookmarkEnd w:id="668"/>
      <w:bookmarkEnd w:id="669"/>
      <w:bookmarkEnd w:id="670"/>
      <w:bookmarkEnd w:id="671"/>
      <w:bookmarkEnd w:id="672"/>
      <w:bookmarkEnd w:id="673"/>
      <w:bookmarkEnd w:id="674"/>
      <w:bookmarkEnd w:id="675"/>
    </w:tbl>
    <w:p w14:paraId="1C376310">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600" w:firstLineChars="25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3.2.1 投标人总得分计算方法：见</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 xml:space="preserve">3.2 </w:t>
      </w:r>
      <w:r>
        <w:rPr>
          <w:rFonts w:hint="eastAsia" w:ascii="仿宋" w:hAnsi="仿宋" w:eastAsia="仿宋" w:cs="仿宋"/>
          <w:color w:val="auto"/>
          <w:kern w:val="0"/>
          <w:sz w:val="24"/>
          <w:szCs w:val="24"/>
          <w:highlight w:val="none"/>
        </w:rPr>
        <w:t>详细评审表</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的</w:t>
      </w:r>
      <w:r>
        <w:rPr>
          <w:rFonts w:hint="eastAsia" w:ascii="仿宋" w:hAnsi="仿宋" w:eastAsia="仿宋" w:cs="仿宋"/>
          <w:color w:val="auto"/>
          <w:kern w:val="0"/>
          <w:sz w:val="24"/>
          <w:szCs w:val="24"/>
          <w:highlight w:val="none"/>
        </w:rPr>
        <w:t>规定。</w:t>
      </w:r>
    </w:p>
    <w:p w14:paraId="77FE080C">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600" w:firstLineChars="25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 评标委员会成员要依法独立评审，并对评审意见承担个人责任。除“投标报价”以外的所有评审项目，由评标委员会成员按本章第2.2款规定的量化因素和分值进行打分，评分时可采用插入法，但应使用整数分值。</w:t>
      </w:r>
    </w:p>
    <w:p w14:paraId="5C658B5C">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600" w:firstLineChars="25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 投标人各项评分因素得分为该项因素各评委评分的算术平均值，得分保留小数点后两位，小数点后第三位“四舍五入”。</w:t>
      </w:r>
    </w:p>
    <w:p w14:paraId="101993D9">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600" w:firstLineChars="25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3.2.4评标委员会认为投标人的报价明显低于其他通过符合性审查投标人的报价，有可能影响产品质量或者不能诚信履约的，应当要求其在合理的时间（15-30分钟）内提供书面说明并提交相关证明材料；投标人不能证明其报价合理性的，评标委员会应当将其作为无效投标处理。</w:t>
      </w:r>
    </w:p>
    <w:p w14:paraId="00416EDE">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3.3 投标文件的澄清和补正</w:t>
      </w:r>
    </w:p>
    <w:p w14:paraId="0C01B7A9">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600" w:firstLineChars="25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3.3.1 在评标过程中，评标委员会可以书面形式要求投标人对于投标文件中含义不明确、同类问题表述不一致或者有明显文字和计算错误的内容作出必要的澄清、说明或者补正。评标委员会不接受投标人主动提出的澄清、说明或补正。</w:t>
      </w:r>
    </w:p>
    <w:p w14:paraId="75A7A747">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600" w:firstLineChars="25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3.3.2 投标人的澄清、说明或者补正应当采用书面形式，并加盖公章，或者由法定代表人或其授权的代表签字。投标人的澄清、说明或者补正不得超出投标文件的范围或者改变投标文件的实质性内容（算术性错误修正的除外）。投标人的书面澄清、说明和补正属于投标文件的组成部分。</w:t>
      </w:r>
    </w:p>
    <w:p w14:paraId="399F27E4">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600" w:firstLineChars="25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3.3.3 评标委员会对投标人提交的澄清、说明或补正有疑问的，可以要求投标人进一步澄清、说明或补正，直至满足评标委员会的要求。</w:t>
      </w:r>
      <w:bookmarkStart w:id="681" w:name="_Toc15206"/>
    </w:p>
    <w:p w14:paraId="375BC35B">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jc w:val="left"/>
        <w:textAlignment w:val="auto"/>
        <w:outlineLvl w:val="0"/>
        <w:rPr>
          <w:rFonts w:hint="eastAsia" w:ascii="仿宋" w:hAnsi="仿宋" w:eastAsia="仿宋" w:cs="仿宋"/>
          <w:b/>
          <w:bCs/>
          <w:color w:val="auto"/>
          <w:kern w:val="0"/>
          <w:sz w:val="24"/>
          <w:szCs w:val="24"/>
          <w:highlight w:val="none"/>
        </w:rPr>
      </w:pPr>
      <w:bookmarkStart w:id="682" w:name="_Toc17040929"/>
      <w:bookmarkStart w:id="683" w:name="_Toc17040808"/>
      <w:bookmarkStart w:id="684" w:name="_Toc29600"/>
      <w:bookmarkStart w:id="685" w:name="_Toc31162"/>
      <w:bookmarkStart w:id="686" w:name="_Toc17041046"/>
      <w:r>
        <w:rPr>
          <w:rFonts w:hint="eastAsia" w:ascii="仿宋" w:hAnsi="仿宋" w:eastAsia="仿宋" w:cs="仿宋"/>
          <w:b/>
          <w:bCs/>
          <w:color w:val="auto"/>
          <w:kern w:val="0"/>
          <w:sz w:val="24"/>
          <w:szCs w:val="24"/>
          <w:highlight w:val="none"/>
        </w:rPr>
        <w:t>3.4 需执行的政府采购政策或法规：</w:t>
      </w:r>
      <w:bookmarkEnd w:id="682"/>
      <w:bookmarkEnd w:id="683"/>
      <w:bookmarkEnd w:id="684"/>
      <w:bookmarkEnd w:id="685"/>
      <w:bookmarkEnd w:id="686"/>
    </w:p>
    <w:bookmarkEnd w:id="681"/>
    <w:p w14:paraId="40908D80">
      <w:pPr>
        <w:keepNext w:val="0"/>
        <w:keepLines w:val="0"/>
        <w:pageBreakBefore w:val="0"/>
        <w:widowControl w:val="0"/>
        <w:kinsoku/>
        <w:wordWrap/>
        <w:overflowPunct/>
        <w:topLinePunct w:val="0"/>
        <w:autoSpaceDE w:val="0"/>
        <w:autoSpaceDN w:val="0"/>
        <w:bidi w:val="0"/>
        <w:snapToGrid/>
        <w:spacing w:line="360" w:lineRule="auto"/>
        <w:ind w:left="210" w:leftChars="100" w:firstLine="472" w:firstLineChars="196"/>
        <w:jc w:val="left"/>
        <w:textAlignment w:val="auto"/>
        <w:rPr>
          <w:rFonts w:ascii="仿宋" w:hAnsi="仿宋" w:eastAsia="仿宋" w:cs="仿宋"/>
          <w:b/>
          <w:bCs/>
          <w:color w:val="auto"/>
          <w:sz w:val="24"/>
          <w:highlight w:val="none"/>
        </w:rPr>
      </w:pPr>
      <w:r>
        <w:rPr>
          <w:rFonts w:hint="eastAsia" w:ascii="仿宋" w:hAnsi="仿宋" w:eastAsia="仿宋" w:cs="仿宋"/>
          <w:b/>
          <w:bCs/>
          <w:color w:val="auto"/>
          <w:sz w:val="24"/>
          <w:highlight w:val="none"/>
        </w:rPr>
        <w:t>1.同品牌产品不同投标人的处理方式</w:t>
      </w:r>
    </w:p>
    <w:p w14:paraId="0BD63671">
      <w:pPr>
        <w:keepNext w:val="0"/>
        <w:keepLines w:val="0"/>
        <w:pageBreakBefore w:val="0"/>
        <w:widowControl w:val="0"/>
        <w:kinsoku/>
        <w:wordWrap/>
        <w:overflowPunct/>
        <w:topLinePunct w:val="0"/>
        <w:autoSpaceDE w:val="0"/>
        <w:autoSpaceDN w:val="0"/>
        <w:bidi w:val="0"/>
        <w:snapToGrid/>
        <w:spacing w:line="360" w:lineRule="auto"/>
        <w:ind w:left="210" w:leftChars="100" w:firstLine="480" w:firstLineChars="200"/>
        <w:jc w:val="lef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ACD15EC">
      <w:pPr>
        <w:keepNext w:val="0"/>
        <w:keepLines w:val="0"/>
        <w:pageBreakBefore w:val="0"/>
        <w:widowControl w:val="0"/>
        <w:kinsoku/>
        <w:wordWrap/>
        <w:overflowPunct/>
        <w:topLinePunct w:val="0"/>
        <w:autoSpaceDE w:val="0"/>
        <w:autoSpaceDN w:val="0"/>
        <w:bidi w:val="0"/>
        <w:snapToGrid/>
        <w:spacing w:line="360" w:lineRule="auto"/>
        <w:ind w:left="210" w:leftChars="100" w:firstLine="480" w:firstLineChars="200"/>
        <w:jc w:val="lef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非单一产品采购项目，采购人应当根据采购项目技术构成、产品价格比重等合理确定核心产品，并在招标文件中载明。多家投标人提供的核心产品品牌相同的，按前款规定处理。</w:t>
      </w:r>
    </w:p>
    <w:p w14:paraId="28BEB3BA">
      <w:pPr>
        <w:keepNext w:val="0"/>
        <w:keepLines w:val="0"/>
        <w:pageBreakBefore w:val="0"/>
        <w:widowControl w:val="0"/>
        <w:kinsoku/>
        <w:wordWrap/>
        <w:overflowPunct/>
        <w:topLinePunct w:val="0"/>
        <w:bidi w:val="0"/>
        <w:snapToGrid/>
        <w:spacing w:line="360" w:lineRule="auto"/>
        <w:ind w:left="210" w:leftChars="100" w:firstLine="472" w:firstLineChars="196"/>
        <w:jc w:val="left"/>
        <w:textAlignment w:val="auto"/>
        <w:rPr>
          <w:rFonts w:ascii="仿宋" w:hAnsi="仿宋" w:eastAsia="仿宋" w:cs="仿宋"/>
          <w:b/>
          <w:bCs/>
          <w:color w:val="auto"/>
          <w:sz w:val="24"/>
          <w:highlight w:val="none"/>
        </w:rPr>
      </w:pPr>
      <w:r>
        <w:rPr>
          <w:rFonts w:hint="eastAsia" w:ascii="仿宋" w:hAnsi="仿宋" w:eastAsia="仿宋" w:cs="仿宋"/>
          <w:b/>
          <w:bCs/>
          <w:color w:val="auto"/>
          <w:sz w:val="24"/>
          <w:highlight w:val="none"/>
        </w:rPr>
        <w:t>2.小微企业价格评分优惠政策</w:t>
      </w:r>
    </w:p>
    <w:p w14:paraId="0F9AA441">
      <w:pPr>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(1)根据</w:t>
      </w:r>
      <w:r>
        <w:rPr>
          <w:rFonts w:hint="eastAsia" w:ascii="仿宋" w:hAnsi="仿宋" w:eastAsia="仿宋" w:cs="仿宋"/>
          <w:color w:val="auto"/>
          <w:kern w:val="0"/>
          <w:sz w:val="24"/>
          <w:highlight w:val="none"/>
        </w:rPr>
        <w:t>《</w:t>
      </w:r>
      <w:r>
        <w:rPr>
          <w:rFonts w:hint="eastAsia" w:ascii="仿宋" w:hAnsi="仿宋" w:eastAsia="仿宋" w:cs="仿宋"/>
          <w:color w:val="auto"/>
          <w:spacing w:val="-2"/>
          <w:sz w:val="24"/>
          <w:highlight w:val="none"/>
        </w:rPr>
        <w:t>政府采购促进中小企业发展管理办法》</w:t>
      </w:r>
      <w:r>
        <w:rPr>
          <w:rFonts w:hint="eastAsia" w:ascii="仿宋" w:hAnsi="仿宋" w:eastAsia="仿宋" w:cs="仿宋"/>
          <w:color w:val="auto"/>
          <w:spacing w:val="-3"/>
          <w:sz w:val="24"/>
          <w:highlight w:val="none"/>
        </w:rPr>
        <w:t>（</w:t>
      </w:r>
      <w:r>
        <w:rPr>
          <w:rFonts w:hint="eastAsia" w:ascii="仿宋" w:hAnsi="仿宋" w:eastAsia="仿宋" w:cs="仿宋"/>
          <w:color w:val="auto"/>
          <w:spacing w:val="-4"/>
          <w:sz w:val="24"/>
          <w:highlight w:val="none"/>
        </w:rPr>
        <w:t>财库〔</w:t>
      </w:r>
      <w:r>
        <w:rPr>
          <w:rFonts w:hint="eastAsia" w:ascii="仿宋" w:hAnsi="仿宋" w:eastAsia="仿宋" w:cs="仿宋"/>
          <w:color w:val="auto"/>
          <w:sz w:val="24"/>
          <w:highlight w:val="none"/>
        </w:rPr>
        <w:t>2020</w:t>
      </w:r>
      <w:r>
        <w:rPr>
          <w:rFonts w:hint="eastAsia" w:ascii="仿宋" w:hAnsi="仿宋" w:eastAsia="仿宋" w:cs="仿宋"/>
          <w:color w:val="auto"/>
          <w:spacing w:val="-12"/>
          <w:sz w:val="24"/>
          <w:highlight w:val="none"/>
        </w:rPr>
        <w:t>〕</w:t>
      </w:r>
      <w:r>
        <w:rPr>
          <w:rFonts w:hint="eastAsia" w:ascii="仿宋" w:hAnsi="仿宋" w:eastAsia="仿宋" w:cs="仿宋"/>
          <w:color w:val="auto"/>
          <w:sz w:val="24"/>
          <w:highlight w:val="none"/>
        </w:rPr>
        <w:t>46</w:t>
      </w:r>
      <w:r>
        <w:rPr>
          <w:rFonts w:hint="eastAsia" w:ascii="仿宋" w:hAnsi="仿宋" w:eastAsia="仿宋" w:cs="仿宋"/>
          <w:color w:val="auto"/>
          <w:spacing w:val="-30"/>
          <w:sz w:val="24"/>
          <w:highlight w:val="none"/>
        </w:rPr>
        <w:t xml:space="preserve"> 号</w:t>
      </w:r>
      <w:r>
        <w:rPr>
          <w:rFonts w:hint="eastAsia" w:ascii="仿宋" w:hAnsi="仿宋" w:eastAsia="仿宋" w:cs="仿宋"/>
          <w:color w:val="auto"/>
          <w:spacing w:val="-12"/>
          <w:sz w:val="24"/>
          <w:highlight w:val="none"/>
        </w:rPr>
        <w:t>）、</w:t>
      </w:r>
      <w:r>
        <w:rPr>
          <w:rFonts w:hint="eastAsia" w:ascii="仿宋" w:hAnsi="仿宋" w:eastAsia="仿宋" w:cs="仿宋"/>
          <w:color w:val="auto"/>
          <w:sz w:val="24"/>
          <w:highlight w:val="none"/>
        </w:rPr>
        <w:t>《关于进一步加大政府采购支持中小企业力度的通知》（财库〔2022〕19号）的规定，对小型和微型企业产品的价格给予10%的价格扣除，用扣除后的价格参与评审。</w:t>
      </w:r>
    </w:p>
    <w:p w14:paraId="0D3500E0">
      <w:pPr>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(2)请投标人根据《</w:t>
      </w:r>
      <w:r>
        <w:rPr>
          <w:rFonts w:hint="eastAsia" w:ascii="仿宋" w:hAnsi="仿宋" w:eastAsia="仿宋" w:cs="仿宋"/>
          <w:bCs/>
          <w:color w:val="auto"/>
          <w:sz w:val="24"/>
          <w:highlight w:val="none"/>
        </w:rPr>
        <w:t>政府采购促进中小企业发展管理办法》（财库〔2020〕46号）</w:t>
      </w:r>
      <w:r>
        <w:rPr>
          <w:rFonts w:hint="eastAsia" w:ascii="仿宋" w:hAnsi="仿宋" w:eastAsia="仿宋" w:cs="仿宋"/>
          <w:color w:val="auto"/>
          <w:sz w:val="24"/>
          <w:highlight w:val="none"/>
        </w:rPr>
        <w:t>，提供《中小企业声明函》，未提供的在价格评分时不对投标报价进行扣除。</w:t>
      </w:r>
      <w:r>
        <w:rPr>
          <w:rFonts w:hint="eastAsia" w:ascii="仿宋" w:hAnsi="仿宋" w:eastAsia="仿宋" w:cs="仿宋"/>
          <w:b/>
          <w:color w:val="auto"/>
          <w:sz w:val="24"/>
          <w:highlight w:val="none"/>
        </w:rPr>
        <w:t>投标人对《中小企业声明函》的真实性负责，如有虚假，自行承担相应责任。</w:t>
      </w:r>
    </w:p>
    <w:p w14:paraId="620A6F1F">
      <w:pPr>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ascii="仿宋" w:hAnsi="仿宋" w:eastAsia="仿宋" w:cs="仿宋"/>
          <w:b/>
          <w:bCs/>
          <w:color w:val="auto"/>
          <w:sz w:val="24"/>
          <w:highlight w:val="none"/>
        </w:rPr>
      </w:pPr>
      <w:r>
        <w:rPr>
          <w:rFonts w:hint="eastAsia" w:ascii="仿宋" w:hAnsi="仿宋" w:eastAsia="仿宋" w:cs="仿宋"/>
          <w:color w:val="auto"/>
          <w:sz w:val="24"/>
          <w:highlight w:val="none"/>
        </w:rPr>
        <w:t>(3)联合体各方均为小型、微型企业的，联合体视同为小型、微型企业，在投标报价评分时给予联合体投标报价</w:t>
      </w:r>
      <w:r>
        <w:rPr>
          <w:rFonts w:hint="eastAsia" w:ascii="仿宋" w:hAnsi="仿宋" w:eastAsia="仿宋" w:cs="仿宋"/>
          <w:color w:val="auto"/>
          <w:sz w:val="24"/>
          <w:highlight w:val="none"/>
          <w:u w:val="single"/>
        </w:rPr>
        <w:t xml:space="preserve">  10%   </w:t>
      </w:r>
      <w:r>
        <w:rPr>
          <w:rFonts w:hint="eastAsia" w:ascii="仿宋" w:hAnsi="仿宋" w:eastAsia="仿宋" w:cs="仿宋"/>
          <w:color w:val="auto"/>
          <w:sz w:val="24"/>
          <w:highlight w:val="none"/>
        </w:rPr>
        <w:t>的扣除，用扣除后的投标报价参与投标报价评分。</w:t>
      </w:r>
    </w:p>
    <w:p w14:paraId="582F2E99">
      <w:pPr>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ascii="仿宋" w:hAnsi="仿宋" w:eastAsia="仿宋" w:cs="仿宋"/>
          <w:b/>
          <w:bCs/>
          <w:color w:val="auto"/>
          <w:sz w:val="24"/>
          <w:highlight w:val="none"/>
        </w:rPr>
      </w:pPr>
      <w:r>
        <w:rPr>
          <w:rFonts w:hint="eastAsia" w:ascii="仿宋" w:hAnsi="仿宋" w:eastAsia="仿宋" w:cs="仿宋"/>
          <w:color w:val="auto"/>
          <w:sz w:val="24"/>
          <w:highlight w:val="none"/>
        </w:rPr>
        <w:t>(4)联合体中部分企业为小型、微型企业的，且小型、微型企业的协议合同金额占到联合体协议合同总金额30%以上的，在投标报价评分时给予联合体投标报价</w:t>
      </w:r>
      <w:r>
        <w:rPr>
          <w:rFonts w:hint="eastAsia" w:ascii="仿宋" w:hAnsi="仿宋" w:eastAsia="仿宋" w:cs="仿宋"/>
          <w:color w:val="auto"/>
          <w:sz w:val="24"/>
          <w:highlight w:val="none"/>
          <w:u w:val="single"/>
        </w:rPr>
        <w:t xml:space="preserve">   4%  </w:t>
      </w:r>
      <w:r>
        <w:rPr>
          <w:rFonts w:hint="eastAsia" w:ascii="仿宋" w:hAnsi="仿宋" w:eastAsia="仿宋" w:cs="仿宋"/>
          <w:color w:val="auto"/>
          <w:sz w:val="24"/>
          <w:highlight w:val="none"/>
        </w:rPr>
        <w:t>的扣除，用扣除后的投标报价参与投标报价评分。</w:t>
      </w:r>
    </w:p>
    <w:p w14:paraId="699A1F51">
      <w:pPr>
        <w:keepNext w:val="0"/>
        <w:keepLines w:val="0"/>
        <w:pageBreakBefore w:val="0"/>
        <w:widowControl w:val="0"/>
        <w:kinsoku/>
        <w:wordWrap/>
        <w:overflowPunct/>
        <w:topLinePunct w:val="0"/>
        <w:autoSpaceDE w:val="0"/>
        <w:autoSpaceDN w:val="0"/>
        <w:bidi w:val="0"/>
        <w:snapToGrid/>
        <w:spacing w:line="360" w:lineRule="auto"/>
        <w:ind w:left="210" w:leftChars="100" w:firstLine="472" w:firstLineChars="196"/>
        <w:jc w:val="left"/>
        <w:textAlignment w:val="auto"/>
        <w:rPr>
          <w:rFonts w:ascii="仿宋" w:hAnsi="仿宋" w:eastAsia="仿宋" w:cs="仿宋"/>
          <w:b/>
          <w:bCs/>
          <w:color w:val="auto"/>
          <w:sz w:val="24"/>
          <w:highlight w:val="none"/>
        </w:rPr>
      </w:pPr>
      <w:r>
        <w:rPr>
          <w:rFonts w:hint="eastAsia" w:ascii="仿宋" w:hAnsi="仿宋" w:eastAsia="仿宋" w:cs="仿宋"/>
          <w:b/>
          <w:bCs/>
          <w:color w:val="auto"/>
          <w:sz w:val="24"/>
          <w:highlight w:val="none"/>
        </w:rPr>
        <w:t>3.监狱企业评分优惠政策</w:t>
      </w:r>
    </w:p>
    <w:p w14:paraId="71099135">
      <w:pPr>
        <w:keepNext w:val="0"/>
        <w:keepLines w:val="0"/>
        <w:pageBreakBefore w:val="0"/>
        <w:widowControl w:val="0"/>
        <w:kinsoku/>
        <w:wordWrap/>
        <w:overflowPunct/>
        <w:topLinePunct w:val="0"/>
        <w:autoSpaceDE w:val="0"/>
        <w:autoSpaceDN w:val="0"/>
        <w:bidi w:val="0"/>
        <w:snapToGrid/>
        <w:spacing w:line="360" w:lineRule="auto"/>
        <w:ind w:left="210" w:leftChars="100" w:firstLine="480" w:firstLineChars="200"/>
        <w:jc w:val="lef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享受价格扣除等优惠政策。</w:t>
      </w:r>
    </w:p>
    <w:p w14:paraId="10240C63">
      <w:pPr>
        <w:keepNext w:val="0"/>
        <w:keepLines w:val="0"/>
        <w:pageBreakBefore w:val="0"/>
        <w:widowControl w:val="0"/>
        <w:kinsoku/>
        <w:wordWrap/>
        <w:overflowPunct/>
        <w:topLinePunct w:val="0"/>
        <w:autoSpaceDE w:val="0"/>
        <w:autoSpaceDN w:val="0"/>
        <w:bidi w:val="0"/>
        <w:snapToGrid/>
        <w:spacing w:line="360" w:lineRule="auto"/>
        <w:ind w:left="210" w:leftChars="100" w:firstLine="472" w:firstLineChars="196"/>
        <w:jc w:val="left"/>
        <w:textAlignment w:val="auto"/>
        <w:rPr>
          <w:rFonts w:ascii="仿宋" w:hAnsi="仿宋" w:eastAsia="仿宋" w:cs="仿宋"/>
          <w:b/>
          <w:bCs/>
          <w:color w:val="auto"/>
          <w:sz w:val="24"/>
          <w:highlight w:val="none"/>
        </w:rPr>
      </w:pPr>
      <w:r>
        <w:rPr>
          <w:rFonts w:hint="eastAsia" w:ascii="仿宋" w:hAnsi="仿宋" w:eastAsia="仿宋" w:cs="仿宋"/>
          <w:b/>
          <w:bCs/>
          <w:color w:val="auto"/>
          <w:sz w:val="24"/>
          <w:highlight w:val="none"/>
        </w:rPr>
        <w:t>4.残疾人福利性单位优惠政策</w:t>
      </w:r>
    </w:p>
    <w:p w14:paraId="3AAA74F2">
      <w:pPr>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根据《财政部 民政部 中国残疾人联合会关于促进残疾人就业政府采购政策的通知》，享受政府采购支持政策的残疾人福利性单位应当同时满足以下条件：</w:t>
      </w:r>
    </w:p>
    <w:p w14:paraId="5C663EA6">
      <w:pPr>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（1）安置的残疾人占本单位在职职工人数的比例不低于25%（含25%），并且安置的残疾人人数不少于10人（含10人）；</w:t>
      </w:r>
    </w:p>
    <w:p w14:paraId="3E3A6E97">
      <w:pPr>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（2）依法与安置的每位残疾人签订了一年以上（含一年）的劳动合同或服务协议；</w:t>
      </w:r>
    </w:p>
    <w:p w14:paraId="31E87D57">
      <w:pPr>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（3）为安置的每位残疾人按月足额缴纳了基本养老保险、基本医疗保险、失业保险、工伤保险和生育保险等社会保险费；</w:t>
      </w:r>
    </w:p>
    <w:p w14:paraId="75EFB987">
      <w:pPr>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（4）通过银行等金融机构向安置的每位残疾人，按月支付了不低于单位所在区县适用的经省级人民政府批准的月最低工资标准的工资；</w:t>
      </w:r>
    </w:p>
    <w:p w14:paraId="7C981BEF">
      <w:pPr>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（5）提供本单位制造的货物、承担的工程或者服务（以下简称产品），或者提供其他残疾人福利性单位制造的货物（不包括使用非残疾人福利性单位注册商标的货物）。</w:t>
      </w:r>
    </w:p>
    <w:p w14:paraId="4A3CC8D4">
      <w:pPr>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62CAAAA">
      <w:pPr>
        <w:keepNext w:val="0"/>
        <w:keepLines w:val="0"/>
        <w:pageBreakBefore w:val="0"/>
        <w:widowControl w:val="0"/>
        <w:kinsoku/>
        <w:wordWrap/>
        <w:overflowPunct/>
        <w:topLinePunct w:val="0"/>
        <w:bidi w:val="0"/>
        <w:snapToGrid/>
        <w:spacing w:line="360" w:lineRule="auto"/>
        <w:ind w:left="210" w:leftChars="100" w:firstLine="480" w:firstLineChars="200"/>
        <w:jc w:val="lef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1.3.2符合条件的残疾人福利性单位在参加政府采购活动时，应当提供《残疾人福利性单位声明函》，并对声明的真实性负责。</w:t>
      </w:r>
    </w:p>
    <w:p w14:paraId="5EE05B4F">
      <w:pPr>
        <w:keepNext w:val="0"/>
        <w:keepLines w:val="0"/>
        <w:pageBreakBefore w:val="0"/>
        <w:widowControl w:val="0"/>
        <w:kinsoku/>
        <w:wordWrap/>
        <w:overflowPunct/>
        <w:topLinePunct w:val="0"/>
        <w:autoSpaceDE w:val="0"/>
        <w:autoSpaceDN w:val="0"/>
        <w:bidi w:val="0"/>
        <w:snapToGrid/>
        <w:spacing w:line="360" w:lineRule="auto"/>
        <w:ind w:left="210" w:leftChars="100" w:firstLine="472" w:firstLineChars="196"/>
        <w:jc w:val="left"/>
        <w:textAlignment w:val="auto"/>
        <w:rPr>
          <w:rFonts w:ascii="仿宋" w:hAnsi="仿宋" w:eastAsia="仿宋" w:cs="仿宋"/>
          <w:b/>
          <w:bCs/>
          <w:color w:val="auto"/>
          <w:sz w:val="24"/>
          <w:highlight w:val="none"/>
        </w:rPr>
      </w:pPr>
      <w:r>
        <w:rPr>
          <w:rFonts w:hint="eastAsia" w:ascii="仿宋" w:hAnsi="仿宋" w:eastAsia="仿宋" w:cs="仿宋"/>
          <w:b/>
          <w:bCs/>
          <w:color w:val="auto"/>
          <w:sz w:val="24"/>
          <w:highlight w:val="none"/>
        </w:rPr>
        <w:t>5.节能产品及环境标志产品的优惠政策</w:t>
      </w:r>
    </w:p>
    <w:p w14:paraId="2E52959C">
      <w:pPr>
        <w:pStyle w:val="12"/>
        <w:keepNext w:val="0"/>
        <w:keepLines w:val="0"/>
        <w:pageBreakBefore w:val="0"/>
        <w:widowControl w:val="0"/>
        <w:kinsoku/>
        <w:wordWrap/>
        <w:overflowPunct/>
        <w:topLinePunct w:val="0"/>
        <w:bidi w:val="0"/>
        <w:snapToGrid/>
        <w:spacing w:after="0" w:line="360" w:lineRule="auto"/>
        <w:ind w:left="210" w:leftChars="100" w:firstLine="480" w:firstLineChars="200"/>
        <w:jc w:val="left"/>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按照“财政部发展改革委生态环境部市场监管总局关于调整优化节能产品、环境标志产品政府采购执行机制的通知”财库〔2019〕9号的规定执行。如属于《节能产品政府采购品目清单》中政府强制采购的节能产品，则投标人所投产品须具有市场监管总局公布的《参与实施政府采购节能产品认证机构目录》中的认证机构出具的、处于有效期内的节能产品认证证书。</w:t>
      </w:r>
    </w:p>
    <w:p w14:paraId="562A9486">
      <w:pPr>
        <w:keepNext w:val="0"/>
        <w:keepLines w:val="0"/>
        <w:pageBreakBefore w:val="0"/>
        <w:widowControl w:val="0"/>
        <w:kinsoku/>
        <w:wordWrap/>
        <w:overflowPunct/>
        <w:topLinePunct w:val="0"/>
        <w:autoSpaceDE w:val="0"/>
        <w:autoSpaceDN w:val="0"/>
        <w:bidi w:val="0"/>
        <w:snapToGrid/>
        <w:spacing w:line="360" w:lineRule="auto"/>
        <w:ind w:left="210" w:leftChars="100" w:firstLine="472" w:firstLineChars="196"/>
        <w:jc w:val="left"/>
        <w:textAlignment w:val="auto"/>
        <w:rPr>
          <w:rFonts w:ascii="仿宋" w:hAnsi="仿宋" w:eastAsia="仿宋" w:cs="仿宋"/>
          <w:b/>
          <w:bCs/>
          <w:color w:val="auto"/>
          <w:sz w:val="24"/>
          <w:highlight w:val="none"/>
        </w:rPr>
      </w:pPr>
      <w:r>
        <w:rPr>
          <w:rFonts w:hint="eastAsia" w:ascii="仿宋" w:hAnsi="仿宋" w:eastAsia="仿宋" w:cs="仿宋"/>
          <w:b/>
          <w:bCs/>
          <w:color w:val="auto"/>
          <w:sz w:val="24"/>
          <w:highlight w:val="none"/>
        </w:rPr>
        <w:t>6.绿色环保</w:t>
      </w:r>
    </w:p>
    <w:p w14:paraId="055DE59C">
      <w:pPr>
        <w:pStyle w:val="12"/>
        <w:keepNext w:val="0"/>
        <w:keepLines w:val="0"/>
        <w:pageBreakBefore w:val="0"/>
        <w:widowControl w:val="0"/>
        <w:kinsoku/>
        <w:wordWrap/>
        <w:overflowPunct/>
        <w:topLinePunct w:val="0"/>
        <w:bidi w:val="0"/>
        <w:snapToGrid/>
        <w:spacing w:after="0" w:line="360" w:lineRule="auto"/>
        <w:ind w:left="210" w:leftChars="10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如涉及商品包装和快递包装，投标人应当执行《关于印发〈商品包装政府采购需求标准（试行）〉、〈快递包装政府采购需求标准（试行）〉的通知》（财办库〔2020〕123号）的要求，提供符合需求标准的绿色包装、绿色运输，同时，采购人将对包装材料和运输环节作为履约验收条款进行验收。</w:t>
      </w:r>
    </w:p>
    <w:p w14:paraId="4967417C">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2" w:firstLineChars="200"/>
        <w:jc w:val="left"/>
        <w:textAlignment w:val="auto"/>
        <w:outlineLvl w:val="0"/>
        <w:rPr>
          <w:rFonts w:hint="eastAsia" w:ascii="仿宋" w:hAnsi="仿宋" w:eastAsia="仿宋" w:cs="仿宋"/>
          <w:b/>
          <w:bCs/>
          <w:color w:val="auto"/>
          <w:kern w:val="2"/>
          <w:sz w:val="24"/>
          <w:szCs w:val="24"/>
          <w:highlight w:val="none"/>
          <w:lang w:val="en-US" w:eastAsia="zh-CN" w:bidi="ar-SA"/>
        </w:rPr>
      </w:pPr>
      <w:bookmarkStart w:id="687" w:name="_Toc17040930"/>
      <w:bookmarkStart w:id="688" w:name="_Toc17041047"/>
      <w:bookmarkStart w:id="689" w:name="_Toc17040809"/>
      <w:bookmarkStart w:id="690" w:name="_Toc2422"/>
      <w:bookmarkStart w:id="691" w:name="_Toc6447"/>
      <w:r>
        <w:rPr>
          <w:rFonts w:hint="eastAsia" w:ascii="仿宋" w:hAnsi="仿宋" w:eastAsia="仿宋" w:cs="仿宋"/>
          <w:b/>
          <w:bCs/>
          <w:color w:val="auto"/>
          <w:kern w:val="2"/>
          <w:sz w:val="24"/>
          <w:szCs w:val="24"/>
          <w:highlight w:val="none"/>
          <w:lang w:val="en-US" w:eastAsia="zh-CN" w:bidi="ar-SA"/>
        </w:rPr>
        <w:t>7.关于本国产品的政策支持</w:t>
      </w:r>
    </w:p>
    <w:p w14:paraId="16FD3D21">
      <w:pPr>
        <w:pStyle w:val="12"/>
        <w:keepNext w:val="0"/>
        <w:keepLines w:val="0"/>
        <w:pageBreakBefore w:val="0"/>
        <w:widowControl w:val="0"/>
        <w:kinsoku/>
        <w:wordWrap/>
        <w:overflowPunct/>
        <w:topLinePunct w:val="0"/>
        <w:bidi w:val="0"/>
        <w:snapToGrid/>
        <w:spacing w:after="0" w:line="360" w:lineRule="auto"/>
        <w:ind w:left="210" w:leftChars="100"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7.1.本项目对采购本国产品给予政策支持：</w:t>
      </w:r>
    </w:p>
    <w:p w14:paraId="118B12E6">
      <w:pPr>
        <w:pStyle w:val="12"/>
        <w:keepNext w:val="0"/>
        <w:keepLines w:val="0"/>
        <w:pageBreakBefore w:val="0"/>
        <w:widowControl w:val="0"/>
        <w:kinsoku/>
        <w:wordWrap/>
        <w:overflowPunct/>
        <w:topLinePunct w:val="0"/>
        <w:bidi w:val="0"/>
        <w:snapToGrid/>
        <w:spacing w:after="0" w:line="360" w:lineRule="auto"/>
        <w:ind w:left="210" w:leftChars="100"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7.1.1本项目政府采购活动中既有本国产品又有非本国产品参与竞争的，依法对本国产品给予价格评审优惠，对本国产品的报价给予20%的价格扣除，用扣除后的价格参与评审。</w:t>
      </w:r>
    </w:p>
    <w:p w14:paraId="6368B460">
      <w:pPr>
        <w:pStyle w:val="12"/>
        <w:keepNext w:val="0"/>
        <w:keepLines w:val="0"/>
        <w:pageBreakBefore w:val="0"/>
        <w:widowControl w:val="0"/>
        <w:kinsoku/>
        <w:wordWrap/>
        <w:overflowPunct/>
        <w:topLinePunct w:val="0"/>
        <w:bidi w:val="0"/>
        <w:snapToGrid/>
        <w:spacing w:after="0" w:line="360" w:lineRule="auto"/>
        <w:ind w:left="210" w:leftChars="100"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7.1.2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7BC78FCE">
      <w:pPr>
        <w:pStyle w:val="12"/>
        <w:keepNext w:val="0"/>
        <w:keepLines w:val="0"/>
        <w:pageBreakBefore w:val="0"/>
        <w:widowControl w:val="0"/>
        <w:kinsoku/>
        <w:wordWrap/>
        <w:overflowPunct/>
        <w:topLinePunct w:val="0"/>
        <w:bidi w:val="0"/>
        <w:snapToGrid/>
        <w:spacing w:after="0" w:line="360" w:lineRule="auto"/>
        <w:ind w:left="210" w:leftChars="100"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7.1.3投标人需按照招标文件的要求提供《关于符合本国产品标准的声明函》（以下简称《声明函》），如不提供将不享受本国产品价格评审优惠。</w:t>
      </w:r>
    </w:p>
    <w:p w14:paraId="53EB10C8">
      <w:pPr>
        <w:pStyle w:val="12"/>
        <w:keepNext w:val="0"/>
        <w:keepLines w:val="0"/>
        <w:pageBreakBefore w:val="0"/>
        <w:widowControl w:val="0"/>
        <w:kinsoku/>
        <w:wordWrap/>
        <w:overflowPunct/>
        <w:topLinePunct w:val="0"/>
        <w:bidi w:val="0"/>
        <w:snapToGrid/>
        <w:spacing w:after="0" w:line="360" w:lineRule="auto"/>
        <w:ind w:left="210" w:leftChars="100"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7.1.4投标人需在《声明函》中逐一、准确填写产品名称、厂名、生产厂址三项信息（《声明函》中用斜线划除的地方无需填写），三项信息中任意一项未填写的视为该项产品不符合本国产品标准，不享受本国产品价格评审优惠。</w:t>
      </w:r>
    </w:p>
    <w:p w14:paraId="6705FA51">
      <w:pPr>
        <w:pStyle w:val="12"/>
        <w:keepNext w:val="0"/>
        <w:keepLines w:val="0"/>
        <w:pageBreakBefore w:val="0"/>
        <w:widowControl w:val="0"/>
        <w:kinsoku/>
        <w:wordWrap/>
        <w:overflowPunct/>
        <w:topLinePunct w:val="0"/>
        <w:bidi w:val="0"/>
        <w:snapToGrid/>
        <w:spacing w:after="0" w:line="360" w:lineRule="auto"/>
        <w:ind w:left="210" w:leftChars="100"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7.1.5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4259F963">
      <w:pPr>
        <w:pStyle w:val="12"/>
        <w:keepNext w:val="0"/>
        <w:keepLines w:val="0"/>
        <w:pageBreakBefore w:val="0"/>
        <w:widowControl w:val="0"/>
        <w:kinsoku/>
        <w:wordWrap/>
        <w:overflowPunct/>
        <w:topLinePunct w:val="0"/>
        <w:bidi w:val="0"/>
        <w:snapToGrid/>
        <w:spacing w:after="0" w:line="360" w:lineRule="auto"/>
        <w:ind w:left="210" w:leftChars="100"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42BFB6A">
      <w:pPr>
        <w:pStyle w:val="12"/>
        <w:keepNext w:val="0"/>
        <w:keepLines w:val="0"/>
        <w:pageBreakBefore w:val="0"/>
        <w:widowControl w:val="0"/>
        <w:kinsoku/>
        <w:wordWrap/>
        <w:overflowPunct/>
        <w:topLinePunct w:val="0"/>
        <w:bidi w:val="0"/>
        <w:snapToGrid/>
        <w:spacing w:after="0" w:line="360" w:lineRule="auto"/>
        <w:ind w:left="210" w:leftChars="100" w:firstLine="480" w:firstLineChars="200"/>
        <w:jc w:val="left"/>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D4AB89">
      <w:pPr>
        <w:keepNext w:val="0"/>
        <w:keepLines w:val="0"/>
        <w:pageBreakBefore w:val="0"/>
        <w:widowControl w:val="0"/>
        <w:kinsoku/>
        <w:wordWrap/>
        <w:overflowPunct/>
        <w:topLinePunct w:val="0"/>
        <w:autoSpaceDE w:val="0"/>
        <w:autoSpaceDN w:val="0"/>
        <w:bidi w:val="0"/>
        <w:adjustRightInd w:val="0"/>
        <w:snapToGrid/>
        <w:spacing w:line="360" w:lineRule="auto"/>
        <w:ind w:left="210" w:leftChars="100" w:firstLine="482" w:firstLineChars="200"/>
        <w:jc w:val="left"/>
        <w:textAlignment w:val="auto"/>
        <w:outlineLvl w:val="0"/>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3.5评标结果</w:t>
      </w:r>
      <w:bookmarkEnd w:id="687"/>
      <w:bookmarkEnd w:id="688"/>
      <w:bookmarkEnd w:id="689"/>
      <w:bookmarkEnd w:id="690"/>
      <w:bookmarkEnd w:id="691"/>
    </w:p>
    <w:p w14:paraId="3E2C8318">
      <w:pPr>
        <w:pStyle w:val="12"/>
        <w:keepNext w:val="0"/>
        <w:keepLines w:val="0"/>
        <w:pageBreakBefore w:val="0"/>
        <w:widowControl w:val="0"/>
        <w:kinsoku/>
        <w:wordWrap/>
        <w:overflowPunct/>
        <w:topLinePunct w:val="0"/>
        <w:bidi w:val="0"/>
        <w:snapToGrid/>
        <w:spacing w:after="0" w:line="360" w:lineRule="auto"/>
        <w:ind w:left="210" w:leftChars="10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3.5.1.采购代理机构应当在评标结束后2个工作日内将评标报告送采购人。</w:t>
      </w:r>
    </w:p>
    <w:p w14:paraId="7AF73F1A">
      <w:pPr>
        <w:pStyle w:val="12"/>
        <w:keepNext w:val="0"/>
        <w:keepLines w:val="0"/>
        <w:pageBreakBefore w:val="0"/>
        <w:widowControl w:val="0"/>
        <w:kinsoku/>
        <w:wordWrap/>
        <w:overflowPunct/>
        <w:topLinePunct w:val="0"/>
        <w:bidi w:val="0"/>
        <w:snapToGrid/>
        <w:spacing w:after="0" w:line="360" w:lineRule="auto"/>
        <w:ind w:left="210" w:leftChars="10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33A72B2E">
      <w:pPr>
        <w:pStyle w:val="12"/>
        <w:keepNext w:val="0"/>
        <w:keepLines w:val="0"/>
        <w:pageBreakBefore w:val="0"/>
        <w:widowControl w:val="0"/>
        <w:kinsoku/>
        <w:wordWrap/>
        <w:overflowPunct/>
        <w:topLinePunct w:val="0"/>
        <w:bidi w:val="0"/>
        <w:snapToGrid/>
        <w:spacing w:after="0" w:line="360" w:lineRule="auto"/>
        <w:ind w:left="210" w:leftChars="10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3.5.2.采购代理机构应当自中标人确定之日起2个工作日内，在省级以上财政部门指定的媒体上公告中标结果，招标文件应当随中标结果同时公告；在公告中标结果的同时，采购代理机构应当向中标人发出中标通知书。</w:t>
      </w:r>
    </w:p>
    <w:p w14:paraId="0D8A1976">
      <w:pPr>
        <w:autoSpaceDE w:val="0"/>
        <w:autoSpaceDN w:val="0"/>
        <w:adjustRightInd w:val="0"/>
        <w:spacing w:line="360" w:lineRule="auto"/>
        <w:ind w:firstLine="600" w:firstLineChars="250"/>
        <w:jc w:val="left"/>
        <w:rPr>
          <w:rFonts w:hint="eastAsia" w:ascii="仿宋" w:hAnsi="仿宋" w:eastAsia="仿宋" w:cs="仿宋"/>
          <w:color w:val="auto"/>
          <w:kern w:val="0"/>
          <w:sz w:val="24"/>
          <w:szCs w:val="24"/>
          <w:highlight w:val="none"/>
        </w:rPr>
      </w:pPr>
    </w:p>
    <w:p w14:paraId="201C051E">
      <w:pPr>
        <w:pStyle w:val="2"/>
        <w:jc w:val="center"/>
        <w:rPr>
          <w:rFonts w:hint="eastAsia" w:ascii="仿宋" w:hAnsi="仿宋" w:eastAsia="仿宋" w:cs="仿宋"/>
          <w:color w:val="auto"/>
          <w:sz w:val="48"/>
          <w:szCs w:val="48"/>
          <w:highlight w:val="none"/>
          <w:lang w:val="en-US" w:eastAsia="zh-CN"/>
        </w:rPr>
      </w:pPr>
      <w:r>
        <w:rPr>
          <w:rFonts w:hint="eastAsia" w:ascii="仿宋" w:hAnsi="仿宋" w:eastAsia="仿宋" w:cs="仿宋"/>
          <w:color w:val="auto"/>
          <w:kern w:val="0"/>
          <w:sz w:val="24"/>
          <w:szCs w:val="24"/>
          <w:highlight w:val="none"/>
        </w:rPr>
        <w:br w:type="page"/>
      </w:r>
      <w:bookmarkStart w:id="692" w:name="_Toc272432087"/>
      <w:bookmarkStart w:id="693" w:name="_Toc262675372"/>
      <w:bookmarkStart w:id="694" w:name="_Toc17041048"/>
      <w:bookmarkStart w:id="695" w:name="_Toc17667"/>
      <w:bookmarkStart w:id="696" w:name="_Toc17040810"/>
      <w:bookmarkStart w:id="697" w:name="_Toc17040931"/>
      <w:bookmarkStart w:id="698" w:name="_Toc11857"/>
      <w:r>
        <w:rPr>
          <w:rFonts w:hint="eastAsia" w:ascii="仿宋" w:hAnsi="仿宋" w:eastAsia="仿宋" w:cs="仿宋"/>
          <w:color w:val="auto"/>
          <w:sz w:val="48"/>
          <w:szCs w:val="48"/>
          <w:highlight w:val="none"/>
          <w:lang w:val="en-US" w:eastAsia="zh-CN"/>
        </w:rPr>
        <w:t xml:space="preserve">第四章 </w:t>
      </w:r>
      <w:bookmarkEnd w:id="692"/>
      <w:bookmarkEnd w:id="693"/>
      <w:r>
        <w:rPr>
          <w:rFonts w:hint="eastAsia" w:ascii="仿宋" w:hAnsi="仿宋" w:eastAsia="仿宋" w:cs="仿宋"/>
          <w:color w:val="auto"/>
          <w:sz w:val="48"/>
          <w:szCs w:val="48"/>
          <w:highlight w:val="none"/>
          <w:lang w:val="en-US" w:eastAsia="zh-CN"/>
        </w:rPr>
        <w:t>合同条款</w:t>
      </w:r>
      <w:bookmarkEnd w:id="694"/>
      <w:bookmarkEnd w:id="695"/>
      <w:bookmarkEnd w:id="696"/>
      <w:bookmarkEnd w:id="697"/>
      <w:bookmarkEnd w:id="698"/>
      <w:bookmarkStart w:id="699" w:name="_Toc31392"/>
    </w:p>
    <w:p w14:paraId="6A4A052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（此合同为</w:t>
      </w:r>
      <w:r>
        <w:rPr>
          <w:rFonts w:hint="eastAsia" w:ascii="仿宋" w:hAnsi="仿宋" w:eastAsia="仿宋" w:cs="仿宋"/>
          <w:b/>
          <w:bCs/>
          <w:color w:val="auto"/>
          <w:sz w:val="24"/>
          <w:szCs w:val="24"/>
          <w:highlight w:val="none"/>
          <w:lang w:val="en-US" w:eastAsia="zh-CN"/>
        </w:rPr>
        <w:t>疫苗采购</w:t>
      </w:r>
      <w:r>
        <w:rPr>
          <w:rFonts w:hint="eastAsia" w:ascii="仿宋" w:hAnsi="仿宋" w:eastAsia="仿宋" w:cs="仿宋"/>
          <w:b/>
          <w:bCs/>
          <w:color w:val="auto"/>
          <w:sz w:val="24"/>
          <w:szCs w:val="24"/>
          <w:highlight w:val="none"/>
        </w:rPr>
        <w:t>模板）</w:t>
      </w:r>
    </w:p>
    <w:p w14:paraId="07EFB4FF">
      <w:pPr>
        <w:spacing w:line="360" w:lineRule="auto"/>
        <w:rPr>
          <w:rFonts w:hint="eastAsia"/>
          <w:color w:val="auto"/>
          <w:highlight w:val="none"/>
        </w:rPr>
      </w:pPr>
    </w:p>
    <w:bookmarkEnd w:id="699"/>
    <w:p w14:paraId="2529FE17">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rPr>
        <w:t>甲方：</w:t>
      </w:r>
      <w:r>
        <w:rPr>
          <w:rFonts w:hint="eastAsia" w:ascii="仿宋" w:hAnsi="仿宋" w:eastAsia="仿宋" w:cs="仿宋"/>
          <w:b/>
          <w:color w:val="auto"/>
          <w:sz w:val="24"/>
          <w:szCs w:val="24"/>
          <w:highlight w:val="none"/>
          <w:u w:val="single"/>
          <w:lang w:val="en-US" w:eastAsia="zh-CN"/>
        </w:rPr>
        <w:t>普洱市动物疫病预防控制中心</w:t>
      </w:r>
    </w:p>
    <w:p w14:paraId="0A408C19">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乙方：</w:t>
      </w:r>
      <w:r>
        <w:rPr>
          <w:rFonts w:hint="eastAsia" w:ascii="仿宋" w:hAnsi="仿宋" w:eastAsia="仿宋" w:cs="仿宋"/>
          <w:b/>
          <w:color w:val="auto"/>
          <w:sz w:val="24"/>
          <w:szCs w:val="24"/>
          <w:highlight w:val="none"/>
          <w:u w:val="single"/>
        </w:rPr>
        <w:t>（供应商全称）</w:t>
      </w:r>
    </w:p>
    <w:p w14:paraId="0DC58D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甲乙双方根据项目编号为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，项目名称为：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标段号：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标段，</w:t>
      </w:r>
      <w:r>
        <w:rPr>
          <w:rFonts w:hint="eastAsia" w:ascii="仿宋" w:hAnsi="仿宋" w:eastAsia="仿宋" w:cs="仿宋"/>
          <w:color w:val="auto"/>
          <w:sz w:val="24"/>
          <w:szCs w:val="24"/>
          <w:highlight w:val="none"/>
        </w:rPr>
        <w:t>招标采购结果，经双方协定达成一致，签订以下内容：</w:t>
      </w:r>
    </w:p>
    <w:p w14:paraId="582173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一、合同</w:t>
      </w:r>
      <w:r>
        <w:rPr>
          <w:rFonts w:hint="eastAsia" w:ascii="仿宋" w:hAnsi="仿宋" w:eastAsia="仿宋" w:cs="仿宋"/>
          <w:b/>
          <w:color w:val="auto"/>
          <w:sz w:val="24"/>
          <w:szCs w:val="24"/>
          <w:highlight w:val="none"/>
          <w:lang w:val="en-US" w:eastAsia="zh-CN"/>
        </w:rPr>
        <w:t>价格</w:t>
      </w:r>
    </w:p>
    <w:p w14:paraId="0D0CB4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下浮率：</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，下浮后单价：</w:t>
      </w:r>
      <w:r>
        <w:rPr>
          <w:rFonts w:hint="eastAsia" w:ascii="仿宋" w:hAnsi="仿宋" w:eastAsia="仿宋" w:cs="仿宋"/>
          <w:color w:val="auto"/>
          <w:sz w:val="24"/>
          <w:szCs w:val="24"/>
          <w:highlight w:val="none"/>
          <w:u w:val="single"/>
          <w:lang w:val="en-US" w:eastAsia="zh-CN"/>
        </w:rPr>
        <w:t xml:space="preserve">      元</w:t>
      </w:r>
      <w:r>
        <w:rPr>
          <w:rFonts w:hint="eastAsia" w:ascii="仿宋" w:hAnsi="仿宋" w:eastAsia="仿宋" w:cs="仿宋"/>
          <w:color w:val="auto"/>
          <w:sz w:val="24"/>
          <w:szCs w:val="24"/>
          <w:highlight w:val="none"/>
          <w:u w:val="none"/>
          <w:lang w:val="en-US" w:eastAsia="zh-CN"/>
        </w:rPr>
        <w:t>；总金额：</w:t>
      </w:r>
      <w:r>
        <w:rPr>
          <w:rFonts w:hint="eastAsia" w:ascii="仿宋" w:hAnsi="仿宋" w:eastAsia="仿宋" w:cs="仿宋"/>
          <w:color w:val="auto"/>
          <w:sz w:val="24"/>
          <w:szCs w:val="24"/>
          <w:highlight w:val="none"/>
          <w:u w:val="single"/>
          <w:lang w:val="en-US" w:eastAsia="zh-CN"/>
        </w:rPr>
        <w:t xml:space="preserve">      万元</w:t>
      </w:r>
      <w:r>
        <w:rPr>
          <w:rFonts w:hint="eastAsia" w:ascii="仿宋" w:hAnsi="仿宋" w:eastAsia="仿宋" w:cs="仿宋"/>
          <w:color w:val="auto"/>
          <w:sz w:val="24"/>
          <w:szCs w:val="24"/>
          <w:highlight w:val="none"/>
          <w:u w:val="none"/>
          <w:lang w:val="en-US" w:eastAsia="zh-CN"/>
        </w:rPr>
        <w:t>。</w:t>
      </w:r>
    </w:p>
    <w:p w14:paraId="3EDD5BA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合同价格</w:t>
      </w:r>
      <w:r>
        <w:rPr>
          <w:rFonts w:hint="eastAsia" w:ascii="仿宋" w:hAnsi="仿宋" w:eastAsia="仿宋" w:cs="仿宋"/>
          <w:b/>
          <w:bCs/>
          <w:color w:val="auto"/>
          <w:sz w:val="24"/>
          <w:szCs w:val="24"/>
          <w:highlight w:val="none"/>
          <w:lang w:eastAsia="zh-CN"/>
        </w:rPr>
        <w:t>：</w:t>
      </w:r>
      <w:r>
        <w:rPr>
          <w:rFonts w:hint="eastAsia" w:ascii="仿宋" w:hAnsi="仿宋" w:eastAsia="仿宋" w:cs="仿宋"/>
          <w:color w:val="auto"/>
          <w:sz w:val="24"/>
          <w:szCs w:val="24"/>
          <w:highlight w:val="none"/>
        </w:rPr>
        <w:t>应包括履行合同的含税价格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货款、疫苗稀释液、运至最终目的地运输、储存、搬运、保险以及伴随货物服务的有关一切费用（包括差旅、培训、疫苗使用效果监测</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疫苗效果评价</w:t>
      </w:r>
      <w:r>
        <w:rPr>
          <w:rFonts w:hint="eastAsia" w:ascii="仿宋" w:hAnsi="仿宋" w:eastAsia="仿宋" w:cs="仿宋"/>
          <w:color w:val="auto"/>
          <w:sz w:val="24"/>
          <w:szCs w:val="24"/>
          <w:highlight w:val="none"/>
        </w:rPr>
        <w:t>、免疫应激反应处理、死亡畜禽补偿、</w:t>
      </w:r>
      <w:r>
        <w:rPr>
          <w:rFonts w:hint="eastAsia" w:ascii="仿宋" w:hAnsi="仿宋" w:eastAsia="仿宋" w:cs="仿宋"/>
          <w:color w:val="auto"/>
          <w:sz w:val="24"/>
          <w:szCs w:val="24"/>
          <w:highlight w:val="none"/>
          <w:lang w:val="en-US" w:eastAsia="zh-CN"/>
        </w:rPr>
        <w:t>疫苗空瓶及废弃疫苗处理、因疫苗质量导致</w:t>
      </w:r>
      <w:r>
        <w:rPr>
          <w:rFonts w:hint="eastAsia" w:ascii="仿宋" w:hAnsi="仿宋" w:eastAsia="仿宋" w:cs="仿宋"/>
          <w:color w:val="auto"/>
          <w:sz w:val="24"/>
          <w:szCs w:val="24"/>
          <w:highlight w:val="none"/>
        </w:rPr>
        <w:t>免疫失败引发疫情时</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应急处置</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确保疫苗质量及使用效果的其它相关服务等所有费用）。</w:t>
      </w:r>
      <w:r>
        <w:rPr>
          <w:rFonts w:hint="eastAsia" w:ascii="仿宋" w:hAnsi="仿宋" w:eastAsia="仿宋" w:cs="仿宋"/>
          <w:color w:val="auto"/>
          <w:sz w:val="24"/>
          <w:szCs w:val="24"/>
          <w:highlight w:val="none"/>
          <w:lang w:eastAsia="zh-CN"/>
        </w:rPr>
        <w:t>除上述费用外，乙方不得再以任何理由要求额外收费。</w:t>
      </w:r>
    </w:p>
    <w:p w14:paraId="203367F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二、产品名称、品牌、产地、型号规格、数量、价格：                   </w:t>
      </w:r>
    </w:p>
    <w:tbl>
      <w:tblPr>
        <w:tblStyle w:val="35"/>
        <w:tblW w:w="10634"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65"/>
        <w:gridCol w:w="907"/>
        <w:gridCol w:w="1485"/>
        <w:gridCol w:w="921"/>
        <w:gridCol w:w="1459"/>
        <w:gridCol w:w="1459"/>
        <w:gridCol w:w="1327"/>
        <w:gridCol w:w="1611"/>
      </w:tblGrid>
      <w:tr w14:paraId="1B2B042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65" w:type="dxa"/>
            <w:shd w:val="clear" w:color="auto" w:fill="D0CECE"/>
            <w:noWrap w:val="0"/>
            <w:vAlign w:val="center"/>
          </w:tcPr>
          <w:p w14:paraId="08A82F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产品名称</w:t>
            </w:r>
          </w:p>
        </w:tc>
        <w:tc>
          <w:tcPr>
            <w:tcW w:w="907" w:type="dxa"/>
            <w:shd w:val="clear" w:color="auto" w:fill="D0CECE"/>
            <w:noWrap w:val="0"/>
            <w:vAlign w:val="center"/>
          </w:tcPr>
          <w:p w14:paraId="6359E51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品牌</w:t>
            </w:r>
          </w:p>
        </w:tc>
        <w:tc>
          <w:tcPr>
            <w:tcW w:w="1485" w:type="dxa"/>
            <w:shd w:val="clear" w:color="auto" w:fill="D0CECE"/>
            <w:noWrap w:val="0"/>
            <w:vAlign w:val="center"/>
          </w:tcPr>
          <w:p w14:paraId="50D84C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生产厂家</w:t>
            </w:r>
          </w:p>
        </w:tc>
        <w:tc>
          <w:tcPr>
            <w:tcW w:w="921" w:type="dxa"/>
            <w:shd w:val="clear" w:color="auto" w:fill="D0CECE"/>
            <w:noWrap w:val="0"/>
            <w:vAlign w:val="center"/>
          </w:tcPr>
          <w:p w14:paraId="101D950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规格、型号</w:t>
            </w:r>
          </w:p>
        </w:tc>
        <w:tc>
          <w:tcPr>
            <w:tcW w:w="1459" w:type="dxa"/>
            <w:shd w:val="clear" w:color="auto" w:fill="D0CECE"/>
            <w:noWrap w:val="0"/>
            <w:vAlign w:val="center"/>
          </w:tcPr>
          <w:p w14:paraId="59ACFCC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批准文号</w:t>
            </w:r>
          </w:p>
        </w:tc>
        <w:tc>
          <w:tcPr>
            <w:tcW w:w="1459" w:type="dxa"/>
            <w:shd w:val="clear" w:color="auto" w:fill="D0CECE"/>
            <w:noWrap w:val="0"/>
            <w:vAlign w:val="center"/>
          </w:tcPr>
          <w:p w14:paraId="1B52D53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数量</w:t>
            </w:r>
          </w:p>
          <w:p w14:paraId="1D6272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lang w:val="en-US" w:eastAsia="zh-CN"/>
              </w:rPr>
              <w:t>万头份、万毫升</w:t>
            </w:r>
            <w:r>
              <w:rPr>
                <w:rFonts w:hint="eastAsia" w:ascii="仿宋" w:hAnsi="仿宋" w:eastAsia="仿宋" w:cs="仿宋"/>
                <w:b/>
                <w:color w:val="auto"/>
                <w:sz w:val="24"/>
                <w:szCs w:val="24"/>
                <w:highlight w:val="none"/>
                <w:lang w:eastAsia="zh-CN"/>
              </w:rPr>
              <w:t>）</w:t>
            </w:r>
          </w:p>
        </w:tc>
        <w:tc>
          <w:tcPr>
            <w:tcW w:w="1327" w:type="dxa"/>
            <w:shd w:val="clear" w:color="auto" w:fill="D0CECE"/>
            <w:noWrap w:val="0"/>
            <w:vAlign w:val="center"/>
          </w:tcPr>
          <w:p w14:paraId="5F67DC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下浮后单价（元）</w:t>
            </w:r>
          </w:p>
        </w:tc>
        <w:tc>
          <w:tcPr>
            <w:tcW w:w="1611" w:type="dxa"/>
            <w:shd w:val="clear" w:color="auto" w:fill="D0CECE"/>
            <w:noWrap w:val="0"/>
            <w:vAlign w:val="center"/>
          </w:tcPr>
          <w:p w14:paraId="59257B9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金额</w:t>
            </w:r>
          </w:p>
          <w:p w14:paraId="6739C5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（万元）</w:t>
            </w:r>
          </w:p>
        </w:tc>
      </w:tr>
      <w:tr w14:paraId="50B1468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465" w:type="dxa"/>
            <w:noWrap w:val="0"/>
            <w:vAlign w:val="center"/>
          </w:tcPr>
          <w:p w14:paraId="7513CD9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907" w:type="dxa"/>
            <w:noWrap w:val="0"/>
            <w:vAlign w:val="center"/>
          </w:tcPr>
          <w:p w14:paraId="2344F7D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p>
        </w:tc>
        <w:tc>
          <w:tcPr>
            <w:tcW w:w="1485" w:type="dxa"/>
            <w:noWrap w:val="0"/>
            <w:vAlign w:val="center"/>
          </w:tcPr>
          <w:p w14:paraId="1BCA215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p>
        </w:tc>
        <w:tc>
          <w:tcPr>
            <w:tcW w:w="921" w:type="dxa"/>
            <w:noWrap w:val="0"/>
            <w:vAlign w:val="center"/>
          </w:tcPr>
          <w:p w14:paraId="09C1FF4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p>
        </w:tc>
        <w:tc>
          <w:tcPr>
            <w:tcW w:w="1459" w:type="dxa"/>
            <w:noWrap w:val="0"/>
            <w:vAlign w:val="center"/>
          </w:tcPr>
          <w:p w14:paraId="2C6AB6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val="en-US" w:eastAsia="zh-CN"/>
              </w:rPr>
            </w:pPr>
          </w:p>
        </w:tc>
        <w:tc>
          <w:tcPr>
            <w:tcW w:w="1459" w:type="dxa"/>
            <w:noWrap w:val="0"/>
            <w:vAlign w:val="center"/>
          </w:tcPr>
          <w:p w14:paraId="7583E84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val="en-US" w:eastAsia="zh-CN"/>
              </w:rPr>
            </w:pPr>
          </w:p>
        </w:tc>
        <w:tc>
          <w:tcPr>
            <w:tcW w:w="1327" w:type="dxa"/>
            <w:noWrap w:val="0"/>
            <w:vAlign w:val="center"/>
          </w:tcPr>
          <w:p w14:paraId="497E4E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p>
        </w:tc>
        <w:tc>
          <w:tcPr>
            <w:tcW w:w="1611" w:type="dxa"/>
            <w:noWrap w:val="0"/>
            <w:vAlign w:val="center"/>
          </w:tcPr>
          <w:p w14:paraId="628832A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p>
        </w:tc>
      </w:tr>
      <w:tr w14:paraId="49290D5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5" w:type="dxa"/>
            <w:noWrap w:val="0"/>
            <w:vAlign w:val="center"/>
          </w:tcPr>
          <w:p w14:paraId="57F1BC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907" w:type="dxa"/>
            <w:noWrap w:val="0"/>
            <w:vAlign w:val="center"/>
          </w:tcPr>
          <w:p w14:paraId="76CCB7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p>
        </w:tc>
        <w:tc>
          <w:tcPr>
            <w:tcW w:w="1485" w:type="dxa"/>
            <w:noWrap w:val="0"/>
            <w:vAlign w:val="center"/>
          </w:tcPr>
          <w:p w14:paraId="1768030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p>
        </w:tc>
        <w:tc>
          <w:tcPr>
            <w:tcW w:w="921" w:type="dxa"/>
            <w:noWrap w:val="0"/>
            <w:vAlign w:val="center"/>
          </w:tcPr>
          <w:p w14:paraId="593AB23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p>
        </w:tc>
        <w:tc>
          <w:tcPr>
            <w:tcW w:w="1459" w:type="dxa"/>
            <w:noWrap w:val="0"/>
            <w:vAlign w:val="center"/>
          </w:tcPr>
          <w:p w14:paraId="0213FD2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p>
        </w:tc>
        <w:tc>
          <w:tcPr>
            <w:tcW w:w="1459" w:type="dxa"/>
            <w:noWrap w:val="0"/>
            <w:vAlign w:val="center"/>
          </w:tcPr>
          <w:p w14:paraId="3CDED94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p>
        </w:tc>
        <w:tc>
          <w:tcPr>
            <w:tcW w:w="1327" w:type="dxa"/>
            <w:noWrap w:val="0"/>
            <w:vAlign w:val="center"/>
          </w:tcPr>
          <w:p w14:paraId="416C071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p>
        </w:tc>
        <w:tc>
          <w:tcPr>
            <w:tcW w:w="1611" w:type="dxa"/>
            <w:noWrap w:val="0"/>
            <w:vAlign w:val="center"/>
          </w:tcPr>
          <w:p w14:paraId="42224F7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p>
        </w:tc>
      </w:tr>
      <w:tr w14:paraId="3AB538D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5" w:type="dxa"/>
            <w:noWrap w:val="0"/>
            <w:vAlign w:val="center"/>
          </w:tcPr>
          <w:p w14:paraId="0CCFC0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907" w:type="dxa"/>
            <w:noWrap w:val="0"/>
            <w:vAlign w:val="center"/>
          </w:tcPr>
          <w:p w14:paraId="10416E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p>
        </w:tc>
        <w:tc>
          <w:tcPr>
            <w:tcW w:w="1485" w:type="dxa"/>
            <w:noWrap w:val="0"/>
            <w:vAlign w:val="center"/>
          </w:tcPr>
          <w:p w14:paraId="52372D6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p>
        </w:tc>
        <w:tc>
          <w:tcPr>
            <w:tcW w:w="921" w:type="dxa"/>
            <w:noWrap w:val="0"/>
            <w:vAlign w:val="center"/>
          </w:tcPr>
          <w:p w14:paraId="3DEDC61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p>
        </w:tc>
        <w:tc>
          <w:tcPr>
            <w:tcW w:w="1459" w:type="dxa"/>
            <w:noWrap w:val="0"/>
            <w:vAlign w:val="center"/>
          </w:tcPr>
          <w:p w14:paraId="7EBE160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p>
        </w:tc>
        <w:tc>
          <w:tcPr>
            <w:tcW w:w="1459" w:type="dxa"/>
            <w:noWrap w:val="0"/>
            <w:vAlign w:val="center"/>
          </w:tcPr>
          <w:p w14:paraId="6F6A9A6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p>
        </w:tc>
        <w:tc>
          <w:tcPr>
            <w:tcW w:w="1327" w:type="dxa"/>
            <w:noWrap w:val="0"/>
            <w:vAlign w:val="center"/>
          </w:tcPr>
          <w:p w14:paraId="4461B24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p>
        </w:tc>
        <w:tc>
          <w:tcPr>
            <w:tcW w:w="1611" w:type="dxa"/>
            <w:noWrap w:val="0"/>
            <w:vAlign w:val="center"/>
          </w:tcPr>
          <w:p w14:paraId="7792DD3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p>
        </w:tc>
      </w:tr>
    </w:tbl>
    <w:p w14:paraId="229DB04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乙方所提供的疫苗生产批号及生产日期应当符合本合同第四项第二条第一点的规定。</w:t>
      </w:r>
    </w:p>
    <w:p w14:paraId="0D1D02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三、交货方式、地点及时间</w:t>
      </w:r>
    </w:p>
    <w:p w14:paraId="76442C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1、交货方式及地点：</w:t>
      </w:r>
      <w:r>
        <w:rPr>
          <w:rFonts w:hint="eastAsia" w:ascii="仿宋" w:hAnsi="仿宋" w:eastAsia="仿宋" w:cs="仿宋"/>
          <w:color w:val="auto"/>
          <w:sz w:val="24"/>
          <w:szCs w:val="24"/>
          <w:highlight w:val="none"/>
          <w:lang w:val="en-US" w:eastAsia="zh-CN"/>
        </w:rPr>
        <w:t>方式：</w:t>
      </w:r>
      <w:r>
        <w:rPr>
          <w:rFonts w:hint="eastAsia" w:ascii="仿宋" w:hAnsi="仿宋" w:eastAsia="仿宋" w:cs="仿宋"/>
          <w:color w:val="auto"/>
          <w:sz w:val="24"/>
          <w:szCs w:val="24"/>
          <w:highlight w:val="none"/>
          <w:u w:val="single"/>
        </w:rPr>
        <w:t>现场落地交货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地点：</w:t>
      </w:r>
      <w:r>
        <w:rPr>
          <w:rFonts w:hint="eastAsia" w:ascii="仿宋" w:hAnsi="仿宋" w:eastAsia="仿宋" w:cs="仿宋"/>
          <w:color w:val="auto"/>
          <w:sz w:val="24"/>
          <w:szCs w:val="24"/>
          <w:highlight w:val="none"/>
          <w:u w:val="single"/>
          <w:lang w:val="en-US" w:eastAsia="zh-CN"/>
        </w:rPr>
        <w:t>采购人指定地点</w:t>
      </w:r>
      <w:r>
        <w:rPr>
          <w:rFonts w:hint="eastAsia" w:ascii="仿宋" w:hAnsi="仿宋" w:eastAsia="仿宋" w:cs="仿宋"/>
          <w:color w:val="auto"/>
          <w:sz w:val="24"/>
          <w:szCs w:val="24"/>
          <w:highlight w:val="none"/>
        </w:rPr>
        <w:t>。</w:t>
      </w:r>
    </w:p>
    <w:p w14:paraId="4B1FF0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2、交货时间：接到采购方发货通知后不得超过</w:t>
      </w:r>
      <w:r>
        <w:rPr>
          <w:rFonts w:hint="eastAsia" w:ascii="仿宋" w:hAnsi="仿宋" w:eastAsia="仿宋" w:cs="仿宋"/>
          <w:color w:val="auto"/>
          <w:sz w:val="24"/>
          <w:szCs w:val="24"/>
          <w:highlight w:val="none"/>
          <w:u w:val="single"/>
          <w:lang w:val="en-US" w:eastAsia="zh-CN"/>
        </w:rPr>
        <w:t>15</w:t>
      </w:r>
      <w:r>
        <w:rPr>
          <w:rFonts w:hint="eastAsia" w:ascii="仿宋" w:hAnsi="仿宋" w:eastAsia="仿宋" w:cs="仿宋"/>
          <w:color w:val="auto"/>
          <w:sz w:val="24"/>
          <w:szCs w:val="24"/>
          <w:highlight w:val="none"/>
        </w:rPr>
        <w:t>日历天。</w:t>
      </w:r>
    </w:p>
    <w:p w14:paraId="0A36792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四、甲乙双方的权利和义务</w:t>
      </w:r>
    </w:p>
    <w:p w14:paraId="7A89E7A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（一）甲方的权利和义务</w:t>
      </w:r>
    </w:p>
    <w:p w14:paraId="6E0F5C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1、负责合同签订后项目实施工作（如与乙方的具体联系和衔接，交货时配备人员进行监管控制等）。</w:t>
      </w:r>
    </w:p>
    <w:p w14:paraId="60E5F9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2、负责组织对货物进行验收并签署验收报告</w:t>
      </w:r>
      <w:r>
        <w:rPr>
          <w:rFonts w:hint="eastAsia" w:ascii="仿宋" w:hAnsi="仿宋" w:eastAsia="仿宋" w:cs="仿宋"/>
          <w:color w:val="auto"/>
          <w:sz w:val="24"/>
          <w:szCs w:val="24"/>
          <w:highlight w:val="none"/>
          <w:lang w:eastAsia="zh-CN"/>
        </w:rPr>
        <w:t>。</w:t>
      </w:r>
    </w:p>
    <w:p w14:paraId="42649C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3、按合同规定享有乙方提供的相关服务。</w:t>
      </w:r>
    </w:p>
    <w:p w14:paraId="5287C5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4、甲方配合乙方做好技术培训工作。</w:t>
      </w:r>
    </w:p>
    <w:p w14:paraId="2553AF4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（二）乙方的权利和义务</w:t>
      </w:r>
    </w:p>
    <w:p w14:paraId="500EAE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1、乙方应保证提供的货物有效期在</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个月以上</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符合国家农业</w:t>
      </w:r>
      <w:r>
        <w:rPr>
          <w:rFonts w:hint="eastAsia" w:ascii="仿宋" w:hAnsi="仿宋" w:eastAsia="仿宋" w:cs="仿宋"/>
          <w:color w:val="auto"/>
          <w:sz w:val="24"/>
          <w:szCs w:val="24"/>
          <w:highlight w:val="none"/>
          <w:lang w:val="en-US" w:eastAsia="zh-CN"/>
        </w:rPr>
        <w:t>农村</w:t>
      </w:r>
      <w:r>
        <w:rPr>
          <w:rFonts w:hint="eastAsia" w:ascii="仿宋" w:hAnsi="仿宋" w:eastAsia="仿宋" w:cs="仿宋"/>
          <w:color w:val="auto"/>
          <w:sz w:val="24"/>
          <w:szCs w:val="24"/>
          <w:highlight w:val="none"/>
        </w:rPr>
        <w:t>部门</w:t>
      </w:r>
      <w:r>
        <w:rPr>
          <w:rFonts w:hint="eastAsia" w:ascii="仿宋" w:hAnsi="仿宋" w:eastAsia="仿宋" w:cs="仿宋"/>
          <w:color w:val="auto"/>
          <w:sz w:val="24"/>
          <w:szCs w:val="24"/>
          <w:highlight w:val="none"/>
          <w:lang w:val="en-US" w:eastAsia="zh-CN"/>
        </w:rPr>
        <w:t>批准的</w:t>
      </w:r>
      <w:r>
        <w:rPr>
          <w:rFonts w:hint="eastAsia" w:ascii="仿宋" w:hAnsi="仿宋" w:eastAsia="仿宋" w:cs="仿宋"/>
          <w:color w:val="auto"/>
          <w:sz w:val="24"/>
          <w:szCs w:val="24"/>
          <w:highlight w:val="none"/>
        </w:rPr>
        <w:t>生产工艺和技术，使用符合规定的原材料制造的合格产品，并完全符合合同规定的质量、规格和性能的要求。乙方保证所提供的疫苗符合国家相关质量标准，对疫苗的质量承担全面责任</w:t>
      </w:r>
      <w:r>
        <w:rPr>
          <w:rFonts w:hint="eastAsia" w:ascii="仿宋" w:hAnsi="仿宋" w:eastAsia="仿宋" w:cs="仿宋"/>
          <w:color w:val="auto"/>
          <w:sz w:val="24"/>
          <w:szCs w:val="24"/>
          <w:highlight w:val="none"/>
          <w:lang w:eastAsia="zh-CN"/>
        </w:rPr>
        <w:t>，乙方需提供每批次疫苗的生产批号和质检报告，确保每批次疫苗的质量。</w:t>
      </w:r>
    </w:p>
    <w:p w14:paraId="0184B8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2、乙方产品的质量保证期为货物验收之日起至按照国家农业</w:t>
      </w:r>
      <w:r>
        <w:rPr>
          <w:rFonts w:hint="eastAsia" w:ascii="仿宋" w:hAnsi="仿宋" w:eastAsia="仿宋" w:cs="仿宋"/>
          <w:color w:val="auto"/>
          <w:sz w:val="24"/>
          <w:szCs w:val="24"/>
          <w:highlight w:val="none"/>
          <w:lang w:val="en-US" w:eastAsia="zh-CN"/>
        </w:rPr>
        <w:t>农村</w:t>
      </w:r>
      <w:r>
        <w:rPr>
          <w:rFonts w:hint="eastAsia" w:ascii="仿宋" w:hAnsi="仿宋" w:eastAsia="仿宋" w:cs="仿宋"/>
          <w:color w:val="auto"/>
          <w:sz w:val="24"/>
          <w:szCs w:val="24"/>
          <w:highlight w:val="none"/>
        </w:rPr>
        <w:t>部相关规定注射后的免疫保护期截止之日。</w:t>
      </w:r>
    </w:p>
    <w:p w14:paraId="77839B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3、严格遵守投标、技术澄清、商务谈判、中标所承诺的一切规定和条款。</w:t>
      </w:r>
    </w:p>
    <w:p w14:paraId="1205CB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4、参与甲方共同进行货物验收。</w:t>
      </w:r>
    </w:p>
    <w:p w14:paraId="12E04D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5、甲方在货物使用过程中发生技术质量问题，乙方应提供及时有效的技术支持。</w:t>
      </w:r>
    </w:p>
    <w:p w14:paraId="079171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6、乙方应按招标人要求全程冷链运输疫苗送达指定地点，并提供全程冷链温度记录表。</w:t>
      </w:r>
    </w:p>
    <w:p w14:paraId="6F9DD8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7、中标产品如遇国家或云南省疫苗种类变更，则应当提供变更后的同类产品，供应的同类产品应符合国家质量技术标准。</w:t>
      </w:r>
    </w:p>
    <w:p w14:paraId="1FE62A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8、乙方应当做好技术培训。</w:t>
      </w:r>
    </w:p>
    <w:p w14:paraId="7E51F2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五、货物验收及验收标准</w:t>
      </w:r>
    </w:p>
    <w:p w14:paraId="3DB602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货物验收：货物到达甲方指定地点后，甲方</w:t>
      </w:r>
      <w:r>
        <w:rPr>
          <w:rFonts w:hint="eastAsia" w:ascii="仿宋" w:hAnsi="仿宋" w:eastAsia="仿宋" w:cs="仿宋"/>
          <w:color w:val="auto"/>
          <w:sz w:val="24"/>
          <w:szCs w:val="24"/>
          <w:highlight w:val="none"/>
          <w:lang w:val="en-US" w:eastAsia="zh-CN"/>
        </w:rPr>
        <w:t>按照合同要求组织验收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甲方委托10县区动物疫病预防控制中心对货物进行验收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14:paraId="0144E9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1、到货验收包括：本批产品国家检测中心的检测报告，</w:t>
      </w:r>
      <w:r>
        <w:rPr>
          <w:rFonts w:hint="eastAsia" w:ascii="仿宋" w:hAnsi="仿宋" w:eastAsia="仿宋" w:cs="仿宋"/>
          <w:color w:val="auto"/>
          <w:sz w:val="24"/>
          <w:szCs w:val="24"/>
          <w:highlight w:val="none"/>
          <w:lang w:val="en-US" w:eastAsia="zh-CN"/>
        </w:rPr>
        <w:t>全程冷链温度记录表、</w:t>
      </w:r>
      <w:r>
        <w:rPr>
          <w:rFonts w:hint="eastAsia" w:ascii="仿宋" w:hAnsi="仿宋" w:eastAsia="仿宋" w:cs="仿宋"/>
          <w:color w:val="auto"/>
          <w:sz w:val="24"/>
          <w:szCs w:val="24"/>
          <w:highlight w:val="none"/>
        </w:rPr>
        <w:t>货物数量、外观质量、规格、技术参数、性能要求、装箱单及包装是否完整无破损。</w:t>
      </w:r>
    </w:p>
    <w:p w14:paraId="6BD3DD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2、到货后，甲乙双方共同对货物凭现状进行验收。若原装、原封、原标记有明显损坏或发现疫苗有沉淀、混浊等变质先兆，</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有权拒收货物</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lang w:val="en-US" w:eastAsia="zh-CN"/>
        </w:rPr>
        <w:t>有权自行开展</w:t>
      </w:r>
      <w:r>
        <w:rPr>
          <w:rFonts w:hint="eastAsia" w:ascii="仿宋" w:hAnsi="仿宋" w:eastAsia="仿宋" w:cs="仿宋"/>
          <w:color w:val="auto"/>
          <w:sz w:val="24"/>
          <w:szCs w:val="24"/>
          <w:highlight w:val="none"/>
          <w:u w:val="none"/>
          <w:lang w:val="en-US" w:eastAsia="zh-CN"/>
        </w:rPr>
        <w:t>或配合上级相关部门</w:t>
      </w:r>
      <w:r>
        <w:rPr>
          <w:rFonts w:hint="eastAsia" w:ascii="仿宋" w:hAnsi="仿宋" w:eastAsia="仿宋" w:cs="仿宋"/>
          <w:color w:val="auto"/>
          <w:sz w:val="24"/>
          <w:szCs w:val="24"/>
          <w:highlight w:val="none"/>
        </w:rPr>
        <w:t>对货物进行实验室抽样检测，</w:t>
      </w:r>
      <w:r>
        <w:rPr>
          <w:rFonts w:hint="eastAsia" w:ascii="仿宋" w:hAnsi="仿宋" w:eastAsia="仿宋" w:cs="仿宋"/>
          <w:color w:val="auto"/>
          <w:sz w:val="24"/>
          <w:szCs w:val="24"/>
          <w:highlight w:val="none"/>
          <w:lang w:val="en-US" w:eastAsia="zh-CN"/>
        </w:rPr>
        <w:t>若</w:t>
      </w:r>
      <w:r>
        <w:rPr>
          <w:rFonts w:hint="eastAsia" w:ascii="仿宋" w:hAnsi="仿宋" w:eastAsia="仿宋" w:cs="仿宋"/>
          <w:color w:val="auto"/>
          <w:sz w:val="24"/>
          <w:szCs w:val="24"/>
          <w:highlight w:val="none"/>
        </w:rPr>
        <w:t>抽检不合格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该相同批号</w:t>
      </w:r>
      <w:r>
        <w:rPr>
          <w:rFonts w:hint="eastAsia" w:ascii="仿宋" w:hAnsi="仿宋" w:eastAsia="仿宋" w:cs="仿宋"/>
          <w:color w:val="auto"/>
          <w:sz w:val="24"/>
          <w:szCs w:val="24"/>
          <w:highlight w:val="none"/>
        </w:rPr>
        <w:t>产品</w:t>
      </w:r>
      <w:r>
        <w:rPr>
          <w:rFonts w:hint="eastAsia" w:ascii="仿宋" w:hAnsi="仿宋" w:eastAsia="仿宋" w:cs="仿宋"/>
          <w:color w:val="auto"/>
          <w:sz w:val="24"/>
          <w:szCs w:val="24"/>
          <w:highlight w:val="none"/>
          <w:lang w:val="en-US" w:eastAsia="zh-CN"/>
        </w:rPr>
        <w:t>作</w:t>
      </w:r>
      <w:r>
        <w:rPr>
          <w:rFonts w:hint="eastAsia" w:ascii="仿宋" w:hAnsi="仿宋" w:eastAsia="仿宋" w:cs="仿宋"/>
          <w:color w:val="auto"/>
          <w:sz w:val="24"/>
          <w:szCs w:val="24"/>
          <w:highlight w:val="none"/>
        </w:rPr>
        <w:t>退货处理，</w:t>
      </w:r>
      <w:r>
        <w:rPr>
          <w:rFonts w:hint="eastAsia" w:ascii="仿宋" w:hAnsi="仿宋" w:eastAsia="仿宋" w:cs="仿宋"/>
          <w:color w:val="auto"/>
          <w:sz w:val="24"/>
          <w:szCs w:val="24"/>
          <w:highlight w:val="none"/>
          <w:lang w:val="en-US" w:eastAsia="zh-CN"/>
        </w:rPr>
        <w:t>且</w:t>
      </w:r>
      <w:r>
        <w:rPr>
          <w:rFonts w:hint="eastAsia" w:ascii="仿宋" w:hAnsi="仿宋" w:eastAsia="仿宋" w:cs="仿宋"/>
          <w:color w:val="auto"/>
          <w:sz w:val="24"/>
          <w:szCs w:val="24"/>
          <w:highlight w:val="none"/>
        </w:rPr>
        <w:t>甲方有权终止合同，由此造成的一切损失由乙方承担。</w:t>
      </w:r>
    </w:p>
    <w:p w14:paraId="7C5A04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货物验收完成后，</w:t>
      </w:r>
      <w:r>
        <w:rPr>
          <w:rFonts w:hint="eastAsia" w:ascii="仿宋" w:hAnsi="仿宋" w:eastAsia="仿宋" w:cs="仿宋"/>
          <w:color w:val="auto"/>
          <w:sz w:val="24"/>
          <w:szCs w:val="24"/>
          <w:highlight w:val="none"/>
        </w:rPr>
        <w:t>甲</w:t>
      </w:r>
      <w:r>
        <w:rPr>
          <w:rFonts w:hint="eastAsia" w:ascii="仿宋" w:hAnsi="仿宋" w:eastAsia="仿宋" w:cs="仿宋"/>
          <w:color w:val="auto"/>
          <w:sz w:val="24"/>
          <w:szCs w:val="24"/>
          <w:highlight w:val="none"/>
          <w:lang w:val="en-US" w:eastAsia="zh-CN"/>
        </w:rPr>
        <w:t>方作出验收结果报告</w:t>
      </w:r>
      <w:r>
        <w:rPr>
          <w:rFonts w:hint="eastAsia" w:ascii="仿宋" w:hAnsi="仿宋" w:eastAsia="仿宋" w:cs="仿宋"/>
          <w:color w:val="auto"/>
          <w:sz w:val="24"/>
          <w:szCs w:val="24"/>
          <w:highlight w:val="none"/>
        </w:rPr>
        <w:t>。</w:t>
      </w:r>
    </w:p>
    <w:p w14:paraId="5B721F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六、合同价款结算</w:t>
      </w:r>
    </w:p>
    <w:p w14:paraId="00B788A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付款方式：合同签订后根据实际供货价值支付（本合同付款以对应财政预算资金实际足额拨付至甲方账户为前提。因财政政策调整、拨款延迟等不可归责于甲方的事由导致付款逾期的，付款期限自动顺延，甲方不承担任何违约责任，乙方不得以此为由中止供货、解除合同或主张违约金）。</w:t>
      </w:r>
    </w:p>
    <w:p w14:paraId="36B477E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代贮疫苗的付款方式：需签订代贮协议，明确代贮疫苗的数量、价值、代贮地点、负责人后，甲方按主管部门财务管理制度和同级财政部门要求支付代贮物资的资金（代贮货物部分需签订代贮协议且乙方按代贮协议要求向甲方指定账户汇入代贮货物同等价值总金额作为货物保证金）。</w:t>
      </w:r>
    </w:p>
    <w:p w14:paraId="04A630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3、本合同中的总金额包括货物费、人工费、运输费、税费、培训费等以及保证具体工作项目顺利开展的所有费用。乙方不得以任何名义再收取其他费用。</w:t>
      </w:r>
    </w:p>
    <w:p w14:paraId="527B7A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七、售后服务条款</w:t>
      </w:r>
    </w:p>
    <w:p w14:paraId="43FA9A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1、免疫副反应赔偿</w:t>
      </w:r>
      <w:r>
        <w:rPr>
          <w:rFonts w:hint="eastAsia" w:ascii="仿宋" w:hAnsi="仿宋" w:eastAsia="仿宋" w:cs="仿宋"/>
          <w:color w:val="auto"/>
          <w:sz w:val="24"/>
          <w:szCs w:val="24"/>
          <w:highlight w:val="none"/>
          <w:lang w:eastAsia="zh-CN"/>
        </w:rPr>
        <w:t>：</w:t>
      </w:r>
    </w:p>
    <w:p w14:paraId="05C0F4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赔偿原则：应赔尽赔，无反应可不赔。</w:t>
      </w:r>
    </w:p>
    <w:p w14:paraId="676CA4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（2）赔偿金额：</w:t>
      </w:r>
    </w:p>
    <w:p w14:paraId="7D48B9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a.乙方是免疫副反应赔偿的唯一责任主体，甲方仅协助协调，不承担任何赔偿责任与垫付义务;</w:t>
      </w:r>
    </w:p>
    <w:p w14:paraId="13B7C4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b.副反应认定异议处理:乙方对县区疫控中心认定结果有异议的，应在3个工作日内提出并举证，由市级疫控中心复核，复核结果为最终结论;</w:t>
      </w:r>
    </w:p>
    <w:p w14:paraId="5C5111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C.赔偿款由乙方直接支付至农户账户，不得通过甲方转付。</w:t>
      </w:r>
    </w:p>
    <w:p w14:paraId="30E2A7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2、注苗后异常反应处置</w:t>
      </w:r>
    </w:p>
    <w:p w14:paraId="5525998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w:t>
      </w:r>
      <w:r>
        <w:rPr>
          <w:rFonts w:hint="eastAsia" w:ascii="仿宋" w:hAnsi="仿宋" w:eastAsia="仿宋" w:cs="仿宋"/>
          <w:color w:val="auto"/>
          <w:sz w:val="24"/>
          <w:szCs w:val="24"/>
          <w:highlight w:val="none"/>
          <w:lang w:val="en-US" w:eastAsia="zh-CN"/>
        </w:rPr>
        <w:t>上述</w:t>
      </w:r>
      <w:r>
        <w:rPr>
          <w:rFonts w:hint="eastAsia" w:ascii="仿宋" w:hAnsi="仿宋" w:eastAsia="仿宋" w:cs="仿宋"/>
          <w:color w:val="auto"/>
          <w:sz w:val="24"/>
          <w:szCs w:val="24"/>
          <w:highlight w:val="none"/>
        </w:rPr>
        <w:t>疫苗正常反应死亡赔偿比例支付外，若</w:t>
      </w:r>
      <w:r>
        <w:rPr>
          <w:rFonts w:hint="eastAsia" w:ascii="仿宋" w:hAnsi="仿宋" w:eastAsia="仿宋" w:cs="仿宋"/>
          <w:color w:val="auto"/>
          <w:sz w:val="24"/>
          <w:szCs w:val="24"/>
          <w:highlight w:val="none"/>
          <w:lang w:val="en-US" w:eastAsia="zh-CN"/>
        </w:rPr>
        <w:t>发生</w:t>
      </w:r>
      <w:r>
        <w:rPr>
          <w:rFonts w:hint="eastAsia" w:ascii="仿宋" w:hAnsi="仿宋" w:eastAsia="仿宋" w:cs="仿宋"/>
          <w:color w:val="auto"/>
          <w:sz w:val="24"/>
          <w:szCs w:val="24"/>
          <w:highlight w:val="none"/>
        </w:rPr>
        <w:t>较大的疫苗反应死亡情况</w:t>
      </w:r>
      <w:r>
        <w:rPr>
          <w:rFonts w:hint="eastAsia" w:ascii="仿宋" w:hAnsi="仿宋" w:eastAsia="仿宋" w:cs="仿宋"/>
          <w:color w:val="auto"/>
          <w:sz w:val="24"/>
          <w:szCs w:val="24"/>
          <w:highlight w:val="none"/>
          <w:lang w:val="en-US" w:eastAsia="zh-CN"/>
        </w:rPr>
        <w:t>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乙方应</w:t>
      </w:r>
      <w:r>
        <w:rPr>
          <w:rFonts w:hint="eastAsia" w:ascii="仿宋" w:hAnsi="仿宋" w:eastAsia="仿宋" w:cs="仿宋"/>
          <w:color w:val="auto"/>
          <w:sz w:val="24"/>
          <w:szCs w:val="24"/>
          <w:highlight w:val="none"/>
          <w:lang w:val="en-US" w:eastAsia="zh-CN"/>
        </w:rPr>
        <w:t>按承诺的时限</w:t>
      </w:r>
      <w:r>
        <w:rPr>
          <w:rFonts w:hint="eastAsia" w:ascii="仿宋" w:hAnsi="仿宋" w:eastAsia="仿宋" w:cs="仿宋"/>
          <w:color w:val="auto"/>
          <w:sz w:val="24"/>
          <w:szCs w:val="24"/>
          <w:highlight w:val="none"/>
        </w:rPr>
        <w:t>及时派人到现场处理，确因疫苗造成的反应死亡乙方</w:t>
      </w:r>
      <w:r>
        <w:rPr>
          <w:rFonts w:hint="eastAsia" w:ascii="仿宋" w:hAnsi="仿宋" w:eastAsia="仿宋" w:cs="仿宋"/>
          <w:color w:val="auto"/>
          <w:sz w:val="24"/>
          <w:szCs w:val="24"/>
          <w:highlight w:val="none"/>
          <w:lang w:val="en-US" w:eastAsia="zh-CN"/>
        </w:rPr>
        <w:t>应当</w:t>
      </w:r>
      <w:r>
        <w:rPr>
          <w:rFonts w:hint="eastAsia" w:ascii="仿宋" w:hAnsi="仿宋" w:eastAsia="仿宋" w:cs="仿宋"/>
          <w:color w:val="auto"/>
          <w:sz w:val="24"/>
          <w:szCs w:val="24"/>
          <w:highlight w:val="none"/>
        </w:rPr>
        <w:t>承担</w:t>
      </w:r>
      <w:r>
        <w:rPr>
          <w:rFonts w:hint="eastAsia" w:ascii="仿宋" w:hAnsi="仿宋" w:eastAsia="仿宋" w:cs="仿宋"/>
          <w:color w:val="auto"/>
          <w:sz w:val="24"/>
          <w:szCs w:val="24"/>
          <w:highlight w:val="none"/>
          <w:lang w:val="en-US" w:eastAsia="zh-CN"/>
        </w:rPr>
        <w:t>全部</w:t>
      </w:r>
      <w:r>
        <w:rPr>
          <w:rFonts w:hint="eastAsia" w:ascii="仿宋" w:hAnsi="仿宋" w:eastAsia="仿宋" w:cs="仿宋"/>
          <w:color w:val="auto"/>
          <w:sz w:val="24"/>
          <w:szCs w:val="24"/>
          <w:highlight w:val="none"/>
        </w:rPr>
        <w:t>的损失。</w:t>
      </w:r>
    </w:p>
    <w:p w14:paraId="4C38538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因疫苗质量不符合国家标准、毒株不符、免疫失效等乙方原因导致免疫群体暴发疫情的，乙方须承担全部法律责任与经济损失，包括但不限于疫情处置费、扑杀补偿费、防疫物资费、检测费、名誉损失及相关部门的处罚，同时甲方有权单方解除合同、没收全部履约保证金，并要求乙方支付合同总金额 30%的违约金。</w:t>
      </w:r>
    </w:p>
    <w:p w14:paraId="2B7357F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3、冷链运输不合格的补货与违约责任</w:t>
      </w:r>
    </w:p>
    <w:p w14:paraId="399730B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因运输温度不达标导致货物拒收的，乙方须在7日内重新补发合格货物，由此产生的全部费用由乙方承担;逾期补发的，按逾期交货承担违约责任;累计2次运输温度不达标的，甲方有权单方解除合同。</w:t>
      </w:r>
    </w:p>
    <w:p w14:paraId="77F689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、技术培训</w:t>
      </w:r>
    </w:p>
    <w:p w14:paraId="62D309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培训对象：以甲方安排对象为准，包括：市、县（区）、乡（镇）专业技术人员，动物防疫员，养殖场（户）人员，生物制品经营销售人员等；</w:t>
      </w:r>
    </w:p>
    <w:p w14:paraId="186216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（2）培训内容：疫苗相关知识，包含但不限于重大动物疫病防控知识、人畜共患传染病防控知识、动物检疫知识等；</w:t>
      </w:r>
    </w:p>
    <w:p w14:paraId="6701B4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（3）培训地点：以实际培训地点为准；</w:t>
      </w:r>
    </w:p>
    <w:p w14:paraId="2B96BE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（4）培训目标：培训对象掌握相关技术知识。</w:t>
      </w:r>
    </w:p>
    <w:p w14:paraId="1F8E7E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5、疫苗空瓶和废弃疫苗回收</w:t>
      </w:r>
    </w:p>
    <w:p w14:paraId="5A03C47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lang w:val="en-US" w:eastAsia="zh-CN"/>
        </w:rPr>
        <w:t>应当</w:t>
      </w:r>
      <w:r>
        <w:rPr>
          <w:rFonts w:hint="eastAsia" w:ascii="仿宋" w:hAnsi="仿宋" w:eastAsia="仿宋" w:cs="仿宋"/>
          <w:color w:val="auto"/>
          <w:sz w:val="24"/>
          <w:szCs w:val="24"/>
          <w:highlight w:val="none"/>
        </w:rPr>
        <w:t>负责注射后疫苗空瓶及废弃疫苗的回收处置</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处置完毕后向甲方提供相应的处置结果材料</w:t>
      </w:r>
      <w:r>
        <w:rPr>
          <w:rFonts w:hint="eastAsia" w:ascii="仿宋" w:hAnsi="仿宋" w:eastAsia="仿宋" w:cs="仿宋"/>
          <w:color w:val="auto"/>
          <w:sz w:val="24"/>
          <w:szCs w:val="24"/>
          <w:highlight w:val="none"/>
        </w:rPr>
        <w:t>。</w:t>
      </w:r>
    </w:p>
    <w:p w14:paraId="7401EE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6、履约保证金</w:t>
      </w:r>
    </w:p>
    <w:p w14:paraId="75DDD7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（1）履约保证金的支付形式：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w:t>
      </w:r>
    </w:p>
    <w:p w14:paraId="2F227B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（2）乙方自收到中标通知书后</w:t>
      </w:r>
      <w:r>
        <w:rPr>
          <w:rFonts w:hint="eastAsia" w:ascii="仿宋" w:hAnsi="仿宋" w:eastAsia="仿宋" w:cs="仿宋"/>
          <w:bCs/>
          <w:color w:val="auto"/>
          <w:sz w:val="24"/>
          <w:szCs w:val="24"/>
          <w:highlight w:val="none"/>
          <w:u w:val="single"/>
          <w:lang w:val="en-US" w:eastAsia="zh-CN"/>
        </w:rPr>
        <w:t>10</w:t>
      </w:r>
      <w:r>
        <w:rPr>
          <w:rFonts w:hint="eastAsia" w:ascii="仿宋" w:hAnsi="仿宋" w:eastAsia="仿宋" w:cs="仿宋"/>
          <w:bCs/>
          <w:color w:val="auto"/>
          <w:sz w:val="24"/>
          <w:szCs w:val="24"/>
          <w:highlight w:val="none"/>
          <w:lang w:val="en-US" w:eastAsia="zh-CN"/>
        </w:rPr>
        <w:t>日内向甲方缴纳履约保证金。</w:t>
      </w:r>
    </w:p>
    <w:p w14:paraId="0EB372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（3）乙方在中标通知书发出后需要向甲方一次性缴纳履约保证金合同金额的10%，共计：</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万元（大写：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w:t>
      </w:r>
    </w:p>
    <w:p w14:paraId="763593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a.退还条件:全部货物供应完毕、免疫抗体效果评价合格、所有免疫副反应赔偿结清、废弃疫苗/空瓶全部合规处置完毕后30个工作日内，无息退还;</w:t>
      </w:r>
    </w:p>
    <w:p w14:paraId="3E4609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b.若乙方存在应付赔偿款、违约金、损失的，甲方有权直接从履约保证金中抵扣，不足部分有权继续追偿。</w:t>
      </w:r>
    </w:p>
    <w:p w14:paraId="5DE39B5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八、违约责任</w:t>
      </w:r>
    </w:p>
    <w:p w14:paraId="42B5C9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乙方所交货物与竞标标准不相符合的，甲方有权拒收货物，情节严重者可终止合同，乙方无权请求返还履约保证金，乙方负担发生的一切损失和费用（包括</w:t>
      </w:r>
      <w:r>
        <w:rPr>
          <w:rFonts w:hint="eastAsia" w:ascii="仿宋" w:hAnsi="仿宋" w:eastAsia="仿宋" w:cs="仿宋"/>
          <w:color w:val="auto"/>
          <w:sz w:val="24"/>
          <w:szCs w:val="24"/>
          <w:highlight w:val="none"/>
          <w:lang w:val="en-US" w:eastAsia="zh-CN"/>
        </w:rPr>
        <w:t>但不限于</w:t>
      </w:r>
      <w:r>
        <w:rPr>
          <w:rFonts w:hint="eastAsia" w:ascii="仿宋" w:hAnsi="仿宋" w:eastAsia="仿宋" w:cs="仿宋"/>
          <w:color w:val="auto"/>
          <w:sz w:val="24"/>
          <w:szCs w:val="24"/>
          <w:highlight w:val="none"/>
        </w:rPr>
        <w:t>：利息、银行费用、运费、保险费、检验费、仓储费和装卸费以及为保管和保护被拒收货物所需要的其它必要费用）。逾期交货将向甲方每日偿付合同总额的</w:t>
      </w:r>
      <w:r>
        <w:rPr>
          <w:rFonts w:hint="eastAsia" w:ascii="仿宋" w:hAnsi="仿宋" w:eastAsia="仿宋" w:cs="仿宋"/>
          <w:color w:val="auto"/>
          <w:sz w:val="24"/>
          <w:szCs w:val="24"/>
          <w:highlight w:val="none"/>
          <w:u w:val="single"/>
          <w:lang w:val="en-US" w:eastAsia="zh-CN"/>
        </w:rPr>
        <w:t>0.05</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rPr>
        <w:t>的滞纳金。因乙方不能按期交货及所交货物与竞标标准不符使甲方造成经济损失的应</w:t>
      </w:r>
      <w:r>
        <w:rPr>
          <w:rFonts w:hint="eastAsia" w:ascii="仿宋" w:hAnsi="仿宋" w:eastAsia="仿宋" w:cs="仿宋"/>
          <w:color w:val="auto"/>
          <w:sz w:val="24"/>
          <w:szCs w:val="24"/>
          <w:highlight w:val="none"/>
          <w:lang w:val="en-US" w:eastAsia="zh-CN"/>
        </w:rPr>
        <w:t>当</w:t>
      </w:r>
      <w:r>
        <w:rPr>
          <w:rFonts w:hint="eastAsia" w:ascii="仿宋" w:hAnsi="仿宋" w:eastAsia="仿宋" w:cs="仿宋"/>
          <w:color w:val="auto"/>
          <w:sz w:val="24"/>
          <w:szCs w:val="24"/>
          <w:highlight w:val="none"/>
        </w:rPr>
        <w:t>依法赔偿。</w:t>
      </w:r>
    </w:p>
    <w:p w14:paraId="0ACC45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甲方如无正当理由拒收货物，则应向乙方偿付合同款总价</w:t>
      </w:r>
      <w:r>
        <w:rPr>
          <w:rFonts w:hint="eastAsia" w:ascii="仿宋" w:hAnsi="仿宋" w:eastAsia="仿宋" w:cs="仿宋"/>
          <w:color w:val="auto"/>
          <w:sz w:val="24"/>
          <w:szCs w:val="24"/>
          <w:highlight w:val="none"/>
          <w:u w:val="single"/>
          <w:lang w:val="en-US" w:eastAsia="zh-CN"/>
        </w:rPr>
        <w:t>5</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的违约金；逾期支付合同款将向乙方每日偿付欠款总额</w:t>
      </w:r>
      <w:r>
        <w:rPr>
          <w:rFonts w:hint="eastAsia" w:ascii="仿宋" w:hAnsi="仿宋" w:eastAsia="仿宋" w:cs="仿宋"/>
          <w:color w:val="auto"/>
          <w:sz w:val="24"/>
          <w:szCs w:val="24"/>
          <w:highlight w:val="none"/>
          <w:u w:val="single"/>
          <w:lang w:val="en-US" w:eastAsia="zh-CN"/>
        </w:rPr>
        <w:t>0.05</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的滞纳金，最高不得超过逾期付款金额的</w:t>
      </w:r>
      <w:r>
        <w:rPr>
          <w:rFonts w:hint="eastAsia" w:ascii="仿宋" w:hAnsi="仿宋" w:eastAsia="仿宋" w:cs="仿宋"/>
          <w:color w:val="auto"/>
          <w:sz w:val="24"/>
          <w:szCs w:val="24"/>
          <w:highlight w:val="none"/>
          <w:u w:val="single"/>
        </w:rPr>
        <w:t>5</w:t>
      </w:r>
      <w:r>
        <w:rPr>
          <w:rFonts w:hint="eastAsia" w:ascii="仿宋" w:hAnsi="仿宋" w:eastAsia="仿宋" w:cs="仿宋"/>
          <w:color w:val="auto"/>
          <w:sz w:val="24"/>
          <w:szCs w:val="24"/>
          <w:highlight w:val="none"/>
        </w:rPr>
        <w:t>%。</w:t>
      </w:r>
    </w:p>
    <w:p w14:paraId="2CC220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甲方有权拒付合同价以外的任何费用；乙方有权拒绝合同整体范围以外的条件。</w:t>
      </w:r>
    </w:p>
    <w:p w14:paraId="08637692">
      <w:pPr>
        <w:keepNext w:val="0"/>
        <w:keepLines w:val="0"/>
        <w:pageBreakBefore w:val="0"/>
        <w:widowControl w:val="0"/>
        <w:numPr>
          <w:ilvl w:val="0"/>
          <w:numId w:val="2"/>
        </w:numPr>
        <w:suppressLineNumbers w:val="0"/>
        <w:kinsoku/>
        <w:wordWrap/>
        <w:overflowPunct/>
        <w:topLinePunct w:val="0"/>
        <w:autoSpaceDE/>
        <w:autoSpaceDN/>
        <w:bidi w:val="0"/>
        <w:adjustRightInd/>
        <w:spacing w:line="360" w:lineRule="auto"/>
        <w:ind w:firstLine="480" w:firstLineChars="200"/>
        <w:jc w:val="left"/>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rPr>
        <w:t>甲乙双方如在履行合同过程中发生纠纷，应</w:t>
      </w:r>
      <w:r>
        <w:rPr>
          <w:rFonts w:hint="eastAsia" w:ascii="仿宋" w:hAnsi="仿宋" w:eastAsia="仿宋" w:cs="仿宋"/>
          <w:color w:val="auto"/>
          <w:sz w:val="24"/>
          <w:szCs w:val="24"/>
          <w:highlight w:val="none"/>
          <w:lang w:val="en-US" w:eastAsia="zh-CN"/>
        </w:rPr>
        <w:t>当</w:t>
      </w:r>
      <w:r>
        <w:rPr>
          <w:rFonts w:hint="eastAsia" w:ascii="仿宋" w:hAnsi="仿宋" w:eastAsia="仿宋" w:cs="仿宋"/>
          <w:color w:val="auto"/>
          <w:sz w:val="24"/>
          <w:szCs w:val="24"/>
          <w:highlight w:val="none"/>
        </w:rPr>
        <w:t>及时向有关监督管理部门反映，以便相关部门及时进行协调或处理；本合同发生争议产生的诉讼，由</w:t>
      </w:r>
      <w:r>
        <w:rPr>
          <w:rFonts w:hint="eastAsia" w:ascii="仿宋" w:hAnsi="仿宋" w:eastAsia="仿宋" w:cs="仿宋"/>
          <w:color w:val="auto"/>
          <w:kern w:val="2"/>
          <w:sz w:val="24"/>
          <w:szCs w:val="24"/>
          <w:highlight w:val="none"/>
          <w:lang w:val="en-US" w:eastAsia="zh-CN" w:bidi="ar"/>
        </w:rPr>
        <w:t>甲方所在地人民法院管辖。届时，违约方需要承担守约方为维护自身合法权益所支付的费用，包括但不限于诉讼费、律师费、公告费、评估费、担保费、保全费、拍卖费等。</w:t>
      </w:r>
    </w:p>
    <w:p w14:paraId="7612A206">
      <w:pPr>
        <w:pStyle w:val="19"/>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kern w:val="2"/>
          <w:sz w:val="24"/>
          <w:szCs w:val="24"/>
          <w:highlight w:val="none"/>
          <w:lang w:val="en-US" w:eastAsia="zh-CN" w:bidi="ar-SA"/>
        </w:rPr>
        <w:t>十、</w:t>
      </w:r>
      <w:r>
        <w:rPr>
          <w:rFonts w:hint="eastAsia" w:ascii="仿宋" w:hAnsi="仿宋" w:eastAsia="仿宋" w:cs="仿宋"/>
          <w:b/>
          <w:color w:val="auto"/>
          <w:sz w:val="24"/>
          <w:szCs w:val="24"/>
          <w:highlight w:val="none"/>
        </w:rPr>
        <w:t>不可抗力事件处理</w:t>
      </w:r>
    </w:p>
    <w:p w14:paraId="6FDEA234">
      <w:pPr>
        <w:pStyle w:val="19"/>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1.在合同有效期内，任何一方因不可抗力事件导致不能履行合同，则合同履行期可延长，其延长期与不可抗力影响期相同。</w:t>
      </w:r>
    </w:p>
    <w:p w14:paraId="44AD0B48">
      <w:pPr>
        <w:pStyle w:val="19"/>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2.不可抗力事件发生后，应立即通知对方，并寄送有关权威机构出具的证明。</w:t>
      </w:r>
    </w:p>
    <w:p w14:paraId="063B9672">
      <w:pPr>
        <w:pStyle w:val="11"/>
        <w:keepNext w:val="0"/>
        <w:keepLines w:val="0"/>
        <w:pageBreakBefore w:val="0"/>
        <w:widowControl w:val="0"/>
        <w:numPr>
          <w:ilvl w:val="0"/>
          <w:numId w:val="0"/>
        </w:numPr>
        <w:kinsoku/>
        <w:wordWrap/>
        <w:overflowPunct/>
        <w:topLinePunct w:val="0"/>
        <w:autoSpaceDE/>
        <w:autoSpaceDN/>
        <w:bidi w:val="0"/>
        <w:adjustRightInd/>
        <w:spacing w:line="360" w:lineRule="auto"/>
        <w:textAlignment w:val="auto"/>
        <w:rPr>
          <w:rFonts w:hint="eastAsia"/>
          <w:color w:val="auto"/>
          <w:highlight w:val="none"/>
        </w:rPr>
      </w:pPr>
      <w:r>
        <w:rPr>
          <w:rFonts w:hint="eastAsia" w:ascii="仿宋" w:hAnsi="仿宋" w:eastAsia="仿宋" w:cs="仿宋"/>
          <w:color w:val="auto"/>
          <w:sz w:val="24"/>
          <w:szCs w:val="24"/>
          <w:highlight w:val="none"/>
        </w:rPr>
        <w:t>3.不可抗力事件延续一百二十天以上，双方应通过友好协商，确定是否继续履行合同。</w:t>
      </w:r>
    </w:p>
    <w:p w14:paraId="3C9D4BF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一</w:t>
      </w: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rPr>
        <w:t>本合同其他未尽事宜，</w:t>
      </w:r>
      <w:r>
        <w:rPr>
          <w:rFonts w:hint="eastAsia" w:ascii="仿宋" w:hAnsi="仿宋" w:eastAsia="仿宋" w:cs="仿宋"/>
          <w:color w:val="auto"/>
          <w:sz w:val="24"/>
          <w:szCs w:val="24"/>
          <w:highlight w:val="none"/>
          <w:lang w:val="en-US" w:eastAsia="zh-CN"/>
        </w:rPr>
        <w:t>甲乙双方应首先通过友好协商解决，若协商不能解决</w:t>
      </w:r>
      <w:r>
        <w:rPr>
          <w:rFonts w:hint="eastAsia" w:ascii="仿宋" w:hAnsi="仿宋" w:eastAsia="仿宋" w:cs="仿宋"/>
          <w:color w:val="auto"/>
          <w:sz w:val="24"/>
          <w:szCs w:val="24"/>
          <w:highlight w:val="none"/>
        </w:rPr>
        <w:t>按《中华人民共和国民法典》有关规定处理。</w:t>
      </w:r>
    </w:p>
    <w:p w14:paraId="756FD2FC">
      <w:pPr>
        <w:pStyle w:val="11"/>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kern w:val="2"/>
          <w:sz w:val="24"/>
          <w:szCs w:val="24"/>
          <w:highlight w:val="none"/>
          <w:lang w:val="en-US" w:eastAsia="zh-CN" w:bidi="ar-SA"/>
        </w:rPr>
        <w:t>十二、保密条款</w:t>
      </w:r>
    </w:p>
    <w:p w14:paraId="62041867">
      <w:pPr>
        <w:pStyle w:val="11"/>
        <w:keepNext w:val="0"/>
        <w:keepLines w:val="0"/>
        <w:pageBreakBefore w:val="0"/>
        <w:widowControl w:val="0"/>
        <w:kinsoku/>
        <w:wordWrap/>
        <w:overflowPunct/>
        <w:topLinePunct w:val="0"/>
        <w:autoSpaceDE/>
        <w:autoSpaceDN/>
        <w:bidi w:val="0"/>
        <w:adjustRightInd/>
        <w:spacing w:line="360" w:lineRule="auto"/>
        <w:textAlignment w:val="auto"/>
        <w:rPr>
          <w:rFonts w:hint="eastAsia" w:eastAsia="仿宋"/>
          <w:color w:val="auto"/>
          <w:highlight w:val="none"/>
          <w:lang w:val="en-US" w:eastAsia="zh-CN"/>
        </w:rPr>
      </w:pPr>
      <w:r>
        <w:rPr>
          <w:rFonts w:hint="eastAsia" w:ascii="仿宋" w:hAnsi="仿宋" w:eastAsia="仿宋" w:cs="仿宋"/>
          <w:color w:val="auto"/>
          <w:sz w:val="24"/>
          <w:szCs w:val="24"/>
          <w:highlight w:val="none"/>
          <w:lang w:val="en-US" w:eastAsia="zh-CN"/>
        </w:rPr>
        <w:t>乙方对获知的动物疫情数据、免疫计划及财政支付信息承担永久保密义务，泄密应按合同总金额 30%支付违约金，乙方保证所供疫苗不侵犯第三方知识产权，若产品侵犯第三方专利权、商标权，由乙方承担全部责任，甲方因此被索赔的，全部损失由乙方承担(包括律师费、诉讼费、赔偿金);若发生侵权纠纷导致甲方损失的，乙方需承担三倍合同金额的惩罚性赔偿。</w:t>
      </w:r>
    </w:p>
    <w:p w14:paraId="5BDC009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三</w:t>
      </w: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rPr>
        <w:t>本合同一式</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份，甲方</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份，乙方</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份。</w:t>
      </w:r>
    </w:p>
    <w:p w14:paraId="1A2168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rPr>
        <w:t>本合同自签订之日起生效。</w:t>
      </w:r>
    </w:p>
    <w:p w14:paraId="5F75C6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十五、</w:t>
      </w:r>
      <w:r>
        <w:rPr>
          <w:rFonts w:hint="eastAsia" w:ascii="仿宋" w:hAnsi="仿宋" w:eastAsia="仿宋" w:cs="仿宋"/>
          <w:color w:val="auto"/>
          <w:sz w:val="24"/>
          <w:szCs w:val="24"/>
          <w:highlight w:val="none"/>
          <w:lang w:val="en-US" w:eastAsia="zh-CN"/>
        </w:rPr>
        <w:t>合同解除后，乙方须在3日内完成已供货对账、资料交接，已供货不合格的乙方须退换。</w:t>
      </w:r>
    </w:p>
    <w:p w14:paraId="484CB4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六</w:t>
      </w:r>
      <w:r>
        <w:rPr>
          <w:rFonts w:hint="eastAsia" w:ascii="仿宋" w:hAnsi="仿宋" w:eastAsia="仿宋" w:cs="仿宋"/>
          <w:b/>
          <w:color w:val="auto"/>
          <w:sz w:val="24"/>
          <w:szCs w:val="24"/>
          <w:highlight w:val="none"/>
        </w:rPr>
        <w:t>、</w:t>
      </w:r>
      <w:r>
        <w:rPr>
          <w:rFonts w:hint="eastAsia" w:ascii="仿宋" w:hAnsi="仿宋" w:eastAsia="仿宋" w:cs="仿宋"/>
          <w:bCs/>
          <w:color w:val="auto"/>
          <w:sz w:val="24"/>
          <w:szCs w:val="24"/>
          <w:highlight w:val="none"/>
        </w:rPr>
        <w:t>本合同不可分割之部分：1、招</w:t>
      </w:r>
      <w:r>
        <w:rPr>
          <w:rFonts w:hint="eastAsia" w:ascii="仿宋" w:hAnsi="仿宋" w:eastAsia="仿宋" w:cs="仿宋"/>
          <w:color w:val="auto"/>
          <w:sz w:val="24"/>
          <w:szCs w:val="24"/>
          <w:highlight w:val="none"/>
        </w:rPr>
        <w:t>标文件；2、中标人投标文件；3、中标通知书；4、合同书附件。</w:t>
      </w:r>
    </w:p>
    <w:p w14:paraId="15667D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highlight w:val="none"/>
          <w:lang w:val="en-US" w:eastAsia="zh-CN"/>
        </w:rPr>
      </w:pPr>
      <w:r>
        <w:rPr>
          <w:rFonts w:hint="eastAsia" w:ascii="仿宋" w:hAnsi="仿宋" w:eastAsia="仿宋" w:cs="仿宋"/>
          <w:b/>
          <w:color w:val="auto"/>
          <w:kern w:val="0"/>
          <w:sz w:val="24"/>
          <w:szCs w:val="24"/>
          <w:highlight w:val="none"/>
          <w:lang w:val="zh-CN"/>
        </w:rPr>
        <w:t>附件</w:t>
      </w:r>
      <w:r>
        <w:rPr>
          <w:rFonts w:hint="eastAsia" w:ascii="仿宋" w:hAnsi="仿宋" w:eastAsia="仿宋" w:cs="仿宋"/>
          <w:color w:val="auto"/>
          <w:kern w:val="0"/>
          <w:sz w:val="24"/>
          <w:szCs w:val="24"/>
          <w:highlight w:val="none"/>
          <w:lang w:val="zh-CN"/>
        </w:rPr>
        <w:t>：1.《政府采购廉政合同》；</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lang w:val="zh-CN"/>
        </w:rPr>
        <w:t xml:space="preserve">《重大动物疫病应急疫苗代贮协议书》； </w:t>
      </w:r>
      <w:r>
        <w:rPr>
          <w:rFonts w:hint="eastAsia" w:ascii="仿宋" w:hAnsi="仿宋" w:eastAsia="仿宋" w:cs="仿宋"/>
          <w:color w:val="auto"/>
          <w:kern w:val="0"/>
          <w:sz w:val="24"/>
          <w:szCs w:val="24"/>
          <w:highlight w:val="none"/>
          <w:lang w:val="en-US" w:eastAsia="zh-CN"/>
        </w:rPr>
        <w:t>3.《动物免疫副反应赔偿委托书》</w:t>
      </w:r>
      <w:r>
        <w:rPr>
          <w:rFonts w:hint="eastAsia" w:ascii="仿宋" w:hAnsi="仿宋" w:eastAsia="仿宋" w:cs="仿宋"/>
          <w:color w:val="auto"/>
          <w:kern w:val="0"/>
          <w:sz w:val="24"/>
          <w:szCs w:val="24"/>
          <w:highlight w:val="none"/>
          <w:lang w:val="zh-CN"/>
        </w:rPr>
        <w:t>；</w:t>
      </w:r>
      <w:r>
        <w:rPr>
          <w:rFonts w:hint="eastAsia" w:ascii="仿宋" w:hAnsi="仿宋" w:eastAsia="仿宋" w:cs="仿宋"/>
          <w:color w:val="auto"/>
          <w:kern w:val="0"/>
          <w:sz w:val="24"/>
          <w:szCs w:val="24"/>
          <w:highlight w:val="none"/>
          <w:lang w:val="en-US" w:eastAsia="zh-CN"/>
        </w:rPr>
        <w:t>4.《普洱市动物疫病预防控制中心关于开展2026年重大动物疫病疫苗验收委托书》等。</w:t>
      </w:r>
    </w:p>
    <w:tbl>
      <w:tblPr>
        <w:tblStyle w:val="35"/>
        <w:tblW w:w="9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6"/>
        <w:gridCol w:w="4517"/>
      </w:tblGrid>
      <w:tr w14:paraId="2310A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16" w:type="dxa"/>
            <w:noWrap w:val="0"/>
            <w:vAlign w:val="center"/>
          </w:tcPr>
          <w:p w14:paraId="2E66FE46">
            <w:pPr>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lang w:val="en-US" w:eastAsia="zh-CN"/>
              </w:rPr>
              <w:t>公</w:t>
            </w:r>
            <w:r>
              <w:rPr>
                <w:rFonts w:hint="eastAsia" w:ascii="仿宋" w:hAnsi="仿宋" w:eastAsia="仿宋" w:cs="仿宋"/>
                <w:color w:val="auto"/>
                <w:sz w:val="24"/>
                <w:szCs w:val="24"/>
                <w:highlight w:val="none"/>
              </w:rPr>
              <w:t>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普洱市动物疫病预防控制中心              </w:t>
            </w:r>
          </w:p>
        </w:tc>
        <w:tc>
          <w:tcPr>
            <w:tcW w:w="4517" w:type="dxa"/>
            <w:noWrap w:val="0"/>
            <w:vAlign w:val="center"/>
          </w:tcPr>
          <w:p w14:paraId="7CEB8DCE">
            <w:pPr>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lang w:val="en-US" w:eastAsia="zh-CN"/>
              </w:rPr>
              <w:t>公</w:t>
            </w:r>
            <w:r>
              <w:rPr>
                <w:rFonts w:hint="eastAsia" w:ascii="仿宋" w:hAnsi="仿宋" w:eastAsia="仿宋" w:cs="仿宋"/>
                <w:color w:val="auto"/>
                <w:sz w:val="24"/>
                <w:szCs w:val="24"/>
                <w:highlight w:val="none"/>
              </w:rPr>
              <w:t xml:space="preserve">章）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             </w:t>
            </w:r>
          </w:p>
          <w:p w14:paraId="40D34611">
            <w:pPr>
              <w:snapToGrid w:val="0"/>
              <w:spacing w:line="360" w:lineRule="auto"/>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tc>
      </w:tr>
      <w:tr w14:paraId="53837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16" w:type="dxa"/>
            <w:noWrap w:val="0"/>
            <w:vAlign w:val="center"/>
          </w:tcPr>
          <w:p w14:paraId="39AA2F1E">
            <w:pPr>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单位地址：普洱市思茅区北部区普洱人家西北门</w:t>
            </w:r>
          </w:p>
        </w:tc>
        <w:tc>
          <w:tcPr>
            <w:tcW w:w="4517" w:type="dxa"/>
            <w:noWrap w:val="0"/>
            <w:vAlign w:val="center"/>
          </w:tcPr>
          <w:p w14:paraId="5C0C4B59">
            <w:pPr>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单位地址：</w:t>
            </w:r>
          </w:p>
        </w:tc>
      </w:tr>
      <w:tr w14:paraId="17E7B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16" w:type="dxa"/>
            <w:noWrap w:val="0"/>
            <w:vAlign w:val="top"/>
          </w:tcPr>
          <w:p w14:paraId="1C3D9297">
            <w:pPr>
              <w:snapToGrid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负责人</w:t>
            </w:r>
            <w:r>
              <w:rPr>
                <w:rFonts w:hint="eastAsia" w:ascii="仿宋" w:hAnsi="仿宋" w:eastAsia="仿宋" w:cs="仿宋"/>
                <w:color w:val="auto"/>
                <w:sz w:val="24"/>
                <w:szCs w:val="24"/>
                <w:highlight w:val="none"/>
                <w:lang w:eastAsia="zh-CN"/>
              </w:rPr>
              <w:t>）：</w:t>
            </w:r>
          </w:p>
        </w:tc>
        <w:tc>
          <w:tcPr>
            <w:tcW w:w="4517" w:type="dxa"/>
            <w:noWrap w:val="0"/>
            <w:vAlign w:val="top"/>
          </w:tcPr>
          <w:p w14:paraId="1D2B41E5">
            <w:pPr>
              <w:snapToGrid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负责人</w:t>
            </w:r>
            <w:r>
              <w:rPr>
                <w:rFonts w:hint="eastAsia" w:ascii="仿宋" w:hAnsi="仿宋" w:eastAsia="仿宋" w:cs="仿宋"/>
                <w:color w:val="auto"/>
                <w:sz w:val="24"/>
                <w:szCs w:val="24"/>
                <w:highlight w:val="none"/>
                <w:lang w:eastAsia="zh-CN"/>
              </w:rPr>
              <w:t>）</w:t>
            </w:r>
          </w:p>
        </w:tc>
      </w:tr>
      <w:tr w14:paraId="6F3A6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16" w:type="dxa"/>
            <w:noWrap w:val="0"/>
            <w:vAlign w:val="top"/>
          </w:tcPr>
          <w:p w14:paraId="78E6906E">
            <w:pPr>
              <w:snapToGri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委托代理人：</w:t>
            </w:r>
          </w:p>
        </w:tc>
        <w:tc>
          <w:tcPr>
            <w:tcW w:w="4517" w:type="dxa"/>
            <w:noWrap w:val="0"/>
            <w:vAlign w:val="top"/>
          </w:tcPr>
          <w:p w14:paraId="4D266EBF">
            <w:pPr>
              <w:snapToGri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委托代理人：</w:t>
            </w:r>
          </w:p>
        </w:tc>
      </w:tr>
      <w:tr w14:paraId="42995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16" w:type="dxa"/>
            <w:noWrap w:val="0"/>
            <w:vAlign w:val="center"/>
          </w:tcPr>
          <w:p w14:paraId="288645B2">
            <w:pPr>
              <w:snapToGri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color w:val="auto"/>
                <w:kern w:val="0"/>
                <w:sz w:val="24"/>
                <w:szCs w:val="24"/>
                <w:highlight w:val="none"/>
                <w:u w:val="none"/>
                <w:lang w:val="en-US" w:eastAsia="zh-CN" w:bidi="ar"/>
              </w:rPr>
              <w:t>日      期：  年   月   日</w:t>
            </w:r>
          </w:p>
        </w:tc>
        <w:tc>
          <w:tcPr>
            <w:tcW w:w="4517" w:type="dxa"/>
            <w:noWrap w:val="0"/>
            <w:vAlign w:val="center"/>
          </w:tcPr>
          <w:p w14:paraId="35C636A9">
            <w:pPr>
              <w:snapToGri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color w:val="auto"/>
                <w:kern w:val="0"/>
                <w:sz w:val="24"/>
                <w:szCs w:val="24"/>
                <w:highlight w:val="none"/>
                <w:u w:val="none"/>
                <w:lang w:val="en-US" w:eastAsia="zh-CN" w:bidi="ar"/>
              </w:rPr>
              <w:t>日      期：  年   月   日</w:t>
            </w:r>
          </w:p>
        </w:tc>
      </w:tr>
      <w:tr w14:paraId="460F6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16" w:type="dxa"/>
            <w:noWrap w:val="0"/>
            <w:vAlign w:val="center"/>
          </w:tcPr>
          <w:p w14:paraId="4028A4B1">
            <w:pPr>
              <w:snapToGri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电话：0879-2828206</w:t>
            </w:r>
          </w:p>
        </w:tc>
        <w:tc>
          <w:tcPr>
            <w:tcW w:w="4517" w:type="dxa"/>
            <w:noWrap w:val="0"/>
            <w:vAlign w:val="center"/>
          </w:tcPr>
          <w:p w14:paraId="01B5AB7C">
            <w:pPr>
              <w:snapToGri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电话：</w:t>
            </w:r>
          </w:p>
        </w:tc>
      </w:tr>
      <w:tr w14:paraId="10CD8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16" w:type="dxa"/>
            <w:noWrap w:val="0"/>
            <w:vAlign w:val="center"/>
          </w:tcPr>
          <w:p w14:paraId="17ABFC80">
            <w:pPr>
              <w:snapToGri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电子邮箱：PEYK969@163.com</w:t>
            </w:r>
          </w:p>
        </w:tc>
        <w:tc>
          <w:tcPr>
            <w:tcW w:w="4517" w:type="dxa"/>
            <w:noWrap w:val="0"/>
            <w:vAlign w:val="center"/>
          </w:tcPr>
          <w:p w14:paraId="2CD99FF6">
            <w:pPr>
              <w:snapToGri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电子邮箱：</w:t>
            </w:r>
          </w:p>
        </w:tc>
      </w:tr>
      <w:tr w14:paraId="7EE47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16" w:type="dxa"/>
            <w:noWrap w:val="0"/>
            <w:vAlign w:val="center"/>
          </w:tcPr>
          <w:p w14:paraId="48CE33D7">
            <w:pPr>
              <w:snapToGri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邮政编码：</w:t>
            </w:r>
            <w:r>
              <w:rPr>
                <w:rFonts w:hint="eastAsia" w:ascii="宋体" w:hAnsi="宋体" w:eastAsia="宋体" w:cs="宋体"/>
                <w:color w:val="auto"/>
                <w:sz w:val="24"/>
                <w:szCs w:val="24"/>
                <w:highlight w:val="none"/>
                <w:lang w:val="en-US" w:eastAsia="zh-CN"/>
              </w:rPr>
              <w:t>665000</w:t>
            </w:r>
          </w:p>
        </w:tc>
        <w:tc>
          <w:tcPr>
            <w:tcW w:w="4517" w:type="dxa"/>
            <w:noWrap w:val="0"/>
            <w:vAlign w:val="center"/>
          </w:tcPr>
          <w:p w14:paraId="18F77923">
            <w:pPr>
              <w:snapToGri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邮政编码：</w:t>
            </w:r>
          </w:p>
        </w:tc>
      </w:tr>
      <w:tr w14:paraId="33811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16" w:type="dxa"/>
            <w:noWrap w:val="0"/>
            <w:vAlign w:val="center"/>
          </w:tcPr>
          <w:p w14:paraId="023AA40E">
            <w:pPr>
              <w:snapToGri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户名：普洱市动物疫病预防控制中心</w:t>
            </w:r>
          </w:p>
        </w:tc>
        <w:tc>
          <w:tcPr>
            <w:tcW w:w="4517" w:type="dxa"/>
            <w:noWrap w:val="0"/>
            <w:vAlign w:val="center"/>
          </w:tcPr>
          <w:p w14:paraId="7730E41A">
            <w:pPr>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户名：</w:t>
            </w:r>
          </w:p>
        </w:tc>
      </w:tr>
      <w:tr w14:paraId="29950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16" w:type="dxa"/>
            <w:noWrap w:val="0"/>
            <w:vAlign w:val="center"/>
          </w:tcPr>
          <w:p w14:paraId="6A53E261">
            <w:pPr>
              <w:snapToGri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lang w:val="en-US" w:eastAsia="zh-CN"/>
              </w:rPr>
              <w:t>及行号</w:t>
            </w:r>
            <w:r>
              <w:rPr>
                <w:rFonts w:hint="eastAsia" w:ascii="仿宋" w:hAnsi="仿宋" w:eastAsia="仿宋" w:cs="仿宋"/>
                <w:color w:val="auto"/>
                <w:sz w:val="24"/>
                <w:szCs w:val="24"/>
                <w:highlight w:val="none"/>
              </w:rPr>
              <w:t>：建行普洱阳光悦城支行（行号 105747000035）</w:t>
            </w:r>
          </w:p>
        </w:tc>
        <w:tc>
          <w:tcPr>
            <w:tcW w:w="4517" w:type="dxa"/>
            <w:noWrap w:val="0"/>
            <w:vAlign w:val="center"/>
          </w:tcPr>
          <w:p w14:paraId="4C0F748E">
            <w:pPr>
              <w:snapToGri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lang w:val="en-US" w:eastAsia="zh-CN"/>
              </w:rPr>
              <w:t>及行号</w:t>
            </w:r>
            <w:r>
              <w:rPr>
                <w:rFonts w:hint="eastAsia" w:ascii="仿宋" w:hAnsi="仿宋" w:eastAsia="仿宋" w:cs="仿宋"/>
                <w:color w:val="auto"/>
                <w:sz w:val="24"/>
                <w:szCs w:val="24"/>
                <w:highlight w:val="none"/>
              </w:rPr>
              <w:t>：</w:t>
            </w:r>
          </w:p>
        </w:tc>
      </w:tr>
      <w:tr w14:paraId="169D2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16" w:type="dxa"/>
            <w:noWrap w:val="0"/>
            <w:vAlign w:val="center"/>
          </w:tcPr>
          <w:p w14:paraId="20B41EF2">
            <w:pPr>
              <w:snapToGri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账号：53001686138051000376</w:t>
            </w:r>
          </w:p>
        </w:tc>
        <w:tc>
          <w:tcPr>
            <w:tcW w:w="4517" w:type="dxa"/>
            <w:noWrap w:val="0"/>
            <w:vAlign w:val="center"/>
          </w:tcPr>
          <w:p w14:paraId="03850F2C">
            <w:pPr>
              <w:snapToGri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账号：</w:t>
            </w:r>
          </w:p>
        </w:tc>
      </w:tr>
      <w:tr w14:paraId="42FB4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16" w:type="dxa"/>
            <w:noWrap w:val="0"/>
            <w:vAlign w:val="center"/>
          </w:tcPr>
          <w:p w14:paraId="1BB7A1F5">
            <w:pPr>
              <w:snapToGri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统一信用代码：12532700678707990Q</w:t>
            </w:r>
          </w:p>
        </w:tc>
        <w:tc>
          <w:tcPr>
            <w:tcW w:w="4517" w:type="dxa"/>
            <w:noWrap w:val="0"/>
            <w:vAlign w:val="center"/>
          </w:tcPr>
          <w:p w14:paraId="7C139A7F">
            <w:pPr>
              <w:snapToGri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统一信用代码：</w:t>
            </w:r>
          </w:p>
        </w:tc>
      </w:tr>
    </w:tbl>
    <w:p w14:paraId="64E059CE">
      <w:pPr>
        <w:rPr>
          <w:color w:val="auto"/>
          <w:highlight w:val="none"/>
        </w:rPr>
      </w:pPr>
    </w:p>
    <w:p w14:paraId="713827AB">
      <w:pPr>
        <w:pStyle w:val="11"/>
        <w:rPr>
          <w:rFonts w:hint="eastAsia" w:ascii="仿宋" w:hAnsi="仿宋" w:eastAsia="仿宋" w:cs="仿宋"/>
          <w:color w:val="auto"/>
          <w:sz w:val="24"/>
          <w:szCs w:val="24"/>
          <w:highlight w:val="none"/>
        </w:rPr>
      </w:pPr>
    </w:p>
    <w:p w14:paraId="581DCF8F">
      <w:pPr>
        <w:keepNext w:val="0"/>
        <w:keepLines w:val="0"/>
        <w:pageBreakBefore w:val="0"/>
        <w:widowControl/>
        <w:kinsoku/>
        <w:wordWrap/>
        <w:overflowPunct/>
        <w:topLinePunct w:val="0"/>
        <w:autoSpaceDE w:val="0"/>
        <w:autoSpaceDN w:val="0"/>
        <w:bidi w:val="0"/>
        <w:adjustRightInd w:val="0"/>
        <w:snapToGrid w:val="0"/>
        <w:spacing w:line="400" w:lineRule="exact"/>
        <w:jc w:val="center"/>
        <w:textAlignment w:val="baseline"/>
        <w:rPr>
          <w:rFonts w:hint="eastAsia" w:ascii="黑体" w:hAnsi="黑体" w:eastAsia="黑体" w:cs="Times New Roman"/>
          <w:color w:val="auto"/>
          <w:sz w:val="32"/>
          <w:szCs w:val="32"/>
          <w:highlight w:val="none"/>
        </w:rPr>
      </w:pPr>
    </w:p>
    <w:p w14:paraId="3C0AB6AC">
      <w:pPr>
        <w:pStyle w:val="11"/>
        <w:rPr>
          <w:rFonts w:hint="eastAsia" w:ascii="黑体" w:hAnsi="黑体" w:eastAsia="黑体" w:cs="Times New Roman"/>
          <w:color w:val="auto"/>
          <w:sz w:val="32"/>
          <w:szCs w:val="32"/>
          <w:highlight w:val="none"/>
        </w:rPr>
      </w:pPr>
    </w:p>
    <w:p w14:paraId="3120CA75">
      <w:pPr>
        <w:pStyle w:val="11"/>
        <w:rPr>
          <w:rFonts w:hint="eastAsia" w:ascii="黑体" w:hAnsi="黑体" w:eastAsia="黑体" w:cs="Times New Roman"/>
          <w:color w:val="auto"/>
          <w:sz w:val="32"/>
          <w:szCs w:val="32"/>
          <w:highlight w:val="none"/>
        </w:rPr>
      </w:pPr>
    </w:p>
    <w:p w14:paraId="0950BDF7">
      <w:pPr>
        <w:pStyle w:val="11"/>
        <w:rPr>
          <w:rFonts w:hint="eastAsia" w:ascii="黑体" w:hAnsi="黑体" w:eastAsia="黑体" w:cs="Times New Roman"/>
          <w:color w:val="auto"/>
          <w:sz w:val="32"/>
          <w:szCs w:val="32"/>
          <w:highlight w:val="none"/>
        </w:rPr>
      </w:pPr>
    </w:p>
    <w:p w14:paraId="651B77B2">
      <w:pPr>
        <w:pStyle w:val="11"/>
        <w:rPr>
          <w:rFonts w:hint="eastAsia" w:ascii="黑体" w:hAnsi="黑体" w:eastAsia="黑体" w:cs="Times New Roman"/>
          <w:color w:val="auto"/>
          <w:sz w:val="32"/>
          <w:szCs w:val="32"/>
          <w:highlight w:val="none"/>
        </w:rPr>
      </w:pPr>
    </w:p>
    <w:p w14:paraId="2A9E9903">
      <w:pPr>
        <w:pStyle w:val="11"/>
        <w:rPr>
          <w:rFonts w:hint="eastAsia" w:ascii="黑体" w:hAnsi="黑体" w:eastAsia="黑体" w:cs="Times New Roman"/>
          <w:color w:val="auto"/>
          <w:sz w:val="32"/>
          <w:szCs w:val="32"/>
          <w:highlight w:val="none"/>
        </w:rPr>
      </w:pPr>
    </w:p>
    <w:p w14:paraId="281A5B08">
      <w:pPr>
        <w:pStyle w:val="11"/>
        <w:rPr>
          <w:rFonts w:hint="eastAsia" w:ascii="黑体" w:hAnsi="黑体" w:eastAsia="黑体" w:cs="Times New Roman"/>
          <w:color w:val="auto"/>
          <w:sz w:val="32"/>
          <w:szCs w:val="32"/>
          <w:highlight w:val="none"/>
        </w:rPr>
      </w:pPr>
    </w:p>
    <w:p w14:paraId="6B208F4E">
      <w:pPr>
        <w:pStyle w:val="11"/>
        <w:rPr>
          <w:rFonts w:hint="eastAsia" w:ascii="黑体" w:hAnsi="黑体" w:eastAsia="黑体" w:cs="Times New Roman"/>
          <w:color w:val="auto"/>
          <w:sz w:val="32"/>
          <w:szCs w:val="32"/>
          <w:highlight w:val="none"/>
        </w:rPr>
      </w:pPr>
    </w:p>
    <w:p w14:paraId="75F8D327">
      <w:pPr>
        <w:pStyle w:val="11"/>
        <w:rPr>
          <w:rFonts w:hint="eastAsia" w:ascii="黑体" w:hAnsi="黑体" w:eastAsia="黑体" w:cs="Times New Roman"/>
          <w:color w:val="auto"/>
          <w:sz w:val="32"/>
          <w:szCs w:val="32"/>
          <w:highlight w:val="none"/>
        </w:rPr>
      </w:pPr>
    </w:p>
    <w:p w14:paraId="484DADAC">
      <w:pPr>
        <w:pStyle w:val="11"/>
        <w:rPr>
          <w:rFonts w:hint="eastAsia" w:ascii="黑体" w:hAnsi="黑体" w:eastAsia="黑体" w:cs="Times New Roman"/>
          <w:color w:val="auto"/>
          <w:sz w:val="32"/>
          <w:szCs w:val="32"/>
          <w:highlight w:val="none"/>
        </w:rPr>
      </w:pPr>
    </w:p>
    <w:p w14:paraId="7A432E62">
      <w:pPr>
        <w:pStyle w:val="11"/>
        <w:rPr>
          <w:rFonts w:hint="eastAsia" w:ascii="黑体" w:hAnsi="黑体" w:eastAsia="黑体" w:cs="Times New Roman"/>
          <w:color w:val="auto"/>
          <w:sz w:val="32"/>
          <w:szCs w:val="32"/>
          <w:highlight w:val="none"/>
        </w:rPr>
      </w:pPr>
    </w:p>
    <w:p w14:paraId="5C5EB5FD">
      <w:pPr>
        <w:pStyle w:val="11"/>
        <w:rPr>
          <w:rFonts w:hint="eastAsia" w:ascii="黑体" w:hAnsi="黑体" w:eastAsia="黑体" w:cs="Times New Roman"/>
          <w:color w:val="auto"/>
          <w:sz w:val="32"/>
          <w:szCs w:val="32"/>
          <w:highlight w:val="none"/>
        </w:rPr>
      </w:pPr>
    </w:p>
    <w:p w14:paraId="57311FF7">
      <w:pPr>
        <w:keepNext w:val="0"/>
        <w:keepLines w:val="0"/>
        <w:pageBreakBefore w:val="0"/>
        <w:widowControl/>
        <w:kinsoku/>
        <w:wordWrap/>
        <w:overflowPunct/>
        <w:topLinePunct w:val="0"/>
        <w:autoSpaceDE w:val="0"/>
        <w:autoSpaceDN w:val="0"/>
        <w:bidi w:val="0"/>
        <w:adjustRightInd w:val="0"/>
        <w:snapToGrid w:val="0"/>
        <w:spacing w:line="400" w:lineRule="exact"/>
        <w:jc w:val="center"/>
        <w:textAlignment w:val="baseline"/>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32"/>
          <w:szCs w:val="32"/>
          <w:highlight w:val="none"/>
        </w:rPr>
        <w:t>政府采购廉政</w:t>
      </w:r>
      <w:r>
        <w:rPr>
          <w:rFonts w:hint="eastAsia" w:ascii="仿宋" w:hAnsi="仿宋" w:eastAsia="仿宋" w:cs="仿宋"/>
          <w:b/>
          <w:bCs/>
          <w:color w:val="auto"/>
          <w:sz w:val="32"/>
          <w:szCs w:val="32"/>
          <w:highlight w:val="none"/>
          <w:lang w:val="en-US" w:eastAsia="zh-CN"/>
        </w:rPr>
        <w:t>协议（模板）</w:t>
      </w:r>
    </w:p>
    <w:p w14:paraId="027C0CF3">
      <w:pPr>
        <w:keepNext w:val="0"/>
        <w:keepLines w:val="0"/>
        <w:pageBreakBefore w:val="0"/>
        <w:widowControl/>
        <w:kinsoku/>
        <w:wordWrap/>
        <w:overflowPunct/>
        <w:topLinePunct w:val="0"/>
        <w:autoSpaceDE w:val="0"/>
        <w:autoSpaceDN w:val="0"/>
        <w:bidi w:val="0"/>
        <w:adjustRightInd w:val="0"/>
        <w:snapToGrid w:val="0"/>
        <w:spacing w:line="400" w:lineRule="exact"/>
        <w:ind w:firstLine="482" w:firstLineChars="200"/>
        <w:jc w:val="both"/>
        <w:textAlignment w:val="baseline"/>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甲方（</w:t>
      </w:r>
      <w:r>
        <w:rPr>
          <w:rFonts w:hint="eastAsia" w:ascii="仿宋" w:hAnsi="仿宋" w:eastAsia="仿宋" w:cs="仿宋"/>
          <w:b/>
          <w:bCs/>
          <w:color w:val="auto"/>
          <w:sz w:val="24"/>
          <w:szCs w:val="24"/>
          <w:highlight w:val="none"/>
          <w:lang w:val="en-US" w:eastAsia="zh-CN"/>
        </w:rPr>
        <w:t>采购人</w:t>
      </w:r>
      <w:r>
        <w:rPr>
          <w:rFonts w:hint="eastAsia" w:ascii="仿宋" w:hAnsi="仿宋" w:eastAsia="仿宋" w:cs="仿宋"/>
          <w:b/>
          <w:bCs/>
          <w:color w:val="auto"/>
          <w:sz w:val="24"/>
          <w:szCs w:val="24"/>
          <w:highlight w:val="none"/>
        </w:rPr>
        <w:t>）:</w:t>
      </w:r>
    </w:p>
    <w:p w14:paraId="01CFEE11">
      <w:pPr>
        <w:keepNext w:val="0"/>
        <w:keepLines w:val="0"/>
        <w:pageBreakBefore w:val="0"/>
        <w:widowControl/>
        <w:kinsoku/>
        <w:wordWrap/>
        <w:overflowPunct/>
        <w:topLinePunct w:val="0"/>
        <w:autoSpaceDE w:val="0"/>
        <w:autoSpaceDN w:val="0"/>
        <w:bidi w:val="0"/>
        <w:adjustRightInd w:val="0"/>
        <w:snapToGrid w:val="0"/>
        <w:spacing w:line="400" w:lineRule="exact"/>
        <w:ind w:firstLine="482" w:firstLineChars="200"/>
        <w:jc w:val="both"/>
        <w:textAlignment w:val="baseline"/>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乙方（供货</w:t>
      </w:r>
      <w:r>
        <w:rPr>
          <w:rFonts w:hint="eastAsia" w:ascii="仿宋" w:hAnsi="仿宋" w:eastAsia="仿宋" w:cs="仿宋"/>
          <w:b/>
          <w:bCs/>
          <w:color w:val="auto"/>
          <w:sz w:val="24"/>
          <w:szCs w:val="24"/>
          <w:highlight w:val="none"/>
          <w:lang w:val="en-US" w:eastAsia="zh-CN"/>
        </w:rPr>
        <w:t>人</w:t>
      </w:r>
      <w:r>
        <w:rPr>
          <w:rFonts w:hint="eastAsia" w:ascii="仿宋" w:hAnsi="仿宋" w:eastAsia="仿宋" w:cs="仿宋"/>
          <w:b/>
          <w:bCs/>
          <w:color w:val="auto"/>
          <w:sz w:val="24"/>
          <w:szCs w:val="24"/>
          <w:highlight w:val="none"/>
        </w:rPr>
        <w:t>）:</w:t>
      </w:r>
    </w:p>
    <w:p w14:paraId="20F75E09">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为促进甲乙双方廉洁高效合作，促使甲乙双方工作人员廉洁从业，不断推动党风廉政建设工作，按照国家有关法律法规、廉政规定，经甲乙双方协商一致，自愿签订以下廉政</w:t>
      </w:r>
      <w:r>
        <w:rPr>
          <w:rFonts w:hint="eastAsia" w:ascii="仿宋" w:hAnsi="仿宋" w:eastAsia="仿宋" w:cs="仿宋"/>
          <w:color w:val="auto"/>
          <w:sz w:val="24"/>
          <w:szCs w:val="24"/>
          <w:highlight w:val="none"/>
          <w:lang w:eastAsia="zh-CN"/>
        </w:rPr>
        <w:t>协议</w:t>
      </w:r>
      <w:r>
        <w:rPr>
          <w:rFonts w:hint="eastAsia" w:ascii="仿宋" w:hAnsi="仿宋" w:eastAsia="仿宋" w:cs="仿宋"/>
          <w:color w:val="auto"/>
          <w:sz w:val="24"/>
          <w:szCs w:val="24"/>
          <w:highlight w:val="none"/>
        </w:rPr>
        <w:t>。</w:t>
      </w:r>
    </w:p>
    <w:p w14:paraId="40CE212A">
      <w:pPr>
        <w:keepNext w:val="0"/>
        <w:keepLines w:val="0"/>
        <w:pageBreakBefore w:val="0"/>
        <w:widowControl/>
        <w:kinsoku/>
        <w:wordWrap/>
        <w:overflowPunct/>
        <w:topLinePunct w:val="0"/>
        <w:autoSpaceDE w:val="0"/>
        <w:autoSpaceDN w:val="0"/>
        <w:bidi w:val="0"/>
        <w:adjustRightInd w:val="0"/>
        <w:snapToGrid w:val="0"/>
        <w:spacing w:line="400" w:lineRule="exact"/>
        <w:ind w:firstLine="482" w:firstLineChars="200"/>
        <w:jc w:val="both"/>
        <w:textAlignment w:val="baseline"/>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第一条：甲乙双方的权利和义务</w:t>
      </w:r>
    </w:p>
    <w:p w14:paraId="0DB48B60">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（一）严格遵守党和国家有关法律法规及党风廉政建设各项规定。</w:t>
      </w:r>
    </w:p>
    <w:p w14:paraId="682052F7">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（二）严格履行《中华人民共和国反不正当竞争法》《关于禁止商业贿赂行为的暂行规定》</w:t>
      </w:r>
      <w:r>
        <w:rPr>
          <w:rFonts w:hint="eastAsia" w:ascii="仿宋" w:hAnsi="仿宋" w:eastAsia="仿宋" w:cs="仿宋"/>
          <w:color w:val="auto"/>
          <w:sz w:val="24"/>
          <w:szCs w:val="24"/>
          <w:highlight w:val="none"/>
          <w:lang w:val="en-US" w:eastAsia="zh-CN"/>
        </w:rPr>
        <w:t>等</w:t>
      </w:r>
      <w:r>
        <w:rPr>
          <w:rFonts w:hint="eastAsia" w:ascii="仿宋" w:hAnsi="仿宋" w:eastAsia="仿宋" w:cs="仿宋"/>
          <w:color w:val="auto"/>
          <w:sz w:val="24"/>
          <w:szCs w:val="24"/>
          <w:highlight w:val="none"/>
        </w:rPr>
        <w:t>各项</w:t>
      </w:r>
      <w:r>
        <w:rPr>
          <w:rFonts w:hint="eastAsia" w:ascii="仿宋" w:hAnsi="仿宋" w:eastAsia="仿宋" w:cs="仿宋"/>
          <w:color w:val="auto"/>
          <w:sz w:val="24"/>
          <w:szCs w:val="24"/>
          <w:highlight w:val="none"/>
          <w:lang w:val="en-US" w:eastAsia="zh-CN"/>
        </w:rPr>
        <w:t>规</w:t>
      </w:r>
      <w:r>
        <w:rPr>
          <w:rFonts w:hint="eastAsia" w:ascii="仿宋" w:hAnsi="仿宋" w:eastAsia="仿宋" w:cs="仿宋"/>
          <w:color w:val="auto"/>
          <w:sz w:val="24"/>
          <w:szCs w:val="24"/>
          <w:highlight w:val="none"/>
        </w:rPr>
        <w:t>定，杜绝</w:t>
      </w:r>
      <w:r>
        <w:rPr>
          <w:rFonts w:hint="eastAsia" w:ascii="仿宋" w:hAnsi="仿宋" w:eastAsia="仿宋" w:cs="仿宋"/>
          <w:color w:val="auto"/>
          <w:sz w:val="24"/>
          <w:szCs w:val="24"/>
          <w:highlight w:val="none"/>
          <w:lang w:val="en-US" w:eastAsia="zh-CN"/>
        </w:rPr>
        <w:t>违法违规</w:t>
      </w:r>
      <w:r>
        <w:rPr>
          <w:rFonts w:hint="eastAsia" w:ascii="仿宋" w:hAnsi="仿宋" w:eastAsia="仿宋" w:cs="仿宋"/>
          <w:color w:val="auto"/>
          <w:sz w:val="24"/>
          <w:szCs w:val="24"/>
          <w:highlight w:val="none"/>
        </w:rPr>
        <w:t>行为的发生。</w:t>
      </w:r>
    </w:p>
    <w:p w14:paraId="0D151CCE">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（三）双方的业务活动坚持公开、公平、公正、诚信的原则（除法律认定的商业秘密和</w:t>
      </w:r>
      <w:r>
        <w:rPr>
          <w:rFonts w:hint="eastAsia" w:ascii="仿宋" w:hAnsi="仿宋" w:eastAsia="仿宋" w:cs="仿宋"/>
          <w:color w:val="auto"/>
          <w:sz w:val="24"/>
          <w:szCs w:val="24"/>
          <w:highlight w:val="none"/>
          <w:lang w:eastAsia="zh-CN"/>
        </w:rPr>
        <w:t>协议</w:t>
      </w:r>
      <w:r>
        <w:rPr>
          <w:rFonts w:hint="eastAsia" w:ascii="仿宋" w:hAnsi="仿宋" w:eastAsia="仿宋" w:cs="仿宋"/>
          <w:color w:val="auto"/>
          <w:sz w:val="24"/>
          <w:szCs w:val="24"/>
          <w:highlight w:val="none"/>
        </w:rPr>
        <w:t>文件另有规定之外）,严禁损害国家和集体利益，违反法律法规及规章制度。</w:t>
      </w:r>
    </w:p>
    <w:p w14:paraId="13D17FE2">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）发现对方在业务活动中有违反廉政规定和本</w:t>
      </w:r>
      <w:r>
        <w:rPr>
          <w:rFonts w:hint="eastAsia" w:ascii="仿宋" w:hAnsi="仿宋" w:eastAsia="仿宋" w:cs="仿宋"/>
          <w:color w:val="auto"/>
          <w:sz w:val="24"/>
          <w:szCs w:val="24"/>
          <w:highlight w:val="none"/>
          <w:lang w:eastAsia="zh-CN"/>
        </w:rPr>
        <w:t>协议</w:t>
      </w:r>
      <w:r>
        <w:rPr>
          <w:rFonts w:hint="eastAsia" w:ascii="仿宋" w:hAnsi="仿宋" w:eastAsia="仿宋" w:cs="仿宋"/>
          <w:color w:val="auto"/>
          <w:sz w:val="24"/>
          <w:szCs w:val="24"/>
          <w:highlight w:val="none"/>
        </w:rPr>
        <w:t>约定的行为时，有及时提醒和督促对方纠正的权利和义务。</w:t>
      </w:r>
    </w:p>
    <w:p w14:paraId="3A3680D9">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）发现对方在业务活动中有违反廉政规定和本</w:t>
      </w:r>
      <w:r>
        <w:rPr>
          <w:rFonts w:hint="eastAsia" w:ascii="仿宋" w:hAnsi="仿宋" w:eastAsia="仿宋" w:cs="仿宋"/>
          <w:color w:val="auto"/>
          <w:sz w:val="24"/>
          <w:szCs w:val="24"/>
          <w:highlight w:val="none"/>
          <w:lang w:eastAsia="zh-CN"/>
        </w:rPr>
        <w:t>协议</w:t>
      </w:r>
      <w:r>
        <w:rPr>
          <w:rFonts w:hint="eastAsia" w:ascii="仿宋" w:hAnsi="仿宋" w:eastAsia="仿宋" w:cs="仿宋"/>
          <w:color w:val="auto"/>
          <w:sz w:val="24"/>
          <w:szCs w:val="24"/>
          <w:highlight w:val="none"/>
        </w:rPr>
        <w:t>约定的行为时，有权向对方主管部门或有关机构检举、揭发。</w:t>
      </w:r>
    </w:p>
    <w:p w14:paraId="6BD110E5">
      <w:pPr>
        <w:keepNext w:val="0"/>
        <w:keepLines w:val="0"/>
        <w:pageBreakBefore w:val="0"/>
        <w:widowControl/>
        <w:kinsoku/>
        <w:wordWrap/>
        <w:overflowPunct/>
        <w:topLinePunct w:val="0"/>
        <w:autoSpaceDE w:val="0"/>
        <w:autoSpaceDN w:val="0"/>
        <w:bidi w:val="0"/>
        <w:adjustRightInd w:val="0"/>
        <w:snapToGrid w:val="0"/>
        <w:spacing w:line="400" w:lineRule="exact"/>
        <w:ind w:firstLine="482" w:firstLineChars="200"/>
        <w:jc w:val="both"/>
        <w:textAlignment w:val="baseline"/>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第</w:t>
      </w:r>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条：</w:t>
      </w:r>
      <w:r>
        <w:rPr>
          <w:rFonts w:hint="eastAsia" w:ascii="仿宋" w:hAnsi="仿宋" w:eastAsia="仿宋" w:cs="仿宋"/>
          <w:b/>
          <w:bCs/>
          <w:color w:val="auto"/>
          <w:sz w:val="24"/>
          <w:szCs w:val="24"/>
          <w:highlight w:val="none"/>
          <w:lang w:val="en-US" w:eastAsia="zh-CN"/>
        </w:rPr>
        <w:t>甲方</w:t>
      </w:r>
      <w:r>
        <w:rPr>
          <w:rFonts w:hint="eastAsia" w:ascii="仿宋" w:hAnsi="仿宋" w:eastAsia="仿宋" w:cs="仿宋"/>
          <w:b/>
          <w:bCs/>
          <w:color w:val="auto"/>
          <w:sz w:val="24"/>
          <w:szCs w:val="24"/>
          <w:highlight w:val="none"/>
        </w:rPr>
        <w:t>在廉政建设方面的义务</w:t>
      </w:r>
    </w:p>
    <w:p w14:paraId="3FC13AD5">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t>严格遵守国家政策法令和廉政规定，恪守职业道德，坚持公开、公平、公正原则，对政府采购活动进行规范管理。</w:t>
      </w:r>
    </w:p>
    <w:p w14:paraId="79F09889">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t>甲方工作人员及其家属不得以任何形式或名义索要、接受乙方的红包、礼金、有价证券、礼品和其他馈赠。</w:t>
      </w:r>
    </w:p>
    <w:p w14:paraId="361980AB">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t>甲方工作人员及其家属不得以任何形式或名义接受乙方的请吃、请钓、旅游和各类娱乐消费活动。</w:t>
      </w:r>
    </w:p>
    <w:p w14:paraId="06CD627F">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t>甲方应建立健全内部监督机制，对政府采购活动进行全程监督，确保采购活动的公开、透明和合规性。</w:t>
      </w:r>
    </w:p>
    <w:p w14:paraId="05F556E2">
      <w:pPr>
        <w:keepNext w:val="0"/>
        <w:keepLines w:val="0"/>
        <w:pageBreakBefore w:val="0"/>
        <w:widowControl/>
        <w:kinsoku/>
        <w:wordWrap/>
        <w:overflowPunct/>
        <w:topLinePunct w:val="0"/>
        <w:autoSpaceDE w:val="0"/>
        <w:autoSpaceDN w:val="0"/>
        <w:bidi w:val="0"/>
        <w:adjustRightInd w:val="0"/>
        <w:snapToGrid w:val="0"/>
        <w:spacing w:line="400" w:lineRule="exact"/>
        <w:ind w:firstLine="482" w:firstLineChars="200"/>
        <w:jc w:val="both"/>
        <w:textAlignment w:val="baseline"/>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第</w:t>
      </w: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rPr>
        <w:t>条：</w:t>
      </w:r>
      <w:r>
        <w:rPr>
          <w:rFonts w:hint="eastAsia" w:ascii="仿宋" w:hAnsi="仿宋" w:eastAsia="仿宋" w:cs="仿宋"/>
          <w:b/>
          <w:bCs/>
          <w:color w:val="auto"/>
          <w:sz w:val="24"/>
          <w:szCs w:val="24"/>
          <w:highlight w:val="none"/>
          <w:lang w:val="en-US" w:eastAsia="zh-CN"/>
        </w:rPr>
        <w:t>乙方</w:t>
      </w:r>
      <w:r>
        <w:rPr>
          <w:rFonts w:hint="eastAsia" w:ascii="仿宋" w:hAnsi="仿宋" w:eastAsia="仿宋" w:cs="仿宋"/>
          <w:b/>
          <w:bCs/>
          <w:color w:val="auto"/>
          <w:sz w:val="24"/>
          <w:szCs w:val="24"/>
          <w:highlight w:val="none"/>
        </w:rPr>
        <w:t>在廉政建设方面义务</w:t>
      </w:r>
    </w:p>
    <w:p w14:paraId="10DA9A45">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乙方应严格遵守国家法律法规和政府采购的相关规定，坚持公开、公平、公正原则，为甲方提供优质的</w:t>
      </w:r>
      <w:r>
        <w:rPr>
          <w:rFonts w:hint="eastAsia" w:ascii="仿宋" w:hAnsi="仿宋" w:eastAsia="仿宋" w:cs="仿宋"/>
          <w:b w:val="0"/>
          <w:bCs w:val="0"/>
          <w:color w:val="auto"/>
          <w:sz w:val="24"/>
          <w:szCs w:val="24"/>
          <w:highlight w:val="none"/>
          <w:lang w:val="en-US" w:eastAsia="zh-CN"/>
        </w:rPr>
        <w:t>服务</w:t>
      </w:r>
      <w:r>
        <w:rPr>
          <w:rFonts w:hint="eastAsia" w:ascii="仿宋" w:hAnsi="仿宋" w:eastAsia="仿宋" w:cs="仿宋"/>
          <w:b w:val="0"/>
          <w:bCs w:val="0"/>
          <w:color w:val="auto"/>
          <w:sz w:val="24"/>
          <w:szCs w:val="24"/>
          <w:highlight w:val="none"/>
        </w:rPr>
        <w:t>。</w:t>
      </w:r>
    </w:p>
    <w:p w14:paraId="5723E83D">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乙方不得采取任何不正当手段谋取利益，如行贿、受贿、欺诈等。</w:t>
      </w:r>
    </w:p>
    <w:p w14:paraId="43CDB439">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乙方不得与甲方工作人员进行私下接触，不得向甲方工作人员或其家属提供任何形式的红包、礼金、有价证券、礼品和其他馈赠。</w:t>
      </w:r>
    </w:p>
    <w:p w14:paraId="47F9ED92">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乙方承诺严格遵守保密规定，不泄露应予以保密的信息。</w:t>
      </w:r>
    </w:p>
    <w:p w14:paraId="0BA33E96">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乙方应建立健全内部管理机制，规范员工行为，确保员工遵守法律法规和职业道德规范。</w:t>
      </w:r>
    </w:p>
    <w:p w14:paraId="3C63DF43">
      <w:pPr>
        <w:keepNext w:val="0"/>
        <w:keepLines w:val="0"/>
        <w:pageBreakBefore w:val="0"/>
        <w:widowControl/>
        <w:kinsoku/>
        <w:wordWrap/>
        <w:overflowPunct/>
        <w:topLinePunct w:val="0"/>
        <w:autoSpaceDE w:val="0"/>
        <w:autoSpaceDN w:val="0"/>
        <w:bidi w:val="0"/>
        <w:adjustRightInd w:val="0"/>
        <w:snapToGrid w:val="0"/>
        <w:spacing w:line="400" w:lineRule="exact"/>
        <w:ind w:firstLine="482" w:firstLineChars="200"/>
        <w:jc w:val="both"/>
        <w:textAlignment w:val="baseline"/>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第四条：违约责任</w:t>
      </w:r>
    </w:p>
    <w:p w14:paraId="5B1912CF">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若甲方工作人员违反本协议规定的廉政责任，甲方将依法依规进行处理，并承担相应的法律责任。</w:t>
      </w:r>
    </w:p>
    <w:p w14:paraId="18C3C654">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若乙方违反本协议规定的廉政责任，依法追究乙方的法律责任。</w:t>
      </w:r>
    </w:p>
    <w:p w14:paraId="2A759960">
      <w:pPr>
        <w:keepNext w:val="0"/>
        <w:keepLines w:val="0"/>
        <w:pageBreakBefore w:val="0"/>
        <w:widowControl/>
        <w:kinsoku/>
        <w:wordWrap/>
        <w:overflowPunct/>
        <w:topLinePunct w:val="0"/>
        <w:autoSpaceDE w:val="0"/>
        <w:autoSpaceDN w:val="0"/>
        <w:bidi w:val="0"/>
        <w:adjustRightInd w:val="0"/>
        <w:snapToGrid w:val="0"/>
        <w:spacing w:line="400" w:lineRule="exact"/>
        <w:ind w:firstLine="482" w:firstLineChars="200"/>
        <w:jc w:val="both"/>
        <w:textAlignment w:val="baseline"/>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rPr>
        <w:t>第</w:t>
      </w:r>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rPr>
        <w:t>条：</w:t>
      </w:r>
      <w:r>
        <w:rPr>
          <w:rFonts w:hint="eastAsia" w:ascii="仿宋" w:hAnsi="仿宋" w:eastAsia="仿宋" w:cs="仿宋"/>
          <w:b w:val="0"/>
          <w:bCs w:val="0"/>
          <w:color w:val="auto"/>
          <w:sz w:val="24"/>
          <w:szCs w:val="24"/>
          <w:highlight w:val="none"/>
        </w:rPr>
        <w:t>本协议自双方签字盖章之日起生效</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一式两份，甲乙双方各执一份，具有同等法律效力。</w:t>
      </w:r>
    </w:p>
    <w:p w14:paraId="44009315">
      <w:pPr>
        <w:keepNext w:val="0"/>
        <w:keepLines w:val="0"/>
        <w:pageBreakBefore w:val="0"/>
        <w:widowControl/>
        <w:kinsoku/>
        <w:wordWrap/>
        <w:overflowPunct/>
        <w:topLinePunct w:val="0"/>
        <w:autoSpaceDE w:val="0"/>
        <w:autoSpaceDN w:val="0"/>
        <w:bidi w:val="0"/>
        <w:adjustRightInd w:val="0"/>
        <w:snapToGrid w:val="0"/>
        <w:spacing w:line="400" w:lineRule="exact"/>
        <w:ind w:firstLine="482" w:firstLineChars="200"/>
        <w:jc w:val="both"/>
        <w:textAlignment w:val="baseline"/>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第六条：</w:t>
      </w:r>
      <w:r>
        <w:rPr>
          <w:rFonts w:hint="eastAsia" w:ascii="仿宋" w:hAnsi="仿宋" w:eastAsia="仿宋" w:cs="仿宋"/>
          <w:b w:val="0"/>
          <w:bCs w:val="0"/>
          <w:color w:val="auto"/>
          <w:sz w:val="24"/>
          <w:szCs w:val="24"/>
          <w:highlight w:val="none"/>
        </w:rPr>
        <w:t>本协议未尽事宜，双方可另行协商补充。</w:t>
      </w:r>
    </w:p>
    <w:tbl>
      <w:tblPr>
        <w:tblStyle w:val="36"/>
        <w:tblW w:w="9780" w:type="dxa"/>
        <w:jc w:val="center"/>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Layout w:type="fixed"/>
        <w:tblCellMar>
          <w:top w:w="0" w:type="dxa"/>
          <w:left w:w="108" w:type="dxa"/>
          <w:bottom w:w="0" w:type="dxa"/>
          <w:right w:w="108" w:type="dxa"/>
        </w:tblCellMar>
      </w:tblPr>
      <w:tblGrid>
        <w:gridCol w:w="4890"/>
        <w:gridCol w:w="4890"/>
      </w:tblGrid>
      <w:tr w14:paraId="23D3E794">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592" w:hRule="exact"/>
          <w:jc w:val="center"/>
        </w:trPr>
        <w:tc>
          <w:tcPr>
            <w:tcW w:w="4890" w:type="dxa"/>
            <w:tcBorders>
              <w:tl2br w:val="nil"/>
              <w:tr2bl w:val="nil"/>
            </w:tcBorders>
            <w:noWrap w:val="0"/>
            <w:vAlign w:val="center"/>
          </w:tcPr>
          <w:p w14:paraId="67666EF0">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甲方（公章）：</w:t>
            </w:r>
          </w:p>
        </w:tc>
        <w:tc>
          <w:tcPr>
            <w:tcW w:w="4890" w:type="dxa"/>
            <w:tcBorders>
              <w:tl2br w:val="nil"/>
              <w:tr2bl w:val="nil"/>
            </w:tcBorders>
            <w:noWrap w:val="0"/>
            <w:vAlign w:val="center"/>
          </w:tcPr>
          <w:p w14:paraId="5A3C0D9E">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乙方（公章）：</w:t>
            </w:r>
          </w:p>
        </w:tc>
      </w:tr>
      <w:tr w14:paraId="5D8B264F">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592" w:hRule="exact"/>
          <w:jc w:val="center"/>
        </w:trPr>
        <w:tc>
          <w:tcPr>
            <w:tcW w:w="4890" w:type="dxa"/>
            <w:tcBorders>
              <w:tl2br w:val="nil"/>
              <w:tr2bl w:val="nil"/>
            </w:tcBorders>
            <w:noWrap w:val="0"/>
            <w:vAlign w:val="center"/>
          </w:tcPr>
          <w:p w14:paraId="20091CF7">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法定代表人（委托代理人）：</w:t>
            </w:r>
          </w:p>
        </w:tc>
        <w:tc>
          <w:tcPr>
            <w:tcW w:w="4890" w:type="dxa"/>
            <w:tcBorders>
              <w:tl2br w:val="nil"/>
              <w:tr2bl w:val="nil"/>
            </w:tcBorders>
            <w:noWrap w:val="0"/>
            <w:vAlign w:val="center"/>
          </w:tcPr>
          <w:p w14:paraId="43330028">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法定代表人（委托代理人）：</w:t>
            </w:r>
          </w:p>
        </w:tc>
      </w:tr>
      <w:tr w14:paraId="25191CDB">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592" w:hRule="exact"/>
          <w:jc w:val="center"/>
        </w:trPr>
        <w:tc>
          <w:tcPr>
            <w:tcW w:w="4890" w:type="dxa"/>
            <w:tcBorders>
              <w:tl2br w:val="nil"/>
              <w:tr2bl w:val="nil"/>
            </w:tcBorders>
            <w:noWrap w:val="0"/>
            <w:vAlign w:val="center"/>
          </w:tcPr>
          <w:p w14:paraId="55495BD6">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日期：    年   月  日</w:t>
            </w:r>
          </w:p>
        </w:tc>
        <w:tc>
          <w:tcPr>
            <w:tcW w:w="4890" w:type="dxa"/>
            <w:tcBorders>
              <w:tl2br w:val="nil"/>
              <w:tr2bl w:val="nil"/>
            </w:tcBorders>
            <w:noWrap w:val="0"/>
            <w:vAlign w:val="center"/>
          </w:tcPr>
          <w:p w14:paraId="4232E69B">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日期：    年   月   日</w:t>
            </w:r>
          </w:p>
        </w:tc>
      </w:tr>
      <w:tr w14:paraId="600B2DAC">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592" w:hRule="exact"/>
          <w:jc w:val="center"/>
        </w:trPr>
        <w:tc>
          <w:tcPr>
            <w:tcW w:w="4890" w:type="dxa"/>
            <w:tcBorders>
              <w:tl2br w:val="nil"/>
              <w:tr2bl w:val="nil"/>
            </w:tcBorders>
            <w:noWrap w:val="0"/>
            <w:vAlign w:val="center"/>
          </w:tcPr>
          <w:p w14:paraId="06C6375E">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地址：</w:t>
            </w:r>
          </w:p>
        </w:tc>
        <w:tc>
          <w:tcPr>
            <w:tcW w:w="4890" w:type="dxa"/>
            <w:tcBorders>
              <w:tl2br w:val="nil"/>
              <w:tr2bl w:val="nil"/>
            </w:tcBorders>
            <w:noWrap w:val="0"/>
            <w:vAlign w:val="center"/>
          </w:tcPr>
          <w:p w14:paraId="09AC66AE">
            <w:pPr>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地址：</w:t>
            </w:r>
          </w:p>
        </w:tc>
      </w:tr>
      <w:tr w14:paraId="73E96D6E">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592" w:hRule="exact"/>
          <w:jc w:val="center"/>
        </w:trPr>
        <w:tc>
          <w:tcPr>
            <w:tcW w:w="4890" w:type="dxa"/>
            <w:tcBorders>
              <w:tl2br w:val="nil"/>
              <w:tr2bl w:val="nil"/>
            </w:tcBorders>
            <w:noWrap w:val="0"/>
            <w:vAlign w:val="center"/>
          </w:tcPr>
          <w:p w14:paraId="20BEF62F">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电话（传真）：</w:t>
            </w:r>
          </w:p>
        </w:tc>
        <w:tc>
          <w:tcPr>
            <w:tcW w:w="4890" w:type="dxa"/>
            <w:tcBorders>
              <w:tl2br w:val="nil"/>
              <w:tr2bl w:val="nil"/>
            </w:tcBorders>
            <w:noWrap w:val="0"/>
            <w:vAlign w:val="center"/>
          </w:tcPr>
          <w:p w14:paraId="3F00A025">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电话（传真）：</w:t>
            </w:r>
          </w:p>
        </w:tc>
      </w:tr>
      <w:tr w14:paraId="1505553D">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599" w:hRule="exact"/>
          <w:jc w:val="center"/>
        </w:trPr>
        <w:tc>
          <w:tcPr>
            <w:tcW w:w="4890" w:type="dxa"/>
            <w:tcBorders>
              <w:tl2br w:val="nil"/>
              <w:tr2bl w:val="nil"/>
            </w:tcBorders>
            <w:noWrap w:val="0"/>
            <w:vAlign w:val="center"/>
          </w:tcPr>
          <w:p w14:paraId="654D015D">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邮编：</w:t>
            </w:r>
          </w:p>
        </w:tc>
        <w:tc>
          <w:tcPr>
            <w:tcW w:w="4890" w:type="dxa"/>
            <w:tcBorders>
              <w:tl2br w:val="nil"/>
              <w:tr2bl w:val="nil"/>
            </w:tcBorders>
            <w:noWrap w:val="0"/>
            <w:vAlign w:val="center"/>
          </w:tcPr>
          <w:p w14:paraId="5C00CFE4">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default" w:ascii="仿宋" w:hAnsi="仿宋" w:eastAsia="仿宋" w:cs="仿宋"/>
                <w:color w:val="auto"/>
                <w:sz w:val="24"/>
                <w:szCs w:val="24"/>
                <w:highlight w:val="none"/>
                <w:vertAlign w:val="baseline"/>
                <w:lang w:val="en-US"/>
              </w:rPr>
            </w:pPr>
            <w:r>
              <w:rPr>
                <w:rFonts w:hint="eastAsia" w:ascii="仿宋" w:hAnsi="仿宋" w:eastAsia="仿宋" w:cs="仿宋"/>
                <w:color w:val="auto"/>
                <w:sz w:val="24"/>
                <w:szCs w:val="24"/>
                <w:highlight w:val="none"/>
                <w:vertAlign w:val="baseline"/>
                <w:lang w:val="en-US" w:eastAsia="zh-CN"/>
              </w:rPr>
              <w:t>邮编：</w:t>
            </w:r>
          </w:p>
        </w:tc>
      </w:tr>
    </w:tbl>
    <w:p w14:paraId="6C9DABDD">
      <w:pPr>
        <w:spacing w:line="360" w:lineRule="auto"/>
        <w:jc w:val="center"/>
        <w:rPr>
          <w:rFonts w:hint="eastAsia" w:ascii="仿宋" w:hAnsi="仿宋" w:eastAsia="仿宋" w:cs="仿宋"/>
          <w:b/>
          <w:bCs/>
          <w:color w:val="auto"/>
          <w:sz w:val="32"/>
          <w:szCs w:val="32"/>
          <w:highlight w:val="none"/>
        </w:rPr>
      </w:pPr>
    </w:p>
    <w:p w14:paraId="783C1C7F">
      <w:pPr>
        <w:spacing w:line="360" w:lineRule="auto"/>
        <w:jc w:val="center"/>
        <w:rPr>
          <w:rFonts w:hint="eastAsia" w:ascii="仿宋" w:hAnsi="仿宋" w:eastAsia="仿宋" w:cs="仿宋"/>
          <w:b/>
          <w:bCs/>
          <w:color w:val="auto"/>
          <w:sz w:val="32"/>
          <w:szCs w:val="32"/>
          <w:highlight w:val="none"/>
        </w:rPr>
      </w:pPr>
    </w:p>
    <w:p w14:paraId="5F8DBE0E">
      <w:pPr>
        <w:spacing w:line="360" w:lineRule="auto"/>
        <w:jc w:val="center"/>
        <w:rPr>
          <w:rFonts w:hint="eastAsia" w:ascii="仿宋" w:hAnsi="仿宋" w:eastAsia="仿宋" w:cs="仿宋"/>
          <w:b/>
          <w:bCs/>
          <w:color w:val="auto"/>
          <w:sz w:val="32"/>
          <w:szCs w:val="32"/>
          <w:highlight w:val="none"/>
        </w:rPr>
      </w:pPr>
    </w:p>
    <w:p w14:paraId="109424DE">
      <w:pPr>
        <w:spacing w:line="360" w:lineRule="auto"/>
        <w:jc w:val="center"/>
        <w:rPr>
          <w:rFonts w:hint="eastAsia" w:ascii="仿宋" w:hAnsi="仿宋" w:eastAsia="仿宋" w:cs="仿宋"/>
          <w:b/>
          <w:bCs/>
          <w:color w:val="auto"/>
          <w:sz w:val="32"/>
          <w:szCs w:val="32"/>
          <w:highlight w:val="none"/>
        </w:rPr>
      </w:pPr>
    </w:p>
    <w:p w14:paraId="3933DD9A">
      <w:pPr>
        <w:spacing w:line="360" w:lineRule="auto"/>
        <w:jc w:val="center"/>
        <w:rPr>
          <w:rFonts w:hint="eastAsia" w:ascii="仿宋" w:hAnsi="仿宋" w:eastAsia="仿宋" w:cs="仿宋"/>
          <w:b/>
          <w:bCs/>
          <w:color w:val="auto"/>
          <w:sz w:val="32"/>
          <w:szCs w:val="32"/>
          <w:highlight w:val="none"/>
        </w:rPr>
      </w:pPr>
    </w:p>
    <w:p w14:paraId="2E3B52B9">
      <w:pPr>
        <w:spacing w:line="360" w:lineRule="auto"/>
        <w:jc w:val="center"/>
        <w:rPr>
          <w:rFonts w:hint="eastAsia" w:ascii="仿宋" w:hAnsi="仿宋" w:eastAsia="仿宋" w:cs="仿宋"/>
          <w:b/>
          <w:bCs/>
          <w:color w:val="auto"/>
          <w:sz w:val="32"/>
          <w:szCs w:val="32"/>
          <w:highlight w:val="none"/>
        </w:rPr>
      </w:pPr>
    </w:p>
    <w:p w14:paraId="26DDC3F8">
      <w:pPr>
        <w:spacing w:line="360" w:lineRule="auto"/>
        <w:jc w:val="center"/>
        <w:rPr>
          <w:rFonts w:hint="eastAsia" w:ascii="仿宋" w:hAnsi="仿宋" w:eastAsia="仿宋" w:cs="仿宋"/>
          <w:b/>
          <w:bCs/>
          <w:color w:val="auto"/>
          <w:sz w:val="32"/>
          <w:szCs w:val="32"/>
          <w:highlight w:val="none"/>
        </w:rPr>
      </w:pPr>
    </w:p>
    <w:p w14:paraId="6237214F">
      <w:pPr>
        <w:spacing w:line="360" w:lineRule="auto"/>
        <w:jc w:val="center"/>
        <w:rPr>
          <w:rFonts w:hint="eastAsia" w:ascii="仿宋" w:hAnsi="仿宋" w:eastAsia="仿宋" w:cs="仿宋"/>
          <w:b/>
          <w:bCs/>
          <w:color w:val="auto"/>
          <w:sz w:val="32"/>
          <w:szCs w:val="32"/>
          <w:highlight w:val="none"/>
        </w:rPr>
      </w:pPr>
    </w:p>
    <w:p w14:paraId="440E5D9D">
      <w:pPr>
        <w:pStyle w:val="11"/>
        <w:rPr>
          <w:rFonts w:hint="eastAsia" w:ascii="仿宋" w:hAnsi="仿宋" w:eastAsia="仿宋" w:cs="仿宋"/>
          <w:b/>
          <w:bCs/>
          <w:color w:val="auto"/>
          <w:sz w:val="32"/>
          <w:szCs w:val="32"/>
          <w:highlight w:val="none"/>
        </w:rPr>
      </w:pPr>
    </w:p>
    <w:p w14:paraId="161B1212">
      <w:pPr>
        <w:rPr>
          <w:rFonts w:hint="eastAsia" w:ascii="仿宋" w:hAnsi="仿宋" w:eastAsia="仿宋" w:cs="仿宋"/>
          <w:b/>
          <w:bCs/>
          <w:color w:val="auto"/>
          <w:sz w:val="32"/>
          <w:szCs w:val="32"/>
          <w:highlight w:val="none"/>
        </w:rPr>
      </w:pPr>
    </w:p>
    <w:p w14:paraId="55339755">
      <w:pPr>
        <w:pStyle w:val="11"/>
        <w:rPr>
          <w:rFonts w:hint="eastAsia"/>
          <w:color w:val="auto"/>
          <w:highlight w:val="none"/>
        </w:rPr>
      </w:pPr>
    </w:p>
    <w:p w14:paraId="5279C531">
      <w:pPr>
        <w:spacing w:line="360" w:lineRule="auto"/>
        <w:jc w:val="center"/>
        <w:rPr>
          <w:rFonts w:hint="eastAsia" w:ascii="仿宋" w:hAnsi="仿宋" w:eastAsia="仿宋" w:cs="仿宋"/>
          <w:b/>
          <w:bCs/>
          <w:color w:val="auto"/>
          <w:sz w:val="32"/>
          <w:szCs w:val="32"/>
          <w:highlight w:val="none"/>
        </w:rPr>
      </w:pPr>
    </w:p>
    <w:p w14:paraId="082055F6">
      <w:pPr>
        <w:spacing w:line="360" w:lineRule="auto"/>
        <w:jc w:val="both"/>
        <w:rPr>
          <w:rFonts w:hint="eastAsia" w:ascii="仿宋" w:hAnsi="仿宋" w:eastAsia="仿宋" w:cs="仿宋"/>
          <w:b/>
          <w:bCs/>
          <w:color w:val="auto"/>
          <w:sz w:val="32"/>
          <w:szCs w:val="32"/>
          <w:highlight w:val="none"/>
        </w:rPr>
      </w:pPr>
    </w:p>
    <w:p w14:paraId="5B1DA8D4">
      <w:pPr>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动物免疫</w:t>
      </w:r>
      <w:r>
        <w:rPr>
          <w:rFonts w:hint="eastAsia" w:ascii="仿宋" w:hAnsi="仿宋" w:eastAsia="仿宋" w:cs="仿宋"/>
          <w:b/>
          <w:bCs/>
          <w:color w:val="auto"/>
          <w:sz w:val="32"/>
          <w:szCs w:val="32"/>
          <w:highlight w:val="none"/>
          <w:lang w:val="en-US" w:eastAsia="zh-CN"/>
        </w:rPr>
        <w:t>副</w:t>
      </w:r>
      <w:r>
        <w:rPr>
          <w:rFonts w:hint="eastAsia" w:ascii="仿宋" w:hAnsi="仿宋" w:eastAsia="仿宋" w:cs="仿宋"/>
          <w:b/>
          <w:bCs/>
          <w:color w:val="auto"/>
          <w:sz w:val="32"/>
          <w:szCs w:val="32"/>
          <w:highlight w:val="none"/>
        </w:rPr>
        <w:t>反应</w:t>
      </w:r>
      <w:r>
        <w:rPr>
          <w:rFonts w:hint="eastAsia" w:ascii="仿宋" w:hAnsi="仿宋" w:eastAsia="仿宋" w:cs="仿宋"/>
          <w:b/>
          <w:bCs/>
          <w:color w:val="auto"/>
          <w:sz w:val="32"/>
          <w:szCs w:val="32"/>
          <w:highlight w:val="none"/>
          <w:lang w:val="en-US" w:eastAsia="zh-CN"/>
        </w:rPr>
        <w:t>赔偿</w:t>
      </w:r>
      <w:r>
        <w:rPr>
          <w:rFonts w:hint="eastAsia" w:ascii="仿宋" w:hAnsi="仿宋" w:eastAsia="仿宋" w:cs="仿宋"/>
          <w:b/>
          <w:bCs/>
          <w:color w:val="auto"/>
          <w:sz w:val="32"/>
          <w:szCs w:val="32"/>
          <w:highlight w:val="none"/>
        </w:rPr>
        <w:t>委托书</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模板</w:t>
      </w:r>
      <w:r>
        <w:rPr>
          <w:rFonts w:hint="eastAsia" w:ascii="仿宋" w:hAnsi="仿宋" w:eastAsia="仿宋" w:cs="仿宋"/>
          <w:b/>
          <w:bCs/>
          <w:color w:val="auto"/>
          <w:sz w:val="32"/>
          <w:szCs w:val="32"/>
          <w:highlight w:val="none"/>
          <w:lang w:eastAsia="zh-CN"/>
        </w:rPr>
        <w:t>）</w:t>
      </w:r>
    </w:p>
    <w:p w14:paraId="5DF5486A">
      <w:pPr>
        <w:spacing w:line="400" w:lineRule="exact"/>
        <w:rPr>
          <w:rFonts w:hint="eastAsia" w:ascii="仿宋" w:hAnsi="仿宋" w:eastAsia="仿宋" w:cs="仿宋"/>
          <w:color w:val="auto"/>
          <w:sz w:val="24"/>
          <w:szCs w:val="24"/>
          <w:highlight w:val="none"/>
        </w:rPr>
      </w:pPr>
    </w:p>
    <w:p w14:paraId="199FB20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XXX</w:t>
      </w:r>
      <w:r>
        <w:rPr>
          <w:rFonts w:hint="eastAsia" w:ascii="仿宋" w:hAnsi="仿宋" w:eastAsia="仿宋" w:cs="仿宋"/>
          <w:color w:val="auto"/>
          <w:sz w:val="24"/>
          <w:szCs w:val="24"/>
          <w:highlight w:val="none"/>
        </w:rPr>
        <w:t>县（区）动物疫病预防控制中心：</w:t>
      </w:r>
    </w:p>
    <w:p w14:paraId="5E60027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日，按照招标文件和采购合同书的要求，在采购合同服务期内对涉及的“动物免疫</w:t>
      </w:r>
      <w:r>
        <w:rPr>
          <w:rFonts w:hint="eastAsia" w:ascii="仿宋" w:hAnsi="仿宋" w:eastAsia="仿宋" w:cs="仿宋"/>
          <w:color w:val="auto"/>
          <w:sz w:val="24"/>
          <w:szCs w:val="24"/>
          <w:highlight w:val="none"/>
          <w:lang w:val="en-US" w:eastAsia="zh-CN"/>
        </w:rPr>
        <w:t>副</w:t>
      </w:r>
      <w:r>
        <w:rPr>
          <w:rFonts w:hint="eastAsia" w:ascii="仿宋" w:hAnsi="仿宋" w:eastAsia="仿宋" w:cs="仿宋"/>
          <w:color w:val="auto"/>
          <w:sz w:val="24"/>
          <w:szCs w:val="24"/>
          <w:highlight w:val="none"/>
        </w:rPr>
        <w:t>反应治疗费、</w:t>
      </w:r>
      <w:r>
        <w:rPr>
          <w:rFonts w:hint="eastAsia" w:ascii="仿宋" w:hAnsi="仿宋" w:eastAsia="仿宋" w:cs="仿宋"/>
          <w:color w:val="auto"/>
          <w:sz w:val="24"/>
          <w:szCs w:val="24"/>
          <w:highlight w:val="none"/>
          <w:lang w:val="en-US" w:eastAsia="zh-CN"/>
        </w:rPr>
        <w:t>副反应</w:t>
      </w:r>
      <w:r>
        <w:rPr>
          <w:rFonts w:hint="eastAsia" w:ascii="仿宋" w:hAnsi="仿宋" w:eastAsia="仿宋" w:cs="仿宋"/>
          <w:color w:val="auto"/>
          <w:sz w:val="24"/>
          <w:szCs w:val="24"/>
          <w:highlight w:val="none"/>
        </w:rPr>
        <w:t>死亡费（</w:t>
      </w:r>
      <w:r>
        <w:rPr>
          <w:rFonts w:hint="eastAsia" w:ascii="仿宋" w:hAnsi="仿宋" w:eastAsia="仿宋" w:cs="仿宋"/>
          <w:color w:val="auto"/>
          <w:sz w:val="24"/>
          <w:szCs w:val="24"/>
          <w:highlight w:val="none"/>
          <w:lang w:val="en-US" w:eastAsia="zh-CN"/>
        </w:rPr>
        <w:t>中标金额的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）进行赔偿”事宜进行委托办理：零星的免疫</w:t>
      </w:r>
      <w:r>
        <w:rPr>
          <w:rFonts w:hint="eastAsia" w:ascii="仿宋" w:hAnsi="仿宋" w:eastAsia="仿宋" w:cs="仿宋"/>
          <w:color w:val="auto"/>
          <w:sz w:val="24"/>
          <w:szCs w:val="24"/>
          <w:highlight w:val="none"/>
          <w:lang w:val="en-US" w:eastAsia="zh-CN"/>
        </w:rPr>
        <w:t>副</w:t>
      </w:r>
      <w:r>
        <w:rPr>
          <w:rFonts w:hint="eastAsia" w:ascii="仿宋" w:hAnsi="仿宋" w:eastAsia="仿宋" w:cs="仿宋"/>
          <w:color w:val="auto"/>
          <w:sz w:val="24"/>
          <w:szCs w:val="24"/>
          <w:highlight w:val="none"/>
        </w:rPr>
        <w:t>反应委托</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县（区）动物疫病预防控制中心对此工作进行审核，乡（镇）农业服务中心（畜牧兽医工作站）具体负责认定，村级防疫员、组长或村委会（社区）人员现场检查确认。参照《云南省重大动物疫病强制免疫</w:t>
      </w:r>
      <w:r>
        <w:rPr>
          <w:rFonts w:hint="eastAsia" w:ascii="仿宋" w:hAnsi="仿宋" w:eastAsia="仿宋" w:cs="仿宋"/>
          <w:color w:val="auto"/>
          <w:sz w:val="24"/>
          <w:szCs w:val="24"/>
          <w:highlight w:val="none"/>
          <w:lang w:eastAsia="zh-CN"/>
        </w:rPr>
        <w:t>副</w:t>
      </w:r>
      <w:r>
        <w:rPr>
          <w:rFonts w:hint="eastAsia" w:ascii="仿宋" w:hAnsi="仿宋" w:eastAsia="仿宋" w:cs="仿宋"/>
          <w:color w:val="auto"/>
          <w:sz w:val="24"/>
          <w:szCs w:val="24"/>
          <w:highlight w:val="none"/>
        </w:rPr>
        <w:t>反应补助经费管理办法》（云疫控〔2012〕17号）、及结合普洱市实际，认定程序和需提交材料如下：</w:t>
      </w:r>
    </w:p>
    <w:p w14:paraId="2B55E19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一、免疫</w:t>
      </w:r>
      <w:r>
        <w:rPr>
          <w:rFonts w:hint="eastAsia" w:ascii="仿宋" w:hAnsi="仿宋" w:eastAsia="仿宋" w:cs="仿宋"/>
          <w:color w:val="auto"/>
          <w:sz w:val="24"/>
          <w:szCs w:val="24"/>
          <w:highlight w:val="none"/>
          <w:lang w:eastAsia="zh-CN"/>
        </w:rPr>
        <w:t>副</w:t>
      </w:r>
      <w:r>
        <w:rPr>
          <w:rFonts w:hint="eastAsia" w:ascii="仿宋" w:hAnsi="仿宋" w:eastAsia="仿宋" w:cs="仿宋"/>
          <w:color w:val="auto"/>
          <w:sz w:val="24"/>
          <w:szCs w:val="24"/>
          <w:highlight w:val="none"/>
        </w:rPr>
        <w:t>反应认定时限：指动物实施本公司动物疫苗免疫后12小时以内发生的免疫</w:t>
      </w:r>
      <w:r>
        <w:rPr>
          <w:rFonts w:hint="eastAsia" w:ascii="仿宋" w:hAnsi="仿宋" w:eastAsia="仿宋" w:cs="仿宋"/>
          <w:color w:val="auto"/>
          <w:sz w:val="24"/>
          <w:szCs w:val="24"/>
          <w:highlight w:val="none"/>
          <w:lang w:eastAsia="zh-CN"/>
        </w:rPr>
        <w:t>副</w:t>
      </w:r>
      <w:r>
        <w:rPr>
          <w:rFonts w:hint="eastAsia" w:ascii="仿宋" w:hAnsi="仿宋" w:eastAsia="仿宋" w:cs="仿宋"/>
          <w:color w:val="auto"/>
          <w:sz w:val="24"/>
          <w:szCs w:val="24"/>
          <w:highlight w:val="none"/>
        </w:rPr>
        <w:t>反应。</w:t>
      </w:r>
    </w:p>
    <w:p w14:paraId="7D6B2B6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w:t>
      </w:r>
      <w:r>
        <w:rPr>
          <w:rFonts w:hint="eastAsia" w:ascii="仿宋" w:hAnsi="仿宋" w:eastAsia="仿宋" w:cs="仿宋"/>
          <w:color w:val="auto"/>
          <w:sz w:val="24"/>
          <w:szCs w:val="24"/>
          <w:highlight w:val="none"/>
          <w:lang w:eastAsia="zh-CN"/>
        </w:rPr>
        <w:t>副</w:t>
      </w:r>
      <w:r>
        <w:rPr>
          <w:rFonts w:hint="eastAsia" w:ascii="仿宋" w:hAnsi="仿宋" w:eastAsia="仿宋" w:cs="仿宋"/>
          <w:color w:val="auto"/>
          <w:sz w:val="24"/>
          <w:szCs w:val="24"/>
          <w:highlight w:val="none"/>
        </w:rPr>
        <w:t>反应治疗费认定：由村级防疫员对发生免疫</w:t>
      </w:r>
      <w:r>
        <w:rPr>
          <w:rFonts w:hint="eastAsia" w:ascii="仿宋" w:hAnsi="仿宋" w:eastAsia="仿宋" w:cs="仿宋"/>
          <w:color w:val="auto"/>
          <w:sz w:val="24"/>
          <w:szCs w:val="24"/>
          <w:highlight w:val="none"/>
          <w:lang w:val="en-US" w:eastAsia="zh-CN"/>
        </w:rPr>
        <w:t>副</w:t>
      </w:r>
      <w:r>
        <w:rPr>
          <w:rFonts w:hint="eastAsia" w:ascii="仿宋" w:hAnsi="仿宋" w:eastAsia="仿宋" w:cs="仿宋"/>
          <w:color w:val="auto"/>
          <w:sz w:val="24"/>
          <w:szCs w:val="24"/>
          <w:highlight w:val="none"/>
        </w:rPr>
        <w:t>反应的动物实施治疗过程中所发生的药品费和诊疗费（油费、务工费）。证明材料由村级防疫员提供动物免疫</w:t>
      </w:r>
      <w:r>
        <w:rPr>
          <w:rFonts w:hint="eastAsia" w:ascii="仿宋" w:hAnsi="仿宋" w:eastAsia="仿宋" w:cs="仿宋"/>
          <w:color w:val="auto"/>
          <w:sz w:val="24"/>
          <w:szCs w:val="24"/>
          <w:highlight w:val="none"/>
          <w:lang w:eastAsia="zh-CN"/>
        </w:rPr>
        <w:t>副</w:t>
      </w:r>
      <w:r>
        <w:rPr>
          <w:rFonts w:hint="eastAsia" w:ascii="仿宋" w:hAnsi="仿宋" w:eastAsia="仿宋" w:cs="仿宋"/>
          <w:color w:val="auto"/>
          <w:sz w:val="24"/>
          <w:szCs w:val="24"/>
          <w:highlight w:val="none"/>
        </w:rPr>
        <w:t>反应治疗费收条。</w:t>
      </w:r>
    </w:p>
    <w:p w14:paraId="3E13B152">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三、</w:t>
      </w:r>
      <w:r>
        <w:rPr>
          <w:rFonts w:hint="eastAsia" w:ascii="仿宋" w:hAnsi="仿宋" w:eastAsia="仿宋" w:cs="仿宋"/>
          <w:color w:val="auto"/>
          <w:sz w:val="24"/>
          <w:szCs w:val="24"/>
          <w:highlight w:val="none"/>
          <w:lang w:eastAsia="zh-CN"/>
        </w:rPr>
        <w:t>副</w:t>
      </w:r>
      <w:r>
        <w:rPr>
          <w:rFonts w:hint="eastAsia" w:ascii="仿宋" w:hAnsi="仿宋" w:eastAsia="仿宋" w:cs="仿宋"/>
          <w:color w:val="auto"/>
          <w:sz w:val="24"/>
          <w:szCs w:val="24"/>
          <w:highlight w:val="none"/>
          <w:lang w:val="en-US" w:eastAsia="zh-CN"/>
        </w:rPr>
        <w:t>反应</w:t>
      </w:r>
      <w:r>
        <w:rPr>
          <w:rFonts w:hint="eastAsia" w:ascii="仿宋" w:hAnsi="仿宋" w:eastAsia="仿宋" w:cs="仿宋"/>
          <w:color w:val="auto"/>
          <w:sz w:val="24"/>
          <w:szCs w:val="24"/>
          <w:highlight w:val="none"/>
        </w:rPr>
        <w:t>死亡赔偿费认定：</w:t>
      </w:r>
      <w:r>
        <w:rPr>
          <w:rFonts w:hint="eastAsia" w:ascii="仿宋" w:hAnsi="仿宋" w:eastAsia="仿宋" w:cs="仿宋"/>
          <w:color w:val="auto"/>
          <w:sz w:val="24"/>
          <w:szCs w:val="24"/>
          <w:highlight w:val="none"/>
          <w:lang w:val="en-US" w:eastAsia="zh-CN"/>
        </w:rPr>
        <w:t>中标厂家应按各县（区）实际配送疫苗总金额的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%，直接对发生免疫副反应（副反应治疗、副反应死亡）的农户进行赔偿。</w:t>
      </w:r>
    </w:p>
    <w:p w14:paraId="669CCCE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四、赔偿方案：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县（区）动物疫病预防控制中心应对免疫副反应（副反应诊疗、副反应死亡）制定详细的赔偿方案。</w:t>
      </w:r>
    </w:p>
    <w:p w14:paraId="71DDB884">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、需提交材料：</w:t>
      </w:r>
    </w:p>
    <w:p w14:paraId="40287394">
      <w:pPr>
        <w:keepNext w:val="0"/>
        <w:keepLines w:val="0"/>
        <w:pageBreakBefore w:val="0"/>
        <w:widowControl w:val="0"/>
        <w:kinsoku/>
        <w:wordWrap/>
        <w:overflowPunct/>
        <w:topLinePunct w:val="0"/>
        <w:autoSpaceDE/>
        <w:autoSpaceDN/>
        <w:bidi w:val="0"/>
        <w:adjustRightInd/>
        <w:snapToGrid/>
        <w:spacing w:line="420" w:lineRule="exact"/>
        <w:ind w:firstLine="464" w:firstLineChars="200"/>
        <w:textAlignment w:val="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1.普洱市县（区）赔偿报告；2.普洱市动物免疫</w:t>
      </w:r>
      <w:r>
        <w:rPr>
          <w:rFonts w:hint="eastAsia" w:ascii="仿宋" w:hAnsi="仿宋" w:eastAsia="仿宋" w:cs="仿宋"/>
          <w:color w:val="auto"/>
          <w:spacing w:val="-4"/>
          <w:sz w:val="24"/>
          <w:szCs w:val="24"/>
          <w:highlight w:val="none"/>
          <w:lang w:eastAsia="zh-CN"/>
        </w:rPr>
        <w:t>副</w:t>
      </w:r>
      <w:r>
        <w:rPr>
          <w:rFonts w:hint="eastAsia" w:ascii="仿宋" w:hAnsi="仿宋" w:eastAsia="仿宋" w:cs="仿宋"/>
          <w:color w:val="auto"/>
          <w:spacing w:val="-4"/>
          <w:sz w:val="24"/>
          <w:szCs w:val="24"/>
          <w:highlight w:val="none"/>
        </w:rPr>
        <w:t>反应治疗费、</w:t>
      </w:r>
      <w:r>
        <w:rPr>
          <w:rFonts w:hint="eastAsia" w:ascii="仿宋" w:hAnsi="仿宋" w:eastAsia="仿宋" w:cs="仿宋"/>
          <w:color w:val="auto"/>
          <w:spacing w:val="-4"/>
          <w:sz w:val="24"/>
          <w:szCs w:val="24"/>
          <w:highlight w:val="none"/>
          <w:lang w:eastAsia="zh-CN"/>
        </w:rPr>
        <w:t>副</w:t>
      </w:r>
      <w:r>
        <w:rPr>
          <w:rFonts w:hint="eastAsia" w:ascii="仿宋" w:hAnsi="仿宋" w:eastAsia="仿宋" w:cs="仿宋"/>
          <w:color w:val="auto"/>
          <w:spacing w:val="-4"/>
          <w:sz w:val="24"/>
          <w:szCs w:val="24"/>
          <w:highlight w:val="none"/>
        </w:rPr>
        <w:t>死亡费赔偿认定、确认记录表；3.普洱市动物免疫</w:t>
      </w:r>
      <w:r>
        <w:rPr>
          <w:rFonts w:hint="eastAsia" w:ascii="仿宋" w:hAnsi="仿宋" w:eastAsia="仿宋" w:cs="仿宋"/>
          <w:color w:val="auto"/>
          <w:spacing w:val="-4"/>
          <w:sz w:val="24"/>
          <w:szCs w:val="24"/>
          <w:highlight w:val="none"/>
          <w:lang w:eastAsia="zh-CN"/>
        </w:rPr>
        <w:t>副</w:t>
      </w:r>
      <w:r>
        <w:rPr>
          <w:rFonts w:hint="eastAsia" w:ascii="仿宋" w:hAnsi="仿宋" w:eastAsia="仿宋" w:cs="仿宋"/>
          <w:color w:val="auto"/>
          <w:spacing w:val="-4"/>
          <w:sz w:val="24"/>
          <w:szCs w:val="24"/>
          <w:highlight w:val="none"/>
        </w:rPr>
        <w:t>反应治疗费收条。</w:t>
      </w:r>
    </w:p>
    <w:p w14:paraId="30CF081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、赔偿时限：</w:t>
      </w:r>
    </w:p>
    <w:p w14:paraId="2335165E">
      <w:pPr>
        <w:keepNext w:val="0"/>
        <w:keepLines w:val="0"/>
        <w:pageBreakBefore w:val="0"/>
        <w:widowControl w:val="0"/>
        <w:kinsoku/>
        <w:wordWrap/>
        <w:overflowPunct/>
        <w:topLinePunct w:val="0"/>
        <w:autoSpaceDE/>
        <w:autoSpaceDN/>
        <w:bidi w:val="0"/>
        <w:adjustRightInd/>
        <w:snapToGrid/>
        <w:spacing w:line="420" w:lineRule="exact"/>
        <w:ind w:firstLine="464" w:firstLineChars="200"/>
        <w:textAlignment w:val="auto"/>
        <w:rPr>
          <w:rFonts w:hint="eastAsia" w:ascii="仿宋" w:hAnsi="仿宋" w:eastAsia="仿宋" w:cs="仿宋"/>
          <w:color w:val="auto"/>
          <w:spacing w:val="-4"/>
          <w:kern w:val="0"/>
          <w:sz w:val="24"/>
          <w:szCs w:val="24"/>
          <w:highlight w:val="none"/>
        </w:rPr>
      </w:pPr>
      <w:r>
        <w:rPr>
          <w:rFonts w:hint="eastAsia" w:ascii="仿宋" w:hAnsi="仿宋" w:eastAsia="仿宋" w:cs="仿宋"/>
          <w:color w:val="auto"/>
          <w:spacing w:val="-4"/>
          <w:sz w:val="24"/>
          <w:szCs w:val="24"/>
          <w:highlight w:val="none"/>
        </w:rPr>
        <w:t>赔偿时限在本公司收到上述需提交材料后1个月之内完成，每年在春防和秋防结束后集中办理赔偿事宜，</w:t>
      </w:r>
      <w:r>
        <w:rPr>
          <w:rFonts w:hint="eastAsia" w:ascii="仿宋" w:hAnsi="仿宋" w:eastAsia="仿宋" w:cs="仿宋"/>
          <w:color w:val="auto"/>
          <w:spacing w:val="-4"/>
          <w:kern w:val="0"/>
          <w:sz w:val="24"/>
          <w:szCs w:val="24"/>
          <w:highlight w:val="none"/>
        </w:rPr>
        <w:t>赔偿款汇入涉及的养殖户指定账户。</w:t>
      </w:r>
    </w:p>
    <w:p w14:paraId="3AD22005">
      <w:pPr>
        <w:keepNext w:val="0"/>
        <w:keepLines w:val="0"/>
        <w:pageBreakBefore w:val="0"/>
        <w:widowControl w:val="0"/>
        <w:kinsoku/>
        <w:wordWrap/>
        <w:overflowPunct/>
        <w:topLinePunct w:val="0"/>
        <w:autoSpaceDE/>
        <w:autoSpaceDN/>
        <w:bidi w:val="0"/>
        <w:adjustRightInd/>
        <w:snapToGrid/>
        <w:spacing w:line="420" w:lineRule="exact"/>
        <w:ind w:left="1404" w:leftChars="267" w:hanging="843" w:hangingChars="350"/>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b/>
          <w:color w:val="auto"/>
          <w:kern w:val="0"/>
          <w:sz w:val="24"/>
          <w:szCs w:val="24"/>
          <w:highlight w:val="none"/>
        </w:rPr>
        <w:t>附件：</w:t>
      </w:r>
      <w:r>
        <w:rPr>
          <w:rFonts w:hint="eastAsia" w:ascii="仿宋" w:hAnsi="仿宋" w:eastAsia="仿宋" w:cs="仿宋"/>
          <w:color w:val="auto"/>
          <w:kern w:val="0"/>
          <w:sz w:val="24"/>
          <w:szCs w:val="24"/>
          <w:highlight w:val="none"/>
        </w:rPr>
        <w:t>1.普洱市</w:t>
      </w:r>
      <w:r>
        <w:rPr>
          <w:rFonts w:hint="eastAsia" w:ascii="仿宋" w:hAnsi="仿宋" w:eastAsia="仿宋" w:cs="仿宋"/>
          <w:color w:val="auto"/>
          <w:sz w:val="24"/>
          <w:szCs w:val="24"/>
          <w:highlight w:val="none"/>
        </w:rPr>
        <w:t>县（区）赔偿报告</w:t>
      </w:r>
      <w:r>
        <w:rPr>
          <w:rFonts w:hint="eastAsia" w:ascii="仿宋" w:hAnsi="仿宋" w:eastAsia="仿宋" w:cs="仿宋"/>
          <w:color w:val="auto"/>
          <w:sz w:val="24"/>
          <w:szCs w:val="24"/>
          <w:highlight w:val="none"/>
          <w:lang w:eastAsia="zh-CN"/>
        </w:rPr>
        <w:t>模板</w:t>
      </w:r>
    </w:p>
    <w:p w14:paraId="2DB19B48">
      <w:pPr>
        <w:keepNext w:val="0"/>
        <w:keepLines w:val="0"/>
        <w:pageBreakBefore w:val="0"/>
        <w:widowControl w:val="0"/>
        <w:kinsoku/>
        <w:wordWrap/>
        <w:overflowPunct/>
        <w:topLinePunct w:val="0"/>
        <w:autoSpaceDE/>
        <w:autoSpaceDN/>
        <w:bidi w:val="0"/>
        <w:adjustRightInd/>
        <w:snapToGrid/>
        <w:spacing w:line="420" w:lineRule="exact"/>
        <w:ind w:left="1641" w:leftChars="667" w:hanging="240" w:hangingChars="1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sz w:val="24"/>
          <w:szCs w:val="24"/>
          <w:highlight w:val="none"/>
        </w:rPr>
        <w:t>普洱市动物免疫</w:t>
      </w:r>
      <w:r>
        <w:rPr>
          <w:rFonts w:hint="eastAsia" w:ascii="仿宋" w:hAnsi="仿宋" w:eastAsia="仿宋" w:cs="仿宋"/>
          <w:color w:val="auto"/>
          <w:sz w:val="24"/>
          <w:szCs w:val="24"/>
          <w:highlight w:val="none"/>
          <w:lang w:eastAsia="zh-CN"/>
        </w:rPr>
        <w:t>副</w:t>
      </w:r>
      <w:r>
        <w:rPr>
          <w:rFonts w:hint="eastAsia" w:ascii="仿宋" w:hAnsi="仿宋" w:eastAsia="仿宋" w:cs="仿宋"/>
          <w:color w:val="auto"/>
          <w:sz w:val="24"/>
          <w:szCs w:val="24"/>
          <w:highlight w:val="none"/>
        </w:rPr>
        <w:t>反应治疗费、</w:t>
      </w:r>
      <w:r>
        <w:rPr>
          <w:rFonts w:hint="eastAsia" w:ascii="仿宋" w:hAnsi="仿宋" w:eastAsia="仿宋" w:cs="仿宋"/>
          <w:color w:val="auto"/>
          <w:sz w:val="24"/>
          <w:szCs w:val="24"/>
          <w:highlight w:val="none"/>
          <w:lang w:eastAsia="zh-CN"/>
        </w:rPr>
        <w:t>副</w:t>
      </w:r>
      <w:r>
        <w:rPr>
          <w:rFonts w:hint="eastAsia" w:ascii="仿宋" w:hAnsi="仿宋" w:eastAsia="仿宋" w:cs="仿宋"/>
          <w:color w:val="auto"/>
          <w:sz w:val="24"/>
          <w:szCs w:val="24"/>
          <w:highlight w:val="none"/>
        </w:rPr>
        <w:t>死亡费赔偿认定、确认记录表</w:t>
      </w:r>
    </w:p>
    <w:p w14:paraId="4D71B385">
      <w:pPr>
        <w:keepNext w:val="0"/>
        <w:keepLines w:val="0"/>
        <w:pageBreakBefore w:val="0"/>
        <w:widowControl w:val="0"/>
        <w:kinsoku/>
        <w:wordWrap/>
        <w:overflowPunct/>
        <w:topLinePunct w:val="0"/>
        <w:autoSpaceDE/>
        <w:autoSpaceDN/>
        <w:bidi w:val="0"/>
        <w:adjustRightInd/>
        <w:snapToGrid/>
        <w:spacing w:line="420" w:lineRule="exact"/>
        <w:ind w:left="1521" w:leftChars="667" w:hanging="120" w:hangingChars="5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rPr>
        <w:t>3.普洱市动物免疫</w:t>
      </w:r>
      <w:r>
        <w:rPr>
          <w:rFonts w:hint="eastAsia" w:ascii="仿宋" w:hAnsi="仿宋" w:eastAsia="仿宋" w:cs="仿宋"/>
          <w:color w:val="auto"/>
          <w:kern w:val="0"/>
          <w:sz w:val="24"/>
          <w:szCs w:val="24"/>
          <w:highlight w:val="none"/>
          <w:lang w:eastAsia="zh-CN"/>
        </w:rPr>
        <w:t>副</w:t>
      </w:r>
      <w:r>
        <w:rPr>
          <w:rFonts w:hint="eastAsia" w:ascii="仿宋" w:hAnsi="仿宋" w:eastAsia="仿宋" w:cs="仿宋"/>
          <w:color w:val="auto"/>
          <w:kern w:val="0"/>
          <w:sz w:val="24"/>
          <w:szCs w:val="24"/>
          <w:highlight w:val="none"/>
        </w:rPr>
        <w:t>反应治疗费收条</w:t>
      </w:r>
      <w:r>
        <w:rPr>
          <w:rFonts w:hint="eastAsia" w:ascii="仿宋" w:hAnsi="仿宋" w:eastAsia="仿宋" w:cs="仿宋"/>
          <w:color w:val="auto"/>
          <w:kern w:val="0"/>
          <w:sz w:val="24"/>
          <w:szCs w:val="24"/>
          <w:highlight w:val="none"/>
          <w:lang w:eastAsia="zh-CN"/>
        </w:rPr>
        <w:t>模板</w:t>
      </w:r>
    </w:p>
    <w:p w14:paraId="1170FC5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auto"/>
          <w:kern w:val="0"/>
          <w:sz w:val="24"/>
          <w:szCs w:val="24"/>
          <w:highlight w:val="none"/>
        </w:rPr>
      </w:pPr>
    </w:p>
    <w:p w14:paraId="21ADAF4B">
      <w:pPr>
        <w:keepNext w:val="0"/>
        <w:keepLines w:val="0"/>
        <w:pageBreakBefore w:val="0"/>
        <w:widowControl w:val="0"/>
        <w:kinsoku/>
        <w:wordWrap/>
        <w:overflowPunct/>
        <w:topLinePunct w:val="0"/>
        <w:autoSpaceDE/>
        <w:autoSpaceDN/>
        <w:bidi w:val="0"/>
        <w:adjustRightInd/>
        <w:snapToGrid/>
        <w:spacing w:line="420" w:lineRule="exact"/>
        <w:ind w:firstLine="2400" w:firstLineChars="10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委托公司：</w:t>
      </w:r>
    </w:p>
    <w:p w14:paraId="23E6D070">
      <w:pPr>
        <w:keepNext w:val="0"/>
        <w:keepLines w:val="0"/>
        <w:pageBreakBefore w:val="0"/>
        <w:widowControl w:val="0"/>
        <w:kinsoku/>
        <w:wordWrap/>
        <w:overflowPunct/>
        <w:topLinePunct w:val="0"/>
        <w:autoSpaceDE/>
        <w:autoSpaceDN/>
        <w:bidi w:val="0"/>
        <w:adjustRightInd/>
        <w:snapToGrid/>
        <w:spacing w:line="420" w:lineRule="exact"/>
        <w:ind w:firstLine="2400" w:firstLineChars="10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经 办 人：</w:t>
      </w:r>
    </w:p>
    <w:p w14:paraId="18565F81">
      <w:pPr>
        <w:keepNext w:val="0"/>
        <w:keepLines w:val="0"/>
        <w:pageBreakBefore w:val="0"/>
        <w:widowControl w:val="0"/>
        <w:kinsoku/>
        <w:wordWrap/>
        <w:overflowPunct/>
        <w:topLinePunct w:val="0"/>
        <w:autoSpaceDE/>
        <w:autoSpaceDN/>
        <w:bidi w:val="0"/>
        <w:adjustRightInd/>
        <w:snapToGrid/>
        <w:spacing w:line="420" w:lineRule="exact"/>
        <w:ind w:firstLine="2400" w:firstLineChars="10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委托时间：      年   月   日</w:t>
      </w:r>
    </w:p>
    <w:tbl>
      <w:tblPr>
        <w:tblStyle w:val="35"/>
        <w:tblW w:w="10128" w:type="dxa"/>
        <w:jc w:val="center"/>
        <w:tblLayout w:type="fixed"/>
        <w:tblCellMar>
          <w:top w:w="0" w:type="dxa"/>
          <w:left w:w="108" w:type="dxa"/>
          <w:bottom w:w="0" w:type="dxa"/>
          <w:right w:w="108" w:type="dxa"/>
        </w:tblCellMar>
      </w:tblPr>
      <w:tblGrid>
        <w:gridCol w:w="1694"/>
        <w:gridCol w:w="1554"/>
        <w:gridCol w:w="1089"/>
        <w:gridCol w:w="1444"/>
        <w:gridCol w:w="978"/>
        <w:gridCol w:w="1334"/>
        <w:gridCol w:w="2035"/>
      </w:tblGrid>
      <w:tr w14:paraId="4A11477C">
        <w:tblPrEx>
          <w:tblCellMar>
            <w:top w:w="0" w:type="dxa"/>
            <w:left w:w="108" w:type="dxa"/>
            <w:bottom w:w="0" w:type="dxa"/>
            <w:right w:w="108" w:type="dxa"/>
          </w:tblCellMar>
        </w:tblPrEx>
        <w:trPr>
          <w:trHeight w:val="457" w:hRule="atLeast"/>
          <w:jc w:val="center"/>
        </w:trPr>
        <w:tc>
          <w:tcPr>
            <w:tcW w:w="10128" w:type="dxa"/>
            <w:gridSpan w:val="7"/>
            <w:tcBorders>
              <w:top w:val="nil"/>
              <w:left w:val="nil"/>
              <w:bottom w:val="nil"/>
              <w:right w:val="nil"/>
            </w:tcBorders>
            <w:vAlign w:val="center"/>
          </w:tcPr>
          <w:p w14:paraId="7C1733A5">
            <w:pPr>
              <w:spacing w:line="380" w:lineRule="exact"/>
              <w:jc w:val="center"/>
              <w:rPr>
                <w:rFonts w:hint="eastAsia" w:ascii="仿宋" w:hAnsi="仿宋" w:eastAsia="仿宋" w:cs="仿宋"/>
                <w:color w:val="auto"/>
                <w:kern w:val="0"/>
                <w:sz w:val="24"/>
                <w:szCs w:val="24"/>
                <w:highlight w:val="none"/>
              </w:rPr>
            </w:pPr>
            <w:r>
              <w:rPr>
                <w:rFonts w:hint="eastAsia" w:ascii="仿宋" w:hAnsi="仿宋" w:eastAsia="仿宋" w:cs="仿宋"/>
                <w:b/>
                <w:bCs/>
                <w:color w:val="auto"/>
                <w:sz w:val="28"/>
                <w:szCs w:val="28"/>
                <w:highlight w:val="none"/>
              </w:rPr>
              <w:t>普洱市动物免疫应激反应治疗费、应激死亡费赔偿认定、确认记录表</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模板</w:t>
            </w:r>
            <w:r>
              <w:rPr>
                <w:rFonts w:hint="eastAsia" w:ascii="仿宋" w:hAnsi="仿宋" w:eastAsia="仿宋" w:cs="仿宋"/>
                <w:b/>
                <w:bCs/>
                <w:color w:val="auto"/>
                <w:sz w:val="28"/>
                <w:szCs w:val="28"/>
                <w:highlight w:val="none"/>
                <w:lang w:eastAsia="zh-CN"/>
              </w:rPr>
              <w:t>）</w:t>
            </w:r>
          </w:p>
        </w:tc>
      </w:tr>
      <w:tr w14:paraId="0BB69255">
        <w:tblPrEx>
          <w:tblCellMar>
            <w:top w:w="0" w:type="dxa"/>
            <w:left w:w="108" w:type="dxa"/>
            <w:bottom w:w="0" w:type="dxa"/>
            <w:right w:w="108" w:type="dxa"/>
          </w:tblCellMar>
        </w:tblPrEx>
        <w:trPr>
          <w:trHeight w:val="364" w:hRule="atLeast"/>
          <w:jc w:val="center"/>
        </w:trPr>
        <w:tc>
          <w:tcPr>
            <w:tcW w:w="1694" w:type="dxa"/>
            <w:tcBorders>
              <w:top w:val="single" w:color="auto" w:sz="4" w:space="0"/>
              <w:left w:val="single" w:color="auto" w:sz="4" w:space="0"/>
              <w:bottom w:val="single" w:color="auto" w:sz="4" w:space="0"/>
              <w:right w:val="single" w:color="auto" w:sz="4" w:space="0"/>
            </w:tcBorders>
            <w:vAlign w:val="center"/>
          </w:tcPr>
          <w:p w14:paraId="15EEF2C7">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疫苗生产厂家</w:t>
            </w:r>
          </w:p>
        </w:tc>
        <w:tc>
          <w:tcPr>
            <w:tcW w:w="2643" w:type="dxa"/>
            <w:gridSpan w:val="2"/>
            <w:tcBorders>
              <w:top w:val="single" w:color="auto" w:sz="4" w:space="0"/>
              <w:left w:val="nil"/>
              <w:bottom w:val="single" w:color="auto" w:sz="4" w:space="0"/>
              <w:right w:val="single" w:color="auto" w:sz="4" w:space="0"/>
            </w:tcBorders>
            <w:vAlign w:val="center"/>
          </w:tcPr>
          <w:p w14:paraId="660D515E">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1444" w:type="dxa"/>
            <w:tcBorders>
              <w:top w:val="single" w:color="auto" w:sz="4" w:space="0"/>
              <w:left w:val="nil"/>
              <w:bottom w:val="single" w:color="auto" w:sz="4" w:space="0"/>
              <w:right w:val="single" w:color="auto" w:sz="4" w:space="0"/>
            </w:tcBorders>
            <w:vAlign w:val="center"/>
          </w:tcPr>
          <w:p w14:paraId="4E2C10C6">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疫苗名称</w:t>
            </w:r>
          </w:p>
        </w:tc>
        <w:tc>
          <w:tcPr>
            <w:tcW w:w="4347" w:type="dxa"/>
            <w:gridSpan w:val="3"/>
            <w:tcBorders>
              <w:top w:val="single" w:color="auto" w:sz="4" w:space="0"/>
              <w:left w:val="nil"/>
              <w:bottom w:val="single" w:color="auto" w:sz="4" w:space="0"/>
              <w:right w:val="single" w:color="auto" w:sz="4" w:space="0"/>
            </w:tcBorders>
            <w:vAlign w:val="center"/>
          </w:tcPr>
          <w:p w14:paraId="6269885A">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r>
      <w:tr w14:paraId="4865D6F1">
        <w:tblPrEx>
          <w:tblCellMar>
            <w:top w:w="0" w:type="dxa"/>
            <w:left w:w="108" w:type="dxa"/>
            <w:bottom w:w="0" w:type="dxa"/>
            <w:right w:w="108" w:type="dxa"/>
          </w:tblCellMar>
        </w:tblPrEx>
        <w:trPr>
          <w:trHeight w:val="364" w:hRule="atLeast"/>
          <w:jc w:val="center"/>
        </w:trPr>
        <w:tc>
          <w:tcPr>
            <w:tcW w:w="1694" w:type="dxa"/>
            <w:vMerge w:val="restart"/>
            <w:tcBorders>
              <w:top w:val="nil"/>
              <w:left w:val="single" w:color="auto" w:sz="4" w:space="0"/>
              <w:bottom w:val="single" w:color="auto" w:sz="4" w:space="0"/>
              <w:right w:val="single" w:color="auto" w:sz="4" w:space="0"/>
            </w:tcBorders>
            <w:vAlign w:val="center"/>
          </w:tcPr>
          <w:p w14:paraId="77D04005">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养殖户信息</w:t>
            </w:r>
          </w:p>
        </w:tc>
        <w:tc>
          <w:tcPr>
            <w:tcW w:w="1554" w:type="dxa"/>
            <w:tcBorders>
              <w:top w:val="nil"/>
              <w:left w:val="nil"/>
              <w:bottom w:val="single" w:color="auto" w:sz="4" w:space="0"/>
              <w:right w:val="single" w:color="auto" w:sz="4" w:space="0"/>
            </w:tcBorders>
            <w:vAlign w:val="center"/>
          </w:tcPr>
          <w:p w14:paraId="5F341690">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姓名</w:t>
            </w:r>
          </w:p>
        </w:tc>
        <w:tc>
          <w:tcPr>
            <w:tcW w:w="1089" w:type="dxa"/>
            <w:tcBorders>
              <w:top w:val="nil"/>
              <w:left w:val="nil"/>
              <w:bottom w:val="single" w:color="auto" w:sz="4" w:space="0"/>
              <w:right w:val="single" w:color="auto" w:sz="4" w:space="0"/>
            </w:tcBorders>
            <w:vAlign w:val="center"/>
          </w:tcPr>
          <w:p w14:paraId="72B3CDCC">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1444" w:type="dxa"/>
            <w:tcBorders>
              <w:top w:val="nil"/>
              <w:left w:val="nil"/>
              <w:bottom w:val="single" w:color="auto" w:sz="4" w:space="0"/>
              <w:right w:val="single" w:color="auto" w:sz="4" w:space="0"/>
            </w:tcBorders>
            <w:vAlign w:val="center"/>
          </w:tcPr>
          <w:p w14:paraId="30FE9E90">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身份证号码</w:t>
            </w:r>
          </w:p>
        </w:tc>
        <w:tc>
          <w:tcPr>
            <w:tcW w:w="4347" w:type="dxa"/>
            <w:gridSpan w:val="3"/>
            <w:tcBorders>
              <w:top w:val="single" w:color="auto" w:sz="4" w:space="0"/>
              <w:left w:val="nil"/>
              <w:bottom w:val="single" w:color="auto" w:sz="4" w:space="0"/>
              <w:right w:val="single" w:color="auto" w:sz="4" w:space="0"/>
            </w:tcBorders>
            <w:vAlign w:val="center"/>
          </w:tcPr>
          <w:p w14:paraId="534DB171">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r>
      <w:tr w14:paraId="767AC973">
        <w:tblPrEx>
          <w:tblCellMar>
            <w:top w:w="0" w:type="dxa"/>
            <w:left w:w="108" w:type="dxa"/>
            <w:bottom w:w="0" w:type="dxa"/>
            <w:right w:w="108" w:type="dxa"/>
          </w:tblCellMar>
        </w:tblPrEx>
        <w:trPr>
          <w:trHeight w:val="364" w:hRule="atLeast"/>
          <w:jc w:val="center"/>
        </w:trPr>
        <w:tc>
          <w:tcPr>
            <w:tcW w:w="1694" w:type="dxa"/>
            <w:vMerge w:val="continue"/>
            <w:tcBorders>
              <w:top w:val="nil"/>
              <w:left w:val="single" w:color="auto" w:sz="4" w:space="0"/>
              <w:bottom w:val="single" w:color="auto" w:sz="4" w:space="0"/>
              <w:right w:val="single" w:color="auto" w:sz="4" w:space="0"/>
            </w:tcBorders>
            <w:vAlign w:val="center"/>
          </w:tcPr>
          <w:p w14:paraId="6366E16A">
            <w:pPr>
              <w:widowControl/>
              <w:jc w:val="left"/>
              <w:rPr>
                <w:rFonts w:hint="eastAsia" w:ascii="仿宋" w:hAnsi="仿宋" w:eastAsia="仿宋" w:cs="仿宋"/>
                <w:color w:val="auto"/>
                <w:kern w:val="0"/>
                <w:sz w:val="24"/>
                <w:szCs w:val="24"/>
                <w:highlight w:val="none"/>
              </w:rPr>
            </w:pPr>
          </w:p>
        </w:tc>
        <w:tc>
          <w:tcPr>
            <w:tcW w:w="1554" w:type="dxa"/>
            <w:tcBorders>
              <w:top w:val="nil"/>
              <w:left w:val="nil"/>
              <w:bottom w:val="single" w:color="auto" w:sz="4" w:space="0"/>
              <w:right w:val="single" w:color="auto" w:sz="4" w:space="0"/>
            </w:tcBorders>
            <w:vAlign w:val="center"/>
          </w:tcPr>
          <w:p w14:paraId="4606E7BD">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联系电话</w:t>
            </w:r>
          </w:p>
        </w:tc>
        <w:tc>
          <w:tcPr>
            <w:tcW w:w="1089" w:type="dxa"/>
            <w:tcBorders>
              <w:top w:val="nil"/>
              <w:left w:val="nil"/>
              <w:bottom w:val="single" w:color="auto" w:sz="4" w:space="0"/>
              <w:right w:val="single" w:color="auto" w:sz="4" w:space="0"/>
            </w:tcBorders>
            <w:vAlign w:val="center"/>
          </w:tcPr>
          <w:p w14:paraId="4E6FF997">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1444" w:type="dxa"/>
            <w:tcBorders>
              <w:top w:val="nil"/>
              <w:left w:val="nil"/>
              <w:bottom w:val="single" w:color="auto" w:sz="4" w:space="0"/>
              <w:right w:val="single" w:color="auto" w:sz="4" w:space="0"/>
            </w:tcBorders>
            <w:vAlign w:val="center"/>
          </w:tcPr>
          <w:p w14:paraId="71468206">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地址</w:t>
            </w:r>
          </w:p>
        </w:tc>
        <w:tc>
          <w:tcPr>
            <w:tcW w:w="4347" w:type="dxa"/>
            <w:gridSpan w:val="3"/>
            <w:tcBorders>
              <w:top w:val="single" w:color="auto" w:sz="4" w:space="0"/>
              <w:left w:val="nil"/>
              <w:bottom w:val="single" w:color="auto" w:sz="4" w:space="0"/>
              <w:right w:val="single" w:color="auto" w:sz="4" w:space="0"/>
            </w:tcBorders>
            <w:vAlign w:val="center"/>
          </w:tcPr>
          <w:p w14:paraId="48B8F03C">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r>
      <w:tr w14:paraId="5DA05B85">
        <w:tblPrEx>
          <w:tblCellMar>
            <w:top w:w="0" w:type="dxa"/>
            <w:left w:w="108" w:type="dxa"/>
            <w:bottom w:w="0" w:type="dxa"/>
            <w:right w:w="108" w:type="dxa"/>
          </w:tblCellMar>
        </w:tblPrEx>
        <w:trPr>
          <w:trHeight w:val="364" w:hRule="atLeast"/>
          <w:jc w:val="center"/>
        </w:trPr>
        <w:tc>
          <w:tcPr>
            <w:tcW w:w="1694" w:type="dxa"/>
            <w:vMerge w:val="continue"/>
            <w:tcBorders>
              <w:top w:val="nil"/>
              <w:left w:val="single" w:color="auto" w:sz="4" w:space="0"/>
              <w:bottom w:val="single" w:color="auto" w:sz="4" w:space="0"/>
              <w:right w:val="single" w:color="auto" w:sz="4" w:space="0"/>
            </w:tcBorders>
            <w:vAlign w:val="center"/>
          </w:tcPr>
          <w:p w14:paraId="16848B76">
            <w:pPr>
              <w:widowControl/>
              <w:jc w:val="left"/>
              <w:rPr>
                <w:rFonts w:hint="eastAsia" w:ascii="仿宋" w:hAnsi="仿宋" w:eastAsia="仿宋" w:cs="仿宋"/>
                <w:color w:val="auto"/>
                <w:kern w:val="0"/>
                <w:sz w:val="24"/>
                <w:szCs w:val="24"/>
                <w:highlight w:val="none"/>
              </w:rPr>
            </w:pPr>
          </w:p>
        </w:tc>
        <w:tc>
          <w:tcPr>
            <w:tcW w:w="1554" w:type="dxa"/>
            <w:tcBorders>
              <w:top w:val="nil"/>
              <w:left w:val="nil"/>
              <w:bottom w:val="single" w:color="auto" w:sz="4" w:space="0"/>
              <w:right w:val="single" w:color="auto" w:sz="4" w:space="0"/>
            </w:tcBorders>
            <w:vAlign w:val="center"/>
          </w:tcPr>
          <w:p w14:paraId="66557414">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开户行名称</w:t>
            </w:r>
          </w:p>
        </w:tc>
        <w:tc>
          <w:tcPr>
            <w:tcW w:w="1089" w:type="dxa"/>
            <w:tcBorders>
              <w:top w:val="nil"/>
              <w:left w:val="nil"/>
              <w:bottom w:val="single" w:color="auto" w:sz="4" w:space="0"/>
              <w:right w:val="single" w:color="auto" w:sz="4" w:space="0"/>
            </w:tcBorders>
            <w:vAlign w:val="center"/>
          </w:tcPr>
          <w:p w14:paraId="07558FB2">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1444" w:type="dxa"/>
            <w:tcBorders>
              <w:top w:val="nil"/>
              <w:left w:val="nil"/>
              <w:bottom w:val="single" w:color="auto" w:sz="4" w:space="0"/>
              <w:right w:val="single" w:color="auto" w:sz="4" w:space="0"/>
            </w:tcBorders>
            <w:vAlign w:val="center"/>
          </w:tcPr>
          <w:p w14:paraId="142903D9">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账户名</w:t>
            </w:r>
          </w:p>
        </w:tc>
        <w:tc>
          <w:tcPr>
            <w:tcW w:w="978" w:type="dxa"/>
            <w:tcBorders>
              <w:top w:val="nil"/>
              <w:left w:val="nil"/>
              <w:bottom w:val="single" w:color="auto" w:sz="4" w:space="0"/>
              <w:right w:val="single" w:color="auto" w:sz="4" w:space="0"/>
            </w:tcBorders>
            <w:vAlign w:val="center"/>
          </w:tcPr>
          <w:p w14:paraId="423C5C6D">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1334" w:type="dxa"/>
            <w:tcBorders>
              <w:top w:val="nil"/>
              <w:left w:val="nil"/>
              <w:bottom w:val="single" w:color="auto" w:sz="4" w:space="0"/>
              <w:right w:val="single" w:color="auto" w:sz="4" w:space="0"/>
            </w:tcBorders>
            <w:vAlign w:val="center"/>
          </w:tcPr>
          <w:p w14:paraId="36042050">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卡号</w:t>
            </w:r>
          </w:p>
        </w:tc>
        <w:tc>
          <w:tcPr>
            <w:tcW w:w="2035" w:type="dxa"/>
            <w:tcBorders>
              <w:top w:val="nil"/>
              <w:left w:val="nil"/>
              <w:bottom w:val="single" w:color="auto" w:sz="4" w:space="0"/>
              <w:right w:val="single" w:color="auto" w:sz="4" w:space="0"/>
            </w:tcBorders>
            <w:vAlign w:val="center"/>
          </w:tcPr>
          <w:p w14:paraId="13980148">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r>
      <w:tr w14:paraId="0C46BCF7">
        <w:tblPrEx>
          <w:tblCellMar>
            <w:top w:w="0" w:type="dxa"/>
            <w:left w:w="108" w:type="dxa"/>
            <w:bottom w:w="0" w:type="dxa"/>
            <w:right w:w="108" w:type="dxa"/>
          </w:tblCellMar>
        </w:tblPrEx>
        <w:trPr>
          <w:trHeight w:val="364" w:hRule="atLeast"/>
          <w:jc w:val="center"/>
        </w:trPr>
        <w:tc>
          <w:tcPr>
            <w:tcW w:w="1694" w:type="dxa"/>
            <w:vMerge w:val="restart"/>
            <w:tcBorders>
              <w:top w:val="nil"/>
              <w:left w:val="single" w:color="auto" w:sz="4" w:space="0"/>
              <w:bottom w:val="single" w:color="000000" w:sz="4" w:space="0"/>
              <w:right w:val="single" w:color="auto" w:sz="4" w:space="0"/>
            </w:tcBorders>
            <w:vAlign w:val="center"/>
          </w:tcPr>
          <w:p w14:paraId="3168ADBB">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疫苗注射情况</w:t>
            </w:r>
          </w:p>
        </w:tc>
        <w:tc>
          <w:tcPr>
            <w:tcW w:w="1554" w:type="dxa"/>
            <w:tcBorders>
              <w:top w:val="nil"/>
              <w:left w:val="nil"/>
              <w:bottom w:val="single" w:color="auto" w:sz="4" w:space="0"/>
              <w:right w:val="single" w:color="auto" w:sz="4" w:space="0"/>
            </w:tcBorders>
            <w:vAlign w:val="center"/>
          </w:tcPr>
          <w:p w14:paraId="29528F0C">
            <w:pPr>
              <w:widowControl/>
              <w:ind w:left="-153" w:leftChars="-73"/>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疫苗批号</w:t>
            </w:r>
          </w:p>
        </w:tc>
        <w:tc>
          <w:tcPr>
            <w:tcW w:w="1089" w:type="dxa"/>
            <w:tcBorders>
              <w:top w:val="nil"/>
              <w:left w:val="nil"/>
              <w:bottom w:val="single" w:color="auto" w:sz="4" w:space="0"/>
              <w:right w:val="single" w:color="auto" w:sz="4" w:space="0"/>
            </w:tcBorders>
            <w:vAlign w:val="center"/>
          </w:tcPr>
          <w:p w14:paraId="6F62F433">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1444" w:type="dxa"/>
            <w:tcBorders>
              <w:top w:val="nil"/>
              <w:left w:val="nil"/>
              <w:bottom w:val="single" w:color="auto" w:sz="4" w:space="0"/>
              <w:right w:val="single" w:color="auto" w:sz="4" w:space="0"/>
            </w:tcBorders>
            <w:vAlign w:val="center"/>
          </w:tcPr>
          <w:p w14:paraId="477C3304">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使用剂量</w:t>
            </w:r>
          </w:p>
        </w:tc>
        <w:tc>
          <w:tcPr>
            <w:tcW w:w="978" w:type="dxa"/>
            <w:tcBorders>
              <w:top w:val="nil"/>
              <w:left w:val="nil"/>
              <w:bottom w:val="single" w:color="auto" w:sz="4" w:space="0"/>
              <w:right w:val="single" w:color="auto" w:sz="4" w:space="0"/>
            </w:tcBorders>
            <w:vAlign w:val="center"/>
          </w:tcPr>
          <w:p w14:paraId="02F51DCD">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1334" w:type="dxa"/>
            <w:tcBorders>
              <w:top w:val="nil"/>
              <w:left w:val="nil"/>
              <w:bottom w:val="single" w:color="auto" w:sz="4" w:space="0"/>
              <w:right w:val="single" w:color="auto" w:sz="4" w:space="0"/>
            </w:tcBorders>
            <w:vAlign w:val="center"/>
          </w:tcPr>
          <w:p w14:paraId="2F653E0A">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注射部位</w:t>
            </w:r>
          </w:p>
        </w:tc>
        <w:tc>
          <w:tcPr>
            <w:tcW w:w="2035" w:type="dxa"/>
            <w:tcBorders>
              <w:top w:val="nil"/>
              <w:left w:val="nil"/>
              <w:bottom w:val="single" w:color="auto" w:sz="4" w:space="0"/>
              <w:right w:val="single" w:color="auto" w:sz="4" w:space="0"/>
            </w:tcBorders>
            <w:vAlign w:val="center"/>
          </w:tcPr>
          <w:p w14:paraId="73D52273">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r>
      <w:tr w14:paraId="08B9634C">
        <w:tblPrEx>
          <w:tblCellMar>
            <w:top w:w="0" w:type="dxa"/>
            <w:left w:w="108" w:type="dxa"/>
            <w:bottom w:w="0" w:type="dxa"/>
            <w:right w:w="108" w:type="dxa"/>
          </w:tblCellMar>
        </w:tblPrEx>
        <w:trPr>
          <w:trHeight w:val="364" w:hRule="atLeast"/>
          <w:jc w:val="center"/>
        </w:trPr>
        <w:tc>
          <w:tcPr>
            <w:tcW w:w="1694" w:type="dxa"/>
            <w:vMerge w:val="continue"/>
            <w:tcBorders>
              <w:top w:val="nil"/>
              <w:left w:val="single" w:color="auto" w:sz="4" w:space="0"/>
              <w:bottom w:val="single" w:color="000000" w:sz="4" w:space="0"/>
              <w:right w:val="single" w:color="auto" w:sz="4" w:space="0"/>
            </w:tcBorders>
            <w:vAlign w:val="center"/>
          </w:tcPr>
          <w:p w14:paraId="7EC5AF4C">
            <w:pPr>
              <w:widowControl/>
              <w:jc w:val="left"/>
              <w:rPr>
                <w:rFonts w:hint="eastAsia" w:ascii="仿宋" w:hAnsi="仿宋" w:eastAsia="仿宋" w:cs="仿宋"/>
                <w:color w:val="auto"/>
                <w:kern w:val="0"/>
                <w:sz w:val="24"/>
                <w:szCs w:val="24"/>
                <w:highlight w:val="none"/>
              </w:rPr>
            </w:pPr>
          </w:p>
        </w:tc>
        <w:tc>
          <w:tcPr>
            <w:tcW w:w="1554" w:type="dxa"/>
            <w:tcBorders>
              <w:top w:val="nil"/>
              <w:left w:val="nil"/>
              <w:bottom w:val="single" w:color="auto" w:sz="4" w:space="0"/>
              <w:right w:val="single" w:color="auto" w:sz="4" w:space="0"/>
            </w:tcBorders>
            <w:vAlign w:val="center"/>
          </w:tcPr>
          <w:p w14:paraId="65B52ED5">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动物种类</w:t>
            </w:r>
          </w:p>
        </w:tc>
        <w:tc>
          <w:tcPr>
            <w:tcW w:w="1089" w:type="dxa"/>
            <w:tcBorders>
              <w:top w:val="nil"/>
              <w:left w:val="nil"/>
              <w:bottom w:val="single" w:color="auto" w:sz="4" w:space="0"/>
              <w:right w:val="single" w:color="auto" w:sz="4" w:space="0"/>
            </w:tcBorders>
            <w:vAlign w:val="center"/>
          </w:tcPr>
          <w:p w14:paraId="047A13EF">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1444" w:type="dxa"/>
            <w:tcBorders>
              <w:top w:val="nil"/>
              <w:left w:val="nil"/>
              <w:bottom w:val="single" w:color="auto" w:sz="4" w:space="0"/>
              <w:right w:val="single" w:color="auto" w:sz="4" w:space="0"/>
            </w:tcBorders>
            <w:vAlign w:val="center"/>
          </w:tcPr>
          <w:p w14:paraId="15DA4EE3">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发生副反应数量及时间</w:t>
            </w:r>
          </w:p>
        </w:tc>
        <w:tc>
          <w:tcPr>
            <w:tcW w:w="4347" w:type="dxa"/>
            <w:gridSpan w:val="3"/>
            <w:tcBorders>
              <w:top w:val="single" w:color="auto" w:sz="4" w:space="0"/>
              <w:left w:val="nil"/>
              <w:bottom w:val="single" w:color="auto" w:sz="4" w:space="0"/>
              <w:right w:val="single" w:color="000000" w:sz="4" w:space="0"/>
            </w:tcBorders>
            <w:vAlign w:val="center"/>
          </w:tcPr>
          <w:p w14:paraId="724DE174">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r>
      <w:tr w14:paraId="16E36242">
        <w:tblPrEx>
          <w:tblCellMar>
            <w:top w:w="0" w:type="dxa"/>
            <w:left w:w="108" w:type="dxa"/>
            <w:bottom w:w="0" w:type="dxa"/>
            <w:right w:w="108" w:type="dxa"/>
          </w:tblCellMar>
        </w:tblPrEx>
        <w:trPr>
          <w:trHeight w:val="364" w:hRule="atLeast"/>
          <w:jc w:val="center"/>
        </w:trPr>
        <w:tc>
          <w:tcPr>
            <w:tcW w:w="1694" w:type="dxa"/>
            <w:vMerge w:val="continue"/>
            <w:tcBorders>
              <w:top w:val="nil"/>
              <w:left w:val="single" w:color="auto" w:sz="4" w:space="0"/>
              <w:bottom w:val="single" w:color="000000" w:sz="4" w:space="0"/>
              <w:right w:val="single" w:color="auto" w:sz="4" w:space="0"/>
            </w:tcBorders>
            <w:vAlign w:val="center"/>
          </w:tcPr>
          <w:p w14:paraId="48A8C4DF">
            <w:pPr>
              <w:widowControl/>
              <w:jc w:val="left"/>
              <w:rPr>
                <w:rFonts w:hint="eastAsia" w:ascii="仿宋" w:hAnsi="仿宋" w:eastAsia="仿宋" w:cs="仿宋"/>
                <w:color w:val="auto"/>
                <w:kern w:val="0"/>
                <w:sz w:val="24"/>
                <w:szCs w:val="24"/>
                <w:highlight w:val="none"/>
              </w:rPr>
            </w:pPr>
          </w:p>
        </w:tc>
        <w:tc>
          <w:tcPr>
            <w:tcW w:w="1554" w:type="dxa"/>
            <w:tcBorders>
              <w:top w:val="nil"/>
              <w:left w:val="nil"/>
              <w:bottom w:val="single" w:color="auto" w:sz="4" w:space="0"/>
              <w:right w:val="single" w:color="auto" w:sz="4" w:space="0"/>
            </w:tcBorders>
            <w:vAlign w:val="center"/>
          </w:tcPr>
          <w:p w14:paraId="26F7C825">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免疫        时间</w:t>
            </w:r>
          </w:p>
        </w:tc>
        <w:tc>
          <w:tcPr>
            <w:tcW w:w="1089" w:type="dxa"/>
            <w:tcBorders>
              <w:top w:val="nil"/>
              <w:left w:val="nil"/>
              <w:bottom w:val="single" w:color="auto" w:sz="4" w:space="0"/>
              <w:right w:val="single" w:color="auto" w:sz="4" w:space="0"/>
            </w:tcBorders>
            <w:vAlign w:val="center"/>
          </w:tcPr>
          <w:p w14:paraId="636B8FD3">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1444" w:type="dxa"/>
            <w:tcBorders>
              <w:top w:val="nil"/>
              <w:left w:val="nil"/>
              <w:bottom w:val="single" w:color="auto" w:sz="4" w:space="0"/>
              <w:right w:val="single" w:color="auto" w:sz="4" w:space="0"/>
            </w:tcBorders>
            <w:vAlign w:val="center"/>
          </w:tcPr>
          <w:p w14:paraId="6BB09007">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死亡数量及时间</w:t>
            </w:r>
          </w:p>
        </w:tc>
        <w:tc>
          <w:tcPr>
            <w:tcW w:w="4347" w:type="dxa"/>
            <w:gridSpan w:val="3"/>
            <w:tcBorders>
              <w:top w:val="single" w:color="auto" w:sz="4" w:space="0"/>
              <w:left w:val="nil"/>
              <w:bottom w:val="single" w:color="auto" w:sz="4" w:space="0"/>
              <w:right w:val="single" w:color="000000" w:sz="4" w:space="0"/>
            </w:tcBorders>
            <w:vAlign w:val="center"/>
          </w:tcPr>
          <w:p w14:paraId="5FABCFAF">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r>
      <w:tr w14:paraId="7A867FA1">
        <w:tblPrEx>
          <w:tblCellMar>
            <w:top w:w="0" w:type="dxa"/>
            <w:left w:w="108" w:type="dxa"/>
            <w:bottom w:w="0" w:type="dxa"/>
            <w:right w:w="108" w:type="dxa"/>
          </w:tblCellMar>
        </w:tblPrEx>
        <w:trPr>
          <w:trHeight w:val="364" w:hRule="atLeast"/>
          <w:jc w:val="center"/>
        </w:trPr>
        <w:tc>
          <w:tcPr>
            <w:tcW w:w="1694" w:type="dxa"/>
            <w:vMerge w:val="continue"/>
            <w:tcBorders>
              <w:top w:val="nil"/>
              <w:left w:val="single" w:color="auto" w:sz="4" w:space="0"/>
              <w:bottom w:val="single" w:color="000000" w:sz="4" w:space="0"/>
              <w:right w:val="single" w:color="auto" w:sz="4" w:space="0"/>
            </w:tcBorders>
            <w:vAlign w:val="center"/>
          </w:tcPr>
          <w:p w14:paraId="726C2E99">
            <w:pPr>
              <w:widowControl/>
              <w:jc w:val="left"/>
              <w:rPr>
                <w:rFonts w:hint="eastAsia" w:ascii="仿宋" w:hAnsi="仿宋" w:eastAsia="仿宋" w:cs="仿宋"/>
                <w:color w:val="auto"/>
                <w:kern w:val="0"/>
                <w:sz w:val="24"/>
                <w:szCs w:val="24"/>
                <w:highlight w:val="none"/>
              </w:rPr>
            </w:pPr>
          </w:p>
        </w:tc>
        <w:tc>
          <w:tcPr>
            <w:tcW w:w="1554" w:type="dxa"/>
            <w:tcBorders>
              <w:top w:val="nil"/>
              <w:left w:val="nil"/>
              <w:bottom w:val="single" w:color="auto" w:sz="4" w:space="0"/>
              <w:right w:val="single" w:color="auto" w:sz="4" w:space="0"/>
            </w:tcBorders>
            <w:vAlign w:val="center"/>
          </w:tcPr>
          <w:p w14:paraId="0F26DCC8">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村防疫员       签字</w:t>
            </w:r>
          </w:p>
        </w:tc>
        <w:tc>
          <w:tcPr>
            <w:tcW w:w="6880" w:type="dxa"/>
            <w:gridSpan w:val="5"/>
            <w:tcBorders>
              <w:top w:val="single" w:color="auto" w:sz="4" w:space="0"/>
              <w:left w:val="nil"/>
              <w:bottom w:val="single" w:color="auto" w:sz="4" w:space="0"/>
              <w:right w:val="single" w:color="000000" w:sz="4" w:space="0"/>
            </w:tcBorders>
            <w:vAlign w:val="center"/>
          </w:tcPr>
          <w:p w14:paraId="2652B080">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年    月    日</w:t>
            </w:r>
          </w:p>
        </w:tc>
      </w:tr>
      <w:tr w14:paraId="04000981">
        <w:tblPrEx>
          <w:tblCellMar>
            <w:top w:w="0" w:type="dxa"/>
            <w:left w:w="108" w:type="dxa"/>
            <w:bottom w:w="0" w:type="dxa"/>
            <w:right w:w="108" w:type="dxa"/>
          </w:tblCellMar>
        </w:tblPrEx>
        <w:trPr>
          <w:trHeight w:val="364" w:hRule="atLeast"/>
          <w:jc w:val="center"/>
        </w:trPr>
        <w:tc>
          <w:tcPr>
            <w:tcW w:w="1694" w:type="dxa"/>
            <w:vMerge w:val="restart"/>
            <w:tcBorders>
              <w:top w:val="nil"/>
              <w:left w:val="single" w:color="auto" w:sz="4" w:space="0"/>
              <w:bottom w:val="single" w:color="000000" w:sz="4" w:space="0"/>
              <w:right w:val="single" w:color="auto" w:sz="4" w:space="0"/>
            </w:tcBorders>
            <w:vAlign w:val="center"/>
          </w:tcPr>
          <w:p w14:paraId="1420A779">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初步核定赔偿情况</w:t>
            </w:r>
          </w:p>
        </w:tc>
        <w:tc>
          <w:tcPr>
            <w:tcW w:w="1554" w:type="dxa"/>
            <w:tcBorders>
              <w:top w:val="nil"/>
              <w:left w:val="nil"/>
              <w:bottom w:val="single" w:color="auto" w:sz="4" w:space="0"/>
              <w:right w:val="single" w:color="auto" w:sz="4" w:space="0"/>
            </w:tcBorders>
            <w:vAlign w:val="center"/>
          </w:tcPr>
          <w:p w14:paraId="6D19866E">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动物年龄/月龄/日龄</w:t>
            </w:r>
          </w:p>
        </w:tc>
        <w:tc>
          <w:tcPr>
            <w:tcW w:w="1089" w:type="dxa"/>
            <w:tcBorders>
              <w:top w:val="nil"/>
              <w:left w:val="nil"/>
              <w:bottom w:val="single" w:color="auto" w:sz="4" w:space="0"/>
              <w:right w:val="single" w:color="auto" w:sz="4" w:space="0"/>
            </w:tcBorders>
            <w:vAlign w:val="center"/>
          </w:tcPr>
          <w:p w14:paraId="7FCD90CC">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1444" w:type="dxa"/>
            <w:tcBorders>
              <w:top w:val="nil"/>
              <w:left w:val="nil"/>
              <w:bottom w:val="single" w:color="auto" w:sz="4" w:space="0"/>
              <w:right w:val="single" w:color="auto" w:sz="4" w:space="0"/>
            </w:tcBorders>
            <w:vAlign w:val="center"/>
          </w:tcPr>
          <w:p w14:paraId="67A77C54">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体重</w:t>
            </w:r>
          </w:p>
        </w:tc>
        <w:tc>
          <w:tcPr>
            <w:tcW w:w="4347" w:type="dxa"/>
            <w:gridSpan w:val="3"/>
            <w:tcBorders>
              <w:top w:val="single" w:color="auto" w:sz="4" w:space="0"/>
              <w:left w:val="nil"/>
              <w:bottom w:val="single" w:color="auto" w:sz="4" w:space="0"/>
              <w:right w:val="single" w:color="auto" w:sz="4" w:space="0"/>
            </w:tcBorders>
            <w:vAlign w:val="center"/>
          </w:tcPr>
          <w:p w14:paraId="71293735">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r>
      <w:tr w14:paraId="73F6FA59">
        <w:tblPrEx>
          <w:tblCellMar>
            <w:top w:w="0" w:type="dxa"/>
            <w:left w:w="108" w:type="dxa"/>
            <w:bottom w:w="0" w:type="dxa"/>
            <w:right w:w="108" w:type="dxa"/>
          </w:tblCellMar>
        </w:tblPrEx>
        <w:trPr>
          <w:trHeight w:val="462" w:hRule="atLeast"/>
          <w:jc w:val="center"/>
        </w:trPr>
        <w:tc>
          <w:tcPr>
            <w:tcW w:w="1694" w:type="dxa"/>
            <w:vMerge w:val="continue"/>
            <w:tcBorders>
              <w:top w:val="nil"/>
              <w:left w:val="single" w:color="auto" w:sz="4" w:space="0"/>
              <w:bottom w:val="single" w:color="000000" w:sz="4" w:space="0"/>
              <w:right w:val="single" w:color="auto" w:sz="4" w:space="0"/>
            </w:tcBorders>
            <w:vAlign w:val="center"/>
          </w:tcPr>
          <w:p w14:paraId="1B6D18E4">
            <w:pPr>
              <w:widowControl/>
              <w:jc w:val="left"/>
              <w:rPr>
                <w:rFonts w:hint="eastAsia" w:ascii="仿宋" w:hAnsi="仿宋" w:eastAsia="仿宋" w:cs="仿宋"/>
                <w:color w:val="auto"/>
                <w:kern w:val="0"/>
                <w:sz w:val="24"/>
                <w:szCs w:val="24"/>
                <w:highlight w:val="none"/>
              </w:rPr>
            </w:pPr>
          </w:p>
        </w:tc>
        <w:tc>
          <w:tcPr>
            <w:tcW w:w="1554" w:type="dxa"/>
            <w:tcBorders>
              <w:top w:val="nil"/>
              <w:left w:val="nil"/>
              <w:bottom w:val="nil"/>
              <w:right w:val="single" w:color="auto" w:sz="4" w:space="0"/>
            </w:tcBorders>
            <w:vAlign w:val="center"/>
          </w:tcPr>
          <w:p w14:paraId="24223A26">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免疫副反应治疗费（元）</w:t>
            </w:r>
          </w:p>
        </w:tc>
        <w:tc>
          <w:tcPr>
            <w:tcW w:w="1089" w:type="dxa"/>
            <w:tcBorders>
              <w:top w:val="nil"/>
              <w:left w:val="nil"/>
              <w:bottom w:val="nil"/>
              <w:right w:val="single" w:color="auto" w:sz="4" w:space="0"/>
            </w:tcBorders>
            <w:vAlign w:val="center"/>
          </w:tcPr>
          <w:p w14:paraId="4D41C345">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1444" w:type="dxa"/>
            <w:tcBorders>
              <w:top w:val="nil"/>
              <w:left w:val="nil"/>
              <w:bottom w:val="nil"/>
              <w:right w:val="single" w:color="auto" w:sz="4" w:space="0"/>
            </w:tcBorders>
            <w:vAlign w:val="center"/>
          </w:tcPr>
          <w:p w14:paraId="50A1AF09">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死亡赔偿费（元）</w:t>
            </w:r>
          </w:p>
        </w:tc>
        <w:tc>
          <w:tcPr>
            <w:tcW w:w="978" w:type="dxa"/>
            <w:tcBorders>
              <w:top w:val="nil"/>
              <w:left w:val="nil"/>
              <w:bottom w:val="nil"/>
              <w:right w:val="single" w:color="auto" w:sz="4" w:space="0"/>
            </w:tcBorders>
            <w:vAlign w:val="center"/>
          </w:tcPr>
          <w:p w14:paraId="7948834B">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1334" w:type="dxa"/>
            <w:tcBorders>
              <w:top w:val="nil"/>
              <w:left w:val="nil"/>
              <w:bottom w:val="nil"/>
              <w:right w:val="single" w:color="auto" w:sz="4" w:space="0"/>
            </w:tcBorders>
            <w:vAlign w:val="center"/>
          </w:tcPr>
          <w:p w14:paraId="3BB38E73">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合计（元）</w:t>
            </w:r>
          </w:p>
        </w:tc>
        <w:tc>
          <w:tcPr>
            <w:tcW w:w="2035" w:type="dxa"/>
            <w:tcBorders>
              <w:top w:val="nil"/>
              <w:left w:val="nil"/>
              <w:bottom w:val="nil"/>
              <w:right w:val="single" w:color="auto" w:sz="4" w:space="0"/>
            </w:tcBorders>
            <w:vAlign w:val="center"/>
          </w:tcPr>
          <w:p w14:paraId="3EFE51CD">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r>
      <w:tr w14:paraId="7B4A7ED8">
        <w:tblPrEx>
          <w:tblCellMar>
            <w:top w:w="0" w:type="dxa"/>
            <w:left w:w="108" w:type="dxa"/>
            <w:bottom w:w="0" w:type="dxa"/>
            <w:right w:w="108" w:type="dxa"/>
          </w:tblCellMar>
        </w:tblPrEx>
        <w:trPr>
          <w:trHeight w:val="200" w:hRule="atLeast"/>
          <w:jc w:val="center"/>
        </w:trPr>
        <w:tc>
          <w:tcPr>
            <w:tcW w:w="1694" w:type="dxa"/>
            <w:vMerge w:val="restart"/>
            <w:tcBorders>
              <w:top w:val="nil"/>
              <w:left w:val="single" w:color="auto" w:sz="4" w:space="0"/>
              <w:bottom w:val="single" w:color="000000" w:sz="4" w:space="0"/>
              <w:right w:val="nil"/>
            </w:tcBorders>
            <w:vAlign w:val="center"/>
          </w:tcPr>
          <w:p w14:paraId="6A3BDC1F">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副反应症状及治疗情况（对应打“√”）</w:t>
            </w:r>
          </w:p>
        </w:tc>
        <w:tc>
          <w:tcPr>
            <w:tcW w:w="8434" w:type="dxa"/>
            <w:gridSpan w:val="6"/>
            <w:tcBorders>
              <w:top w:val="single" w:color="auto" w:sz="4" w:space="0"/>
              <w:left w:val="single" w:color="auto" w:sz="4" w:space="0"/>
              <w:bottom w:val="nil"/>
              <w:right w:val="single" w:color="000000" w:sz="4" w:space="0"/>
            </w:tcBorders>
            <w:vAlign w:val="center"/>
          </w:tcPr>
          <w:p w14:paraId="394EAEFF">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□注射部位肿胀，出现“红、肿、热、痛”症状； □患畜不能扭头和低头采食；</w:t>
            </w:r>
          </w:p>
        </w:tc>
      </w:tr>
      <w:tr w14:paraId="5139E92D">
        <w:tblPrEx>
          <w:tblCellMar>
            <w:top w:w="0" w:type="dxa"/>
            <w:left w:w="108" w:type="dxa"/>
            <w:bottom w:w="0" w:type="dxa"/>
            <w:right w:w="108" w:type="dxa"/>
          </w:tblCellMar>
        </w:tblPrEx>
        <w:trPr>
          <w:trHeight w:val="200" w:hRule="atLeast"/>
          <w:jc w:val="center"/>
        </w:trPr>
        <w:tc>
          <w:tcPr>
            <w:tcW w:w="1694" w:type="dxa"/>
            <w:vMerge w:val="continue"/>
            <w:tcBorders>
              <w:top w:val="nil"/>
              <w:left w:val="single" w:color="auto" w:sz="4" w:space="0"/>
              <w:bottom w:val="single" w:color="000000" w:sz="4" w:space="0"/>
              <w:right w:val="nil"/>
            </w:tcBorders>
            <w:vAlign w:val="center"/>
          </w:tcPr>
          <w:p w14:paraId="61F9A7EA">
            <w:pPr>
              <w:widowControl/>
              <w:jc w:val="left"/>
              <w:rPr>
                <w:rFonts w:hint="eastAsia" w:ascii="仿宋" w:hAnsi="仿宋" w:eastAsia="仿宋" w:cs="仿宋"/>
                <w:color w:val="auto"/>
                <w:kern w:val="0"/>
                <w:sz w:val="24"/>
                <w:szCs w:val="24"/>
                <w:highlight w:val="none"/>
              </w:rPr>
            </w:pPr>
          </w:p>
        </w:tc>
        <w:tc>
          <w:tcPr>
            <w:tcW w:w="8434" w:type="dxa"/>
            <w:gridSpan w:val="6"/>
            <w:tcBorders>
              <w:top w:val="nil"/>
              <w:left w:val="single" w:color="auto" w:sz="4" w:space="0"/>
              <w:bottom w:val="nil"/>
              <w:right w:val="single" w:color="000000" w:sz="4" w:space="0"/>
            </w:tcBorders>
            <w:vAlign w:val="center"/>
          </w:tcPr>
          <w:p w14:paraId="145AB953">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□体温升高；□食欲下降；□精神沉郁；□行动迟缓；□呼吸加快；□反刍停止；</w:t>
            </w:r>
          </w:p>
        </w:tc>
      </w:tr>
      <w:tr w14:paraId="74C2E7EE">
        <w:tblPrEx>
          <w:tblCellMar>
            <w:top w:w="0" w:type="dxa"/>
            <w:left w:w="108" w:type="dxa"/>
            <w:bottom w:w="0" w:type="dxa"/>
            <w:right w:w="108" w:type="dxa"/>
          </w:tblCellMar>
        </w:tblPrEx>
        <w:trPr>
          <w:trHeight w:val="200" w:hRule="atLeast"/>
          <w:jc w:val="center"/>
        </w:trPr>
        <w:tc>
          <w:tcPr>
            <w:tcW w:w="1694" w:type="dxa"/>
            <w:vMerge w:val="continue"/>
            <w:tcBorders>
              <w:top w:val="nil"/>
              <w:left w:val="single" w:color="auto" w:sz="4" w:space="0"/>
              <w:bottom w:val="single" w:color="000000" w:sz="4" w:space="0"/>
              <w:right w:val="nil"/>
            </w:tcBorders>
            <w:vAlign w:val="center"/>
          </w:tcPr>
          <w:p w14:paraId="5FBE7897">
            <w:pPr>
              <w:widowControl/>
              <w:jc w:val="left"/>
              <w:rPr>
                <w:rFonts w:hint="eastAsia" w:ascii="仿宋" w:hAnsi="仿宋" w:eastAsia="仿宋" w:cs="仿宋"/>
                <w:color w:val="auto"/>
                <w:kern w:val="0"/>
                <w:sz w:val="24"/>
                <w:szCs w:val="24"/>
                <w:highlight w:val="none"/>
              </w:rPr>
            </w:pPr>
          </w:p>
        </w:tc>
        <w:tc>
          <w:tcPr>
            <w:tcW w:w="8434" w:type="dxa"/>
            <w:gridSpan w:val="6"/>
            <w:tcBorders>
              <w:top w:val="nil"/>
              <w:left w:val="single" w:color="auto" w:sz="4" w:space="0"/>
              <w:bottom w:val="nil"/>
              <w:right w:val="single" w:color="000000" w:sz="4" w:space="0"/>
            </w:tcBorders>
            <w:vAlign w:val="center"/>
          </w:tcPr>
          <w:p w14:paraId="0FDAD5CE">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□出现步态蹒跚如喝醉酒样；□呼吸急促，站立不稳，肌肉震颤；□口吐白沫；</w:t>
            </w:r>
          </w:p>
        </w:tc>
      </w:tr>
      <w:tr w14:paraId="00CBBAFC">
        <w:tblPrEx>
          <w:tblCellMar>
            <w:top w:w="0" w:type="dxa"/>
            <w:left w:w="108" w:type="dxa"/>
            <w:bottom w:w="0" w:type="dxa"/>
            <w:right w:w="108" w:type="dxa"/>
          </w:tblCellMar>
        </w:tblPrEx>
        <w:trPr>
          <w:trHeight w:val="200" w:hRule="atLeast"/>
          <w:jc w:val="center"/>
        </w:trPr>
        <w:tc>
          <w:tcPr>
            <w:tcW w:w="1694" w:type="dxa"/>
            <w:vMerge w:val="continue"/>
            <w:tcBorders>
              <w:top w:val="nil"/>
              <w:left w:val="single" w:color="auto" w:sz="4" w:space="0"/>
              <w:bottom w:val="single" w:color="000000" w:sz="4" w:space="0"/>
              <w:right w:val="nil"/>
            </w:tcBorders>
            <w:vAlign w:val="center"/>
          </w:tcPr>
          <w:p w14:paraId="3F684C84">
            <w:pPr>
              <w:widowControl/>
              <w:jc w:val="left"/>
              <w:rPr>
                <w:rFonts w:hint="eastAsia" w:ascii="仿宋" w:hAnsi="仿宋" w:eastAsia="仿宋" w:cs="仿宋"/>
                <w:color w:val="auto"/>
                <w:kern w:val="0"/>
                <w:sz w:val="24"/>
                <w:szCs w:val="24"/>
                <w:highlight w:val="none"/>
              </w:rPr>
            </w:pPr>
          </w:p>
        </w:tc>
        <w:tc>
          <w:tcPr>
            <w:tcW w:w="8434" w:type="dxa"/>
            <w:gridSpan w:val="6"/>
            <w:tcBorders>
              <w:top w:val="nil"/>
              <w:left w:val="single" w:color="auto" w:sz="4" w:space="0"/>
              <w:bottom w:val="nil"/>
              <w:right w:val="single" w:color="000000" w:sz="4" w:space="0"/>
            </w:tcBorders>
            <w:vAlign w:val="center"/>
          </w:tcPr>
          <w:p w14:paraId="072C070B">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□倒地，角弓反张，全身抽搐，四肢做游泳运动；□皮肤充血潮红，继而发紫；</w:t>
            </w:r>
          </w:p>
        </w:tc>
      </w:tr>
      <w:tr w14:paraId="08E50A78">
        <w:tblPrEx>
          <w:tblCellMar>
            <w:top w:w="0" w:type="dxa"/>
            <w:left w:w="108" w:type="dxa"/>
            <w:bottom w:w="0" w:type="dxa"/>
            <w:right w:w="108" w:type="dxa"/>
          </w:tblCellMar>
        </w:tblPrEx>
        <w:trPr>
          <w:trHeight w:val="200" w:hRule="atLeast"/>
          <w:jc w:val="center"/>
        </w:trPr>
        <w:tc>
          <w:tcPr>
            <w:tcW w:w="1694" w:type="dxa"/>
            <w:vMerge w:val="continue"/>
            <w:tcBorders>
              <w:top w:val="nil"/>
              <w:left w:val="single" w:color="auto" w:sz="4" w:space="0"/>
              <w:bottom w:val="single" w:color="000000" w:sz="4" w:space="0"/>
              <w:right w:val="nil"/>
            </w:tcBorders>
            <w:vAlign w:val="center"/>
          </w:tcPr>
          <w:p w14:paraId="6D122C4B">
            <w:pPr>
              <w:widowControl/>
              <w:jc w:val="left"/>
              <w:rPr>
                <w:rFonts w:hint="eastAsia" w:ascii="仿宋" w:hAnsi="仿宋" w:eastAsia="仿宋" w:cs="仿宋"/>
                <w:color w:val="auto"/>
                <w:kern w:val="0"/>
                <w:sz w:val="24"/>
                <w:szCs w:val="24"/>
                <w:highlight w:val="none"/>
              </w:rPr>
            </w:pPr>
          </w:p>
        </w:tc>
        <w:tc>
          <w:tcPr>
            <w:tcW w:w="8434" w:type="dxa"/>
            <w:gridSpan w:val="6"/>
            <w:tcBorders>
              <w:top w:val="nil"/>
              <w:left w:val="single" w:color="auto" w:sz="4" w:space="0"/>
              <w:bottom w:val="nil"/>
              <w:right w:val="single" w:color="000000" w:sz="4" w:space="0"/>
            </w:tcBorders>
            <w:vAlign w:val="center"/>
          </w:tcPr>
          <w:p w14:paraId="5AD04150">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□可视黏膜发绀； □粪尿失禁；□治愈；□治疗无效死亡；□突然死亡。</w:t>
            </w:r>
          </w:p>
        </w:tc>
      </w:tr>
      <w:tr w14:paraId="15617494">
        <w:tblPrEx>
          <w:tblCellMar>
            <w:top w:w="0" w:type="dxa"/>
            <w:left w:w="108" w:type="dxa"/>
            <w:bottom w:w="0" w:type="dxa"/>
            <w:right w:w="108" w:type="dxa"/>
          </w:tblCellMar>
        </w:tblPrEx>
        <w:trPr>
          <w:trHeight w:val="364" w:hRule="atLeast"/>
          <w:jc w:val="center"/>
        </w:trPr>
        <w:tc>
          <w:tcPr>
            <w:tcW w:w="1694" w:type="dxa"/>
            <w:vMerge w:val="continue"/>
            <w:tcBorders>
              <w:top w:val="nil"/>
              <w:left w:val="single" w:color="auto" w:sz="4" w:space="0"/>
              <w:bottom w:val="single" w:color="000000" w:sz="4" w:space="0"/>
              <w:right w:val="nil"/>
            </w:tcBorders>
            <w:vAlign w:val="center"/>
          </w:tcPr>
          <w:p w14:paraId="0D2CD4D7">
            <w:pPr>
              <w:widowControl/>
              <w:jc w:val="left"/>
              <w:rPr>
                <w:rFonts w:hint="eastAsia" w:ascii="仿宋" w:hAnsi="仿宋" w:eastAsia="仿宋" w:cs="仿宋"/>
                <w:color w:val="auto"/>
                <w:kern w:val="0"/>
                <w:sz w:val="24"/>
                <w:szCs w:val="24"/>
                <w:highlight w:val="none"/>
              </w:rPr>
            </w:pPr>
          </w:p>
        </w:tc>
        <w:tc>
          <w:tcPr>
            <w:tcW w:w="8434" w:type="dxa"/>
            <w:gridSpan w:val="6"/>
            <w:tcBorders>
              <w:top w:val="nil"/>
              <w:left w:val="single" w:color="auto" w:sz="4" w:space="0"/>
              <w:bottom w:val="single" w:color="auto" w:sz="4" w:space="0"/>
              <w:right w:val="single" w:color="000000" w:sz="4" w:space="0"/>
            </w:tcBorders>
            <w:vAlign w:val="center"/>
          </w:tcPr>
          <w:p w14:paraId="17926DD0">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参加检查人员签字（2人以上）：                            年    月   日</w:t>
            </w:r>
          </w:p>
        </w:tc>
      </w:tr>
      <w:tr w14:paraId="0434BC98">
        <w:tblPrEx>
          <w:tblCellMar>
            <w:top w:w="0" w:type="dxa"/>
            <w:left w:w="108" w:type="dxa"/>
            <w:bottom w:w="0" w:type="dxa"/>
            <w:right w:w="108" w:type="dxa"/>
          </w:tblCellMar>
        </w:tblPrEx>
        <w:trPr>
          <w:trHeight w:val="483" w:hRule="atLeast"/>
          <w:jc w:val="center"/>
        </w:trPr>
        <w:tc>
          <w:tcPr>
            <w:tcW w:w="1694" w:type="dxa"/>
            <w:tcBorders>
              <w:top w:val="nil"/>
              <w:left w:val="single" w:color="auto" w:sz="4" w:space="0"/>
              <w:bottom w:val="single" w:color="auto" w:sz="4" w:space="0"/>
              <w:right w:val="single" w:color="auto" w:sz="4" w:space="0"/>
            </w:tcBorders>
            <w:vAlign w:val="center"/>
          </w:tcPr>
          <w:p w14:paraId="42C42F4A">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养殖户签字认可</w:t>
            </w:r>
          </w:p>
        </w:tc>
        <w:tc>
          <w:tcPr>
            <w:tcW w:w="8434" w:type="dxa"/>
            <w:gridSpan w:val="6"/>
            <w:tcBorders>
              <w:top w:val="nil"/>
              <w:left w:val="nil"/>
              <w:bottom w:val="nil"/>
              <w:right w:val="single" w:color="000000" w:sz="4" w:space="0"/>
            </w:tcBorders>
            <w:vAlign w:val="center"/>
          </w:tcPr>
          <w:p w14:paraId="4464A505">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签字后按手印                                                         年    月   日</w:t>
            </w:r>
          </w:p>
        </w:tc>
      </w:tr>
      <w:tr w14:paraId="25ACD01A">
        <w:tblPrEx>
          <w:tblCellMar>
            <w:top w:w="0" w:type="dxa"/>
            <w:left w:w="108" w:type="dxa"/>
            <w:bottom w:w="0" w:type="dxa"/>
            <w:right w:w="108" w:type="dxa"/>
          </w:tblCellMar>
        </w:tblPrEx>
        <w:trPr>
          <w:trHeight w:val="464" w:hRule="atLeast"/>
          <w:jc w:val="center"/>
        </w:trPr>
        <w:tc>
          <w:tcPr>
            <w:tcW w:w="1694" w:type="dxa"/>
            <w:vMerge w:val="restart"/>
            <w:tcBorders>
              <w:top w:val="nil"/>
              <w:left w:val="single" w:color="auto" w:sz="4" w:space="0"/>
              <w:bottom w:val="nil"/>
              <w:right w:val="nil"/>
            </w:tcBorders>
            <w:vAlign w:val="center"/>
          </w:tcPr>
          <w:p w14:paraId="442C360D">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乡（镇)农业服务中心（畜牧兽医工作站）认定意见</w:t>
            </w:r>
          </w:p>
        </w:tc>
        <w:tc>
          <w:tcPr>
            <w:tcW w:w="8434" w:type="dxa"/>
            <w:gridSpan w:val="6"/>
            <w:tcBorders>
              <w:top w:val="single" w:color="auto" w:sz="4" w:space="0"/>
              <w:left w:val="single" w:color="auto" w:sz="4" w:space="0"/>
              <w:bottom w:val="nil"/>
              <w:right w:val="single" w:color="000000" w:sz="4" w:space="0"/>
            </w:tcBorders>
            <w:vAlign w:val="center"/>
          </w:tcPr>
          <w:p w14:paraId="60FF325D">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r>
      <w:tr w14:paraId="5EF8EC2C">
        <w:tblPrEx>
          <w:tblCellMar>
            <w:top w:w="0" w:type="dxa"/>
            <w:left w:w="108" w:type="dxa"/>
            <w:bottom w:w="0" w:type="dxa"/>
            <w:right w:w="108" w:type="dxa"/>
          </w:tblCellMar>
        </w:tblPrEx>
        <w:trPr>
          <w:trHeight w:val="315" w:hRule="atLeast"/>
          <w:jc w:val="center"/>
        </w:trPr>
        <w:tc>
          <w:tcPr>
            <w:tcW w:w="1694" w:type="dxa"/>
            <w:vMerge w:val="continue"/>
            <w:tcBorders>
              <w:top w:val="nil"/>
              <w:left w:val="single" w:color="auto" w:sz="4" w:space="0"/>
              <w:bottom w:val="nil"/>
              <w:right w:val="nil"/>
            </w:tcBorders>
            <w:vAlign w:val="center"/>
          </w:tcPr>
          <w:p w14:paraId="27A57073">
            <w:pPr>
              <w:widowControl/>
              <w:jc w:val="left"/>
              <w:rPr>
                <w:rFonts w:hint="eastAsia" w:ascii="仿宋" w:hAnsi="仿宋" w:eastAsia="仿宋" w:cs="仿宋"/>
                <w:color w:val="auto"/>
                <w:kern w:val="0"/>
                <w:sz w:val="24"/>
                <w:szCs w:val="24"/>
                <w:highlight w:val="none"/>
              </w:rPr>
            </w:pPr>
          </w:p>
        </w:tc>
        <w:tc>
          <w:tcPr>
            <w:tcW w:w="8434" w:type="dxa"/>
            <w:gridSpan w:val="6"/>
            <w:tcBorders>
              <w:top w:val="nil"/>
              <w:left w:val="single" w:color="auto" w:sz="4" w:space="0"/>
              <w:bottom w:val="nil"/>
              <w:right w:val="single" w:color="auto" w:sz="4" w:space="0"/>
            </w:tcBorders>
            <w:vAlign w:val="center"/>
          </w:tcPr>
          <w:p w14:paraId="1A078076">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（公章）       年   月   日</w:t>
            </w:r>
          </w:p>
        </w:tc>
      </w:tr>
      <w:tr w14:paraId="6328FB5C">
        <w:tblPrEx>
          <w:tblCellMar>
            <w:top w:w="0" w:type="dxa"/>
            <w:left w:w="108" w:type="dxa"/>
            <w:bottom w:w="0" w:type="dxa"/>
            <w:right w:w="108" w:type="dxa"/>
          </w:tblCellMar>
        </w:tblPrEx>
        <w:trPr>
          <w:trHeight w:val="457" w:hRule="atLeast"/>
          <w:jc w:val="center"/>
        </w:trPr>
        <w:tc>
          <w:tcPr>
            <w:tcW w:w="1694" w:type="dxa"/>
            <w:vMerge w:val="restart"/>
            <w:tcBorders>
              <w:top w:val="single" w:color="auto" w:sz="4" w:space="0"/>
              <w:left w:val="single" w:color="auto" w:sz="4" w:space="0"/>
              <w:bottom w:val="nil"/>
              <w:right w:val="nil"/>
            </w:tcBorders>
            <w:vAlign w:val="center"/>
          </w:tcPr>
          <w:p w14:paraId="4C297F1B">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县（区）动物疫病预防控制中心审核意见</w:t>
            </w:r>
          </w:p>
        </w:tc>
        <w:tc>
          <w:tcPr>
            <w:tcW w:w="8434" w:type="dxa"/>
            <w:gridSpan w:val="6"/>
            <w:tcBorders>
              <w:top w:val="single" w:color="auto" w:sz="4" w:space="0"/>
              <w:left w:val="single" w:color="auto" w:sz="4" w:space="0"/>
              <w:bottom w:val="nil"/>
              <w:right w:val="single" w:color="000000" w:sz="4" w:space="0"/>
            </w:tcBorders>
            <w:vAlign w:val="center"/>
          </w:tcPr>
          <w:p w14:paraId="3D4B54E4">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r>
      <w:tr w14:paraId="62650C5D">
        <w:tblPrEx>
          <w:tblCellMar>
            <w:top w:w="0" w:type="dxa"/>
            <w:left w:w="108" w:type="dxa"/>
            <w:bottom w:w="0" w:type="dxa"/>
            <w:right w:w="108" w:type="dxa"/>
          </w:tblCellMar>
        </w:tblPrEx>
        <w:trPr>
          <w:trHeight w:val="281" w:hRule="atLeast"/>
          <w:jc w:val="center"/>
        </w:trPr>
        <w:tc>
          <w:tcPr>
            <w:tcW w:w="1694" w:type="dxa"/>
            <w:vMerge w:val="continue"/>
            <w:tcBorders>
              <w:top w:val="single" w:color="auto" w:sz="4" w:space="0"/>
              <w:left w:val="single" w:color="auto" w:sz="4" w:space="0"/>
              <w:bottom w:val="nil"/>
              <w:right w:val="nil"/>
            </w:tcBorders>
            <w:vAlign w:val="center"/>
          </w:tcPr>
          <w:p w14:paraId="56CBA9DA">
            <w:pPr>
              <w:widowControl/>
              <w:jc w:val="left"/>
              <w:rPr>
                <w:rFonts w:hint="eastAsia" w:ascii="仿宋" w:hAnsi="仿宋" w:eastAsia="仿宋" w:cs="仿宋"/>
                <w:color w:val="auto"/>
                <w:kern w:val="0"/>
                <w:sz w:val="24"/>
                <w:szCs w:val="24"/>
                <w:highlight w:val="none"/>
              </w:rPr>
            </w:pPr>
          </w:p>
        </w:tc>
        <w:tc>
          <w:tcPr>
            <w:tcW w:w="8434" w:type="dxa"/>
            <w:gridSpan w:val="6"/>
            <w:tcBorders>
              <w:top w:val="nil"/>
              <w:left w:val="single" w:color="auto" w:sz="4" w:space="0"/>
              <w:bottom w:val="nil"/>
              <w:right w:val="single" w:color="auto" w:sz="4" w:space="0"/>
            </w:tcBorders>
            <w:vAlign w:val="center"/>
          </w:tcPr>
          <w:p w14:paraId="61EE6A99">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（公章）       年   月   日</w:t>
            </w:r>
          </w:p>
        </w:tc>
      </w:tr>
      <w:tr w14:paraId="125697B6">
        <w:tblPrEx>
          <w:tblCellMar>
            <w:top w:w="0" w:type="dxa"/>
            <w:left w:w="108" w:type="dxa"/>
            <w:bottom w:w="0" w:type="dxa"/>
            <w:right w:w="108" w:type="dxa"/>
          </w:tblCellMar>
        </w:tblPrEx>
        <w:trPr>
          <w:trHeight w:val="159" w:hRule="atLeast"/>
          <w:jc w:val="center"/>
        </w:trPr>
        <w:tc>
          <w:tcPr>
            <w:tcW w:w="10128" w:type="dxa"/>
            <w:gridSpan w:val="7"/>
            <w:tcBorders>
              <w:top w:val="single" w:color="auto" w:sz="4" w:space="0"/>
              <w:left w:val="single" w:color="auto" w:sz="4" w:space="0"/>
              <w:bottom w:val="nil"/>
              <w:right w:val="single" w:color="000000" w:sz="4" w:space="0"/>
            </w:tcBorders>
            <w:vAlign w:val="center"/>
          </w:tcPr>
          <w:p w14:paraId="06C2242E">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备注:1.免疫应激反应认定：指动物实施动物疫苗免疫后12小时以内发生的免疫应激反应及后续发生死亡的情况。</w:t>
            </w:r>
          </w:p>
        </w:tc>
      </w:tr>
      <w:tr w14:paraId="3667D88B">
        <w:tblPrEx>
          <w:tblCellMar>
            <w:top w:w="0" w:type="dxa"/>
            <w:left w:w="108" w:type="dxa"/>
            <w:bottom w:w="0" w:type="dxa"/>
            <w:right w:w="108" w:type="dxa"/>
          </w:tblCellMar>
        </w:tblPrEx>
        <w:trPr>
          <w:trHeight w:val="159" w:hRule="atLeast"/>
          <w:jc w:val="center"/>
        </w:trPr>
        <w:tc>
          <w:tcPr>
            <w:tcW w:w="10128" w:type="dxa"/>
            <w:gridSpan w:val="7"/>
            <w:tcBorders>
              <w:top w:val="nil"/>
              <w:left w:val="single" w:color="auto" w:sz="4" w:space="0"/>
              <w:bottom w:val="nil"/>
              <w:right w:val="single" w:color="000000" w:sz="4" w:space="0"/>
            </w:tcBorders>
            <w:vAlign w:val="center"/>
          </w:tcPr>
          <w:p w14:paraId="06FB1C3D">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2.一户1种疫苗1表填写，时间要记至年、月、日、时、分。</w:t>
            </w:r>
          </w:p>
        </w:tc>
      </w:tr>
      <w:tr w14:paraId="77925B57">
        <w:tblPrEx>
          <w:tblCellMar>
            <w:top w:w="0" w:type="dxa"/>
            <w:left w:w="108" w:type="dxa"/>
            <w:bottom w:w="0" w:type="dxa"/>
            <w:right w:w="108" w:type="dxa"/>
          </w:tblCellMar>
        </w:tblPrEx>
        <w:trPr>
          <w:trHeight w:val="159" w:hRule="atLeast"/>
          <w:jc w:val="center"/>
        </w:trPr>
        <w:tc>
          <w:tcPr>
            <w:tcW w:w="10128" w:type="dxa"/>
            <w:gridSpan w:val="7"/>
            <w:tcBorders>
              <w:top w:val="nil"/>
              <w:left w:val="single" w:color="auto" w:sz="4" w:space="0"/>
              <w:bottom w:val="nil"/>
              <w:right w:val="single" w:color="000000" w:sz="4" w:space="0"/>
            </w:tcBorders>
            <w:vAlign w:val="center"/>
          </w:tcPr>
          <w:p w14:paraId="404302FB">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3.附赔偿养殖户的身份证复印件，发生死亡的需附动物死亡照片。</w:t>
            </w:r>
          </w:p>
        </w:tc>
      </w:tr>
      <w:tr w14:paraId="665CAD45">
        <w:tblPrEx>
          <w:tblCellMar>
            <w:top w:w="0" w:type="dxa"/>
            <w:left w:w="108" w:type="dxa"/>
            <w:bottom w:w="0" w:type="dxa"/>
            <w:right w:w="108" w:type="dxa"/>
          </w:tblCellMar>
        </w:tblPrEx>
        <w:trPr>
          <w:trHeight w:val="159" w:hRule="atLeast"/>
          <w:jc w:val="center"/>
        </w:trPr>
        <w:tc>
          <w:tcPr>
            <w:tcW w:w="10128" w:type="dxa"/>
            <w:gridSpan w:val="7"/>
            <w:tcBorders>
              <w:top w:val="nil"/>
              <w:left w:val="single" w:color="auto" w:sz="4" w:space="0"/>
              <w:bottom w:val="nil"/>
              <w:right w:val="single" w:color="000000" w:sz="4" w:space="0"/>
            </w:tcBorders>
            <w:shd w:val="clear" w:color="000000" w:fill="FFFFFF"/>
            <w:vAlign w:val="center"/>
          </w:tcPr>
          <w:p w14:paraId="588886D7">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4.治疗费：治疗发生的药品费和诊疗费（油费、务工费），由村级防疫员提供动物免疫应激反应治疗费收条。</w:t>
            </w:r>
          </w:p>
        </w:tc>
      </w:tr>
      <w:tr w14:paraId="16735F87">
        <w:tblPrEx>
          <w:tblCellMar>
            <w:top w:w="0" w:type="dxa"/>
            <w:left w:w="108" w:type="dxa"/>
            <w:bottom w:w="0" w:type="dxa"/>
            <w:right w:w="108" w:type="dxa"/>
          </w:tblCellMar>
        </w:tblPrEx>
        <w:trPr>
          <w:trHeight w:val="159" w:hRule="atLeast"/>
          <w:jc w:val="center"/>
        </w:trPr>
        <w:tc>
          <w:tcPr>
            <w:tcW w:w="10128" w:type="dxa"/>
            <w:gridSpan w:val="7"/>
            <w:tcBorders>
              <w:top w:val="nil"/>
              <w:left w:val="single" w:color="auto" w:sz="4" w:space="0"/>
              <w:bottom w:val="single" w:color="auto" w:sz="4" w:space="0"/>
              <w:right w:val="single" w:color="000000" w:sz="4" w:space="0"/>
            </w:tcBorders>
            <w:vAlign w:val="center"/>
          </w:tcPr>
          <w:p w14:paraId="126ED613">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5.死亡动物必须由养殖户在村委会相关人员和村防疫员指导下进行无害化处理。</w:t>
            </w:r>
          </w:p>
        </w:tc>
      </w:tr>
    </w:tbl>
    <w:p w14:paraId="59BF5648">
      <w:pPr>
        <w:jc w:val="center"/>
        <w:rPr>
          <w:rFonts w:hint="eastAsia" w:ascii="仿宋" w:hAnsi="仿宋" w:eastAsia="仿宋" w:cs="仿宋"/>
          <w:color w:val="auto"/>
          <w:sz w:val="24"/>
          <w:szCs w:val="24"/>
          <w:highlight w:val="none"/>
        </w:rPr>
      </w:pPr>
    </w:p>
    <w:p w14:paraId="686FE755">
      <w:pPr>
        <w:spacing w:line="38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普洱市动物免疫应激反应治疗费收条</w:t>
      </w:r>
    </w:p>
    <w:p w14:paraId="37A1D20B">
      <w:pPr>
        <w:spacing w:line="38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eastAsia="zh-CN"/>
        </w:rPr>
        <w:t>模板</w:t>
      </w:r>
      <w:r>
        <w:rPr>
          <w:rFonts w:hint="eastAsia" w:ascii="仿宋" w:hAnsi="仿宋" w:eastAsia="仿宋" w:cs="仿宋"/>
          <w:b/>
          <w:bCs/>
          <w:color w:val="auto"/>
          <w:sz w:val="28"/>
          <w:szCs w:val="28"/>
          <w:highlight w:val="none"/>
        </w:rPr>
        <w:t>）</w:t>
      </w:r>
    </w:p>
    <w:p w14:paraId="5283A4F3">
      <w:pPr>
        <w:spacing w:line="360" w:lineRule="auto"/>
        <w:ind w:firstLine="646"/>
        <w:jc w:val="left"/>
        <w:rPr>
          <w:rFonts w:hint="eastAsia" w:ascii="仿宋" w:hAnsi="仿宋" w:eastAsia="仿宋" w:cs="仿宋"/>
          <w:color w:val="auto"/>
          <w:sz w:val="24"/>
          <w:szCs w:val="24"/>
          <w:highlight w:val="none"/>
        </w:rPr>
      </w:pPr>
    </w:p>
    <w:p w14:paraId="165A5943">
      <w:pPr>
        <w:spacing w:line="360" w:lineRule="auto"/>
        <w:ind w:firstLine="646"/>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今收到普洱市</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县</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乡（镇）</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村（社区）组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（姓名）养殖户交动物免疫应激反应治疗费</w:t>
      </w:r>
      <w:r>
        <w:rPr>
          <w:rFonts w:hint="eastAsia" w:ascii="仿宋" w:hAnsi="仿宋" w:eastAsia="仿宋" w:cs="仿宋"/>
          <w:color w:val="auto"/>
          <w:sz w:val="24"/>
          <w:szCs w:val="24"/>
          <w:highlight w:val="none"/>
          <w:u w:val="single"/>
        </w:rPr>
        <w:t xml:space="preserve">       元（大写：            ）</w:t>
      </w:r>
      <w:r>
        <w:rPr>
          <w:rFonts w:hint="eastAsia" w:ascii="仿宋" w:hAnsi="仿宋" w:eastAsia="仿宋" w:cs="仿宋"/>
          <w:color w:val="auto"/>
          <w:sz w:val="24"/>
          <w:szCs w:val="24"/>
          <w:highlight w:val="none"/>
        </w:rPr>
        <w:t>。具体明细如下表：</w:t>
      </w:r>
    </w:p>
    <w:tbl>
      <w:tblPr>
        <w:tblStyle w:val="35"/>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3057"/>
        <w:gridCol w:w="1043"/>
        <w:gridCol w:w="1642"/>
        <w:gridCol w:w="1643"/>
        <w:gridCol w:w="1643"/>
      </w:tblGrid>
      <w:tr w14:paraId="421A7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6" w:type="dxa"/>
            <w:vAlign w:val="center"/>
          </w:tcPr>
          <w:p w14:paraId="61306E9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3057" w:type="dxa"/>
            <w:vAlign w:val="center"/>
          </w:tcPr>
          <w:p w14:paraId="7002E8B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项目、药品名称</w:t>
            </w:r>
          </w:p>
        </w:tc>
        <w:tc>
          <w:tcPr>
            <w:tcW w:w="1043" w:type="dxa"/>
            <w:vAlign w:val="center"/>
          </w:tcPr>
          <w:p w14:paraId="65DB7126">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1642" w:type="dxa"/>
            <w:vAlign w:val="center"/>
          </w:tcPr>
          <w:p w14:paraId="7109B295">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单价（元）</w:t>
            </w:r>
          </w:p>
        </w:tc>
        <w:tc>
          <w:tcPr>
            <w:tcW w:w="1643" w:type="dxa"/>
            <w:vAlign w:val="center"/>
          </w:tcPr>
          <w:p w14:paraId="3CA24F8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金额（元）</w:t>
            </w:r>
          </w:p>
        </w:tc>
        <w:tc>
          <w:tcPr>
            <w:tcW w:w="1643" w:type="dxa"/>
            <w:vAlign w:val="center"/>
          </w:tcPr>
          <w:p w14:paraId="620397AF">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0893E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6" w:type="dxa"/>
            <w:vAlign w:val="center"/>
          </w:tcPr>
          <w:p w14:paraId="072E75C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057" w:type="dxa"/>
            <w:vAlign w:val="center"/>
          </w:tcPr>
          <w:p w14:paraId="777E1F70">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诊疗费（油费、务工费）</w:t>
            </w:r>
          </w:p>
        </w:tc>
        <w:tc>
          <w:tcPr>
            <w:tcW w:w="1043" w:type="dxa"/>
            <w:vAlign w:val="center"/>
          </w:tcPr>
          <w:p w14:paraId="16D815E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1次</w:t>
            </w:r>
          </w:p>
        </w:tc>
        <w:tc>
          <w:tcPr>
            <w:tcW w:w="1642" w:type="dxa"/>
            <w:vAlign w:val="center"/>
          </w:tcPr>
          <w:p w14:paraId="22E08BCA">
            <w:pPr>
              <w:jc w:val="center"/>
              <w:rPr>
                <w:rFonts w:hint="eastAsia" w:ascii="仿宋" w:hAnsi="仿宋" w:eastAsia="仿宋" w:cs="仿宋"/>
                <w:color w:val="auto"/>
                <w:sz w:val="24"/>
                <w:szCs w:val="24"/>
                <w:highlight w:val="none"/>
              </w:rPr>
            </w:pPr>
          </w:p>
        </w:tc>
        <w:tc>
          <w:tcPr>
            <w:tcW w:w="1643" w:type="dxa"/>
            <w:vAlign w:val="center"/>
          </w:tcPr>
          <w:p w14:paraId="3E299C19">
            <w:pPr>
              <w:jc w:val="center"/>
              <w:rPr>
                <w:rFonts w:hint="eastAsia" w:ascii="仿宋" w:hAnsi="仿宋" w:eastAsia="仿宋" w:cs="仿宋"/>
                <w:color w:val="auto"/>
                <w:sz w:val="24"/>
                <w:szCs w:val="24"/>
                <w:highlight w:val="none"/>
              </w:rPr>
            </w:pPr>
          </w:p>
        </w:tc>
        <w:tc>
          <w:tcPr>
            <w:tcW w:w="1643" w:type="dxa"/>
            <w:vAlign w:val="center"/>
          </w:tcPr>
          <w:p w14:paraId="0D1574BD">
            <w:pPr>
              <w:jc w:val="center"/>
              <w:rPr>
                <w:rFonts w:hint="eastAsia" w:ascii="仿宋" w:hAnsi="仿宋" w:eastAsia="仿宋" w:cs="仿宋"/>
                <w:color w:val="auto"/>
                <w:sz w:val="24"/>
                <w:szCs w:val="24"/>
                <w:highlight w:val="none"/>
              </w:rPr>
            </w:pPr>
          </w:p>
        </w:tc>
      </w:tr>
      <w:tr w14:paraId="7B6A3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6" w:type="dxa"/>
            <w:vAlign w:val="center"/>
          </w:tcPr>
          <w:p w14:paraId="5FC1494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057" w:type="dxa"/>
            <w:vAlign w:val="center"/>
          </w:tcPr>
          <w:p w14:paraId="16FBD0E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药品1</w:t>
            </w:r>
          </w:p>
        </w:tc>
        <w:tc>
          <w:tcPr>
            <w:tcW w:w="1043" w:type="dxa"/>
            <w:vAlign w:val="center"/>
          </w:tcPr>
          <w:p w14:paraId="7839CB90">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1支</w:t>
            </w:r>
          </w:p>
        </w:tc>
        <w:tc>
          <w:tcPr>
            <w:tcW w:w="1642" w:type="dxa"/>
            <w:vAlign w:val="center"/>
          </w:tcPr>
          <w:p w14:paraId="3101DD9A">
            <w:pPr>
              <w:jc w:val="center"/>
              <w:rPr>
                <w:rFonts w:hint="eastAsia" w:ascii="仿宋" w:hAnsi="仿宋" w:eastAsia="仿宋" w:cs="仿宋"/>
                <w:color w:val="auto"/>
                <w:sz w:val="24"/>
                <w:szCs w:val="24"/>
                <w:highlight w:val="none"/>
              </w:rPr>
            </w:pPr>
          </w:p>
        </w:tc>
        <w:tc>
          <w:tcPr>
            <w:tcW w:w="1643" w:type="dxa"/>
            <w:vAlign w:val="center"/>
          </w:tcPr>
          <w:p w14:paraId="4A543896">
            <w:pPr>
              <w:jc w:val="center"/>
              <w:rPr>
                <w:rFonts w:hint="eastAsia" w:ascii="仿宋" w:hAnsi="仿宋" w:eastAsia="仿宋" w:cs="仿宋"/>
                <w:color w:val="auto"/>
                <w:sz w:val="24"/>
                <w:szCs w:val="24"/>
                <w:highlight w:val="none"/>
              </w:rPr>
            </w:pPr>
          </w:p>
        </w:tc>
        <w:tc>
          <w:tcPr>
            <w:tcW w:w="1643" w:type="dxa"/>
            <w:vAlign w:val="center"/>
          </w:tcPr>
          <w:p w14:paraId="18FCB545">
            <w:pPr>
              <w:jc w:val="center"/>
              <w:rPr>
                <w:rFonts w:hint="eastAsia" w:ascii="仿宋" w:hAnsi="仿宋" w:eastAsia="仿宋" w:cs="仿宋"/>
                <w:color w:val="auto"/>
                <w:sz w:val="24"/>
                <w:szCs w:val="24"/>
                <w:highlight w:val="none"/>
              </w:rPr>
            </w:pPr>
          </w:p>
        </w:tc>
      </w:tr>
      <w:tr w14:paraId="433E8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exact"/>
        </w:trPr>
        <w:tc>
          <w:tcPr>
            <w:tcW w:w="826" w:type="dxa"/>
            <w:vAlign w:val="center"/>
          </w:tcPr>
          <w:p w14:paraId="0C69BA8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3057" w:type="dxa"/>
            <w:vAlign w:val="center"/>
          </w:tcPr>
          <w:p w14:paraId="3514D169">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药品2</w:t>
            </w:r>
          </w:p>
        </w:tc>
        <w:tc>
          <w:tcPr>
            <w:tcW w:w="1043" w:type="dxa"/>
            <w:vAlign w:val="center"/>
          </w:tcPr>
          <w:p w14:paraId="1A0C75E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1瓶</w:t>
            </w:r>
          </w:p>
        </w:tc>
        <w:tc>
          <w:tcPr>
            <w:tcW w:w="1642" w:type="dxa"/>
            <w:vAlign w:val="center"/>
          </w:tcPr>
          <w:p w14:paraId="12FC0F89">
            <w:pPr>
              <w:jc w:val="center"/>
              <w:rPr>
                <w:rFonts w:hint="eastAsia" w:ascii="仿宋" w:hAnsi="仿宋" w:eastAsia="仿宋" w:cs="仿宋"/>
                <w:color w:val="auto"/>
                <w:sz w:val="24"/>
                <w:szCs w:val="24"/>
                <w:highlight w:val="none"/>
              </w:rPr>
            </w:pPr>
          </w:p>
        </w:tc>
        <w:tc>
          <w:tcPr>
            <w:tcW w:w="1643" w:type="dxa"/>
            <w:vAlign w:val="center"/>
          </w:tcPr>
          <w:p w14:paraId="327D8EF8">
            <w:pPr>
              <w:jc w:val="center"/>
              <w:rPr>
                <w:rFonts w:hint="eastAsia" w:ascii="仿宋" w:hAnsi="仿宋" w:eastAsia="仿宋" w:cs="仿宋"/>
                <w:color w:val="auto"/>
                <w:sz w:val="24"/>
                <w:szCs w:val="24"/>
                <w:highlight w:val="none"/>
              </w:rPr>
            </w:pPr>
          </w:p>
        </w:tc>
        <w:tc>
          <w:tcPr>
            <w:tcW w:w="1643" w:type="dxa"/>
            <w:vAlign w:val="center"/>
          </w:tcPr>
          <w:p w14:paraId="6C4DBEEE">
            <w:pPr>
              <w:jc w:val="center"/>
              <w:rPr>
                <w:rFonts w:hint="eastAsia" w:ascii="仿宋" w:hAnsi="仿宋" w:eastAsia="仿宋" w:cs="仿宋"/>
                <w:color w:val="auto"/>
                <w:sz w:val="24"/>
                <w:szCs w:val="24"/>
                <w:highlight w:val="none"/>
              </w:rPr>
            </w:pPr>
          </w:p>
        </w:tc>
      </w:tr>
      <w:tr w14:paraId="4BEA2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6" w:type="dxa"/>
            <w:vAlign w:val="center"/>
          </w:tcPr>
          <w:p w14:paraId="07E83DC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3057" w:type="dxa"/>
            <w:vAlign w:val="center"/>
          </w:tcPr>
          <w:p w14:paraId="7601961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药品3</w:t>
            </w:r>
          </w:p>
        </w:tc>
        <w:tc>
          <w:tcPr>
            <w:tcW w:w="1043" w:type="dxa"/>
            <w:vAlign w:val="center"/>
          </w:tcPr>
          <w:p w14:paraId="097C696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1盒</w:t>
            </w:r>
          </w:p>
        </w:tc>
        <w:tc>
          <w:tcPr>
            <w:tcW w:w="1642" w:type="dxa"/>
            <w:vAlign w:val="center"/>
          </w:tcPr>
          <w:p w14:paraId="1B92133B">
            <w:pPr>
              <w:jc w:val="center"/>
              <w:rPr>
                <w:rFonts w:hint="eastAsia" w:ascii="仿宋" w:hAnsi="仿宋" w:eastAsia="仿宋" w:cs="仿宋"/>
                <w:color w:val="auto"/>
                <w:sz w:val="24"/>
                <w:szCs w:val="24"/>
                <w:highlight w:val="none"/>
              </w:rPr>
            </w:pPr>
          </w:p>
        </w:tc>
        <w:tc>
          <w:tcPr>
            <w:tcW w:w="1643" w:type="dxa"/>
            <w:vAlign w:val="center"/>
          </w:tcPr>
          <w:p w14:paraId="423DCC85">
            <w:pPr>
              <w:jc w:val="center"/>
              <w:rPr>
                <w:rFonts w:hint="eastAsia" w:ascii="仿宋" w:hAnsi="仿宋" w:eastAsia="仿宋" w:cs="仿宋"/>
                <w:color w:val="auto"/>
                <w:sz w:val="24"/>
                <w:szCs w:val="24"/>
                <w:highlight w:val="none"/>
              </w:rPr>
            </w:pPr>
          </w:p>
        </w:tc>
        <w:tc>
          <w:tcPr>
            <w:tcW w:w="1643" w:type="dxa"/>
            <w:vAlign w:val="center"/>
          </w:tcPr>
          <w:p w14:paraId="40623B7A">
            <w:pPr>
              <w:jc w:val="center"/>
              <w:rPr>
                <w:rFonts w:hint="eastAsia" w:ascii="仿宋" w:hAnsi="仿宋" w:eastAsia="仿宋" w:cs="仿宋"/>
                <w:color w:val="auto"/>
                <w:sz w:val="24"/>
                <w:szCs w:val="24"/>
                <w:highlight w:val="none"/>
              </w:rPr>
            </w:pPr>
          </w:p>
        </w:tc>
      </w:tr>
      <w:tr w14:paraId="46730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exact"/>
        </w:trPr>
        <w:tc>
          <w:tcPr>
            <w:tcW w:w="826" w:type="dxa"/>
            <w:vAlign w:val="center"/>
          </w:tcPr>
          <w:p w14:paraId="3F67098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3057" w:type="dxa"/>
            <w:vAlign w:val="center"/>
          </w:tcPr>
          <w:p w14:paraId="2BE9C7C2">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药品4</w:t>
            </w:r>
          </w:p>
        </w:tc>
        <w:tc>
          <w:tcPr>
            <w:tcW w:w="1043" w:type="dxa"/>
            <w:vAlign w:val="center"/>
          </w:tcPr>
          <w:p w14:paraId="7FB6B4BF">
            <w:pPr>
              <w:jc w:val="center"/>
              <w:rPr>
                <w:rFonts w:hint="eastAsia" w:ascii="仿宋" w:hAnsi="仿宋" w:eastAsia="仿宋" w:cs="仿宋"/>
                <w:color w:val="auto"/>
                <w:sz w:val="24"/>
                <w:szCs w:val="24"/>
                <w:highlight w:val="none"/>
              </w:rPr>
            </w:pPr>
          </w:p>
        </w:tc>
        <w:tc>
          <w:tcPr>
            <w:tcW w:w="1642" w:type="dxa"/>
            <w:vAlign w:val="center"/>
          </w:tcPr>
          <w:p w14:paraId="7E8794F9">
            <w:pPr>
              <w:jc w:val="center"/>
              <w:rPr>
                <w:rFonts w:hint="eastAsia" w:ascii="仿宋" w:hAnsi="仿宋" w:eastAsia="仿宋" w:cs="仿宋"/>
                <w:color w:val="auto"/>
                <w:sz w:val="24"/>
                <w:szCs w:val="24"/>
                <w:highlight w:val="none"/>
              </w:rPr>
            </w:pPr>
          </w:p>
        </w:tc>
        <w:tc>
          <w:tcPr>
            <w:tcW w:w="1643" w:type="dxa"/>
            <w:vAlign w:val="center"/>
          </w:tcPr>
          <w:p w14:paraId="1F26711A">
            <w:pPr>
              <w:jc w:val="center"/>
              <w:rPr>
                <w:rFonts w:hint="eastAsia" w:ascii="仿宋" w:hAnsi="仿宋" w:eastAsia="仿宋" w:cs="仿宋"/>
                <w:color w:val="auto"/>
                <w:sz w:val="24"/>
                <w:szCs w:val="24"/>
                <w:highlight w:val="none"/>
              </w:rPr>
            </w:pPr>
          </w:p>
        </w:tc>
        <w:tc>
          <w:tcPr>
            <w:tcW w:w="1643" w:type="dxa"/>
            <w:vAlign w:val="center"/>
          </w:tcPr>
          <w:p w14:paraId="682D55B3">
            <w:pPr>
              <w:jc w:val="center"/>
              <w:rPr>
                <w:rFonts w:hint="eastAsia" w:ascii="仿宋" w:hAnsi="仿宋" w:eastAsia="仿宋" w:cs="仿宋"/>
                <w:color w:val="auto"/>
                <w:sz w:val="24"/>
                <w:szCs w:val="24"/>
                <w:highlight w:val="none"/>
              </w:rPr>
            </w:pPr>
          </w:p>
        </w:tc>
      </w:tr>
      <w:tr w14:paraId="450C6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6" w:type="dxa"/>
            <w:vAlign w:val="center"/>
          </w:tcPr>
          <w:p w14:paraId="23E9E810">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3057" w:type="dxa"/>
            <w:vAlign w:val="center"/>
          </w:tcPr>
          <w:p w14:paraId="50BCB0C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药品5</w:t>
            </w:r>
          </w:p>
        </w:tc>
        <w:tc>
          <w:tcPr>
            <w:tcW w:w="1043" w:type="dxa"/>
            <w:vAlign w:val="center"/>
          </w:tcPr>
          <w:p w14:paraId="52FB1B5A">
            <w:pPr>
              <w:jc w:val="center"/>
              <w:rPr>
                <w:rFonts w:hint="eastAsia" w:ascii="仿宋" w:hAnsi="仿宋" w:eastAsia="仿宋" w:cs="仿宋"/>
                <w:color w:val="auto"/>
                <w:sz w:val="24"/>
                <w:szCs w:val="24"/>
                <w:highlight w:val="none"/>
              </w:rPr>
            </w:pPr>
          </w:p>
        </w:tc>
        <w:tc>
          <w:tcPr>
            <w:tcW w:w="1642" w:type="dxa"/>
            <w:vAlign w:val="center"/>
          </w:tcPr>
          <w:p w14:paraId="2AD5196A">
            <w:pPr>
              <w:jc w:val="center"/>
              <w:rPr>
                <w:rFonts w:hint="eastAsia" w:ascii="仿宋" w:hAnsi="仿宋" w:eastAsia="仿宋" w:cs="仿宋"/>
                <w:color w:val="auto"/>
                <w:sz w:val="24"/>
                <w:szCs w:val="24"/>
                <w:highlight w:val="none"/>
              </w:rPr>
            </w:pPr>
          </w:p>
        </w:tc>
        <w:tc>
          <w:tcPr>
            <w:tcW w:w="1643" w:type="dxa"/>
            <w:vAlign w:val="center"/>
          </w:tcPr>
          <w:p w14:paraId="3102F4CD">
            <w:pPr>
              <w:jc w:val="center"/>
              <w:rPr>
                <w:rFonts w:hint="eastAsia" w:ascii="仿宋" w:hAnsi="仿宋" w:eastAsia="仿宋" w:cs="仿宋"/>
                <w:color w:val="auto"/>
                <w:sz w:val="24"/>
                <w:szCs w:val="24"/>
                <w:highlight w:val="none"/>
              </w:rPr>
            </w:pPr>
          </w:p>
        </w:tc>
        <w:tc>
          <w:tcPr>
            <w:tcW w:w="1643" w:type="dxa"/>
            <w:vAlign w:val="center"/>
          </w:tcPr>
          <w:p w14:paraId="116BC7EC">
            <w:pPr>
              <w:jc w:val="center"/>
              <w:rPr>
                <w:rFonts w:hint="eastAsia" w:ascii="仿宋" w:hAnsi="仿宋" w:eastAsia="仿宋" w:cs="仿宋"/>
                <w:color w:val="auto"/>
                <w:sz w:val="24"/>
                <w:szCs w:val="24"/>
                <w:highlight w:val="none"/>
              </w:rPr>
            </w:pPr>
          </w:p>
        </w:tc>
      </w:tr>
      <w:tr w14:paraId="6E555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6" w:type="dxa"/>
            <w:vAlign w:val="center"/>
          </w:tcPr>
          <w:p w14:paraId="25D00B6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3057" w:type="dxa"/>
            <w:vAlign w:val="center"/>
          </w:tcPr>
          <w:p w14:paraId="47A62912">
            <w:pPr>
              <w:jc w:val="center"/>
              <w:rPr>
                <w:rFonts w:hint="eastAsia" w:ascii="仿宋" w:hAnsi="仿宋" w:eastAsia="仿宋" w:cs="仿宋"/>
                <w:color w:val="auto"/>
                <w:sz w:val="24"/>
                <w:szCs w:val="24"/>
                <w:highlight w:val="none"/>
              </w:rPr>
            </w:pPr>
          </w:p>
        </w:tc>
        <w:tc>
          <w:tcPr>
            <w:tcW w:w="1043" w:type="dxa"/>
            <w:vAlign w:val="center"/>
          </w:tcPr>
          <w:p w14:paraId="20428484">
            <w:pPr>
              <w:jc w:val="center"/>
              <w:rPr>
                <w:rFonts w:hint="eastAsia" w:ascii="仿宋" w:hAnsi="仿宋" w:eastAsia="仿宋" w:cs="仿宋"/>
                <w:color w:val="auto"/>
                <w:sz w:val="24"/>
                <w:szCs w:val="24"/>
                <w:highlight w:val="none"/>
              </w:rPr>
            </w:pPr>
          </w:p>
        </w:tc>
        <w:tc>
          <w:tcPr>
            <w:tcW w:w="1642" w:type="dxa"/>
            <w:vAlign w:val="center"/>
          </w:tcPr>
          <w:p w14:paraId="732EDEE1">
            <w:pPr>
              <w:jc w:val="center"/>
              <w:rPr>
                <w:rFonts w:hint="eastAsia" w:ascii="仿宋" w:hAnsi="仿宋" w:eastAsia="仿宋" w:cs="仿宋"/>
                <w:color w:val="auto"/>
                <w:sz w:val="24"/>
                <w:szCs w:val="24"/>
                <w:highlight w:val="none"/>
              </w:rPr>
            </w:pPr>
          </w:p>
        </w:tc>
        <w:tc>
          <w:tcPr>
            <w:tcW w:w="1643" w:type="dxa"/>
            <w:vAlign w:val="center"/>
          </w:tcPr>
          <w:p w14:paraId="5C0A5E2E">
            <w:pPr>
              <w:jc w:val="center"/>
              <w:rPr>
                <w:rFonts w:hint="eastAsia" w:ascii="仿宋" w:hAnsi="仿宋" w:eastAsia="仿宋" w:cs="仿宋"/>
                <w:color w:val="auto"/>
                <w:sz w:val="24"/>
                <w:szCs w:val="24"/>
                <w:highlight w:val="none"/>
              </w:rPr>
            </w:pPr>
          </w:p>
        </w:tc>
        <w:tc>
          <w:tcPr>
            <w:tcW w:w="1643" w:type="dxa"/>
            <w:vAlign w:val="center"/>
          </w:tcPr>
          <w:p w14:paraId="7B8A3E8D">
            <w:pPr>
              <w:jc w:val="center"/>
              <w:rPr>
                <w:rFonts w:hint="eastAsia" w:ascii="仿宋" w:hAnsi="仿宋" w:eastAsia="仿宋" w:cs="仿宋"/>
                <w:color w:val="auto"/>
                <w:sz w:val="24"/>
                <w:szCs w:val="24"/>
                <w:highlight w:val="none"/>
              </w:rPr>
            </w:pPr>
          </w:p>
        </w:tc>
      </w:tr>
      <w:tr w14:paraId="47DD5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3883" w:type="dxa"/>
            <w:gridSpan w:val="2"/>
            <w:vAlign w:val="center"/>
          </w:tcPr>
          <w:p w14:paraId="5EBEB6C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w:t>
            </w:r>
          </w:p>
        </w:tc>
        <w:tc>
          <w:tcPr>
            <w:tcW w:w="1043" w:type="dxa"/>
            <w:vAlign w:val="center"/>
          </w:tcPr>
          <w:p w14:paraId="68D82727">
            <w:pPr>
              <w:jc w:val="center"/>
              <w:rPr>
                <w:rFonts w:hint="eastAsia" w:ascii="仿宋" w:hAnsi="仿宋" w:eastAsia="仿宋" w:cs="仿宋"/>
                <w:color w:val="auto"/>
                <w:sz w:val="24"/>
                <w:szCs w:val="24"/>
                <w:highlight w:val="none"/>
              </w:rPr>
            </w:pPr>
          </w:p>
        </w:tc>
        <w:tc>
          <w:tcPr>
            <w:tcW w:w="1642" w:type="dxa"/>
            <w:vAlign w:val="center"/>
          </w:tcPr>
          <w:p w14:paraId="7D3947F5">
            <w:pPr>
              <w:jc w:val="center"/>
              <w:rPr>
                <w:rFonts w:hint="eastAsia" w:ascii="仿宋" w:hAnsi="仿宋" w:eastAsia="仿宋" w:cs="仿宋"/>
                <w:color w:val="auto"/>
                <w:sz w:val="24"/>
                <w:szCs w:val="24"/>
                <w:highlight w:val="none"/>
              </w:rPr>
            </w:pPr>
          </w:p>
        </w:tc>
        <w:tc>
          <w:tcPr>
            <w:tcW w:w="1643" w:type="dxa"/>
            <w:vAlign w:val="center"/>
          </w:tcPr>
          <w:p w14:paraId="21FB14E8">
            <w:pPr>
              <w:jc w:val="center"/>
              <w:rPr>
                <w:rFonts w:hint="eastAsia" w:ascii="仿宋" w:hAnsi="仿宋" w:eastAsia="仿宋" w:cs="仿宋"/>
                <w:color w:val="auto"/>
                <w:sz w:val="24"/>
                <w:szCs w:val="24"/>
                <w:highlight w:val="none"/>
              </w:rPr>
            </w:pPr>
          </w:p>
        </w:tc>
        <w:tc>
          <w:tcPr>
            <w:tcW w:w="1643" w:type="dxa"/>
            <w:vAlign w:val="center"/>
          </w:tcPr>
          <w:p w14:paraId="0147442E">
            <w:pPr>
              <w:jc w:val="center"/>
              <w:rPr>
                <w:rFonts w:hint="eastAsia" w:ascii="仿宋" w:hAnsi="仿宋" w:eastAsia="仿宋" w:cs="仿宋"/>
                <w:color w:val="auto"/>
                <w:sz w:val="24"/>
                <w:szCs w:val="24"/>
                <w:highlight w:val="none"/>
              </w:rPr>
            </w:pPr>
          </w:p>
        </w:tc>
      </w:tr>
    </w:tbl>
    <w:p w14:paraId="6EFD955E">
      <w:pPr>
        <w:jc w:val="left"/>
        <w:rPr>
          <w:rFonts w:hint="eastAsia" w:ascii="仿宋" w:hAnsi="仿宋" w:eastAsia="仿宋" w:cs="仿宋"/>
          <w:color w:val="auto"/>
          <w:sz w:val="24"/>
          <w:szCs w:val="24"/>
          <w:highlight w:val="none"/>
        </w:rPr>
      </w:pPr>
    </w:p>
    <w:p w14:paraId="0EAB9DA5">
      <w:pPr>
        <w:ind w:firstLine="3120" w:firstLineChars="1300"/>
        <w:jc w:val="left"/>
        <w:rPr>
          <w:rFonts w:hint="eastAsia" w:ascii="仿宋" w:hAnsi="仿宋" w:eastAsia="仿宋" w:cs="仿宋"/>
          <w:color w:val="auto"/>
          <w:sz w:val="24"/>
          <w:szCs w:val="24"/>
          <w:highlight w:val="none"/>
        </w:rPr>
      </w:pPr>
    </w:p>
    <w:p w14:paraId="77DD7537">
      <w:pPr>
        <w:ind w:firstLine="3120" w:firstLineChars="1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收款人（按手印）：</w:t>
      </w:r>
    </w:p>
    <w:p w14:paraId="5E4ECE44">
      <w:pPr>
        <w:ind w:firstLine="2760" w:firstLineChars="1150"/>
        <w:jc w:val="left"/>
        <w:rPr>
          <w:rFonts w:hint="eastAsia" w:ascii="仿宋" w:hAnsi="仿宋" w:eastAsia="仿宋" w:cs="仿宋"/>
          <w:color w:val="auto"/>
          <w:sz w:val="24"/>
          <w:szCs w:val="24"/>
          <w:highlight w:val="none"/>
        </w:rPr>
      </w:pPr>
    </w:p>
    <w:p w14:paraId="76904471">
      <w:pPr>
        <w:ind w:firstLine="2760" w:firstLineChars="11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收款时间：     年   月   日</w:t>
      </w:r>
    </w:p>
    <w:p w14:paraId="0684610A">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黑体" w:hAnsi="黑体" w:eastAsia="黑体" w:cs="Times New Roman"/>
          <w:b w:val="0"/>
          <w:bCs w:val="0"/>
          <w:color w:val="auto"/>
          <w:sz w:val="32"/>
          <w:szCs w:val="32"/>
          <w:highlight w:val="none"/>
        </w:rPr>
      </w:pPr>
    </w:p>
    <w:p w14:paraId="4C4447D4">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黑体" w:hAnsi="黑体" w:eastAsia="黑体" w:cs="Times New Roman"/>
          <w:b w:val="0"/>
          <w:bCs w:val="0"/>
          <w:color w:val="auto"/>
          <w:sz w:val="32"/>
          <w:szCs w:val="32"/>
          <w:highlight w:val="none"/>
        </w:rPr>
      </w:pPr>
    </w:p>
    <w:p w14:paraId="7DF932EB">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黑体" w:hAnsi="黑体" w:eastAsia="黑体" w:cs="Times New Roman"/>
          <w:b w:val="0"/>
          <w:bCs w:val="0"/>
          <w:color w:val="auto"/>
          <w:sz w:val="32"/>
          <w:szCs w:val="32"/>
          <w:highlight w:val="none"/>
        </w:rPr>
      </w:pPr>
    </w:p>
    <w:p w14:paraId="1459F411">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黑体" w:hAnsi="黑体" w:eastAsia="黑体" w:cs="Times New Roman"/>
          <w:b w:val="0"/>
          <w:bCs w:val="0"/>
          <w:color w:val="auto"/>
          <w:sz w:val="32"/>
          <w:szCs w:val="32"/>
          <w:highlight w:val="none"/>
        </w:rPr>
      </w:pPr>
    </w:p>
    <w:p w14:paraId="76CB399C">
      <w:pPr>
        <w:keepNext w:val="0"/>
        <w:keepLines w:val="0"/>
        <w:pageBreakBefore w:val="0"/>
        <w:widowControl/>
        <w:kinsoku/>
        <w:wordWrap/>
        <w:overflowPunct/>
        <w:topLinePunct w:val="0"/>
        <w:autoSpaceDE w:val="0"/>
        <w:autoSpaceDN w:val="0"/>
        <w:bidi w:val="0"/>
        <w:adjustRightInd w:val="0"/>
        <w:snapToGrid w:val="0"/>
        <w:spacing w:line="460" w:lineRule="exact"/>
        <w:jc w:val="both"/>
        <w:textAlignment w:val="baseline"/>
        <w:rPr>
          <w:rFonts w:hint="eastAsia" w:ascii="黑体" w:hAnsi="黑体" w:eastAsia="黑体" w:cs="Times New Roman"/>
          <w:b w:val="0"/>
          <w:bCs w:val="0"/>
          <w:color w:val="auto"/>
          <w:sz w:val="32"/>
          <w:szCs w:val="32"/>
          <w:highlight w:val="none"/>
        </w:rPr>
      </w:pPr>
    </w:p>
    <w:p w14:paraId="0D578345">
      <w:pPr>
        <w:keepNext w:val="0"/>
        <w:keepLines w:val="0"/>
        <w:pageBreakBefore w:val="0"/>
        <w:widowControl/>
        <w:kinsoku/>
        <w:wordWrap/>
        <w:overflowPunct/>
        <w:topLinePunct w:val="0"/>
        <w:autoSpaceDE w:val="0"/>
        <w:autoSpaceDN w:val="0"/>
        <w:bidi w:val="0"/>
        <w:adjustRightInd w:val="0"/>
        <w:snapToGrid w:val="0"/>
        <w:spacing w:line="460" w:lineRule="exact"/>
        <w:jc w:val="both"/>
        <w:textAlignment w:val="baseline"/>
        <w:rPr>
          <w:rFonts w:hint="eastAsia" w:ascii="黑体" w:hAnsi="黑体" w:eastAsia="黑体" w:cs="Times New Roman"/>
          <w:b w:val="0"/>
          <w:bCs w:val="0"/>
          <w:color w:val="auto"/>
          <w:sz w:val="32"/>
          <w:szCs w:val="32"/>
          <w:highlight w:val="none"/>
        </w:rPr>
      </w:pPr>
    </w:p>
    <w:p w14:paraId="10086BF7">
      <w:pPr>
        <w:keepNext w:val="0"/>
        <w:keepLines w:val="0"/>
        <w:pageBreakBefore w:val="0"/>
        <w:widowControl/>
        <w:kinsoku/>
        <w:wordWrap/>
        <w:overflowPunct/>
        <w:topLinePunct w:val="0"/>
        <w:autoSpaceDE w:val="0"/>
        <w:autoSpaceDN w:val="0"/>
        <w:bidi w:val="0"/>
        <w:adjustRightInd w:val="0"/>
        <w:snapToGrid w:val="0"/>
        <w:spacing w:line="460" w:lineRule="exact"/>
        <w:jc w:val="both"/>
        <w:textAlignment w:val="baseline"/>
        <w:rPr>
          <w:rFonts w:hint="eastAsia" w:ascii="黑体" w:hAnsi="黑体" w:eastAsia="黑体" w:cs="Times New Roman"/>
          <w:b w:val="0"/>
          <w:bCs w:val="0"/>
          <w:color w:val="auto"/>
          <w:sz w:val="32"/>
          <w:szCs w:val="32"/>
          <w:highlight w:val="none"/>
        </w:rPr>
      </w:pPr>
    </w:p>
    <w:p w14:paraId="57511996">
      <w:pPr>
        <w:keepNext w:val="0"/>
        <w:keepLines w:val="0"/>
        <w:pageBreakBefore w:val="0"/>
        <w:widowControl/>
        <w:kinsoku/>
        <w:wordWrap/>
        <w:overflowPunct/>
        <w:topLinePunct w:val="0"/>
        <w:autoSpaceDE w:val="0"/>
        <w:autoSpaceDN w:val="0"/>
        <w:bidi w:val="0"/>
        <w:adjustRightInd w:val="0"/>
        <w:snapToGrid w:val="0"/>
        <w:spacing w:line="460" w:lineRule="exact"/>
        <w:jc w:val="both"/>
        <w:textAlignment w:val="baseline"/>
        <w:rPr>
          <w:rFonts w:hint="eastAsia" w:ascii="黑体" w:hAnsi="黑体" w:eastAsia="黑体" w:cs="Times New Roman"/>
          <w:b w:val="0"/>
          <w:bCs w:val="0"/>
          <w:color w:val="auto"/>
          <w:sz w:val="32"/>
          <w:szCs w:val="32"/>
          <w:highlight w:val="none"/>
        </w:rPr>
      </w:pPr>
    </w:p>
    <w:p w14:paraId="4ECFC9BE">
      <w:pPr>
        <w:keepNext w:val="0"/>
        <w:keepLines w:val="0"/>
        <w:pageBreakBefore w:val="0"/>
        <w:widowControl/>
        <w:kinsoku/>
        <w:wordWrap/>
        <w:overflowPunct/>
        <w:topLinePunct w:val="0"/>
        <w:autoSpaceDE w:val="0"/>
        <w:autoSpaceDN w:val="0"/>
        <w:bidi w:val="0"/>
        <w:adjustRightInd w:val="0"/>
        <w:snapToGrid w:val="0"/>
        <w:spacing w:line="460" w:lineRule="exact"/>
        <w:jc w:val="both"/>
        <w:textAlignment w:val="baseline"/>
        <w:rPr>
          <w:rFonts w:hint="eastAsia" w:ascii="黑体" w:hAnsi="黑体" w:eastAsia="黑体" w:cs="Times New Roman"/>
          <w:b w:val="0"/>
          <w:bCs w:val="0"/>
          <w:color w:val="auto"/>
          <w:sz w:val="32"/>
          <w:szCs w:val="32"/>
          <w:highlight w:val="none"/>
        </w:rPr>
      </w:pPr>
    </w:p>
    <w:p w14:paraId="2F722C82">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val="0"/>
          <w:bCs w:val="0"/>
          <w:color w:val="auto"/>
          <w:sz w:val="32"/>
          <w:szCs w:val="32"/>
          <w:highlight w:val="none"/>
          <w:lang w:eastAsia="zh-CN"/>
        </w:rPr>
      </w:pPr>
      <w:r>
        <w:rPr>
          <w:rFonts w:hint="eastAsia" w:ascii="仿宋" w:hAnsi="仿宋" w:eastAsia="仿宋" w:cs="仿宋"/>
          <w:b w:val="0"/>
          <w:bCs w:val="0"/>
          <w:color w:val="auto"/>
          <w:sz w:val="32"/>
          <w:szCs w:val="32"/>
          <w:highlight w:val="none"/>
        </w:rPr>
        <w:t>代</w:t>
      </w:r>
      <w:r>
        <w:rPr>
          <w:rFonts w:hint="eastAsia" w:ascii="仿宋" w:hAnsi="仿宋" w:eastAsia="仿宋" w:cs="仿宋"/>
          <w:b w:val="0"/>
          <w:bCs w:val="0"/>
          <w:color w:val="auto"/>
          <w:sz w:val="32"/>
          <w:szCs w:val="32"/>
          <w:highlight w:val="none"/>
          <w:lang w:val="en-US" w:eastAsia="zh-CN"/>
        </w:rPr>
        <w:t>贮</w:t>
      </w:r>
      <w:r>
        <w:rPr>
          <w:rFonts w:hint="eastAsia" w:ascii="仿宋" w:hAnsi="仿宋" w:eastAsia="仿宋" w:cs="仿宋"/>
          <w:b w:val="0"/>
          <w:bCs w:val="0"/>
          <w:color w:val="auto"/>
          <w:sz w:val="32"/>
          <w:szCs w:val="32"/>
          <w:highlight w:val="none"/>
        </w:rPr>
        <w:t>协议书</w:t>
      </w:r>
    </w:p>
    <w:p w14:paraId="6B2EBD5B">
      <w:pPr>
        <w:pStyle w:val="40"/>
        <w:rPr>
          <w:rFonts w:hint="eastAsia" w:ascii="仿宋" w:hAnsi="仿宋" w:eastAsia="仿宋" w:cs="仿宋"/>
          <w:color w:val="auto"/>
          <w:highlight w:val="none"/>
        </w:rPr>
      </w:pPr>
    </w:p>
    <w:p w14:paraId="38937708">
      <w:pPr>
        <w:spacing w:line="360" w:lineRule="auto"/>
        <w:jc w:val="lef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甲方</w:t>
      </w:r>
      <w:r>
        <w:rPr>
          <w:rFonts w:hint="eastAsia" w:ascii="仿宋" w:hAnsi="仿宋" w:eastAsia="仿宋" w:cs="仿宋"/>
          <w:color w:val="auto"/>
          <w:sz w:val="24"/>
          <w:szCs w:val="28"/>
          <w:highlight w:val="none"/>
          <w:lang w:eastAsia="zh-CN"/>
        </w:rPr>
        <w:t>：</w:t>
      </w:r>
      <w:r>
        <w:rPr>
          <w:rFonts w:hint="eastAsia" w:ascii="仿宋" w:hAnsi="仿宋" w:eastAsia="仿宋" w:cs="仿宋"/>
          <w:color w:val="auto"/>
          <w:sz w:val="24"/>
          <w:szCs w:val="28"/>
          <w:highlight w:val="none"/>
          <w:u w:val="single"/>
        </w:rPr>
        <w:t xml:space="preserve"> </w:t>
      </w:r>
      <w:r>
        <w:rPr>
          <w:rFonts w:hint="eastAsia" w:ascii="仿宋" w:hAnsi="仿宋" w:eastAsia="仿宋" w:cs="仿宋"/>
          <w:b/>
          <w:bCs/>
          <w:color w:val="auto"/>
          <w:sz w:val="24"/>
          <w:szCs w:val="28"/>
          <w:highlight w:val="none"/>
          <w:u w:val="single"/>
          <w:lang w:val="en-US" w:eastAsia="zh-CN"/>
        </w:rPr>
        <w:t>XXX</w:t>
      </w:r>
      <w:r>
        <w:rPr>
          <w:rFonts w:hint="eastAsia" w:ascii="仿宋" w:hAnsi="仿宋" w:eastAsia="仿宋" w:cs="仿宋"/>
          <w:color w:val="auto"/>
          <w:sz w:val="24"/>
          <w:szCs w:val="28"/>
          <w:highlight w:val="none"/>
          <w:lang w:eastAsia="zh-CN"/>
        </w:rPr>
        <w:t>（</w:t>
      </w:r>
      <w:r>
        <w:rPr>
          <w:rFonts w:hint="eastAsia" w:ascii="仿宋" w:hAnsi="仿宋" w:eastAsia="仿宋" w:cs="仿宋"/>
          <w:color w:val="auto"/>
          <w:sz w:val="24"/>
          <w:szCs w:val="28"/>
          <w:highlight w:val="none"/>
        </w:rPr>
        <w:t>以下简称“甲方”)</w:t>
      </w:r>
    </w:p>
    <w:p w14:paraId="7A8DFC56">
      <w:pPr>
        <w:spacing w:line="360" w:lineRule="auto"/>
        <w:jc w:val="lef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乙方：</w:t>
      </w:r>
      <w:r>
        <w:rPr>
          <w:rFonts w:hint="eastAsia" w:ascii="仿宋" w:hAnsi="仿宋" w:eastAsia="仿宋" w:cs="仿宋"/>
          <w:color w:val="auto"/>
          <w:sz w:val="24"/>
          <w:szCs w:val="28"/>
          <w:highlight w:val="none"/>
          <w:u w:val="single"/>
          <w:lang w:val="en-US" w:eastAsia="zh-CN"/>
        </w:rPr>
        <w:t xml:space="preserve"> </w:t>
      </w:r>
      <w:r>
        <w:rPr>
          <w:rFonts w:hint="eastAsia" w:ascii="仿宋" w:hAnsi="仿宋" w:eastAsia="仿宋" w:cs="仿宋"/>
          <w:b/>
          <w:bCs/>
          <w:color w:val="auto"/>
          <w:sz w:val="24"/>
          <w:szCs w:val="28"/>
          <w:highlight w:val="none"/>
          <w:u w:val="single"/>
          <w:lang w:val="en-US" w:eastAsia="zh-CN"/>
        </w:rPr>
        <w:t>XXX</w:t>
      </w:r>
      <w:r>
        <w:rPr>
          <w:rFonts w:hint="eastAsia" w:ascii="仿宋" w:hAnsi="仿宋" w:eastAsia="仿宋" w:cs="仿宋"/>
          <w:color w:val="auto"/>
          <w:sz w:val="24"/>
          <w:szCs w:val="28"/>
          <w:highlight w:val="none"/>
          <w:u w:val="single"/>
          <w:lang w:val="en-US" w:eastAsia="zh-CN"/>
        </w:rPr>
        <w:t xml:space="preserve"> </w:t>
      </w:r>
      <w:r>
        <w:rPr>
          <w:rFonts w:hint="eastAsia" w:ascii="仿宋" w:hAnsi="仿宋" w:eastAsia="仿宋" w:cs="仿宋"/>
          <w:color w:val="auto"/>
          <w:sz w:val="24"/>
          <w:szCs w:val="28"/>
          <w:highlight w:val="none"/>
        </w:rPr>
        <w:t>（以下简称“乙方”）</w:t>
      </w:r>
    </w:p>
    <w:p w14:paraId="0B54070C">
      <w:pPr>
        <w:spacing w:line="360" w:lineRule="auto"/>
        <w:ind w:firstLine="480" w:firstLineChars="200"/>
        <w:jc w:val="lef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为保证甲方</w:t>
      </w:r>
      <w:r>
        <w:rPr>
          <w:rFonts w:hint="eastAsia" w:ascii="仿宋" w:hAnsi="仿宋" w:eastAsia="仿宋" w:cs="仿宋"/>
          <w:color w:val="auto"/>
          <w:sz w:val="24"/>
          <w:szCs w:val="28"/>
          <w:highlight w:val="none"/>
          <w:lang w:val="en-US" w:eastAsia="zh-CN"/>
        </w:rPr>
        <w:t>实际</w:t>
      </w:r>
      <w:r>
        <w:rPr>
          <w:rFonts w:hint="eastAsia" w:ascii="仿宋" w:hAnsi="仿宋" w:eastAsia="仿宋" w:cs="仿宋"/>
          <w:color w:val="auto"/>
          <w:sz w:val="24"/>
          <w:szCs w:val="28"/>
          <w:highlight w:val="none"/>
        </w:rPr>
        <w:t>需要，根据甲乙双方签订的“政府采购合同书”(</w:t>
      </w:r>
      <w:r>
        <w:rPr>
          <w:rFonts w:hint="eastAsia" w:ascii="仿宋" w:hAnsi="仿宋" w:eastAsia="仿宋" w:cs="仿宋"/>
          <w:color w:val="auto"/>
          <w:sz w:val="24"/>
          <w:szCs w:val="28"/>
          <w:highlight w:val="none"/>
          <w:lang w:val="en-US" w:eastAsia="zh-CN"/>
        </w:rPr>
        <w:t>合同</w:t>
      </w:r>
      <w:r>
        <w:rPr>
          <w:rFonts w:hint="eastAsia" w:ascii="仿宋" w:hAnsi="仿宋" w:eastAsia="仿宋" w:cs="仿宋"/>
          <w:color w:val="auto"/>
          <w:sz w:val="24"/>
          <w:szCs w:val="28"/>
          <w:highlight w:val="none"/>
        </w:rPr>
        <w:t>编号</w:t>
      </w:r>
      <w:r>
        <w:rPr>
          <w:rFonts w:hint="eastAsia" w:ascii="仿宋" w:hAnsi="仿宋" w:eastAsia="仿宋" w:cs="仿宋"/>
          <w:color w:val="auto"/>
          <w:sz w:val="24"/>
          <w:szCs w:val="28"/>
          <w:highlight w:val="none"/>
          <w:lang w:eastAsia="zh-CN"/>
        </w:rPr>
        <w:t>：</w:t>
      </w:r>
      <w:r>
        <w:rPr>
          <w:rFonts w:hint="eastAsia" w:ascii="仿宋" w:hAnsi="仿宋" w:eastAsia="仿宋" w:cs="仿宋"/>
          <w:color w:val="auto"/>
          <w:sz w:val="24"/>
          <w:szCs w:val="28"/>
          <w:highlight w:val="none"/>
          <w:lang w:val="en-US" w:eastAsia="zh-CN"/>
        </w:rPr>
        <w:t xml:space="preserve">XXX </w:t>
      </w:r>
      <w:r>
        <w:rPr>
          <w:rFonts w:hint="eastAsia" w:ascii="仿宋" w:hAnsi="仿宋" w:eastAsia="仿宋" w:cs="仿宋"/>
          <w:color w:val="auto"/>
          <w:sz w:val="24"/>
          <w:szCs w:val="28"/>
          <w:highlight w:val="none"/>
        </w:rPr>
        <w:t>)，甲方将</w:t>
      </w:r>
      <w:r>
        <w:rPr>
          <w:rFonts w:hint="eastAsia" w:ascii="仿宋" w:hAnsi="仿宋" w:eastAsia="仿宋" w:cs="仿宋"/>
          <w:color w:val="auto"/>
          <w:sz w:val="24"/>
          <w:szCs w:val="28"/>
          <w:highlight w:val="none"/>
          <w:u w:val="single"/>
        </w:rPr>
        <w:t xml:space="preserve"> </w:t>
      </w:r>
      <w:r>
        <w:rPr>
          <w:rFonts w:hint="eastAsia" w:ascii="仿宋" w:hAnsi="仿宋" w:eastAsia="仿宋" w:cs="仿宋"/>
          <w:color w:val="auto"/>
          <w:sz w:val="24"/>
          <w:szCs w:val="28"/>
          <w:highlight w:val="none"/>
          <w:u w:val="single"/>
          <w:lang w:val="en-US" w:eastAsia="zh-CN"/>
        </w:rPr>
        <w:t>XXX</w:t>
      </w:r>
      <w:r>
        <w:rPr>
          <w:rFonts w:hint="eastAsia" w:ascii="仿宋" w:hAnsi="仿宋" w:eastAsia="仿宋" w:cs="仿宋"/>
          <w:color w:val="auto"/>
          <w:sz w:val="24"/>
          <w:szCs w:val="28"/>
          <w:highlight w:val="none"/>
          <w:u w:val="single"/>
        </w:rPr>
        <w:t xml:space="preserve"> </w:t>
      </w:r>
      <w:r>
        <w:rPr>
          <w:rFonts w:hint="eastAsia" w:ascii="仿宋" w:hAnsi="仿宋" w:eastAsia="仿宋" w:cs="仿宋"/>
          <w:color w:val="auto"/>
          <w:sz w:val="24"/>
          <w:szCs w:val="28"/>
          <w:highlight w:val="none"/>
          <w:u w:val="none"/>
          <w:lang w:eastAsia="zh-CN"/>
        </w:rPr>
        <w:t>、</w:t>
      </w:r>
      <w:r>
        <w:rPr>
          <w:rFonts w:hint="eastAsia" w:ascii="仿宋" w:hAnsi="仿宋" w:eastAsia="仿宋" w:cs="仿宋"/>
          <w:color w:val="auto"/>
          <w:sz w:val="24"/>
          <w:szCs w:val="28"/>
          <w:highlight w:val="none"/>
          <w:u w:val="single"/>
          <w:lang w:val="en-US" w:eastAsia="zh-CN"/>
        </w:rPr>
        <w:t xml:space="preserve"> XXX万头份 </w:t>
      </w:r>
      <w:r>
        <w:rPr>
          <w:rFonts w:hint="eastAsia" w:ascii="仿宋" w:hAnsi="仿宋" w:eastAsia="仿宋" w:cs="仿宋"/>
          <w:color w:val="auto"/>
          <w:sz w:val="24"/>
          <w:szCs w:val="28"/>
          <w:highlight w:val="none"/>
          <w:u w:val="none"/>
          <w:lang w:val="en-US" w:eastAsia="zh-CN"/>
        </w:rPr>
        <w:t>、</w:t>
      </w:r>
      <w:r>
        <w:rPr>
          <w:rFonts w:hint="eastAsia" w:ascii="仿宋" w:hAnsi="仿宋" w:eastAsia="仿宋" w:cs="仿宋"/>
          <w:color w:val="auto"/>
          <w:sz w:val="24"/>
          <w:szCs w:val="28"/>
          <w:highlight w:val="none"/>
          <w:u w:val="single"/>
          <w:lang w:val="en-US" w:eastAsia="zh-CN"/>
        </w:rPr>
        <w:t>（货物价值：XXX万元（大写：XXX元））</w:t>
      </w:r>
      <w:r>
        <w:rPr>
          <w:rFonts w:hint="eastAsia" w:ascii="仿宋" w:hAnsi="仿宋" w:eastAsia="仿宋" w:cs="仿宋"/>
          <w:color w:val="auto"/>
          <w:sz w:val="24"/>
          <w:szCs w:val="28"/>
          <w:highlight w:val="none"/>
          <w:u w:val="none"/>
          <w:lang w:val="en-US" w:eastAsia="zh-CN"/>
        </w:rPr>
        <w:t>贮存</w:t>
      </w:r>
      <w:r>
        <w:rPr>
          <w:rFonts w:hint="eastAsia" w:ascii="仿宋" w:hAnsi="仿宋" w:eastAsia="仿宋" w:cs="仿宋"/>
          <w:color w:val="auto"/>
          <w:sz w:val="24"/>
          <w:szCs w:val="28"/>
          <w:highlight w:val="none"/>
        </w:rPr>
        <w:t>在乙方。经双方友好协商，签署本代</w:t>
      </w:r>
      <w:r>
        <w:rPr>
          <w:rFonts w:hint="eastAsia" w:ascii="仿宋" w:hAnsi="仿宋" w:eastAsia="仿宋" w:cs="仿宋"/>
          <w:color w:val="auto"/>
          <w:sz w:val="24"/>
          <w:szCs w:val="28"/>
          <w:highlight w:val="none"/>
          <w:u w:val="none"/>
          <w:lang w:val="en-US" w:eastAsia="zh-CN"/>
        </w:rPr>
        <w:t>贮</w:t>
      </w:r>
      <w:r>
        <w:rPr>
          <w:rFonts w:hint="eastAsia" w:ascii="仿宋" w:hAnsi="仿宋" w:eastAsia="仿宋" w:cs="仿宋"/>
          <w:color w:val="auto"/>
          <w:sz w:val="24"/>
          <w:szCs w:val="28"/>
          <w:highlight w:val="none"/>
        </w:rPr>
        <w:t>协议书。</w:t>
      </w:r>
    </w:p>
    <w:p w14:paraId="42ADFF0F">
      <w:pPr>
        <w:spacing w:line="360" w:lineRule="auto"/>
        <w:ind w:firstLine="424" w:firstLineChars="177"/>
        <w:jc w:val="lef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1</w:t>
      </w:r>
      <w:r>
        <w:rPr>
          <w:rFonts w:hint="eastAsia" w:ascii="仿宋" w:hAnsi="仿宋" w:eastAsia="仿宋" w:cs="仿宋"/>
          <w:color w:val="auto"/>
          <w:sz w:val="24"/>
          <w:szCs w:val="28"/>
          <w:highlight w:val="none"/>
        </w:rPr>
        <w:t>、代</w:t>
      </w:r>
      <w:r>
        <w:rPr>
          <w:rFonts w:hint="eastAsia" w:ascii="仿宋" w:hAnsi="仿宋" w:eastAsia="仿宋" w:cs="仿宋"/>
          <w:color w:val="auto"/>
          <w:sz w:val="24"/>
          <w:szCs w:val="28"/>
          <w:highlight w:val="none"/>
          <w:u w:val="none"/>
          <w:lang w:val="en-US" w:eastAsia="zh-CN"/>
        </w:rPr>
        <w:t>贮</w:t>
      </w:r>
      <w:r>
        <w:rPr>
          <w:rFonts w:hint="eastAsia" w:ascii="仿宋" w:hAnsi="仿宋" w:eastAsia="仿宋" w:cs="仿宋"/>
          <w:color w:val="auto"/>
          <w:sz w:val="24"/>
          <w:szCs w:val="28"/>
          <w:highlight w:val="none"/>
        </w:rPr>
        <w:t>期限</w:t>
      </w:r>
      <w:r>
        <w:rPr>
          <w:rFonts w:hint="eastAsia" w:ascii="仿宋" w:hAnsi="仿宋" w:eastAsia="仿宋" w:cs="仿宋"/>
          <w:color w:val="auto"/>
          <w:sz w:val="24"/>
          <w:szCs w:val="28"/>
          <w:highlight w:val="none"/>
          <w:lang w:eastAsia="zh-CN"/>
        </w:rPr>
        <w:t>：</w:t>
      </w:r>
      <w:r>
        <w:rPr>
          <w:rFonts w:hint="eastAsia" w:ascii="仿宋" w:hAnsi="仿宋" w:eastAsia="仿宋" w:cs="仿宋"/>
          <w:color w:val="auto"/>
          <w:sz w:val="24"/>
          <w:szCs w:val="28"/>
          <w:highlight w:val="none"/>
          <w:u w:val="single"/>
          <w:lang w:val="en-US" w:eastAsia="zh-CN"/>
        </w:rPr>
        <w:t>按甲方需求</w:t>
      </w:r>
      <w:r>
        <w:rPr>
          <w:rFonts w:hint="eastAsia" w:ascii="仿宋" w:hAnsi="仿宋" w:eastAsia="仿宋" w:cs="仿宋"/>
          <w:color w:val="auto"/>
          <w:sz w:val="24"/>
          <w:szCs w:val="24"/>
          <w:highlight w:val="none"/>
          <w:u w:val="single"/>
          <w:lang w:val="en-US" w:eastAsia="zh-CN"/>
        </w:rPr>
        <w:t>供完代贮货物</w:t>
      </w:r>
      <w:r>
        <w:rPr>
          <w:rFonts w:hint="eastAsia" w:ascii="仿宋" w:hAnsi="仿宋" w:eastAsia="仿宋" w:cs="仿宋"/>
          <w:i w:val="0"/>
          <w:caps w:val="0"/>
          <w:color w:val="auto"/>
          <w:spacing w:val="0"/>
          <w:kern w:val="0"/>
          <w:sz w:val="24"/>
          <w:szCs w:val="24"/>
          <w:highlight w:val="none"/>
          <w:u w:val="single"/>
          <w:shd w:val="clear" w:color="auto" w:fill="FFFFFF"/>
          <w:lang w:val="en-US" w:eastAsia="zh-CN" w:bidi="ar"/>
        </w:rPr>
        <w:t>为止</w:t>
      </w:r>
      <w:r>
        <w:rPr>
          <w:rFonts w:hint="eastAsia" w:ascii="仿宋" w:hAnsi="仿宋" w:eastAsia="仿宋" w:cs="仿宋"/>
          <w:color w:val="auto"/>
          <w:sz w:val="24"/>
          <w:szCs w:val="28"/>
          <w:highlight w:val="none"/>
        </w:rPr>
        <w:t>，代</w:t>
      </w:r>
      <w:r>
        <w:rPr>
          <w:rFonts w:hint="eastAsia" w:ascii="仿宋" w:hAnsi="仿宋" w:eastAsia="仿宋" w:cs="仿宋"/>
          <w:color w:val="auto"/>
          <w:sz w:val="24"/>
          <w:szCs w:val="28"/>
          <w:highlight w:val="none"/>
          <w:u w:val="none"/>
          <w:lang w:val="en-US" w:eastAsia="zh-CN"/>
        </w:rPr>
        <w:t>贮</w:t>
      </w:r>
      <w:r>
        <w:rPr>
          <w:rFonts w:hint="eastAsia" w:ascii="仿宋" w:hAnsi="仿宋" w:eastAsia="仿宋" w:cs="仿宋"/>
          <w:color w:val="auto"/>
          <w:sz w:val="24"/>
          <w:szCs w:val="28"/>
          <w:highlight w:val="none"/>
        </w:rPr>
        <w:t>过程中所发生的费用由乙方承担</w:t>
      </w:r>
      <w:r>
        <w:rPr>
          <w:rFonts w:hint="eastAsia" w:ascii="仿宋" w:hAnsi="仿宋" w:eastAsia="仿宋" w:cs="仿宋"/>
          <w:color w:val="auto"/>
          <w:sz w:val="24"/>
          <w:szCs w:val="28"/>
          <w:highlight w:val="none"/>
          <w:lang w:eastAsia="zh-CN"/>
        </w:rPr>
        <w:t>，</w:t>
      </w:r>
      <w:r>
        <w:rPr>
          <w:rFonts w:hint="eastAsia" w:ascii="仿宋" w:hAnsi="仿宋" w:eastAsia="仿宋" w:cs="仿宋"/>
          <w:color w:val="auto"/>
          <w:sz w:val="24"/>
          <w:szCs w:val="28"/>
          <w:highlight w:val="none"/>
          <w:lang w:val="en-US" w:eastAsia="zh-CN"/>
        </w:rPr>
        <w:t>代</w:t>
      </w:r>
      <w:r>
        <w:rPr>
          <w:rFonts w:hint="eastAsia" w:ascii="仿宋" w:hAnsi="仿宋" w:eastAsia="仿宋" w:cs="仿宋"/>
          <w:color w:val="auto"/>
          <w:sz w:val="24"/>
          <w:szCs w:val="28"/>
          <w:highlight w:val="none"/>
          <w:u w:val="none"/>
          <w:lang w:val="en-US" w:eastAsia="zh-CN"/>
        </w:rPr>
        <w:t>贮</w:t>
      </w:r>
      <w:r>
        <w:rPr>
          <w:rFonts w:hint="eastAsia" w:ascii="仿宋" w:hAnsi="仿宋" w:eastAsia="仿宋" w:cs="仿宋"/>
          <w:color w:val="auto"/>
          <w:sz w:val="24"/>
          <w:szCs w:val="28"/>
          <w:highlight w:val="none"/>
          <w:lang w:val="en-US" w:eastAsia="zh-CN"/>
        </w:rPr>
        <w:t>货物供</w:t>
      </w:r>
      <w:r>
        <w:rPr>
          <w:rFonts w:hint="eastAsia" w:ascii="仿宋" w:hAnsi="仿宋" w:eastAsia="仿宋" w:cs="仿宋"/>
          <w:color w:val="auto"/>
          <w:sz w:val="24"/>
          <w:szCs w:val="28"/>
          <w:highlight w:val="none"/>
        </w:rPr>
        <w:t>完后，协议自动终止。</w:t>
      </w:r>
    </w:p>
    <w:p w14:paraId="364EFDFB">
      <w:pPr>
        <w:pStyle w:val="40"/>
        <w:spacing w:line="360" w:lineRule="auto"/>
        <w:rPr>
          <w:rFonts w:hint="eastAsia" w:ascii="仿宋" w:hAnsi="仿宋" w:eastAsia="仿宋" w:cs="仿宋"/>
          <w:color w:val="auto"/>
          <w:highlight w:val="none"/>
          <w:u w:val="single"/>
          <w:lang w:val="en-US" w:eastAsia="zh-CN"/>
        </w:rPr>
      </w:pPr>
      <w:r>
        <w:rPr>
          <w:rFonts w:hint="eastAsia" w:ascii="仿宋" w:hAnsi="仿宋" w:eastAsia="仿宋" w:cs="仿宋"/>
          <w:color w:val="auto"/>
          <w:sz w:val="24"/>
          <w:szCs w:val="28"/>
          <w:highlight w:val="none"/>
          <w:lang w:val="en-US" w:eastAsia="zh-CN"/>
        </w:rPr>
        <w:t xml:space="preserve">    2、</w:t>
      </w:r>
      <w:r>
        <w:rPr>
          <w:rFonts w:hint="eastAsia" w:ascii="仿宋" w:hAnsi="仿宋" w:eastAsia="仿宋" w:cs="仿宋"/>
          <w:color w:val="auto"/>
          <w:sz w:val="24"/>
          <w:szCs w:val="28"/>
          <w:highlight w:val="none"/>
          <w:lang w:eastAsia="zh-CN"/>
        </w:rPr>
        <w:t>代贮</w:t>
      </w:r>
      <w:r>
        <w:rPr>
          <w:rFonts w:hint="eastAsia" w:ascii="仿宋" w:hAnsi="仿宋" w:eastAsia="仿宋" w:cs="仿宋"/>
          <w:color w:val="auto"/>
          <w:sz w:val="24"/>
          <w:szCs w:val="28"/>
          <w:highlight w:val="none"/>
          <w:lang w:val="en-US" w:eastAsia="zh-CN"/>
        </w:rPr>
        <w:t>地点：</w:t>
      </w:r>
      <w:r>
        <w:rPr>
          <w:rFonts w:hint="eastAsia" w:ascii="仿宋" w:hAnsi="仿宋" w:eastAsia="仿宋" w:cs="仿宋"/>
          <w:color w:val="auto"/>
          <w:sz w:val="24"/>
          <w:szCs w:val="28"/>
          <w:highlight w:val="none"/>
          <w:u w:val="single"/>
          <w:lang w:val="en-US" w:eastAsia="zh-CN"/>
        </w:rPr>
        <w:t xml:space="preserve"> </w:t>
      </w:r>
      <w:r>
        <w:rPr>
          <w:rFonts w:hint="eastAsia" w:ascii="仿宋" w:hAnsi="仿宋" w:eastAsia="仿宋" w:cs="仿宋"/>
          <w:b w:val="0"/>
          <w:bCs w:val="0"/>
          <w:color w:val="auto"/>
          <w:sz w:val="24"/>
          <w:szCs w:val="28"/>
          <w:highlight w:val="none"/>
          <w:u w:val="single"/>
          <w:lang w:val="en-US" w:eastAsia="zh-CN"/>
        </w:rPr>
        <w:t>XXX</w:t>
      </w:r>
      <w:r>
        <w:rPr>
          <w:rFonts w:hint="eastAsia" w:ascii="仿宋" w:hAnsi="仿宋" w:eastAsia="仿宋" w:cs="仿宋"/>
          <w:color w:val="auto"/>
          <w:sz w:val="24"/>
          <w:szCs w:val="28"/>
          <w:highlight w:val="none"/>
          <w:u w:val="single"/>
          <w:lang w:val="en-US" w:eastAsia="zh-CN"/>
        </w:rPr>
        <w:t xml:space="preserve"> </w:t>
      </w:r>
      <w:r>
        <w:rPr>
          <w:rFonts w:hint="eastAsia" w:ascii="仿宋" w:hAnsi="仿宋" w:eastAsia="仿宋" w:cs="仿宋"/>
          <w:color w:val="auto"/>
          <w:sz w:val="24"/>
          <w:szCs w:val="28"/>
          <w:highlight w:val="none"/>
          <w:u w:val="none"/>
          <w:lang w:val="en-US" w:eastAsia="zh-CN"/>
        </w:rPr>
        <w:t>；</w:t>
      </w:r>
      <w:r>
        <w:rPr>
          <w:rFonts w:hint="eastAsia" w:ascii="仿宋" w:hAnsi="仿宋" w:eastAsia="仿宋" w:cs="仿宋"/>
          <w:color w:val="auto"/>
          <w:sz w:val="24"/>
          <w:szCs w:val="28"/>
          <w:highlight w:val="none"/>
          <w:u w:val="none"/>
          <w:lang w:eastAsia="zh-CN"/>
        </w:rPr>
        <w:t>代贮</w:t>
      </w:r>
      <w:r>
        <w:rPr>
          <w:rFonts w:hint="eastAsia" w:ascii="仿宋" w:hAnsi="仿宋" w:eastAsia="仿宋" w:cs="仿宋"/>
          <w:color w:val="auto"/>
          <w:sz w:val="24"/>
          <w:szCs w:val="28"/>
          <w:highlight w:val="none"/>
          <w:u w:val="none"/>
          <w:lang w:val="en-US" w:eastAsia="zh-CN"/>
        </w:rPr>
        <w:t>负责人：</w:t>
      </w:r>
      <w:r>
        <w:rPr>
          <w:rFonts w:hint="eastAsia" w:ascii="仿宋" w:hAnsi="仿宋" w:eastAsia="仿宋" w:cs="仿宋"/>
          <w:color w:val="auto"/>
          <w:sz w:val="24"/>
          <w:szCs w:val="28"/>
          <w:highlight w:val="none"/>
          <w:u w:val="single"/>
          <w:lang w:val="en-US" w:eastAsia="zh-CN"/>
        </w:rPr>
        <w:t xml:space="preserve">XXX </w:t>
      </w:r>
      <w:r>
        <w:rPr>
          <w:rFonts w:hint="eastAsia" w:ascii="仿宋" w:hAnsi="仿宋" w:eastAsia="仿宋" w:cs="仿宋"/>
          <w:color w:val="auto"/>
          <w:sz w:val="24"/>
          <w:szCs w:val="28"/>
          <w:highlight w:val="none"/>
          <w:u w:val="none"/>
          <w:lang w:val="en-US" w:eastAsia="zh-CN"/>
        </w:rPr>
        <w:t xml:space="preserve">，联系方式： </w:t>
      </w:r>
      <w:r>
        <w:rPr>
          <w:rFonts w:hint="eastAsia" w:ascii="仿宋" w:hAnsi="仿宋" w:eastAsia="仿宋" w:cs="仿宋"/>
          <w:color w:val="auto"/>
          <w:sz w:val="24"/>
          <w:szCs w:val="28"/>
          <w:highlight w:val="none"/>
          <w:u w:val="single"/>
          <w:lang w:val="en-US" w:eastAsia="zh-CN"/>
        </w:rPr>
        <w:t xml:space="preserve"> XXX </w:t>
      </w:r>
    </w:p>
    <w:p w14:paraId="5B98162A">
      <w:pPr>
        <w:spacing w:line="360" w:lineRule="auto"/>
        <w:ind w:firstLine="480" w:firstLineChars="200"/>
        <w:jc w:val="lef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3</w:t>
      </w:r>
      <w:r>
        <w:rPr>
          <w:rFonts w:hint="eastAsia" w:ascii="仿宋" w:hAnsi="仿宋" w:eastAsia="仿宋" w:cs="仿宋"/>
          <w:color w:val="auto"/>
          <w:sz w:val="24"/>
          <w:szCs w:val="28"/>
          <w:highlight w:val="none"/>
        </w:rPr>
        <w:t>、乙方接到甲方调拨通知后，按要求时间内</w:t>
      </w:r>
      <w:r>
        <w:rPr>
          <w:rFonts w:hint="eastAsia" w:ascii="仿宋" w:hAnsi="仿宋" w:eastAsia="仿宋" w:cs="仿宋"/>
          <w:color w:val="auto"/>
          <w:sz w:val="24"/>
          <w:szCs w:val="28"/>
          <w:highlight w:val="none"/>
          <w:lang w:val="en-US" w:eastAsia="zh-CN"/>
        </w:rPr>
        <w:t>免费</w:t>
      </w:r>
      <w:r>
        <w:rPr>
          <w:rFonts w:hint="eastAsia" w:ascii="仿宋" w:hAnsi="仿宋" w:eastAsia="仿宋" w:cs="仿宋"/>
          <w:color w:val="auto"/>
          <w:sz w:val="24"/>
          <w:szCs w:val="28"/>
          <w:highlight w:val="none"/>
        </w:rPr>
        <w:t>将</w:t>
      </w:r>
      <w:r>
        <w:rPr>
          <w:rFonts w:hint="eastAsia" w:ascii="仿宋" w:hAnsi="仿宋" w:eastAsia="仿宋" w:cs="仿宋"/>
          <w:color w:val="auto"/>
          <w:sz w:val="24"/>
          <w:szCs w:val="28"/>
          <w:highlight w:val="none"/>
          <w:lang w:val="en-US" w:eastAsia="zh-CN"/>
        </w:rPr>
        <w:t>货物配送</w:t>
      </w:r>
      <w:r>
        <w:rPr>
          <w:rFonts w:hint="eastAsia" w:ascii="仿宋" w:hAnsi="仿宋" w:eastAsia="仿宋" w:cs="仿宋"/>
          <w:color w:val="auto"/>
          <w:sz w:val="24"/>
          <w:szCs w:val="28"/>
          <w:highlight w:val="none"/>
        </w:rPr>
        <w:t>至甲方指定的</w:t>
      </w:r>
      <w:r>
        <w:rPr>
          <w:rFonts w:hint="eastAsia" w:ascii="仿宋" w:hAnsi="仿宋" w:eastAsia="仿宋" w:cs="仿宋"/>
          <w:color w:val="auto"/>
          <w:sz w:val="24"/>
          <w:szCs w:val="28"/>
          <w:highlight w:val="none"/>
          <w:lang w:val="en-US" w:eastAsia="zh-CN"/>
        </w:rPr>
        <w:t>地点</w:t>
      </w:r>
      <w:r>
        <w:rPr>
          <w:rFonts w:hint="eastAsia" w:ascii="仿宋" w:hAnsi="仿宋" w:eastAsia="仿宋" w:cs="仿宋"/>
          <w:color w:val="auto"/>
          <w:sz w:val="24"/>
          <w:szCs w:val="28"/>
          <w:highlight w:val="none"/>
        </w:rPr>
        <w:t>。</w:t>
      </w:r>
    </w:p>
    <w:p w14:paraId="4962ADE5">
      <w:pPr>
        <w:spacing w:line="360" w:lineRule="auto"/>
        <w:ind w:firstLine="424" w:firstLineChars="177"/>
        <w:jc w:val="lef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4</w:t>
      </w:r>
      <w:r>
        <w:rPr>
          <w:rFonts w:hint="eastAsia" w:ascii="仿宋" w:hAnsi="仿宋" w:eastAsia="仿宋" w:cs="仿宋"/>
          <w:color w:val="auto"/>
          <w:sz w:val="24"/>
          <w:szCs w:val="28"/>
          <w:highlight w:val="none"/>
        </w:rPr>
        <w:t>、乙方</w:t>
      </w:r>
      <w:r>
        <w:rPr>
          <w:rFonts w:hint="eastAsia" w:ascii="仿宋" w:hAnsi="仿宋" w:eastAsia="仿宋" w:cs="仿宋"/>
          <w:color w:val="auto"/>
          <w:sz w:val="24"/>
          <w:szCs w:val="28"/>
          <w:highlight w:val="none"/>
          <w:lang w:val="en-US" w:eastAsia="zh-CN"/>
        </w:rPr>
        <w:t>配送</w:t>
      </w:r>
      <w:r>
        <w:rPr>
          <w:rFonts w:hint="eastAsia" w:ascii="仿宋" w:hAnsi="仿宋" w:eastAsia="仿宋" w:cs="仿宋"/>
          <w:color w:val="auto"/>
          <w:sz w:val="24"/>
          <w:szCs w:val="28"/>
          <w:highlight w:val="none"/>
        </w:rPr>
        <w:t>的</w:t>
      </w:r>
      <w:r>
        <w:rPr>
          <w:rFonts w:hint="eastAsia" w:ascii="仿宋" w:hAnsi="仿宋" w:eastAsia="仿宋" w:cs="仿宋"/>
          <w:color w:val="auto"/>
          <w:sz w:val="24"/>
          <w:szCs w:val="28"/>
          <w:highlight w:val="none"/>
          <w:lang w:val="en-US" w:eastAsia="zh-CN"/>
        </w:rPr>
        <w:t>货物</w:t>
      </w:r>
      <w:r>
        <w:rPr>
          <w:rFonts w:hint="eastAsia" w:ascii="仿宋" w:hAnsi="仿宋" w:eastAsia="仿宋" w:cs="仿宋"/>
          <w:color w:val="auto"/>
          <w:sz w:val="24"/>
          <w:szCs w:val="28"/>
          <w:highlight w:val="none"/>
        </w:rPr>
        <w:t>有效期、质量参数</w:t>
      </w:r>
      <w:r>
        <w:rPr>
          <w:rFonts w:hint="eastAsia" w:ascii="仿宋" w:hAnsi="仿宋" w:eastAsia="仿宋" w:cs="仿宋"/>
          <w:color w:val="auto"/>
          <w:sz w:val="24"/>
          <w:szCs w:val="28"/>
          <w:highlight w:val="none"/>
          <w:lang w:val="en-US" w:eastAsia="zh-CN"/>
        </w:rPr>
        <w:t>等按</w:t>
      </w:r>
      <w:r>
        <w:rPr>
          <w:rFonts w:hint="eastAsia" w:ascii="仿宋" w:hAnsi="仿宋" w:eastAsia="仿宋" w:cs="仿宋"/>
          <w:color w:val="auto"/>
          <w:sz w:val="24"/>
          <w:szCs w:val="28"/>
          <w:highlight w:val="none"/>
        </w:rPr>
        <w:t>投标时承诺标准</w:t>
      </w:r>
      <w:r>
        <w:rPr>
          <w:rFonts w:hint="eastAsia" w:ascii="仿宋" w:hAnsi="仿宋" w:eastAsia="仿宋" w:cs="仿宋"/>
          <w:color w:val="auto"/>
          <w:sz w:val="24"/>
          <w:szCs w:val="28"/>
          <w:highlight w:val="none"/>
          <w:lang w:val="en-US" w:eastAsia="zh-CN"/>
        </w:rPr>
        <w:t>执行</w:t>
      </w:r>
      <w:r>
        <w:rPr>
          <w:rFonts w:hint="eastAsia" w:ascii="仿宋" w:hAnsi="仿宋" w:eastAsia="仿宋" w:cs="仿宋"/>
          <w:color w:val="auto"/>
          <w:sz w:val="24"/>
          <w:szCs w:val="28"/>
          <w:highlight w:val="none"/>
        </w:rPr>
        <w:t>。</w:t>
      </w:r>
    </w:p>
    <w:p w14:paraId="7914B093">
      <w:pPr>
        <w:spacing w:line="360" w:lineRule="auto"/>
        <w:ind w:firstLine="480" w:firstLineChars="200"/>
        <w:jc w:val="lef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5、中标产品如遇国家或云南省疫苗种类变更，则应当提供变更后的同类产品，供应的同类产品应符合国家质量技术标准。</w:t>
      </w:r>
    </w:p>
    <w:p w14:paraId="6CAB3313">
      <w:pPr>
        <w:spacing w:line="360" w:lineRule="auto"/>
        <w:ind w:firstLine="480" w:firstLineChars="200"/>
        <w:jc w:val="left"/>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8"/>
          <w:highlight w:val="none"/>
          <w:lang w:val="en-US" w:eastAsia="zh-CN"/>
        </w:rPr>
        <w:t>6、乙方应向甲方指定账户汇入代贮货物同等价值总金额作为货物保证金，供完代贮</w:t>
      </w:r>
      <w:r>
        <w:rPr>
          <w:rFonts w:hint="eastAsia" w:ascii="仿宋" w:hAnsi="仿宋" w:eastAsia="仿宋" w:cs="仿宋"/>
          <w:color w:val="auto"/>
          <w:sz w:val="24"/>
          <w:szCs w:val="22"/>
          <w:highlight w:val="none"/>
          <w:lang w:val="en-US" w:eastAsia="zh-CN"/>
        </w:rPr>
        <w:t>货物后，甲方凭借相关依据退还。</w:t>
      </w:r>
    </w:p>
    <w:p w14:paraId="0F5FB167">
      <w:pPr>
        <w:spacing w:line="360" w:lineRule="auto"/>
        <w:ind w:firstLine="424" w:firstLineChars="177"/>
        <w:jc w:val="lef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7</w:t>
      </w:r>
      <w:r>
        <w:rPr>
          <w:rFonts w:hint="eastAsia" w:ascii="仿宋" w:hAnsi="仿宋" w:eastAsia="仿宋" w:cs="仿宋"/>
          <w:color w:val="auto"/>
          <w:sz w:val="24"/>
          <w:szCs w:val="28"/>
          <w:highlight w:val="none"/>
        </w:rPr>
        <w:t>、本协议壹式贰份,甲乙双方各执壹份。</w:t>
      </w:r>
    </w:p>
    <w:p w14:paraId="41B8BCCD">
      <w:pPr>
        <w:spacing w:line="360" w:lineRule="auto"/>
        <w:ind w:firstLine="424" w:firstLineChars="177"/>
        <w:jc w:val="lef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8</w:t>
      </w:r>
      <w:r>
        <w:rPr>
          <w:rFonts w:hint="eastAsia" w:ascii="仿宋" w:hAnsi="仿宋" w:eastAsia="仿宋" w:cs="仿宋"/>
          <w:color w:val="auto"/>
          <w:sz w:val="24"/>
          <w:szCs w:val="28"/>
          <w:highlight w:val="none"/>
        </w:rPr>
        <w:t>、未尽事宜，双方协商解决</w:t>
      </w:r>
      <w:r>
        <w:rPr>
          <w:rFonts w:hint="eastAsia" w:ascii="仿宋" w:hAnsi="仿宋" w:eastAsia="仿宋" w:cs="仿宋"/>
          <w:color w:val="auto"/>
          <w:sz w:val="24"/>
          <w:szCs w:val="28"/>
          <w:highlight w:val="none"/>
          <w:lang w:val="en-US" w:eastAsia="zh-CN"/>
        </w:rPr>
        <w:t>或按相关法律法规执行</w:t>
      </w:r>
      <w:r>
        <w:rPr>
          <w:rFonts w:hint="eastAsia" w:ascii="仿宋" w:hAnsi="仿宋" w:eastAsia="仿宋" w:cs="仿宋"/>
          <w:color w:val="auto"/>
          <w:sz w:val="24"/>
          <w:szCs w:val="28"/>
          <w:highlight w:val="none"/>
        </w:rPr>
        <w:t>。</w:t>
      </w:r>
    </w:p>
    <w:p w14:paraId="23FAECA6">
      <w:pPr>
        <w:spacing w:line="360" w:lineRule="auto"/>
        <w:ind w:firstLine="424" w:firstLineChars="177"/>
        <w:jc w:val="left"/>
        <w:rPr>
          <w:rFonts w:hint="eastAsia" w:ascii="仿宋" w:hAnsi="仿宋" w:eastAsia="仿宋" w:cs="仿宋"/>
          <w:color w:val="auto"/>
          <w:sz w:val="24"/>
          <w:szCs w:val="28"/>
          <w:highlight w:val="none"/>
        </w:rPr>
      </w:pPr>
    </w:p>
    <w:p w14:paraId="42AFEC28">
      <w:pPr>
        <w:spacing w:line="360" w:lineRule="auto"/>
        <w:ind w:firstLine="424" w:firstLineChars="177"/>
        <w:jc w:val="lef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甲方</w:t>
      </w:r>
      <w:r>
        <w:rPr>
          <w:rFonts w:hint="eastAsia" w:ascii="仿宋" w:hAnsi="仿宋" w:eastAsia="仿宋" w:cs="仿宋"/>
          <w:color w:val="auto"/>
          <w:sz w:val="24"/>
          <w:szCs w:val="28"/>
          <w:highlight w:val="none"/>
          <w:lang w:eastAsia="zh-CN"/>
        </w:rPr>
        <w:t>（</w:t>
      </w:r>
      <w:r>
        <w:rPr>
          <w:rFonts w:hint="eastAsia" w:ascii="仿宋" w:hAnsi="仿宋" w:eastAsia="仿宋" w:cs="仿宋"/>
          <w:color w:val="auto"/>
          <w:sz w:val="24"/>
          <w:szCs w:val="28"/>
          <w:highlight w:val="none"/>
          <w:lang w:val="en-US" w:eastAsia="zh-CN"/>
        </w:rPr>
        <w:t>签章</w:t>
      </w:r>
      <w:r>
        <w:rPr>
          <w:rFonts w:hint="eastAsia" w:ascii="仿宋" w:hAnsi="仿宋" w:eastAsia="仿宋" w:cs="仿宋"/>
          <w:color w:val="auto"/>
          <w:sz w:val="24"/>
          <w:szCs w:val="28"/>
          <w:highlight w:val="none"/>
          <w:lang w:eastAsia="zh-CN"/>
        </w:rPr>
        <w:t>）</w:t>
      </w:r>
      <w:r>
        <w:rPr>
          <w:rFonts w:hint="eastAsia" w:ascii="仿宋" w:hAnsi="仿宋" w:eastAsia="仿宋" w:cs="仿宋"/>
          <w:color w:val="auto"/>
          <w:sz w:val="24"/>
          <w:szCs w:val="28"/>
          <w:highlight w:val="none"/>
        </w:rPr>
        <w:t>：                            乙方</w:t>
      </w:r>
      <w:r>
        <w:rPr>
          <w:rFonts w:hint="eastAsia" w:ascii="仿宋" w:hAnsi="仿宋" w:eastAsia="仿宋" w:cs="仿宋"/>
          <w:color w:val="auto"/>
          <w:sz w:val="24"/>
          <w:szCs w:val="28"/>
          <w:highlight w:val="none"/>
          <w:lang w:eastAsia="zh-CN"/>
        </w:rPr>
        <w:t>（</w:t>
      </w:r>
      <w:r>
        <w:rPr>
          <w:rFonts w:hint="eastAsia" w:ascii="仿宋" w:hAnsi="仿宋" w:eastAsia="仿宋" w:cs="仿宋"/>
          <w:color w:val="auto"/>
          <w:sz w:val="24"/>
          <w:szCs w:val="28"/>
          <w:highlight w:val="none"/>
          <w:lang w:val="en-US" w:eastAsia="zh-CN"/>
        </w:rPr>
        <w:t>签章</w:t>
      </w:r>
      <w:r>
        <w:rPr>
          <w:rFonts w:hint="eastAsia" w:ascii="仿宋" w:hAnsi="仿宋" w:eastAsia="仿宋" w:cs="仿宋"/>
          <w:color w:val="auto"/>
          <w:sz w:val="24"/>
          <w:szCs w:val="28"/>
          <w:highlight w:val="none"/>
          <w:lang w:eastAsia="zh-CN"/>
        </w:rPr>
        <w:t>）</w:t>
      </w:r>
      <w:r>
        <w:rPr>
          <w:rFonts w:hint="eastAsia" w:ascii="仿宋" w:hAnsi="仿宋" w:eastAsia="仿宋" w:cs="仿宋"/>
          <w:color w:val="auto"/>
          <w:sz w:val="24"/>
          <w:szCs w:val="28"/>
          <w:highlight w:val="none"/>
        </w:rPr>
        <w:t>：</w:t>
      </w:r>
    </w:p>
    <w:p w14:paraId="3EB1EF62">
      <w:pPr>
        <w:spacing w:line="360" w:lineRule="auto"/>
        <w:ind w:firstLine="424" w:firstLineChars="177"/>
        <w:jc w:val="left"/>
        <w:rPr>
          <w:rFonts w:hint="eastAsia" w:ascii="仿宋" w:hAnsi="仿宋" w:eastAsia="仿宋" w:cs="仿宋"/>
          <w:color w:val="auto"/>
          <w:sz w:val="24"/>
          <w:szCs w:val="28"/>
          <w:highlight w:val="none"/>
          <w:lang w:eastAsia="zh-CN"/>
        </w:rPr>
      </w:pPr>
      <w:r>
        <w:rPr>
          <w:rFonts w:hint="eastAsia" w:ascii="仿宋" w:hAnsi="仿宋" w:eastAsia="仿宋" w:cs="仿宋"/>
          <w:color w:val="auto"/>
          <w:sz w:val="24"/>
          <w:szCs w:val="28"/>
          <w:highlight w:val="none"/>
        </w:rPr>
        <w:t>授权代表（签字）</w:t>
      </w:r>
      <w:r>
        <w:rPr>
          <w:rFonts w:hint="eastAsia" w:ascii="仿宋" w:hAnsi="仿宋" w:eastAsia="仿宋" w:cs="仿宋"/>
          <w:color w:val="auto"/>
          <w:sz w:val="24"/>
          <w:szCs w:val="28"/>
          <w:highlight w:val="none"/>
          <w:lang w:eastAsia="zh-CN"/>
        </w:rPr>
        <w:t>：</w:t>
      </w:r>
      <w:r>
        <w:rPr>
          <w:rFonts w:hint="eastAsia" w:ascii="仿宋" w:hAnsi="仿宋" w:eastAsia="仿宋" w:cs="仿宋"/>
          <w:color w:val="auto"/>
          <w:sz w:val="24"/>
          <w:szCs w:val="28"/>
          <w:highlight w:val="none"/>
        </w:rPr>
        <w:t xml:space="preserve">                        授权代表（签字）</w:t>
      </w:r>
      <w:r>
        <w:rPr>
          <w:rFonts w:hint="eastAsia" w:ascii="仿宋" w:hAnsi="仿宋" w:eastAsia="仿宋" w:cs="仿宋"/>
          <w:color w:val="auto"/>
          <w:sz w:val="24"/>
          <w:szCs w:val="28"/>
          <w:highlight w:val="none"/>
          <w:lang w:eastAsia="zh-CN"/>
        </w:rPr>
        <w:t>：</w:t>
      </w:r>
    </w:p>
    <w:p w14:paraId="4977A939">
      <w:pPr>
        <w:spacing w:line="360" w:lineRule="auto"/>
        <w:ind w:left="6239" w:leftChars="228" w:hanging="5760" w:hangingChars="2400"/>
        <w:jc w:val="lef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地址：</w:t>
      </w:r>
      <w:r>
        <w:rPr>
          <w:rFonts w:hint="eastAsia" w:ascii="仿宋" w:hAnsi="仿宋" w:eastAsia="仿宋" w:cs="仿宋"/>
          <w:color w:val="auto"/>
          <w:sz w:val="24"/>
          <w:szCs w:val="28"/>
          <w:highlight w:val="none"/>
          <w:lang w:val="en-US" w:eastAsia="zh-CN"/>
        </w:rPr>
        <w:t xml:space="preserve">                                   </w:t>
      </w:r>
      <w:r>
        <w:rPr>
          <w:rFonts w:hint="eastAsia" w:ascii="仿宋" w:hAnsi="仿宋" w:eastAsia="仿宋" w:cs="仿宋"/>
          <w:color w:val="auto"/>
          <w:sz w:val="24"/>
          <w:szCs w:val="28"/>
          <w:highlight w:val="none"/>
        </w:rPr>
        <w:t>地址：</w:t>
      </w:r>
    </w:p>
    <w:p w14:paraId="0D89A07E">
      <w:pPr>
        <w:spacing w:line="360" w:lineRule="auto"/>
        <w:ind w:firstLine="424" w:firstLineChars="177"/>
        <w:jc w:val="lef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rPr>
        <w:t xml:space="preserve">邮政编码：                       </w:t>
      </w:r>
      <w:r>
        <w:rPr>
          <w:rFonts w:hint="eastAsia" w:ascii="仿宋" w:hAnsi="仿宋" w:eastAsia="仿宋" w:cs="仿宋"/>
          <w:color w:val="auto"/>
          <w:sz w:val="24"/>
          <w:szCs w:val="28"/>
          <w:highlight w:val="none"/>
          <w:lang w:val="en-US" w:eastAsia="zh-CN"/>
        </w:rPr>
        <w:t xml:space="preserve">       </w:t>
      </w:r>
      <w:r>
        <w:rPr>
          <w:rFonts w:hint="eastAsia" w:ascii="仿宋" w:hAnsi="仿宋" w:eastAsia="仿宋" w:cs="仿宋"/>
          <w:color w:val="auto"/>
          <w:sz w:val="24"/>
          <w:szCs w:val="28"/>
          <w:highlight w:val="none"/>
        </w:rPr>
        <w:t xml:space="preserve">  邮政编码：</w:t>
      </w:r>
    </w:p>
    <w:p w14:paraId="7D61505A">
      <w:pPr>
        <w:spacing w:line="360" w:lineRule="auto"/>
        <w:ind w:firstLine="424" w:firstLineChars="177"/>
        <w:jc w:val="lef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电话：                       </w:t>
      </w:r>
      <w:r>
        <w:rPr>
          <w:rFonts w:hint="eastAsia" w:ascii="仿宋" w:hAnsi="仿宋" w:eastAsia="仿宋" w:cs="仿宋"/>
          <w:color w:val="auto"/>
          <w:sz w:val="24"/>
          <w:szCs w:val="28"/>
          <w:highlight w:val="none"/>
          <w:lang w:val="en-US" w:eastAsia="zh-CN"/>
        </w:rPr>
        <w:t xml:space="preserve">             </w:t>
      </w:r>
      <w:r>
        <w:rPr>
          <w:rFonts w:hint="eastAsia" w:ascii="仿宋" w:hAnsi="仿宋" w:eastAsia="仿宋" w:cs="仿宋"/>
          <w:color w:val="auto"/>
          <w:sz w:val="24"/>
          <w:szCs w:val="28"/>
          <w:highlight w:val="none"/>
        </w:rPr>
        <w:t>电话：</w:t>
      </w:r>
    </w:p>
    <w:p w14:paraId="467C7DF7">
      <w:pPr>
        <w:pStyle w:val="40"/>
        <w:rPr>
          <w:rFonts w:hint="default" w:eastAsia="仿宋"/>
          <w:color w:val="auto"/>
          <w:highlight w:val="none"/>
          <w:lang w:val="en-US" w:eastAsia="zh-CN"/>
        </w:rPr>
      </w:pPr>
      <w:r>
        <w:rPr>
          <w:rFonts w:hint="eastAsia" w:ascii="仿宋" w:hAnsi="仿宋" w:eastAsia="仿宋" w:cs="仿宋"/>
          <w:color w:val="auto"/>
          <w:sz w:val="24"/>
          <w:szCs w:val="28"/>
          <w:highlight w:val="none"/>
          <w:lang w:val="en-US" w:eastAsia="zh-CN"/>
        </w:rPr>
        <w:t xml:space="preserve">       年  月  日                                 年  月  日</w:t>
      </w:r>
    </w:p>
    <w:p w14:paraId="1A3A5C3E">
      <w:pPr>
        <w:pStyle w:val="2"/>
        <w:numPr>
          <w:ilvl w:val="0"/>
          <w:numId w:val="0"/>
        </w:num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bookmarkStart w:id="700" w:name="_Toc13888"/>
      <w:bookmarkStart w:id="701" w:name="_Toc216772545"/>
      <w:bookmarkStart w:id="702" w:name="_Toc202061133"/>
      <w:bookmarkStart w:id="703" w:name="_Toc17040812"/>
      <w:bookmarkStart w:id="704" w:name="_Toc199322152"/>
      <w:bookmarkStart w:id="705" w:name="_Toc200169519"/>
      <w:bookmarkStart w:id="706" w:name="_Toc18400"/>
      <w:bookmarkStart w:id="707" w:name="_Toc17041050"/>
      <w:bookmarkStart w:id="708" w:name="_Toc17040933"/>
      <w:bookmarkStart w:id="709" w:name="_Toc200817301"/>
      <w:bookmarkStart w:id="710" w:name="_Toc262675634"/>
      <w:bookmarkStart w:id="711" w:name="_Toc17040934"/>
      <w:bookmarkStart w:id="712" w:name="_Toc6097"/>
      <w:bookmarkStart w:id="713" w:name="_Toc272432339"/>
      <w:bookmarkStart w:id="714" w:name="_Toc17041051"/>
      <w:bookmarkStart w:id="715" w:name="_Toc17040813"/>
      <w:r>
        <w:rPr>
          <w:rFonts w:hint="eastAsia" w:ascii="仿宋" w:hAnsi="仿宋" w:eastAsia="仿宋" w:cs="仿宋"/>
          <w:color w:val="auto"/>
          <w:sz w:val="48"/>
          <w:szCs w:val="48"/>
          <w:highlight w:val="none"/>
          <w:lang w:val="en-US" w:eastAsia="zh-CN"/>
        </w:rPr>
        <w:t>第五章 项目内容</w:t>
      </w:r>
      <w:bookmarkEnd w:id="700"/>
      <w:bookmarkEnd w:id="701"/>
      <w:bookmarkEnd w:id="702"/>
      <w:bookmarkEnd w:id="703"/>
      <w:bookmarkEnd w:id="704"/>
      <w:bookmarkEnd w:id="705"/>
      <w:bookmarkEnd w:id="706"/>
      <w:bookmarkEnd w:id="707"/>
      <w:bookmarkEnd w:id="708"/>
      <w:bookmarkEnd w:id="709"/>
    </w:p>
    <w:p w14:paraId="3325B263">
      <w:pPr>
        <w:pStyle w:val="3"/>
        <w:spacing w:line="360" w:lineRule="auto"/>
        <w:jc w:val="left"/>
        <w:rPr>
          <w:rFonts w:hint="eastAsia" w:ascii="仿宋" w:hAnsi="仿宋" w:eastAsia="仿宋" w:cs="仿宋"/>
          <w:b/>
          <w:bCs/>
          <w:color w:val="auto"/>
          <w:sz w:val="28"/>
          <w:szCs w:val="28"/>
          <w:highlight w:val="none"/>
          <w:lang w:val="en-US" w:eastAsia="zh-CN"/>
        </w:rPr>
      </w:pPr>
      <w:bookmarkStart w:id="716" w:name="_Toc9381"/>
      <w:r>
        <w:rPr>
          <w:rFonts w:hint="eastAsia" w:ascii="仿宋" w:hAnsi="仿宋" w:eastAsia="仿宋" w:cs="仿宋"/>
          <w:b/>
          <w:bCs/>
          <w:color w:val="auto"/>
          <w:sz w:val="28"/>
          <w:szCs w:val="28"/>
          <w:highlight w:val="none"/>
          <w:lang w:val="en-US" w:eastAsia="zh-CN"/>
        </w:rPr>
        <w:t>5.1采购需求清单</w:t>
      </w:r>
      <w:bookmarkEnd w:id="716"/>
    </w:p>
    <w:tbl>
      <w:tblPr>
        <w:tblStyle w:val="3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1134"/>
        <w:gridCol w:w="2819"/>
        <w:gridCol w:w="885"/>
        <w:gridCol w:w="975"/>
        <w:gridCol w:w="900"/>
        <w:gridCol w:w="2109"/>
      </w:tblGrid>
      <w:tr w14:paraId="7E01D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trPr>
        <w:tc>
          <w:tcPr>
            <w:tcW w:w="245" w:type="pct"/>
            <w:vAlign w:val="center"/>
          </w:tcPr>
          <w:p w14:paraId="1C05034C">
            <w:pPr>
              <w:keepNext w:val="0"/>
              <w:keepLines w:val="0"/>
              <w:pageBreakBefore w:val="0"/>
              <w:widowControl/>
              <w:kinsoku/>
              <w:wordWrap/>
              <w:overflowPunct/>
              <w:topLinePunct w:val="0"/>
              <w:autoSpaceDE/>
              <w:autoSpaceDN/>
              <w:bidi w:val="0"/>
              <w:adjustRightInd/>
              <w:spacing w:line="240" w:lineRule="auto"/>
              <w:jc w:val="center"/>
              <w:textAlignment w:val="auto"/>
              <w:rPr>
                <w:rFonts w:hint="default"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kern w:val="0"/>
                <w:sz w:val="24"/>
                <w:szCs w:val="24"/>
                <w:highlight w:val="none"/>
                <w:lang w:val="en-US" w:eastAsia="zh-CN"/>
              </w:rPr>
              <w:t>标段号</w:t>
            </w:r>
          </w:p>
        </w:tc>
        <w:tc>
          <w:tcPr>
            <w:tcW w:w="611" w:type="pct"/>
            <w:vAlign w:val="center"/>
          </w:tcPr>
          <w:p w14:paraId="2237A32E">
            <w:pPr>
              <w:keepNext w:val="0"/>
              <w:keepLines w:val="0"/>
              <w:pageBreakBefore w:val="0"/>
              <w:widowControl/>
              <w:kinsoku/>
              <w:wordWrap/>
              <w:overflowPunct/>
              <w:topLinePunct w:val="0"/>
              <w:autoSpaceDE/>
              <w:autoSpaceDN/>
              <w:bidi w:val="0"/>
              <w:adjustRightInd/>
              <w:spacing w:line="240" w:lineRule="auto"/>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kern w:val="0"/>
                <w:sz w:val="24"/>
                <w:szCs w:val="24"/>
                <w:highlight w:val="none"/>
              </w:rPr>
              <w:t>产品名称</w:t>
            </w:r>
          </w:p>
        </w:tc>
        <w:tc>
          <w:tcPr>
            <w:tcW w:w="1519" w:type="pct"/>
            <w:vAlign w:val="center"/>
          </w:tcPr>
          <w:p w14:paraId="763F43BE">
            <w:pPr>
              <w:keepNext w:val="0"/>
              <w:keepLines w:val="0"/>
              <w:pageBreakBefore w:val="0"/>
              <w:widowControl/>
              <w:kinsoku/>
              <w:wordWrap/>
              <w:overflowPunct/>
              <w:topLinePunct w:val="0"/>
              <w:autoSpaceDE/>
              <w:autoSpaceDN/>
              <w:bidi w:val="0"/>
              <w:adjustRightInd/>
              <w:spacing w:line="240" w:lineRule="auto"/>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kern w:val="0"/>
                <w:sz w:val="24"/>
                <w:szCs w:val="24"/>
                <w:highlight w:val="none"/>
              </w:rPr>
              <w:t>规格、技术参数、性能要求</w:t>
            </w:r>
          </w:p>
        </w:tc>
        <w:tc>
          <w:tcPr>
            <w:tcW w:w="476" w:type="pct"/>
            <w:vAlign w:val="center"/>
          </w:tcPr>
          <w:p w14:paraId="64ED5BD2">
            <w:pPr>
              <w:keepNext w:val="0"/>
              <w:keepLines w:val="0"/>
              <w:pageBreakBefore w:val="0"/>
              <w:widowControl/>
              <w:kinsoku/>
              <w:wordWrap/>
              <w:overflowPunct/>
              <w:topLinePunct w:val="0"/>
              <w:autoSpaceDE/>
              <w:autoSpaceDN/>
              <w:bidi w:val="0"/>
              <w:adjustRightInd/>
              <w:spacing w:line="240" w:lineRule="auto"/>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color w:val="auto"/>
                <w:sz w:val="24"/>
                <w:szCs w:val="24"/>
                <w:highlight w:val="none"/>
                <w:lang w:val="en-US" w:eastAsia="zh-CN"/>
              </w:rPr>
              <w:t>计量单位</w:t>
            </w:r>
          </w:p>
        </w:tc>
        <w:tc>
          <w:tcPr>
            <w:tcW w:w="525" w:type="pct"/>
            <w:vAlign w:val="center"/>
          </w:tcPr>
          <w:p w14:paraId="7054C74B">
            <w:pPr>
              <w:keepNext w:val="0"/>
              <w:keepLines w:val="0"/>
              <w:pageBreakBefore w:val="0"/>
              <w:widowControl/>
              <w:kinsoku/>
              <w:wordWrap/>
              <w:overflowPunct/>
              <w:topLinePunct w:val="0"/>
              <w:autoSpaceDE/>
              <w:autoSpaceDN/>
              <w:bidi w:val="0"/>
              <w:adjustRightInd/>
              <w:spacing w:line="240" w:lineRule="auto"/>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color w:val="auto"/>
                <w:sz w:val="24"/>
                <w:szCs w:val="24"/>
                <w:highlight w:val="none"/>
                <w:lang w:val="en-US" w:eastAsia="zh-CN"/>
              </w:rPr>
              <w:t>最高限价（单价）</w:t>
            </w:r>
          </w:p>
        </w:tc>
        <w:tc>
          <w:tcPr>
            <w:tcW w:w="485" w:type="pct"/>
            <w:vAlign w:val="center"/>
          </w:tcPr>
          <w:p w14:paraId="5DACA9EF">
            <w:pPr>
              <w:keepNext w:val="0"/>
              <w:keepLines w:val="0"/>
              <w:pageBreakBefore w:val="0"/>
              <w:widowControl/>
              <w:kinsoku/>
              <w:wordWrap/>
              <w:overflowPunct/>
              <w:topLinePunct w:val="0"/>
              <w:autoSpaceDE/>
              <w:autoSpaceDN/>
              <w:bidi w:val="0"/>
              <w:adjustRightInd/>
              <w:spacing w:line="240" w:lineRule="auto"/>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color w:val="auto"/>
                <w:sz w:val="24"/>
                <w:szCs w:val="24"/>
                <w:highlight w:val="none"/>
                <w:lang w:val="en-US" w:eastAsia="zh-CN"/>
              </w:rPr>
              <w:t>预算总金额</w:t>
            </w:r>
          </w:p>
        </w:tc>
        <w:tc>
          <w:tcPr>
            <w:tcW w:w="1136" w:type="pct"/>
            <w:vAlign w:val="center"/>
          </w:tcPr>
          <w:p w14:paraId="093A7A63">
            <w:pPr>
              <w:keepNext w:val="0"/>
              <w:keepLines w:val="0"/>
              <w:pageBreakBefore w:val="0"/>
              <w:widowControl/>
              <w:kinsoku/>
              <w:wordWrap/>
              <w:overflowPunct/>
              <w:topLinePunct w:val="0"/>
              <w:autoSpaceDE/>
              <w:autoSpaceDN/>
              <w:bidi w:val="0"/>
              <w:adjustRightInd/>
              <w:spacing w:line="240" w:lineRule="auto"/>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color w:val="auto"/>
                <w:sz w:val="24"/>
                <w:szCs w:val="24"/>
                <w:highlight w:val="none"/>
                <w:lang w:val="en-US" w:eastAsia="zh-CN"/>
              </w:rPr>
              <w:t>其他要求</w:t>
            </w:r>
          </w:p>
        </w:tc>
      </w:tr>
      <w:tr w14:paraId="6ACBD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5" w:type="pct"/>
            <w:vAlign w:val="center"/>
          </w:tcPr>
          <w:p w14:paraId="7EB774F4">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一标段</w:t>
            </w:r>
          </w:p>
        </w:tc>
        <w:tc>
          <w:tcPr>
            <w:tcW w:w="611" w:type="pct"/>
            <w:vAlign w:val="center"/>
          </w:tcPr>
          <w:p w14:paraId="7DD27FAF">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猪口蹄疫O型南非Ⅰ型二价疫苗</w:t>
            </w:r>
          </w:p>
        </w:tc>
        <w:tc>
          <w:tcPr>
            <w:tcW w:w="1519" w:type="pct"/>
            <w:vAlign w:val="center"/>
          </w:tcPr>
          <w:p w14:paraId="434115B4">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规格：50ml/瓶；</w:t>
            </w:r>
            <w:r>
              <w:rPr>
                <w:rFonts w:hint="eastAsia" w:ascii="仿宋" w:hAnsi="仿宋" w:eastAsia="仿宋" w:cs="仿宋"/>
                <w:b w:val="0"/>
                <w:bCs/>
                <w:color w:val="auto"/>
                <w:sz w:val="24"/>
                <w:szCs w:val="24"/>
                <w:highlight w:val="none"/>
                <w:lang w:val="en-US" w:eastAsia="zh-CN"/>
              </w:rPr>
              <w:t>用口蹄疫O型和南非Ⅰ型疫苗株接种细胞，收获细胞培养物，经BEI灭活后，加油佐剂混合乳化制成或采用固相合成技术人工合成口蹄疫病毒主要抗原位点，并连接可激活辅助性T细胞的短肽，以此作为免疫原，加油佐剂混合乳化制成或用表达O型、南非Ⅰ型口蹄疫病毒VP0、VP1和VP3三种结构蛋白的工程菌BL21（pSMK/O/VP0/VP1/VP3）接种培养并诱导表达，收获诱导表达后的菌体，经裂解及纯化，然后将目的蛋白用特异性蛋白酶酶切后，组装成口蹄疫病毒样颗粒，与油佐剂混合乳化制成，用于预防猪O型、南非Ⅰ型口蹄疫，可抵抗目前国内主要流行毒株，效力检验含量不少于6PD50/头份，内毒素含量不高于50EU/头份。</w:t>
            </w:r>
          </w:p>
        </w:tc>
        <w:tc>
          <w:tcPr>
            <w:tcW w:w="476" w:type="pct"/>
            <w:vAlign w:val="center"/>
          </w:tcPr>
          <w:p w14:paraId="5DEC0513">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头份</w:t>
            </w:r>
          </w:p>
        </w:tc>
        <w:tc>
          <w:tcPr>
            <w:tcW w:w="525" w:type="pct"/>
            <w:vAlign w:val="center"/>
          </w:tcPr>
          <w:p w14:paraId="5C2AC545">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3.00</w:t>
            </w:r>
            <w:r>
              <w:rPr>
                <w:rFonts w:hint="eastAsia" w:ascii="仿宋" w:hAnsi="仿宋" w:eastAsia="仿宋" w:cs="仿宋"/>
                <w:bCs/>
                <w:color w:val="auto"/>
                <w:sz w:val="24"/>
                <w:szCs w:val="24"/>
                <w:highlight w:val="none"/>
              </w:rPr>
              <w:t>元/头份</w:t>
            </w:r>
          </w:p>
        </w:tc>
        <w:tc>
          <w:tcPr>
            <w:tcW w:w="485" w:type="pct"/>
            <w:vAlign w:val="center"/>
          </w:tcPr>
          <w:p w14:paraId="707549E0">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67万元</w:t>
            </w:r>
          </w:p>
        </w:tc>
        <w:tc>
          <w:tcPr>
            <w:tcW w:w="1136" w:type="pct"/>
            <w:vAlign w:val="center"/>
          </w:tcPr>
          <w:p w14:paraId="6FA44203">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（1）所投疫苗毒株须符合农业农村部最新发布的《重大动物疫病强制免疫疫苗毒株推荐目录》，若政策调整毒株，乙方须免费更换为对应新毒株疫苗，保持单价不变。</w:t>
            </w:r>
          </w:p>
          <w:p w14:paraId="2079AA31">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（2）投标文件提供最新技术支持资料支持参数技术规格偏离表的应当或作出说明解释；</w:t>
            </w:r>
          </w:p>
          <w:p w14:paraId="7C773764">
            <w:pPr>
              <w:keepNext w:val="0"/>
              <w:keepLines w:val="0"/>
              <w:pageBreakBefore w:val="0"/>
              <w:kinsoku/>
              <w:wordWrap/>
              <w:overflowPunct/>
              <w:topLinePunct w:val="0"/>
              <w:autoSpaceDE/>
              <w:autoSpaceDN/>
              <w:bidi w:val="0"/>
              <w:adjustRightInd/>
              <w:snapToGrid w:val="0"/>
              <w:spacing w:line="240" w:lineRule="auto"/>
              <w:ind w:right="-84" w:rightChars="-40"/>
              <w:jc w:val="center"/>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（3）交货需求：中标单位应按采购人要求的时间全程冷链运输疫苗送达指定地点，免费送货上门，并承诺货物的有效期不得低于产品本身质保期的2/3；交货方式为落地交货</w:t>
            </w:r>
            <w:r>
              <w:rPr>
                <w:rFonts w:hint="eastAsia" w:ascii="仿宋" w:hAnsi="仿宋" w:eastAsia="仿宋" w:cs="仿宋"/>
                <w:color w:val="auto"/>
                <w:spacing w:val="-2"/>
                <w:kern w:val="0"/>
                <w:sz w:val="24"/>
                <w:highlight w:val="none"/>
                <w:lang w:val="en-US" w:eastAsia="zh-CN"/>
              </w:rPr>
              <w:t>。</w:t>
            </w:r>
          </w:p>
        </w:tc>
      </w:tr>
    </w:tbl>
    <w:p w14:paraId="2FC692E6">
      <w:pPr>
        <w:pStyle w:val="3"/>
        <w:spacing w:line="360" w:lineRule="auto"/>
        <w:jc w:val="left"/>
        <w:rPr>
          <w:rFonts w:hint="eastAsia" w:ascii="仿宋" w:hAnsi="仿宋" w:eastAsia="仿宋" w:cs="仿宋"/>
          <w:b/>
          <w:bCs/>
          <w:color w:val="auto"/>
          <w:sz w:val="28"/>
          <w:szCs w:val="28"/>
          <w:highlight w:val="none"/>
          <w:lang w:val="en-US" w:eastAsia="zh-CN"/>
        </w:rPr>
      </w:pPr>
    </w:p>
    <w:p w14:paraId="1BC96B33">
      <w:pPr>
        <w:rPr>
          <w:rFonts w:hint="eastAsia" w:ascii="仿宋" w:hAnsi="仿宋" w:eastAsia="仿宋" w:cs="仿宋"/>
          <w:b/>
          <w:bCs/>
          <w:color w:val="auto"/>
          <w:sz w:val="28"/>
          <w:szCs w:val="28"/>
          <w:highlight w:val="none"/>
          <w:lang w:val="en-US" w:eastAsia="zh-CN"/>
        </w:rPr>
      </w:pPr>
    </w:p>
    <w:p w14:paraId="296609EE">
      <w:pPr>
        <w:rPr>
          <w:rFonts w:hint="eastAsia" w:ascii="仿宋" w:hAnsi="仿宋" w:eastAsia="仿宋" w:cs="仿宋"/>
          <w:b/>
          <w:bCs/>
          <w:color w:val="auto"/>
          <w:sz w:val="28"/>
          <w:szCs w:val="28"/>
          <w:highlight w:val="none"/>
          <w:lang w:val="en-US" w:eastAsia="zh-CN"/>
        </w:rPr>
      </w:pPr>
    </w:p>
    <w:p w14:paraId="055D37D7">
      <w:pPr>
        <w:pStyle w:val="3"/>
        <w:spacing w:line="360" w:lineRule="auto"/>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5.2商务要求</w:t>
      </w:r>
    </w:p>
    <w:tbl>
      <w:tblPr>
        <w:tblStyle w:val="35"/>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3"/>
        <w:gridCol w:w="7692"/>
      </w:tblGrid>
      <w:tr w14:paraId="5ACEB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85" w:type="dxa"/>
            <w:gridSpan w:val="2"/>
            <w:vAlign w:val="center"/>
          </w:tcPr>
          <w:p w14:paraId="342537AD">
            <w:pP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一标段</w:t>
            </w:r>
          </w:p>
        </w:tc>
      </w:tr>
      <w:tr w14:paraId="201F6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3" w:type="dxa"/>
            <w:vAlign w:val="center"/>
          </w:tcPr>
          <w:p w14:paraId="2122428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bCs/>
                <w:color w:val="auto"/>
                <w:sz w:val="24"/>
                <w:szCs w:val="24"/>
                <w:highlight w:val="none"/>
              </w:rPr>
              <w:t>质保期</w:t>
            </w:r>
          </w:p>
        </w:tc>
        <w:tc>
          <w:tcPr>
            <w:tcW w:w="7692" w:type="dxa"/>
            <w:vAlign w:val="center"/>
          </w:tcPr>
          <w:p w14:paraId="70144E4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免费送货上门。</w:t>
            </w:r>
            <w:r>
              <w:rPr>
                <w:rFonts w:hint="eastAsia" w:ascii="仿宋" w:hAnsi="仿宋" w:eastAsia="仿宋" w:cs="仿宋"/>
                <w:color w:val="auto"/>
                <w:spacing w:val="-2"/>
                <w:kern w:val="0"/>
                <w:sz w:val="24"/>
                <w:szCs w:val="24"/>
                <w:highlight w:val="none"/>
                <w:lang w:val="en-US" w:eastAsia="zh-CN"/>
              </w:rPr>
              <w:t>中标单位应按采购人要求的时间全程冷链运输疫苗送达指定地点，免费送货上门，如中标货物有效期为12个月的，送达采购方指定地点的有效期应保证不少于8个月（含8个月）；如中标货物有效期为12个月以上的，送达采购方指定地点的有效期应保证不少于12个月（含12个月）；如中标货物有效期为24个月以上的，送达采购方指定地点的有效期应保证不少于18个月（含18个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如遇紧急免疫需要，经双方协商一致，中标人可提供尚在有效期内的中标货物。货物从生产地运送到采购人指定地点，必须符合动物疫苗运输环节质量保障及管理要求。</w:t>
            </w:r>
          </w:p>
        </w:tc>
      </w:tr>
      <w:tr w14:paraId="5B96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593" w:type="dxa"/>
            <w:vAlign w:val="center"/>
          </w:tcPr>
          <w:p w14:paraId="70713755">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质量要求</w:t>
            </w:r>
          </w:p>
        </w:tc>
        <w:tc>
          <w:tcPr>
            <w:tcW w:w="7692" w:type="dxa"/>
            <w:vAlign w:val="center"/>
          </w:tcPr>
          <w:p w14:paraId="7D54391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满足现行国家强制标准，</w:t>
            </w:r>
            <w:r>
              <w:rPr>
                <w:rFonts w:hint="eastAsia" w:ascii="仿宋" w:hAnsi="仿宋" w:eastAsia="仿宋" w:cs="仿宋"/>
                <w:color w:val="auto"/>
                <w:sz w:val="24"/>
                <w:szCs w:val="24"/>
                <w:highlight w:val="none"/>
                <w:lang w:val="en-US" w:eastAsia="zh-CN"/>
              </w:rPr>
              <w:t>且</w:t>
            </w:r>
            <w:r>
              <w:rPr>
                <w:rFonts w:hint="eastAsia" w:ascii="仿宋" w:hAnsi="仿宋" w:eastAsia="仿宋" w:cs="仿宋"/>
                <w:color w:val="auto"/>
                <w:sz w:val="24"/>
                <w:szCs w:val="24"/>
                <w:highlight w:val="none"/>
              </w:rPr>
              <w:t>验收合格。</w:t>
            </w:r>
          </w:p>
        </w:tc>
      </w:tr>
      <w:tr w14:paraId="29E88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3" w:type="dxa"/>
            <w:vAlign w:val="center"/>
          </w:tcPr>
          <w:p w14:paraId="41D59687">
            <w:pPr>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rPr>
              <w:t>投标报价</w:t>
            </w:r>
          </w:p>
        </w:tc>
        <w:tc>
          <w:tcPr>
            <w:tcW w:w="7692" w:type="dxa"/>
            <w:vAlign w:val="center"/>
          </w:tcPr>
          <w:p w14:paraId="7C53B7F8">
            <w:pPr>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报价方式：投标人填报下浮百分比，结算单价 = 限价单价 ×(1 - 下浮率)</w:t>
            </w:r>
          </w:p>
        </w:tc>
      </w:tr>
      <w:tr w14:paraId="272D3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3" w:type="dxa"/>
            <w:vAlign w:val="center"/>
          </w:tcPr>
          <w:p w14:paraId="15CEA37A">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▲售前、售中、售后服务要求</w:t>
            </w:r>
          </w:p>
        </w:tc>
        <w:tc>
          <w:tcPr>
            <w:tcW w:w="7692" w:type="dxa"/>
            <w:vAlign w:val="center"/>
          </w:tcPr>
          <w:p w14:paraId="3125A83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投标人在投标文件中必须提供符合实际、切实可行、可操作性强的售前、售中、售后服务方案。投标人中标后必须严格履行与采购方签订的采购合同，严格执行所承诺的服务条款。</w:t>
            </w:r>
          </w:p>
          <w:p w14:paraId="29F7771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加强与采购方产品需求对接，做好生产计划安排。</w:t>
            </w:r>
          </w:p>
          <w:p w14:paraId="0E0AEC0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疫苗发货及运输环节质量保障要求</w:t>
            </w:r>
          </w:p>
          <w:p w14:paraId="14A8C91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（1）中标人从生产地（或疫苗中转仓库）将中标产品运送采购方指定地点，必须保证该产品的运输储存温度符合</w:t>
            </w:r>
            <w:r>
              <w:rPr>
                <w:rFonts w:hint="eastAsia" w:ascii="仿宋" w:hAnsi="仿宋" w:eastAsia="仿宋" w:cs="仿宋"/>
                <w:color w:val="auto"/>
                <w:sz w:val="24"/>
                <w:szCs w:val="24"/>
                <w:highlight w:val="none"/>
                <w:lang w:val="en-US" w:eastAsia="zh-CN"/>
              </w:rPr>
              <w:t>产品</w:t>
            </w:r>
            <w:r>
              <w:rPr>
                <w:rFonts w:hint="eastAsia" w:ascii="仿宋" w:hAnsi="仿宋" w:eastAsia="仿宋" w:cs="仿宋"/>
                <w:color w:val="auto"/>
                <w:sz w:val="24"/>
                <w:szCs w:val="24"/>
                <w:highlight w:val="none"/>
              </w:rPr>
              <w:t>的储存</w:t>
            </w:r>
            <w:r>
              <w:rPr>
                <w:rFonts w:hint="eastAsia" w:ascii="仿宋" w:hAnsi="仿宋" w:eastAsia="仿宋" w:cs="仿宋"/>
                <w:color w:val="auto"/>
                <w:sz w:val="24"/>
                <w:szCs w:val="24"/>
                <w:highlight w:val="none"/>
                <w:lang w:val="en-US" w:eastAsia="zh-CN"/>
              </w:rPr>
              <w:t>条件</w:t>
            </w:r>
            <w:r>
              <w:rPr>
                <w:rFonts w:hint="eastAsia" w:ascii="仿宋" w:hAnsi="仿宋" w:eastAsia="仿宋" w:cs="仿宋"/>
                <w:color w:val="auto"/>
                <w:sz w:val="24"/>
                <w:szCs w:val="24"/>
                <w:highlight w:val="none"/>
              </w:rPr>
              <w:t>。凡未按规定温度条件运输的疫苗，采购方一律拒收。</w:t>
            </w:r>
          </w:p>
          <w:p w14:paraId="7B8CB55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（2）中标企业在收到采购方的订单通知后，应及时核对、确认应发疫苗品种、剂型、规格、数量以及发货时间要求、收货地点等信息，按规定时间和运输质量保障要求送到采购方指定地点。</w:t>
            </w:r>
          </w:p>
          <w:p w14:paraId="3795307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中标企业每次发出疫苗时，应填写发货单，详细填写发货单位、承运单位、疫苗名称、剂型、批准文号、数量、规格、生产日期、批号、有效期、运载工具种类及车牌号、司机及押运人员姓名及联系电话、大概行程及到达采购方时间等内容，同时将发货单传真采购方。不按规定要求发货的，采购方一律拒收，损失由中标人承担。</w:t>
            </w:r>
          </w:p>
          <w:p w14:paraId="143083E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（4）中标人运输动物疫苗，须采用符合疫苗冷链储存要求的运输方式，</w:t>
            </w:r>
          </w:p>
          <w:p w14:paraId="185022EC">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全程温度监控，确保到货温度达标</w:t>
            </w:r>
            <w:r>
              <w:rPr>
                <w:rFonts w:hint="eastAsia" w:ascii="仿宋" w:hAnsi="仿宋" w:eastAsia="仿宋" w:cs="仿宋"/>
                <w:color w:val="auto"/>
                <w:sz w:val="24"/>
                <w:szCs w:val="24"/>
                <w:highlight w:val="none"/>
                <w:lang w:eastAsia="zh-CN"/>
              </w:rPr>
              <w:t>。</w:t>
            </w:r>
          </w:p>
          <w:p w14:paraId="3C1CD6E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通过空运运送疫苗的，中标人应将发货、到货时间告知采购方，并经采购方同意、确认后方可发货。空运疫苗的冷藏箱应配置有温度自动监控记录设备，冷藏箱内应放置足够数量的专用冰袋，保证疫苗运至采购方指定地点后冰袋内的冰块未融化，以保证疫苗运输过程储存温度符合规定要求。货物延时发到采购方指定地点的，采购方拒绝接收货物，损失由中标企业负责。</w:t>
            </w:r>
          </w:p>
          <w:p w14:paraId="60F4784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中标人使用冷藏运输车运送疫苗的，冷藏运输车必须装配有冷链设备移动监控系统或温度自动监控记录系统，24小时监控温度变化。疫苗装车时应保证预留足够的冷气循环通道，并采取相应措施防止疫苗包装箱、疫苗瓶滑动、碰撞、破裂；运送过程中应派人全程押送，严防日光</w:t>
            </w:r>
            <w:r>
              <w:rPr>
                <w:rFonts w:hint="eastAsia" w:ascii="仿宋" w:hAnsi="仿宋" w:eastAsia="仿宋" w:cs="仿宋"/>
                <w:color w:val="auto"/>
                <w:sz w:val="24"/>
                <w:szCs w:val="24"/>
                <w:highlight w:val="none"/>
                <w:lang w:eastAsia="zh-CN"/>
              </w:rPr>
              <w:t>暴晒</w:t>
            </w:r>
            <w:r>
              <w:rPr>
                <w:rFonts w:hint="eastAsia" w:ascii="仿宋" w:hAnsi="仿宋" w:eastAsia="仿宋" w:cs="仿宋"/>
                <w:color w:val="auto"/>
                <w:sz w:val="24"/>
                <w:szCs w:val="24"/>
                <w:highlight w:val="none"/>
              </w:rPr>
              <w:t>。</w:t>
            </w:r>
          </w:p>
          <w:p w14:paraId="7D4B051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（7）疫苗运输过程中发生交通事故、车辆损坏或冷藏车制冷故障时，必须通知采购方，并采取迅速有效的应急措施，确保疫苗储存温度达到规定要求。应急处置过程应有详细记录，并在疫苗到达时提供采购方。</w:t>
            </w:r>
          </w:p>
          <w:p w14:paraId="369AB8FF">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中标人须协助使用方开展疫苗免疫效果监测与评估工作，必要时免费提供监测试剂，确保免疫达到国家规定的保护水平。投标人必须在投标文件中列出切实可行的工作方案。</w:t>
            </w:r>
          </w:p>
          <w:p w14:paraId="659282F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投标人必须承诺确保疫苗运输、贮藏、使用各环节的质量和使用效果的相关服务内容，并提供可操作性强的具体方案。</w:t>
            </w:r>
          </w:p>
          <w:p w14:paraId="011DE627">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5.中标人应当负责注射后疫苗空瓶及废弃疫苗的回收处置，回收废弃疫苗、空瓶后，须委托具备危废处置资质的机构合规处置，并向甲方提供处置联单，不得擅自处置造成环保风险，所产生的费用由中标人承担。</w:t>
            </w:r>
          </w:p>
        </w:tc>
      </w:tr>
      <w:tr w14:paraId="20600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3" w:type="dxa"/>
            <w:vAlign w:val="center"/>
          </w:tcPr>
          <w:p w14:paraId="1547E916">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培训</w:t>
            </w:r>
          </w:p>
        </w:tc>
        <w:tc>
          <w:tcPr>
            <w:tcW w:w="7692" w:type="dxa"/>
            <w:vAlign w:val="center"/>
          </w:tcPr>
          <w:p w14:paraId="12B2F90E">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中标人必须为使用方提供相关</w:t>
            </w:r>
            <w:r>
              <w:rPr>
                <w:rFonts w:hint="eastAsia" w:ascii="仿宋" w:hAnsi="仿宋" w:eastAsia="仿宋" w:cs="仿宋"/>
                <w:color w:val="auto"/>
                <w:sz w:val="24"/>
                <w:szCs w:val="24"/>
                <w:highlight w:val="none"/>
                <w:lang w:val="en-US" w:eastAsia="zh-CN"/>
              </w:rPr>
              <w:t>技术</w:t>
            </w:r>
            <w:r>
              <w:rPr>
                <w:rFonts w:hint="eastAsia" w:ascii="仿宋" w:hAnsi="仿宋" w:eastAsia="仿宋" w:cs="仿宋"/>
                <w:color w:val="auto"/>
                <w:sz w:val="24"/>
                <w:szCs w:val="24"/>
                <w:highlight w:val="none"/>
              </w:rPr>
              <w:t>知识培训</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培训对象：以甲方安排对象为准，包括：市、县（区）、乡（镇）专业技术人员，动物防疫员，养殖场（户）人员，生物制品经营销售人员等；（2）培训内容：疫苗相关知识，包含但不限于重大动物疫病防控知识、人畜共患传染病防控知识、动物检疫知识等；（3）培训地点：以实际培训地点为准；（4）培训目标：培训对象掌握相关技术知识等内容</w:t>
            </w:r>
            <w:r>
              <w:rPr>
                <w:rFonts w:hint="eastAsia" w:ascii="仿宋" w:hAnsi="仿宋" w:eastAsia="仿宋" w:cs="仿宋"/>
                <w:color w:val="auto"/>
                <w:sz w:val="24"/>
                <w:szCs w:val="24"/>
                <w:highlight w:val="none"/>
              </w:rPr>
              <w:t>。</w:t>
            </w:r>
          </w:p>
        </w:tc>
      </w:tr>
      <w:tr w14:paraId="3DEA9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3" w:type="dxa"/>
            <w:vAlign w:val="center"/>
          </w:tcPr>
          <w:p w14:paraId="42E02BE1">
            <w:pP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▲免疫副反应</w:t>
            </w:r>
            <w:r>
              <w:rPr>
                <w:rFonts w:hint="eastAsia" w:ascii="仿宋" w:hAnsi="仿宋" w:eastAsia="仿宋" w:cs="仿宋"/>
                <w:color w:val="auto"/>
                <w:sz w:val="24"/>
                <w:szCs w:val="24"/>
                <w:highlight w:val="none"/>
                <w:lang w:val="en-US" w:eastAsia="zh-CN"/>
              </w:rPr>
              <w:t>赔偿及处置要求</w:t>
            </w:r>
          </w:p>
        </w:tc>
        <w:tc>
          <w:tcPr>
            <w:tcW w:w="7692" w:type="dxa"/>
            <w:vAlign w:val="center"/>
          </w:tcPr>
          <w:p w14:paraId="53E7AD5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中标人必须及时处理免疫</w:t>
            </w:r>
            <w:r>
              <w:rPr>
                <w:rFonts w:hint="eastAsia" w:ascii="仿宋" w:hAnsi="仿宋" w:eastAsia="仿宋" w:cs="仿宋"/>
                <w:color w:val="auto"/>
                <w:sz w:val="24"/>
                <w:szCs w:val="24"/>
                <w:highlight w:val="none"/>
                <w:lang w:val="en-US" w:eastAsia="zh-CN"/>
              </w:rPr>
              <w:t>副反</w:t>
            </w:r>
            <w:r>
              <w:rPr>
                <w:rFonts w:hint="eastAsia" w:ascii="仿宋" w:hAnsi="仿宋" w:eastAsia="仿宋" w:cs="仿宋"/>
                <w:color w:val="auto"/>
                <w:sz w:val="24"/>
                <w:szCs w:val="24"/>
                <w:highlight w:val="none"/>
              </w:rPr>
              <w:t>应</w:t>
            </w:r>
            <w:r>
              <w:rPr>
                <w:rFonts w:hint="eastAsia" w:ascii="仿宋" w:hAnsi="仿宋" w:eastAsia="仿宋" w:cs="仿宋"/>
                <w:color w:val="auto"/>
                <w:sz w:val="24"/>
                <w:szCs w:val="24"/>
                <w:highlight w:val="none"/>
                <w:lang w:val="en-US" w:eastAsia="zh-CN"/>
              </w:rPr>
              <w:t>赔偿</w:t>
            </w:r>
            <w:r>
              <w:rPr>
                <w:rFonts w:hint="eastAsia" w:ascii="仿宋" w:hAnsi="仿宋" w:eastAsia="仿宋" w:cs="仿宋"/>
                <w:color w:val="auto"/>
                <w:sz w:val="24"/>
                <w:szCs w:val="24"/>
                <w:highlight w:val="none"/>
              </w:rPr>
              <w:t>事宜</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赔偿鉴定方法：厂家委托各县区疫控中心对副反应发生在免疫后12小时内的畜禽进行核实。赔偿时限：在中标疫苗厂家收到相关认定材料后1个月之内完成。具体方案由中标疫苗厂家根据《云南省重大动物疫病强制免疫应激反应补助经费管理办法制定》（云疫控〔2012〕17号）参照制定，并由中标人直接向农户进行赔付。赔偿原则：应赔尽赔，无反应可不赔。若发生大面积副反应，按照国家政策执行。</w:t>
            </w:r>
            <w:r>
              <w:rPr>
                <w:rFonts w:hint="eastAsia" w:ascii="仿宋" w:hAnsi="仿宋" w:eastAsia="仿宋" w:cs="仿宋"/>
                <w:color w:val="auto"/>
                <w:sz w:val="24"/>
                <w:szCs w:val="24"/>
                <w:highlight w:val="none"/>
              </w:rPr>
              <w:t>投标人必须列出切实可行的</w:t>
            </w:r>
            <w:r>
              <w:rPr>
                <w:rFonts w:hint="eastAsia" w:ascii="仿宋" w:hAnsi="仿宋" w:eastAsia="仿宋" w:cs="仿宋"/>
                <w:color w:val="auto"/>
                <w:sz w:val="24"/>
                <w:szCs w:val="24"/>
                <w:highlight w:val="none"/>
                <w:lang w:val="en-US" w:eastAsia="zh-CN"/>
              </w:rPr>
              <w:t>赔偿</w:t>
            </w:r>
            <w:r>
              <w:rPr>
                <w:rFonts w:hint="eastAsia" w:ascii="仿宋" w:hAnsi="仿宋" w:eastAsia="仿宋" w:cs="仿宋"/>
                <w:color w:val="auto"/>
                <w:sz w:val="24"/>
                <w:szCs w:val="24"/>
                <w:highlight w:val="none"/>
              </w:rPr>
              <w:t>方案。</w:t>
            </w:r>
          </w:p>
          <w:p w14:paraId="2B5A4BC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中标人必须建立动物注射疫苗后出现大面积应激反应的应急处置及</w:t>
            </w:r>
            <w:r>
              <w:rPr>
                <w:rFonts w:hint="eastAsia" w:ascii="仿宋" w:hAnsi="仿宋" w:eastAsia="仿宋" w:cs="仿宋"/>
                <w:color w:val="auto"/>
                <w:sz w:val="24"/>
                <w:szCs w:val="24"/>
                <w:highlight w:val="none"/>
                <w:lang w:val="en-US" w:eastAsia="zh-CN"/>
              </w:rPr>
              <w:t>赔偿</w:t>
            </w:r>
            <w:r>
              <w:rPr>
                <w:rFonts w:hint="eastAsia" w:ascii="仿宋" w:hAnsi="仿宋" w:eastAsia="仿宋" w:cs="仿宋"/>
                <w:color w:val="auto"/>
                <w:sz w:val="24"/>
                <w:szCs w:val="24"/>
                <w:highlight w:val="none"/>
              </w:rPr>
              <w:t>机制，列出切实可行的</w:t>
            </w:r>
            <w:r>
              <w:rPr>
                <w:rFonts w:hint="eastAsia" w:ascii="仿宋" w:hAnsi="仿宋" w:eastAsia="仿宋" w:cs="仿宋"/>
                <w:color w:val="auto"/>
                <w:sz w:val="24"/>
                <w:szCs w:val="24"/>
                <w:highlight w:val="none"/>
                <w:lang w:val="en-US" w:eastAsia="zh-CN"/>
              </w:rPr>
              <w:t>赔偿</w:t>
            </w:r>
            <w:r>
              <w:rPr>
                <w:rFonts w:hint="eastAsia" w:ascii="仿宋" w:hAnsi="仿宋" w:eastAsia="仿宋" w:cs="仿宋"/>
                <w:color w:val="auto"/>
                <w:sz w:val="24"/>
                <w:szCs w:val="24"/>
                <w:highlight w:val="none"/>
              </w:rPr>
              <w:t>方案。</w:t>
            </w:r>
          </w:p>
          <w:p w14:paraId="6BABA55C">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投标人必须在其投标文件中详述一旦出现疫苗质量问题、引发免疫失败或引发疫情</w:t>
            </w:r>
            <w:r>
              <w:rPr>
                <w:rFonts w:hint="eastAsia" w:ascii="仿宋" w:hAnsi="仿宋" w:eastAsia="仿宋" w:cs="仿宋"/>
                <w:color w:val="auto"/>
                <w:sz w:val="24"/>
                <w:szCs w:val="24"/>
                <w:highlight w:val="none"/>
                <w:lang w:val="en-US" w:eastAsia="zh-CN"/>
              </w:rPr>
              <w:t>等</w:t>
            </w:r>
            <w:r>
              <w:rPr>
                <w:rFonts w:hint="eastAsia" w:ascii="仿宋" w:hAnsi="仿宋" w:eastAsia="仿宋" w:cs="仿宋"/>
                <w:color w:val="auto"/>
                <w:sz w:val="24"/>
                <w:szCs w:val="24"/>
                <w:highlight w:val="none"/>
              </w:rPr>
              <w:t>责任事故的应急处置预案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造成的损失全部由中标人承担</w:t>
            </w:r>
            <w:r>
              <w:rPr>
                <w:rFonts w:hint="eastAsia" w:ascii="仿宋" w:hAnsi="仿宋" w:eastAsia="仿宋" w:cs="仿宋"/>
                <w:color w:val="auto"/>
                <w:sz w:val="24"/>
                <w:szCs w:val="24"/>
                <w:highlight w:val="none"/>
              </w:rPr>
              <w:t>。</w:t>
            </w:r>
          </w:p>
        </w:tc>
      </w:tr>
      <w:tr w14:paraId="3FF49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3" w:type="dxa"/>
            <w:vAlign w:val="center"/>
          </w:tcPr>
          <w:p w14:paraId="2E9B84A6">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▲交货时间及地点</w:t>
            </w:r>
          </w:p>
        </w:tc>
        <w:tc>
          <w:tcPr>
            <w:tcW w:w="7692" w:type="dxa"/>
            <w:vAlign w:val="center"/>
          </w:tcPr>
          <w:p w14:paraId="2F16404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交货期：接到采购人供货需求通知</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日内，中标人应按照采购人要求的时间及时送达，送货时应提前2日通知采购方（含各市、县动物疫病预防控制机构，下同）做好接货准备。提前或延期到货造成的损失由中标人承担。</w:t>
            </w:r>
          </w:p>
          <w:p w14:paraId="1FB4FC9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交货地点：</w:t>
            </w:r>
            <w:r>
              <w:rPr>
                <w:rFonts w:hint="eastAsia" w:ascii="仿宋" w:hAnsi="仿宋" w:eastAsia="仿宋" w:cs="仿宋"/>
                <w:color w:val="auto"/>
                <w:sz w:val="24"/>
                <w:szCs w:val="24"/>
                <w:highlight w:val="none"/>
                <w:lang w:val="en-US" w:eastAsia="zh-CN"/>
              </w:rPr>
              <w:t>采购人指定地点</w:t>
            </w:r>
            <w:r>
              <w:rPr>
                <w:rFonts w:hint="eastAsia" w:ascii="仿宋" w:hAnsi="仿宋" w:eastAsia="仿宋" w:cs="仿宋"/>
                <w:color w:val="auto"/>
                <w:sz w:val="24"/>
                <w:szCs w:val="24"/>
                <w:highlight w:val="none"/>
              </w:rPr>
              <w:t>。</w:t>
            </w:r>
          </w:p>
        </w:tc>
      </w:tr>
      <w:tr w14:paraId="1BA19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3" w:type="dxa"/>
            <w:vAlign w:val="center"/>
          </w:tcPr>
          <w:p w14:paraId="1E2C755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供货要求</w:t>
            </w:r>
          </w:p>
        </w:tc>
        <w:tc>
          <w:tcPr>
            <w:tcW w:w="7692" w:type="dxa"/>
            <w:vAlign w:val="center"/>
          </w:tcPr>
          <w:p w14:paraId="7AABF84B">
            <w:pPr>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中标人应</w:t>
            </w:r>
            <w:r>
              <w:rPr>
                <w:rFonts w:hint="eastAsia" w:ascii="仿宋" w:hAnsi="仿宋" w:eastAsia="仿宋" w:cs="仿宋"/>
                <w:color w:val="auto"/>
                <w:sz w:val="24"/>
                <w:szCs w:val="24"/>
                <w:highlight w:val="none"/>
              </w:rPr>
              <w:t>按照投标承诺标准和采购人的需求及时供货，不得以缺货、生产线改造、运输延误等任何理由拖延供货或不供货。对拖延供货或不供货的中标人，采购人有权终止合同，并出具不良记录，作为下一年度评标、采购的重要依据。对拖延供货或不供货的中标人，经采购方警告两次以上的，扣除履约保证金。</w:t>
            </w:r>
          </w:p>
        </w:tc>
      </w:tr>
      <w:tr w14:paraId="47967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3" w:type="dxa"/>
            <w:vAlign w:val="center"/>
          </w:tcPr>
          <w:p w14:paraId="18BCEDB7">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付款条件</w:t>
            </w:r>
          </w:p>
        </w:tc>
        <w:tc>
          <w:tcPr>
            <w:tcW w:w="7692" w:type="dxa"/>
            <w:vAlign w:val="center"/>
          </w:tcPr>
          <w:p w14:paraId="2396C0B2">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同签订后根据实际供货价值支付（本合同付款以对应财政预算资金实际足额拨付至甲方账户为前提。因财政政策调整、拨款延迟等不可归责于甲方的事由导致付款逾期的，付款期限自动顺延，甲方不承担任何违约责任，乙方不得以此为由中止供货、解除合同或主张违约金）。</w:t>
            </w:r>
          </w:p>
          <w:p w14:paraId="5B6F5764">
            <w:pPr>
              <w:spacing w:line="360" w:lineRule="auto"/>
              <w:rPr>
                <w:rFonts w:hint="eastAsia" w:ascii="仿宋" w:hAnsi="仿宋" w:eastAsia="仿宋" w:cs="仿宋"/>
                <w:b w:val="0"/>
                <w:bCs w:val="0"/>
                <w:color w:val="auto"/>
                <w:sz w:val="24"/>
                <w:szCs w:val="24"/>
                <w:highlight w:val="none"/>
                <w:lang w:eastAsia="zh-CN"/>
              </w:rPr>
            </w:pPr>
          </w:p>
        </w:tc>
      </w:tr>
      <w:tr w14:paraId="1E7E0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3" w:type="dxa"/>
            <w:vAlign w:val="center"/>
          </w:tcPr>
          <w:p w14:paraId="75724934">
            <w:pPr>
              <w:autoSpaceDE w:val="0"/>
              <w:autoSpaceDN w:val="0"/>
              <w:adjustRightIn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履约担保</w:t>
            </w:r>
          </w:p>
        </w:tc>
        <w:tc>
          <w:tcPr>
            <w:tcW w:w="7692" w:type="dxa"/>
            <w:vAlign w:val="center"/>
          </w:tcPr>
          <w:p w14:paraId="6DA3ECDD">
            <w:pPr>
              <w:autoSpaceDE w:val="0"/>
              <w:autoSpaceDN w:val="0"/>
              <w:adjustRightInd w:val="0"/>
              <w:spacing w:line="360" w:lineRule="auto"/>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履约保证金缴纳方式：应当以支票、汇票、本票、银行转账或者金融机构、担保机构出具的保函等非现金形式提交；</w:t>
            </w:r>
          </w:p>
          <w:p w14:paraId="2CA79048">
            <w:pPr>
              <w:autoSpaceDE w:val="0"/>
              <w:autoSpaceDN w:val="0"/>
              <w:adjustRightInd w:val="0"/>
              <w:spacing w:line="360" w:lineRule="auto"/>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履约保证金缴纳金额：合同金额的10%。</w:t>
            </w:r>
          </w:p>
          <w:p w14:paraId="7B1F7538">
            <w:pPr>
              <w:autoSpaceDE w:val="0"/>
              <w:autoSpaceDN w:val="0"/>
              <w:adjustRightInd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kern w:val="0"/>
                <w:sz w:val="24"/>
                <w:szCs w:val="24"/>
                <w:highlight w:val="none"/>
                <w:lang w:val="en-US" w:eastAsia="zh-CN"/>
              </w:rPr>
              <w:t>退还时间：</w:t>
            </w:r>
            <w:r>
              <w:rPr>
                <w:rFonts w:hint="eastAsia" w:ascii="仿宋" w:hAnsi="仿宋" w:eastAsia="仿宋" w:cs="仿宋"/>
                <w:b w:val="0"/>
                <w:bCs w:val="0"/>
                <w:color w:val="auto"/>
                <w:kern w:val="0"/>
                <w:sz w:val="24"/>
                <w:szCs w:val="24"/>
                <w:highlight w:val="none"/>
              </w:rPr>
              <w:t>全部货物供应完毕、免疫抗体效果评价合格、所有免疫副反应赔偿结清、废弃疫苗/空瓶全部合规处置完毕后30个工作日内，无息退还</w:t>
            </w:r>
            <w:r>
              <w:rPr>
                <w:rFonts w:hint="eastAsia" w:ascii="仿宋" w:hAnsi="仿宋" w:eastAsia="仿宋" w:cs="仿宋"/>
                <w:b w:val="0"/>
                <w:bCs w:val="0"/>
                <w:color w:val="auto"/>
                <w:kern w:val="0"/>
                <w:sz w:val="24"/>
                <w:szCs w:val="24"/>
                <w:highlight w:val="none"/>
                <w:lang w:val="en-US" w:eastAsia="zh-CN"/>
              </w:rPr>
              <w:t>。</w:t>
            </w:r>
          </w:p>
        </w:tc>
      </w:tr>
      <w:tr w14:paraId="2E4B4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3" w:type="dxa"/>
            <w:vAlign w:val="center"/>
          </w:tcPr>
          <w:p w14:paraId="52B8E835">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▲验收要求</w:t>
            </w:r>
          </w:p>
        </w:tc>
        <w:tc>
          <w:tcPr>
            <w:tcW w:w="7692" w:type="dxa"/>
            <w:vAlign w:val="center"/>
          </w:tcPr>
          <w:p w14:paraId="1FEC155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农业农村部执行批签发的产品，中标企业发出的每个批次的货物必须随货附有中国兽医药品监察所的批签发报告复印件，并加盖投标企业、厂家的公章，否则，采购人可拒绝接受验货。</w:t>
            </w:r>
          </w:p>
          <w:p w14:paraId="4FF6D84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疫苗运至采购方指定地点后，由疫苗使用单位对温度自动监控记录仪检查并打印疫苗运输过程的温度记录情况，符合疫苗保存温度要求的，方可进行验收。验收时，由采购方人员对疫苗发货单及疫苗名称、剂型、批准文号、标签、数量、规格、生产日期、批号、有效期、运输过程冷藏车工作状态及温度记录等内容一一核验，并开箱抽查，出现下列情况的，采购方一律拒收：</w:t>
            </w:r>
          </w:p>
          <w:p w14:paraId="1B11F22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2.1运输过程无防晒、防破碎措施，温度自动监控记录仪的温度记录无法打印或虽能打印但疫苗运输储存温度不符合要求的；</w:t>
            </w:r>
          </w:p>
          <w:p w14:paraId="49134D6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2.2产品包装、使用说明书或产品标示的企业名称、疫苗种类、剂型、批准文号、标签、数量、规格、生产日期、批号、有效期等不符合要求的；</w:t>
            </w:r>
          </w:p>
          <w:p w14:paraId="1CD7734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2.3外观检查，产品破损、包装容器破漏或内有异物、凝块、絮状物、霉团，或破乳分层、变色、变质等情况的；</w:t>
            </w:r>
          </w:p>
          <w:p w14:paraId="1AD7E73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2.4兽药监察机构抽检不合格的；</w:t>
            </w:r>
          </w:p>
          <w:p w14:paraId="28C4791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2.5不符合</w:t>
            </w:r>
            <w:r>
              <w:rPr>
                <w:rFonts w:hint="eastAsia" w:ascii="仿宋" w:hAnsi="仿宋" w:eastAsia="仿宋" w:cs="仿宋"/>
                <w:color w:val="auto"/>
                <w:sz w:val="24"/>
                <w:szCs w:val="24"/>
                <w:highlight w:val="none"/>
                <w:lang w:val="en-US" w:eastAsia="zh-CN"/>
              </w:rPr>
              <w:t>相关</w:t>
            </w:r>
            <w:r>
              <w:rPr>
                <w:rFonts w:hint="eastAsia" w:ascii="仿宋" w:hAnsi="仿宋" w:eastAsia="仿宋" w:cs="仿宋"/>
                <w:color w:val="auto"/>
                <w:sz w:val="24"/>
                <w:szCs w:val="24"/>
                <w:highlight w:val="none"/>
              </w:rPr>
              <w:t>规定的。</w:t>
            </w:r>
          </w:p>
          <w:p w14:paraId="77C2866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采购方</w:t>
            </w:r>
            <w:r>
              <w:rPr>
                <w:rFonts w:hint="eastAsia" w:ascii="仿宋" w:hAnsi="仿宋" w:eastAsia="仿宋" w:cs="仿宋"/>
                <w:color w:val="auto"/>
                <w:sz w:val="24"/>
                <w:szCs w:val="24"/>
                <w:highlight w:val="none"/>
                <w:lang w:val="en-US" w:eastAsia="zh-CN"/>
              </w:rPr>
              <w:t>委托接收单位</w:t>
            </w: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lang w:val="en-US" w:eastAsia="zh-CN"/>
              </w:rPr>
              <w:t>订购</w:t>
            </w:r>
            <w:r>
              <w:rPr>
                <w:rFonts w:hint="eastAsia" w:ascii="仿宋" w:hAnsi="仿宋" w:eastAsia="仿宋" w:cs="仿宋"/>
                <w:color w:val="auto"/>
                <w:sz w:val="24"/>
                <w:szCs w:val="24"/>
                <w:highlight w:val="none"/>
              </w:rPr>
              <w:t>单验收，验收合格后</w:t>
            </w:r>
            <w:r>
              <w:rPr>
                <w:rFonts w:hint="eastAsia" w:ascii="仿宋" w:hAnsi="仿宋" w:eastAsia="仿宋" w:cs="仿宋"/>
                <w:color w:val="auto"/>
                <w:sz w:val="24"/>
                <w:szCs w:val="24"/>
                <w:highlight w:val="none"/>
                <w:lang w:val="en-US" w:eastAsia="zh-CN"/>
              </w:rPr>
              <w:t>填写验收报告</w:t>
            </w:r>
            <w:r>
              <w:rPr>
                <w:rFonts w:hint="eastAsia" w:ascii="仿宋" w:hAnsi="仿宋" w:eastAsia="仿宋" w:cs="仿宋"/>
                <w:color w:val="auto"/>
                <w:sz w:val="24"/>
                <w:szCs w:val="24"/>
                <w:highlight w:val="none"/>
              </w:rPr>
              <w:t>。</w:t>
            </w:r>
          </w:p>
          <w:p w14:paraId="5FBB4EE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对验收不合格的产品，中标人应无条件退换</w:t>
            </w:r>
            <w:r>
              <w:rPr>
                <w:rFonts w:hint="eastAsia" w:ascii="仿宋" w:hAnsi="仿宋" w:eastAsia="仿宋" w:cs="仿宋"/>
                <w:color w:val="auto"/>
                <w:sz w:val="24"/>
                <w:szCs w:val="24"/>
                <w:highlight w:val="none"/>
                <w:lang w:val="en-US" w:eastAsia="zh-CN"/>
              </w:rPr>
              <w:t>并承担退换所产生的所有费用</w:t>
            </w:r>
            <w:r>
              <w:rPr>
                <w:rFonts w:hint="eastAsia" w:ascii="仿宋" w:hAnsi="仿宋" w:eastAsia="仿宋" w:cs="仿宋"/>
                <w:color w:val="auto"/>
                <w:sz w:val="24"/>
                <w:szCs w:val="24"/>
                <w:highlight w:val="none"/>
              </w:rPr>
              <w:t>。</w:t>
            </w:r>
          </w:p>
        </w:tc>
      </w:tr>
      <w:tr w14:paraId="1D869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3" w:type="dxa"/>
            <w:vAlign w:val="center"/>
          </w:tcPr>
          <w:p w14:paraId="2EC13F85">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▲质量责任</w:t>
            </w:r>
          </w:p>
        </w:tc>
        <w:tc>
          <w:tcPr>
            <w:tcW w:w="7692" w:type="dxa"/>
            <w:vAlign w:val="center"/>
          </w:tcPr>
          <w:p w14:paraId="1BC8A4B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中标人供货产品应是最新或使用最佳原材料生产，完全符合国家标准规定的质量、性能和技术规格（包括包装上印刷的产品名称、文号、批号、商标、规格、失效日期、贮存条件、防伪标识、作用与用途、用法与用量、企业名称等）的产品，并达到采购人提出的其它要求。保证在规定温度、贮藏条件下运送，在投标文件中承诺的质量保证期内对任何质量问题负责。</w:t>
            </w:r>
          </w:p>
          <w:p w14:paraId="2949BF0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若供应的产品经检验存在不符合国家规定要求等质量问题，采购方可立即终止供货合同，将违约行为上报政府采购监督管理部门，依法接受财政部门处罚。</w:t>
            </w:r>
          </w:p>
          <w:p w14:paraId="14E570F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中标人应及时、妥善处理免疫应激反应补偿事宜，以确保采购人、使用方的权益。</w:t>
            </w:r>
          </w:p>
          <w:p w14:paraId="0D29215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在规定的免疫保护期内，免疫后的动物仍然发生疫情的，双方组成调查组查明原因，如确因疫苗质量问题引起的，中标人按“应激副反应处置承诺及措施”执行。</w:t>
            </w:r>
          </w:p>
          <w:p w14:paraId="43C4186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满足</w:t>
            </w:r>
            <w:r>
              <w:rPr>
                <w:rFonts w:hint="eastAsia" w:ascii="仿宋" w:hAnsi="仿宋" w:eastAsia="仿宋" w:cs="仿宋"/>
                <w:color w:val="auto"/>
                <w:sz w:val="24"/>
                <w:szCs w:val="24"/>
                <w:highlight w:val="none"/>
                <w:lang w:val="en-US" w:eastAsia="zh-CN"/>
              </w:rPr>
              <w:t>相关法律法规及招标文件的</w:t>
            </w:r>
            <w:r>
              <w:rPr>
                <w:rFonts w:hint="eastAsia" w:ascii="仿宋" w:hAnsi="仿宋" w:eastAsia="仿宋" w:cs="仿宋"/>
                <w:color w:val="auto"/>
                <w:sz w:val="24"/>
                <w:szCs w:val="24"/>
                <w:highlight w:val="none"/>
              </w:rPr>
              <w:t>要求。</w:t>
            </w:r>
          </w:p>
        </w:tc>
      </w:tr>
      <w:tr w14:paraId="08CFC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3" w:type="dxa"/>
            <w:vAlign w:val="center"/>
          </w:tcPr>
          <w:p w14:paraId="21F55DF4">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合同终止</w:t>
            </w:r>
          </w:p>
        </w:tc>
        <w:tc>
          <w:tcPr>
            <w:tcW w:w="7692" w:type="dxa"/>
            <w:vAlign w:val="center"/>
          </w:tcPr>
          <w:p w14:paraId="6980279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在下列情况下，合同自然终止：</w:t>
            </w:r>
          </w:p>
          <w:p w14:paraId="3364E3D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供货期结束，且履行完所有售后承诺。</w:t>
            </w:r>
          </w:p>
          <w:p w14:paraId="7EB3990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无法按采购人确定的供货期限供货的。</w:t>
            </w:r>
          </w:p>
          <w:p w14:paraId="57DD3BE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因产品质量等原因造成最终用户不接受中标人的货物。</w:t>
            </w:r>
          </w:p>
          <w:p w14:paraId="20913B6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产品发生重大质量事故。</w:t>
            </w:r>
          </w:p>
          <w:p w14:paraId="2C7DEE2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产品批准文号被吊销。</w:t>
            </w:r>
          </w:p>
          <w:p w14:paraId="4630693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财政部门款项不到位。</w:t>
            </w:r>
          </w:p>
          <w:p w14:paraId="064E750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国家政策发生改变。</w:t>
            </w:r>
          </w:p>
        </w:tc>
      </w:tr>
      <w:tr w14:paraId="72947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3" w:type="dxa"/>
            <w:vAlign w:val="center"/>
          </w:tcPr>
          <w:p w14:paraId="0412E86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▲其他要求</w:t>
            </w:r>
          </w:p>
        </w:tc>
        <w:tc>
          <w:tcPr>
            <w:tcW w:w="7692" w:type="dxa"/>
            <w:vAlign w:val="center"/>
          </w:tcPr>
          <w:p w14:paraId="6D6B43A7">
            <w:pPr>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color w:val="auto"/>
                <w:sz w:val="24"/>
                <w:szCs w:val="24"/>
                <w:highlight w:val="none"/>
              </w:rPr>
              <w:t>本项目货物不接受进口产品（即通过中国海关报关验放进入中国境内且产自关境外的产品）参与投标，如有此类产品参与投标的作无效标处理。</w:t>
            </w:r>
          </w:p>
          <w:p w14:paraId="1CF82C84">
            <w:pP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如遇国家</w:t>
            </w:r>
            <w:r>
              <w:rPr>
                <w:rFonts w:hint="eastAsia" w:ascii="仿宋" w:hAnsi="仿宋" w:eastAsia="仿宋" w:cs="仿宋"/>
                <w:color w:val="auto"/>
                <w:sz w:val="24"/>
                <w:szCs w:val="24"/>
                <w:highlight w:val="none"/>
                <w:lang w:val="en-US" w:eastAsia="zh-CN"/>
              </w:rPr>
              <w:t>及省级</w:t>
            </w:r>
            <w:r>
              <w:rPr>
                <w:rFonts w:hint="eastAsia" w:ascii="仿宋" w:hAnsi="仿宋" w:eastAsia="仿宋" w:cs="仿宋"/>
                <w:color w:val="auto"/>
                <w:sz w:val="24"/>
                <w:szCs w:val="24"/>
                <w:highlight w:val="none"/>
              </w:rPr>
              <w:t>防疫政策调整，采购人可要求中标人免费更换为使用农业</w:t>
            </w:r>
            <w:r>
              <w:rPr>
                <w:rFonts w:hint="eastAsia" w:ascii="仿宋" w:hAnsi="仿宋" w:eastAsia="仿宋" w:cs="仿宋"/>
                <w:b w:val="0"/>
                <w:bCs w:val="0"/>
                <w:color w:val="auto"/>
                <w:sz w:val="24"/>
                <w:szCs w:val="24"/>
                <w:highlight w:val="none"/>
              </w:rPr>
              <w:t>农村部批准的其他疫苗毒株生产的相应疫苗。</w:t>
            </w:r>
          </w:p>
          <w:p w14:paraId="7E71243B">
            <w:pP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凡涉及要求提供检验报告或检测报告的（含评审加分项），中标人须在中标公告后、签订合同前将相关原件提供给采购人核对，如发现中标人提供虚假材料牟取中标的，将向财政部门报告，取消其中标资格并按财政部门规定予以处罚。</w:t>
            </w:r>
          </w:p>
          <w:p w14:paraId="6FE91823">
            <w:pPr>
              <w:spacing w:line="360" w:lineRule="auto"/>
              <w:rPr>
                <w:rFonts w:hint="default" w:eastAsia="仿宋"/>
                <w:color w:val="auto"/>
                <w:highlight w:val="none"/>
                <w:lang w:val="en-US" w:eastAsia="zh-CN"/>
              </w:rPr>
            </w:pPr>
            <w:r>
              <w:rPr>
                <w:rFonts w:hint="eastAsia" w:ascii="仿宋" w:hAnsi="仿宋" w:eastAsia="仿宋" w:cs="仿宋"/>
                <w:b w:val="0"/>
                <w:bCs w:val="0"/>
                <w:color w:val="auto"/>
                <w:sz w:val="24"/>
                <w:szCs w:val="24"/>
                <w:highlight w:val="none"/>
                <w:lang w:val="en-US" w:eastAsia="zh-CN"/>
              </w:rPr>
              <w:t>4..投标人需提供“项目实施方案、</w:t>
            </w:r>
            <w:r>
              <w:rPr>
                <w:rFonts w:hint="eastAsia" w:ascii="仿宋" w:hAnsi="仿宋" w:eastAsia="仿宋" w:cs="仿宋"/>
                <w:b w:val="0"/>
                <w:bCs w:val="0"/>
                <w:color w:val="auto"/>
                <w:sz w:val="24"/>
                <w:szCs w:val="24"/>
                <w:highlight w:val="none"/>
              </w:rPr>
              <w:t>售前、售中和售后服务</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应</w:t>
            </w:r>
            <w:r>
              <w:rPr>
                <w:rFonts w:hint="eastAsia" w:ascii="仿宋" w:hAnsi="仿宋" w:eastAsia="仿宋" w:cs="仿宋"/>
                <w:b w:val="0"/>
                <w:bCs w:val="0"/>
                <w:color w:val="auto"/>
                <w:sz w:val="24"/>
                <w:szCs w:val="24"/>
                <w:highlight w:val="none"/>
                <w:lang w:val="en-US" w:eastAsia="zh-CN"/>
              </w:rPr>
              <w:t>激</w:t>
            </w:r>
            <w:r>
              <w:rPr>
                <w:rFonts w:hint="eastAsia" w:ascii="仿宋" w:hAnsi="仿宋" w:eastAsia="仿宋" w:cs="仿宋"/>
                <w:b w:val="0"/>
                <w:bCs w:val="0"/>
                <w:color w:val="auto"/>
                <w:sz w:val="24"/>
                <w:szCs w:val="24"/>
                <w:highlight w:val="none"/>
              </w:rPr>
              <w:t>副反应处置承诺及措施</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等实施方案。</w:t>
            </w:r>
          </w:p>
        </w:tc>
      </w:tr>
    </w:tbl>
    <w:p w14:paraId="291096F7">
      <w:pPr>
        <w:pStyle w:val="40"/>
        <w:rPr>
          <w:rFonts w:hint="eastAsia" w:ascii="仿宋" w:hAnsi="仿宋" w:eastAsia="仿宋" w:cs="仿宋"/>
          <w:color w:val="auto"/>
          <w:sz w:val="24"/>
          <w:szCs w:val="24"/>
          <w:highlight w:val="none"/>
          <w:lang w:val="en-US" w:eastAsia="zh-CN"/>
        </w:rPr>
      </w:pPr>
    </w:p>
    <w:p w14:paraId="508526F2">
      <w:pPr>
        <w:pStyle w:val="40"/>
        <w:rPr>
          <w:rFonts w:hint="eastAsia" w:ascii="仿宋" w:hAnsi="仿宋" w:eastAsia="仿宋" w:cs="仿宋"/>
          <w:color w:val="auto"/>
          <w:sz w:val="24"/>
          <w:szCs w:val="24"/>
          <w:highlight w:val="none"/>
          <w:lang w:val="en-US" w:eastAsia="zh-CN"/>
        </w:rPr>
      </w:pPr>
    </w:p>
    <w:p w14:paraId="07D2F5D0">
      <w:pPr>
        <w:pStyle w:val="40"/>
        <w:rPr>
          <w:rFonts w:hint="eastAsia" w:ascii="仿宋" w:hAnsi="仿宋" w:eastAsia="仿宋" w:cs="仿宋"/>
          <w:color w:val="auto"/>
          <w:sz w:val="24"/>
          <w:szCs w:val="24"/>
          <w:highlight w:val="none"/>
          <w:lang w:val="en-US" w:eastAsia="zh-CN"/>
        </w:rPr>
      </w:pPr>
    </w:p>
    <w:p w14:paraId="1D310A7E">
      <w:pPr>
        <w:pStyle w:val="40"/>
        <w:rPr>
          <w:rFonts w:hint="eastAsia" w:ascii="仿宋" w:hAnsi="仿宋" w:eastAsia="仿宋" w:cs="仿宋"/>
          <w:color w:val="auto"/>
          <w:sz w:val="24"/>
          <w:szCs w:val="24"/>
          <w:highlight w:val="none"/>
          <w:lang w:val="en-US" w:eastAsia="zh-CN"/>
        </w:rPr>
      </w:pPr>
    </w:p>
    <w:p w14:paraId="53FC404C">
      <w:pPr>
        <w:pStyle w:val="40"/>
        <w:rPr>
          <w:rFonts w:hint="eastAsia" w:ascii="仿宋" w:hAnsi="仿宋" w:eastAsia="仿宋" w:cs="仿宋"/>
          <w:color w:val="auto"/>
          <w:sz w:val="24"/>
          <w:szCs w:val="24"/>
          <w:highlight w:val="none"/>
          <w:lang w:val="en-US" w:eastAsia="zh-CN"/>
        </w:rPr>
      </w:pPr>
    </w:p>
    <w:p w14:paraId="53B4D4AB">
      <w:pPr>
        <w:pStyle w:val="40"/>
        <w:rPr>
          <w:rFonts w:hint="eastAsia" w:ascii="仿宋" w:hAnsi="仿宋" w:eastAsia="仿宋" w:cs="仿宋"/>
          <w:color w:val="auto"/>
          <w:sz w:val="24"/>
          <w:szCs w:val="24"/>
          <w:highlight w:val="none"/>
          <w:lang w:val="en-US" w:eastAsia="zh-CN"/>
        </w:rPr>
      </w:pPr>
    </w:p>
    <w:p w14:paraId="744C0930">
      <w:pPr>
        <w:pStyle w:val="40"/>
        <w:rPr>
          <w:rFonts w:hint="eastAsia" w:ascii="仿宋" w:hAnsi="仿宋" w:eastAsia="仿宋" w:cs="仿宋"/>
          <w:color w:val="auto"/>
          <w:sz w:val="24"/>
          <w:szCs w:val="24"/>
          <w:highlight w:val="none"/>
          <w:lang w:val="en-US" w:eastAsia="zh-CN"/>
        </w:rPr>
      </w:pPr>
    </w:p>
    <w:p w14:paraId="04112200">
      <w:pPr>
        <w:pStyle w:val="40"/>
        <w:rPr>
          <w:rFonts w:hint="eastAsia" w:ascii="仿宋" w:hAnsi="仿宋" w:eastAsia="仿宋" w:cs="仿宋"/>
          <w:color w:val="auto"/>
          <w:sz w:val="24"/>
          <w:szCs w:val="24"/>
          <w:highlight w:val="none"/>
          <w:lang w:val="en-US" w:eastAsia="zh-CN"/>
        </w:rPr>
      </w:pPr>
    </w:p>
    <w:p w14:paraId="104D3030">
      <w:pPr>
        <w:pStyle w:val="40"/>
        <w:rPr>
          <w:rFonts w:hint="eastAsia" w:ascii="仿宋" w:hAnsi="仿宋" w:eastAsia="仿宋" w:cs="仿宋"/>
          <w:color w:val="auto"/>
          <w:sz w:val="24"/>
          <w:szCs w:val="24"/>
          <w:highlight w:val="none"/>
          <w:lang w:val="en-US" w:eastAsia="zh-CN"/>
        </w:rPr>
      </w:pPr>
    </w:p>
    <w:p w14:paraId="41B4367F">
      <w:pPr>
        <w:pStyle w:val="40"/>
        <w:rPr>
          <w:rFonts w:hint="eastAsia" w:ascii="仿宋" w:hAnsi="仿宋" w:eastAsia="仿宋" w:cs="仿宋"/>
          <w:color w:val="auto"/>
          <w:sz w:val="24"/>
          <w:szCs w:val="24"/>
          <w:highlight w:val="none"/>
          <w:lang w:val="en-US" w:eastAsia="zh-CN"/>
        </w:rPr>
      </w:pPr>
    </w:p>
    <w:p w14:paraId="79A1B9AF">
      <w:pPr>
        <w:pStyle w:val="40"/>
        <w:rPr>
          <w:rFonts w:hint="eastAsia" w:ascii="仿宋" w:hAnsi="仿宋" w:eastAsia="仿宋" w:cs="仿宋"/>
          <w:color w:val="auto"/>
          <w:sz w:val="24"/>
          <w:szCs w:val="24"/>
          <w:highlight w:val="none"/>
          <w:lang w:val="en-US" w:eastAsia="zh-CN"/>
        </w:rPr>
      </w:pPr>
    </w:p>
    <w:p w14:paraId="099427CA">
      <w:pPr>
        <w:pStyle w:val="40"/>
        <w:rPr>
          <w:rFonts w:hint="eastAsia" w:ascii="仿宋" w:hAnsi="仿宋" w:eastAsia="仿宋" w:cs="仿宋"/>
          <w:color w:val="auto"/>
          <w:sz w:val="24"/>
          <w:szCs w:val="24"/>
          <w:highlight w:val="none"/>
          <w:lang w:val="en-US" w:eastAsia="zh-CN"/>
        </w:rPr>
      </w:pPr>
    </w:p>
    <w:p w14:paraId="43B8B635">
      <w:pPr>
        <w:pStyle w:val="40"/>
        <w:rPr>
          <w:rFonts w:hint="eastAsia" w:ascii="仿宋" w:hAnsi="仿宋" w:eastAsia="仿宋" w:cs="仿宋"/>
          <w:color w:val="auto"/>
          <w:sz w:val="24"/>
          <w:szCs w:val="24"/>
          <w:highlight w:val="none"/>
          <w:lang w:val="en-US" w:eastAsia="zh-CN"/>
        </w:rPr>
      </w:pPr>
    </w:p>
    <w:p w14:paraId="66C92FB4">
      <w:pPr>
        <w:pStyle w:val="40"/>
        <w:rPr>
          <w:rFonts w:hint="eastAsia" w:ascii="仿宋" w:hAnsi="仿宋" w:eastAsia="仿宋" w:cs="仿宋"/>
          <w:color w:val="auto"/>
          <w:sz w:val="24"/>
          <w:szCs w:val="24"/>
          <w:highlight w:val="none"/>
          <w:lang w:val="en-US" w:eastAsia="zh-CN"/>
        </w:rPr>
      </w:pPr>
    </w:p>
    <w:p w14:paraId="1CBFB0AC">
      <w:pPr>
        <w:pStyle w:val="40"/>
        <w:rPr>
          <w:rFonts w:hint="eastAsia" w:ascii="仿宋" w:hAnsi="仿宋" w:eastAsia="仿宋" w:cs="仿宋"/>
          <w:color w:val="auto"/>
          <w:sz w:val="24"/>
          <w:szCs w:val="24"/>
          <w:highlight w:val="none"/>
          <w:lang w:val="en-US" w:eastAsia="zh-CN"/>
        </w:rPr>
      </w:pPr>
    </w:p>
    <w:p w14:paraId="4B64E7DA">
      <w:pPr>
        <w:pStyle w:val="40"/>
        <w:rPr>
          <w:rFonts w:hint="eastAsia" w:ascii="仿宋" w:hAnsi="仿宋" w:eastAsia="仿宋" w:cs="仿宋"/>
          <w:color w:val="auto"/>
          <w:sz w:val="24"/>
          <w:szCs w:val="24"/>
          <w:highlight w:val="none"/>
          <w:lang w:val="en-US" w:eastAsia="zh-CN"/>
        </w:rPr>
      </w:pPr>
    </w:p>
    <w:p w14:paraId="178EE259">
      <w:pPr>
        <w:pStyle w:val="40"/>
        <w:rPr>
          <w:rFonts w:hint="eastAsia" w:ascii="仿宋" w:hAnsi="仿宋" w:eastAsia="仿宋" w:cs="仿宋"/>
          <w:color w:val="auto"/>
          <w:sz w:val="24"/>
          <w:szCs w:val="24"/>
          <w:highlight w:val="none"/>
          <w:lang w:val="en-US" w:eastAsia="zh-CN"/>
        </w:rPr>
      </w:pPr>
    </w:p>
    <w:p w14:paraId="29A2E3B6">
      <w:pPr>
        <w:pStyle w:val="40"/>
        <w:rPr>
          <w:rFonts w:hint="eastAsia" w:ascii="仿宋" w:hAnsi="仿宋" w:eastAsia="仿宋" w:cs="仿宋"/>
          <w:color w:val="auto"/>
          <w:sz w:val="24"/>
          <w:szCs w:val="24"/>
          <w:highlight w:val="none"/>
          <w:lang w:val="en-US" w:eastAsia="zh-CN"/>
        </w:rPr>
      </w:pPr>
    </w:p>
    <w:p w14:paraId="54550A6A">
      <w:pPr>
        <w:pStyle w:val="40"/>
        <w:rPr>
          <w:rFonts w:hint="eastAsia" w:ascii="仿宋" w:hAnsi="仿宋" w:eastAsia="仿宋" w:cs="仿宋"/>
          <w:color w:val="auto"/>
          <w:sz w:val="24"/>
          <w:szCs w:val="24"/>
          <w:highlight w:val="none"/>
          <w:lang w:val="en-US" w:eastAsia="zh-CN"/>
        </w:rPr>
      </w:pPr>
    </w:p>
    <w:p w14:paraId="73DEA04A">
      <w:pPr>
        <w:pStyle w:val="40"/>
        <w:rPr>
          <w:rFonts w:hint="eastAsia" w:ascii="仿宋" w:hAnsi="仿宋" w:eastAsia="仿宋" w:cs="仿宋"/>
          <w:color w:val="auto"/>
          <w:sz w:val="24"/>
          <w:szCs w:val="24"/>
          <w:highlight w:val="none"/>
          <w:lang w:val="en-US" w:eastAsia="zh-CN"/>
        </w:rPr>
      </w:pPr>
    </w:p>
    <w:p w14:paraId="6243B4DE">
      <w:pPr>
        <w:pStyle w:val="40"/>
        <w:rPr>
          <w:rFonts w:hint="eastAsia" w:ascii="仿宋" w:hAnsi="仿宋" w:eastAsia="仿宋" w:cs="仿宋"/>
          <w:color w:val="auto"/>
          <w:sz w:val="24"/>
          <w:szCs w:val="24"/>
          <w:highlight w:val="none"/>
          <w:lang w:val="en-US" w:eastAsia="zh-CN"/>
        </w:rPr>
      </w:pPr>
    </w:p>
    <w:p w14:paraId="2CFA1AE6">
      <w:pPr>
        <w:pStyle w:val="40"/>
        <w:rPr>
          <w:rFonts w:hint="eastAsia" w:ascii="仿宋" w:hAnsi="仿宋" w:eastAsia="仿宋" w:cs="仿宋"/>
          <w:color w:val="auto"/>
          <w:sz w:val="24"/>
          <w:szCs w:val="24"/>
          <w:highlight w:val="none"/>
          <w:lang w:val="en-US" w:eastAsia="zh-CN"/>
        </w:rPr>
      </w:pPr>
    </w:p>
    <w:p w14:paraId="497C036C">
      <w:pPr>
        <w:pStyle w:val="40"/>
        <w:rPr>
          <w:rFonts w:hint="eastAsia" w:ascii="仿宋" w:hAnsi="仿宋" w:eastAsia="仿宋" w:cs="仿宋"/>
          <w:color w:val="auto"/>
          <w:sz w:val="24"/>
          <w:szCs w:val="24"/>
          <w:highlight w:val="none"/>
          <w:lang w:val="en-US" w:eastAsia="zh-CN"/>
        </w:rPr>
      </w:pPr>
    </w:p>
    <w:p w14:paraId="336E4AA4">
      <w:pPr>
        <w:pStyle w:val="40"/>
        <w:rPr>
          <w:rFonts w:hint="eastAsia" w:ascii="仿宋" w:hAnsi="仿宋" w:eastAsia="仿宋" w:cs="仿宋"/>
          <w:color w:val="auto"/>
          <w:sz w:val="24"/>
          <w:szCs w:val="24"/>
          <w:highlight w:val="none"/>
          <w:lang w:val="en-US" w:eastAsia="zh-CN"/>
        </w:rPr>
      </w:pPr>
    </w:p>
    <w:p w14:paraId="33E330A9">
      <w:pPr>
        <w:pStyle w:val="40"/>
        <w:rPr>
          <w:rFonts w:hint="eastAsia" w:ascii="仿宋" w:hAnsi="仿宋" w:eastAsia="仿宋" w:cs="仿宋"/>
          <w:color w:val="auto"/>
          <w:sz w:val="24"/>
          <w:szCs w:val="24"/>
          <w:highlight w:val="none"/>
          <w:lang w:val="en-US" w:eastAsia="zh-CN"/>
        </w:rPr>
      </w:pPr>
    </w:p>
    <w:p w14:paraId="7518FC71">
      <w:pPr>
        <w:pStyle w:val="2"/>
        <w:numPr>
          <w:ilvl w:val="0"/>
          <w:numId w:val="0"/>
        </w:numPr>
        <w:jc w:val="center"/>
        <w:rPr>
          <w:rFonts w:hint="eastAsia" w:ascii="仿宋" w:hAnsi="仿宋" w:eastAsia="仿宋" w:cs="仿宋"/>
          <w:color w:val="auto"/>
          <w:kern w:val="0"/>
          <w:sz w:val="24"/>
          <w:szCs w:val="24"/>
          <w:highlight w:val="none"/>
          <w:u w:val="single"/>
        </w:rPr>
      </w:pPr>
      <w:bookmarkStart w:id="717" w:name="_Toc27344"/>
      <w:r>
        <w:rPr>
          <w:rFonts w:hint="eastAsia" w:ascii="仿宋" w:hAnsi="仿宋" w:eastAsia="仿宋" w:cs="仿宋"/>
          <w:color w:val="auto"/>
          <w:sz w:val="48"/>
          <w:szCs w:val="48"/>
          <w:highlight w:val="none"/>
          <w:lang w:val="en-US" w:eastAsia="zh-CN"/>
        </w:rPr>
        <w:t>第六章 投标文件格式</w:t>
      </w:r>
      <w:bookmarkEnd w:id="710"/>
      <w:bookmarkEnd w:id="711"/>
      <w:bookmarkEnd w:id="712"/>
      <w:bookmarkEnd w:id="713"/>
      <w:bookmarkEnd w:id="714"/>
      <w:bookmarkEnd w:id="715"/>
      <w:bookmarkEnd w:id="717"/>
    </w:p>
    <w:p w14:paraId="7E2527C2">
      <w:pPr>
        <w:autoSpaceDE w:val="0"/>
        <w:autoSpaceDN w:val="0"/>
        <w:adjustRightInd w:val="0"/>
        <w:spacing w:line="360" w:lineRule="auto"/>
        <w:jc w:val="both"/>
        <w:rPr>
          <w:rFonts w:hint="eastAsia" w:ascii="仿宋" w:hAnsi="仿宋" w:eastAsia="仿宋" w:cs="仿宋"/>
          <w:color w:val="auto"/>
          <w:kern w:val="0"/>
          <w:sz w:val="24"/>
          <w:szCs w:val="24"/>
          <w:highlight w:val="none"/>
          <w:u w:val="single"/>
        </w:rPr>
      </w:pPr>
    </w:p>
    <w:p w14:paraId="10AFB4F0">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（项目名称） </w:t>
      </w:r>
    </w:p>
    <w:p w14:paraId="79D361AD">
      <w:pPr>
        <w:spacing w:line="360" w:lineRule="auto"/>
        <w:jc w:val="center"/>
        <w:rPr>
          <w:rFonts w:hint="eastAsia" w:ascii="仿宋" w:hAnsi="仿宋" w:eastAsia="仿宋" w:cs="仿宋"/>
          <w:color w:val="auto"/>
          <w:sz w:val="24"/>
          <w:szCs w:val="24"/>
          <w:highlight w:val="none"/>
        </w:rPr>
      </w:pPr>
    </w:p>
    <w:p w14:paraId="46351355">
      <w:pPr>
        <w:spacing w:line="360" w:lineRule="auto"/>
        <w:jc w:val="center"/>
        <w:rPr>
          <w:rFonts w:hint="eastAsia" w:ascii="仿宋" w:hAnsi="仿宋" w:eastAsia="仿宋" w:cs="仿宋"/>
          <w:color w:val="auto"/>
          <w:sz w:val="24"/>
          <w:szCs w:val="24"/>
          <w:highlight w:val="none"/>
        </w:rPr>
      </w:pPr>
    </w:p>
    <w:p w14:paraId="3A10DFB0">
      <w:pPr>
        <w:spacing w:line="360" w:lineRule="auto"/>
        <w:jc w:val="center"/>
        <w:rPr>
          <w:rFonts w:hint="eastAsia" w:ascii="仿宋" w:hAnsi="仿宋" w:eastAsia="仿宋" w:cs="仿宋"/>
          <w:color w:val="auto"/>
          <w:sz w:val="24"/>
          <w:szCs w:val="24"/>
          <w:highlight w:val="none"/>
        </w:rPr>
      </w:pPr>
    </w:p>
    <w:p w14:paraId="73E9A2D5">
      <w:pPr>
        <w:spacing w:line="360" w:lineRule="auto"/>
        <w:jc w:val="center"/>
        <w:rPr>
          <w:rFonts w:hint="eastAsia" w:ascii="仿宋" w:hAnsi="仿宋" w:eastAsia="仿宋" w:cs="仿宋"/>
          <w:color w:val="auto"/>
          <w:sz w:val="24"/>
          <w:szCs w:val="24"/>
          <w:highlight w:val="none"/>
        </w:rPr>
      </w:pPr>
    </w:p>
    <w:p w14:paraId="73A91EC4">
      <w:pPr>
        <w:spacing w:line="360" w:lineRule="auto"/>
        <w:jc w:val="center"/>
        <w:rPr>
          <w:rFonts w:hint="eastAsia" w:ascii="仿宋" w:hAnsi="仿宋" w:eastAsia="仿宋" w:cs="仿宋"/>
          <w:color w:val="auto"/>
          <w:sz w:val="24"/>
          <w:szCs w:val="24"/>
          <w:highlight w:val="none"/>
        </w:rPr>
      </w:pPr>
    </w:p>
    <w:p w14:paraId="62C5373D">
      <w:pPr>
        <w:pStyle w:val="11"/>
        <w:spacing w:line="360" w:lineRule="auto"/>
        <w:rPr>
          <w:rFonts w:hint="eastAsia" w:ascii="仿宋" w:hAnsi="仿宋" w:eastAsia="仿宋" w:cs="仿宋"/>
          <w:color w:val="auto"/>
          <w:sz w:val="24"/>
          <w:szCs w:val="24"/>
          <w:highlight w:val="none"/>
        </w:rPr>
      </w:pPr>
    </w:p>
    <w:p w14:paraId="5547FB2F">
      <w:pPr>
        <w:spacing w:line="360" w:lineRule="auto"/>
        <w:jc w:val="center"/>
        <w:rPr>
          <w:rFonts w:hint="eastAsia" w:ascii="仿宋" w:hAnsi="仿宋" w:eastAsia="仿宋" w:cs="仿宋"/>
          <w:color w:val="auto"/>
          <w:sz w:val="72"/>
          <w:szCs w:val="72"/>
          <w:highlight w:val="none"/>
        </w:rPr>
      </w:pPr>
      <w:r>
        <w:rPr>
          <w:rFonts w:hint="eastAsia" w:ascii="仿宋" w:hAnsi="仿宋" w:eastAsia="仿宋" w:cs="仿宋"/>
          <w:b/>
          <w:bCs/>
          <w:color w:val="auto"/>
          <w:sz w:val="72"/>
          <w:szCs w:val="72"/>
          <w:highlight w:val="none"/>
        </w:rPr>
        <w:t>投</w:t>
      </w:r>
      <w:r>
        <w:rPr>
          <w:rFonts w:hint="eastAsia" w:ascii="仿宋" w:hAnsi="仿宋" w:eastAsia="仿宋" w:cs="仿宋"/>
          <w:b/>
          <w:bCs/>
          <w:color w:val="auto"/>
          <w:sz w:val="72"/>
          <w:szCs w:val="72"/>
          <w:highlight w:val="none"/>
          <w:lang w:val="en-US" w:eastAsia="zh-CN"/>
        </w:rPr>
        <w:t xml:space="preserve"> </w:t>
      </w:r>
      <w:r>
        <w:rPr>
          <w:rFonts w:hint="eastAsia" w:ascii="仿宋" w:hAnsi="仿宋" w:eastAsia="仿宋" w:cs="仿宋"/>
          <w:b/>
          <w:bCs/>
          <w:color w:val="auto"/>
          <w:sz w:val="72"/>
          <w:szCs w:val="72"/>
          <w:highlight w:val="none"/>
        </w:rPr>
        <w:t>标</w:t>
      </w:r>
      <w:r>
        <w:rPr>
          <w:rFonts w:hint="eastAsia" w:ascii="仿宋" w:hAnsi="仿宋" w:eastAsia="仿宋" w:cs="仿宋"/>
          <w:b/>
          <w:bCs/>
          <w:color w:val="auto"/>
          <w:sz w:val="72"/>
          <w:szCs w:val="72"/>
          <w:highlight w:val="none"/>
          <w:lang w:val="en-US" w:eastAsia="zh-CN"/>
        </w:rPr>
        <w:t xml:space="preserve"> </w:t>
      </w:r>
      <w:r>
        <w:rPr>
          <w:rFonts w:hint="eastAsia" w:ascii="仿宋" w:hAnsi="仿宋" w:eastAsia="仿宋" w:cs="仿宋"/>
          <w:b/>
          <w:bCs/>
          <w:color w:val="auto"/>
          <w:sz w:val="72"/>
          <w:szCs w:val="72"/>
          <w:highlight w:val="none"/>
        </w:rPr>
        <w:t>文</w:t>
      </w:r>
      <w:r>
        <w:rPr>
          <w:rFonts w:hint="eastAsia" w:ascii="仿宋" w:hAnsi="仿宋" w:eastAsia="仿宋" w:cs="仿宋"/>
          <w:b/>
          <w:bCs/>
          <w:color w:val="auto"/>
          <w:sz w:val="72"/>
          <w:szCs w:val="72"/>
          <w:highlight w:val="none"/>
          <w:lang w:val="en-US" w:eastAsia="zh-CN"/>
        </w:rPr>
        <w:t xml:space="preserve"> </w:t>
      </w:r>
      <w:r>
        <w:rPr>
          <w:rFonts w:hint="eastAsia" w:ascii="仿宋" w:hAnsi="仿宋" w:eastAsia="仿宋" w:cs="仿宋"/>
          <w:b/>
          <w:bCs/>
          <w:color w:val="auto"/>
          <w:sz w:val="72"/>
          <w:szCs w:val="72"/>
          <w:highlight w:val="none"/>
        </w:rPr>
        <w:t>件</w:t>
      </w:r>
    </w:p>
    <w:p w14:paraId="62D76DD7">
      <w:pPr>
        <w:spacing w:line="360" w:lineRule="auto"/>
        <w:jc w:val="center"/>
        <w:rPr>
          <w:rFonts w:hint="eastAsia" w:ascii="仿宋" w:hAnsi="仿宋" w:eastAsia="仿宋" w:cs="仿宋"/>
          <w:color w:val="auto"/>
          <w:sz w:val="24"/>
          <w:szCs w:val="24"/>
          <w:highlight w:val="none"/>
        </w:rPr>
      </w:pPr>
    </w:p>
    <w:p w14:paraId="4723C1B0">
      <w:pPr>
        <w:spacing w:line="360" w:lineRule="auto"/>
        <w:ind w:firstLine="3360" w:firstLineChars="1200"/>
        <w:jc w:val="lef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u w:val="single"/>
        </w:rPr>
        <w:t xml:space="preserve">                </w:t>
      </w:r>
    </w:p>
    <w:p w14:paraId="7A8ACC94">
      <w:pPr>
        <w:spacing w:line="360" w:lineRule="auto"/>
        <w:ind w:firstLine="3360" w:firstLineChars="1200"/>
        <w:jc w:val="left"/>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u w:val="none"/>
          <w:lang w:val="en-US" w:eastAsia="zh-CN"/>
        </w:rPr>
        <w:t>标 段 号：</w:t>
      </w:r>
      <w:r>
        <w:rPr>
          <w:rFonts w:hint="eastAsia" w:ascii="仿宋" w:hAnsi="仿宋" w:eastAsia="仿宋" w:cs="仿宋"/>
          <w:color w:val="auto"/>
          <w:sz w:val="28"/>
          <w:szCs w:val="28"/>
          <w:highlight w:val="none"/>
          <w:u w:val="single"/>
          <w:lang w:val="en-US" w:eastAsia="zh-CN"/>
        </w:rPr>
        <w:t xml:space="preserve">                </w:t>
      </w:r>
    </w:p>
    <w:p w14:paraId="3D12CCF2">
      <w:pPr>
        <w:spacing w:line="360" w:lineRule="auto"/>
        <w:jc w:val="center"/>
        <w:rPr>
          <w:rFonts w:hint="eastAsia" w:ascii="仿宋" w:hAnsi="仿宋" w:eastAsia="仿宋" w:cs="仿宋"/>
          <w:color w:val="auto"/>
          <w:sz w:val="28"/>
          <w:szCs w:val="28"/>
          <w:highlight w:val="none"/>
        </w:rPr>
      </w:pPr>
    </w:p>
    <w:p w14:paraId="67CCE845">
      <w:pPr>
        <w:pStyle w:val="14"/>
        <w:rPr>
          <w:rFonts w:hint="eastAsia" w:ascii="仿宋" w:hAnsi="仿宋" w:eastAsia="仿宋" w:cs="仿宋"/>
          <w:color w:val="auto"/>
          <w:sz w:val="28"/>
          <w:szCs w:val="28"/>
          <w:highlight w:val="none"/>
        </w:rPr>
      </w:pPr>
    </w:p>
    <w:p w14:paraId="3E87C08F">
      <w:pPr>
        <w:pStyle w:val="15"/>
        <w:rPr>
          <w:rFonts w:hint="eastAsia" w:ascii="仿宋" w:hAnsi="仿宋" w:eastAsia="仿宋" w:cs="仿宋"/>
          <w:color w:val="auto"/>
          <w:sz w:val="28"/>
          <w:szCs w:val="28"/>
          <w:highlight w:val="none"/>
        </w:rPr>
      </w:pPr>
    </w:p>
    <w:p w14:paraId="2F9C4A72">
      <w:pPr>
        <w:rPr>
          <w:rFonts w:hint="eastAsia" w:ascii="仿宋" w:hAnsi="仿宋" w:eastAsia="仿宋" w:cs="仿宋"/>
          <w:color w:val="auto"/>
          <w:sz w:val="28"/>
          <w:szCs w:val="28"/>
          <w:highlight w:val="none"/>
        </w:rPr>
      </w:pPr>
    </w:p>
    <w:p w14:paraId="27F5FF74">
      <w:pPr>
        <w:rPr>
          <w:rFonts w:hint="eastAsia" w:ascii="仿宋" w:hAnsi="仿宋" w:eastAsia="仿宋" w:cs="仿宋"/>
          <w:color w:val="auto"/>
          <w:sz w:val="28"/>
          <w:szCs w:val="28"/>
          <w:highlight w:val="none"/>
        </w:rPr>
      </w:pPr>
    </w:p>
    <w:p w14:paraId="381E2F51">
      <w:pPr>
        <w:rPr>
          <w:rFonts w:hint="eastAsia" w:ascii="仿宋" w:hAnsi="仿宋" w:eastAsia="仿宋" w:cs="仿宋"/>
          <w:color w:val="auto"/>
          <w:sz w:val="28"/>
          <w:szCs w:val="28"/>
          <w:highlight w:val="none"/>
        </w:rPr>
      </w:pPr>
    </w:p>
    <w:p w14:paraId="0707D7DF">
      <w:pPr>
        <w:snapToGrid w:val="0"/>
        <w:spacing w:line="360" w:lineRule="auto"/>
        <w:rPr>
          <w:rFonts w:hint="eastAsia" w:ascii="仿宋" w:hAnsi="仿宋" w:eastAsia="仿宋" w:cs="仿宋"/>
          <w:color w:val="auto"/>
          <w:sz w:val="28"/>
          <w:szCs w:val="28"/>
          <w:highlight w:val="none"/>
        </w:rPr>
      </w:pPr>
    </w:p>
    <w:p w14:paraId="4FB84AC9">
      <w:pPr>
        <w:widowControl/>
        <w:spacing w:line="360" w:lineRule="auto"/>
        <w:ind w:firstLine="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  标  人：</w:t>
      </w:r>
      <w:r>
        <w:rPr>
          <w:rFonts w:hint="eastAsia" w:ascii="仿宋" w:hAnsi="仿宋" w:eastAsia="仿宋" w:cs="仿宋"/>
          <w:color w:val="auto"/>
          <w:sz w:val="28"/>
          <w:szCs w:val="28"/>
          <w:highlight w:val="none"/>
          <w:u w:val="single"/>
        </w:rPr>
        <w:t xml:space="preserve">                        （电子签章）    </w:t>
      </w:r>
    </w:p>
    <w:p w14:paraId="71BF0C46">
      <w:pPr>
        <w:widowControl/>
        <w:spacing w:line="360" w:lineRule="auto"/>
        <w:ind w:firstLine="75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（电子签章）  </w:t>
      </w:r>
    </w:p>
    <w:p w14:paraId="3583543E">
      <w:pPr>
        <w:widowControl/>
        <w:spacing w:line="360" w:lineRule="auto"/>
        <w:ind w:firstLine="75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联系人及联系电话：</w:t>
      </w:r>
      <w:r>
        <w:rPr>
          <w:rFonts w:hint="eastAsia" w:ascii="仿宋" w:hAnsi="仿宋" w:eastAsia="仿宋" w:cs="仿宋"/>
          <w:color w:val="auto"/>
          <w:sz w:val="28"/>
          <w:szCs w:val="28"/>
          <w:highlight w:val="none"/>
          <w:u w:val="single"/>
        </w:rPr>
        <w:t xml:space="preserve">                                  </w:t>
      </w:r>
    </w:p>
    <w:p w14:paraId="465AEBDD">
      <w:pPr>
        <w:pStyle w:val="8"/>
        <w:snapToGrid w:val="0"/>
        <w:spacing w:before="50" w:after="50"/>
        <w:ind w:left="420" w:firstLine="960" w:firstLineChars="400"/>
        <w:rPr>
          <w:rFonts w:hint="eastAsia" w:ascii="仿宋" w:hAnsi="仿宋" w:eastAsia="仿宋" w:cs="仿宋"/>
          <w:bCs/>
          <w:color w:val="auto"/>
          <w:sz w:val="24"/>
          <w:szCs w:val="24"/>
          <w:highlight w:val="none"/>
        </w:rPr>
      </w:pPr>
    </w:p>
    <w:p w14:paraId="37E06A8E">
      <w:pPr>
        <w:spacing w:before="100" w:line="360" w:lineRule="auto"/>
        <w:ind w:left="19"/>
        <w:outlineLvl w:val="2"/>
        <w:rPr>
          <w:rFonts w:hint="eastAsia" w:ascii="仿宋" w:hAnsi="仿宋" w:eastAsia="仿宋" w:cs="仿宋"/>
          <w:b/>
          <w:bCs/>
          <w:color w:val="auto"/>
          <w:sz w:val="28"/>
          <w:szCs w:val="28"/>
          <w:highlight w:val="none"/>
        </w:rPr>
      </w:pPr>
      <w:bookmarkStart w:id="718" w:name="_Toc8867"/>
      <w:r>
        <w:rPr>
          <w:rFonts w:hint="eastAsia" w:ascii="仿宋" w:hAnsi="仿宋" w:eastAsia="仿宋" w:cs="仿宋"/>
          <w:b/>
          <w:bCs/>
          <w:color w:val="auto"/>
          <w:spacing w:val="9"/>
          <w:position w:val="25"/>
          <w:sz w:val="28"/>
          <w:szCs w:val="28"/>
          <w:highlight w:val="none"/>
        </w:rPr>
        <w:t>一</w:t>
      </w:r>
      <w:r>
        <w:rPr>
          <w:rFonts w:hint="eastAsia" w:ascii="仿宋" w:hAnsi="仿宋" w:eastAsia="仿宋" w:cs="仿宋"/>
          <w:b/>
          <w:bCs/>
          <w:color w:val="auto"/>
          <w:spacing w:val="8"/>
          <w:position w:val="25"/>
          <w:sz w:val="28"/>
          <w:szCs w:val="28"/>
          <w:highlight w:val="none"/>
        </w:rPr>
        <w:t>、</w:t>
      </w:r>
      <w:r>
        <w:rPr>
          <w:rFonts w:hint="eastAsia" w:ascii="仿宋" w:hAnsi="仿宋" w:eastAsia="仿宋" w:cs="仿宋"/>
          <w:b/>
          <w:bCs/>
          <w:color w:val="auto"/>
          <w:spacing w:val="8"/>
          <w:position w:val="25"/>
          <w:sz w:val="28"/>
          <w:szCs w:val="28"/>
          <w:highlight w:val="none"/>
          <w:lang w:val="en-US" w:eastAsia="zh-CN"/>
        </w:rPr>
        <w:t>资格</w:t>
      </w:r>
      <w:r>
        <w:rPr>
          <w:rFonts w:hint="eastAsia" w:ascii="仿宋" w:hAnsi="仿宋" w:eastAsia="仿宋" w:cs="仿宋"/>
          <w:b/>
          <w:bCs/>
          <w:color w:val="auto"/>
          <w:spacing w:val="8"/>
          <w:position w:val="25"/>
          <w:sz w:val="28"/>
          <w:szCs w:val="28"/>
          <w:highlight w:val="none"/>
        </w:rPr>
        <w:t>文件</w:t>
      </w:r>
    </w:p>
    <w:p w14:paraId="2F8E5267">
      <w:pPr>
        <w:spacing w:line="360" w:lineRule="auto"/>
        <w:ind w:left="3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w:t>
      </w:r>
      <w:r>
        <w:rPr>
          <w:rFonts w:hint="eastAsia" w:ascii="仿宋" w:hAnsi="仿宋" w:eastAsia="仿宋" w:cs="仿宋"/>
          <w:color w:val="auto"/>
          <w:spacing w:val="-2"/>
          <w:sz w:val="24"/>
          <w:szCs w:val="24"/>
          <w:highlight w:val="none"/>
          <w:lang w:val="en-US" w:eastAsia="zh-CN"/>
        </w:rPr>
        <w:t>资格</w:t>
      </w:r>
      <w:r>
        <w:rPr>
          <w:rFonts w:hint="eastAsia" w:ascii="仿宋" w:hAnsi="仿宋" w:eastAsia="仿宋" w:cs="仿宋"/>
          <w:color w:val="auto"/>
          <w:spacing w:val="-2"/>
          <w:sz w:val="24"/>
          <w:szCs w:val="24"/>
          <w:highlight w:val="none"/>
        </w:rPr>
        <w:t>文件封面格</w:t>
      </w:r>
      <w:r>
        <w:rPr>
          <w:rFonts w:hint="eastAsia" w:ascii="仿宋" w:hAnsi="仿宋" w:eastAsia="仿宋" w:cs="仿宋"/>
          <w:color w:val="auto"/>
          <w:spacing w:val="-1"/>
          <w:sz w:val="24"/>
          <w:szCs w:val="24"/>
          <w:highlight w:val="none"/>
        </w:rPr>
        <w:t>式：</w:t>
      </w:r>
    </w:p>
    <w:p w14:paraId="57BC9E6D">
      <w:pPr>
        <w:spacing w:line="360" w:lineRule="auto"/>
        <w:rPr>
          <w:rFonts w:hint="eastAsia" w:ascii="仿宋" w:hAnsi="仿宋" w:eastAsia="仿宋" w:cs="仿宋"/>
          <w:color w:val="auto"/>
          <w:sz w:val="24"/>
          <w:szCs w:val="24"/>
          <w:highlight w:val="none"/>
        </w:rPr>
      </w:pPr>
    </w:p>
    <w:p w14:paraId="4A149652">
      <w:pPr>
        <w:spacing w:line="360" w:lineRule="auto"/>
        <w:rPr>
          <w:rFonts w:hint="eastAsia" w:ascii="仿宋" w:hAnsi="仿宋" w:eastAsia="仿宋" w:cs="仿宋"/>
          <w:color w:val="auto"/>
          <w:sz w:val="24"/>
          <w:szCs w:val="24"/>
          <w:highlight w:val="none"/>
        </w:rPr>
      </w:pPr>
    </w:p>
    <w:p w14:paraId="46ADC0EA">
      <w:pPr>
        <w:spacing w:line="360" w:lineRule="auto"/>
        <w:rPr>
          <w:rFonts w:hint="eastAsia" w:ascii="仿宋" w:hAnsi="仿宋" w:eastAsia="仿宋" w:cs="仿宋"/>
          <w:color w:val="auto"/>
          <w:sz w:val="24"/>
          <w:szCs w:val="24"/>
          <w:highlight w:val="none"/>
        </w:rPr>
      </w:pPr>
    </w:p>
    <w:p w14:paraId="21F55A46">
      <w:pPr>
        <w:spacing w:line="360" w:lineRule="auto"/>
        <w:rPr>
          <w:rFonts w:hint="eastAsia" w:ascii="仿宋" w:hAnsi="仿宋" w:eastAsia="仿宋" w:cs="仿宋"/>
          <w:color w:val="auto"/>
          <w:sz w:val="24"/>
          <w:szCs w:val="24"/>
          <w:highlight w:val="none"/>
        </w:rPr>
      </w:pPr>
    </w:p>
    <w:p w14:paraId="2F049AB2">
      <w:pPr>
        <w:spacing w:line="360" w:lineRule="auto"/>
        <w:rPr>
          <w:rFonts w:hint="eastAsia" w:ascii="仿宋" w:hAnsi="仿宋" w:eastAsia="仿宋" w:cs="仿宋"/>
          <w:color w:val="auto"/>
          <w:sz w:val="24"/>
          <w:szCs w:val="24"/>
          <w:highlight w:val="none"/>
        </w:rPr>
      </w:pPr>
    </w:p>
    <w:p w14:paraId="1BC68FA3">
      <w:pPr>
        <w:spacing w:line="360" w:lineRule="auto"/>
        <w:rPr>
          <w:rFonts w:hint="eastAsia" w:ascii="仿宋" w:hAnsi="仿宋" w:eastAsia="仿宋" w:cs="仿宋"/>
          <w:color w:val="auto"/>
          <w:sz w:val="24"/>
          <w:szCs w:val="24"/>
          <w:highlight w:val="none"/>
        </w:rPr>
      </w:pPr>
    </w:p>
    <w:p w14:paraId="468A90D7">
      <w:pPr>
        <w:spacing w:line="360" w:lineRule="auto"/>
        <w:rPr>
          <w:rFonts w:hint="eastAsia" w:ascii="仿宋" w:hAnsi="仿宋" w:eastAsia="仿宋" w:cs="仿宋"/>
          <w:color w:val="auto"/>
          <w:sz w:val="24"/>
          <w:szCs w:val="24"/>
          <w:highlight w:val="none"/>
        </w:rPr>
      </w:pPr>
    </w:p>
    <w:p w14:paraId="71028A49">
      <w:pPr>
        <w:spacing w:line="360" w:lineRule="auto"/>
        <w:rPr>
          <w:rFonts w:hint="eastAsia" w:ascii="仿宋" w:hAnsi="仿宋" w:eastAsia="仿宋" w:cs="仿宋"/>
          <w:color w:val="auto"/>
          <w:sz w:val="24"/>
          <w:szCs w:val="24"/>
          <w:highlight w:val="none"/>
        </w:rPr>
      </w:pPr>
    </w:p>
    <w:p w14:paraId="48F76880">
      <w:pPr>
        <w:spacing w:before="140" w:line="360" w:lineRule="auto"/>
        <w:ind w:left="3541"/>
        <w:rPr>
          <w:rFonts w:hint="eastAsia" w:ascii="仿宋" w:hAnsi="仿宋" w:eastAsia="仿宋" w:cs="仿宋"/>
          <w:color w:val="auto"/>
          <w:sz w:val="48"/>
          <w:szCs w:val="48"/>
          <w:highlight w:val="none"/>
        </w:rPr>
      </w:pPr>
      <w:r>
        <w:rPr>
          <w:rFonts w:hint="eastAsia" w:ascii="仿宋" w:hAnsi="仿宋" w:eastAsia="仿宋" w:cs="仿宋"/>
          <w:color w:val="auto"/>
          <w:spacing w:val="9"/>
          <w:sz w:val="48"/>
          <w:szCs w:val="48"/>
          <w:highlight w:val="none"/>
          <w:lang w:val="en-US" w:eastAsia="zh-CN"/>
        </w:rPr>
        <w:t>资格</w:t>
      </w:r>
      <w:r>
        <w:rPr>
          <w:rFonts w:hint="eastAsia" w:ascii="仿宋" w:hAnsi="仿宋" w:eastAsia="仿宋" w:cs="仿宋"/>
          <w:color w:val="auto"/>
          <w:spacing w:val="7"/>
          <w:sz w:val="48"/>
          <w:szCs w:val="48"/>
          <w:highlight w:val="none"/>
        </w:rPr>
        <w:t>文件</w:t>
      </w:r>
    </w:p>
    <w:p w14:paraId="13326C86">
      <w:pPr>
        <w:spacing w:before="78" w:line="360" w:lineRule="auto"/>
        <w:ind w:left="493"/>
        <w:rPr>
          <w:rFonts w:hint="eastAsia" w:ascii="仿宋" w:hAnsi="仿宋" w:eastAsia="仿宋" w:cs="仿宋"/>
          <w:color w:val="auto"/>
          <w:spacing w:val="-4"/>
          <w:sz w:val="24"/>
          <w:szCs w:val="24"/>
          <w:highlight w:val="none"/>
        </w:rPr>
      </w:pPr>
    </w:p>
    <w:p w14:paraId="7CCF33DC">
      <w:pPr>
        <w:pStyle w:val="14"/>
        <w:rPr>
          <w:rFonts w:hint="eastAsia" w:ascii="仿宋" w:hAnsi="仿宋" w:eastAsia="仿宋" w:cs="仿宋"/>
          <w:color w:val="auto"/>
          <w:spacing w:val="-4"/>
          <w:sz w:val="24"/>
          <w:szCs w:val="24"/>
          <w:highlight w:val="none"/>
        </w:rPr>
      </w:pPr>
    </w:p>
    <w:p w14:paraId="140537B3">
      <w:pPr>
        <w:pStyle w:val="11"/>
        <w:rPr>
          <w:rFonts w:hint="eastAsia" w:ascii="仿宋" w:hAnsi="仿宋" w:eastAsia="仿宋" w:cs="仿宋"/>
          <w:color w:val="auto"/>
          <w:spacing w:val="-4"/>
          <w:sz w:val="24"/>
          <w:szCs w:val="24"/>
          <w:highlight w:val="none"/>
        </w:rPr>
      </w:pPr>
    </w:p>
    <w:p w14:paraId="1E42D056">
      <w:pPr>
        <w:pStyle w:val="15"/>
        <w:rPr>
          <w:rFonts w:hint="eastAsia" w:ascii="仿宋" w:hAnsi="仿宋" w:eastAsia="仿宋" w:cs="仿宋"/>
          <w:color w:val="auto"/>
          <w:spacing w:val="-4"/>
          <w:sz w:val="24"/>
          <w:szCs w:val="24"/>
          <w:highlight w:val="none"/>
        </w:rPr>
      </w:pPr>
    </w:p>
    <w:p w14:paraId="070C0A9B">
      <w:pPr>
        <w:rPr>
          <w:rFonts w:hint="eastAsia" w:ascii="仿宋" w:hAnsi="仿宋" w:eastAsia="仿宋" w:cs="仿宋"/>
          <w:color w:val="auto"/>
          <w:spacing w:val="-4"/>
          <w:sz w:val="24"/>
          <w:szCs w:val="24"/>
          <w:highlight w:val="none"/>
        </w:rPr>
      </w:pPr>
    </w:p>
    <w:p w14:paraId="2DC46822">
      <w:pPr>
        <w:pStyle w:val="14"/>
        <w:rPr>
          <w:rFonts w:hint="eastAsia" w:ascii="仿宋" w:hAnsi="仿宋" w:eastAsia="仿宋" w:cs="仿宋"/>
          <w:color w:val="auto"/>
          <w:spacing w:val="-4"/>
          <w:sz w:val="24"/>
          <w:szCs w:val="24"/>
          <w:highlight w:val="none"/>
        </w:rPr>
      </w:pPr>
    </w:p>
    <w:p w14:paraId="57735151">
      <w:pPr>
        <w:spacing w:before="78" w:line="360" w:lineRule="auto"/>
        <w:rPr>
          <w:rFonts w:hint="eastAsia" w:ascii="仿宋" w:hAnsi="仿宋" w:eastAsia="仿宋" w:cs="仿宋"/>
          <w:color w:val="auto"/>
          <w:spacing w:val="-4"/>
          <w:sz w:val="24"/>
          <w:szCs w:val="24"/>
          <w:highlight w:val="none"/>
        </w:rPr>
      </w:pPr>
    </w:p>
    <w:p w14:paraId="76B43288">
      <w:pPr>
        <w:spacing w:before="78" w:line="360" w:lineRule="auto"/>
        <w:ind w:left="493"/>
        <w:rPr>
          <w:rFonts w:hint="eastAsia" w:ascii="仿宋" w:hAnsi="仿宋" w:eastAsia="仿宋" w:cs="仿宋"/>
          <w:color w:val="auto"/>
          <w:spacing w:val="-4"/>
          <w:sz w:val="24"/>
          <w:szCs w:val="24"/>
          <w:highlight w:val="none"/>
        </w:rPr>
      </w:pPr>
    </w:p>
    <w:p w14:paraId="50369FBF">
      <w:pPr>
        <w:spacing w:before="78" w:line="360" w:lineRule="auto"/>
        <w:ind w:left="493"/>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项目名称：</w:t>
      </w:r>
      <w:r>
        <w:rPr>
          <w:rFonts w:hint="eastAsia" w:ascii="仿宋" w:hAnsi="仿宋" w:eastAsia="仿宋" w:cs="仿宋"/>
          <w:color w:val="auto"/>
          <w:spacing w:val="-6"/>
          <w:sz w:val="28"/>
          <w:szCs w:val="28"/>
          <w:highlight w:val="none"/>
          <w:u w:val="single"/>
        </w:rPr>
        <w:t xml:space="preserve">                      </w:t>
      </w:r>
    </w:p>
    <w:p w14:paraId="46AB69B2">
      <w:pPr>
        <w:spacing w:before="79" w:line="360" w:lineRule="auto"/>
        <w:ind w:left="492"/>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lang w:val="en-US" w:eastAsia="zh-CN"/>
        </w:rPr>
        <w:t>项目编号：</w:t>
      </w:r>
      <w:r>
        <w:rPr>
          <w:rFonts w:hint="eastAsia" w:ascii="仿宋" w:hAnsi="仿宋" w:eastAsia="仿宋" w:cs="仿宋"/>
          <w:color w:val="auto"/>
          <w:sz w:val="28"/>
          <w:szCs w:val="28"/>
          <w:highlight w:val="none"/>
          <w:u w:val="single"/>
          <w:lang w:val="en-US" w:eastAsia="zh-CN"/>
        </w:rPr>
        <w:t xml:space="preserve">                      </w:t>
      </w:r>
    </w:p>
    <w:p w14:paraId="4C35F5A8">
      <w:pPr>
        <w:spacing w:before="79" w:line="360" w:lineRule="auto"/>
        <w:ind w:left="492"/>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u w:val="none"/>
          <w:lang w:val="en-US" w:eastAsia="zh-CN"/>
        </w:rPr>
        <w:t>标 段 号：</w:t>
      </w:r>
      <w:r>
        <w:rPr>
          <w:rFonts w:hint="eastAsia" w:ascii="仿宋" w:hAnsi="仿宋" w:eastAsia="仿宋" w:cs="仿宋"/>
          <w:color w:val="auto"/>
          <w:sz w:val="28"/>
          <w:szCs w:val="28"/>
          <w:highlight w:val="none"/>
          <w:u w:val="single"/>
          <w:lang w:val="en-US" w:eastAsia="zh-CN"/>
        </w:rPr>
        <w:t xml:space="preserve">                      </w:t>
      </w:r>
    </w:p>
    <w:p w14:paraId="374051BF">
      <w:pPr>
        <w:spacing w:before="79" w:line="360" w:lineRule="auto"/>
        <w:ind w:left="49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投标人全称 (电子公章) ：________________________</w:t>
      </w:r>
    </w:p>
    <w:p w14:paraId="3D7D3462">
      <w:pPr>
        <w:spacing w:before="79" w:line="360" w:lineRule="auto"/>
        <w:ind w:left="492"/>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法定代表人或委托代理人</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电子签章</w:t>
      </w:r>
      <w:r>
        <w:rPr>
          <w:rFonts w:hint="eastAsia" w:ascii="仿宋" w:hAnsi="仿宋" w:eastAsia="仿宋" w:cs="仿宋"/>
          <w:color w:val="auto"/>
          <w:sz w:val="28"/>
          <w:szCs w:val="28"/>
          <w:highlight w:val="none"/>
        </w:rPr>
        <w:t>) ：__________</w:t>
      </w:r>
    </w:p>
    <w:p w14:paraId="4AC89EF5">
      <w:pPr>
        <w:spacing w:before="78" w:line="360" w:lineRule="auto"/>
        <w:ind w:left="533"/>
        <w:rPr>
          <w:rFonts w:hint="eastAsia" w:ascii="仿宋" w:hAnsi="仿宋" w:eastAsia="仿宋" w:cs="仿宋"/>
          <w:color w:val="auto"/>
          <w:sz w:val="28"/>
          <w:szCs w:val="28"/>
          <w:highlight w:val="none"/>
          <w:lang w:val="en-US" w:eastAsia="zh-CN"/>
        </w:rPr>
      </w:pPr>
      <w:r>
        <w:rPr>
          <w:rFonts w:hint="eastAsia" w:ascii="仿宋" w:hAnsi="仿宋" w:eastAsia="仿宋" w:cs="仿宋"/>
          <w:color w:val="auto"/>
          <w:spacing w:val="-5"/>
          <w:sz w:val="28"/>
          <w:szCs w:val="28"/>
          <w:highlight w:val="none"/>
        </w:rPr>
        <w:t>日期：        年     月     日</w:t>
      </w:r>
    </w:p>
    <w:p w14:paraId="30FB58B8">
      <w:pPr>
        <w:snapToGrid w:val="0"/>
        <w:spacing w:line="360" w:lineRule="auto"/>
        <w:jc w:val="left"/>
        <w:rPr>
          <w:rFonts w:hint="eastAsia" w:ascii="仿宋" w:hAnsi="仿宋" w:eastAsia="仿宋" w:cs="仿宋"/>
          <w:color w:val="auto"/>
          <w:sz w:val="24"/>
          <w:szCs w:val="24"/>
          <w:highlight w:val="none"/>
          <w:lang w:val="en-US" w:eastAsia="zh-CN"/>
        </w:rPr>
      </w:pPr>
    </w:p>
    <w:p w14:paraId="4FEBFCA1">
      <w:pPr>
        <w:snapToGrid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符合参加政府采购活动应当具备的一般条件的承诺函</w:t>
      </w:r>
    </w:p>
    <w:p w14:paraId="12AC5478">
      <w:pPr>
        <w:snapToGrid w:val="0"/>
        <w:spacing w:line="360" w:lineRule="auto"/>
        <w:rPr>
          <w:rFonts w:hint="eastAsia" w:ascii="仿宋" w:hAnsi="仿宋" w:eastAsia="仿宋" w:cs="仿宋"/>
          <w:color w:val="auto"/>
          <w:sz w:val="24"/>
          <w:szCs w:val="24"/>
          <w:highlight w:val="none"/>
        </w:rPr>
      </w:pPr>
    </w:p>
    <w:p w14:paraId="11C90ADF">
      <w:pPr>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r>
        <w:rPr>
          <w:rFonts w:hint="eastAsia" w:ascii="仿宋" w:hAnsi="仿宋" w:eastAsia="仿宋" w:cs="仿宋"/>
          <w:color w:val="auto"/>
          <w:sz w:val="24"/>
          <w:szCs w:val="24"/>
          <w:highlight w:val="none"/>
          <w:lang w:val="en-US" w:eastAsia="zh-CN"/>
        </w:rPr>
        <w:t>云南恪遵项目管理有限公司</w:t>
      </w:r>
      <w:r>
        <w:rPr>
          <w:rFonts w:hint="eastAsia" w:ascii="仿宋" w:hAnsi="仿宋" w:eastAsia="仿宋" w:cs="仿宋"/>
          <w:color w:val="auto"/>
          <w:sz w:val="24"/>
          <w:szCs w:val="24"/>
          <w:highlight w:val="none"/>
        </w:rPr>
        <w:t>：</w:t>
      </w:r>
    </w:p>
    <w:p w14:paraId="46E2F5DF">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我方参与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】政府采购活动，郑重承诺：</w:t>
      </w:r>
    </w:p>
    <w:p w14:paraId="0E4465BD">
      <w:pPr>
        <w:snapToGrid w:val="0"/>
        <w:spacing w:line="360" w:lineRule="auto"/>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（一）具备《中华人民共和国政府采购法》第二十二条第一款规定的条件：</w:t>
      </w:r>
    </w:p>
    <w:p w14:paraId="4023467B">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①、具有独立承担民事责任的能力；</w:t>
      </w:r>
    </w:p>
    <w:p w14:paraId="53ED41DC">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②、具有良好的商业信誉和健全的财务会计制度； </w:t>
      </w:r>
    </w:p>
    <w:p w14:paraId="11F41B15">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③、具有履行合同所必需的设备和专业技术能力；</w:t>
      </w:r>
    </w:p>
    <w:p w14:paraId="0D2B1870">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④、有依法缴纳税收和社会保障资金的良好记录；</w:t>
      </w:r>
    </w:p>
    <w:p w14:paraId="795849EA">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⑤、参加政府采购活动前三年内，在经营活动中没有重大违法记录；</w:t>
      </w:r>
    </w:p>
    <w:p w14:paraId="53E03DAC">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⑥、具有法律、行政法规规定的其他条件。</w:t>
      </w:r>
    </w:p>
    <w:p w14:paraId="4A4C134B">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（二）未被信用中国（www.creditchina.gov.cn）、中国政府采购网（www.ccgp.gov.cn）列入失信被执行人、重大税收违法失信主体、政府采购严重违法失信行为记录名单。</w:t>
      </w:r>
    </w:p>
    <w:p w14:paraId="55479179">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（三）不存在以下情况：</w:t>
      </w:r>
    </w:p>
    <w:p w14:paraId="66B3379B">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①、单位负责人为同一人或者存在直接控股、管理关系的不同投标人参加同一合同项下的政府采购活动的；</w:t>
      </w:r>
    </w:p>
    <w:p w14:paraId="3A3D332F">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②、为采购项目提供整体设计、规范编制或者项目管理、监理、检测等服务后再参加该采购项目的其他采购活动的。</w:t>
      </w:r>
    </w:p>
    <w:p w14:paraId="77B7303E">
      <w:pPr>
        <w:pStyle w:val="19"/>
        <w:spacing w:before="120" w:after="120" w:line="360" w:lineRule="auto"/>
        <w:ind w:firstLine="480" w:firstLineChars="200"/>
        <w:rPr>
          <w:rFonts w:hint="eastAsia" w:ascii="仿宋" w:hAnsi="仿宋" w:eastAsia="仿宋" w:cs="仿宋"/>
          <w:color w:val="auto"/>
          <w:sz w:val="24"/>
          <w:szCs w:val="24"/>
          <w:highlight w:val="none"/>
        </w:rPr>
      </w:pPr>
    </w:p>
    <w:p w14:paraId="00236482">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 标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6D60821B">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231F7B13">
      <w:pPr>
        <w:pStyle w:val="1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70FE06B5">
      <w:pPr>
        <w:pStyle w:val="14"/>
        <w:ind w:left="0" w:leftChars="0" w:firstLine="528" w:firstLineChars="200"/>
        <w:rPr>
          <w:rFonts w:hint="eastAsia" w:ascii="仿宋" w:hAnsi="仿宋" w:eastAsia="仿宋" w:cs="仿宋"/>
          <w:color w:val="auto"/>
          <w:sz w:val="24"/>
          <w:szCs w:val="24"/>
          <w:highlight w:val="none"/>
        </w:rPr>
        <w:sectPr>
          <w:headerReference r:id="rId5" w:type="default"/>
          <w:footerReference r:id="rId6" w:type="default"/>
          <w:pgSz w:w="11906" w:h="16838"/>
          <w:pgMar w:top="1417" w:right="1417" w:bottom="1417" w:left="1420" w:header="510" w:footer="680" w:gutter="0"/>
          <w:pgBorders>
            <w:top w:val="none" w:sz="0" w:space="0"/>
            <w:left w:val="none" w:sz="0" w:space="0"/>
            <w:bottom w:val="none" w:sz="0" w:space="0"/>
            <w:right w:val="none" w:sz="0" w:space="0"/>
          </w:pgBorders>
          <w:cols w:space="720" w:num="1"/>
        </w:sectPr>
      </w:pPr>
    </w:p>
    <w:p w14:paraId="4663224B">
      <w:pPr>
        <w:spacing w:after="50" w:line="360" w:lineRule="auto"/>
        <w:ind w:right="-1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具有独立承担民事责任的能力</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投标人为企业（包括合伙企业）的，应提供有效的营业执照；（2）投标人为事业单位的，应提供有效的事业单位法人证书；（3）投标人是非企业机构的，应提供有效的执业许可证或登记证书等证明文件；（4）投标人是个体工商户的，应提供有效的个体工商户营业执照；（5）投标人是自然人的，应提供有效的自然人身份证明】；</w:t>
      </w:r>
    </w:p>
    <w:p w14:paraId="7F330F86">
      <w:pPr>
        <w:spacing w:line="360" w:lineRule="auto"/>
        <w:rPr>
          <w:rFonts w:hint="eastAsia" w:ascii="仿宋" w:hAnsi="仿宋" w:eastAsia="仿宋" w:cs="仿宋"/>
          <w:color w:val="auto"/>
          <w:sz w:val="24"/>
          <w:szCs w:val="24"/>
          <w:highlight w:val="none"/>
        </w:rPr>
      </w:pPr>
    </w:p>
    <w:p w14:paraId="7135AB5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.具有良好的商业信誉和健全的财务会计制度（提供承诺函）。</w:t>
      </w:r>
    </w:p>
    <w:p w14:paraId="06A97C1C">
      <w:pPr>
        <w:spacing w:line="360" w:lineRule="auto"/>
        <w:ind w:firstLine="240" w:firstLineChars="10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（格式自拟）</w:t>
      </w:r>
    </w:p>
    <w:p w14:paraId="64161A3D">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 标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064931D5">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22A59923">
      <w:pPr>
        <w:pStyle w:val="1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3773C372">
      <w:pPr>
        <w:pStyle w:val="11"/>
        <w:rPr>
          <w:rFonts w:hint="eastAsia" w:ascii="仿宋" w:hAnsi="仿宋" w:eastAsia="仿宋" w:cs="仿宋"/>
          <w:color w:val="auto"/>
          <w:sz w:val="24"/>
          <w:szCs w:val="24"/>
          <w:highlight w:val="none"/>
        </w:rPr>
      </w:pPr>
    </w:p>
    <w:p w14:paraId="6E12542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.依法缴纳税收和社会保障资金的承诺函；</w:t>
      </w:r>
    </w:p>
    <w:p w14:paraId="5A796A59">
      <w:pPr>
        <w:rPr>
          <w:rFonts w:hint="eastAsia" w:ascii="仿宋" w:hAnsi="仿宋" w:eastAsia="仿宋" w:cs="仿宋"/>
          <w:color w:val="auto"/>
          <w:sz w:val="24"/>
          <w:szCs w:val="24"/>
          <w:highlight w:val="none"/>
        </w:rPr>
      </w:pPr>
    </w:p>
    <w:p w14:paraId="499092B0">
      <w:pPr>
        <w:spacing w:line="360" w:lineRule="auto"/>
        <w:ind w:firstLine="482" w:firstLineChars="20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依法缴纳社会保障资金承诺函</w:t>
      </w:r>
    </w:p>
    <w:p w14:paraId="123BE0C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我单位现参与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)，并作出如下承诺：</w:t>
      </w:r>
    </w:p>
    <w:p w14:paraId="5EB2FAC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本公司郑重承诺：根据《劳动法》第七十三条的规定和《社会保险法》及相关的社会保险法律、法规、规章规定的社会保险项目和缴费标准，本公司向所属地社会保险经办机构为本企业职工（</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人）办理了基本养老保险、基本医疗保险、工伤保险、失业保险、生育保险等社会保险。</w:t>
      </w:r>
    </w:p>
    <w:p w14:paraId="3C68522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本公司对上述声明的真实性负责，如有虚假，将承担虚假应标及其他相应的法律责任。</w:t>
      </w:r>
      <w:r>
        <w:rPr>
          <w:rFonts w:hint="eastAsia" w:ascii="仿宋" w:hAnsi="仿宋" w:eastAsia="仿宋" w:cs="仿宋"/>
          <w:color w:val="auto"/>
          <w:sz w:val="24"/>
          <w:szCs w:val="24"/>
          <w:highlight w:val="none"/>
          <w:shd w:val="clear" w:color="auto" w:fill="FFFFFF"/>
        </w:rPr>
        <w:t>　</w:t>
      </w:r>
      <w:r>
        <w:rPr>
          <w:rFonts w:hint="eastAsia" w:ascii="仿宋" w:hAnsi="仿宋" w:eastAsia="仿宋" w:cs="仿宋"/>
          <w:color w:val="auto"/>
          <w:sz w:val="24"/>
          <w:szCs w:val="24"/>
          <w:highlight w:val="none"/>
        </w:rPr>
        <w:t>我单位将按照相关规定接受处罚，并通过媒体予以公布。</w:t>
      </w:r>
    </w:p>
    <w:p w14:paraId="4CFCFDD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特此承诺。</w:t>
      </w:r>
    </w:p>
    <w:p w14:paraId="7ED20F1A">
      <w:pPr>
        <w:ind w:firstLine="480" w:firstLineChars="20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6B55440E">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 标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078D8A5A">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428977F1">
      <w:pPr>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0E75E47C">
      <w:pPr>
        <w:spacing w:line="360" w:lineRule="auto"/>
        <w:ind w:firstLine="482" w:firstLineChars="200"/>
        <w:jc w:val="center"/>
        <w:rPr>
          <w:rFonts w:hint="eastAsia" w:ascii="仿宋" w:hAnsi="仿宋" w:eastAsia="仿宋" w:cs="仿宋"/>
          <w:b/>
          <w:bCs/>
          <w:color w:val="auto"/>
          <w:sz w:val="24"/>
          <w:szCs w:val="24"/>
          <w:highlight w:val="none"/>
        </w:rPr>
      </w:pPr>
    </w:p>
    <w:p w14:paraId="0454A5BD">
      <w:pPr>
        <w:spacing w:line="360" w:lineRule="auto"/>
        <w:ind w:firstLine="482" w:firstLineChars="200"/>
        <w:jc w:val="center"/>
        <w:rPr>
          <w:rFonts w:hint="eastAsia" w:ascii="仿宋" w:hAnsi="仿宋" w:eastAsia="仿宋" w:cs="仿宋"/>
          <w:b/>
          <w:bCs/>
          <w:color w:val="auto"/>
          <w:sz w:val="24"/>
          <w:szCs w:val="24"/>
          <w:highlight w:val="none"/>
        </w:rPr>
      </w:pPr>
    </w:p>
    <w:p w14:paraId="433C832A">
      <w:pPr>
        <w:spacing w:line="360" w:lineRule="auto"/>
        <w:ind w:firstLine="482" w:firstLineChars="20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依法缴纳税收承诺函</w:t>
      </w:r>
    </w:p>
    <w:p w14:paraId="70BC212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我单位现参与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)，并作出如下承诺：</w:t>
      </w:r>
    </w:p>
    <w:p w14:paraId="0AD4BAD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本公司坚持诚信经营，依法纳税。</w:t>
      </w:r>
    </w:p>
    <w:p w14:paraId="78DEFF7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根据《中华人民共和国税收征收管理办法》第25条和第56条之规定，我司(单位)近三年均依法缴纳了各项税费（包括但不限增值税、企业所得税等）,不存在偷税漏税行为。</w:t>
      </w:r>
    </w:p>
    <w:p w14:paraId="2DEDF30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本公司对上述声明的真实性负责，如有虚假，将承担虚假应标及其他相应的法律责任。</w:t>
      </w:r>
    </w:p>
    <w:p w14:paraId="6769AC9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我单位将按照相关规定接受处罚，并通过媒体予以公布。</w:t>
      </w:r>
    </w:p>
    <w:p w14:paraId="30B7562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特此承诺。 </w:t>
      </w:r>
    </w:p>
    <w:p w14:paraId="27F6AC22">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 标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512BD983">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7319AC3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269407BE">
      <w:pPr>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注：依法免税或不需要缴纳社会保障资金的供应商，应提供相应文件证明其依法免税或不需要缴纳社会保障资金。</w:t>
      </w:r>
    </w:p>
    <w:p w14:paraId="006B19F1">
      <w:pPr>
        <w:rPr>
          <w:rFonts w:hint="eastAsia"/>
          <w:color w:val="auto"/>
          <w:highlight w:val="none"/>
          <w:lang w:val="en-US" w:eastAsia="zh-CN"/>
        </w:rPr>
      </w:pPr>
    </w:p>
    <w:p w14:paraId="405BDF84">
      <w:pPr>
        <w:pStyle w:val="34"/>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.具备履行合同所必需的设备和专业技术能力（供应商提供承诺函）</w:t>
      </w:r>
      <w:bookmarkEnd w:id="718"/>
    </w:p>
    <w:p w14:paraId="2DBF8075">
      <w:pPr>
        <w:tabs>
          <w:tab w:val="left" w:pos="3780"/>
        </w:tabs>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格式自拟</w:t>
      </w:r>
    </w:p>
    <w:p w14:paraId="1BD87E26">
      <w:pPr>
        <w:pStyle w:val="34"/>
        <w:outlineLvl w:val="9"/>
        <w:rPr>
          <w:rFonts w:hint="eastAsia" w:ascii="仿宋" w:hAnsi="仿宋" w:eastAsia="仿宋" w:cs="仿宋"/>
          <w:color w:val="auto"/>
          <w:sz w:val="24"/>
          <w:szCs w:val="24"/>
          <w:highlight w:val="none"/>
        </w:rPr>
      </w:pPr>
    </w:p>
    <w:p w14:paraId="6A70BE0A">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 标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6CBE798D">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69B86C25">
      <w:pPr>
        <w:pStyle w:val="15"/>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7BEBA595">
      <w:pPr>
        <w:autoSpaceDE w:val="0"/>
        <w:autoSpaceDN w:val="0"/>
        <w:adjustRightInd w:val="0"/>
        <w:spacing w:line="360" w:lineRule="auto"/>
        <w:rPr>
          <w:rFonts w:hint="eastAsia" w:ascii="仿宋" w:hAnsi="仿宋" w:eastAsia="仿宋" w:cs="仿宋"/>
          <w:color w:val="auto"/>
          <w:sz w:val="24"/>
          <w:szCs w:val="24"/>
          <w:highlight w:val="none"/>
          <w:lang w:val="en-US" w:eastAsia="zh-CN"/>
        </w:rPr>
      </w:pPr>
    </w:p>
    <w:p w14:paraId="540B0ED4">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.参与</w:t>
      </w:r>
      <w:r>
        <w:rPr>
          <w:rFonts w:hint="eastAsia" w:ascii="仿宋" w:hAnsi="仿宋" w:eastAsia="仿宋" w:cs="仿宋"/>
          <w:b w:val="0"/>
          <w:bCs w:val="0"/>
          <w:color w:val="auto"/>
          <w:sz w:val="24"/>
          <w:szCs w:val="24"/>
          <w:highlight w:val="none"/>
        </w:rPr>
        <w:t>本次政府采购活动前三年内，在经营活动中没有重大违法记录，提供参加本次政府采购活动前三年内在经营活动中没有重大违法记录的书面声明（提供承诺函）。</w:t>
      </w:r>
    </w:p>
    <w:p w14:paraId="7B4D1BF4">
      <w:pPr>
        <w:tabs>
          <w:tab w:val="left" w:pos="3780"/>
        </w:tabs>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格式自拟</w:t>
      </w:r>
    </w:p>
    <w:p w14:paraId="675C4D5E">
      <w:pPr>
        <w:tabs>
          <w:tab w:val="left" w:pos="3780"/>
        </w:tabs>
        <w:spacing w:line="360" w:lineRule="auto"/>
        <w:jc w:val="left"/>
        <w:rPr>
          <w:rFonts w:hint="eastAsia" w:ascii="仿宋" w:hAnsi="仿宋" w:eastAsia="仿宋" w:cs="仿宋"/>
          <w:color w:val="auto"/>
          <w:sz w:val="24"/>
          <w:szCs w:val="24"/>
          <w:highlight w:val="none"/>
        </w:rPr>
      </w:pPr>
    </w:p>
    <w:p w14:paraId="6C340FD0">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 标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324457F4">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0271FEF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56FF2BBD">
      <w:pPr>
        <w:spacing w:line="360" w:lineRule="auto"/>
        <w:rPr>
          <w:rFonts w:hint="eastAsia" w:ascii="仿宋" w:hAnsi="仿宋" w:eastAsia="仿宋" w:cs="仿宋"/>
          <w:color w:val="auto"/>
          <w:sz w:val="24"/>
          <w:szCs w:val="24"/>
          <w:highlight w:val="none"/>
          <w:lang w:val="en-US" w:eastAsia="zh-CN"/>
        </w:rPr>
      </w:pPr>
    </w:p>
    <w:p w14:paraId="6A88257B">
      <w:pPr>
        <w:pStyle w:val="11"/>
        <w:spacing w:line="360" w:lineRule="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kern w:val="2"/>
          <w:sz w:val="24"/>
          <w:szCs w:val="24"/>
          <w:highlight w:val="none"/>
          <w:lang w:val="en-US" w:eastAsia="zh-CN" w:bidi="ar-SA"/>
        </w:rPr>
        <w:t>法律、行政法规规定的其他条件（提供承诺函）。</w:t>
      </w:r>
    </w:p>
    <w:p w14:paraId="7BC6B629">
      <w:pPr>
        <w:tabs>
          <w:tab w:val="left" w:pos="3780"/>
        </w:tabs>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格式自拟</w:t>
      </w:r>
    </w:p>
    <w:p w14:paraId="51913970">
      <w:pPr>
        <w:tabs>
          <w:tab w:val="left" w:pos="3780"/>
        </w:tabs>
        <w:spacing w:line="360" w:lineRule="auto"/>
        <w:jc w:val="left"/>
        <w:rPr>
          <w:rFonts w:hint="eastAsia" w:ascii="仿宋" w:hAnsi="仿宋" w:eastAsia="仿宋" w:cs="仿宋"/>
          <w:color w:val="auto"/>
          <w:sz w:val="24"/>
          <w:szCs w:val="24"/>
          <w:highlight w:val="none"/>
        </w:rPr>
      </w:pPr>
    </w:p>
    <w:p w14:paraId="7AC3E6CA">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 标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36F28439">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1BB39C99">
      <w:pPr>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6A5E7634">
      <w:pPr>
        <w:spacing w:line="360" w:lineRule="auto"/>
        <w:rPr>
          <w:rFonts w:hint="eastAsia" w:ascii="仿宋" w:hAnsi="仿宋" w:eastAsia="仿宋" w:cs="仿宋"/>
          <w:color w:val="auto"/>
          <w:sz w:val="24"/>
          <w:szCs w:val="24"/>
          <w:highlight w:val="none"/>
          <w:lang w:val="en-US" w:eastAsia="zh-CN"/>
        </w:rPr>
      </w:pPr>
    </w:p>
    <w:p w14:paraId="096BA037">
      <w:pPr>
        <w:autoSpaceDE w:val="0"/>
        <w:autoSpaceDN w:val="0"/>
        <w:adjustRightInd w:val="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b/>
          <w:bCs/>
          <w:color w:val="auto"/>
          <w:sz w:val="24"/>
          <w:szCs w:val="24"/>
          <w:highlight w:val="none"/>
        </w:rPr>
        <w:t>本项目的特定资格要求：</w:t>
      </w:r>
    </w:p>
    <w:p w14:paraId="327CD399">
      <w:pPr>
        <w:autoSpaceDE w:val="0"/>
        <w:autoSpaceDN w:val="0"/>
        <w:adjustRightInd w:val="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9.1 </w:t>
      </w:r>
      <w:r>
        <w:rPr>
          <w:rFonts w:hint="eastAsia" w:ascii="仿宋" w:hAnsi="仿宋" w:eastAsia="仿宋" w:cs="仿宋"/>
          <w:b/>
          <w:bCs/>
          <w:color w:val="auto"/>
          <w:sz w:val="24"/>
          <w:szCs w:val="24"/>
          <w:highlight w:val="none"/>
          <w:lang w:val="en-US" w:eastAsia="zh-CN"/>
        </w:rPr>
        <w:t>（一标段）</w:t>
      </w:r>
      <w:r>
        <w:rPr>
          <w:rFonts w:hint="eastAsia" w:ascii="仿宋" w:hAnsi="仿宋" w:eastAsia="仿宋" w:cs="仿宋"/>
          <w:b w:val="0"/>
          <w:bCs w:val="0"/>
          <w:color w:val="auto"/>
          <w:sz w:val="24"/>
          <w:szCs w:val="24"/>
          <w:highlight w:val="none"/>
          <w:lang w:val="en-US" w:eastAsia="zh-CN"/>
        </w:rPr>
        <w:t>：①投标货物的生产厂家必须是农业农村部（农业部）的定点生产企业，并通过农业农村部（农业部）GMP认证（认证范围含有疫苗）；②所投产品必须具有农业农村部（农业部）颁发的国家兽药生产许可证（生产许可范围含有疫苗），不接受代理商（贸易商、经销商）投标，只接受制造商（原厂商）投标。</w:t>
      </w:r>
    </w:p>
    <w:p w14:paraId="332E2210">
      <w:pPr>
        <w:autoSpaceDE w:val="0"/>
        <w:autoSpaceDN w:val="0"/>
        <w:adjustRightInd w:val="0"/>
        <w:spacing w:line="360" w:lineRule="auto"/>
        <w:rPr>
          <w:rFonts w:hint="eastAsia" w:ascii="仿宋" w:hAnsi="仿宋" w:eastAsia="仿宋" w:cs="仿宋"/>
          <w:b w:val="0"/>
          <w:bCs w:val="0"/>
          <w:color w:val="auto"/>
          <w:sz w:val="24"/>
          <w:szCs w:val="24"/>
          <w:highlight w:val="none"/>
          <w:lang w:val="en-US" w:eastAsia="zh-CN"/>
        </w:rPr>
      </w:pPr>
    </w:p>
    <w:p w14:paraId="5053D9CB">
      <w:pPr>
        <w:autoSpaceDE w:val="0"/>
        <w:autoSpaceDN w:val="0"/>
        <w:adjustRightInd w:val="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9.2 信用要求：投标人承诺其在截止至本项目投标截止时间未被列入“信用中国”网站 (www.creditchina.gov.cn)、“中国政府采购网”网站(www.ccgp.gov.cn)中任一网站的失信被执行人名单或重大税收违法案件当事人名单或政府采购严重违法失信行为记录名单的承诺函。</w:t>
      </w:r>
    </w:p>
    <w:p w14:paraId="25500087">
      <w:pPr>
        <w:tabs>
          <w:tab w:val="left" w:pos="3780"/>
        </w:tabs>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格式自拟</w:t>
      </w:r>
    </w:p>
    <w:p w14:paraId="3EDAC43C">
      <w:pPr>
        <w:tabs>
          <w:tab w:val="left" w:pos="3780"/>
        </w:tabs>
        <w:spacing w:line="360" w:lineRule="auto"/>
        <w:jc w:val="left"/>
        <w:rPr>
          <w:rFonts w:hint="eastAsia" w:ascii="仿宋" w:hAnsi="仿宋" w:eastAsia="仿宋" w:cs="仿宋"/>
          <w:color w:val="auto"/>
          <w:sz w:val="24"/>
          <w:szCs w:val="24"/>
          <w:highlight w:val="none"/>
        </w:rPr>
      </w:pPr>
    </w:p>
    <w:p w14:paraId="4C414D8C">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 标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496B5942">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6621F195">
      <w:pPr>
        <w:pStyle w:val="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2248ED5D">
      <w:pPr>
        <w:pStyle w:val="11"/>
        <w:rPr>
          <w:rFonts w:hint="eastAsia" w:ascii="仿宋" w:hAnsi="仿宋" w:eastAsia="仿宋" w:cs="仿宋"/>
          <w:color w:val="auto"/>
          <w:sz w:val="24"/>
          <w:szCs w:val="24"/>
          <w:highlight w:val="none"/>
          <w:lang w:val="en-US" w:eastAsia="zh-CN"/>
        </w:rPr>
      </w:pPr>
    </w:p>
    <w:p w14:paraId="45EA4821">
      <w:pPr>
        <w:autoSpaceDE w:val="0"/>
        <w:autoSpaceDN w:val="0"/>
        <w:adjustRightInd w:val="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9.3 其他要求：单位负责人为同一人或者存在直接控股、管理关系的不同制造商或供应商，不得参加同一标段下的政府采购活动(提供承诺函)。</w:t>
      </w:r>
    </w:p>
    <w:p w14:paraId="7947D9DF">
      <w:pPr>
        <w:tabs>
          <w:tab w:val="left" w:pos="3780"/>
        </w:tabs>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格式自拟</w:t>
      </w:r>
    </w:p>
    <w:p w14:paraId="325A032B">
      <w:pPr>
        <w:tabs>
          <w:tab w:val="left" w:pos="3780"/>
        </w:tabs>
        <w:spacing w:line="360" w:lineRule="auto"/>
        <w:jc w:val="left"/>
        <w:rPr>
          <w:rFonts w:hint="eastAsia" w:ascii="仿宋" w:hAnsi="仿宋" w:eastAsia="仿宋" w:cs="仿宋"/>
          <w:color w:val="auto"/>
          <w:sz w:val="24"/>
          <w:szCs w:val="24"/>
          <w:highlight w:val="none"/>
        </w:rPr>
      </w:pPr>
    </w:p>
    <w:p w14:paraId="4374D852">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 标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360C5125">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4D020FBB">
      <w:pPr>
        <w:autoSpaceDE w:val="0"/>
        <w:autoSpaceDN w:val="0"/>
        <w:adjustRightInd w:val="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54C959C6">
      <w:pPr>
        <w:rPr>
          <w:rFonts w:hint="eastAsia" w:ascii="仿宋" w:hAnsi="仿宋" w:eastAsia="仿宋" w:cs="仿宋"/>
          <w:color w:val="auto"/>
          <w:sz w:val="24"/>
          <w:szCs w:val="24"/>
          <w:highlight w:val="none"/>
          <w:lang w:val="en-US" w:eastAsia="zh-CN"/>
        </w:rPr>
      </w:pPr>
    </w:p>
    <w:p w14:paraId="2CBA8B81">
      <w:pPr>
        <w:pStyle w:val="11"/>
        <w:numPr>
          <w:ilvl w:val="0"/>
          <w:numId w:val="0"/>
        </w:numPr>
        <w:kinsoku w:val="0"/>
        <w:overflowPunct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SA"/>
        </w:rPr>
        <w:t>10.</w:t>
      </w:r>
      <w:r>
        <w:rPr>
          <w:rFonts w:hint="eastAsia" w:ascii="仿宋" w:hAnsi="仿宋" w:eastAsia="仿宋" w:cs="仿宋"/>
          <w:color w:val="auto"/>
          <w:sz w:val="24"/>
          <w:szCs w:val="24"/>
          <w:highlight w:val="none"/>
        </w:rPr>
        <w:t>若招标文件中明确要求提供证明资料的，以证明资料为准。</w:t>
      </w:r>
    </w:p>
    <w:p w14:paraId="2A4DCD05">
      <w:pPr>
        <w:spacing w:before="100" w:line="360" w:lineRule="auto"/>
        <w:ind w:left="19"/>
        <w:outlineLvl w:val="2"/>
        <w:rPr>
          <w:rFonts w:hint="eastAsia" w:ascii="仿宋" w:hAnsi="仿宋" w:eastAsia="仿宋" w:cs="仿宋"/>
          <w:b/>
          <w:bCs/>
          <w:color w:val="auto"/>
          <w:spacing w:val="8"/>
          <w:position w:val="25"/>
          <w:sz w:val="28"/>
          <w:szCs w:val="28"/>
          <w:highlight w:val="none"/>
          <w:lang w:val="en-US" w:eastAsia="zh-CN"/>
        </w:rPr>
      </w:pPr>
      <w:r>
        <w:rPr>
          <w:rFonts w:hint="eastAsia" w:ascii="仿宋" w:hAnsi="仿宋" w:eastAsia="仿宋" w:cs="仿宋"/>
          <w:b/>
          <w:bCs/>
          <w:color w:val="auto"/>
          <w:spacing w:val="8"/>
          <w:position w:val="25"/>
          <w:sz w:val="28"/>
          <w:szCs w:val="28"/>
          <w:highlight w:val="none"/>
          <w:lang w:val="en-US" w:eastAsia="zh-CN"/>
        </w:rPr>
        <w:t>二、报价文件</w:t>
      </w:r>
    </w:p>
    <w:p w14:paraId="3AC602BA">
      <w:pPr>
        <w:spacing w:line="360" w:lineRule="auto"/>
        <w:ind w:left="3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1.报价文件封面格</w:t>
      </w:r>
      <w:r>
        <w:rPr>
          <w:rFonts w:hint="eastAsia" w:ascii="仿宋" w:hAnsi="仿宋" w:eastAsia="仿宋" w:cs="仿宋"/>
          <w:color w:val="auto"/>
          <w:spacing w:val="-1"/>
          <w:sz w:val="24"/>
          <w:szCs w:val="24"/>
          <w:highlight w:val="none"/>
        </w:rPr>
        <w:t>式：</w:t>
      </w:r>
    </w:p>
    <w:p w14:paraId="2E52A049">
      <w:pPr>
        <w:spacing w:line="360" w:lineRule="auto"/>
        <w:rPr>
          <w:rFonts w:hint="eastAsia" w:ascii="仿宋" w:hAnsi="仿宋" w:eastAsia="仿宋" w:cs="仿宋"/>
          <w:color w:val="auto"/>
          <w:sz w:val="24"/>
          <w:szCs w:val="24"/>
          <w:highlight w:val="none"/>
        </w:rPr>
      </w:pPr>
    </w:p>
    <w:p w14:paraId="5243EEA7">
      <w:pPr>
        <w:spacing w:line="360" w:lineRule="auto"/>
        <w:rPr>
          <w:rFonts w:hint="eastAsia" w:ascii="仿宋" w:hAnsi="仿宋" w:eastAsia="仿宋" w:cs="仿宋"/>
          <w:color w:val="auto"/>
          <w:sz w:val="24"/>
          <w:szCs w:val="24"/>
          <w:highlight w:val="none"/>
        </w:rPr>
      </w:pPr>
    </w:p>
    <w:p w14:paraId="77F1D6CE">
      <w:pPr>
        <w:spacing w:line="360" w:lineRule="auto"/>
        <w:rPr>
          <w:rFonts w:hint="eastAsia" w:ascii="仿宋" w:hAnsi="仿宋" w:eastAsia="仿宋" w:cs="仿宋"/>
          <w:color w:val="auto"/>
          <w:sz w:val="24"/>
          <w:szCs w:val="24"/>
          <w:highlight w:val="none"/>
        </w:rPr>
      </w:pPr>
    </w:p>
    <w:p w14:paraId="2E2A9BA9">
      <w:pPr>
        <w:spacing w:line="360" w:lineRule="auto"/>
        <w:rPr>
          <w:rFonts w:hint="eastAsia" w:ascii="仿宋" w:hAnsi="仿宋" w:eastAsia="仿宋" w:cs="仿宋"/>
          <w:color w:val="auto"/>
          <w:sz w:val="24"/>
          <w:szCs w:val="24"/>
          <w:highlight w:val="none"/>
        </w:rPr>
      </w:pPr>
    </w:p>
    <w:p w14:paraId="4A4D7B18">
      <w:pPr>
        <w:spacing w:line="360" w:lineRule="auto"/>
        <w:rPr>
          <w:rFonts w:hint="eastAsia" w:ascii="仿宋" w:hAnsi="仿宋" w:eastAsia="仿宋" w:cs="仿宋"/>
          <w:color w:val="auto"/>
          <w:sz w:val="24"/>
          <w:szCs w:val="24"/>
          <w:highlight w:val="none"/>
        </w:rPr>
      </w:pPr>
    </w:p>
    <w:p w14:paraId="67F74E48">
      <w:pPr>
        <w:spacing w:line="360" w:lineRule="auto"/>
        <w:rPr>
          <w:rFonts w:hint="eastAsia" w:ascii="仿宋" w:hAnsi="仿宋" w:eastAsia="仿宋" w:cs="仿宋"/>
          <w:color w:val="auto"/>
          <w:sz w:val="24"/>
          <w:szCs w:val="24"/>
          <w:highlight w:val="none"/>
        </w:rPr>
      </w:pPr>
    </w:p>
    <w:p w14:paraId="4B2D3316">
      <w:pPr>
        <w:spacing w:line="360" w:lineRule="auto"/>
        <w:rPr>
          <w:rFonts w:hint="eastAsia" w:ascii="仿宋" w:hAnsi="仿宋" w:eastAsia="仿宋" w:cs="仿宋"/>
          <w:color w:val="auto"/>
          <w:sz w:val="24"/>
          <w:szCs w:val="24"/>
          <w:highlight w:val="none"/>
        </w:rPr>
      </w:pPr>
    </w:p>
    <w:p w14:paraId="2AC42AB1">
      <w:pPr>
        <w:spacing w:line="360" w:lineRule="auto"/>
        <w:rPr>
          <w:rFonts w:hint="eastAsia" w:ascii="仿宋" w:hAnsi="仿宋" w:eastAsia="仿宋" w:cs="仿宋"/>
          <w:color w:val="auto"/>
          <w:sz w:val="24"/>
          <w:szCs w:val="24"/>
          <w:highlight w:val="none"/>
        </w:rPr>
      </w:pPr>
    </w:p>
    <w:p w14:paraId="7435088C">
      <w:pPr>
        <w:spacing w:before="140" w:line="360" w:lineRule="auto"/>
        <w:ind w:left="3541"/>
        <w:rPr>
          <w:rFonts w:hint="eastAsia" w:ascii="仿宋" w:hAnsi="仿宋" w:eastAsia="仿宋" w:cs="仿宋"/>
          <w:color w:val="auto"/>
          <w:spacing w:val="7"/>
          <w:sz w:val="48"/>
          <w:szCs w:val="48"/>
          <w:highlight w:val="none"/>
        </w:rPr>
      </w:pPr>
      <w:r>
        <w:rPr>
          <w:rFonts w:hint="eastAsia" w:ascii="仿宋" w:hAnsi="仿宋" w:eastAsia="仿宋" w:cs="仿宋"/>
          <w:color w:val="auto"/>
          <w:spacing w:val="7"/>
          <w:sz w:val="48"/>
          <w:szCs w:val="48"/>
          <w:highlight w:val="none"/>
        </w:rPr>
        <w:t>报价文件</w:t>
      </w:r>
    </w:p>
    <w:p w14:paraId="0F252BCD">
      <w:pPr>
        <w:spacing w:before="78" w:line="360" w:lineRule="auto"/>
        <w:ind w:left="493"/>
        <w:rPr>
          <w:rFonts w:hint="eastAsia" w:ascii="仿宋" w:hAnsi="仿宋" w:eastAsia="仿宋" w:cs="仿宋"/>
          <w:color w:val="auto"/>
          <w:spacing w:val="-4"/>
          <w:sz w:val="24"/>
          <w:szCs w:val="24"/>
          <w:highlight w:val="none"/>
        </w:rPr>
      </w:pPr>
    </w:p>
    <w:p w14:paraId="28D9B9CA">
      <w:pPr>
        <w:spacing w:before="78" w:line="360" w:lineRule="auto"/>
        <w:ind w:left="493"/>
        <w:rPr>
          <w:rFonts w:hint="eastAsia" w:ascii="仿宋" w:hAnsi="仿宋" w:eastAsia="仿宋" w:cs="仿宋"/>
          <w:color w:val="auto"/>
          <w:spacing w:val="-4"/>
          <w:sz w:val="24"/>
          <w:szCs w:val="24"/>
          <w:highlight w:val="none"/>
        </w:rPr>
      </w:pPr>
    </w:p>
    <w:p w14:paraId="6153A8BA">
      <w:pPr>
        <w:spacing w:before="78" w:line="360" w:lineRule="auto"/>
        <w:ind w:left="493"/>
        <w:rPr>
          <w:rFonts w:hint="eastAsia" w:ascii="仿宋" w:hAnsi="仿宋" w:eastAsia="仿宋" w:cs="仿宋"/>
          <w:color w:val="auto"/>
          <w:spacing w:val="-4"/>
          <w:sz w:val="24"/>
          <w:szCs w:val="24"/>
          <w:highlight w:val="none"/>
        </w:rPr>
      </w:pPr>
    </w:p>
    <w:p w14:paraId="49AFC451">
      <w:pPr>
        <w:spacing w:before="78" w:line="360" w:lineRule="auto"/>
        <w:ind w:left="493"/>
        <w:rPr>
          <w:rFonts w:hint="eastAsia" w:ascii="仿宋" w:hAnsi="仿宋" w:eastAsia="仿宋" w:cs="仿宋"/>
          <w:color w:val="auto"/>
          <w:spacing w:val="-4"/>
          <w:sz w:val="24"/>
          <w:szCs w:val="24"/>
          <w:highlight w:val="none"/>
        </w:rPr>
      </w:pPr>
    </w:p>
    <w:p w14:paraId="4C9A6D59">
      <w:pPr>
        <w:spacing w:before="78" w:line="360" w:lineRule="auto"/>
        <w:rPr>
          <w:rFonts w:hint="eastAsia" w:ascii="仿宋" w:hAnsi="仿宋" w:eastAsia="仿宋" w:cs="仿宋"/>
          <w:color w:val="auto"/>
          <w:spacing w:val="-4"/>
          <w:sz w:val="24"/>
          <w:szCs w:val="24"/>
          <w:highlight w:val="none"/>
        </w:rPr>
      </w:pPr>
    </w:p>
    <w:p w14:paraId="3B585035">
      <w:pPr>
        <w:spacing w:before="78" w:line="360" w:lineRule="auto"/>
        <w:ind w:left="493"/>
        <w:rPr>
          <w:rFonts w:hint="eastAsia" w:ascii="仿宋" w:hAnsi="仿宋" w:eastAsia="仿宋" w:cs="仿宋"/>
          <w:color w:val="auto"/>
          <w:spacing w:val="-4"/>
          <w:sz w:val="28"/>
          <w:szCs w:val="28"/>
          <w:highlight w:val="none"/>
        </w:rPr>
      </w:pPr>
    </w:p>
    <w:p w14:paraId="0F612698">
      <w:pPr>
        <w:spacing w:before="78" w:line="360" w:lineRule="auto"/>
        <w:ind w:left="493"/>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项目名称：</w:t>
      </w:r>
      <w:r>
        <w:rPr>
          <w:rFonts w:hint="eastAsia" w:ascii="仿宋" w:hAnsi="仿宋" w:eastAsia="仿宋" w:cs="仿宋"/>
          <w:color w:val="auto"/>
          <w:spacing w:val="-6"/>
          <w:sz w:val="28"/>
          <w:szCs w:val="28"/>
          <w:highlight w:val="none"/>
          <w:u w:val="single"/>
        </w:rPr>
        <w:t xml:space="preserve">                      </w:t>
      </w:r>
    </w:p>
    <w:p w14:paraId="66548EED">
      <w:pPr>
        <w:spacing w:before="79" w:line="360" w:lineRule="auto"/>
        <w:ind w:left="492"/>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lang w:val="en-US" w:eastAsia="zh-CN"/>
        </w:rPr>
        <w:t>项目编号：</w:t>
      </w:r>
      <w:r>
        <w:rPr>
          <w:rFonts w:hint="eastAsia" w:ascii="仿宋" w:hAnsi="仿宋" w:eastAsia="仿宋" w:cs="仿宋"/>
          <w:color w:val="auto"/>
          <w:sz w:val="28"/>
          <w:szCs w:val="28"/>
          <w:highlight w:val="none"/>
          <w:u w:val="single"/>
          <w:lang w:val="en-US" w:eastAsia="zh-CN"/>
        </w:rPr>
        <w:t xml:space="preserve">                     </w:t>
      </w:r>
    </w:p>
    <w:p w14:paraId="424FC38F">
      <w:pPr>
        <w:spacing w:before="79" w:line="360" w:lineRule="auto"/>
        <w:ind w:left="492"/>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u w:val="none"/>
          <w:lang w:val="en-US" w:eastAsia="zh-CN"/>
        </w:rPr>
        <w:t>标 段 号：</w:t>
      </w:r>
      <w:r>
        <w:rPr>
          <w:rFonts w:hint="eastAsia" w:ascii="仿宋" w:hAnsi="仿宋" w:eastAsia="仿宋" w:cs="仿宋"/>
          <w:color w:val="auto"/>
          <w:sz w:val="28"/>
          <w:szCs w:val="28"/>
          <w:highlight w:val="none"/>
          <w:u w:val="single"/>
          <w:lang w:val="en-US" w:eastAsia="zh-CN"/>
        </w:rPr>
        <w:t xml:space="preserve">                     </w:t>
      </w:r>
    </w:p>
    <w:p w14:paraId="584835CE">
      <w:pPr>
        <w:spacing w:before="79" w:line="360" w:lineRule="auto"/>
        <w:ind w:left="49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投标人全称 (电子公章) ：________________________</w:t>
      </w:r>
    </w:p>
    <w:p w14:paraId="60966717">
      <w:pPr>
        <w:spacing w:before="79" w:line="360" w:lineRule="auto"/>
        <w:ind w:left="492"/>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法定代表人或委托代理人</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电子签章</w:t>
      </w:r>
      <w:r>
        <w:rPr>
          <w:rFonts w:hint="eastAsia" w:ascii="仿宋" w:hAnsi="仿宋" w:eastAsia="仿宋" w:cs="仿宋"/>
          <w:color w:val="auto"/>
          <w:sz w:val="28"/>
          <w:szCs w:val="28"/>
          <w:highlight w:val="none"/>
        </w:rPr>
        <w:t>) ：__________</w:t>
      </w:r>
    </w:p>
    <w:p w14:paraId="794B7704">
      <w:pPr>
        <w:spacing w:line="360" w:lineRule="auto"/>
        <w:rPr>
          <w:rFonts w:hint="eastAsia" w:ascii="仿宋" w:hAnsi="仿宋" w:eastAsia="仿宋" w:cs="仿宋"/>
          <w:color w:val="auto"/>
          <w:sz w:val="28"/>
          <w:szCs w:val="28"/>
          <w:highlight w:val="none"/>
        </w:rPr>
      </w:pPr>
    </w:p>
    <w:p w14:paraId="5461E68E">
      <w:pPr>
        <w:spacing w:before="78" w:line="360" w:lineRule="auto"/>
        <w:ind w:left="533"/>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8"/>
          <w:szCs w:val="28"/>
          <w:highlight w:val="none"/>
        </w:rPr>
        <w:t>日期：        年     月     日</w:t>
      </w:r>
    </w:p>
    <w:p w14:paraId="28DD7C56">
      <w:pPr>
        <w:spacing w:line="360" w:lineRule="auto"/>
        <w:ind w:left="34"/>
        <w:rPr>
          <w:rFonts w:hint="eastAsia"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val="en-US" w:eastAsia="zh-CN"/>
        </w:rPr>
        <w:t>2.开标一览表</w:t>
      </w:r>
    </w:p>
    <w:p w14:paraId="2A27826C">
      <w:pPr>
        <w:spacing w:line="360" w:lineRule="auto"/>
        <w:jc w:val="center"/>
        <w:textAlignment w:val="baseline"/>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开标一览表</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一标段</w:t>
      </w:r>
      <w:r>
        <w:rPr>
          <w:rFonts w:hint="eastAsia" w:ascii="仿宋" w:hAnsi="仿宋" w:eastAsia="仿宋" w:cs="仿宋"/>
          <w:b/>
          <w:bCs/>
          <w:color w:val="auto"/>
          <w:sz w:val="28"/>
          <w:szCs w:val="28"/>
          <w:highlight w:val="none"/>
          <w:lang w:eastAsia="zh-CN"/>
        </w:rPr>
        <w:t>）</w:t>
      </w:r>
    </w:p>
    <w:p w14:paraId="310E22B9">
      <w:pPr>
        <w:spacing w:line="360" w:lineRule="auto"/>
        <w:rPr>
          <w:rFonts w:hint="eastAsia" w:ascii="仿宋" w:hAnsi="仿宋" w:eastAsia="仿宋" w:cs="仿宋"/>
          <w:color w:val="auto"/>
          <w:sz w:val="32"/>
          <w:szCs w:val="32"/>
          <w:highlight w:val="none"/>
        </w:rPr>
      </w:pPr>
    </w:p>
    <w:p w14:paraId="7426C09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bookmarkStart w:id="719" w:name="OLE_LINK1"/>
      <w:r>
        <w:rPr>
          <w:rFonts w:hint="eastAsia" w:ascii="仿宋" w:hAnsi="仿宋" w:eastAsia="仿宋" w:cs="仿宋"/>
          <w:color w:val="auto"/>
          <w:sz w:val="24"/>
          <w:szCs w:val="24"/>
          <w:highlight w:val="none"/>
          <w:lang w:eastAsia="zh-CN"/>
        </w:rPr>
        <w:t xml:space="preserve">普洱市动物疫病预防控制中心2026年中央农业防灾和水利救灾资金(动物防疫补助)(第二次)采购项目 </w:t>
      </w:r>
    </w:p>
    <w:bookmarkEnd w:id="719"/>
    <w:p w14:paraId="6BBCDF9B">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u w:val="single"/>
        </w:rPr>
        <w:t xml:space="preserve">                 </w:t>
      </w:r>
    </w:p>
    <w:p w14:paraId="00848532">
      <w:pPr>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none"/>
          <w:lang w:val="en-US" w:eastAsia="zh-CN"/>
        </w:rPr>
        <w:t>标 段 号：</w:t>
      </w:r>
      <w:r>
        <w:rPr>
          <w:rFonts w:hint="eastAsia" w:ascii="仿宋" w:hAnsi="仿宋" w:eastAsia="仿宋" w:cs="仿宋"/>
          <w:color w:val="auto"/>
          <w:sz w:val="24"/>
          <w:szCs w:val="24"/>
          <w:highlight w:val="none"/>
          <w:u w:val="single"/>
          <w:lang w:val="en-US" w:eastAsia="zh-CN"/>
        </w:rPr>
        <w:t xml:space="preserve">                 </w:t>
      </w:r>
    </w:p>
    <w:tbl>
      <w:tblPr>
        <w:tblStyle w:val="35"/>
        <w:tblW w:w="8539"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2338"/>
        <w:gridCol w:w="2366"/>
        <w:gridCol w:w="2320"/>
        <w:gridCol w:w="1515"/>
      </w:tblGrid>
      <w:tr w14:paraId="5F32F2F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06" w:hRule="atLeast"/>
          <w:jc w:val="center"/>
        </w:trPr>
        <w:tc>
          <w:tcPr>
            <w:tcW w:w="2338" w:type="dxa"/>
            <w:tcBorders>
              <w:left w:val="single" w:color="auto" w:sz="4" w:space="0"/>
              <w:bottom w:val="single" w:color="auto" w:sz="4" w:space="0"/>
              <w:right w:val="single" w:color="auto" w:sz="4" w:space="0"/>
            </w:tcBorders>
            <w:vAlign w:val="center"/>
          </w:tcPr>
          <w:p w14:paraId="19900380">
            <w:pPr>
              <w:spacing w:line="360" w:lineRule="auto"/>
              <w:jc w:val="center"/>
              <w:rPr>
                <w:rFonts w:hint="eastAsia" w:ascii="仿宋" w:hAnsi="仿宋" w:eastAsia="仿宋" w:cs="仿宋"/>
                <w:b/>
                <w:bCs/>
                <w:color w:val="auto"/>
                <w:sz w:val="24"/>
                <w:szCs w:val="24"/>
                <w:highlight w:val="none"/>
              </w:rPr>
            </w:pPr>
            <w:bookmarkStart w:id="720" w:name="OLE_LINK15"/>
            <w:r>
              <w:rPr>
                <w:rFonts w:hint="eastAsia" w:ascii="仿宋" w:hAnsi="仿宋" w:eastAsia="仿宋" w:cs="仿宋"/>
                <w:b/>
                <w:bCs/>
                <w:color w:val="auto"/>
                <w:sz w:val="24"/>
                <w:szCs w:val="24"/>
                <w:highlight w:val="none"/>
              </w:rPr>
              <w:t>投标报价</w:t>
            </w:r>
          </w:p>
          <w:p w14:paraId="0EAD4F9C">
            <w:pPr>
              <w:spacing w:line="360" w:lineRule="auto"/>
              <w:jc w:val="center"/>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最高限制单价的下浮率</w:t>
            </w:r>
            <w:r>
              <w:rPr>
                <w:rFonts w:hint="eastAsia" w:ascii="仿宋" w:hAnsi="仿宋" w:eastAsia="仿宋" w:cs="仿宋"/>
                <w:b/>
                <w:bCs/>
                <w:color w:val="auto"/>
                <w:sz w:val="24"/>
                <w:szCs w:val="24"/>
                <w:highlight w:val="none"/>
                <w:lang w:eastAsia="zh-CN"/>
              </w:rPr>
              <w:t>）</w:t>
            </w:r>
            <w:bookmarkEnd w:id="720"/>
          </w:p>
        </w:tc>
        <w:tc>
          <w:tcPr>
            <w:tcW w:w="2366" w:type="dxa"/>
            <w:tcBorders>
              <w:left w:val="single" w:color="auto" w:sz="4" w:space="0"/>
              <w:bottom w:val="single" w:color="auto" w:sz="4" w:space="0"/>
              <w:right w:val="single" w:color="auto" w:sz="4" w:space="0"/>
            </w:tcBorders>
            <w:vAlign w:val="center"/>
          </w:tcPr>
          <w:p w14:paraId="05EA5BDC">
            <w:pPr>
              <w:spacing w:line="360" w:lineRule="auto"/>
              <w:jc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合同履行期限</w:t>
            </w:r>
          </w:p>
        </w:tc>
        <w:tc>
          <w:tcPr>
            <w:tcW w:w="2320" w:type="dxa"/>
            <w:tcBorders>
              <w:left w:val="single" w:color="auto" w:sz="4" w:space="0"/>
              <w:bottom w:val="single" w:color="auto" w:sz="4" w:space="0"/>
              <w:right w:val="single" w:color="auto" w:sz="4" w:space="0"/>
            </w:tcBorders>
            <w:vAlign w:val="center"/>
          </w:tcPr>
          <w:p w14:paraId="00236F2C">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质保期</w:t>
            </w:r>
          </w:p>
        </w:tc>
        <w:tc>
          <w:tcPr>
            <w:tcW w:w="1515" w:type="dxa"/>
            <w:tcBorders>
              <w:left w:val="single" w:color="auto" w:sz="4" w:space="0"/>
              <w:bottom w:val="single" w:color="auto" w:sz="4" w:space="0"/>
            </w:tcBorders>
            <w:vAlign w:val="center"/>
          </w:tcPr>
          <w:p w14:paraId="589B5697">
            <w:pPr>
              <w:spacing w:line="360" w:lineRule="auto"/>
              <w:jc w:val="center"/>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其他承诺及澄清</w:t>
            </w:r>
          </w:p>
        </w:tc>
      </w:tr>
      <w:tr w14:paraId="7EDF91C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824" w:hRule="atLeast"/>
          <w:jc w:val="center"/>
        </w:trPr>
        <w:tc>
          <w:tcPr>
            <w:tcW w:w="2338" w:type="dxa"/>
            <w:tcBorders>
              <w:top w:val="single" w:color="auto" w:sz="4" w:space="0"/>
              <w:left w:val="single" w:color="auto" w:sz="4" w:space="0"/>
              <w:right w:val="single" w:color="auto" w:sz="4" w:space="0"/>
            </w:tcBorders>
            <w:vAlign w:val="center"/>
          </w:tcPr>
          <w:p w14:paraId="063D9B0C">
            <w:pPr>
              <w:tabs>
                <w:tab w:val="left" w:pos="3780"/>
              </w:tabs>
              <w:spacing w:line="360" w:lineRule="auto"/>
              <w:ind w:firstLine="480" w:firstLineChars="200"/>
              <w:jc w:val="lef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none"/>
                <w:lang w:val="en-US" w:eastAsia="zh-CN"/>
              </w:rPr>
              <w:t>下浮：</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p>
        </w:tc>
        <w:tc>
          <w:tcPr>
            <w:tcW w:w="2366" w:type="dxa"/>
            <w:tcBorders>
              <w:top w:val="single" w:color="auto" w:sz="4" w:space="0"/>
              <w:left w:val="single" w:color="auto" w:sz="4" w:space="0"/>
              <w:right w:val="single" w:color="auto" w:sz="4" w:space="0"/>
            </w:tcBorders>
            <w:vAlign w:val="center"/>
          </w:tcPr>
          <w:p w14:paraId="0B351698">
            <w:pPr>
              <w:spacing w:line="360" w:lineRule="auto"/>
              <w:jc w:val="center"/>
              <w:rPr>
                <w:rFonts w:hint="eastAsia" w:ascii="仿宋" w:hAnsi="仿宋" w:eastAsia="仿宋" w:cs="仿宋"/>
                <w:color w:val="auto"/>
                <w:sz w:val="24"/>
                <w:szCs w:val="24"/>
                <w:highlight w:val="none"/>
              </w:rPr>
            </w:pPr>
          </w:p>
        </w:tc>
        <w:tc>
          <w:tcPr>
            <w:tcW w:w="2320" w:type="dxa"/>
            <w:tcBorders>
              <w:top w:val="single" w:color="auto" w:sz="4" w:space="0"/>
              <w:left w:val="single" w:color="auto" w:sz="4" w:space="0"/>
              <w:right w:val="single" w:color="auto" w:sz="4" w:space="0"/>
            </w:tcBorders>
            <w:vAlign w:val="center"/>
          </w:tcPr>
          <w:p w14:paraId="643146AC">
            <w:pPr>
              <w:spacing w:line="360" w:lineRule="auto"/>
              <w:jc w:val="center"/>
              <w:rPr>
                <w:rFonts w:hint="eastAsia" w:ascii="仿宋" w:hAnsi="仿宋" w:eastAsia="仿宋" w:cs="仿宋"/>
                <w:color w:val="auto"/>
                <w:sz w:val="24"/>
                <w:szCs w:val="24"/>
                <w:highlight w:val="none"/>
              </w:rPr>
            </w:pPr>
          </w:p>
        </w:tc>
        <w:tc>
          <w:tcPr>
            <w:tcW w:w="1515" w:type="dxa"/>
            <w:tcBorders>
              <w:top w:val="single" w:color="auto" w:sz="4" w:space="0"/>
              <w:left w:val="single" w:color="auto" w:sz="4" w:space="0"/>
            </w:tcBorders>
            <w:vAlign w:val="center"/>
          </w:tcPr>
          <w:p w14:paraId="40706837">
            <w:pPr>
              <w:spacing w:line="360" w:lineRule="auto"/>
              <w:jc w:val="center"/>
              <w:rPr>
                <w:rFonts w:hint="eastAsia" w:ascii="仿宋" w:hAnsi="仿宋" w:eastAsia="仿宋" w:cs="仿宋"/>
                <w:color w:val="auto"/>
                <w:sz w:val="24"/>
                <w:szCs w:val="24"/>
                <w:highlight w:val="none"/>
              </w:rPr>
            </w:pPr>
          </w:p>
        </w:tc>
      </w:tr>
    </w:tbl>
    <w:p w14:paraId="1D4FA77E">
      <w:pPr>
        <w:tabs>
          <w:tab w:val="left" w:pos="3780"/>
        </w:tabs>
        <w:spacing w:line="360" w:lineRule="auto"/>
        <w:jc w:val="left"/>
        <w:rPr>
          <w:rFonts w:hint="eastAsia" w:ascii="仿宋" w:hAnsi="仿宋" w:eastAsia="仿宋" w:cs="仿宋"/>
          <w:color w:val="auto"/>
          <w:sz w:val="24"/>
          <w:szCs w:val="24"/>
          <w:highlight w:val="none"/>
        </w:rPr>
      </w:pPr>
    </w:p>
    <w:p w14:paraId="0A3F03E4">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 标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7C87F2EA">
      <w:pPr>
        <w:tabs>
          <w:tab w:val="left" w:pos="3780"/>
        </w:tabs>
        <w:spacing w:line="360" w:lineRule="auto"/>
        <w:jc w:val="left"/>
        <w:rPr>
          <w:rFonts w:hint="eastAsia" w:ascii="仿宋" w:hAnsi="仿宋" w:eastAsia="仿宋" w:cs="仿宋"/>
          <w:color w:val="auto"/>
          <w:sz w:val="24"/>
          <w:szCs w:val="24"/>
          <w:highlight w:val="none"/>
        </w:rPr>
      </w:pPr>
    </w:p>
    <w:p w14:paraId="2751C9B7">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0B77F53D">
      <w:pPr>
        <w:tabs>
          <w:tab w:val="left" w:pos="3780"/>
        </w:tabs>
        <w:spacing w:line="360" w:lineRule="auto"/>
        <w:jc w:val="left"/>
        <w:rPr>
          <w:rFonts w:hint="eastAsia" w:ascii="仿宋" w:hAnsi="仿宋" w:eastAsia="仿宋" w:cs="仿宋"/>
          <w:color w:val="auto"/>
          <w:sz w:val="24"/>
          <w:szCs w:val="24"/>
          <w:highlight w:val="none"/>
        </w:rPr>
      </w:pPr>
    </w:p>
    <w:p w14:paraId="7F9AFB65">
      <w:pPr>
        <w:pStyle w:val="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4017EB67">
      <w:pPr>
        <w:rPr>
          <w:rFonts w:hint="eastAsia"/>
          <w:color w:val="auto"/>
          <w:highlight w:val="none"/>
          <w:lang w:eastAsia="zh-CN"/>
        </w:rPr>
      </w:pPr>
    </w:p>
    <w:p w14:paraId="62F5043C">
      <w:pPr>
        <w:pStyle w:val="11"/>
        <w:rPr>
          <w:rFonts w:hint="eastAsia" w:ascii="仿宋" w:hAnsi="仿宋" w:eastAsia="仿宋" w:cs="仿宋"/>
          <w:b/>
          <w:bCs/>
          <w:color w:val="auto"/>
          <w:sz w:val="24"/>
          <w:szCs w:val="24"/>
          <w:highlight w:val="none"/>
          <w:lang w:eastAsia="zh-CN"/>
        </w:rPr>
      </w:pPr>
    </w:p>
    <w:p w14:paraId="3DFBD557">
      <w:pPr>
        <w:spacing w:line="360" w:lineRule="auto"/>
        <w:jc w:val="both"/>
        <w:textAlignment w:val="baseline"/>
        <w:rPr>
          <w:rFonts w:hint="eastAsia" w:ascii="仿宋" w:hAnsi="仿宋" w:eastAsia="仿宋" w:cs="仿宋"/>
          <w:b/>
          <w:bCs/>
          <w:color w:val="auto"/>
          <w:sz w:val="28"/>
          <w:szCs w:val="28"/>
          <w:highlight w:val="none"/>
        </w:rPr>
      </w:pPr>
    </w:p>
    <w:p w14:paraId="70927B02">
      <w:pPr>
        <w:spacing w:line="360" w:lineRule="auto"/>
        <w:jc w:val="both"/>
        <w:textAlignment w:val="baseline"/>
        <w:rPr>
          <w:rFonts w:hint="eastAsia" w:ascii="仿宋" w:hAnsi="仿宋" w:eastAsia="仿宋" w:cs="仿宋"/>
          <w:b/>
          <w:bCs/>
          <w:color w:val="auto"/>
          <w:sz w:val="28"/>
          <w:szCs w:val="28"/>
          <w:highlight w:val="none"/>
        </w:rPr>
      </w:pPr>
    </w:p>
    <w:p w14:paraId="1BA51F37">
      <w:pPr>
        <w:rPr>
          <w:rFonts w:hint="eastAsia"/>
          <w:color w:val="auto"/>
          <w:highlight w:val="none"/>
          <w:lang w:eastAsia="zh-CN"/>
        </w:rPr>
      </w:pPr>
    </w:p>
    <w:p w14:paraId="65D1A942">
      <w:pPr>
        <w:spacing w:line="360" w:lineRule="auto"/>
        <w:rPr>
          <w:rFonts w:hint="eastAsia" w:ascii="仿宋" w:hAnsi="仿宋" w:eastAsia="仿宋" w:cs="仿宋"/>
          <w:color w:val="auto"/>
          <w:spacing w:val="-2"/>
          <w:sz w:val="24"/>
          <w:szCs w:val="24"/>
          <w:highlight w:val="none"/>
          <w:lang w:val="en-US" w:eastAsia="zh-CN"/>
        </w:rPr>
        <w:sectPr>
          <w:headerReference r:id="rId8" w:type="first"/>
          <w:headerReference r:id="rId7" w:type="default"/>
          <w:footerReference r:id="rId9" w:type="default"/>
          <w:pgSz w:w="11850" w:h="16783"/>
          <w:pgMar w:top="1440" w:right="1266" w:bottom="1440" w:left="980" w:header="567"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48C23C89">
      <w:pPr>
        <w:spacing w:line="360" w:lineRule="auto"/>
        <w:ind w:left="34"/>
        <w:rPr>
          <w:rFonts w:hint="eastAsia"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val="en-US" w:eastAsia="zh-CN"/>
        </w:rPr>
        <w:t>3.分项报价表</w:t>
      </w:r>
    </w:p>
    <w:p w14:paraId="1EF3C3CA">
      <w:pPr>
        <w:pStyle w:val="3"/>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eastAsia="zh-CN"/>
        </w:rPr>
        <w:t>分项报价表</w:t>
      </w:r>
    </w:p>
    <w:p w14:paraId="443C67C3">
      <w:pPr>
        <w:spacing w:line="360" w:lineRule="auto"/>
        <w:rPr>
          <w:rFonts w:hint="eastAsia" w:ascii="仿宋" w:hAnsi="仿宋" w:eastAsia="仿宋" w:cs="仿宋"/>
          <w:color w:val="auto"/>
          <w:sz w:val="24"/>
          <w:szCs w:val="24"/>
          <w:highlight w:val="none"/>
        </w:rPr>
      </w:pPr>
    </w:p>
    <w:p w14:paraId="2E5EE604">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项目名称：</w:t>
      </w:r>
    </w:p>
    <w:p w14:paraId="0CB15C9B">
      <w:pPr>
        <w:numPr>
          <w:ilvl w:val="0"/>
          <w:numId w:val="0"/>
        </w:num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项目编号：</w:t>
      </w:r>
    </w:p>
    <w:p w14:paraId="6972C7D5">
      <w:pPr>
        <w:numPr>
          <w:ilvl w:val="0"/>
          <w:numId w:val="0"/>
        </w:num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标 段 号：</w:t>
      </w:r>
    </w:p>
    <w:tbl>
      <w:tblPr>
        <w:tblStyle w:val="35"/>
        <w:tblW w:w="9654" w:type="dxa"/>
        <w:jc w:val="center"/>
        <w:tblLayout w:type="fixed"/>
        <w:tblCellMar>
          <w:top w:w="0" w:type="dxa"/>
          <w:left w:w="28" w:type="dxa"/>
          <w:bottom w:w="0" w:type="dxa"/>
          <w:right w:w="28" w:type="dxa"/>
        </w:tblCellMar>
      </w:tblPr>
      <w:tblGrid>
        <w:gridCol w:w="968"/>
        <w:gridCol w:w="1446"/>
        <w:gridCol w:w="831"/>
        <w:gridCol w:w="1200"/>
        <w:gridCol w:w="1408"/>
        <w:gridCol w:w="854"/>
        <w:gridCol w:w="1556"/>
        <w:gridCol w:w="1391"/>
      </w:tblGrid>
      <w:tr w14:paraId="16C71CF2">
        <w:tblPrEx>
          <w:tblCellMar>
            <w:top w:w="0" w:type="dxa"/>
            <w:left w:w="28" w:type="dxa"/>
            <w:bottom w:w="0" w:type="dxa"/>
            <w:right w:w="28" w:type="dxa"/>
          </w:tblCellMar>
        </w:tblPrEx>
        <w:trPr>
          <w:trHeight w:val="23" w:hRule="atLeast"/>
          <w:jc w:val="center"/>
        </w:trPr>
        <w:tc>
          <w:tcPr>
            <w:tcW w:w="968" w:type="dxa"/>
            <w:tcBorders>
              <w:top w:val="single" w:color="000000" w:sz="8" w:space="0"/>
              <w:left w:val="single" w:color="000000" w:sz="8" w:space="0"/>
              <w:bottom w:val="single" w:color="000000" w:sz="6" w:space="0"/>
              <w:right w:val="single" w:color="000000" w:sz="6" w:space="0"/>
            </w:tcBorders>
            <w:vAlign w:val="center"/>
          </w:tcPr>
          <w:p w14:paraId="44B4090C">
            <w:pPr>
              <w:autoSpaceDE w:val="0"/>
              <w:autoSpaceDN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序号</w:t>
            </w:r>
          </w:p>
        </w:tc>
        <w:tc>
          <w:tcPr>
            <w:tcW w:w="1446" w:type="dxa"/>
            <w:tcBorders>
              <w:top w:val="single" w:color="000000" w:sz="8" w:space="0"/>
              <w:left w:val="single" w:color="000000" w:sz="6" w:space="0"/>
              <w:bottom w:val="single" w:color="000000" w:sz="6" w:space="0"/>
              <w:right w:val="single" w:color="000000" w:sz="6" w:space="0"/>
            </w:tcBorders>
            <w:vAlign w:val="center"/>
          </w:tcPr>
          <w:p w14:paraId="285A5082">
            <w:pPr>
              <w:autoSpaceDE w:val="0"/>
              <w:autoSpaceDN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产品名称</w:t>
            </w:r>
          </w:p>
        </w:tc>
        <w:tc>
          <w:tcPr>
            <w:tcW w:w="831" w:type="dxa"/>
            <w:tcBorders>
              <w:top w:val="single" w:color="000000" w:sz="8" w:space="0"/>
              <w:left w:val="single" w:color="000000" w:sz="6" w:space="0"/>
              <w:bottom w:val="single" w:color="000000" w:sz="6" w:space="0"/>
              <w:right w:val="single" w:color="000000" w:sz="6" w:space="0"/>
            </w:tcBorders>
            <w:vAlign w:val="center"/>
          </w:tcPr>
          <w:p w14:paraId="56A90A4A">
            <w:pPr>
              <w:autoSpaceDE w:val="0"/>
              <w:autoSpaceDN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品牌</w:t>
            </w:r>
          </w:p>
        </w:tc>
        <w:tc>
          <w:tcPr>
            <w:tcW w:w="1200" w:type="dxa"/>
            <w:tcBorders>
              <w:top w:val="single" w:color="000000" w:sz="8" w:space="0"/>
              <w:left w:val="single" w:color="000000" w:sz="6" w:space="0"/>
              <w:bottom w:val="single" w:color="000000" w:sz="6" w:space="0"/>
              <w:right w:val="single" w:color="000000" w:sz="6" w:space="0"/>
            </w:tcBorders>
            <w:vAlign w:val="center"/>
          </w:tcPr>
          <w:p w14:paraId="3175E874">
            <w:pPr>
              <w:autoSpaceDE w:val="0"/>
              <w:autoSpaceDN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规格型号</w:t>
            </w:r>
          </w:p>
        </w:tc>
        <w:tc>
          <w:tcPr>
            <w:tcW w:w="1408" w:type="dxa"/>
            <w:tcBorders>
              <w:top w:val="single" w:color="000000" w:sz="8" w:space="0"/>
              <w:left w:val="single" w:color="000000" w:sz="6" w:space="0"/>
              <w:bottom w:val="single" w:color="000000" w:sz="6" w:space="0"/>
              <w:right w:val="single" w:color="000000" w:sz="6" w:space="0"/>
            </w:tcBorders>
            <w:vAlign w:val="center"/>
          </w:tcPr>
          <w:p w14:paraId="16C8ADF9">
            <w:pPr>
              <w:autoSpaceDE w:val="0"/>
              <w:autoSpaceDN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生产厂家</w:t>
            </w:r>
          </w:p>
        </w:tc>
        <w:tc>
          <w:tcPr>
            <w:tcW w:w="854" w:type="dxa"/>
            <w:tcBorders>
              <w:top w:val="single" w:color="000000" w:sz="8" w:space="0"/>
              <w:left w:val="single" w:color="000000" w:sz="6" w:space="0"/>
              <w:bottom w:val="single" w:color="000000" w:sz="6" w:space="0"/>
              <w:right w:val="single" w:color="000000" w:sz="6" w:space="0"/>
            </w:tcBorders>
            <w:vAlign w:val="center"/>
          </w:tcPr>
          <w:p w14:paraId="343FC5ED">
            <w:pPr>
              <w:autoSpaceDE w:val="0"/>
              <w:autoSpaceDN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单位</w:t>
            </w:r>
          </w:p>
        </w:tc>
        <w:tc>
          <w:tcPr>
            <w:tcW w:w="1556" w:type="dxa"/>
            <w:tcBorders>
              <w:top w:val="single" w:color="000000" w:sz="8" w:space="0"/>
              <w:left w:val="single" w:color="000000" w:sz="6" w:space="0"/>
              <w:bottom w:val="single" w:color="000000" w:sz="6" w:space="0"/>
              <w:right w:val="single" w:color="auto" w:sz="4" w:space="0"/>
            </w:tcBorders>
            <w:vAlign w:val="center"/>
          </w:tcPr>
          <w:p w14:paraId="165B1405">
            <w:pPr>
              <w:autoSpaceDE w:val="0"/>
              <w:autoSpaceDN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en-US" w:eastAsia="zh-CN"/>
              </w:rPr>
              <w:t>最高限制单价</w:t>
            </w:r>
          </w:p>
        </w:tc>
        <w:tc>
          <w:tcPr>
            <w:tcW w:w="1391" w:type="dxa"/>
            <w:tcBorders>
              <w:top w:val="single" w:color="000000" w:sz="8" w:space="0"/>
              <w:left w:val="single" w:color="auto" w:sz="4" w:space="0"/>
              <w:bottom w:val="single" w:color="000000" w:sz="6" w:space="0"/>
              <w:right w:val="single" w:color="000000" w:sz="8" w:space="0"/>
            </w:tcBorders>
            <w:vAlign w:val="center"/>
          </w:tcPr>
          <w:p w14:paraId="6C3F605E">
            <w:pPr>
              <w:autoSpaceDE w:val="0"/>
              <w:autoSpaceDN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en-US" w:eastAsia="zh-CN"/>
              </w:rPr>
              <w:t>下浮后单价</w:t>
            </w:r>
          </w:p>
        </w:tc>
      </w:tr>
      <w:tr w14:paraId="302A3B60">
        <w:tblPrEx>
          <w:tblCellMar>
            <w:top w:w="0" w:type="dxa"/>
            <w:left w:w="28" w:type="dxa"/>
            <w:bottom w:w="0" w:type="dxa"/>
            <w:right w:w="28" w:type="dxa"/>
          </w:tblCellMar>
        </w:tblPrEx>
        <w:trPr>
          <w:trHeight w:val="23" w:hRule="atLeast"/>
          <w:jc w:val="center"/>
        </w:trPr>
        <w:tc>
          <w:tcPr>
            <w:tcW w:w="968" w:type="dxa"/>
            <w:tcBorders>
              <w:top w:val="single" w:color="000000" w:sz="6" w:space="0"/>
              <w:left w:val="single" w:color="000000" w:sz="8" w:space="0"/>
              <w:bottom w:val="single" w:color="000000" w:sz="6" w:space="0"/>
              <w:right w:val="single" w:color="000000" w:sz="6" w:space="0"/>
            </w:tcBorders>
            <w:vAlign w:val="center"/>
          </w:tcPr>
          <w:p w14:paraId="57FBC35F">
            <w:pPr>
              <w:autoSpaceDE w:val="0"/>
              <w:autoSpaceDN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1</w:t>
            </w:r>
          </w:p>
        </w:tc>
        <w:tc>
          <w:tcPr>
            <w:tcW w:w="1446" w:type="dxa"/>
            <w:tcBorders>
              <w:top w:val="single" w:color="000000" w:sz="6" w:space="0"/>
              <w:left w:val="single" w:color="000000" w:sz="6" w:space="0"/>
              <w:bottom w:val="single" w:color="000000" w:sz="6" w:space="0"/>
              <w:right w:val="single" w:color="000000" w:sz="6" w:space="0"/>
            </w:tcBorders>
            <w:vAlign w:val="center"/>
          </w:tcPr>
          <w:p w14:paraId="1FC2A486">
            <w:pPr>
              <w:autoSpaceDE w:val="0"/>
              <w:autoSpaceDN w:val="0"/>
              <w:spacing w:line="360" w:lineRule="auto"/>
              <w:jc w:val="center"/>
              <w:rPr>
                <w:rFonts w:hint="eastAsia" w:ascii="仿宋" w:hAnsi="仿宋" w:eastAsia="仿宋" w:cs="仿宋"/>
                <w:color w:val="auto"/>
                <w:kern w:val="0"/>
                <w:sz w:val="24"/>
                <w:szCs w:val="24"/>
                <w:highlight w:val="none"/>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14:paraId="748E0FEC">
            <w:pPr>
              <w:autoSpaceDE w:val="0"/>
              <w:autoSpaceDN w:val="0"/>
              <w:spacing w:line="360" w:lineRule="auto"/>
              <w:jc w:val="center"/>
              <w:rPr>
                <w:rFonts w:hint="eastAsia" w:ascii="仿宋" w:hAnsi="仿宋" w:eastAsia="仿宋" w:cs="仿宋"/>
                <w:color w:val="auto"/>
                <w:kern w:val="0"/>
                <w:sz w:val="24"/>
                <w:szCs w:val="24"/>
                <w:highlight w:val="none"/>
                <w:lang w:val="zh-CN"/>
              </w:rPr>
            </w:pPr>
          </w:p>
        </w:tc>
        <w:tc>
          <w:tcPr>
            <w:tcW w:w="1200" w:type="dxa"/>
            <w:tcBorders>
              <w:top w:val="single" w:color="000000" w:sz="6" w:space="0"/>
              <w:left w:val="single" w:color="000000" w:sz="6" w:space="0"/>
              <w:bottom w:val="single" w:color="000000" w:sz="6" w:space="0"/>
              <w:right w:val="single" w:color="000000" w:sz="6" w:space="0"/>
            </w:tcBorders>
            <w:vAlign w:val="center"/>
          </w:tcPr>
          <w:p w14:paraId="04757CBA">
            <w:pPr>
              <w:autoSpaceDE w:val="0"/>
              <w:autoSpaceDN w:val="0"/>
              <w:spacing w:line="360" w:lineRule="auto"/>
              <w:jc w:val="center"/>
              <w:rPr>
                <w:rFonts w:hint="eastAsia" w:ascii="仿宋" w:hAnsi="仿宋" w:eastAsia="仿宋" w:cs="仿宋"/>
                <w:color w:val="auto"/>
                <w:kern w:val="0"/>
                <w:sz w:val="24"/>
                <w:szCs w:val="24"/>
                <w:highlight w:val="none"/>
                <w:lang w:val="zh-CN"/>
              </w:rPr>
            </w:pPr>
          </w:p>
        </w:tc>
        <w:tc>
          <w:tcPr>
            <w:tcW w:w="1408" w:type="dxa"/>
            <w:tcBorders>
              <w:top w:val="single" w:color="000000" w:sz="6" w:space="0"/>
              <w:left w:val="single" w:color="000000" w:sz="6" w:space="0"/>
              <w:bottom w:val="single" w:color="000000" w:sz="6" w:space="0"/>
              <w:right w:val="single" w:color="000000" w:sz="6" w:space="0"/>
            </w:tcBorders>
            <w:vAlign w:val="center"/>
          </w:tcPr>
          <w:p w14:paraId="7A4EAC4F">
            <w:pPr>
              <w:autoSpaceDE w:val="0"/>
              <w:autoSpaceDN w:val="0"/>
              <w:spacing w:line="360" w:lineRule="auto"/>
              <w:jc w:val="center"/>
              <w:rPr>
                <w:rFonts w:hint="eastAsia" w:ascii="仿宋" w:hAnsi="仿宋" w:eastAsia="仿宋" w:cs="仿宋"/>
                <w:color w:val="auto"/>
                <w:kern w:val="0"/>
                <w:sz w:val="24"/>
                <w:szCs w:val="24"/>
                <w:highlight w:val="none"/>
                <w:lang w:val="zh-CN"/>
              </w:rPr>
            </w:pPr>
          </w:p>
        </w:tc>
        <w:tc>
          <w:tcPr>
            <w:tcW w:w="854" w:type="dxa"/>
            <w:tcBorders>
              <w:top w:val="single" w:color="000000" w:sz="6" w:space="0"/>
              <w:left w:val="single" w:color="000000" w:sz="6" w:space="0"/>
              <w:bottom w:val="single" w:color="000000" w:sz="6" w:space="0"/>
              <w:right w:val="single" w:color="000000" w:sz="6" w:space="0"/>
            </w:tcBorders>
            <w:vAlign w:val="center"/>
          </w:tcPr>
          <w:p w14:paraId="6C6065C7">
            <w:pPr>
              <w:autoSpaceDE w:val="0"/>
              <w:autoSpaceDN w:val="0"/>
              <w:spacing w:line="360" w:lineRule="auto"/>
              <w:jc w:val="center"/>
              <w:rPr>
                <w:rFonts w:hint="eastAsia" w:ascii="仿宋" w:hAnsi="仿宋" w:eastAsia="仿宋" w:cs="仿宋"/>
                <w:color w:val="auto"/>
                <w:kern w:val="0"/>
                <w:sz w:val="24"/>
                <w:szCs w:val="24"/>
                <w:highlight w:val="none"/>
                <w:lang w:val="zh-CN"/>
              </w:rPr>
            </w:pPr>
          </w:p>
        </w:tc>
        <w:tc>
          <w:tcPr>
            <w:tcW w:w="1556" w:type="dxa"/>
            <w:tcBorders>
              <w:top w:val="single" w:color="000000" w:sz="6" w:space="0"/>
              <w:left w:val="single" w:color="000000" w:sz="6" w:space="0"/>
              <w:bottom w:val="single" w:color="000000" w:sz="6" w:space="0"/>
              <w:right w:val="single" w:color="auto" w:sz="4" w:space="0"/>
            </w:tcBorders>
            <w:vAlign w:val="center"/>
          </w:tcPr>
          <w:p w14:paraId="379666AD">
            <w:pPr>
              <w:autoSpaceDE w:val="0"/>
              <w:autoSpaceDN w:val="0"/>
              <w:spacing w:line="360" w:lineRule="auto"/>
              <w:jc w:val="center"/>
              <w:rPr>
                <w:rFonts w:hint="eastAsia" w:ascii="仿宋" w:hAnsi="仿宋" w:eastAsia="仿宋" w:cs="仿宋"/>
                <w:color w:val="auto"/>
                <w:kern w:val="0"/>
                <w:sz w:val="24"/>
                <w:szCs w:val="24"/>
                <w:highlight w:val="none"/>
                <w:lang w:val="zh-CN"/>
              </w:rPr>
            </w:pPr>
          </w:p>
        </w:tc>
        <w:tc>
          <w:tcPr>
            <w:tcW w:w="1391" w:type="dxa"/>
            <w:tcBorders>
              <w:top w:val="single" w:color="000000" w:sz="6" w:space="0"/>
              <w:left w:val="single" w:color="auto" w:sz="4" w:space="0"/>
              <w:bottom w:val="single" w:color="000000" w:sz="6" w:space="0"/>
              <w:right w:val="single" w:color="000000" w:sz="8" w:space="0"/>
            </w:tcBorders>
            <w:vAlign w:val="center"/>
          </w:tcPr>
          <w:p w14:paraId="21371211">
            <w:pPr>
              <w:autoSpaceDE w:val="0"/>
              <w:autoSpaceDN w:val="0"/>
              <w:spacing w:line="360" w:lineRule="auto"/>
              <w:jc w:val="center"/>
              <w:rPr>
                <w:rFonts w:hint="eastAsia" w:ascii="仿宋" w:hAnsi="仿宋" w:eastAsia="仿宋" w:cs="仿宋"/>
                <w:color w:val="auto"/>
                <w:kern w:val="0"/>
                <w:sz w:val="24"/>
                <w:szCs w:val="24"/>
                <w:highlight w:val="none"/>
                <w:lang w:val="zh-CN"/>
              </w:rPr>
            </w:pPr>
          </w:p>
        </w:tc>
      </w:tr>
      <w:tr w14:paraId="313F8076">
        <w:tblPrEx>
          <w:tblCellMar>
            <w:top w:w="0" w:type="dxa"/>
            <w:left w:w="28" w:type="dxa"/>
            <w:bottom w:w="0" w:type="dxa"/>
            <w:right w:w="28" w:type="dxa"/>
          </w:tblCellMar>
        </w:tblPrEx>
        <w:trPr>
          <w:trHeight w:val="23" w:hRule="atLeast"/>
          <w:jc w:val="center"/>
        </w:trPr>
        <w:tc>
          <w:tcPr>
            <w:tcW w:w="2414" w:type="dxa"/>
            <w:gridSpan w:val="2"/>
            <w:tcBorders>
              <w:top w:val="single" w:color="000000" w:sz="6" w:space="0"/>
              <w:left w:val="single" w:color="000000" w:sz="8" w:space="0"/>
              <w:bottom w:val="single" w:color="000000" w:sz="8" w:space="0"/>
              <w:right w:val="single" w:color="000000" w:sz="6" w:space="0"/>
            </w:tcBorders>
            <w:vAlign w:val="center"/>
          </w:tcPr>
          <w:p w14:paraId="6CC603A9">
            <w:pPr>
              <w:autoSpaceDE w:val="0"/>
              <w:autoSpaceDN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投标总价</w:t>
            </w:r>
          </w:p>
          <w:p w14:paraId="7A30B015">
            <w:pPr>
              <w:autoSpaceDE w:val="0"/>
              <w:autoSpaceDN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w:t>
            </w:r>
            <w:r>
              <w:rPr>
                <w:rFonts w:hint="eastAsia" w:ascii="仿宋" w:hAnsi="仿宋" w:eastAsia="仿宋" w:cs="仿宋"/>
                <w:b/>
                <w:bCs/>
                <w:color w:val="auto"/>
                <w:kern w:val="0"/>
                <w:sz w:val="24"/>
                <w:szCs w:val="24"/>
                <w:highlight w:val="none"/>
                <w:lang w:val="en-US" w:eastAsia="zh-CN"/>
              </w:rPr>
              <w:t>填写预算总价</w:t>
            </w:r>
            <w:r>
              <w:rPr>
                <w:rFonts w:hint="eastAsia" w:ascii="仿宋" w:hAnsi="仿宋" w:eastAsia="仿宋" w:cs="仿宋"/>
                <w:b/>
                <w:bCs/>
                <w:color w:val="auto"/>
                <w:kern w:val="0"/>
                <w:sz w:val="24"/>
                <w:szCs w:val="24"/>
                <w:highlight w:val="none"/>
                <w:lang w:val="zh-CN"/>
              </w:rPr>
              <w:t>）</w:t>
            </w:r>
          </w:p>
        </w:tc>
        <w:tc>
          <w:tcPr>
            <w:tcW w:w="7240" w:type="dxa"/>
            <w:gridSpan w:val="6"/>
            <w:tcBorders>
              <w:top w:val="single" w:color="000000" w:sz="6" w:space="0"/>
              <w:left w:val="single" w:color="000000" w:sz="6" w:space="0"/>
              <w:bottom w:val="single" w:color="000000" w:sz="8" w:space="0"/>
              <w:right w:val="single" w:color="000000" w:sz="8" w:space="0"/>
            </w:tcBorders>
            <w:vAlign w:val="center"/>
          </w:tcPr>
          <w:p w14:paraId="31AF8161">
            <w:pPr>
              <w:autoSpaceDE w:val="0"/>
              <w:autoSpaceDN w:val="0"/>
              <w:spacing w:line="360" w:lineRule="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大写：</w:t>
            </w:r>
          </w:p>
          <w:p w14:paraId="4619179A">
            <w:pPr>
              <w:autoSpaceDE w:val="0"/>
              <w:autoSpaceDN w:val="0"/>
              <w:spacing w:line="360" w:lineRule="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小写：</w:t>
            </w:r>
          </w:p>
        </w:tc>
      </w:tr>
    </w:tbl>
    <w:p w14:paraId="33A5F059">
      <w:pPr>
        <w:tabs>
          <w:tab w:val="left" w:pos="3780"/>
        </w:tabs>
        <w:spacing w:line="360" w:lineRule="auto"/>
        <w:jc w:val="left"/>
        <w:rPr>
          <w:rFonts w:hint="eastAsia" w:ascii="仿宋" w:hAnsi="仿宋" w:eastAsia="仿宋" w:cs="仿宋"/>
          <w:color w:val="auto"/>
          <w:sz w:val="24"/>
          <w:szCs w:val="24"/>
          <w:highlight w:val="none"/>
        </w:rPr>
      </w:pPr>
    </w:p>
    <w:p w14:paraId="621F0765">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 标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420558C2">
      <w:pPr>
        <w:tabs>
          <w:tab w:val="left" w:pos="3780"/>
        </w:tabs>
        <w:spacing w:line="360" w:lineRule="auto"/>
        <w:jc w:val="left"/>
        <w:rPr>
          <w:rFonts w:hint="eastAsia" w:ascii="仿宋" w:hAnsi="仿宋" w:eastAsia="仿宋" w:cs="仿宋"/>
          <w:color w:val="auto"/>
          <w:sz w:val="24"/>
          <w:szCs w:val="24"/>
          <w:highlight w:val="none"/>
        </w:rPr>
      </w:pPr>
    </w:p>
    <w:p w14:paraId="048DC60B">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066DC6F8">
      <w:pPr>
        <w:tabs>
          <w:tab w:val="left" w:pos="3780"/>
        </w:tabs>
        <w:spacing w:line="360" w:lineRule="auto"/>
        <w:jc w:val="left"/>
        <w:rPr>
          <w:rFonts w:hint="eastAsia" w:ascii="仿宋" w:hAnsi="仿宋" w:eastAsia="仿宋" w:cs="仿宋"/>
          <w:color w:val="auto"/>
          <w:sz w:val="24"/>
          <w:szCs w:val="24"/>
          <w:highlight w:val="none"/>
        </w:rPr>
      </w:pPr>
    </w:p>
    <w:p w14:paraId="7EC9157F">
      <w:pPr>
        <w:tabs>
          <w:tab w:val="left" w:pos="3780"/>
        </w:tabs>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58D495AB">
      <w:pPr>
        <w:rPr>
          <w:rFonts w:hint="eastAsia"/>
          <w:color w:val="auto"/>
          <w:highlight w:val="none"/>
          <w:lang w:val="en-US" w:eastAsia="zh-CN"/>
        </w:rPr>
      </w:pPr>
      <w:bookmarkStart w:id="721" w:name="_Toc17100"/>
      <w:bookmarkStart w:id="722" w:name="_Toc17040935"/>
      <w:bookmarkStart w:id="723" w:name="_Toc17040814"/>
    </w:p>
    <w:p w14:paraId="429E40FE">
      <w:pPr>
        <w:rPr>
          <w:rFonts w:hint="eastAsia" w:ascii="仿宋" w:hAnsi="仿宋" w:eastAsia="仿宋" w:cs="仿宋"/>
          <w:b/>
          <w:bCs/>
          <w:color w:val="auto"/>
          <w:sz w:val="24"/>
          <w:szCs w:val="24"/>
          <w:highlight w:val="none"/>
          <w:lang w:val="en-US" w:eastAsia="zh-CN"/>
        </w:rPr>
      </w:pPr>
    </w:p>
    <w:p w14:paraId="2B2EFF77">
      <w:pPr>
        <w:pStyle w:val="14"/>
        <w:rPr>
          <w:rFonts w:hint="eastAsia" w:ascii="仿宋" w:hAnsi="仿宋" w:eastAsia="仿宋" w:cs="仿宋"/>
          <w:b/>
          <w:bCs/>
          <w:color w:val="auto"/>
          <w:sz w:val="24"/>
          <w:szCs w:val="24"/>
          <w:highlight w:val="none"/>
          <w:lang w:val="en-US" w:eastAsia="zh-CN"/>
        </w:rPr>
      </w:pPr>
    </w:p>
    <w:p w14:paraId="1F7E5928">
      <w:pPr>
        <w:spacing w:line="360" w:lineRule="auto"/>
        <w:rPr>
          <w:rFonts w:hint="eastAsia" w:ascii="仿宋" w:hAnsi="仿宋" w:eastAsia="仿宋" w:cs="仿宋"/>
          <w:color w:val="auto"/>
          <w:spacing w:val="-2"/>
          <w:sz w:val="24"/>
          <w:szCs w:val="24"/>
          <w:highlight w:val="none"/>
          <w:lang w:val="en-US" w:eastAsia="zh-CN"/>
        </w:rPr>
      </w:pPr>
    </w:p>
    <w:p w14:paraId="4F8EB0CB">
      <w:pPr>
        <w:spacing w:line="360" w:lineRule="auto"/>
        <w:rPr>
          <w:rFonts w:hint="eastAsia" w:ascii="仿宋" w:hAnsi="仿宋" w:eastAsia="仿宋" w:cs="仿宋"/>
          <w:color w:val="auto"/>
          <w:spacing w:val="-2"/>
          <w:sz w:val="24"/>
          <w:szCs w:val="24"/>
          <w:highlight w:val="none"/>
          <w:lang w:val="en-US" w:eastAsia="zh-CN"/>
        </w:rPr>
      </w:pPr>
    </w:p>
    <w:p w14:paraId="033FB132">
      <w:pPr>
        <w:spacing w:line="360" w:lineRule="auto"/>
        <w:rPr>
          <w:rFonts w:hint="eastAsia" w:ascii="仿宋" w:hAnsi="仿宋" w:eastAsia="仿宋" w:cs="仿宋"/>
          <w:color w:val="auto"/>
          <w:spacing w:val="-2"/>
          <w:sz w:val="24"/>
          <w:szCs w:val="24"/>
          <w:highlight w:val="none"/>
          <w:lang w:val="en-US" w:eastAsia="zh-CN"/>
        </w:rPr>
      </w:pPr>
    </w:p>
    <w:p w14:paraId="737FEE27">
      <w:pPr>
        <w:pStyle w:val="40"/>
        <w:rPr>
          <w:rFonts w:hint="eastAsia" w:ascii="仿宋" w:hAnsi="仿宋" w:eastAsia="仿宋" w:cs="仿宋"/>
          <w:color w:val="auto"/>
          <w:spacing w:val="-2"/>
          <w:sz w:val="24"/>
          <w:szCs w:val="24"/>
          <w:highlight w:val="none"/>
          <w:lang w:val="en-US" w:eastAsia="zh-CN"/>
        </w:rPr>
      </w:pPr>
    </w:p>
    <w:p w14:paraId="3BF4AC29">
      <w:pPr>
        <w:pStyle w:val="40"/>
        <w:rPr>
          <w:rFonts w:hint="eastAsia" w:ascii="仿宋" w:hAnsi="仿宋" w:eastAsia="仿宋" w:cs="仿宋"/>
          <w:color w:val="auto"/>
          <w:spacing w:val="-2"/>
          <w:sz w:val="24"/>
          <w:szCs w:val="24"/>
          <w:highlight w:val="none"/>
          <w:lang w:val="en-US" w:eastAsia="zh-CN"/>
        </w:rPr>
      </w:pPr>
    </w:p>
    <w:p w14:paraId="72B52DEE">
      <w:pPr>
        <w:pStyle w:val="40"/>
        <w:rPr>
          <w:rFonts w:hint="eastAsia" w:ascii="仿宋" w:hAnsi="仿宋" w:eastAsia="仿宋" w:cs="仿宋"/>
          <w:color w:val="auto"/>
          <w:spacing w:val="-2"/>
          <w:sz w:val="24"/>
          <w:szCs w:val="24"/>
          <w:highlight w:val="none"/>
          <w:lang w:val="en-US" w:eastAsia="zh-CN"/>
        </w:rPr>
      </w:pPr>
    </w:p>
    <w:p w14:paraId="517B43EF">
      <w:pPr>
        <w:pStyle w:val="40"/>
        <w:rPr>
          <w:rFonts w:hint="eastAsia" w:ascii="仿宋" w:hAnsi="仿宋" w:eastAsia="仿宋" w:cs="仿宋"/>
          <w:color w:val="auto"/>
          <w:spacing w:val="-2"/>
          <w:sz w:val="24"/>
          <w:szCs w:val="24"/>
          <w:highlight w:val="none"/>
          <w:lang w:val="en-US" w:eastAsia="zh-CN"/>
        </w:rPr>
      </w:pPr>
    </w:p>
    <w:p w14:paraId="65E81198">
      <w:pPr>
        <w:pStyle w:val="40"/>
        <w:rPr>
          <w:rFonts w:hint="eastAsia" w:ascii="仿宋" w:hAnsi="仿宋" w:eastAsia="仿宋" w:cs="仿宋"/>
          <w:color w:val="auto"/>
          <w:spacing w:val="-2"/>
          <w:sz w:val="24"/>
          <w:szCs w:val="24"/>
          <w:highlight w:val="none"/>
          <w:lang w:val="en-US" w:eastAsia="zh-CN"/>
        </w:rPr>
      </w:pPr>
    </w:p>
    <w:p w14:paraId="19C0A323">
      <w:pPr>
        <w:pStyle w:val="40"/>
        <w:rPr>
          <w:rFonts w:hint="eastAsia" w:ascii="仿宋" w:hAnsi="仿宋" w:eastAsia="仿宋" w:cs="仿宋"/>
          <w:color w:val="auto"/>
          <w:spacing w:val="-2"/>
          <w:sz w:val="24"/>
          <w:szCs w:val="24"/>
          <w:highlight w:val="none"/>
          <w:lang w:val="en-US" w:eastAsia="zh-CN"/>
        </w:rPr>
      </w:pPr>
    </w:p>
    <w:p w14:paraId="6ABC1892">
      <w:pPr>
        <w:pStyle w:val="40"/>
        <w:rPr>
          <w:rFonts w:hint="eastAsia" w:ascii="仿宋" w:hAnsi="仿宋" w:eastAsia="仿宋" w:cs="仿宋"/>
          <w:color w:val="auto"/>
          <w:spacing w:val="-2"/>
          <w:sz w:val="24"/>
          <w:szCs w:val="24"/>
          <w:highlight w:val="none"/>
          <w:lang w:val="en-US" w:eastAsia="zh-CN"/>
        </w:rPr>
      </w:pPr>
    </w:p>
    <w:p w14:paraId="2BD82FE9">
      <w:pPr>
        <w:pStyle w:val="40"/>
        <w:rPr>
          <w:rFonts w:hint="eastAsia" w:ascii="仿宋" w:hAnsi="仿宋" w:eastAsia="仿宋" w:cs="仿宋"/>
          <w:color w:val="auto"/>
          <w:spacing w:val="-2"/>
          <w:sz w:val="24"/>
          <w:szCs w:val="24"/>
          <w:highlight w:val="none"/>
          <w:lang w:val="en-US" w:eastAsia="zh-CN"/>
        </w:rPr>
      </w:pPr>
    </w:p>
    <w:p w14:paraId="6DCC566E">
      <w:pPr>
        <w:pStyle w:val="40"/>
        <w:rPr>
          <w:rFonts w:hint="eastAsia" w:ascii="仿宋" w:hAnsi="仿宋" w:eastAsia="仿宋" w:cs="仿宋"/>
          <w:color w:val="auto"/>
          <w:spacing w:val="-2"/>
          <w:sz w:val="24"/>
          <w:szCs w:val="24"/>
          <w:highlight w:val="none"/>
          <w:lang w:val="en-US" w:eastAsia="zh-CN"/>
        </w:rPr>
      </w:pPr>
    </w:p>
    <w:p w14:paraId="1A901F25">
      <w:pPr>
        <w:pStyle w:val="40"/>
        <w:rPr>
          <w:rFonts w:hint="eastAsia" w:ascii="仿宋" w:hAnsi="仿宋" w:eastAsia="仿宋" w:cs="仿宋"/>
          <w:color w:val="auto"/>
          <w:spacing w:val="-2"/>
          <w:sz w:val="24"/>
          <w:szCs w:val="24"/>
          <w:highlight w:val="none"/>
          <w:lang w:val="en-US" w:eastAsia="zh-CN"/>
        </w:rPr>
      </w:pPr>
    </w:p>
    <w:p w14:paraId="111FC714">
      <w:pPr>
        <w:pStyle w:val="40"/>
        <w:rPr>
          <w:rFonts w:hint="eastAsia" w:ascii="仿宋" w:hAnsi="仿宋" w:eastAsia="仿宋" w:cs="仿宋"/>
          <w:color w:val="auto"/>
          <w:spacing w:val="-2"/>
          <w:sz w:val="24"/>
          <w:szCs w:val="24"/>
          <w:highlight w:val="none"/>
          <w:lang w:val="en-US" w:eastAsia="zh-CN"/>
        </w:rPr>
      </w:pPr>
    </w:p>
    <w:p w14:paraId="0F90D52B">
      <w:pPr>
        <w:spacing w:line="360" w:lineRule="auto"/>
        <w:ind w:left="34"/>
        <w:rPr>
          <w:rFonts w:hint="eastAsia" w:ascii="仿宋" w:hAnsi="仿宋" w:eastAsia="仿宋" w:cs="仿宋"/>
          <w:b/>
          <w:bCs/>
          <w:color w:val="auto"/>
          <w:sz w:val="24"/>
          <w:szCs w:val="24"/>
          <w:highlight w:val="none"/>
        </w:rPr>
      </w:pPr>
      <w:r>
        <w:rPr>
          <w:rFonts w:hint="eastAsia" w:ascii="仿宋" w:hAnsi="仿宋" w:eastAsia="仿宋" w:cs="仿宋"/>
          <w:color w:val="auto"/>
          <w:spacing w:val="-2"/>
          <w:sz w:val="24"/>
          <w:szCs w:val="24"/>
          <w:highlight w:val="none"/>
          <w:lang w:val="en-US" w:eastAsia="zh-CN"/>
        </w:rPr>
        <w:t>4.投标函</w:t>
      </w:r>
    </w:p>
    <w:p w14:paraId="56B7E779">
      <w:pPr>
        <w:pStyle w:val="3"/>
        <w:spacing w:line="360" w:lineRule="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投标函</w:t>
      </w:r>
      <w:bookmarkEnd w:id="721"/>
      <w:bookmarkEnd w:id="722"/>
      <w:bookmarkEnd w:id="723"/>
    </w:p>
    <w:p w14:paraId="2D6AD5AE">
      <w:pPr>
        <w:spacing w:line="360" w:lineRule="auto"/>
        <w:rPr>
          <w:rFonts w:hint="eastAsia" w:ascii="仿宋" w:hAnsi="仿宋" w:eastAsia="仿宋" w:cs="仿宋"/>
          <w:color w:val="auto"/>
          <w:sz w:val="24"/>
          <w:szCs w:val="24"/>
          <w:highlight w:val="none"/>
        </w:rPr>
      </w:pPr>
    </w:p>
    <w:p w14:paraId="452704A1">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 xml:space="preserve">         （采购人名称）   </w:t>
      </w:r>
    </w:p>
    <w:p w14:paraId="2A3913D7">
      <w:pPr>
        <w:tabs>
          <w:tab w:val="left" w:pos="7560"/>
        </w:tabs>
        <w:spacing w:line="360" w:lineRule="auto"/>
        <w:ind w:firstLine="49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1、根据你方招标编号为：</w:t>
      </w:r>
      <w:r>
        <w:rPr>
          <w:rFonts w:hint="eastAsia" w:ascii="仿宋" w:hAnsi="仿宋" w:eastAsia="仿宋" w:cs="仿宋"/>
          <w:color w:val="auto"/>
          <w:sz w:val="24"/>
          <w:szCs w:val="24"/>
          <w:highlight w:val="none"/>
          <w:u w:val="single"/>
        </w:rPr>
        <w:t xml:space="preserve">       （招标编号）  </w:t>
      </w:r>
      <w:r>
        <w:rPr>
          <w:rFonts w:hint="eastAsia" w:ascii="仿宋" w:hAnsi="仿宋" w:eastAsia="仿宋" w:cs="仿宋"/>
          <w:color w:val="auto"/>
          <w:sz w:val="24"/>
          <w:szCs w:val="24"/>
          <w:highlight w:val="none"/>
        </w:rPr>
        <w:t>，项目名称为：</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rPr>
        <w:t>的招标文件，遵照《中华人民共和国政府采购法》等有关规定，经研究上述招标文件的须知及其他有关文件后，我方愿以人民币，</w:t>
      </w:r>
      <w:r>
        <w:rPr>
          <w:rFonts w:hint="eastAsia" w:ascii="仿宋" w:hAnsi="仿宋" w:eastAsia="仿宋" w:cs="仿宋"/>
          <w:color w:val="auto"/>
          <w:sz w:val="24"/>
          <w:szCs w:val="24"/>
          <w:highlight w:val="none"/>
          <w:lang w:val="en-US" w:eastAsia="zh-CN"/>
        </w:rPr>
        <w:t>总价</w:t>
      </w:r>
      <w:r>
        <w:rPr>
          <w:rFonts w:hint="eastAsia" w:ascii="仿宋" w:hAnsi="仿宋" w:eastAsia="仿宋" w:cs="仿宋"/>
          <w:color w:val="auto"/>
          <w:sz w:val="24"/>
          <w:szCs w:val="24"/>
          <w:highlight w:val="none"/>
        </w:rPr>
        <w:t>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lang w:val="en-US" w:eastAsia="zh-CN"/>
        </w:rPr>
        <w:t>下浮</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val="en-US" w:eastAsia="zh-CN"/>
        </w:rPr>
        <w:t>%进行</w:t>
      </w:r>
      <w:r>
        <w:rPr>
          <w:rFonts w:hint="eastAsia" w:ascii="仿宋" w:hAnsi="仿宋" w:eastAsia="仿宋" w:cs="仿宋"/>
          <w:color w:val="auto"/>
          <w:sz w:val="24"/>
          <w:szCs w:val="24"/>
          <w:highlight w:val="none"/>
        </w:rPr>
        <w:t>投标报价，并按上述招标文件、合同条款等条件要求承包上述项目，并承担质量责任。</w:t>
      </w:r>
    </w:p>
    <w:p w14:paraId="0BAB35CE">
      <w:pPr>
        <w:spacing w:line="360" w:lineRule="auto"/>
        <w:ind w:firstLine="49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2、我方已详细审核全部招标文件，包括修改文件（如有时）及有关附件。</w:t>
      </w:r>
    </w:p>
    <w:p w14:paraId="647719E7">
      <w:pPr>
        <w:spacing w:line="360" w:lineRule="auto"/>
        <w:ind w:firstLine="49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3、我方承认投标函附录是我方投标函的组成部分。</w:t>
      </w:r>
    </w:p>
    <w:p w14:paraId="3783A7BD">
      <w:pPr>
        <w:spacing w:line="360" w:lineRule="auto"/>
        <w:ind w:firstLine="49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4、一旦我方中标，我方保证达到完成本合同所有项目的相关要求。</w:t>
      </w:r>
    </w:p>
    <w:p w14:paraId="645AA872">
      <w:pPr>
        <w:spacing w:line="360" w:lineRule="auto"/>
        <w:ind w:firstLine="49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5、如果我方中标，我方将按照规定提交履约担保。</w:t>
      </w:r>
    </w:p>
    <w:p w14:paraId="5A1419F2">
      <w:pPr>
        <w:spacing w:line="360" w:lineRule="auto"/>
        <w:ind w:firstLine="49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6、我方同意所提交的投标文件在招标文件规定的投标有效期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日内有效，在此期间内如果中标，我方将受此约束。</w:t>
      </w:r>
    </w:p>
    <w:p w14:paraId="0717A050">
      <w:pPr>
        <w:spacing w:line="360" w:lineRule="auto"/>
        <w:ind w:firstLine="49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7、除非另外达成协议并生效，你方的中标通知书和本招标文件将成为约束双方的合同文件的组成部分。</w:t>
      </w:r>
    </w:p>
    <w:p w14:paraId="5604F3CF">
      <w:pPr>
        <w:spacing w:line="360" w:lineRule="auto"/>
        <w:ind w:firstLine="49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8、我方将与本投标函一起，提交人民币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元的投标保证金，作为担保。</w:t>
      </w:r>
    </w:p>
    <w:p w14:paraId="15FB7086">
      <w:pPr>
        <w:pStyle w:val="11"/>
        <w:rPr>
          <w:rFonts w:hint="eastAsia" w:ascii="仿宋" w:hAnsi="仿宋" w:eastAsia="仿宋" w:cs="仿宋"/>
          <w:color w:val="auto"/>
          <w:sz w:val="24"/>
          <w:szCs w:val="24"/>
          <w:highlight w:val="none"/>
        </w:rPr>
      </w:pPr>
    </w:p>
    <w:p w14:paraId="00CD833C">
      <w:pPr>
        <w:spacing w:line="360" w:lineRule="auto"/>
        <w:ind w:firstLine="609" w:firstLineChars="25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41B7392E">
      <w:pPr>
        <w:spacing w:line="360" w:lineRule="auto"/>
        <w:ind w:firstLine="120" w:firstLineChars="5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投 标 人：</w:t>
      </w:r>
      <w:r>
        <w:rPr>
          <w:rFonts w:hint="eastAsia" w:ascii="仿宋" w:hAnsi="仿宋" w:eastAsia="仿宋" w:cs="仿宋"/>
          <w:color w:val="auto"/>
          <w:sz w:val="24"/>
          <w:szCs w:val="24"/>
          <w:highlight w:val="none"/>
          <w:u w:val="single"/>
        </w:rPr>
        <w:t xml:space="preserve">                               （电子签章）  </w:t>
      </w:r>
    </w:p>
    <w:p w14:paraId="1D72B40C">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单位地址：</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p>
    <w:p w14:paraId="1369151B">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法定代表人或其委托代理人：</w:t>
      </w:r>
      <w:r>
        <w:rPr>
          <w:rFonts w:hint="eastAsia" w:ascii="仿宋" w:hAnsi="仿宋" w:eastAsia="仿宋" w:cs="仿宋"/>
          <w:color w:val="auto"/>
          <w:sz w:val="24"/>
          <w:szCs w:val="24"/>
          <w:highlight w:val="none"/>
          <w:u w:val="single"/>
        </w:rPr>
        <w:t xml:space="preserve">                （电子签章） </w:t>
      </w:r>
    </w:p>
    <w:p w14:paraId="2E2B1216">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传真：</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p>
    <w:p w14:paraId="5CA73E17">
      <w:pPr>
        <w:spacing w:line="360" w:lineRule="auto"/>
        <w:ind w:firstLine="120" w:firstLineChars="5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开户银行名称：</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4A76B297">
      <w:pPr>
        <w:spacing w:line="360" w:lineRule="auto"/>
        <w:ind w:firstLine="120" w:firstLineChars="5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开户银行账号：</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1CBB60C2">
      <w:pPr>
        <w:spacing w:line="360" w:lineRule="auto"/>
        <w:ind w:firstLine="120" w:firstLineChars="5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开户银行地址：</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6DEC03F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开户银行电话：</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1227478B">
      <w:pPr>
        <w:spacing w:line="360" w:lineRule="auto"/>
        <w:rPr>
          <w:rFonts w:hint="eastAsia" w:ascii="仿宋" w:hAnsi="仿宋" w:eastAsia="仿宋" w:cs="仿宋"/>
          <w:color w:val="auto"/>
          <w:spacing w:val="-2"/>
          <w:sz w:val="24"/>
          <w:szCs w:val="24"/>
          <w:highlight w:val="none"/>
          <w:lang w:val="en-US" w:eastAsia="zh-CN"/>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bookmarkStart w:id="724" w:name="_Toc17040936"/>
      <w:bookmarkStart w:id="725" w:name="_Toc786"/>
      <w:bookmarkStart w:id="726" w:name="_Toc17040815"/>
    </w:p>
    <w:bookmarkEnd w:id="724"/>
    <w:bookmarkEnd w:id="725"/>
    <w:bookmarkEnd w:id="726"/>
    <w:p w14:paraId="29CED751">
      <w:pPr>
        <w:spacing w:before="100" w:line="360" w:lineRule="auto"/>
        <w:ind w:left="19"/>
        <w:outlineLvl w:val="2"/>
        <w:rPr>
          <w:rFonts w:hint="eastAsia" w:ascii="仿宋" w:hAnsi="仿宋" w:eastAsia="仿宋" w:cs="仿宋"/>
          <w:b/>
          <w:bCs/>
          <w:color w:val="auto"/>
          <w:spacing w:val="8"/>
          <w:position w:val="25"/>
          <w:sz w:val="28"/>
          <w:szCs w:val="28"/>
          <w:highlight w:val="none"/>
          <w:lang w:val="en-US" w:eastAsia="zh-CN"/>
        </w:rPr>
      </w:pPr>
      <w:r>
        <w:rPr>
          <w:rFonts w:hint="eastAsia" w:ascii="仿宋" w:hAnsi="仿宋" w:eastAsia="仿宋" w:cs="仿宋"/>
          <w:b/>
          <w:bCs/>
          <w:color w:val="auto"/>
          <w:spacing w:val="8"/>
          <w:position w:val="25"/>
          <w:sz w:val="28"/>
          <w:szCs w:val="28"/>
          <w:highlight w:val="none"/>
          <w:lang w:val="en-US" w:eastAsia="zh-CN"/>
        </w:rPr>
        <w:t>三、商务/技术文件</w:t>
      </w:r>
    </w:p>
    <w:p w14:paraId="07150D23">
      <w:pPr>
        <w:spacing w:line="360" w:lineRule="auto"/>
        <w:ind w:left="3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w:t>
      </w:r>
      <w:r>
        <w:rPr>
          <w:rFonts w:hint="eastAsia" w:ascii="仿宋" w:hAnsi="仿宋" w:eastAsia="仿宋" w:cs="仿宋"/>
          <w:color w:val="auto"/>
          <w:spacing w:val="-2"/>
          <w:sz w:val="24"/>
          <w:szCs w:val="24"/>
          <w:highlight w:val="none"/>
          <w:lang w:val="en-US" w:eastAsia="zh-CN"/>
        </w:rPr>
        <w:t>商务/技术</w:t>
      </w:r>
      <w:r>
        <w:rPr>
          <w:rFonts w:hint="eastAsia" w:ascii="仿宋" w:hAnsi="仿宋" w:eastAsia="仿宋" w:cs="仿宋"/>
          <w:color w:val="auto"/>
          <w:spacing w:val="-2"/>
          <w:sz w:val="24"/>
          <w:szCs w:val="24"/>
          <w:highlight w:val="none"/>
        </w:rPr>
        <w:t>文件封面格</w:t>
      </w:r>
      <w:r>
        <w:rPr>
          <w:rFonts w:hint="eastAsia" w:ascii="仿宋" w:hAnsi="仿宋" w:eastAsia="仿宋" w:cs="仿宋"/>
          <w:color w:val="auto"/>
          <w:spacing w:val="-1"/>
          <w:sz w:val="24"/>
          <w:szCs w:val="24"/>
          <w:highlight w:val="none"/>
        </w:rPr>
        <w:t>式：</w:t>
      </w:r>
    </w:p>
    <w:p w14:paraId="49E85A76">
      <w:pPr>
        <w:spacing w:line="360" w:lineRule="auto"/>
        <w:rPr>
          <w:rFonts w:hint="eastAsia" w:ascii="仿宋" w:hAnsi="仿宋" w:eastAsia="仿宋" w:cs="仿宋"/>
          <w:color w:val="auto"/>
          <w:sz w:val="24"/>
          <w:szCs w:val="24"/>
          <w:highlight w:val="none"/>
        </w:rPr>
      </w:pPr>
    </w:p>
    <w:p w14:paraId="52848CFB">
      <w:pPr>
        <w:spacing w:line="360" w:lineRule="auto"/>
        <w:rPr>
          <w:rFonts w:hint="eastAsia" w:ascii="仿宋" w:hAnsi="仿宋" w:eastAsia="仿宋" w:cs="仿宋"/>
          <w:color w:val="auto"/>
          <w:sz w:val="24"/>
          <w:szCs w:val="24"/>
          <w:highlight w:val="none"/>
        </w:rPr>
      </w:pPr>
    </w:p>
    <w:p w14:paraId="4340FC14">
      <w:pPr>
        <w:spacing w:line="360" w:lineRule="auto"/>
        <w:rPr>
          <w:rFonts w:hint="eastAsia" w:ascii="仿宋" w:hAnsi="仿宋" w:eastAsia="仿宋" w:cs="仿宋"/>
          <w:color w:val="auto"/>
          <w:sz w:val="24"/>
          <w:szCs w:val="24"/>
          <w:highlight w:val="none"/>
        </w:rPr>
      </w:pPr>
    </w:p>
    <w:p w14:paraId="7A178CF4">
      <w:pPr>
        <w:spacing w:line="360" w:lineRule="auto"/>
        <w:rPr>
          <w:rFonts w:hint="eastAsia" w:ascii="仿宋" w:hAnsi="仿宋" w:eastAsia="仿宋" w:cs="仿宋"/>
          <w:color w:val="auto"/>
          <w:sz w:val="24"/>
          <w:szCs w:val="24"/>
          <w:highlight w:val="none"/>
        </w:rPr>
      </w:pPr>
    </w:p>
    <w:p w14:paraId="3727C14F">
      <w:pPr>
        <w:spacing w:line="360" w:lineRule="auto"/>
        <w:rPr>
          <w:rFonts w:hint="eastAsia" w:ascii="仿宋" w:hAnsi="仿宋" w:eastAsia="仿宋" w:cs="仿宋"/>
          <w:color w:val="auto"/>
          <w:sz w:val="24"/>
          <w:szCs w:val="24"/>
          <w:highlight w:val="none"/>
        </w:rPr>
      </w:pPr>
    </w:p>
    <w:p w14:paraId="05BFCF87">
      <w:pPr>
        <w:spacing w:line="360" w:lineRule="auto"/>
        <w:rPr>
          <w:rFonts w:hint="eastAsia" w:ascii="仿宋" w:hAnsi="仿宋" w:eastAsia="仿宋" w:cs="仿宋"/>
          <w:color w:val="auto"/>
          <w:sz w:val="24"/>
          <w:szCs w:val="24"/>
          <w:highlight w:val="none"/>
        </w:rPr>
      </w:pPr>
    </w:p>
    <w:p w14:paraId="43EE954D">
      <w:pPr>
        <w:spacing w:line="360" w:lineRule="auto"/>
        <w:rPr>
          <w:rFonts w:hint="eastAsia" w:ascii="仿宋" w:hAnsi="仿宋" w:eastAsia="仿宋" w:cs="仿宋"/>
          <w:color w:val="auto"/>
          <w:sz w:val="24"/>
          <w:szCs w:val="24"/>
          <w:highlight w:val="none"/>
        </w:rPr>
      </w:pPr>
    </w:p>
    <w:p w14:paraId="62F7B8AF">
      <w:pPr>
        <w:spacing w:line="360" w:lineRule="auto"/>
        <w:rPr>
          <w:rFonts w:hint="eastAsia" w:ascii="仿宋" w:hAnsi="仿宋" w:eastAsia="仿宋" w:cs="仿宋"/>
          <w:color w:val="auto"/>
          <w:sz w:val="24"/>
          <w:szCs w:val="24"/>
          <w:highlight w:val="none"/>
        </w:rPr>
      </w:pPr>
    </w:p>
    <w:p w14:paraId="5C9661B3">
      <w:pPr>
        <w:spacing w:before="140" w:line="360" w:lineRule="auto"/>
        <w:ind w:left="3541"/>
        <w:rPr>
          <w:rFonts w:hint="eastAsia" w:ascii="仿宋" w:hAnsi="仿宋" w:eastAsia="仿宋" w:cs="仿宋"/>
          <w:color w:val="auto"/>
          <w:spacing w:val="7"/>
          <w:sz w:val="48"/>
          <w:szCs w:val="48"/>
          <w:highlight w:val="none"/>
        </w:rPr>
      </w:pPr>
      <w:r>
        <w:rPr>
          <w:rFonts w:hint="eastAsia" w:ascii="仿宋" w:hAnsi="仿宋" w:eastAsia="仿宋" w:cs="仿宋"/>
          <w:color w:val="auto"/>
          <w:spacing w:val="7"/>
          <w:sz w:val="48"/>
          <w:szCs w:val="48"/>
          <w:highlight w:val="none"/>
          <w:lang w:val="en-US" w:eastAsia="zh-CN"/>
        </w:rPr>
        <w:t>商务/技术</w:t>
      </w:r>
      <w:r>
        <w:rPr>
          <w:rFonts w:hint="eastAsia" w:ascii="仿宋" w:hAnsi="仿宋" w:eastAsia="仿宋" w:cs="仿宋"/>
          <w:color w:val="auto"/>
          <w:spacing w:val="7"/>
          <w:sz w:val="48"/>
          <w:szCs w:val="48"/>
          <w:highlight w:val="none"/>
        </w:rPr>
        <w:t>文件</w:t>
      </w:r>
    </w:p>
    <w:p w14:paraId="2E488757">
      <w:pPr>
        <w:spacing w:before="78" w:line="360" w:lineRule="auto"/>
        <w:ind w:left="493"/>
        <w:rPr>
          <w:rFonts w:hint="eastAsia" w:ascii="仿宋" w:hAnsi="仿宋" w:eastAsia="仿宋" w:cs="仿宋"/>
          <w:color w:val="auto"/>
          <w:spacing w:val="-4"/>
          <w:sz w:val="24"/>
          <w:szCs w:val="24"/>
          <w:highlight w:val="none"/>
        </w:rPr>
      </w:pPr>
    </w:p>
    <w:p w14:paraId="7BA3BD37">
      <w:pPr>
        <w:spacing w:before="78" w:line="360" w:lineRule="auto"/>
        <w:ind w:left="493"/>
        <w:rPr>
          <w:rFonts w:hint="eastAsia" w:ascii="仿宋" w:hAnsi="仿宋" w:eastAsia="仿宋" w:cs="仿宋"/>
          <w:color w:val="auto"/>
          <w:spacing w:val="-4"/>
          <w:sz w:val="24"/>
          <w:szCs w:val="24"/>
          <w:highlight w:val="none"/>
        </w:rPr>
      </w:pPr>
    </w:p>
    <w:p w14:paraId="2D5FE789">
      <w:pPr>
        <w:spacing w:before="78" w:line="360" w:lineRule="auto"/>
        <w:ind w:left="493"/>
        <w:rPr>
          <w:rFonts w:hint="eastAsia" w:ascii="仿宋" w:hAnsi="仿宋" w:eastAsia="仿宋" w:cs="仿宋"/>
          <w:color w:val="auto"/>
          <w:spacing w:val="-4"/>
          <w:sz w:val="24"/>
          <w:szCs w:val="24"/>
          <w:highlight w:val="none"/>
        </w:rPr>
      </w:pPr>
    </w:p>
    <w:p w14:paraId="2FFE812D">
      <w:pPr>
        <w:spacing w:before="78" w:line="360" w:lineRule="auto"/>
        <w:ind w:left="493"/>
        <w:rPr>
          <w:rFonts w:hint="eastAsia" w:ascii="仿宋" w:hAnsi="仿宋" w:eastAsia="仿宋" w:cs="仿宋"/>
          <w:color w:val="auto"/>
          <w:spacing w:val="-4"/>
          <w:sz w:val="24"/>
          <w:szCs w:val="24"/>
          <w:highlight w:val="none"/>
        </w:rPr>
      </w:pPr>
    </w:p>
    <w:p w14:paraId="0E1A4A10">
      <w:pPr>
        <w:spacing w:before="78" w:line="360" w:lineRule="auto"/>
        <w:ind w:left="493"/>
        <w:rPr>
          <w:rFonts w:hint="eastAsia" w:ascii="仿宋" w:hAnsi="仿宋" w:eastAsia="仿宋" w:cs="仿宋"/>
          <w:color w:val="auto"/>
          <w:spacing w:val="-4"/>
          <w:sz w:val="24"/>
          <w:szCs w:val="24"/>
          <w:highlight w:val="none"/>
        </w:rPr>
      </w:pPr>
    </w:p>
    <w:p w14:paraId="344344CC">
      <w:pPr>
        <w:spacing w:before="78" w:line="360" w:lineRule="auto"/>
        <w:ind w:left="493"/>
        <w:rPr>
          <w:rFonts w:hint="eastAsia" w:ascii="仿宋" w:hAnsi="仿宋" w:eastAsia="仿宋" w:cs="仿宋"/>
          <w:color w:val="auto"/>
          <w:spacing w:val="-4"/>
          <w:sz w:val="24"/>
          <w:szCs w:val="24"/>
          <w:highlight w:val="none"/>
        </w:rPr>
      </w:pPr>
    </w:p>
    <w:p w14:paraId="5F0BEE26">
      <w:pPr>
        <w:spacing w:before="78" w:line="360" w:lineRule="auto"/>
        <w:ind w:left="493"/>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项目名称：</w:t>
      </w:r>
      <w:r>
        <w:rPr>
          <w:rFonts w:hint="eastAsia" w:ascii="仿宋" w:hAnsi="仿宋" w:eastAsia="仿宋" w:cs="仿宋"/>
          <w:color w:val="auto"/>
          <w:spacing w:val="-6"/>
          <w:sz w:val="28"/>
          <w:szCs w:val="28"/>
          <w:highlight w:val="none"/>
          <w:u w:val="single"/>
        </w:rPr>
        <w:t xml:space="preserve">                      </w:t>
      </w:r>
    </w:p>
    <w:p w14:paraId="30FB4059">
      <w:pPr>
        <w:spacing w:before="79" w:line="360" w:lineRule="auto"/>
        <w:ind w:left="492"/>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lang w:val="en-US" w:eastAsia="zh-CN"/>
        </w:rPr>
        <w:t>项目编号：</w:t>
      </w:r>
      <w:r>
        <w:rPr>
          <w:rFonts w:hint="eastAsia" w:ascii="仿宋" w:hAnsi="仿宋" w:eastAsia="仿宋" w:cs="仿宋"/>
          <w:color w:val="auto"/>
          <w:sz w:val="28"/>
          <w:szCs w:val="28"/>
          <w:highlight w:val="none"/>
          <w:u w:val="single"/>
          <w:lang w:val="en-US" w:eastAsia="zh-CN"/>
        </w:rPr>
        <w:t xml:space="preserve">                    </w:t>
      </w:r>
    </w:p>
    <w:p w14:paraId="5FA26888">
      <w:pPr>
        <w:spacing w:before="79" w:line="360" w:lineRule="auto"/>
        <w:ind w:left="492"/>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u w:val="none"/>
          <w:lang w:val="en-US" w:eastAsia="zh-CN"/>
        </w:rPr>
        <w:t>标 段 号：</w:t>
      </w:r>
      <w:r>
        <w:rPr>
          <w:rFonts w:hint="eastAsia" w:ascii="仿宋" w:hAnsi="仿宋" w:eastAsia="仿宋" w:cs="仿宋"/>
          <w:color w:val="auto"/>
          <w:sz w:val="28"/>
          <w:szCs w:val="28"/>
          <w:highlight w:val="none"/>
          <w:u w:val="single"/>
          <w:lang w:val="en-US" w:eastAsia="zh-CN"/>
        </w:rPr>
        <w:t xml:space="preserve">                     </w:t>
      </w:r>
    </w:p>
    <w:p w14:paraId="47BB0204">
      <w:pPr>
        <w:spacing w:before="79" w:line="360" w:lineRule="auto"/>
        <w:ind w:left="492"/>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投标人全称 (电子公章) ：___________________</w:t>
      </w:r>
    </w:p>
    <w:p w14:paraId="762A645C">
      <w:pPr>
        <w:spacing w:before="79" w:line="360" w:lineRule="auto"/>
        <w:ind w:left="492"/>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法定代表人或委托代理人</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电子签章</w:t>
      </w:r>
      <w:r>
        <w:rPr>
          <w:rFonts w:hint="eastAsia" w:ascii="仿宋" w:hAnsi="仿宋" w:eastAsia="仿宋" w:cs="仿宋"/>
          <w:color w:val="auto"/>
          <w:sz w:val="28"/>
          <w:szCs w:val="28"/>
          <w:highlight w:val="none"/>
        </w:rPr>
        <w:t>) ：__________</w:t>
      </w:r>
    </w:p>
    <w:p w14:paraId="5AFE14B6">
      <w:pPr>
        <w:spacing w:line="360" w:lineRule="auto"/>
        <w:rPr>
          <w:rFonts w:hint="eastAsia" w:ascii="仿宋" w:hAnsi="仿宋" w:eastAsia="仿宋" w:cs="仿宋"/>
          <w:color w:val="auto"/>
          <w:sz w:val="28"/>
          <w:szCs w:val="28"/>
          <w:highlight w:val="none"/>
        </w:rPr>
      </w:pPr>
    </w:p>
    <w:p w14:paraId="11F2D06E">
      <w:pPr>
        <w:spacing w:before="78" w:line="360" w:lineRule="auto"/>
        <w:ind w:left="533"/>
        <w:rPr>
          <w:rFonts w:hint="eastAsia" w:ascii="仿宋" w:hAnsi="仿宋" w:eastAsia="仿宋" w:cs="仿宋"/>
          <w:color w:val="auto"/>
          <w:sz w:val="24"/>
          <w:szCs w:val="24"/>
          <w:highlight w:val="none"/>
        </w:rPr>
      </w:pPr>
      <w:r>
        <w:rPr>
          <w:rFonts w:hint="eastAsia" w:ascii="仿宋" w:hAnsi="仿宋" w:eastAsia="仿宋" w:cs="仿宋"/>
          <w:color w:val="auto"/>
          <w:spacing w:val="-5"/>
          <w:sz w:val="28"/>
          <w:szCs w:val="28"/>
          <w:highlight w:val="none"/>
        </w:rPr>
        <w:t>日期：        年     月     日</w:t>
      </w:r>
    </w:p>
    <w:p w14:paraId="253F03E3">
      <w:pPr>
        <w:spacing w:line="360" w:lineRule="auto"/>
        <w:ind w:left="34"/>
        <w:rPr>
          <w:rFonts w:hint="eastAsia"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val="en-US" w:eastAsia="zh-CN"/>
        </w:rPr>
        <w:t>2.法定代表人身份证明书</w:t>
      </w:r>
    </w:p>
    <w:p w14:paraId="54132E06">
      <w:pPr>
        <w:pStyle w:val="3"/>
        <w:spacing w:line="360" w:lineRule="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法定代表人身份证明书</w:t>
      </w:r>
    </w:p>
    <w:p w14:paraId="2969BF3C">
      <w:pPr>
        <w:rPr>
          <w:rFonts w:hint="eastAsia"/>
          <w:color w:val="auto"/>
          <w:highlight w:val="none"/>
          <w:lang w:eastAsia="zh-CN"/>
        </w:rPr>
      </w:pPr>
    </w:p>
    <w:p w14:paraId="4D92BEB3">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投标人名称：</w:t>
      </w:r>
      <w:r>
        <w:rPr>
          <w:rFonts w:hint="eastAsia" w:ascii="仿宋" w:hAnsi="仿宋" w:eastAsia="仿宋" w:cs="仿宋"/>
          <w:color w:val="auto"/>
          <w:kern w:val="0"/>
          <w:sz w:val="24"/>
          <w:szCs w:val="24"/>
          <w:highlight w:val="none"/>
          <w:u w:val="single"/>
        </w:rPr>
        <w:t xml:space="preserve">                       </w:t>
      </w:r>
    </w:p>
    <w:p w14:paraId="52C563F9">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单位性质：</w:t>
      </w:r>
      <w:r>
        <w:rPr>
          <w:rFonts w:hint="eastAsia" w:ascii="仿宋" w:hAnsi="仿宋" w:eastAsia="仿宋" w:cs="仿宋"/>
          <w:color w:val="auto"/>
          <w:kern w:val="0"/>
          <w:sz w:val="24"/>
          <w:szCs w:val="24"/>
          <w:highlight w:val="none"/>
          <w:u w:val="single"/>
        </w:rPr>
        <w:t xml:space="preserve">                         </w:t>
      </w:r>
    </w:p>
    <w:p w14:paraId="3D717A6A">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地址：</w:t>
      </w:r>
      <w:r>
        <w:rPr>
          <w:rFonts w:hint="eastAsia" w:ascii="仿宋" w:hAnsi="仿宋" w:eastAsia="仿宋" w:cs="仿宋"/>
          <w:color w:val="auto"/>
          <w:kern w:val="0"/>
          <w:sz w:val="24"/>
          <w:szCs w:val="24"/>
          <w:highlight w:val="none"/>
          <w:u w:val="single"/>
        </w:rPr>
        <w:t xml:space="preserve">                             </w:t>
      </w:r>
    </w:p>
    <w:p w14:paraId="5683755A">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成立时间：</w:t>
      </w:r>
      <w:r>
        <w:rPr>
          <w:rFonts w:hint="eastAsia" w:ascii="仿宋" w:hAnsi="仿宋" w:eastAsia="仿宋" w:cs="仿宋"/>
          <w:color w:val="auto"/>
          <w:kern w:val="0"/>
          <w:sz w:val="24"/>
          <w:szCs w:val="24"/>
          <w:highlight w:val="none"/>
          <w:u w:val="single"/>
        </w:rPr>
        <w:t xml:space="preserve">                         </w:t>
      </w:r>
    </w:p>
    <w:p w14:paraId="686813EA">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经营期限：</w:t>
      </w:r>
      <w:r>
        <w:rPr>
          <w:rFonts w:hint="eastAsia" w:ascii="仿宋" w:hAnsi="仿宋" w:eastAsia="仿宋" w:cs="仿宋"/>
          <w:color w:val="auto"/>
          <w:kern w:val="0"/>
          <w:sz w:val="24"/>
          <w:szCs w:val="24"/>
          <w:highlight w:val="none"/>
          <w:u w:val="single"/>
        </w:rPr>
        <w:t xml:space="preserve">                         </w:t>
      </w:r>
    </w:p>
    <w:p w14:paraId="623953F7">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姓名：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性别：</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年龄：</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职务：</w:t>
      </w:r>
      <w:r>
        <w:rPr>
          <w:rFonts w:hint="eastAsia" w:ascii="仿宋" w:hAnsi="仿宋" w:eastAsia="仿宋" w:cs="仿宋"/>
          <w:color w:val="auto"/>
          <w:kern w:val="0"/>
          <w:sz w:val="24"/>
          <w:szCs w:val="24"/>
          <w:highlight w:val="none"/>
          <w:u w:val="single"/>
        </w:rPr>
        <w:t xml:space="preserve">       </w:t>
      </w:r>
    </w:p>
    <w:p w14:paraId="6F7CEE65">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（投标人名称）的法定代表人。</w:t>
      </w:r>
    </w:p>
    <w:p w14:paraId="6F989C36">
      <w:pPr>
        <w:autoSpaceDE w:val="0"/>
        <w:autoSpaceDN w:val="0"/>
        <w:adjustRightIn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特此证明。</w:t>
      </w:r>
    </w:p>
    <w:p w14:paraId="08A770B0">
      <w:pPr>
        <w:pStyle w:val="11"/>
        <w:spacing w:line="360" w:lineRule="auto"/>
        <w:rPr>
          <w:rFonts w:hint="eastAsia" w:ascii="仿宋" w:hAnsi="仿宋" w:eastAsia="仿宋" w:cs="仿宋"/>
          <w:color w:val="auto"/>
          <w:sz w:val="24"/>
          <w:szCs w:val="24"/>
          <w:highlight w:val="none"/>
        </w:rPr>
      </w:pPr>
    </w:p>
    <w:p w14:paraId="42396E2F">
      <w:pPr>
        <w:pStyle w:val="11"/>
        <w:spacing w:line="360" w:lineRule="auto"/>
        <w:rPr>
          <w:rFonts w:hint="eastAsia" w:ascii="仿宋" w:hAnsi="仿宋" w:eastAsia="仿宋" w:cs="仿宋"/>
          <w:color w:val="auto"/>
          <w:sz w:val="24"/>
          <w:szCs w:val="24"/>
          <w:highlight w:val="none"/>
        </w:rPr>
      </w:pPr>
    </w:p>
    <w:p w14:paraId="5555410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附：法定代表人身份证原件扫描</w:t>
      </w:r>
    </w:p>
    <w:tbl>
      <w:tblPr>
        <w:tblStyle w:val="35"/>
        <w:tblW w:w="8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8"/>
        <w:gridCol w:w="4393"/>
      </w:tblGrid>
      <w:tr w14:paraId="5C48E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7" w:hRule="atLeast"/>
          <w:jc w:val="center"/>
        </w:trPr>
        <w:tc>
          <w:tcPr>
            <w:tcW w:w="4498" w:type="dxa"/>
            <w:tcBorders>
              <w:top w:val="single" w:color="auto" w:sz="18" w:space="0"/>
              <w:left w:val="single" w:color="auto" w:sz="18" w:space="0"/>
              <w:bottom w:val="single" w:color="auto" w:sz="18" w:space="0"/>
              <w:right w:val="single" w:color="auto" w:sz="18" w:space="0"/>
            </w:tcBorders>
            <w:vAlign w:val="center"/>
          </w:tcPr>
          <w:p w14:paraId="275A6D82">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正面</w:t>
            </w:r>
          </w:p>
        </w:tc>
        <w:tc>
          <w:tcPr>
            <w:tcW w:w="4393" w:type="dxa"/>
            <w:tcBorders>
              <w:top w:val="single" w:color="auto" w:sz="18" w:space="0"/>
              <w:left w:val="single" w:color="auto" w:sz="18" w:space="0"/>
              <w:bottom w:val="single" w:color="auto" w:sz="18" w:space="0"/>
              <w:right w:val="single" w:color="auto" w:sz="18" w:space="0"/>
            </w:tcBorders>
            <w:vAlign w:val="center"/>
          </w:tcPr>
          <w:p w14:paraId="3BB2A7FC">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背面</w:t>
            </w:r>
          </w:p>
        </w:tc>
      </w:tr>
    </w:tbl>
    <w:p w14:paraId="57E704BC">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36FC437F">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0AF7B75B">
      <w:pPr>
        <w:pStyle w:val="33"/>
        <w:spacing w:line="360" w:lineRule="auto"/>
        <w:ind w:firstLine="3360" w:firstLineChars="1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（电子签章） </w:t>
      </w:r>
    </w:p>
    <w:p w14:paraId="0D2383A3">
      <w:pPr>
        <w:spacing w:line="360" w:lineRule="auto"/>
        <w:ind w:firstLine="3360" w:firstLineChars="1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537F470D">
      <w:pPr>
        <w:pStyle w:val="3"/>
        <w:spacing w:line="360" w:lineRule="auto"/>
        <w:jc w:val="both"/>
        <w:rPr>
          <w:rFonts w:hint="eastAsia" w:ascii="仿宋" w:hAnsi="仿宋" w:eastAsia="仿宋" w:cs="仿宋"/>
          <w:b/>
          <w:bCs/>
          <w:color w:val="auto"/>
          <w:sz w:val="24"/>
          <w:szCs w:val="24"/>
          <w:highlight w:val="none"/>
        </w:rPr>
      </w:pPr>
      <w:bookmarkStart w:id="727" w:name="_Toc31473"/>
      <w:bookmarkStart w:id="728" w:name="_Toc262675638"/>
      <w:bookmarkStart w:id="729" w:name="_Toc272432343"/>
      <w:r>
        <w:rPr>
          <w:rFonts w:hint="eastAsia" w:ascii="仿宋" w:hAnsi="仿宋" w:eastAsia="仿宋" w:cs="仿宋"/>
          <w:color w:val="auto"/>
          <w:sz w:val="24"/>
          <w:szCs w:val="24"/>
          <w:highlight w:val="none"/>
        </w:rPr>
        <w:br w:type="page"/>
      </w:r>
      <w:bookmarkStart w:id="730" w:name="_Toc17040937"/>
      <w:bookmarkStart w:id="731" w:name="_Toc17040816"/>
      <w:bookmarkStart w:id="732" w:name="_Toc31557"/>
      <w:r>
        <w:rPr>
          <w:rFonts w:hint="eastAsia" w:ascii="仿宋" w:hAnsi="仿宋" w:eastAsia="仿宋" w:cs="仿宋"/>
          <w:color w:val="auto"/>
          <w:spacing w:val="-2"/>
          <w:kern w:val="2"/>
          <w:sz w:val="24"/>
          <w:szCs w:val="24"/>
          <w:highlight w:val="none"/>
          <w:lang w:val="en-US" w:eastAsia="zh-CN" w:bidi="ar-SA"/>
        </w:rPr>
        <w:t>3.授权委托书</w:t>
      </w:r>
      <w:bookmarkEnd w:id="727"/>
      <w:bookmarkEnd w:id="728"/>
      <w:bookmarkEnd w:id="729"/>
      <w:bookmarkEnd w:id="730"/>
      <w:bookmarkEnd w:id="731"/>
      <w:bookmarkEnd w:id="732"/>
    </w:p>
    <w:p w14:paraId="6BE695EF">
      <w:pPr>
        <w:pStyle w:val="3"/>
        <w:spacing w:line="360" w:lineRule="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授权委托书</w:t>
      </w:r>
    </w:p>
    <w:p w14:paraId="58057142">
      <w:pPr>
        <w:autoSpaceDE w:val="0"/>
        <w:autoSpaceDN w:val="0"/>
        <w:adjustRightInd w:val="0"/>
        <w:spacing w:line="360" w:lineRule="auto"/>
        <w:jc w:val="center"/>
        <w:rPr>
          <w:rFonts w:hint="eastAsia" w:ascii="仿宋" w:hAnsi="仿宋" w:eastAsia="仿宋" w:cs="仿宋"/>
          <w:color w:val="auto"/>
          <w:kern w:val="0"/>
          <w:sz w:val="24"/>
          <w:szCs w:val="24"/>
          <w:highlight w:val="none"/>
        </w:rPr>
      </w:pPr>
    </w:p>
    <w:p w14:paraId="443BF97A">
      <w:pPr>
        <w:autoSpaceDE w:val="0"/>
        <w:autoSpaceDN w:val="0"/>
        <w:adjustRightInd w:val="0"/>
        <w:spacing w:line="360" w:lineRule="auto"/>
        <w:ind w:firstLine="720" w:firstLineChars="3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本人 </w:t>
      </w:r>
      <w:r>
        <w:rPr>
          <w:rFonts w:hint="eastAsia" w:ascii="仿宋" w:hAnsi="仿宋" w:eastAsia="仿宋" w:cs="仿宋"/>
          <w:color w:val="auto"/>
          <w:kern w:val="0"/>
          <w:sz w:val="24"/>
          <w:szCs w:val="24"/>
          <w:highlight w:val="none"/>
          <w:u w:val="single"/>
        </w:rPr>
        <w:t xml:space="preserve">        （姓名）</w:t>
      </w:r>
      <w:r>
        <w:rPr>
          <w:rFonts w:hint="eastAsia" w:ascii="仿宋" w:hAnsi="仿宋" w:eastAsia="仿宋" w:cs="仿宋"/>
          <w:color w:val="auto"/>
          <w:kern w:val="0"/>
          <w:sz w:val="24"/>
          <w:szCs w:val="24"/>
          <w:highlight w:val="none"/>
        </w:rPr>
        <w:t>系</w:t>
      </w:r>
      <w:r>
        <w:rPr>
          <w:rFonts w:hint="eastAsia" w:ascii="仿宋" w:hAnsi="仿宋" w:eastAsia="仿宋" w:cs="仿宋"/>
          <w:color w:val="auto"/>
          <w:kern w:val="0"/>
          <w:sz w:val="24"/>
          <w:szCs w:val="24"/>
          <w:highlight w:val="none"/>
          <w:u w:val="single"/>
        </w:rPr>
        <w:t xml:space="preserve">                   （投标人名称）</w:t>
      </w:r>
      <w:r>
        <w:rPr>
          <w:rFonts w:hint="eastAsia" w:ascii="仿宋" w:hAnsi="仿宋" w:eastAsia="仿宋" w:cs="仿宋"/>
          <w:color w:val="auto"/>
          <w:kern w:val="0"/>
          <w:sz w:val="24"/>
          <w:szCs w:val="24"/>
          <w:highlight w:val="none"/>
        </w:rPr>
        <w:t>的法定代表人，现委托</w:t>
      </w:r>
      <w:r>
        <w:rPr>
          <w:rFonts w:hint="eastAsia" w:ascii="仿宋" w:hAnsi="仿宋" w:eastAsia="仿宋" w:cs="仿宋"/>
          <w:color w:val="auto"/>
          <w:kern w:val="0"/>
          <w:sz w:val="24"/>
          <w:szCs w:val="24"/>
          <w:highlight w:val="none"/>
          <w:u w:val="single"/>
        </w:rPr>
        <w:t xml:space="preserve">             （姓名）</w:t>
      </w:r>
      <w:r>
        <w:rPr>
          <w:rFonts w:hint="eastAsia" w:ascii="仿宋" w:hAnsi="仿宋" w:eastAsia="仿宋" w:cs="仿宋"/>
          <w:color w:val="auto"/>
          <w:kern w:val="0"/>
          <w:sz w:val="24"/>
          <w:szCs w:val="24"/>
          <w:highlight w:val="none"/>
        </w:rPr>
        <w:t>为我方代理人。代理人根据授权，以我方名义签署、澄清、说明、补正、递交、撤回、修改</w:t>
      </w:r>
      <w:r>
        <w:rPr>
          <w:rFonts w:hint="eastAsia" w:ascii="仿宋" w:hAnsi="仿宋" w:eastAsia="仿宋" w:cs="仿宋"/>
          <w:color w:val="auto"/>
          <w:kern w:val="0"/>
          <w:sz w:val="24"/>
          <w:szCs w:val="24"/>
          <w:highlight w:val="none"/>
          <w:u w:val="single"/>
        </w:rPr>
        <w:t xml:space="preserve">                          （项目名称） </w:t>
      </w:r>
      <w:r>
        <w:rPr>
          <w:rFonts w:hint="eastAsia" w:ascii="仿宋" w:hAnsi="仿宋" w:eastAsia="仿宋" w:cs="仿宋"/>
          <w:color w:val="auto"/>
          <w:kern w:val="0"/>
          <w:sz w:val="24"/>
          <w:szCs w:val="24"/>
          <w:highlight w:val="none"/>
        </w:rPr>
        <w:t>投标文件、签订合同和处理有关事宜，其法律后果由我方承担。</w:t>
      </w:r>
    </w:p>
    <w:p w14:paraId="5FB13A5A">
      <w:pPr>
        <w:autoSpaceDE w:val="0"/>
        <w:autoSpaceDN w:val="0"/>
        <w:adjustRightIn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委托期限：</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558E5D82">
      <w:pPr>
        <w:autoSpaceDE w:val="0"/>
        <w:autoSpaceDN w:val="0"/>
        <w:adjustRightIn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代理人无转委托权。</w:t>
      </w:r>
    </w:p>
    <w:p w14:paraId="39920713">
      <w:pPr>
        <w:pStyle w:val="11"/>
        <w:spacing w:line="360" w:lineRule="auto"/>
        <w:rPr>
          <w:rFonts w:hint="eastAsia" w:ascii="仿宋" w:hAnsi="仿宋" w:eastAsia="仿宋" w:cs="仿宋"/>
          <w:color w:val="auto"/>
          <w:sz w:val="24"/>
          <w:szCs w:val="24"/>
          <w:highlight w:val="none"/>
        </w:rPr>
      </w:pPr>
    </w:p>
    <w:p w14:paraId="4F32DE22">
      <w:pPr>
        <w:spacing w:line="360" w:lineRule="auto"/>
        <w:ind w:firstLine="480" w:firstLineChars="200"/>
        <w:rPr>
          <w:rFonts w:hint="eastAsia" w:ascii="仿宋" w:hAnsi="仿宋" w:eastAsia="仿宋" w:cs="仿宋"/>
          <w:color w:val="auto"/>
          <w:sz w:val="24"/>
          <w:szCs w:val="24"/>
          <w:highlight w:val="none"/>
        </w:rPr>
      </w:pPr>
      <w:bookmarkStart w:id="733" w:name="_Toc25021"/>
      <w:bookmarkStart w:id="734" w:name="_Toc200817317"/>
      <w:bookmarkStart w:id="735" w:name="_Toc199322169"/>
      <w:bookmarkStart w:id="736" w:name="_Toc272432344"/>
      <w:bookmarkStart w:id="737" w:name="_Toc262675639"/>
      <w:bookmarkStart w:id="738" w:name="_Toc200169535"/>
      <w:r>
        <w:rPr>
          <w:rFonts w:hint="eastAsia" w:ascii="仿宋" w:hAnsi="仿宋" w:eastAsia="仿宋" w:cs="仿宋"/>
          <w:color w:val="auto"/>
          <w:sz w:val="24"/>
          <w:szCs w:val="24"/>
          <w:highlight w:val="none"/>
        </w:rPr>
        <w:t>附：委托代理人身份证原件扫描</w:t>
      </w:r>
    </w:p>
    <w:tbl>
      <w:tblPr>
        <w:tblStyle w:val="35"/>
        <w:tblW w:w="8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5"/>
        <w:gridCol w:w="4292"/>
      </w:tblGrid>
      <w:tr w14:paraId="78697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7" w:hRule="atLeast"/>
          <w:jc w:val="center"/>
        </w:trPr>
        <w:tc>
          <w:tcPr>
            <w:tcW w:w="4395" w:type="dxa"/>
            <w:tcBorders>
              <w:top w:val="single" w:color="auto" w:sz="18" w:space="0"/>
              <w:left w:val="single" w:color="auto" w:sz="18" w:space="0"/>
              <w:bottom w:val="single" w:color="auto" w:sz="18" w:space="0"/>
              <w:right w:val="single" w:color="auto" w:sz="18" w:space="0"/>
            </w:tcBorders>
            <w:vAlign w:val="center"/>
          </w:tcPr>
          <w:p w14:paraId="3BBC0F73">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正面</w:t>
            </w:r>
          </w:p>
        </w:tc>
        <w:tc>
          <w:tcPr>
            <w:tcW w:w="4292" w:type="dxa"/>
            <w:tcBorders>
              <w:top w:val="single" w:color="auto" w:sz="18" w:space="0"/>
              <w:left w:val="single" w:color="auto" w:sz="18" w:space="0"/>
              <w:bottom w:val="single" w:color="auto" w:sz="18" w:space="0"/>
              <w:right w:val="single" w:color="auto" w:sz="18" w:space="0"/>
            </w:tcBorders>
            <w:vAlign w:val="center"/>
          </w:tcPr>
          <w:p w14:paraId="78B0C1A9">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背面</w:t>
            </w:r>
          </w:p>
        </w:tc>
      </w:tr>
    </w:tbl>
    <w:p w14:paraId="52085C75">
      <w:pPr>
        <w:pStyle w:val="33"/>
        <w:spacing w:line="360" w:lineRule="auto"/>
        <w:ind w:firstLine="2160" w:firstLineChars="900"/>
        <w:jc w:val="both"/>
        <w:rPr>
          <w:rFonts w:hint="eastAsia" w:ascii="仿宋" w:hAnsi="仿宋" w:eastAsia="仿宋" w:cs="仿宋"/>
          <w:color w:val="auto"/>
          <w:sz w:val="24"/>
          <w:szCs w:val="24"/>
          <w:highlight w:val="none"/>
        </w:rPr>
      </w:pPr>
    </w:p>
    <w:p w14:paraId="108DD106">
      <w:pPr>
        <w:pStyle w:val="33"/>
        <w:spacing w:line="360" w:lineRule="auto"/>
        <w:ind w:firstLine="2160" w:firstLineChars="9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  标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62D52415">
      <w:pPr>
        <w:pStyle w:val="33"/>
        <w:spacing w:line="360" w:lineRule="auto"/>
        <w:ind w:firstLine="2160" w:firstLineChars="9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5528EC5E">
      <w:pPr>
        <w:pStyle w:val="33"/>
        <w:spacing w:line="360" w:lineRule="auto"/>
        <w:ind w:firstLine="2160" w:firstLineChars="900"/>
        <w:jc w:val="both"/>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身份证号码：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67735C81">
      <w:pPr>
        <w:pStyle w:val="33"/>
        <w:spacing w:line="360" w:lineRule="auto"/>
        <w:ind w:firstLine="2160" w:firstLineChars="9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p>
    <w:p w14:paraId="2FF0EC1D">
      <w:pPr>
        <w:pStyle w:val="33"/>
        <w:spacing w:line="360" w:lineRule="auto"/>
        <w:ind w:firstLine="2160" w:firstLineChars="9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5D3FD9D3">
      <w:pPr>
        <w:pStyle w:val="33"/>
        <w:spacing w:line="360" w:lineRule="auto"/>
        <w:ind w:firstLine="2160" w:firstLineChars="9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bookmarkEnd w:id="733"/>
      <w:bookmarkEnd w:id="734"/>
      <w:bookmarkEnd w:id="735"/>
      <w:bookmarkEnd w:id="736"/>
      <w:bookmarkEnd w:id="737"/>
      <w:bookmarkEnd w:id="738"/>
    </w:p>
    <w:p w14:paraId="5E8CBDE0">
      <w:pPr>
        <w:widowControl/>
        <w:spacing w:before="100" w:beforeAutospacing="1" w:after="100" w:afterAutospacing="1" w:line="315" w:lineRule="atLeast"/>
        <w:ind w:firstLine="480"/>
        <w:jc w:val="lef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注：如法人代表出席，授权书改为法定代表人身份证明书。</w:t>
      </w:r>
    </w:p>
    <w:p w14:paraId="7161E18B">
      <w:pPr>
        <w:spacing w:line="360" w:lineRule="auto"/>
        <w:ind w:left="34"/>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val="en-US" w:eastAsia="zh-CN"/>
        </w:rPr>
        <w:t>4.</w:t>
      </w:r>
      <w:r>
        <w:rPr>
          <w:rFonts w:hint="eastAsia" w:ascii="仿宋" w:hAnsi="仿宋" w:eastAsia="仿宋" w:cs="仿宋"/>
          <w:color w:val="auto"/>
          <w:spacing w:val="-2"/>
          <w:sz w:val="24"/>
          <w:szCs w:val="24"/>
          <w:highlight w:val="none"/>
        </w:rPr>
        <w:t>投标人基本情况表</w:t>
      </w:r>
    </w:p>
    <w:p w14:paraId="0A1265C4">
      <w:pPr>
        <w:pStyle w:val="3"/>
        <w:spacing w:line="360" w:lineRule="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投标人基本情况表</w:t>
      </w:r>
    </w:p>
    <w:p w14:paraId="4BFB73D0">
      <w:pPr>
        <w:spacing w:line="360" w:lineRule="auto"/>
        <w:jc w:val="center"/>
        <w:rPr>
          <w:rFonts w:hint="eastAsia" w:ascii="仿宋" w:hAnsi="仿宋" w:eastAsia="仿宋" w:cs="仿宋"/>
          <w:color w:val="auto"/>
          <w:sz w:val="24"/>
          <w:szCs w:val="24"/>
          <w:highlight w:val="none"/>
        </w:rPr>
      </w:pPr>
    </w:p>
    <w:tbl>
      <w:tblPr>
        <w:tblStyle w:val="35"/>
        <w:tblW w:w="92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7"/>
        <w:gridCol w:w="2913"/>
        <w:gridCol w:w="1748"/>
        <w:gridCol w:w="2336"/>
      </w:tblGrid>
      <w:tr w14:paraId="7AEBF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7631D182">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w:t>
            </w:r>
          </w:p>
        </w:tc>
        <w:tc>
          <w:tcPr>
            <w:tcW w:w="6997" w:type="dxa"/>
            <w:gridSpan w:val="3"/>
            <w:tcBorders>
              <w:top w:val="single" w:color="auto" w:sz="4" w:space="0"/>
              <w:left w:val="single" w:color="auto" w:sz="4" w:space="0"/>
              <w:bottom w:val="single" w:color="auto" w:sz="4" w:space="0"/>
              <w:right w:val="single" w:color="auto" w:sz="4" w:space="0"/>
            </w:tcBorders>
            <w:vAlign w:val="center"/>
          </w:tcPr>
          <w:p w14:paraId="34CDB22B">
            <w:pPr>
              <w:spacing w:line="360" w:lineRule="auto"/>
              <w:jc w:val="center"/>
              <w:rPr>
                <w:rFonts w:hint="eastAsia" w:ascii="仿宋" w:hAnsi="仿宋" w:eastAsia="仿宋" w:cs="仿宋"/>
                <w:color w:val="auto"/>
                <w:sz w:val="24"/>
                <w:szCs w:val="24"/>
                <w:highlight w:val="none"/>
              </w:rPr>
            </w:pPr>
          </w:p>
        </w:tc>
      </w:tr>
      <w:tr w14:paraId="6643F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08215A1A">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主要业务范围</w:t>
            </w:r>
          </w:p>
        </w:tc>
        <w:tc>
          <w:tcPr>
            <w:tcW w:w="6997" w:type="dxa"/>
            <w:gridSpan w:val="3"/>
            <w:tcBorders>
              <w:top w:val="single" w:color="auto" w:sz="4" w:space="0"/>
              <w:left w:val="single" w:color="auto" w:sz="4" w:space="0"/>
              <w:bottom w:val="single" w:color="auto" w:sz="4" w:space="0"/>
              <w:right w:val="single" w:color="auto" w:sz="4" w:space="0"/>
            </w:tcBorders>
            <w:vAlign w:val="center"/>
          </w:tcPr>
          <w:p w14:paraId="15CFAA8A">
            <w:pPr>
              <w:spacing w:line="360" w:lineRule="auto"/>
              <w:jc w:val="center"/>
              <w:rPr>
                <w:rFonts w:hint="eastAsia" w:ascii="仿宋" w:hAnsi="仿宋" w:eastAsia="仿宋" w:cs="仿宋"/>
                <w:color w:val="auto"/>
                <w:sz w:val="24"/>
                <w:szCs w:val="24"/>
                <w:highlight w:val="none"/>
              </w:rPr>
            </w:pPr>
          </w:p>
        </w:tc>
      </w:tr>
      <w:tr w14:paraId="3EB5A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1BEAE41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法定代表人姓名</w:t>
            </w:r>
          </w:p>
        </w:tc>
        <w:tc>
          <w:tcPr>
            <w:tcW w:w="2913" w:type="dxa"/>
            <w:tcBorders>
              <w:top w:val="single" w:color="auto" w:sz="4" w:space="0"/>
              <w:left w:val="single" w:color="auto" w:sz="4" w:space="0"/>
              <w:bottom w:val="single" w:color="auto" w:sz="4" w:space="0"/>
              <w:right w:val="single" w:color="auto" w:sz="4" w:space="0"/>
            </w:tcBorders>
            <w:vAlign w:val="center"/>
          </w:tcPr>
          <w:p w14:paraId="53264278">
            <w:pPr>
              <w:spacing w:line="360" w:lineRule="auto"/>
              <w:jc w:val="center"/>
              <w:rPr>
                <w:rFonts w:hint="eastAsia" w:ascii="仿宋" w:hAnsi="仿宋" w:eastAsia="仿宋" w:cs="仿宋"/>
                <w:color w:val="auto"/>
                <w:sz w:val="24"/>
                <w:szCs w:val="24"/>
                <w:highlight w:val="none"/>
              </w:rPr>
            </w:pPr>
          </w:p>
        </w:tc>
        <w:tc>
          <w:tcPr>
            <w:tcW w:w="1748" w:type="dxa"/>
            <w:tcBorders>
              <w:top w:val="single" w:color="auto" w:sz="4" w:space="0"/>
              <w:left w:val="single" w:color="auto" w:sz="4" w:space="0"/>
              <w:bottom w:val="single" w:color="auto" w:sz="4" w:space="0"/>
              <w:right w:val="single" w:color="auto" w:sz="4" w:space="0"/>
            </w:tcBorders>
            <w:vAlign w:val="center"/>
          </w:tcPr>
          <w:p w14:paraId="5134BFAD">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p>
        </w:tc>
        <w:tc>
          <w:tcPr>
            <w:tcW w:w="2336" w:type="dxa"/>
            <w:tcBorders>
              <w:top w:val="single" w:color="auto" w:sz="4" w:space="0"/>
              <w:left w:val="single" w:color="auto" w:sz="4" w:space="0"/>
              <w:bottom w:val="single" w:color="auto" w:sz="4" w:space="0"/>
              <w:right w:val="single" w:color="auto" w:sz="4" w:space="0"/>
            </w:tcBorders>
            <w:vAlign w:val="center"/>
          </w:tcPr>
          <w:p w14:paraId="71BEF3A5">
            <w:pPr>
              <w:spacing w:line="360" w:lineRule="auto"/>
              <w:jc w:val="center"/>
              <w:rPr>
                <w:rFonts w:hint="eastAsia" w:ascii="仿宋" w:hAnsi="仿宋" w:eastAsia="仿宋" w:cs="仿宋"/>
                <w:color w:val="auto"/>
                <w:sz w:val="24"/>
                <w:szCs w:val="24"/>
                <w:highlight w:val="none"/>
              </w:rPr>
            </w:pPr>
          </w:p>
        </w:tc>
      </w:tr>
      <w:tr w14:paraId="269FC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09417A04">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投标人地址</w:t>
            </w:r>
          </w:p>
        </w:tc>
        <w:tc>
          <w:tcPr>
            <w:tcW w:w="2913" w:type="dxa"/>
            <w:tcBorders>
              <w:top w:val="single" w:color="auto" w:sz="4" w:space="0"/>
              <w:left w:val="single" w:color="auto" w:sz="4" w:space="0"/>
              <w:bottom w:val="single" w:color="auto" w:sz="4" w:space="0"/>
              <w:right w:val="single" w:color="auto" w:sz="4" w:space="0"/>
            </w:tcBorders>
            <w:vAlign w:val="center"/>
          </w:tcPr>
          <w:p w14:paraId="6CB39464">
            <w:pPr>
              <w:spacing w:line="360" w:lineRule="auto"/>
              <w:jc w:val="center"/>
              <w:rPr>
                <w:rFonts w:hint="eastAsia" w:ascii="仿宋" w:hAnsi="仿宋" w:eastAsia="仿宋" w:cs="仿宋"/>
                <w:color w:val="auto"/>
                <w:sz w:val="24"/>
                <w:szCs w:val="24"/>
                <w:highlight w:val="none"/>
              </w:rPr>
            </w:pPr>
          </w:p>
        </w:tc>
        <w:tc>
          <w:tcPr>
            <w:tcW w:w="1748" w:type="dxa"/>
            <w:tcBorders>
              <w:top w:val="single" w:color="auto" w:sz="4" w:space="0"/>
              <w:left w:val="single" w:color="auto" w:sz="4" w:space="0"/>
              <w:bottom w:val="single" w:color="auto" w:sz="4" w:space="0"/>
              <w:right w:val="single" w:color="auto" w:sz="4" w:space="0"/>
            </w:tcBorders>
            <w:vAlign w:val="center"/>
          </w:tcPr>
          <w:p w14:paraId="7D0FC65B">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tc>
        <w:tc>
          <w:tcPr>
            <w:tcW w:w="2336" w:type="dxa"/>
            <w:tcBorders>
              <w:top w:val="single" w:color="auto" w:sz="4" w:space="0"/>
              <w:left w:val="single" w:color="auto" w:sz="4" w:space="0"/>
              <w:bottom w:val="single" w:color="auto" w:sz="4" w:space="0"/>
              <w:right w:val="single" w:color="auto" w:sz="4" w:space="0"/>
            </w:tcBorders>
            <w:vAlign w:val="center"/>
          </w:tcPr>
          <w:p w14:paraId="1E69D97A">
            <w:pPr>
              <w:spacing w:line="360" w:lineRule="auto"/>
              <w:jc w:val="center"/>
              <w:rPr>
                <w:rFonts w:hint="eastAsia" w:ascii="仿宋" w:hAnsi="仿宋" w:eastAsia="仿宋" w:cs="仿宋"/>
                <w:color w:val="auto"/>
                <w:sz w:val="24"/>
                <w:szCs w:val="24"/>
                <w:highlight w:val="none"/>
              </w:rPr>
            </w:pPr>
          </w:p>
        </w:tc>
      </w:tr>
      <w:tr w14:paraId="6B8A9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26C9BBA5">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p>
        </w:tc>
        <w:tc>
          <w:tcPr>
            <w:tcW w:w="2913" w:type="dxa"/>
            <w:tcBorders>
              <w:top w:val="single" w:color="auto" w:sz="4" w:space="0"/>
              <w:left w:val="single" w:color="auto" w:sz="4" w:space="0"/>
              <w:bottom w:val="single" w:color="auto" w:sz="4" w:space="0"/>
              <w:right w:val="single" w:color="auto" w:sz="4" w:space="0"/>
            </w:tcBorders>
            <w:vAlign w:val="center"/>
          </w:tcPr>
          <w:p w14:paraId="62544A2A">
            <w:pPr>
              <w:spacing w:line="360" w:lineRule="auto"/>
              <w:jc w:val="center"/>
              <w:rPr>
                <w:rFonts w:hint="eastAsia" w:ascii="仿宋" w:hAnsi="仿宋" w:eastAsia="仿宋" w:cs="仿宋"/>
                <w:color w:val="auto"/>
                <w:sz w:val="24"/>
                <w:szCs w:val="24"/>
                <w:highlight w:val="none"/>
              </w:rPr>
            </w:pPr>
          </w:p>
        </w:tc>
        <w:tc>
          <w:tcPr>
            <w:tcW w:w="1748" w:type="dxa"/>
            <w:tcBorders>
              <w:top w:val="single" w:color="auto" w:sz="4" w:space="0"/>
              <w:left w:val="single" w:color="auto" w:sz="4" w:space="0"/>
              <w:bottom w:val="single" w:color="auto" w:sz="4" w:space="0"/>
              <w:right w:val="single" w:color="auto" w:sz="4" w:space="0"/>
            </w:tcBorders>
            <w:vAlign w:val="center"/>
          </w:tcPr>
          <w:p w14:paraId="1FFF2E5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p>
        </w:tc>
        <w:tc>
          <w:tcPr>
            <w:tcW w:w="2336" w:type="dxa"/>
            <w:tcBorders>
              <w:top w:val="single" w:color="auto" w:sz="4" w:space="0"/>
              <w:left w:val="single" w:color="auto" w:sz="4" w:space="0"/>
              <w:bottom w:val="single" w:color="auto" w:sz="4" w:space="0"/>
              <w:right w:val="single" w:color="auto" w:sz="4" w:space="0"/>
            </w:tcBorders>
            <w:vAlign w:val="center"/>
          </w:tcPr>
          <w:p w14:paraId="531A62C2">
            <w:pPr>
              <w:spacing w:line="360" w:lineRule="auto"/>
              <w:jc w:val="center"/>
              <w:rPr>
                <w:rFonts w:hint="eastAsia" w:ascii="仿宋" w:hAnsi="仿宋" w:eastAsia="仿宋" w:cs="仿宋"/>
                <w:color w:val="auto"/>
                <w:sz w:val="24"/>
                <w:szCs w:val="24"/>
                <w:highlight w:val="none"/>
              </w:rPr>
            </w:pPr>
          </w:p>
        </w:tc>
      </w:tr>
      <w:tr w14:paraId="440FE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4A06390E">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成立日期</w:t>
            </w:r>
          </w:p>
        </w:tc>
        <w:tc>
          <w:tcPr>
            <w:tcW w:w="2913" w:type="dxa"/>
            <w:tcBorders>
              <w:top w:val="single" w:color="auto" w:sz="4" w:space="0"/>
              <w:left w:val="single" w:color="auto" w:sz="4" w:space="0"/>
              <w:bottom w:val="single" w:color="auto" w:sz="4" w:space="0"/>
              <w:right w:val="single" w:color="auto" w:sz="4" w:space="0"/>
            </w:tcBorders>
            <w:vAlign w:val="center"/>
          </w:tcPr>
          <w:p w14:paraId="14E06658">
            <w:pPr>
              <w:spacing w:line="360" w:lineRule="auto"/>
              <w:jc w:val="center"/>
              <w:rPr>
                <w:rFonts w:hint="eastAsia" w:ascii="仿宋" w:hAnsi="仿宋" w:eastAsia="仿宋" w:cs="仿宋"/>
                <w:color w:val="auto"/>
                <w:sz w:val="24"/>
                <w:szCs w:val="24"/>
                <w:highlight w:val="none"/>
              </w:rPr>
            </w:pPr>
          </w:p>
        </w:tc>
        <w:tc>
          <w:tcPr>
            <w:tcW w:w="1748" w:type="dxa"/>
            <w:tcBorders>
              <w:top w:val="single" w:color="auto" w:sz="4" w:space="0"/>
              <w:left w:val="single" w:color="auto" w:sz="4" w:space="0"/>
              <w:bottom w:val="single" w:color="auto" w:sz="4" w:space="0"/>
              <w:right w:val="single" w:color="auto" w:sz="4" w:space="0"/>
            </w:tcBorders>
            <w:vAlign w:val="center"/>
          </w:tcPr>
          <w:p w14:paraId="148C8E6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现有职工人数</w:t>
            </w:r>
          </w:p>
        </w:tc>
        <w:tc>
          <w:tcPr>
            <w:tcW w:w="2336" w:type="dxa"/>
            <w:tcBorders>
              <w:top w:val="single" w:color="auto" w:sz="4" w:space="0"/>
              <w:left w:val="single" w:color="auto" w:sz="4" w:space="0"/>
              <w:bottom w:val="single" w:color="auto" w:sz="4" w:space="0"/>
              <w:right w:val="single" w:color="auto" w:sz="4" w:space="0"/>
            </w:tcBorders>
            <w:vAlign w:val="center"/>
          </w:tcPr>
          <w:p w14:paraId="4B00C651">
            <w:pPr>
              <w:spacing w:line="360" w:lineRule="auto"/>
              <w:jc w:val="center"/>
              <w:rPr>
                <w:rFonts w:hint="eastAsia" w:ascii="仿宋" w:hAnsi="仿宋" w:eastAsia="仿宋" w:cs="仿宋"/>
                <w:color w:val="auto"/>
                <w:sz w:val="24"/>
                <w:szCs w:val="24"/>
                <w:highlight w:val="none"/>
              </w:rPr>
            </w:pPr>
          </w:p>
        </w:tc>
      </w:tr>
      <w:tr w14:paraId="701A4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2E493ACA">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质量管理体系证书</w:t>
            </w:r>
          </w:p>
        </w:tc>
        <w:tc>
          <w:tcPr>
            <w:tcW w:w="6997" w:type="dxa"/>
            <w:gridSpan w:val="3"/>
            <w:tcBorders>
              <w:top w:val="single" w:color="auto" w:sz="4" w:space="0"/>
              <w:left w:val="single" w:color="auto" w:sz="4" w:space="0"/>
              <w:bottom w:val="single" w:color="auto" w:sz="4" w:space="0"/>
              <w:right w:val="single" w:color="auto" w:sz="4" w:space="0"/>
            </w:tcBorders>
            <w:vAlign w:val="center"/>
          </w:tcPr>
          <w:p w14:paraId="7671B4B2">
            <w:pPr>
              <w:spacing w:line="360" w:lineRule="auto"/>
              <w:rPr>
                <w:rFonts w:hint="eastAsia" w:ascii="仿宋" w:hAnsi="仿宋" w:eastAsia="仿宋" w:cs="仿宋"/>
                <w:color w:val="auto"/>
                <w:sz w:val="24"/>
                <w:szCs w:val="24"/>
                <w:highlight w:val="none"/>
              </w:rPr>
            </w:pPr>
          </w:p>
        </w:tc>
      </w:tr>
      <w:tr w14:paraId="453FE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254" w:type="dxa"/>
            <w:gridSpan w:val="4"/>
            <w:tcBorders>
              <w:top w:val="single" w:color="auto" w:sz="4" w:space="0"/>
              <w:left w:val="single" w:color="auto" w:sz="4" w:space="0"/>
              <w:bottom w:val="single" w:color="auto" w:sz="4" w:space="0"/>
              <w:right w:val="single" w:color="auto" w:sz="4" w:space="0"/>
            </w:tcBorders>
            <w:vAlign w:val="center"/>
          </w:tcPr>
          <w:p w14:paraId="2C28E2E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单位组织机构简介：</w:t>
            </w:r>
          </w:p>
          <w:p w14:paraId="7612DA35">
            <w:pPr>
              <w:spacing w:line="360" w:lineRule="auto"/>
              <w:jc w:val="center"/>
              <w:rPr>
                <w:rFonts w:hint="eastAsia" w:ascii="仿宋" w:hAnsi="仿宋" w:eastAsia="仿宋" w:cs="仿宋"/>
                <w:color w:val="auto"/>
                <w:sz w:val="24"/>
                <w:szCs w:val="24"/>
                <w:highlight w:val="none"/>
              </w:rPr>
            </w:pPr>
          </w:p>
          <w:p w14:paraId="220AA335">
            <w:pPr>
              <w:spacing w:line="360" w:lineRule="auto"/>
              <w:jc w:val="center"/>
              <w:rPr>
                <w:rFonts w:hint="eastAsia" w:ascii="仿宋" w:hAnsi="仿宋" w:eastAsia="仿宋" w:cs="仿宋"/>
                <w:color w:val="auto"/>
                <w:sz w:val="24"/>
                <w:szCs w:val="24"/>
                <w:highlight w:val="none"/>
              </w:rPr>
            </w:pPr>
          </w:p>
          <w:p w14:paraId="36D0B353">
            <w:pPr>
              <w:spacing w:line="360" w:lineRule="auto"/>
              <w:jc w:val="center"/>
              <w:rPr>
                <w:rFonts w:hint="eastAsia" w:ascii="仿宋" w:hAnsi="仿宋" w:eastAsia="仿宋" w:cs="仿宋"/>
                <w:color w:val="auto"/>
                <w:sz w:val="24"/>
                <w:szCs w:val="24"/>
                <w:highlight w:val="none"/>
              </w:rPr>
            </w:pPr>
          </w:p>
          <w:p w14:paraId="7BEB8AB3">
            <w:pPr>
              <w:spacing w:line="360" w:lineRule="auto"/>
              <w:jc w:val="center"/>
              <w:rPr>
                <w:rFonts w:hint="eastAsia" w:ascii="仿宋" w:hAnsi="仿宋" w:eastAsia="仿宋" w:cs="仿宋"/>
                <w:color w:val="auto"/>
                <w:sz w:val="24"/>
                <w:szCs w:val="24"/>
                <w:highlight w:val="none"/>
              </w:rPr>
            </w:pPr>
          </w:p>
          <w:p w14:paraId="4B48D1C6">
            <w:pPr>
              <w:spacing w:line="360" w:lineRule="auto"/>
              <w:jc w:val="center"/>
              <w:rPr>
                <w:rFonts w:hint="eastAsia" w:ascii="仿宋" w:hAnsi="仿宋" w:eastAsia="仿宋" w:cs="仿宋"/>
                <w:color w:val="auto"/>
                <w:sz w:val="24"/>
                <w:szCs w:val="24"/>
                <w:highlight w:val="none"/>
              </w:rPr>
            </w:pPr>
          </w:p>
        </w:tc>
      </w:tr>
    </w:tbl>
    <w:p w14:paraId="02BD141D">
      <w:pPr>
        <w:tabs>
          <w:tab w:val="left" w:pos="3780"/>
        </w:tabs>
        <w:spacing w:line="360" w:lineRule="auto"/>
        <w:jc w:val="left"/>
        <w:rPr>
          <w:rFonts w:hint="eastAsia" w:ascii="仿宋" w:hAnsi="仿宋" w:eastAsia="仿宋" w:cs="仿宋"/>
          <w:color w:val="auto"/>
          <w:sz w:val="24"/>
          <w:szCs w:val="24"/>
          <w:highlight w:val="none"/>
        </w:rPr>
      </w:pPr>
    </w:p>
    <w:p w14:paraId="732DAB49">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 标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172002B5">
      <w:pPr>
        <w:tabs>
          <w:tab w:val="left" w:pos="3780"/>
        </w:tabs>
        <w:spacing w:line="360" w:lineRule="auto"/>
        <w:jc w:val="left"/>
        <w:rPr>
          <w:rFonts w:hint="eastAsia" w:ascii="仿宋" w:hAnsi="仿宋" w:eastAsia="仿宋" w:cs="仿宋"/>
          <w:color w:val="auto"/>
          <w:sz w:val="24"/>
          <w:szCs w:val="24"/>
          <w:highlight w:val="none"/>
        </w:rPr>
      </w:pPr>
    </w:p>
    <w:p w14:paraId="67DEC862">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3EABF6F8">
      <w:pPr>
        <w:tabs>
          <w:tab w:val="left" w:pos="3780"/>
        </w:tabs>
        <w:spacing w:line="360" w:lineRule="auto"/>
        <w:jc w:val="left"/>
        <w:rPr>
          <w:rFonts w:hint="eastAsia" w:ascii="仿宋" w:hAnsi="仿宋" w:eastAsia="仿宋" w:cs="仿宋"/>
          <w:color w:val="auto"/>
          <w:sz w:val="24"/>
          <w:szCs w:val="24"/>
          <w:highlight w:val="none"/>
        </w:rPr>
      </w:pPr>
    </w:p>
    <w:p w14:paraId="5CCF957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129DE665">
      <w:pPr>
        <w:rPr>
          <w:rFonts w:hint="eastAsia" w:ascii="仿宋" w:hAnsi="仿宋" w:eastAsia="仿宋" w:cs="仿宋"/>
          <w:color w:val="auto"/>
          <w:sz w:val="24"/>
          <w:szCs w:val="24"/>
          <w:highlight w:val="none"/>
        </w:rPr>
      </w:pPr>
    </w:p>
    <w:p w14:paraId="14CE1A33">
      <w:pPr>
        <w:rPr>
          <w:rFonts w:hint="eastAsia" w:ascii="仿宋" w:hAnsi="仿宋" w:eastAsia="仿宋" w:cs="仿宋"/>
          <w:color w:val="auto"/>
          <w:sz w:val="24"/>
          <w:szCs w:val="24"/>
          <w:highlight w:val="none"/>
        </w:rPr>
      </w:pPr>
    </w:p>
    <w:p w14:paraId="1C16AE95">
      <w:pPr>
        <w:pStyle w:val="11"/>
        <w:rPr>
          <w:rFonts w:hint="eastAsia"/>
          <w:color w:val="auto"/>
          <w:highlight w:val="none"/>
        </w:rPr>
      </w:pPr>
    </w:p>
    <w:p w14:paraId="01C3D48A">
      <w:pPr>
        <w:pStyle w:val="11"/>
        <w:kinsoku w:val="0"/>
        <w:overflowPunct w:val="0"/>
        <w:spacing w:line="360" w:lineRule="auto"/>
        <w:rPr>
          <w:rFonts w:hint="eastAsia" w:ascii="仿宋" w:hAnsi="仿宋" w:eastAsia="仿宋" w:cs="仿宋"/>
          <w:color w:val="auto"/>
          <w:sz w:val="24"/>
          <w:szCs w:val="24"/>
          <w:highlight w:val="none"/>
        </w:rPr>
      </w:pPr>
      <w:bookmarkStart w:id="739" w:name="_Toc17040938"/>
      <w:bookmarkStart w:id="740" w:name="_Toc17040817"/>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、投标保证金</w:t>
      </w:r>
      <w:bookmarkEnd w:id="739"/>
      <w:bookmarkEnd w:id="740"/>
    </w:p>
    <w:p w14:paraId="4C0228AD">
      <w:pPr>
        <w:autoSpaceDE w:val="0"/>
        <w:autoSpaceDN w:val="0"/>
        <w:adjustRightInd w:val="0"/>
        <w:spacing w:line="360" w:lineRule="auto"/>
        <w:jc w:val="left"/>
        <w:rPr>
          <w:rFonts w:hint="eastAsia" w:ascii="仿宋" w:hAnsi="仿宋" w:eastAsia="仿宋" w:cs="仿宋"/>
          <w:color w:val="auto"/>
          <w:kern w:val="0"/>
          <w:sz w:val="24"/>
          <w:szCs w:val="24"/>
          <w:highlight w:val="none"/>
          <w:u w:val="single"/>
        </w:rPr>
      </w:pPr>
    </w:p>
    <w:p w14:paraId="7C9DAF28">
      <w:pPr>
        <w:autoSpaceDE w:val="0"/>
        <w:autoSpaceDN w:val="0"/>
        <w:adjustRightIn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 xml:space="preserve">         （采购人名称）   </w:t>
      </w:r>
    </w:p>
    <w:p w14:paraId="65A54047">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069A876E">
      <w:pPr>
        <w:autoSpaceDE w:val="0"/>
        <w:autoSpaceDN w:val="0"/>
        <w:adjustRightInd w:val="0"/>
        <w:spacing w:line="360" w:lineRule="auto"/>
        <w:ind w:firstLine="600" w:firstLineChars="25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鉴于</w:t>
      </w:r>
      <w:r>
        <w:rPr>
          <w:rFonts w:hint="eastAsia" w:ascii="仿宋" w:hAnsi="仿宋" w:eastAsia="仿宋" w:cs="仿宋"/>
          <w:color w:val="auto"/>
          <w:kern w:val="0"/>
          <w:sz w:val="24"/>
          <w:szCs w:val="24"/>
          <w:highlight w:val="none"/>
          <w:u w:val="single"/>
        </w:rPr>
        <w:t xml:space="preserve">            （投标人名称）</w:t>
      </w:r>
      <w:r>
        <w:rPr>
          <w:rFonts w:hint="eastAsia" w:ascii="仿宋" w:hAnsi="仿宋" w:eastAsia="仿宋" w:cs="仿宋"/>
          <w:color w:val="auto"/>
          <w:kern w:val="0"/>
          <w:sz w:val="24"/>
          <w:szCs w:val="24"/>
          <w:highlight w:val="none"/>
        </w:rPr>
        <w:t>于</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月</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日参加</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（项目名称）的投标，</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（投标人，以下简称“我方”）无条件地、不可撤销地保证：</w:t>
      </w:r>
      <w:r>
        <w:rPr>
          <w:rFonts w:hint="eastAsia" w:ascii="仿宋" w:hAnsi="仿宋" w:eastAsia="仿宋" w:cs="仿宋"/>
          <w:color w:val="auto"/>
          <w:sz w:val="24"/>
          <w:szCs w:val="24"/>
          <w:highlight w:val="none"/>
        </w:rPr>
        <w:t>我方</w:t>
      </w:r>
      <w:r>
        <w:rPr>
          <w:rFonts w:hint="eastAsia" w:ascii="仿宋" w:hAnsi="仿宋" w:eastAsia="仿宋" w:cs="仿宋"/>
          <w:color w:val="auto"/>
          <w:kern w:val="0"/>
          <w:sz w:val="24"/>
          <w:szCs w:val="24"/>
          <w:highlight w:val="none"/>
        </w:rPr>
        <w:t>在规定的投标文件有效期内补充、修改、替代或撤回其投标文件的，或者我方在收到中标通知书后无正当理由拒签合同或拒交规定履约担保的，我方承担责任。</w:t>
      </w:r>
      <w:r>
        <w:rPr>
          <w:rFonts w:hint="eastAsia" w:ascii="仿宋" w:hAnsi="仿宋" w:eastAsia="仿宋" w:cs="仿宋"/>
          <w:color w:val="auto"/>
          <w:sz w:val="24"/>
          <w:szCs w:val="24"/>
          <w:highlight w:val="none"/>
        </w:rPr>
        <w:t>并保证在开标前</w:t>
      </w:r>
      <w:r>
        <w:rPr>
          <w:rFonts w:hint="eastAsia" w:ascii="仿宋" w:hAnsi="仿宋" w:eastAsia="仿宋" w:cs="仿宋"/>
          <w:color w:val="auto"/>
          <w:kern w:val="0"/>
          <w:sz w:val="24"/>
          <w:szCs w:val="24"/>
          <w:highlight w:val="none"/>
        </w:rPr>
        <w:t>无条件向你方支付人民币大写：</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元）作为投标担保。</w:t>
      </w:r>
    </w:p>
    <w:p w14:paraId="1BD0E8AD">
      <w:pPr>
        <w:autoSpaceDE w:val="0"/>
        <w:autoSpaceDN w:val="0"/>
        <w:adjustRightInd w:val="0"/>
        <w:spacing w:line="360" w:lineRule="auto"/>
        <w:ind w:firstLine="600" w:firstLineChars="25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本投标保证金在投标有效期内均保持有效。</w:t>
      </w:r>
    </w:p>
    <w:p w14:paraId="172E82E6">
      <w:pPr>
        <w:autoSpaceDE w:val="0"/>
        <w:autoSpaceDN w:val="0"/>
        <w:adjustRightInd w:val="0"/>
        <w:spacing w:line="360" w:lineRule="auto"/>
        <w:ind w:firstLine="600" w:firstLineChars="25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若我单位有违反招标文件规定下列事实之一的，本保证金归你方所有，不予退还：</w:t>
      </w:r>
    </w:p>
    <w:p w14:paraId="26B12DD8">
      <w:pPr>
        <w:autoSpaceDE w:val="0"/>
        <w:autoSpaceDN w:val="0"/>
        <w:adjustRightInd w:val="0"/>
        <w:spacing w:line="360" w:lineRule="auto"/>
        <w:ind w:firstLine="600" w:firstLineChars="25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（1）投标人在规定的投标有效期内撤销或修改其投标文件；</w:t>
      </w:r>
    </w:p>
    <w:p w14:paraId="66BDCD7D">
      <w:pPr>
        <w:autoSpaceDE w:val="0"/>
        <w:autoSpaceDN w:val="0"/>
        <w:adjustRightInd w:val="0"/>
        <w:spacing w:line="360" w:lineRule="auto"/>
        <w:ind w:firstLine="600" w:firstLineChars="25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（2）中标后，拒绝在招标文件规定的期限内签订合同；</w:t>
      </w:r>
    </w:p>
    <w:p w14:paraId="20E2A35B">
      <w:pPr>
        <w:autoSpaceDE w:val="0"/>
        <w:autoSpaceDN w:val="0"/>
        <w:adjustRightInd w:val="0"/>
        <w:spacing w:line="360" w:lineRule="auto"/>
        <w:ind w:firstLine="600" w:firstLineChars="25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（3）未能按招标文件的要求提交履约保证金；</w:t>
      </w:r>
    </w:p>
    <w:p w14:paraId="61543627">
      <w:pPr>
        <w:autoSpaceDE w:val="0"/>
        <w:autoSpaceDN w:val="0"/>
        <w:adjustRightInd w:val="0"/>
        <w:spacing w:line="360" w:lineRule="auto"/>
        <w:ind w:firstLine="600" w:firstLineChars="25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附：公司开户许可证和投标保证金汇款凭证的扫描件</w:t>
      </w:r>
    </w:p>
    <w:p w14:paraId="72CD5A4E">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79DA3575">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 标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7EE21FA8">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264DA23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11CB3E52">
      <w:pPr>
        <w:rPr>
          <w:color w:val="auto"/>
          <w:highlight w:val="none"/>
        </w:rPr>
      </w:pPr>
    </w:p>
    <w:p w14:paraId="1266A8BC">
      <w:pPr>
        <w:rPr>
          <w:rFonts w:hint="eastAsia" w:ascii="仿宋" w:hAnsi="仿宋" w:eastAsia="仿宋" w:cs="仿宋"/>
          <w:color w:val="auto"/>
          <w:sz w:val="24"/>
          <w:szCs w:val="24"/>
          <w:highlight w:val="none"/>
        </w:rPr>
      </w:pPr>
    </w:p>
    <w:p w14:paraId="77DB5D4E">
      <w:pPr>
        <w:pStyle w:val="11"/>
        <w:rPr>
          <w:rFonts w:hint="eastAsia" w:ascii="仿宋" w:hAnsi="仿宋" w:eastAsia="仿宋" w:cs="仿宋"/>
          <w:color w:val="auto"/>
          <w:sz w:val="24"/>
          <w:szCs w:val="24"/>
          <w:highlight w:val="none"/>
        </w:rPr>
      </w:pPr>
    </w:p>
    <w:p w14:paraId="27483FFB">
      <w:pPr>
        <w:pStyle w:val="11"/>
        <w:rPr>
          <w:rFonts w:hint="eastAsia" w:ascii="仿宋" w:hAnsi="仿宋" w:eastAsia="仿宋" w:cs="仿宋"/>
          <w:color w:val="auto"/>
          <w:sz w:val="24"/>
          <w:szCs w:val="24"/>
          <w:highlight w:val="none"/>
        </w:rPr>
      </w:pPr>
    </w:p>
    <w:p w14:paraId="0873E420">
      <w:pPr>
        <w:pStyle w:val="11"/>
        <w:rPr>
          <w:rFonts w:hint="eastAsia" w:ascii="仿宋" w:hAnsi="仿宋" w:eastAsia="仿宋" w:cs="仿宋"/>
          <w:color w:val="auto"/>
          <w:sz w:val="24"/>
          <w:szCs w:val="24"/>
          <w:highlight w:val="none"/>
        </w:rPr>
      </w:pPr>
    </w:p>
    <w:p w14:paraId="3701562B">
      <w:pPr>
        <w:pStyle w:val="11"/>
        <w:rPr>
          <w:rFonts w:hint="eastAsia" w:ascii="仿宋" w:hAnsi="仿宋" w:eastAsia="仿宋" w:cs="仿宋"/>
          <w:color w:val="auto"/>
          <w:sz w:val="24"/>
          <w:szCs w:val="24"/>
          <w:highlight w:val="none"/>
        </w:rPr>
      </w:pPr>
    </w:p>
    <w:p w14:paraId="4670E2A8">
      <w:pPr>
        <w:pStyle w:val="11"/>
        <w:rPr>
          <w:rFonts w:hint="eastAsia" w:ascii="仿宋" w:hAnsi="仿宋" w:eastAsia="仿宋" w:cs="仿宋"/>
          <w:color w:val="auto"/>
          <w:sz w:val="24"/>
          <w:szCs w:val="24"/>
          <w:highlight w:val="none"/>
        </w:rPr>
      </w:pPr>
    </w:p>
    <w:p w14:paraId="1573ACBB">
      <w:pPr>
        <w:pStyle w:val="11"/>
        <w:rPr>
          <w:rFonts w:hint="eastAsia" w:ascii="仿宋" w:hAnsi="仿宋" w:eastAsia="仿宋" w:cs="仿宋"/>
          <w:color w:val="auto"/>
          <w:sz w:val="24"/>
          <w:szCs w:val="24"/>
          <w:highlight w:val="none"/>
        </w:rPr>
      </w:pPr>
    </w:p>
    <w:p w14:paraId="655C2FAE">
      <w:pPr>
        <w:pStyle w:val="11"/>
        <w:rPr>
          <w:rFonts w:hint="eastAsia" w:ascii="仿宋" w:hAnsi="仿宋" w:eastAsia="仿宋" w:cs="仿宋"/>
          <w:color w:val="auto"/>
          <w:sz w:val="24"/>
          <w:szCs w:val="24"/>
          <w:highlight w:val="none"/>
        </w:rPr>
      </w:pPr>
    </w:p>
    <w:p w14:paraId="365F7DC1">
      <w:pPr>
        <w:pStyle w:val="11"/>
        <w:rPr>
          <w:rFonts w:hint="eastAsia" w:ascii="仿宋" w:hAnsi="仿宋" w:eastAsia="仿宋" w:cs="仿宋"/>
          <w:color w:val="auto"/>
          <w:sz w:val="24"/>
          <w:szCs w:val="24"/>
          <w:highlight w:val="none"/>
        </w:rPr>
      </w:pPr>
    </w:p>
    <w:p w14:paraId="6318D52E">
      <w:pPr>
        <w:pStyle w:val="11"/>
        <w:rPr>
          <w:rFonts w:hint="eastAsia" w:ascii="仿宋" w:hAnsi="仿宋" w:eastAsia="仿宋" w:cs="仿宋"/>
          <w:color w:val="auto"/>
          <w:sz w:val="24"/>
          <w:szCs w:val="24"/>
          <w:highlight w:val="none"/>
        </w:rPr>
      </w:pPr>
    </w:p>
    <w:p w14:paraId="42D15693">
      <w:pPr>
        <w:pStyle w:val="11"/>
        <w:rPr>
          <w:rFonts w:hint="eastAsia" w:ascii="仿宋" w:hAnsi="仿宋" w:eastAsia="仿宋" w:cs="仿宋"/>
          <w:color w:val="auto"/>
          <w:sz w:val="24"/>
          <w:szCs w:val="24"/>
          <w:highlight w:val="none"/>
        </w:rPr>
      </w:pPr>
    </w:p>
    <w:p w14:paraId="12ABA538">
      <w:pPr>
        <w:pStyle w:val="11"/>
        <w:rPr>
          <w:rFonts w:hint="eastAsia" w:ascii="仿宋" w:hAnsi="仿宋" w:eastAsia="仿宋" w:cs="仿宋"/>
          <w:color w:val="auto"/>
          <w:sz w:val="24"/>
          <w:szCs w:val="24"/>
          <w:highlight w:val="none"/>
          <w:lang w:eastAsia="zh-CN"/>
        </w:rPr>
      </w:pPr>
    </w:p>
    <w:p w14:paraId="65B232CF">
      <w:pPr>
        <w:pStyle w:val="11"/>
        <w:rPr>
          <w:rFonts w:hint="eastAsia" w:ascii="仿宋" w:hAnsi="仿宋" w:eastAsia="仿宋" w:cs="仿宋"/>
          <w:color w:val="auto"/>
          <w:sz w:val="24"/>
          <w:szCs w:val="24"/>
          <w:highlight w:val="none"/>
          <w:lang w:eastAsia="zh-CN"/>
        </w:rPr>
      </w:pPr>
    </w:p>
    <w:p w14:paraId="60CF45E1">
      <w:pPr>
        <w:pStyle w:val="11"/>
        <w:rPr>
          <w:rFonts w:hint="eastAsia" w:ascii="仿宋" w:hAnsi="仿宋" w:eastAsia="仿宋" w:cs="仿宋"/>
          <w:color w:val="auto"/>
          <w:sz w:val="24"/>
          <w:szCs w:val="24"/>
          <w:highlight w:val="none"/>
          <w:lang w:eastAsia="zh-CN"/>
        </w:rPr>
      </w:pPr>
    </w:p>
    <w:p w14:paraId="3DEDBAE3">
      <w:pPr>
        <w:spacing w:line="360" w:lineRule="auto"/>
        <w:ind w:left="34"/>
        <w:rPr>
          <w:rFonts w:hint="eastAsia"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val="en-US" w:eastAsia="zh-CN"/>
        </w:rPr>
        <w:t>6.投标文件偏离表</w:t>
      </w:r>
    </w:p>
    <w:p w14:paraId="13D98D0B">
      <w:pPr>
        <w:pStyle w:val="3"/>
        <w:spacing w:line="360" w:lineRule="auto"/>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投标文件偏离表(技术、商务)</w:t>
      </w:r>
    </w:p>
    <w:p w14:paraId="2403A22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 xml:space="preserve">普洱市动物疫病预防控制中心2026年中央农业防灾和水利救灾资金(动物防疫补助)(第二次)采购项目 </w:t>
      </w:r>
    </w:p>
    <w:p w14:paraId="677E9C51">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u w:val="single"/>
        </w:rPr>
        <w:t xml:space="preserve">             </w:t>
      </w:r>
    </w:p>
    <w:p w14:paraId="3B4F3FCA">
      <w:pPr>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none"/>
          <w:lang w:val="en-US" w:eastAsia="zh-CN"/>
        </w:rPr>
        <w:t>标 段 号：</w:t>
      </w:r>
      <w:r>
        <w:rPr>
          <w:rFonts w:hint="eastAsia" w:ascii="仿宋" w:hAnsi="仿宋" w:eastAsia="仿宋" w:cs="仿宋"/>
          <w:color w:val="auto"/>
          <w:sz w:val="24"/>
          <w:szCs w:val="24"/>
          <w:highlight w:val="none"/>
          <w:u w:val="single"/>
          <w:lang w:val="en-US" w:eastAsia="zh-CN"/>
        </w:rPr>
        <w:t xml:space="preserve">             </w:t>
      </w:r>
    </w:p>
    <w:tbl>
      <w:tblPr>
        <w:tblStyle w:val="35"/>
        <w:tblW w:w="9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1"/>
        <w:gridCol w:w="2501"/>
        <w:gridCol w:w="2501"/>
        <w:gridCol w:w="1773"/>
        <w:gridCol w:w="1610"/>
      </w:tblGrid>
      <w:tr w14:paraId="7F395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1351" w:type="dxa"/>
            <w:vAlign w:val="center"/>
          </w:tcPr>
          <w:p w14:paraId="0F9AF485">
            <w:pPr>
              <w:pStyle w:val="19"/>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501" w:type="dxa"/>
            <w:vAlign w:val="center"/>
          </w:tcPr>
          <w:p w14:paraId="42EF00CE">
            <w:pPr>
              <w:pStyle w:val="19"/>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招标文件规定的条款</w:t>
            </w:r>
          </w:p>
        </w:tc>
        <w:tc>
          <w:tcPr>
            <w:tcW w:w="2501" w:type="dxa"/>
            <w:vAlign w:val="center"/>
          </w:tcPr>
          <w:p w14:paraId="00E44200">
            <w:pPr>
              <w:pStyle w:val="19"/>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投标文件响应的条款</w:t>
            </w:r>
          </w:p>
        </w:tc>
        <w:tc>
          <w:tcPr>
            <w:tcW w:w="1773" w:type="dxa"/>
            <w:vAlign w:val="center"/>
          </w:tcPr>
          <w:p w14:paraId="41AF1387">
            <w:pPr>
              <w:pStyle w:val="19"/>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偏离说明</w:t>
            </w:r>
          </w:p>
        </w:tc>
        <w:tc>
          <w:tcPr>
            <w:tcW w:w="1610" w:type="dxa"/>
            <w:vAlign w:val="center"/>
          </w:tcPr>
          <w:p w14:paraId="5BEE87D3">
            <w:pPr>
              <w:pStyle w:val="19"/>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备注</w:t>
            </w:r>
          </w:p>
        </w:tc>
      </w:tr>
      <w:tr w14:paraId="7F5A8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vAlign w:val="top"/>
          </w:tcPr>
          <w:p w14:paraId="30094D57">
            <w:pPr>
              <w:pStyle w:val="19"/>
              <w:spacing w:line="360" w:lineRule="auto"/>
              <w:rPr>
                <w:rFonts w:hint="eastAsia" w:ascii="仿宋" w:hAnsi="仿宋" w:eastAsia="仿宋" w:cs="仿宋"/>
                <w:color w:val="auto"/>
                <w:sz w:val="24"/>
                <w:szCs w:val="24"/>
                <w:highlight w:val="none"/>
              </w:rPr>
            </w:pPr>
          </w:p>
        </w:tc>
        <w:tc>
          <w:tcPr>
            <w:tcW w:w="2501" w:type="dxa"/>
            <w:vAlign w:val="top"/>
          </w:tcPr>
          <w:p w14:paraId="36533E7E">
            <w:pPr>
              <w:pStyle w:val="19"/>
              <w:spacing w:line="360" w:lineRule="auto"/>
              <w:rPr>
                <w:rFonts w:hint="eastAsia" w:ascii="仿宋" w:hAnsi="仿宋" w:eastAsia="仿宋" w:cs="仿宋"/>
                <w:color w:val="auto"/>
                <w:sz w:val="24"/>
                <w:szCs w:val="24"/>
                <w:highlight w:val="none"/>
              </w:rPr>
            </w:pPr>
          </w:p>
        </w:tc>
        <w:tc>
          <w:tcPr>
            <w:tcW w:w="2501" w:type="dxa"/>
            <w:vAlign w:val="top"/>
          </w:tcPr>
          <w:p w14:paraId="68A880F0">
            <w:pPr>
              <w:pStyle w:val="19"/>
              <w:spacing w:line="360" w:lineRule="auto"/>
              <w:rPr>
                <w:rFonts w:hint="eastAsia" w:ascii="仿宋" w:hAnsi="仿宋" w:eastAsia="仿宋" w:cs="仿宋"/>
                <w:color w:val="auto"/>
                <w:sz w:val="24"/>
                <w:szCs w:val="24"/>
                <w:highlight w:val="none"/>
              </w:rPr>
            </w:pPr>
          </w:p>
        </w:tc>
        <w:tc>
          <w:tcPr>
            <w:tcW w:w="1773" w:type="dxa"/>
            <w:vAlign w:val="top"/>
          </w:tcPr>
          <w:p w14:paraId="59FC18D3">
            <w:pPr>
              <w:pStyle w:val="19"/>
              <w:spacing w:line="360" w:lineRule="auto"/>
              <w:rPr>
                <w:rFonts w:hint="eastAsia" w:ascii="仿宋" w:hAnsi="仿宋" w:eastAsia="仿宋" w:cs="仿宋"/>
                <w:color w:val="auto"/>
                <w:sz w:val="24"/>
                <w:szCs w:val="24"/>
                <w:highlight w:val="none"/>
              </w:rPr>
            </w:pPr>
          </w:p>
        </w:tc>
        <w:tc>
          <w:tcPr>
            <w:tcW w:w="1610" w:type="dxa"/>
            <w:vAlign w:val="top"/>
          </w:tcPr>
          <w:p w14:paraId="695DA636">
            <w:pPr>
              <w:pStyle w:val="19"/>
              <w:spacing w:line="360" w:lineRule="auto"/>
              <w:rPr>
                <w:rFonts w:hint="eastAsia" w:ascii="仿宋" w:hAnsi="仿宋" w:eastAsia="仿宋" w:cs="仿宋"/>
                <w:color w:val="auto"/>
                <w:sz w:val="24"/>
                <w:szCs w:val="24"/>
                <w:highlight w:val="none"/>
              </w:rPr>
            </w:pPr>
          </w:p>
        </w:tc>
      </w:tr>
      <w:tr w14:paraId="1D84D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vAlign w:val="top"/>
          </w:tcPr>
          <w:p w14:paraId="273049B0">
            <w:pPr>
              <w:pStyle w:val="19"/>
              <w:spacing w:line="360" w:lineRule="auto"/>
              <w:rPr>
                <w:rFonts w:hint="eastAsia" w:ascii="仿宋" w:hAnsi="仿宋" w:eastAsia="仿宋" w:cs="仿宋"/>
                <w:color w:val="auto"/>
                <w:sz w:val="24"/>
                <w:szCs w:val="24"/>
                <w:highlight w:val="none"/>
              </w:rPr>
            </w:pPr>
          </w:p>
        </w:tc>
        <w:tc>
          <w:tcPr>
            <w:tcW w:w="2501" w:type="dxa"/>
            <w:vAlign w:val="top"/>
          </w:tcPr>
          <w:p w14:paraId="1ADF936E">
            <w:pPr>
              <w:pStyle w:val="19"/>
              <w:spacing w:line="360" w:lineRule="auto"/>
              <w:rPr>
                <w:rFonts w:hint="eastAsia" w:ascii="仿宋" w:hAnsi="仿宋" w:eastAsia="仿宋" w:cs="仿宋"/>
                <w:color w:val="auto"/>
                <w:sz w:val="24"/>
                <w:szCs w:val="24"/>
                <w:highlight w:val="none"/>
              </w:rPr>
            </w:pPr>
          </w:p>
        </w:tc>
        <w:tc>
          <w:tcPr>
            <w:tcW w:w="2501" w:type="dxa"/>
            <w:vAlign w:val="top"/>
          </w:tcPr>
          <w:p w14:paraId="7CCF818A">
            <w:pPr>
              <w:pStyle w:val="19"/>
              <w:spacing w:line="360" w:lineRule="auto"/>
              <w:rPr>
                <w:rFonts w:hint="eastAsia" w:ascii="仿宋" w:hAnsi="仿宋" w:eastAsia="仿宋" w:cs="仿宋"/>
                <w:color w:val="auto"/>
                <w:sz w:val="24"/>
                <w:szCs w:val="24"/>
                <w:highlight w:val="none"/>
              </w:rPr>
            </w:pPr>
          </w:p>
        </w:tc>
        <w:tc>
          <w:tcPr>
            <w:tcW w:w="1773" w:type="dxa"/>
            <w:vAlign w:val="top"/>
          </w:tcPr>
          <w:p w14:paraId="57469E72">
            <w:pPr>
              <w:pStyle w:val="19"/>
              <w:spacing w:line="360" w:lineRule="auto"/>
              <w:rPr>
                <w:rFonts w:hint="eastAsia" w:ascii="仿宋" w:hAnsi="仿宋" w:eastAsia="仿宋" w:cs="仿宋"/>
                <w:color w:val="auto"/>
                <w:sz w:val="24"/>
                <w:szCs w:val="24"/>
                <w:highlight w:val="none"/>
              </w:rPr>
            </w:pPr>
          </w:p>
        </w:tc>
        <w:tc>
          <w:tcPr>
            <w:tcW w:w="1610" w:type="dxa"/>
            <w:vAlign w:val="top"/>
          </w:tcPr>
          <w:p w14:paraId="4EC5A6D6">
            <w:pPr>
              <w:pStyle w:val="19"/>
              <w:spacing w:line="360" w:lineRule="auto"/>
              <w:rPr>
                <w:rFonts w:hint="eastAsia" w:ascii="仿宋" w:hAnsi="仿宋" w:eastAsia="仿宋" w:cs="仿宋"/>
                <w:color w:val="auto"/>
                <w:sz w:val="24"/>
                <w:szCs w:val="24"/>
                <w:highlight w:val="none"/>
              </w:rPr>
            </w:pPr>
          </w:p>
        </w:tc>
      </w:tr>
      <w:tr w14:paraId="1DF89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vAlign w:val="top"/>
          </w:tcPr>
          <w:p w14:paraId="4654E2D6">
            <w:pPr>
              <w:pStyle w:val="19"/>
              <w:spacing w:line="360" w:lineRule="auto"/>
              <w:rPr>
                <w:rFonts w:hint="eastAsia" w:ascii="仿宋" w:hAnsi="仿宋" w:eastAsia="仿宋" w:cs="仿宋"/>
                <w:color w:val="auto"/>
                <w:sz w:val="24"/>
                <w:szCs w:val="24"/>
                <w:highlight w:val="none"/>
              </w:rPr>
            </w:pPr>
          </w:p>
        </w:tc>
        <w:tc>
          <w:tcPr>
            <w:tcW w:w="2501" w:type="dxa"/>
            <w:vAlign w:val="top"/>
          </w:tcPr>
          <w:p w14:paraId="22269CB8">
            <w:pPr>
              <w:pStyle w:val="19"/>
              <w:spacing w:line="360" w:lineRule="auto"/>
              <w:rPr>
                <w:rFonts w:hint="eastAsia" w:ascii="仿宋" w:hAnsi="仿宋" w:eastAsia="仿宋" w:cs="仿宋"/>
                <w:color w:val="auto"/>
                <w:sz w:val="24"/>
                <w:szCs w:val="24"/>
                <w:highlight w:val="none"/>
              </w:rPr>
            </w:pPr>
          </w:p>
        </w:tc>
        <w:tc>
          <w:tcPr>
            <w:tcW w:w="2501" w:type="dxa"/>
            <w:vAlign w:val="top"/>
          </w:tcPr>
          <w:p w14:paraId="19289E03">
            <w:pPr>
              <w:pStyle w:val="19"/>
              <w:spacing w:line="360" w:lineRule="auto"/>
              <w:rPr>
                <w:rFonts w:hint="eastAsia" w:ascii="仿宋" w:hAnsi="仿宋" w:eastAsia="仿宋" w:cs="仿宋"/>
                <w:color w:val="auto"/>
                <w:sz w:val="24"/>
                <w:szCs w:val="24"/>
                <w:highlight w:val="none"/>
              </w:rPr>
            </w:pPr>
          </w:p>
        </w:tc>
        <w:tc>
          <w:tcPr>
            <w:tcW w:w="1773" w:type="dxa"/>
            <w:vAlign w:val="top"/>
          </w:tcPr>
          <w:p w14:paraId="74182A7C">
            <w:pPr>
              <w:pStyle w:val="19"/>
              <w:spacing w:line="360" w:lineRule="auto"/>
              <w:rPr>
                <w:rFonts w:hint="eastAsia" w:ascii="仿宋" w:hAnsi="仿宋" w:eastAsia="仿宋" w:cs="仿宋"/>
                <w:color w:val="auto"/>
                <w:sz w:val="24"/>
                <w:szCs w:val="24"/>
                <w:highlight w:val="none"/>
              </w:rPr>
            </w:pPr>
          </w:p>
        </w:tc>
        <w:tc>
          <w:tcPr>
            <w:tcW w:w="1610" w:type="dxa"/>
            <w:vAlign w:val="top"/>
          </w:tcPr>
          <w:p w14:paraId="715345CA">
            <w:pPr>
              <w:pStyle w:val="19"/>
              <w:spacing w:line="360" w:lineRule="auto"/>
              <w:rPr>
                <w:rFonts w:hint="eastAsia" w:ascii="仿宋" w:hAnsi="仿宋" w:eastAsia="仿宋" w:cs="仿宋"/>
                <w:color w:val="auto"/>
                <w:sz w:val="24"/>
                <w:szCs w:val="24"/>
                <w:highlight w:val="none"/>
              </w:rPr>
            </w:pPr>
          </w:p>
        </w:tc>
      </w:tr>
      <w:tr w14:paraId="641FB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vAlign w:val="top"/>
          </w:tcPr>
          <w:p w14:paraId="7DF25FB0">
            <w:pPr>
              <w:pStyle w:val="19"/>
              <w:spacing w:line="360" w:lineRule="auto"/>
              <w:rPr>
                <w:rFonts w:hint="eastAsia" w:ascii="仿宋" w:hAnsi="仿宋" w:eastAsia="仿宋" w:cs="仿宋"/>
                <w:color w:val="auto"/>
                <w:sz w:val="24"/>
                <w:szCs w:val="24"/>
                <w:highlight w:val="none"/>
              </w:rPr>
            </w:pPr>
          </w:p>
        </w:tc>
        <w:tc>
          <w:tcPr>
            <w:tcW w:w="2501" w:type="dxa"/>
            <w:vAlign w:val="top"/>
          </w:tcPr>
          <w:p w14:paraId="2F8F2FC8">
            <w:pPr>
              <w:pStyle w:val="19"/>
              <w:spacing w:line="360" w:lineRule="auto"/>
              <w:rPr>
                <w:rFonts w:hint="eastAsia" w:ascii="仿宋" w:hAnsi="仿宋" w:eastAsia="仿宋" w:cs="仿宋"/>
                <w:color w:val="auto"/>
                <w:sz w:val="24"/>
                <w:szCs w:val="24"/>
                <w:highlight w:val="none"/>
              </w:rPr>
            </w:pPr>
          </w:p>
        </w:tc>
        <w:tc>
          <w:tcPr>
            <w:tcW w:w="2501" w:type="dxa"/>
            <w:vAlign w:val="top"/>
          </w:tcPr>
          <w:p w14:paraId="4420CCEB">
            <w:pPr>
              <w:pStyle w:val="19"/>
              <w:spacing w:line="360" w:lineRule="auto"/>
              <w:rPr>
                <w:rFonts w:hint="eastAsia" w:ascii="仿宋" w:hAnsi="仿宋" w:eastAsia="仿宋" w:cs="仿宋"/>
                <w:color w:val="auto"/>
                <w:sz w:val="24"/>
                <w:szCs w:val="24"/>
                <w:highlight w:val="none"/>
              </w:rPr>
            </w:pPr>
          </w:p>
        </w:tc>
        <w:tc>
          <w:tcPr>
            <w:tcW w:w="1773" w:type="dxa"/>
            <w:vAlign w:val="top"/>
          </w:tcPr>
          <w:p w14:paraId="1F31CE63">
            <w:pPr>
              <w:pStyle w:val="19"/>
              <w:spacing w:line="360" w:lineRule="auto"/>
              <w:rPr>
                <w:rFonts w:hint="eastAsia" w:ascii="仿宋" w:hAnsi="仿宋" w:eastAsia="仿宋" w:cs="仿宋"/>
                <w:color w:val="auto"/>
                <w:sz w:val="24"/>
                <w:szCs w:val="24"/>
                <w:highlight w:val="none"/>
              </w:rPr>
            </w:pPr>
          </w:p>
        </w:tc>
        <w:tc>
          <w:tcPr>
            <w:tcW w:w="1610" w:type="dxa"/>
            <w:vAlign w:val="top"/>
          </w:tcPr>
          <w:p w14:paraId="055F71F1">
            <w:pPr>
              <w:pStyle w:val="19"/>
              <w:spacing w:line="360" w:lineRule="auto"/>
              <w:rPr>
                <w:rFonts w:hint="eastAsia" w:ascii="仿宋" w:hAnsi="仿宋" w:eastAsia="仿宋" w:cs="仿宋"/>
                <w:color w:val="auto"/>
                <w:sz w:val="24"/>
                <w:szCs w:val="24"/>
                <w:highlight w:val="none"/>
              </w:rPr>
            </w:pPr>
          </w:p>
        </w:tc>
      </w:tr>
      <w:tr w14:paraId="4CC7D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vAlign w:val="top"/>
          </w:tcPr>
          <w:p w14:paraId="08E6FF9E">
            <w:pPr>
              <w:pStyle w:val="19"/>
              <w:spacing w:line="360" w:lineRule="auto"/>
              <w:rPr>
                <w:rFonts w:hint="eastAsia" w:ascii="仿宋" w:hAnsi="仿宋" w:eastAsia="仿宋" w:cs="仿宋"/>
                <w:color w:val="auto"/>
                <w:sz w:val="24"/>
                <w:szCs w:val="24"/>
                <w:highlight w:val="none"/>
              </w:rPr>
            </w:pPr>
          </w:p>
        </w:tc>
        <w:tc>
          <w:tcPr>
            <w:tcW w:w="2501" w:type="dxa"/>
            <w:vAlign w:val="top"/>
          </w:tcPr>
          <w:p w14:paraId="6B3C0D6D">
            <w:pPr>
              <w:pStyle w:val="19"/>
              <w:spacing w:line="360" w:lineRule="auto"/>
              <w:rPr>
                <w:rFonts w:hint="eastAsia" w:ascii="仿宋" w:hAnsi="仿宋" w:eastAsia="仿宋" w:cs="仿宋"/>
                <w:color w:val="auto"/>
                <w:sz w:val="24"/>
                <w:szCs w:val="24"/>
                <w:highlight w:val="none"/>
              </w:rPr>
            </w:pPr>
          </w:p>
        </w:tc>
        <w:tc>
          <w:tcPr>
            <w:tcW w:w="2501" w:type="dxa"/>
            <w:vAlign w:val="top"/>
          </w:tcPr>
          <w:p w14:paraId="56BC7EB5">
            <w:pPr>
              <w:pStyle w:val="19"/>
              <w:spacing w:line="360" w:lineRule="auto"/>
              <w:rPr>
                <w:rFonts w:hint="eastAsia" w:ascii="仿宋" w:hAnsi="仿宋" w:eastAsia="仿宋" w:cs="仿宋"/>
                <w:color w:val="auto"/>
                <w:sz w:val="24"/>
                <w:szCs w:val="24"/>
                <w:highlight w:val="none"/>
              </w:rPr>
            </w:pPr>
          </w:p>
        </w:tc>
        <w:tc>
          <w:tcPr>
            <w:tcW w:w="1773" w:type="dxa"/>
            <w:vAlign w:val="top"/>
          </w:tcPr>
          <w:p w14:paraId="75F048FB">
            <w:pPr>
              <w:pStyle w:val="19"/>
              <w:spacing w:line="360" w:lineRule="auto"/>
              <w:rPr>
                <w:rFonts w:hint="eastAsia" w:ascii="仿宋" w:hAnsi="仿宋" w:eastAsia="仿宋" w:cs="仿宋"/>
                <w:color w:val="auto"/>
                <w:sz w:val="24"/>
                <w:szCs w:val="24"/>
                <w:highlight w:val="none"/>
              </w:rPr>
            </w:pPr>
          </w:p>
        </w:tc>
        <w:tc>
          <w:tcPr>
            <w:tcW w:w="1610" w:type="dxa"/>
            <w:vAlign w:val="top"/>
          </w:tcPr>
          <w:p w14:paraId="72426443">
            <w:pPr>
              <w:pStyle w:val="19"/>
              <w:spacing w:line="360" w:lineRule="auto"/>
              <w:rPr>
                <w:rFonts w:hint="eastAsia" w:ascii="仿宋" w:hAnsi="仿宋" w:eastAsia="仿宋" w:cs="仿宋"/>
                <w:color w:val="auto"/>
                <w:sz w:val="24"/>
                <w:szCs w:val="24"/>
                <w:highlight w:val="none"/>
              </w:rPr>
            </w:pPr>
          </w:p>
        </w:tc>
      </w:tr>
      <w:tr w14:paraId="1AC77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vAlign w:val="top"/>
          </w:tcPr>
          <w:p w14:paraId="6B17861D">
            <w:pPr>
              <w:pStyle w:val="19"/>
              <w:spacing w:line="360" w:lineRule="auto"/>
              <w:rPr>
                <w:rFonts w:hint="eastAsia" w:ascii="仿宋" w:hAnsi="仿宋" w:eastAsia="仿宋" w:cs="仿宋"/>
                <w:color w:val="auto"/>
                <w:sz w:val="24"/>
                <w:szCs w:val="24"/>
                <w:highlight w:val="none"/>
              </w:rPr>
            </w:pPr>
          </w:p>
        </w:tc>
        <w:tc>
          <w:tcPr>
            <w:tcW w:w="2501" w:type="dxa"/>
            <w:vAlign w:val="top"/>
          </w:tcPr>
          <w:p w14:paraId="081C9DAE">
            <w:pPr>
              <w:pStyle w:val="19"/>
              <w:spacing w:line="360" w:lineRule="auto"/>
              <w:rPr>
                <w:rFonts w:hint="eastAsia" w:ascii="仿宋" w:hAnsi="仿宋" w:eastAsia="仿宋" w:cs="仿宋"/>
                <w:color w:val="auto"/>
                <w:sz w:val="24"/>
                <w:szCs w:val="24"/>
                <w:highlight w:val="none"/>
              </w:rPr>
            </w:pPr>
          </w:p>
        </w:tc>
        <w:tc>
          <w:tcPr>
            <w:tcW w:w="2501" w:type="dxa"/>
            <w:vAlign w:val="top"/>
          </w:tcPr>
          <w:p w14:paraId="4A31134C">
            <w:pPr>
              <w:pStyle w:val="19"/>
              <w:spacing w:line="360" w:lineRule="auto"/>
              <w:rPr>
                <w:rFonts w:hint="eastAsia" w:ascii="仿宋" w:hAnsi="仿宋" w:eastAsia="仿宋" w:cs="仿宋"/>
                <w:color w:val="auto"/>
                <w:sz w:val="24"/>
                <w:szCs w:val="24"/>
                <w:highlight w:val="none"/>
              </w:rPr>
            </w:pPr>
          </w:p>
        </w:tc>
        <w:tc>
          <w:tcPr>
            <w:tcW w:w="1773" w:type="dxa"/>
            <w:vAlign w:val="top"/>
          </w:tcPr>
          <w:p w14:paraId="53C1647F">
            <w:pPr>
              <w:pStyle w:val="19"/>
              <w:spacing w:line="360" w:lineRule="auto"/>
              <w:rPr>
                <w:rFonts w:hint="eastAsia" w:ascii="仿宋" w:hAnsi="仿宋" w:eastAsia="仿宋" w:cs="仿宋"/>
                <w:color w:val="auto"/>
                <w:sz w:val="24"/>
                <w:szCs w:val="24"/>
                <w:highlight w:val="none"/>
              </w:rPr>
            </w:pPr>
          </w:p>
        </w:tc>
        <w:tc>
          <w:tcPr>
            <w:tcW w:w="1610" w:type="dxa"/>
            <w:vAlign w:val="top"/>
          </w:tcPr>
          <w:p w14:paraId="67F9D131">
            <w:pPr>
              <w:pStyle w:val="19"/>
              <w:spacing w:line="360" w:lineRule="auto"/>
              <w:rPr>
                <w:rFonts w:hint="eastAsia" w:ascii="仿宋" w:hAnsi="仿宋" w:eastAsia="仿宋" w:cs="仿宋"/>
                <w:color w:val="auto"/>
                <w:sz w:val="24"/>
                <w:szCs w:val="24"/>
                <w:highlight w:val="none"/>
              </w:rPr>
            </w:pPr>
          </w:p>
        </w:tc>
      </w:tr>
      <w:tr w14:paraId="1CD70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vAlign w:val="top"/>
          </w:tcPr>
          <w:p w14:paraId="085B558A">
            <w:pPr>
              <w:pStyle w:val="19"/>
              <w:spacing w:line="360" w:lineRule="auto"/>
              <w:rPr>
                <w:rFonts w:hint="eastAsia" w:ascii="仿宋" w:hAnsi="仿宋" w:eastAsia="仿宋" w:cs="仿宋"/>
                <w:color w:val="auto"/>
                <w:sz w:val="24"/>
                <w:szCs w:val="24"/>
                <w:highlight w:val="none"/>
              </w:rPr>
            </w:pPr>
          </w:p>
        </w:tc>
        <w:tc>
          <w:tcPr>
            <w:tcW w:w="2501" w:type="dxa"/>
            <w:vAlign w:val="top"/>
          </w:tcPr>
          <w:p w14:paraId="7361FEC5">
            <w:pPr>
              <w:pStyle w:val="19"/>
              <w:spacing w:line="360" w:lineRule="auto"/>
              <w:rPr>
                <w:rFonts w:hint="eastAsia" w:ascii="仿宋" w:hAnsi="仿宋" w:eastAsia="仿宋" w:cs="仿宋"/>
                <w:color w:val="auto"/>
                <w:sz w:val="24"/>
                <w:szCs w:val="24"/>
                <w:highlight w:val="none"/>
              </w:rPr>
            </w:pPr>
          </w:p>
        </w:tc>
        <w:tc>
          <w:tcPr>
            <w:tcW w:w="2501" w:type="dxa"/>
            <w:vAlign w:val="top"/>
          </w:tcPr>
          <w:p w14:paraId="511F3296">
            <w:pPr>
              <w:pStyle w:val="19"/>
              <w:spacing w:line="360" w:lineRule="auto"/>
              <w:rPr>
                <w:rFonts w:hint="eastAsia" w:ascii="仿宋" w:hAnsi="仿宋" w:eastAsia="仿宋" w:cs="仿宋"/>
                <w:color w:val="auto"/>
                <w:sz w:val="24"/>
                <w:szCs w:val="24"/>
                <w:highlight w:val="none"/>
              </w:rPr>
            </w:pPr>
          </w:p>
        </w:tc>
        <w:tc>
          <w:tcPr>
            <w:tcW w:w="1773" w:type="dxa"/>
            <w:vAlign w:val="top"/>
          </w:tcPr>
          <w:p w14:paraId="39A6B259">
            <w:pPr>
              <w:pStyle w:val="19"/>
              <w:spacing w:line="360" w:lineRule="auto"/>
              <w:rPr>
                <w:rFonts w:hint="eastAsia" w:ascii="仿宋" w:hAnsi="仿宋" w:eastAsia="仿宋" w:cs="仿宋"/>
                <w:color w:val="auto"/>
                <w:sz w:val="24"/>
                <w:szCs w:val="24"/>
                <w:highlight w:val="none"/>
              </w:rPr>
            </w:pPr>
          </w:p>
        </w:tc>
        <w:tc>
          <w:tcPr>
            <w:tcW w:w="1610" w:type="dxa"/>
            <w:vAlign w:val="top"/>
          </w:tcPr>
          <w:p w14:paraId="30E286B9">
            <w:pPr>
              <w:pStyle w:val="19"/>
              <w:spacing w:line="360" w:lineRule="auto"/>
              <w:rPr>
                <w:rFonts w:hint="eastAsia" w:ascii="仿宋" w:hAnsi="仿宋" w:eastAsia="仿宋" w:cs="仿宋"/>
                <w:color w:val="auto"/>
                <w:sz w:val="24"/>
                <w:szCs w:val="24"/>
                <w:highlight w:val="none"/>
              </w:rPr>
            </w:pPr>
          </w:p>
        </w:tc>
      </w:tr>
    </w:tbl>
    <w:p w14:paraId="1969BA0B">
      <w:pPr>
        <w:pStyle w:val="19"/>
        <w:spacing w:line="360" w:lineRule="auto"/>
        <w:rPr>
          <w:rFonts w:hint="eastAsia" w:ascii="仿宋" w:hAnsi="仿宋" w:eastAsia="仿宋" w:cs="仿宋"/>
          <w:color w:val="auto"/>
          <w:sz w:val="24"/>
          <w:szCs w:val="24"/>
          <w:highlight w:val="none"/>
        </w:rPr>
      </w:pPr>
    </w:p>
    <w:p w14:paraId="2A4D14C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注：“偏离说明”一栏填写“正偏离”、“负偏离”或“无偏离”；</w:t>
      </w:r>
    </w:p>
    <w:p w14:paraId="6AAC1877">
      <w:pPr>
        <w:tabs>
          <w:tab w:val="left" w:pos="3780"/>
        </w:tabs>
        <w:spacing w:line="360" w:lineRule="auto"/>
        <w:jc w:val="left"/>
        <w:rPr>
          <w:rFonts w:hint="eastAsia" w:ascii="仿宋" w:hAnsi="仿宋" w:eastAsia="仿宋" w:cs="仿宋"/>
          <w:color w:val="auto"/>
          <w:sz w:val="24"/>
          <w:szCs w:val="24"/>
          <w:highlight w:val="none"/>
        </w:rPr>
      </w:pPr>
    </w:p>
    <w:p w14:paraId="14FD94F9">
      <w:pPr>
        <w:pStyle w:val="11"/>
        <w:spacing w:line="360" w:lineRule="auto"/>
        <w:rPr>
          <w:rFonts w:hint="eastAsia" w:ascii="仿宋" w:hAnsi="仿宋" w:eastAsia="仿宋" w:cs="仿宋"/>
          <w:color w:val="auto"/>
          <w:sz w:val="24"/>
          <w:szCs w:val="24"/>
          <w:highlight w:val="none"/>
        </w:rPr>
      </w:pPr>
    </w:p>
    <w:p w14:paraId="44217445">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 标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2D3B10B4">
      <w:pPr>
        <w:tabs>
          <w:tab w:val="left" w:pos="3780"/>
        </w:tabs>
        <w:spacing w:line="360" w:lineRule="auto"/>
        <w:jc w:val="left"/>
        <w:rPr>
          <w:rFonts w:hint="eastAsia" w:ascii="仿宋" w:hAnsi="仿宋" w:eastAsia="仿宋" w:cs="仿宋"/>
          <w:color w:val="auto"/>
          <w:sz w:val="24"/>
          <w:szCs w:val="24"/>
          <w:highlight w:val="none"/>
        </w:rPr>
      </w:pPr>
    </w:p>
    <w:p w14:paraId="68E3A99D">
      <w:pPr>
        <w:tabs>
          <w:tab w:val="left" w:pos="3780"/>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（电子签章）</w:t>
      </w:r>
    </w:p>
    <w:p w14:paraId="3AAE7DED">
      <w:pPr>
        <w:tabs>
          <w:tab w:val="left" w:pos="3780"/>
        </w:tabs>
        <w:spacing w:line="360" w:lineRule="auto"/>
        <w:jc w:val="left"/>
        <w:rPr>
          <w:rFonts w:hint="eastAsia" w:ascii="仿宋" w:hAnsi="仿宋" w:eastAsia="仿宋" w:cs="仿宋"/>
          <w:color w:val="auto"/>
          <w:sz w:val="24"/>
          <w:szCs w:val="24"/>
          <w:highlight w:val="none"/>
        </w:rPr>
      </w:pPr>
    </w:p>
    <w:p w14:paraId="373E1AF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7E7EBC5F">
      <w:pPr>
        <w:rPr>
          <w:rFonts w:hint="eastAsia" w:ascii="仿宋" w:hAnsi="仿宋" w:eastAsia="仿宋" w:cs="仿宋"/>
          <w:color w:val="auto"/>
          <w:sz w:val="24"/>
          <w:szCs w:val="24"/>
          <w:highlight w:val="none"/>
        </w:rPr>
      </w:pPr>
    </w:p>
    <w:p w14:paraId="425E75C9">
      <w:pPr>
        <w:rPr>
          <w:rFonts w:hint="eastAsia" w:ascii="仿宋" w:hAnsi="仿宋" w:eastAsia="仿宋" w:cs="仿宋"/>
          <w:color w:val="auto"/>
          <w:sz w:val="24"/>
          <w:szCs w:val="24"/>
          <w:highlight w:val="none"/>
        </w:rPr>
      </w:pPr>
    </w:p>
    <w:p w14:paraId="4CE8AD89">
      <w:pPr>
        <w:rPr>
          <w:rFonts w:hint="eastAsia" w:ascii="仿宋" w:hAnsi="仿宋" w:eastAsia="仿宋" w:cs="仿宋"/>
          <w:color w:val="auto"/>
          <w:sz w:val="24"/>
          <w:szCs w:val="24"/>
          <w:highlight w:val="none"/>
        </w:rPr>
      </w:pPr>
    </w:p>
    <w:p w14:paraId="6B2791D7">
      <w:pPr>
        <w:rPr>
          <w:rFonts w:hint="eastAsia" w:ascii="仿宋" w:hAnsi="仿宋" w:eastAsia="仿宋" w:cs="仿宋"/>
          <w:color w:val="auto"/>
          <w:sz w:val="24"/>
          <w:szCs w:val="24"/>
          <w:highlight w:val="none"/>
        </w:rPr>
      </w:pPr>
    </w:p>
    <w:p w14:paraId="614FDBED">
      <w:pPr>
        <w:rPr>
          <w:rFonts w:hint="eastAsia" w:ascii="仿宋" w:hAnsi="仿宋" w:eastAsia="仿宋" w:cs="仿宋"/>
          <w:color w:val="auto"/>
          <w:sz w:val="24"/>
          <w:szCs w:val="24"/>
          <w:highlight w:val="none"/>
        </w:rPr>
      </w:pPr>
    </w:p>
    <w:p w14:paraId="351663D8">
      <w:pPr>
        <w:rPr>
          <w:rFonts w:hint="eastAsia" w:ascii="仿宋" w:hAnsi="仿宋" w:eastAsia="仿宋" w:cs="仿宋"/>
          <w:color w:val="auto"/>
          <w:sz w:val="24"/>
          <w:szCs w:val="24"/>
          <w:highlight w:val="none"/>
        </w:rPr>
      </w:pPr>
    </w:p>
    <w:p w14:paraId="1E4F73C7">
      <w:pPr>
        <w:rPr>
          <w:rFonts w:hint="eastAsia" w:ascii="仿宋" w:hAnsi="仿宋" w:eastAsia="仿宋" w:cs="仿宋"/>
          <w:color w:val="auto"/>
          <w:sz w:val="24"/>
          <w:szCs w:val="24"/>
          <w:highlight w:val="none"/>
        </w:rPr>
      </w:pPr>
    </w:p>
    <w:p w14:paraId="3B9F3391">
      <w:pPr>
        <w:spacing w:line="360" w:lineRule="auto"/>
        <w:ind w:left="34"/>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7.技术要求（一标段）</w:t>
      </w:r>
    </w:p>
    <w:p w14:paraId="1B14D8E5">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7.1</w:t>
      </w:r>
      <w:r>
        <w:rPr>
          <w:rFonts w:hint="eastAsia" w:ascii="仿宋" w:hAnsi="仿宋" w:eastAsia="仿宋" w:cs="仿宋"/>
          <w:color w:val="auto"/>
          <w:sz w:val="24"/>
          <w:szCs w:val="24"/>
          <w:highlight w:val="none"/>
        </w:rPr>
        <w:t xml:space="preserve"> 技术指标性能；</w:t>
      </w:r>
    </w:p>
    <w:p w14:paraId="146685E0">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投标人自行编制</w:t>
      </w:r>
    </w:p>
    <w:p w14:paraId="0661196F">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7.2</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项目实施方案</w:t>
      </w:r>
      <w:r>
        <w:rPr>
          <w:rFonts w:hint="eastAsia" w:ascii="仿宋" w:hAnsi="仿宋" w:eastAsia="仿宋" w:cs="仿宋"/>
          <w:color w:val="auto"/>
          <w:sz w:val="24"/>
          <w:szCs w:val="24"/>
          <w:highlight w:val="none"/>
        </w:rPr>
        <w:t>；</w:t>
      </w:r>
    </w:p>
    <w:p w14:paraId="659422E6">
      <w:pP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rPr>
        <w:t>投标人自行编制</w:t>
      </w:r>
    </w:p>
    <w:p w14:paraId="53C0B6B9">
      <w:pPr>
        <w:pStyle w:val="40"/>
        <w:rPr>
          <w:rFonts w:hint="default" w:ascii="仿宋" w:hAnsi="仿宋" w:eastAsia="仿宋" w:cs="仿宋"/>
          <w:color w:val="auto"/>
          <w:sz w:val="24"/>
          <w:szCs w:val="24"/>
          <w:highlight w:val="none"/>
          <w:vertAlign w:val="baseline"/>
          <w:lang w:val="en-US" w:eastAsia="zh-CN"/>
        </w:rPr>
      </w:pPr>
    </w:p>
    <w:p w14:paraId="4B179610">
      <w:pPr>
        <w:spacing w:line="360" w:lineRule="auto"/>
        <w:ind w:left="34"/>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8.商务要求（一标段）</w:t>
      </w:r>
    </w:p>
    <w:p w14:paraId="7DE70863">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8.1 售前、售中和售后服务</w:t>
      </w:r>
    </w:p>
    <w:p w14:paraId="72BD9E74">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投标人自行编制</w:t>
      </w:r>
    </w:p>
    <w:p w14:paraId="20E3EB64">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8.2</w:t>
      </w:r>
      <w:r>
        <w:rPr>
          <w:rFonts w:hint="eastAsia" w:ascii="仿宋" w:hAnsi="仿宋" w:eastAsia="仿宋" w:cs="仿宋"/>
          <w:color w:val="auto"/>
          <w:sz w:val="24"/>
          <w:szCs w:val="24"/>
          <w:highlight w:val="none"/>
        </w:rPr>
        <w:t>培训</w:t>
      </w:r>
    </w:p>
    <w:p w14:paraId="5F7C30B8">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投标人自行编制</w:t>
      </w:r>
    </w:p>
    <w:p w14:paraId="0BEA025C">
      <w:pP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8.3应激副反应处置承诺及措施</w:t>
      </w:r>
    </w:p>
    <w:p w14:paraId="6EBC5ADF">
      <w:pPr>
        <w:pStyle w:val="11"/>
        <w:rPr>
          <w:rFonts w:hint="default"/>
          <w:color w:val="auto"/>
          <w:highlight w:val="none"/>
          <w:lang w:val="en-US" w:eastAsia="zh-CN"/>
        </w:rPr>
      </w:pPr>
      <w:r>
        <w:rPr>
          <w:rFonts w:hint="eastAsia" w:ascii="仿宋" w:hAnsi="仿宋" w:eastAsia="仿宋" w:cs="仿宋"/>
          <w:color w:val="auto"/>
          <w:sz w:val="24"/>
          <w:szCs w:val="24"/>
          <w:highlight w:val="none"/>
        </w:rPr>
        <w:t>投标人自行编制</w:t>
      </w:r>
    </w:p>
    <w:p w14:paraId="46A7859A">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8.4</w:t>
      </w:r>
      <w:r>
        <w:rPr>
          <w:rFonts w:hint="eastAsia" w:ascii="仿宋" w:hAnsi="仿宋" w:eastAsia="仿宋" w:cs="仿宋"/>
          <w:color w:val="auto"/>
          <w:sz w:val="24"/>
          <w:szCs w:val="24"/>
          <w:highlight w:val="none"/>
        </w:rPr>
        <w:t>履约服务能力</w:t>
      </w:r>
    </w:p>
    <w:p w14:paraId="186EEC11">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投标人自行编制</w:t>
      </w:r>
    </w:p>
    <w:p w14:paraId="35D17349">
      <w:pPr>
        <w:rPr>
          <w:rFonts w:hint="eastAsia" w:ascii="仿宋" w:hAnsi="仿宋" w:eastAsia="仿宋" w:cs="仿宋"/>
          <w:color w:val="auto"/>
          <w:sz w:val="24"/>
          <w:szCs w:val="24"/>
          <w:highlight w:val="none"/>
        </w:rPr>
      </w:pPr>
    </w:p>
    <w:p w14:paraId="4D283042">
      <w:pPr>
        <w:rPr>
          <w:rFonts w:hint="eastAsia" w:ascii="仿宋" w:hAnsi="仿宋" w:eastAsia="仿宋" w:cs="仿宋"/>
          <w:color w:val="auto"/>
          <w:sz w:val="24"/>
          <w:szCs w:val="24"/>
          <w:highlight w:val="none"/>
        </w:rPr>
      </w:pPr>
    </w:p>
    <w:p w14:paraId="5FF32E00">
      <w:pPr>
        <w:rPr>
          <w:rFonts w:hint="eastAsia" w:ascii="仿宋" w:hAnsi="仿宋" w:eastAsia="仿宋" w:cs="仿宋"/>
          <w:color w:val="auto"/>
          <w:sz w:val="24"/>
          <w:szCs w:val="24"/>
          <w:highlight w:val="none"/>
        </w:rPr>
      </w:pPr>
    </w:p>
    <w:p w14:paraId="2E7B6A40">
      <w:pPr>
        <w:rPr>
          <w:rFonts w:hint="eastAsia" w:ascii="仿宋" w:hAnsi="仿宋" w:eastAsia="仿宋" w:cs="仿宋"/>
          <w:color w:val="auto"/>
          <w:sz w:val="24"/>
          <w:szCs w:val="24"/>
          <w:highlight w:val="none"/>
        </w:rPr>
      </w:pPr>
    </w:p>
    <w:p w14:paraId="377E57AB">
      <w:pPr>
        <w:rPr>
          <w:rFonts w:hint="eastAsia" w:ascii="仿宋" w:hAnsi="仿宋" w:eastAsia="仿宋" w:cs="仿宋"/>
          <w:color w:val="auto"/>
          <w:sz w:val="24"/>
          <w:szCs w:val="24"/>
          <w:highlight w:val="none"/>
        </w:rPr>
      </w:pPr>
    </w:p>
    <w:p w14:paraId="1B638811">
      <w:pPr>
        <w:rPr>
          <w:rFonts w:hint="eastAsia" w:ascii="仿宋" w:hAnsi="仿宋" w:eastAsia="仿宋" w:cs="仿宋"/>
          <w:color w:val="auto"/>
          <w:sz w:val="24"/>
          <w:szCs w:val="24"/>
          <w:highlight w:val="none"/>
        </w:rPr>
      </w:pPr>
    </w:p>
    <w:p w14:paraId="09D1AE3C">
      <w:pPr>
        <w:rPr>
          <w:rFonts w:hint="eastAsia" w:ascii="仿宋" w:hAnsi="仿宋" w:eastAsia="仿宋" w:cs="仿宋"/>
          <w:color w:val="auto"/>
          <w:sz w:val="24"/>
          <w:szCs w:val="24"/>
          <w:highlight w:val="none"/>
        </w:rPr>
      </w:pPr>
    </w:p>
    <w:p w14:paraId="7FA24A26">
      <w:pPr>
        <w:rPr>
          <w:rFonts w:hint="eastAsia" w:ascii="仿宋" w:hAnsi="仿宋" w:eastAsia="仿宋" w:cs="仿宋"/>
          <w:color w:val="auto"/>
          <w:sz w:val="24"/>
          <w:szCs w:val="24"/>
          <w:highlight w:val="none"/>
        </w:rPr>
      </w:pPr>
    </w:p>
    <w:p w14:paraId="3256B716">
      <w:pPr>
        <w:rPr>
          <w:rFonts w:hint="eastAsia" w:ascii="仿宋" w:hAnsi="仿宋" w:eastAsia="仿宋" w:cs="仿宋"/>
          <w:color w:val="auto"/>
          <w:sz w:val="24"/>
          <w:szCs w:val="24"/>
          <w:highlight w:val="none"/>
        </w:rPr>
      </w:pPr>
    </w:p>
    <w:p w14:paraId="3E6ACA66">
      <w:pPr>
        <w:rPr>
          <w:rFonts w:hint="eastAsia" w:ascii="仿宋" w:hAnsi="仿宋" w:eastAsia="仿宋" w:cs="仿宋"/>
          <w:color w:val="auto"/>
          <w:sz w:val="24"/>
          <w:szCs w:val="24"/>
          <w:highlight w:val="none"/>
        </w:rPr>
      </w:pPr>
    </w:p>
    <w:p w14:paraId="51F060C3">
      <w:pPr>
        <w:rPr>
          <w:rFonts w:hint="eastAsia" w:ascii="仿宋" w:hAnsi="仿宋" w:eastAsia="仿宋" w:cs="仿宋"/>
          <w:color w:val="auto"/>
          <w:sz w:val="24"/>
          <w:szCs w:val="24"/>
          <w:highlight w:val="none"/>
        </w:rPr>
      </w:pPr>
    </w:p>
    <w:p w14:paraId="07E1D990">
      <w:pPr>
        <w:rPr>
          <w:rFonts w:hint="eastAsia" w:ascii="仿宋" w:hAnsi="仿宋" w:eastAsia="仿宋" w:cs="仿宋"/>
          <w:color w:val="auto"/>
          <w:sz w:val="24"/>
          <w:szCs w:val="24"/>
          <w:highlight w:val="none"/>
        </w:rPr>
      </w:pPr>
    </w:p>
    <w:p w14:paraId="36049D11">
      <w:pPr>
        <w:rPr>
          <w:rFonts w:hint="eastAsia" w:ascii="仿宋" w:hAnsi="仿宋" w:eastAsia="仿宋" w:cs="仿宋"/>
          <w:color w:val="auto"/>
          <w:sz w:val="24"/>
          <w:szCs w:val="24"/>
          <w:highlight w:val="none"/>
        </w:rPr>
      </w:pPr>
    </w:p>
    <w:p w14:paraId="590D5183">
      <w:pPr>
        <w:rPr>
          <w:rFonts w:hint="eastAsia" w:ascii="仿宋" w:hAnsi="仿宋" w:eastAsia="仿宋" w:cs="仿宋"/>
          <w:color w:val="auto"/>
          <w:sz w:val="24"/>
          <w:szCs w:val="24"/>
          <w:highlight w:val="none"/>
        </w:rPr>
      </w:pPr>
    </w:p>
    <w:p w14:paraId="31FED140">
      <w:pPr>
        <w:rPr>
          <w:rFonts w:hint="eastAsia" w:ascii="仿宋" w:hAnsi="仿宋" w:eastAsia="仿宋" w:cs="仿宋"/>
          <w:color w:val="auto"/>
          <w:sz w:val="24"/>
          <w:szCs w:val="24"/>
          <w:highlight w:val="none"/>
        </w:rPr>
      </w:pPr>
    </w:p>
    <w:p w14:paraId="0E57B481">
      <w:pPr>
        <w:rPr>
          <w:rFonts w:hint="eastAsia" w:ascii="仿宋" w:hAnsi="仿宋" w:eastAsia="仿宋" w:cs="仿宋"/>
          <w:color w:val="auto"/>
          <w:sz w:val="24"/>
          <w:szCs w:val="24"/>
          <w:highlight w:val="none"/>
        </w:rPr>
      </w:pPr>
    </w:p>
    <w:p w14:paraId="674AA9A2">
      <w:pPr>
        <w:rPr>
          <w:rFonts w:hint="eastAsia" w:ascii="仿宋" w:hAnsi="仿宋" w:eastAsia="仿宋" w:cs="仿宋"/>
          <w:color w:val="auto"/>
          <w:sz w:val="24"/>
          <w:szCs w:val="24"/>
          <w:highlight w:val="none"/>
        </w:rPr>
      </w:pPr>
    </w:p>
    <w:p w14:paraId="4B90F882">
      <w:pPr>
        <w:rPr>
          <w:rFonts w:hint="eastAsia" w:ascii="仿宋" w:hAnsi="仿宋" w:eastAsia="仿宋" w:cs="仿宋"/>
          <w:color w:val="auto"/>
          <w:sz w:val="24"/>
          <w:szCs w:val="24"/>
          <w:highlight w:val="none"/>
        </w:rPr>
      </w:pPr>
    </w:p>
    <w:p w14:paraId="42FA826A">
      <w:pPr>
        <w:rPr>
          <w:rFonts w:hint="eastAsia" w:ascii="仿宋" w:hAnsi="仿宋" w:eastAsia="仿宋" w:cs="仿宋"/>
          <w:color w:val="auto"/>
          <w:sz w:val="24"/>
          <w:szCs w:val="24"/>
          <w:highlight w:val="none"/>
        </w:rPr>
      </w:pPr>
    </w:p>
    <w:p w14:paraId="6C35E930">
      <w:pPr>
        <w:rPr>
          <w:rFonts w:hint="eastAsia" w:ascii="仿宋" w:hAnsi="仿宋" w:eastAsia="仿宋" w:cs="仿宋"/>
          <w:color w:val="auto"/>
          <w:sz w:val="24"/>
          <w:szCs w:val="24"/>
          <w:highlight w:val="none"/>
        </w:rPr>
      </w:pPr>
    </w:p>
    <w:p w14:paraId="6B6242B3">
      <w:pPr>
        <w:rPr>
          <w:rFonts w:hint="eastAsia" w:ascii="仿宋" w:hAnsi="仿宋" w:eastAsia="仿宋" w:cs="仿宋"/>
          <w:color w:val="auto"/>
          <w:sz w:val="24"/>
          <w:szCs w:val="24"/>
          <w:highlight w:val="none"/>
        </w:rPr>
      </w:pPr>
    </w:p>
    <w:p w14:paraId="1F829D4B">
      <w:pPr>
        <w:rPr>
          <w:rFonts w:hint="eastAsia" w:ascii="仿宋" w:hAnsi="仿宋" w:eastAsia="仿宋" w:cs="仿宋"/>
          <w:color w:val="auto"/>
          <w:sz w:val="24"/>
          <w:szCs w:val="24"/>
          <w:highlight w:val="none"/>
        </w:rPr>
      </w:pPr>
    </w:p>
    <w:p w14:paraId="1207E2C5">
      <w:pPr>
        <w:rPr>
          <w:rFonts w:hint="eastAsia" w:ascii="仿宋" w:hAnsi="仿宋" w:eastAsia="仿宋" w:cs="仿宋"/>
          <w:color w:val="auto"/>
          <w:sz w:val="24"/>
          <w:szCs w:val="24"/>
          <w:highlight w:val="none"/>
        </w:rPr>
      </w:pPr>
    </w:p>
    <w:p w14:paraId="25F8AFC7">
      <w:pPr>
        <w:rPr>
          <w:rFonts w:hint="eastAsia" w:ascii="仿宋" w:hAnsi="仿宋" w:eastAsia="仿宋" w:cs="仿宋"/>
          <w:color w:val="auto"/>
          <w:sz w:val="24"/>
          <w:szCs w:val="24"/>
          <w:highlight w:val="none"/>
        </w:rPr>
      </w:pPr>
    </w:p>
    <w:p w14:paraId="2C447B13">
      <w:pPr>
        <w:rPr>
          <w:rFonts w:hint="eastAsia" w:ascii="仿宋" w:hAnsi="仿宋" w:eastAsia="仿宋" w:cs="仿宋"/>
          <w:color w:val="auto"/>
          <w:sz w:val="24"/>
          <w:szCs w:val="24"/>
          <w:highlight w:val="none"/>
        </w:rPr>
      </w:pPr>
    </w:p>
    <w:p w14:paraId="77EF64D0">
      <w:pPr>
        <w:rPr>
          <w:rFonts w:hint="eastAsia" w:ascii="仿宋" w:hAnsi="仿宋" w:eastAsia="仿宋" w:cs="仿宋"/>
          <w:color w:val="auto"/>
          <w:sz w:val="24"/>
          <w:szCs w:val="24"/>
          <w:highlight w:val="none"/>
        </w:rPr>
      </w:pPr>
    </w:p>
    <w:p w14:paraId="365312A1">
      <w:pPr>
        <w:rPr>
          <w:rFonts w:hint="eastAsia" w:ascii="仿宋" w:hAnsi="仿宋" w:eastAsia="仿宋" w:cs="仿宋"/>
          <w:color w:val="auto"/>
          <w:sz w:val="24"/>
          <w:szCs w:val="24"/>
          <w:highlight w:val="none"/>
        </w:rPr>
      </w:pPr>
    </w:p>
    <w:p w14:paraId="0230924E">
      <w:pPr>
        <w:rPr>
          <w:rFonts w:hint="eastAsia" w:ascii="仿宋" w:hAnsi="仿宋" w:eastAsia="仿宋" w:cs="仿宋"/>
          <w:color w:val="auto"/>
          <w:sz w:val="24"/>
          <w:szCs w:val="24"/>
          <w:highlight w:val="none"/>
        </w:rPr>
      </w:pPr>
    </w:p>
    <w:p w14:paraId="54C5B9F1">
      <w:pPr>
        <w:spacing w:line="360" w:lineRule="auto"/>
        <w:ind w:left="34"/>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9.政策性评审因素</w:t>
      </w:r>
    </w:p>
    <w:p w14:paraId="7E447BA9">
      <w:pPr>
        <w:snapToGrid w:val="0"/>
        <w:spacing w:line="360" w:lineRule="auto"/>
        <w:jc w:val="left"/>
        <w:rPr>
          <w:rFonts w:hint="eastAsia"/>
          <w:color w:val="auto"/>
          <w:highlight w:val="none"/>
        </w:rPr>
      </w:pPr>
      <w:r>
        <w:rPr>
          <w:rFonts w:hint="eastAsia" w:ascii="仿宋" w:hAnsi="仿宋" w:eastAsia="仿宋" w:cs="仿宋"/>
          <w:b w:val="0"/>
          <w:bCs w:val="0"/>
          <w:color w:val="auto"/>
          <w:sz w:val="24"/>
          <w:szCs w:val="24"/>
          <w:highlight w:val="none"/>
        </w:rPr>
        <w:t>政府采购政策功能（如有提供）</w:t>
      </w:r>
    </w:p>
    <w:p w14:paraId="6F204640">
      <w:pPr>
        <w:pStyle w:val="3"/>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（一）中小企业声明函（货物）</w:t>
      </w:r>
    </w:p>
    <w:p w14:paraId="6B0131E3">
      <w:pPr>
        <w:adjustRightInd w:val="0"/>
        <w:snapToGrid w:val="0"/>
        <w:spacing w:line="360" w:lineRule="auto"/>
        <w:ind w:left="1"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本公司（联合体）郑重声明，根据《政府采购促进中小企业发展管理办法》（财库﹝2020﹞46 号）的规定，本公司 （联合体）参加（单位名称）的（项目名称）采购活动，提 供的货物全部由符合政策要求的中小企业制造。相关企业 （含联合体中的中小企业、签订分包意向协议的中小企业） 的具体情况如下：</w:t>
      </w:r>
    </w:p>
    <w:p w14:paraId="2DA6B578">
      <w:pPr>
        <w:adjustRightInd w:val="0"/>
        <w:snapToGrid w:val="0"/>
        <w:spacing w:line="360" w:lineRule="auto"/>
        <w:ind w:left="1"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 </w:t>
      </w:r>
      <w:r>
        <w:rPr>
          <w:rFonts w:hint="eastAsia" w:ascii="仿宋" w:hAnsi="仿宋" w:eastAsia="仿宋" w:cs="仿宋"/>
          <w:color w:val="auto"/>
          <w:sz w:val="24"/>
          <w:szCs w:val="24"/>
          <w:highlight w:val="none"/>
          <w:u w:val="single"/>
        </w:rPr>
        <w:t xml:space="preserve">（标的名称） </w:t>
      </w:r>
      <w:r>
        <w:rPr>
          <w:rFonts w:hint="eastAsia" w:ascii="仿宋" w:hAnsi="仿宋" w:eastAsia="仿宋" w:cs="仿宋"/>
          <w:color w:val="auto"/>
          <w:sz w:val="24"/>
          <w:szCs w:val="24"/>
          <w:highlight w:val="none"/>
        </w:rPr>
        <w:t>，属于</w:t>
      </w:r>
      <w:r>
        <w:rPr>
          <w:rFonts w:hint="eastAsia" w:ascii="仿宋" w:hAnsi="仿宋" w:eastAsia="仿宋" w:cs="仿宋"/>
          <w:b w:val="0"/>
          <w:bCs w:val="0"/>
          <w:color w:val="auto"/>
          <w:sz w:val="24"/>
          <w:szCs w:val="24"/>
          <w:highlight w:val="none"/>
          <w:u w:val="single"/>
        </w:rPr>
        <w:t>（</w:t>
      </w:r>
      <w:r>
        <w:rPr>
          <w:rFonts w:hint="eastAsia" w:ascii="仿宋" w:hAnsi="仿宋" w:eastAsia="仿宋" w:cs="仿宋"/>
          <w:b w:val="0"/>
          <w:bCs w:val="0"/>
          <w:color w:val="auto"/>
          <w:sz w:val="24"/>
          <w:szCs w:val="24"/>
          <w:highlight w:val="none"/>
          <w:u w:val="single"/>
          <w:lang w:val="en-US" w:eastAsia="zh-CN"/>
        </w:rPr>
        <w:t>工业</w:t>
      </w:r>
      <w:r>
        <w:rPr>
          <w:rFonts w:hint="eastAsia" w:ascii="仿宋" w:hAnsi="仿宋" w:eastAsia="仿宋" w:cs="仿宋"/>
          <w:b w:val="0"/>
          <w:bCs w:val="0"/>
          <w:color w:val="auto"/>
          <w:sz w:val="24"/>
          <w:szCs w:val="24"/>
          <w:highlight w:val="none"/>
          <w:u w:val="singl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 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w:t>
      </w:r>
      <w:r>
        <w:rPr>
          <w:rFonts w:hint="eastAsia" w:ascii="仿宋" w:hAnsi="仿宋" w:eastAsia="仿宋" w:cs="仿宋"/>
          <w:color w:val="auto"/>
          <w:sz w:val="24"/>
          <w:szCs w:val="24"/>
          <w:highlight w:val="none"/>
          <w:vertAlign w:val="superscript"/>
        </w:rPr>
        <w:t>1</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（中型企业、小 型企业、微型企业）</w:t>
      </w:r>
      <w:r>
        <w:rPr>
          <w:rFonts w:hint="eastAsia" w:ascii="仿宋" w:hAnsi="仿宋" w:eastAsia="仿宋" w:cs="仿宋"/>
          <w:color w:val="auto"/>
          <w:sz w:val="24"/>
          <w:szCs w:val="24"/>
          <w:highlight w:val="none"/>
        </w:rPr>
        <w:t xml:space="preserve">； </w:t>
      </w:r>
    </w:p>
    <w:p w14:paraId="68501F10">
      <w:pPr>
        <w:adjustRightInd w:val="0"/>
        <w:snapToGrid w:val="0"/>
        <w:spacing w:line="360" w:lineRule="auto"/>
        <w:ind w:left="1"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 xml:space="preserve"> （标的名称）</w:t>
      </w:r>
      <w:r>
        <w:rPr>
          <w:rFonts w:hint="eastAsia" w:ascii="仿宋" w:hAnsi="仿宋" w:eastAsia="仿宋" w:cs="仿宋"/>
          <w:color w:val="auto"/>
          <w:sz w:val="24"/>
          <w:szCs w:val="24"/>
          <w:highlight w:val="none"/>
        </w:rPr>
        <w:t xml:space="preserve"> ，属于</w:t>
      </w:r>
      <w:r>
        <w:rPr>
          <w:rFonts w:hint="eastAsia" w:ascii="仿宋" w:hAnsi="仿宋" w:eastAsia="仿宋" w:cs="仿宋"/>
          <w:color w:val="auto"/>
          <w:sz w:val="24"/>
          <w:szCs w:val="24"/>
          <w:highlight w:val="none"/>
          <w:u w:val="single"/>
        </w:rPr>
        <w:t xml:space="preserve">（采购文件中明确的所属行业） </w:t>
      </w:r>
      <w:r>
        <w:rPr>
          <w:rFonts w:hint="eastAsia" w:ascii="仿宋" w:hAnsi="仿宋" w:eastAsia="仿宋" w:cs="仿宋"/>
          <w:color w:val="auto"/>
          <w:sz w:val="24"/>
          <w:szCs w:val="24"/>
          <w:highlight w:val="none"/>
        </w:rPr>
        <w:t>行业；制造商为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rPr>
        <w:t>（中型企业、小型企业、微型企业）</w:t>
      </w:r>
      <w:r>
        <w:rPr>
          <w:rFonts w:hint="eastAsia" w:ascii="仿宋" w:hAnsi="仿宋" w:eastAsia="仿宋" w:cs="仿宋"/>
          <w:color w:val="auto"/>
          <w:sz w:val="24"/>
          <w:szCs w:val="24"/>
          <w:highlight w:val="none"/>
        </w:rPr>
        <w:t>；</w:t>
      </w:r>
    </w:p>
    <w:p w14:paraId="1319C1F4">
      <w:pPr>
        <w:adjustRightInd w:val="0"/>
        <w:snapToGrid w:val="0"/>
        <w:spacing w:line="360" w:lineRule="auto"/>
        <w:ind w:left="1"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 </w:t>
      </w:r>
    </w:p>
    <w:p w14:paraId="74937925">
      <w:pPr>
        <w:adjustRightInd w:val="0"/>
        <w:snapToGrid w:val="0"/>
        <w:spacing w:line="360" w:lineRule="auto"/>
        <w:ind w:left="1"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以上企业，不属于大企业的分支机构，不存在控股股东 为大企业的情形，也不存在与大企业的负责人为同一人的情形。</w:t>
      </w:r>
    </w:p>
    <w:p w14:paraId="342E1056">
      <w:pPr>
        <w:adjustRightInd w:val="0"/>
        <w:snapToGrid w:val="0"/>
        <w:spacing w:line="360" w:lineRule="auto"/>
        <w:ind w:left="1"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 </w:t>
      </w:r>
    </w:p>
    <w:p w14:paraId="39604C58">
      <w:pPr>
        <w:adjustRightInd w:val="0"/>
        <w:snapToGrid w:val="0"/>
        <w:spacing w:line="360" w:lineRule="auto"/>
        <w:ind w:left="1" w:firstLine="480" w:firstLineChars="200"/>
        <w:jc w:val="left"/>
        <w:rPr>
          <w:rFonts w:hint="eastAsia" w:ascii="仿宋" w:hAnsi="仿宋" w:eastAsia="仿宋" w:cs="仿宋"/>
          <w:color w:val="auto"/>
          <w:sz w:val="24"/>
          <w:szCs w:val="24"/>
          <w:highlight w:val="none"/>
        </w:rPr>
      </w:pPr>
    </w:p>
    <w:p w14:paraId="7DFB34CC">
      <w:pPr>
        <w:adjustRightInd w:val="0"/>
        <w:snapToGrid w:val="0"/>
        <w:spacing w:line="360" w:lineRule="auto"/>
        <w:ind w:left="1"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企业名称（盖章）： </w:t>
      </w:r>
    </w:p>
    <w:p w14:paraId="73371BCF">
      <w:pPr>
        <w:adjustRightInd w:val="0"/>
        <w:snapToGrid w:val="0"/>
        <w:spacing w:line="360" w:lineRule="auto"/>
        <w:ind w:left="1"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w:t>
      </w:r>
    </w:p>
    <w:p w14:paraId="1C582639">
      <w:pPr>
        <w:adjustRightInd w:val="0"/>
        <w:snapToGrid w:val="0"/>
        <w:spacing w:line="360" w:lineRule="auto"/>
        <w:ind w:left="1" w:firstLine="480" w:firstLineChars="200"/>
        <w:jc w:val="left"/>
        <w:rPr>
          <w:rFonts w:hint="eastAsia" w:ascii="仿宋" w:hAnsi="仿宋" w:eastAsia="仿宋" w:cs="仿宋"/>
          <w:color w:val="auto"/>
          <w:sz w:val="24"/>
          <w:szCs w:val="24"/>
          <w:highlight w:val="none"/>
        </w:rPr>
      </w:pPr>
    </w:p>
    <w:p w14:paraId="63327523">
      <w:pPr>
        <w:adjustRightInd w:val="0"/>
        <w:snapToGrid w:val="0"/>
        <w:spacing w:line="360" w:lineRule="auto"/>
        <w:ind w:left="1"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vertAlign w:val="superscript"/>
        </w:rPr>
        <w:t>1</w:t>
      </w:r>
      <w:r>
        <w:rPr>
          <w:rFonts w:hint="eastAsia" w:ascii="仿宋" w:hAnsi="仿宋" w:eastAsia="仿宋" w:cs="仿宋"/>
          <w:color w:val="auto"/>
          <w:sz w:val="24"/>
          <w:szCs w:val="24"/>
          <w:highlight w:val="none"/>
          <w:u w:val="single"/>
        </w:rPr>
        <w:t>从业人员、营业收入、资产总额填报上一年度数据，无上一年度数据的新成立企业可不填报。</w:t>
      </w:r>
    </w:p>
    <w:p w14:paraId="1145EEB7">
      <w:pPr>
        <w:adjustRightInd w:val="0"/>
        <w:snapToGrid w:val="0"/>
        <w:spacing w:line="360" w:lineRule="auto"/>
        <w:ind w:firstLine="7440" w:firstLineChars="3100"/>
        <w:rPr>
          <w:rFonts w:hint="eastAsia" w:ascii="仿宋" w:hAnsi="仿宋" w:eastAsia="仿宋" w:cs="仿宋"/>
          <w:color w:val="auto"/>
          <w:sz w:val="24"/>
          <w:szCs w:val="24"/>
          <w:highlight w:val="none"/>
        </w:rPr>
      </w:pPr>
    </w:p>
    <w:p w14:paraId="504284FA">
      <w:pPr>
        <w:adjustRightInd w:val="0"/>
        <w:snapToGrid w:val="0"/>
        <w:spacing w:line="360" w:lineRule="auto"/>
        <w:ind w:left="0" w:leftChars="0" w:firstLine="0" w:firstLineChars="0"/>
        <w:jc w:val="center"/>
        <w:rPr>
          <w:rFonts w:hint="eastAsia" w:ascii="仿宋" w:hAnsi="仿宋" w:eastAsia="仿宋" w:cs="仿宋"/>
          <w:color w:val="auto"/>
          <w:sz w:val="24"/>
          <w:szCs w:val="24"/>
          <w:highlight w:val="none"/>
        </w:rPr>
      </w:pPr>
    </w:p>
    <w:p w14:paraId="41E94BCA">
      <w:pPr>
        <w:pStyle w:val="40"/>
        <w:rPr>
          <w:rFonts w:hint="eastAsia" w:ascii="仿宋" w:hAnsi="仿宋" w:eastAsia="仿宋" w:cs="仿宋"/>
          <w:color w:val="auto"/>
          <w:sz w:val="24"/>
          <w:szCs w:val="24"/>
          <w:highlight w:val="none"/>
        </w:rPr>
      </w:pPr>
    </w:p>
    <w:p w14:paraId="6DB1AE25">
      <w:pPr>
        <w:pStyle w:val="40"/>
        <w:rPr>
          <w:rFonts w:hint="eastAsia" w:ascii="仿宋" w:hAnsi="仿宋" w:eastAsia="仿宋" w:cs="仿宋"/>
          <w:color w:val="auto"/>
          <w:sz w:val="24"/>
          <w:szCs w:val="24"/>
          <w:highlight w:val="none"/>
        </w:rPr>
      </w:pPr>
    </w:p>
    <w:p w14:paraId="330D013A">
      <w:pPr>
        <w:pStyle w:val="40"/>
        <w:rPr>
          <w:rFonts w:hint="eastAsia" w:ascii="仿宋" w:hAnsi="仿宋" w:eastAsia="仿宋" w:cs="仿宋"/>
          <w:color w:val="auto"/>
          <w:sz w:val="24"/>
          <w:szCs w:val="24"/>
          <w:highlight w:val="none"/>
        </w:rPr>
      </w:pPr>
    </w:p>
    <w:p w14:paraId="5978F367">
      <w:pPr>
        <w:pStyle w:val="40"/>
        <w:rPr>
          <w:rFonts w:hint="eastAsia" w:ascii="仿宋" w:hAnsi="仿宋" w:eastAsia="仿宋" w:cs="仿宋"/>
          <w:color w:val="auto"/>
          <w:sz w:val="24"/>
          <w:szCs w:val="24"/>
          <w:highlight w:val="none"/>
        </w:rPr>
      </w:pPr>
    </w:p>
    <w:p w14:paraId="2061FB63">
      <w:pPr>
        <w:pStyle w:val="40"/>
        <w:rPr>
          <w:rFonts w:hint="eastAsia" w:ascii="仿宋" w:hAnsi="仿宋" w:eastAsia="仿宋" w:cs="仿宋"/>
          <w:color w:val="auto"/>
          <w:sz w:val="24"/>
          <w:szCs w:val="24"/>
          <w:highlight w:val="none"/>
        </w:rPr>
      </w:pPr>
    </w:p>
    <w:p w14:paraId="69E6E1EC">
      <w:pPr>
        <w:pStyle w:val="40"/>
        <w:rPr>
          <w:rFonts w:hint="eastAsia" w:ascii="仿宋" w:hAnsi="仿宋" w:eastAsia="仿宋" w:cs="仿宋"/>
          <w:color w:val="auto"/>
          <w:sz w:val="24"/>
          <w:szCs w:val="24"/>
          <w:highlight w:val="none"/>
        </w:rPr>
      </w:pPr>
    </w:p>
    <w:p w14:paraId="1DA820A2">
      <w:pPr>
        <w:pStyle w:val="40"/>
        <w:rPr>
          <w:rFonts w:hint="eastAsia" w:ascii="仿宋" w:hAnsi="仿宋" w:eastAsia="仿宋" w:cs="仿宋"/>
          <w:color w:val="auto"/>
          <w:sz w:val="24"/>
          <w:szCs w:val="24"/>
          <w:highlight w:val="none"/>
        </w:rPr>
      </w:pPr>
    </w:p>
    <w:p w14:paraId="4F41CA5B">
      <w:pPr>
        <w:rPr>
          <w:rFonts w:hint="eastAsia" w:ascii="仿宋" w:hAnsi="仿宋" w:eastAsia="仿宋" w:cs="仿宋"/>
          <w:color w:val="auto"/>
          <w:sz w:val="24"/>
          <w:szCs w:val="24"/>
          <w:highlight w:val="none"/>
        </w:rPr>
      </w:pPr>
    </w:p>
    <w:p w14:paraId="3AE08808">
      <w:pPr>
        <w:pStyle w:val="3"/>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(二)残疾人福利性单位声明函</w:t>
      </w:r>
    </w:p>
    <w:p w14:paraId="314D5A75">
      <w:pPr>
        <w:adjustRightInd w:val="0"/>
        <w:snapToGrid w:val="0"/>
        <w:spacing w:line="360" w:lineRule="auto"/>
        <w:ind w:left="-4" w:leftChars="-2"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692B742">
      <w:pPr>
        <w:adjustRightInd w:val="0"/>
        <w:snapToGrid w:val="0"/>
        <w:spacing w:line="360" w:lineRule="auto"/>
        <w:ind w:left="-4" w:leftChars="-2"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本单位对上述声明的真实性负责。如有虚假，将依法承担相应责任。</w:t>
      </w:r>
    </w:p>
    <w:p w14:paraId="7A59DDD9">
      <w:pPr>
        <w:adjustRightInd w:val="0"/>
        <w:snapToGrid w:val="0"/>
        <w:spacing w:line="360" w:lineRule="auto"/>
        <w:ind w:left="-4" w:leftChars="-2" w:right="120" w:firstLine="6960" w:firstLineChars="29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企业名称（盖章）：</w:t>
      </w:r>
    </w:p>
    <w:p w14:paraId="5E46660C">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p>
    <w:p w14:paraId="5BC6E692">
      <w:pPr>
        <w:spacing w:line="360" w:lineRule="auto"/>
        <w:jc w:val="left"/>
        <w:rPr>
          <w:rFonts w:hint="eastAsia" w:ascii="仿宋" w:hAnsi="仿宋" w:eastAsia="仿宋" w:cs="仿宋"/>
          <w:color w:val="auto"/>
          <w:sz w:val="24"/>
          <w:szCs w:val="24"/>
          <w:highlight w:val="none"/>
        </w:rPr>
      </w:pPr>
    </w:p>
    <w:p w14:paraId="2051E17C">
      <w:pPr>
        <w:pStyle w:val="2"/>
        <w:outlineLvl w:val="9"/>
        <w:rPr>
          <w:rFonts w:hint="eastAsia" w:ascii="仿宋" w:hAnsi="仿宋" w:eastAsia="仿宋" w:cs="仿宋"/>
          <w:color w:val="auto"/>
          <w:sz w:val="24"/>
          <w:szCs w:val="24"/>
          <w:highlight w:val="none"/>
        </w:rPr>
      </w:pPr>
    </w:p>
    <w:p w14:paraId="4A74B70B">
      <w:pPr>
        <w:rPr>
          <w:rFonts w:hint="eastAsia"/>
          <w:color w:val="auto"/>
          <w:highlight w:val="none"/>
          <w:lang w:val="en-US" w:eastAsia="zh-CN"/>
        </w:rPr>
      </w:pPr>
    </w:p>
    <w:p w14:paraId="09B24DB6">
      <w:pPr>
        <w:pStyle w:val="3"/>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（三）监狱企业</w:t>
      </w:r>
    </w:p>
    <w:p w14:paraId="458C7BA4">
      <w:pPr>
        <w:adjustRightInd w:val="0"/>
        <w:snapToGrid w:val="0"/>
        <w:spacing w:line="360" w:lineRule="auto"/>
        <w:ind w:left="-4" w:leftChars="-2"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514D498">
      <w:pPr>
        <w:adjustRightInd w:val="0"/>
        <w:snapToGrid w:val="0"/>
        <w:spacing w:line="360" w:lineRule="auto"/>
        <w:ind w:left="-4" w:leftChars="-2" w:firstLine="480" w:firstLineChars="200"/>
        <w:rPr>
          <w:rFonts w:hint="eastAsia" w:ascii="仿宋" w:hAnsi="仿宋" w:eastAsia="仿宋" w:cs="仿宋"/>
          <w:color w:val="auto"/>
          <w:sz w:val="24"/>
          <w:szCs w:val="24"/>
          <w:highlight w:val="none"/>
        </w:rPr>
      </w:pPr>
    </w:p>
    <w:p w14:paraId="245F7EE2">
      <w:pPr>
        <w:adjustRightInd w:val="0"/>
        <w:snapToGrid w:val="0"/>
        <w:spacing w:line="360" w:lineRule="auto"/>
        <w:ind w:left="-4" w:leftChars="-2" w:firstLine="480" w:firstLineChars="200"/>
        <w:rPr>
          <w:rFonts w:hint="eastAsia" w:ascii="仿宋" w:hAnsi="仿宋" w:eastAsia="仿宋" w:cs="仿宋"/>
          <w:color w:val="auto"/>
          <w:sz w:val="24"/>
          <w:szCs w:val="24"/>
          <w:highlight w:val="none"/>
        </w:rPr>
      </w:pPr>
    </w:p>
    <w:p w14:paraId="5A74B263">
      <w:pPr>
        <w:adjustRightInd w:val="0"/>
        <w:snapToGrid w:val="0"/>
        <w:spacing w:line="360" w:lineRule="auto"/>
        <w:ind w:left="-4" w:leftChars="-2" w:firstLine="480" w:firstLineChars="200"/>
        <w:rPr>
          <w:rFonts w:hint="eastAsia" w:ascii="仿宋" w:hAnsi="仿宋" w:eastAsia="仿宋" w:cs="仿宋"/>
          <w:color w:val="auto"/>
          <w:sz w:val="24"/>
          <w:szCs w:val="24"/>
          <w:highlight w:val="none"/>
        </w:rPr>
      </w:pPr>
    </w:p>
    <w:p w14:paraId="390E12B9">
      <w:pPr>
        <w:adjustRightInd w:val="0"/>
        <w:snapToGrid w:val="0"/>
        <w:spacing w:line="360" w:lineRule="auto"/>
        <w:ind w:left="-4" w:leftChars="-2" w:firstLine="480" w:firstLineChars="200"/>
        <w:rPr>
          <w:rFonts w:hint="eastAsia" w:ascii="仿宋" w:hAnsi="仿宋" w:eastAsia="仿宋" w:cs="仿宋"/>
          <w:color w:val="auto"/>
          <w:sz w:val="24"/>
          <w:szCs w:val="24"/>
          <w:highlight w:val="none"/>
        </w:rPr>
      </w:pPr>
    </w:p>
    <w:p w14:paraId="125DEC06">
      <w:pPr>
        <w:adjustRightInd w:val="0"/>
        <w:snapToGrid w:val="0"/>
        <w:spacing w:line="360" w:lineRule="auto"/>
        <w:ind w:left="-4" w:leftChars="-2" w:firstLine="480" w:firstLineChars="200"/>
        <w:rPr>
          <w:rFonts w:hint="eastAsia" w:ascii="仿宋" w:hAnsi="仿宋" w:eastAsia="仿宋" w:cs="仿宋"/>
          <w:color w:val="auto"/>
          <w:sz w:val="24"/>
          <w:szCs w:val="24"/>
          <w:highlight w:val="none"/>
        </w:rPr>
      </w:pPr>
    </w:p>
    <w:p w14:paraId="3219E04B">
      <w:pPr>
        <w:adjustRightInd w:val="0"/>
        <w:snapToGrid w:val="0"/>
        <w:spacing w:line="360" w:lineRule="auto"/>
        <w:ind w:left="-4" w:leftChars="-2" w:firstLine="480" w:firstLineChars="200"/>
        <w:rPr>
          <w:rFonts w:hint="eastAsia" w:ascii="仿宋" w:hAnsi="仿宋" w:eastAsia="仿宋" w:cs="仿宋"/>
          <w:color w:val="auto"/>
          <w:sz w:val="24"/>
          <w:szCs w:val="24"/>
          <w:highlight w:val="none"/>
        </w:rPr>
      </w:pPr>
    </w:p>
    <w:p w14:paraId="21F02543">
      <w:pPr>
        <w:adjustRightInd w:val="0"/>
        <w:snapToGrid w:val="0"/>
        <w:spacing w:line="360" w:lineRule="auto"/>
        <w:ind w:left="-4" w:leftChars="-2" w:firstLine="480" w:firstLineChars="200"/>
        <w:rPr>
          <w:rFonts w:hint="eastAsia" w:ascii="仿宋" w:hAnsi="仿宋" w:eastAsia="仿宋" w:cs="仿宋"/>
          <w:color w:val="auto"/>
          <w:sz w:val="24"/>
          <w:szCs w:val="24"/>
          <w:highlight w:val="none"/>
        </w:rPr>
      </w:pPr>
    </w:p>
    <w:p w14:paraId="447DE0B4">
      <w:pPr>
        <w:pStyle w:val="3"/>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（四）关于符合本国产品标准的声明函</w:t>
      </w:r>
    </w:p>
    <w:p w14:paraId="1944967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740D338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u w:val="single"/>
          <w:lang w:val="en-US" w:eastAsia="zh-CN"/>
        </w:rPr>
        <w:t>（产品名称1）</w:t>
      </w:r>
      <w:r>
        <w:rPr>
          <w:rFonts w:hint="eastAsia" w:ascii="仿宋" w:hAnsi="仿宋" w:eastAsia="仿宋" w:cs="仿宋"/>
          <w:color w:val="auto"/>
          <w:sz w:val="24"/>
          <w:szCs w:val="24"/>
          <w:highlight w:val="none"/>
          <w:lang w:val="en-US" w:eastAsia="zh-CN"/>
        </w:rPr>
        <w:t>1，生产厂为</w:t>
      </w:r>
      <w:r>
        <w:rPr>
          <w:rFonts w:hint="eastAsia" w:ascii="仿宋" w:hAnsi="仿宋" w:eastAsia="仿宋" w:cs="仿宋"/>
          <w:color w:val="auto"/>
          <w:sz w:val="24"/>
          <w:szCs w:val="24"/>
          <w:highlight w:val="none"/>
          <w:u w:val="single"/>
          <w:lang w:val="en-US" w:eastAsia="zh-CN"/>
        </w:rPr>
        <w:t>（厂名）</w:t>
      </w:r>
      <w:r>
        <w:rPr>
          <w:rFonts w:hint="eastAsia" w:ascii="仿宋" w:hAnsi="仿宋" w:eastAsia="仿宋" w:cs="仿宋"/>
          <w:color w:val="auto"/>
          <w:sz w:val="24"/>
          <w:szCs w:val="24"/>
          <w:highlight w:val="none"/>
          <w:lang w:val="en-US" w:eastAsia="zh-CN"/>
        </w:rPr>
        <w:t>2，厂址为</w:t>
      </w:r>
      <w:r>
        <w:rPr>
          <w:rFonts w:hint="eastAsia" w:ascii="仿宋" w:hAnsi="仿宋" w:eastAsia="仿宋" w:cs="仿宋"/>
          <w:color w:val="auto"/>
          <w:sz w:val="24"/>
          <w:szCs w:val="24"/>
          <w:highlight w:val="none"/>
          <w:u w:val="single"/>
          <w:lang w:val="en-US" w:eastAsia="zh-CN"/>
        </w:rPr>
        <w:t>（生产厂址）</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u w:val="single"/>
          <w:lang w:val="en-US" w:eastAsia="zh-CN"/>
        </w:rPr>
        <w:t>（产品名称1）</w:t>
      </w:r>
      <w:r>
        <w:rPr>
          <w:rFonts w:hint="eastAsia" w:ascii="仿宋" w:hAnsi="仿宋" w:eastAsia="仿宋" w:cs="仿宋"/>
          <w:color w:val="auto"/>
          <w:sz w:val="24"/>
          <w:szCs w:val="24"/>
          <w:highlight w:val="none"/>
          <w:lang w:val="en-US" w:eastAsia="zh-CN"/>
        </w:rPr>
        <w:t>的中国境内生产的组件成本占比≥</w:t>
      </w:r>
      <w:r>
        <w:rPr>
          <w:rFonts w:hint="eastAsia" w:ascii="仿宋" w:hAnsi="仿宋" w:eastAsia="仿宋" w:cs="仿宋"/>
          <w:color w:val="auto"/>
          <w:sz w:val="24"/>
          <w:szCs w:val="24"/>
          <w:highlight w:val="none"/>
          <w:u w:val="single"/>
          <w:lang w:val="en-US" w:eastAsia="zh-CN"/>
        </w:rPr>
        <w:t>（规定比例）</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u w:val="single"/>
          <w:lang w:val="en-US" w:eastAsia="zh-CN"/>
        </w:rPr>
        <w:t>（产品名称1）</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u w:val="single"/>
          <w:lang w:val="en-US" w:eastAsia="zh-CN"/>
        </w:rPr>
        <w:t>（关键组件）</w:t>
      </w:r>
      <w:r>
        <w:rPr>
          <w:rFonts w:hint="eastAsia" w:ascii="仿宋" w:hAnsi="仿宋" w:eastAsia="仿宋" w:cs="仿宋"/>
          <w:color w:val="auto"/>
          <w:sz w:val="24"/>
          <w:szCs w:val="24"/>
          <w:highlight w:val="none"/>
          <w:lang w:val="en-US" w:eastAsia="zh-CN"/>
        </w:rPr>
        <w:t>4在中国境内生产。</w:t>
      </w:r>
      <w:r>
        <w:rPr>
          <w:rFonts w:hint="eastAsia" w:ascii="仿宋" w:hAnsi="仿宋" w:eastAsia="仿宋" w:cs="仿宋"/>
          <w:color w:val="auto"/>
          <w:sz w:val="24"/>
          <w:szCs w:val="24"/>
          <w:highlight w:val="none"/>
          <w:u w:val="single"/>
          <w:lang w:val="en-US" w:eastAsia="zh-CN"/>
        </w:rPr>
        <w:t>（产品名称1）</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u w:val="single"/>
          <w:lang w:val="en-US" w:eastAsia="zh-CN"/>
        </w:rPr>
        <w:t>（关键工序）</w:t>
      </w:r>
      <w:r>
        <w:rPr>
          <w:rFonts w:hint="eastAsia" w:ascii="仿宋" w:hAnsi="仿宋" w:eastAsia="仿宋" w:cs="仿宋"/>
          <w:color w:val="auto"/>
          <w:sz w:val="24"/>
          <w:szCs w:val="24"/>
          <w:highlight w:val="none"/>
          <w:lang w:val="en-US" w:eastAsia="zh-CN"/>
        </w:rPr>
        <w:t>5在中国境内完成。</w:t>
      </w:r>
    </w:p>
    <w:p w14:paraId="4543877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u w:val="single"/>
          <w:lang w:val="en-US" w:eastAsia="zh-CN"/>
        </w:rPr>
        <w:t>（产品名称2）</w:t>
      </w:r>
      <w:r>
        <w:rPr>
          <w:rFonts w:hint="eastAsia" w:ascii="仿宋" w:hAnsi="仿宋" w:eastAsia="仿宋" w:cs="仿宋"/>
          <w:color w:val="auto"/>
          <w:sz w:val="24"/>
          <w:szCs w:val="24"/>
          <w:highlight w:val="none"/>
          <w:lang w:val="en-US" w:eastAsia="zh-CN"/>
        </w:rPr>
        <w:t>，生产厂为</w:t>
      </w:r>
      <w:r>
        <w:rPr>
          <w:rFonts w:hint="eastAsia" w:ascii="仿宋" w:hAnsi="仿宋" w:eastAsia="仿宋" w:cs="仿宋"/>
          <w:color w:val="auto"/>
          <w:sz w:val="24"/>
          <w:szCs w:val="24"/>
          <w:highlight w:val="none"/>
          <w:u w:val="single"/>
          <w:lang w:val="en-US" w:eastAsia="zh-CN"/>
        </w:rPr>
        <w:t>（厂名）</w:t>
      </w:r>
      <w:r>
        <w:rPr>
          <w:rFonts w:hint="eastAsia" w:ascii="仿宋" w:hAnsi="仿宋" w:eastAsia="仿宋" w:cs="仿宋"/>
          <w:color w:val="auto"/>
          <w:sz w:val="24"/>
          <w:szCs w:val="24"/>
          <w:highlight w:val="none"/>
          <w:lang w:val="en-US" w:eastAsia="zh-CN"/>
        </w:rPr>
        <w:t>，厂址为</w:t>
      </w:r>
      <w:r>
        <w:rPr>
          <w:rFonts w:hint="eastAsia" w:ascii="仿宋" w:hAnsi="仿宋" w:eastAsia="仿宋" w:cs="仿宋"/>
          <w:color w:val="auto"/>
          <w:sz w:val="24"/>
          <w:szCs w:val="24"/>
          <w:highlight w:val="none"/>
          <w:u w:val="single"/>
          <w:lang w:val="en-US" w:eastAsia="zh-CN"/>
        </w:rPr>
        <w:t>（生产厂址）</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u w:val="single"/>
          <w:lang w:val="en-US" w:eastAsia="zh-CN"/>
        </w:rPr>
        <w:t>（产品名称2）</w:t>
      </w:r>
      <w:r>
        <w:rPr>
          <w:rFonts w:hint="eastAsia" w:ascii="仿宋" w:hAnsi="仿宋" w:eastAsia="仿宋" w:cs="仿宋"/>
          <w:color w:val="auto"/>
          <w:sz w:val="24"/>
          <w:szCs w:val="24"/>
          <w:highlight w:val="none"/>
          <w:lang w:val="en-US" w:eastAsia="zh-CN"/>
        </w:rPr>
        <w:t>的中国境内生产的组件成本占比≥</w:t>
      </w:r>
      <w:r>
        <w:rPr>
          <w:rFonts w:hint="eastAsia" w:ascii="仿宋" w:hAnsi="仿宋" w:eastAsia="仿宋" w:cs="仿宋"/>
          <w:color w:val="auto"/>
          <w:sz w:val="24"/>
          <w:szCs w:val="24"/>
          <w:highlight w:val="none"/>
          <w:u w:val="single"/>
          <w:lang w:val="en-US" w:eastAsia="zh-CN"/>
        </w:rPr>
        <w:t>（规定比例）</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u w:val="single"/>
          <w:lang w:val="en-US" w:eastAsia="zh-CN"/>
        </w:rPr>
        <w:t>（产品名称2）</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u w:val="single"/>
          <w:lang w:val="en-US" w:eastAsia="zh-CN"/>
        </w:rPr>
        <w:t>（关键组件）</w:t>
      </w:r>
      <w:r>
        <w:rPr>
          <w:rFonts w:hint="eastAsia" w:ascii="仿宋" w:hAnsi="仿宋" w:eastAsia="仿宋" w:cs="仿宋"/>
          <w:color w:val="auto"/>
          <w:sz w:val="24"/>
          <w:szCs w:val="24"/>
          <w:highlight w:val="none"/>
          <w:lang w:val="en-US" w:eastAsia="zh-CN"/>
        </w:rPr>
        <w:t>在中国境内生产。</w:t>
      </w:r>
      <w:r>
        <w:rPr>
          <w:rFonts w:hint="eastAsia" w:ascii="仿宋" w:hAnsi="仿宋" w:eastAsia="仿宋" w:cs="仿宋"/>
          <w:color w:val="auto"/>
          <w:sz w:val="24"/>
          <w:szCs w:val="24"/>
          <w:highlight w:val="none"/>
          <w:u w:val="single"/>
          <w:lang w:val="en-US" w:eastAsia="zh-CN"/>
        </w:rPr>
        <w:t>（产品名称2）</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u w:val="single"/>
          <w:lang w:val="en-US" w:eastAsia="zh-CN"/>
        </w:rPr>
        <w:t>（关键工序）</w:t>
      </w:r>
      <w:r>
        <w:rPr>
          <w:rFonts w:hint="eastAsia" w:ascii="仿宋" w:hAnsi="仿宋" w:eastAsia="仿宋" w:cs="仿宋"/>
          <w:color w:val="auto"/>
          <w:sz w:val="24"/>
          <w:szCs w:val="24"/>
          <w:highlight w:val="none"/>
          <w:lang w:val="en-US" w:eastAsia="zh-CN"/>
        </w:rPr>
        <w:t>在中国境内完成。</w:t>
      </w:r>
    </w:p>
    <w:p w14:paraId="18E5FF0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p w14:paraId="1E40F99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本公司（单位）对上述声明内容的真实性负责。如有虚假，愿承担相应法律责任。</w:t>
      </w:r>
    </w:p>
    <w:p w14:paraId="4CC0F964">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p>
    <w:p w14:paraId="558C102A">
      <w:pPr>
        <w:spacing w:line="360" w:lineRule="auto"/>
        <w:jc w:val="center"/>
        <w:rPr>
          <w:rFonts w:hint="eastAsia" w:ascii="仿宋" w:hAnsi="仿宋" w:eastAsia="仿宋" w:cs="仿宋"/>
          <w:color w:val="auto"/>
          <w:sz w:val="24"/>
          <w:szCs w:val="24"/>
          <w:highlight w:val="none"/>
          <w:lang w:val="en-US" w:eastAsia="zh-CN"/>
        </w:rPr>
      </w:pPr>
    </w:p>
    <w:p w14:paraId="2195AC39">
      <w:pPr>
        <w:spacing w:line="360" w:lineRule="auto"/>
        <w:jc w:val="center"/>
        <w:rPr>
          <w:rFonts w:hint="eastAsia" w:ascii="仿宋" w:hAnsi="仿宋" w:eastAsia="仿宋" w:cs="仿宋"/>
          <w:color w:val="auto"/>
          <w:sz w:val="24"/>
          <w:szCs w:val="24"/>
          <w:highlight w:val="none"/>
          <w:lang w:val="en-US" w:eastAsia="zh-CN"/>
        </w:rPr>
      </w:pPr>
    </w:p>
    <w:p w14:paraId="5D767C51">
      <w:pPr>
        <w:wordWrap w:val="0"/>
        <w:spacing w:line="360" w:lineRule="auto"/>
        <w:ind w:firstLine="480" w:firstLineChars="200"/>
        <w:jc w:val="righ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公司（单位）名称（盖章）：</w:t>
      </w:r>
      <w:r>
        <w:rPr>
          <w:rFonts w:hint="eastAsia" w:ascii="仿宋" w:hAnsi="仿宋" w:eastAsia="仿宋" w:cs="仿宋"/>
          <w:color w:val="auto"/>
          <w:sz w:val="24"/>
          <w:szCs w:val="24"/>
          <w:highlight w:val="none"/>
          <w:u w:val="single"/>
          <w:lang w:val="en-US" w:eastAsia="zh-CN"/>
        </w:rPr>
        <w:t xml:space="preserve">                 </w:t>
      </w:r>
    </w:p>
    <w:p w14:paraId="45C630C9">
      <w:pPr>
        <w:spacing w:line="360" w:lineRule="auto"/>
        <w:ind w:firstLine="480" w:firstLineChars="20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日期：     年   月   日</w:t>
      </w:r>
    </w:p>
    <w:p w14:paraId="766125C3">
      <w:pPr>
        <w:pStyle w:val="11"/>
        <w:rPr>
          <w:rFonts w:hint="eastAsia" w:ascii="仿宋" w:hAnsi="仿宋" w:eastAsia="仿宋" w:cs="仿宋"/>
          <w:color w:val="auto"/>
          <w:sz w:val="24"/>
          <w:szCs w:val="24"/>
          <w:highlight w:val="none"/>
          <w:lang w:val="en-US" w:eastAsia="zh-CN"/>
        </w:rPr>
      </w:pPr>
    </w:p>
    <w:p w14:paraId="63F67026">
      <w:pPr>
        <w:rPr>
          <w:rFonts w:hint="eastAsia" w:ascii="仿宋" w:hAnsi="仿宋" w:eastAsia="仿宋" w:cs="仿宋"/>
          <w:color w:val="auto"/>
          <w:sz w:val="24"/>
          <w:szCs w:val="24"/>
          <w:highlight w:val="none"/>
          <w:lang w:val="en-US" w:eastAsia="zh-CN"/>
        </w:rPr>
      </w:pPr>
    </w:p>
    <w:p w14:paraId="7BD37902">
      <w:pPr>
        <w:spacing w:line="360" w:lineRule="auto"/>
        <w:jc w:val="both"/>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注：1.产品如有型号，请在“产品名称”栏一并填写。</w:t>
      </w:r>
    </w:p>
    <w:p w14:paraId="621B94E9">
      <w:pPr>
        <w:spacing w:line="360" w:lineRule="auto"/>
        <w:ind w:firstLine="482" w:firstLineChars="200"/>
        <w:jc w:val="both"/>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2.生产厂名与厂址应与生产厂营业执照载明的相关信息保持一致。</w:t>
      </w:r>
    </w:p>
    <w:p w14:paraId="6C75F569">
      <w:pPr>
        <w:spacing w:line="360" w:lineRule="auto"/>
        <w:ind w:firstLine="482" w:firstLineChars="200"/>
        <w:jc w:val="both"/>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3.该产品的中国境内生产的组件成本占比相关要求实施前，“规定比例”栏可不填，下同。</w:t>
      </w:r>
    </w:p>
    <w:p w14:paraId="76D3D9D9">
      <w:pPr>
        <w:spacing w:line="360" w:lineRule="auto"/>
        <w:ind w:firstLine="482" w:firstLineChars="200"/>
        <w:jc w:val="both"/>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4.该产品的关键组件要求实施前，“关键组件”栏可不填，下同。</w:t>
      </w:r>
    </w:p>
    <w:p w14:paraId="3F5C31A8">
      <w:pPr>
        <w:ind w:firstLine="482" w:firstLineChars="200"/>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5.该产品的关键工序要求实施前，“关键工序”栏可不填，下同。</w:t>
      </w:r>
    </w:p>
    <w:p w14:paraId="020621C4">
      <w:pPr>
        <w:pStyle w:val="16"/>
        <w:rPr>
          <w:rFonts w:hint="eastAsia" w:ascii="仿宋" w:hAnsi="仿宋" w:eastAsia="仿宋" w:cs="仿宋"/>
          <w:color w:val="auto"/>
          <w:sz w:val="24"/>
          <w:szCs w:val="24"/>
          <w:highlight w:val="none"/>
          <w:lang w:val="en-US" w:eastAsia="zh-CN"/>
        </w:rPr>
      </w:pPr>
    </w:p>
    <w:sectPr>
      <w:pgSz w:w="11850" w:h="16783"/>
      <w:pgMar w:top="1440" w:right="1266" w:bottom="1440" w:left="980" w:header="567" w:footer="992"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7A"/>
    <w:family w:val="auto"/>
    <w:pitch w:val="default"/>
    <w:sig w:usb0="A00002BF" w:usb1="38CF7CFA" w:usb2="00000016" w:usb3="00000000" w:csb0="0004000F" w:csb1="00000000"/>
  </w:font>
  <w:font w:name="MS Sans Serif">
    <w:altName w:val="Arial"/>
    <w:panose1 w:val="00000000000000000000"/>
    <w:charset w:val="00"/>
    <w:family w:val="decorative"/>
    <w:pitch w:val="default"/>
    <w:sig w:usb0="00000000" w:usb1="00000000" w:usb2="00000000" w:usb3="00000000" w:csb0="00000001" w:csb1="00000000"/>
  </w:font>
  <w:font w:name="方正仿宋_GBK">
    <w:panose1 w:val="02000000000000000000"/>
    <w:charset w:val="86"/>
    <w:family w:val="script"/>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MingLiU-ExtB">
    <w:panose1 w:val="02020500000000000000"/>
    <w:charset w:val="88"/>
    <w:family w:val="auto"/>
    <w:pitch w:val="default"/>
    <w:sig w:usb0="8000002F" w:usb1="02000008" w:usb2="00000000" w:usb3="00000000" w:csb0="00100001" w:csb1="00000000"/>
  </w:font>
  <w:font w:name="TimesNewRomanP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宋体-简">
    <w:altName w:val="宋体"/>
    <w:panose1 w:val="00000000000000000000"/>
    <w:charset w:val="00"/>
    <w:family w:val="auto"/>
    <w:pitch w:val="default"/>
    <w:sig w:usb0="00000000" w:usb1="00000000" w:usb2="00000000" w:usb3="00000000" w:csb0="00000000" w:csb1="00000000"/>
  </w:font>
  <w:font w:name="Trebuchet MS">
    <w:panose1 w:val="020B0603020202020204"/>
    <w:charset w:val="00"/>
    <w:family w:val="auto"/>
    <w:pitch w:val="default"/>
    <w:sig w:usb0="00000687" w:usb1="00000000" w:usb2="00000000" w:usb3="00000000" w:csb0="2000009F" w:csb1="00000000"/>
  </w:font>
  <w:font w:name="华文行楷">
    <w:panose1 w:val="02010800040101010101"/>
    <w:charset w:val="86"/>
    <w:family w:val="auto"/>
    <w:pitch w:val="default"/>
    <w:sig w:usb0="00000001" w:usb1="080F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78F2E">
    <w:pPr>
      <w:pStyle w:val="11"/>
      <w:spacing w:line="14" w:lineRule="auto"/>
      <w:rPr>
        <w:sz w:val="2"/>
      </w:rPr>
    </w:pPr>
    <w:r>
      <w:rPr>
        <w:sz w:val="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C259E7">
                          <w:pPr>
                            <w:pStyle w:val="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Wpkuf3gEAAL8DAAAOAAAAAAAA&#10;AAEAIAAAAB4BAABkcnMvZTJvRG9jLnhtbFBLBQYAAAAABgAGAFkBAABuBQAAAAA=&#10;">
              <v:fill on="f" focussize="0,0"/>
              <v:stroke on="f"/>
              <v:imagedata o:title=""/>
              <o:lock v:ext="edit" aspectratio="f"/>
              <v:textbox inset="0mm,0mm,0mm,0mm" style="mso-fit-shape-to-text:t;">
                <w:txbxContent>
                  <w:p w14:paraId="6AC259E7">
                    <w:pPr>
                      <w:pStyle w:val="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8AD08">
    <w:pPr>
      <w:tabs>
        <w:tab w:val="center" w:pos="4534"/>
      </w:tabs>
      <w:spacing w:line="219" w:lineRule="auto"/>
      <w:rPr>
        <w:rFonts w:ascii="宋体" w:hAnsi="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424815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01D39D6">
                          <w:pPr>
                            <w:pStyle w:val="23"/>
                            <w:rPr>
                              <w:rFonts w:hint="eastAsia"/>
                            </w:rPr>
                          </w:pPr>
                          <w:r>
                            <w:rPr>
                              <w:rFonts w:hint="eastAsia"/>
                              <w:sz w:val="21"/>
                              <w:szCs w:val="22"/>
                            </w:rPr>
                            <w:fldChar w:fldCharType="begin"/>
                          </w:r>
                          <w:r>
                            <w:rPr>
                              <w:rFonts w:hint="eastAsia"/>
                              <w:sz w:val="21"/>
                              <w:szCs w:val="22"/>
                            </w:rPr>
                            <w:instrText xml:space="preserve"> PAGE  \* MERGEFORMAT </w:instrText>
                          </w:r>
                          <w:r>
                            <w:rPr>
                              <w:rFonts w:hint="eastAsia"/>
                              <w:sz w:val="21"/>
                              <w:szCs w:val="22"/>
                            </w:rPr>
                            <w:fldChar w:fldCharType="separate"/>
                          </w:r>
                          <w:r>
                            <w:rPr>
                              <w:rFonts w:hint="eastAsia"/>
                              <w:sz w:val="21"/>
                              <w:szCs w:val="22"/>
                            </w:rPr>
                            <w:t>20</w:t>
                          </w:r>
                          <w:r>
                            <w:rPr>
                              <w:rFonts w:hint="eastAsia"/>
                              <w:sz w:val="21"/>
                              <w:szCs w:val="22"/>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33.45pt;height:144pt;width:144pt;mso-position-horizontal:center;mso-position-horizontal-relative:margin;mso-wrap-style:none;z-index:251659264;mso-width-relative:page;mso-height-relative:page;" filled="f" stroked="f" coordsize="21600,21600" o:gfxdata="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F24u2tQAAAAHAQAADwAAAAAAAAABACAAAAAiAAAAZHJzL2Rv&#10;d25yZXYueG1sUEsBAhQAFAAAAAgAh07iQBdJlOXMAQAApwMAAA4AAAAAAAAAAQAgAAAAIwEAAGRy&#10;cy9lMm9Eb2MueG1sUEsFBgAAAAAGAAYAWQEAAGEFAAAAAA==&#10;">
              <v:fill on="f" focussize="0,0"/>
              <v:stroke on="f"/>
              <v:imagedata o:title=""/>
              <o:lock v:ext="edit" aspectratio="f"/>
              <v:textbox inset="0mm,0mm,0mm,0mm" style="mso-fit-shape-to-text:t;">
                <w:txbxContent>
                  <w:p w14:paraId="401D39D6">
                    <w:pPr>
                      <w:pStyle w:val="23"/>
                      <w:rPr>
                        <w:rFonts w:hint="eastAsia"/>
                      </w:rPr>
                    </w:pPr>
                    <w:r>
                      <w:rPr>
                        <w:rFonts w:hint="eastAsia"/>
                        <w:sz w:val="21"/>
                        <w:szCs w:val="22"/>
                      </w:rPr>
                      <w:fldChar w:fldCharType="begin"/>
                    </w:r>
                    <w:r>
                      <w:rPr>
                        <w:rFonts w:hint="eastAsia"/>
                        <w:sz w:val="21"/>
                        <w:szCs w:val="22"/>
                      </w:rPr>
                      <w:instrText xml:space="preserve"> PAGE  \* MERGEFORMAT </w:instrText>
                    </w:r>
                    <w:r>
                      <w:rPr>
                        <w:rFonts w:hint="eastAsia"/>
                        <w:sz w:val="21"/>
                        <w:szCs w:val="22"/>
                      </w:rPr>
                      <w:fldChar w:fldCharType="separate"/>
                    </w:r>
                    <w:r>
                      <w:rPr>
                        <w:rFonts w:hint="eastAsia"/>
                        <w:sz w:val="21"/>
                        <w:szCs w:val="22"/>
                      </w:rPr>
                      <w:t>20</w:t>
                    </w:r>
                    <w:r>
                      <w:rPr>
                        <w:rFonts w:hint="eastAsia"/>
                        <w:sz w:val="21"/>
                        <w:szCs w:val="22"/>
                      </w:rPr>
                      <w:fldChar w:fldCharType="end"/>
                    </w:r>
                  </w:p>
                </w:txbxContent>
              </v:textbox>
            </v:shape>
          </w:pict>
        </mc:Fallback>
      </mc:AlternateContent>
    </w:r>
    <w:r>
      <w:rPr>
        <w:rFonts w:hint="eastAsia" w:ascii="宋体" w:hAnsi="宋体" w:cs="宋体"/>
        <w:sz w:val="18"/>
        <w:szCs w:val="18"/>
      </w:rPr>
      <w:tab/>
    </w:r>
  </w:p>
  <w:p w14:paraId="097B7612">
    <w:pPr>
      <w:spacing w:line="219" w:lineRule="auto"/>
      <w:ind w:left="4156"/>
      <w:rPr>
        <w:rFonts w:ascii="宋体" w:hAnsi="宋体" w:cs="宋体"/>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82239">
    <w:pPr>
      <w:pStyle w:val="2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4E58A6">
                          <w:pPr>
                            <w:pStyle w:val="23"/>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xT/0s3gEAAL4DAAAOAAAAAAAA&#10;AAEAIAAAAB4BAABkcnMvZTJvRG9jLnhtbFBLBQYAAAAABgAGAFkBAABuBQAAAAA=&#10;">
              <v:fill on="f" focussize="0,0"/>
              <v:stroke on="f"/>
              <v:imagedata o:title=""/>
              <o:lock v:ext="edit" aspectratio="f"/>
              <v:textbox inset="0mm,0mm,0mm,0mm" style="mso-fit-shape-to-text:t;">
                <w:txbxContent>
                  <w:p w14:paraId="714E58A6">
                    <w:pPr>
                      <w:pStyle w:val="23"/>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265D6">
    <w:pPr>
      <w:pStyle w:val="11"/>
      <w:keepNext w:val="0"/>
      <w:keepLines w:val="0"/>
      <w:pageBreakBefore w:val="0"/>
      <w:widowControl/>
      <w:kinsoku/>
      <w:wordWrap/>
      <w:overflowPunct/>
      <w:topLinePunct w:val="0"/>
      <w:autoSpaceDE/>
      <w:autoSpaceDN/>
      <w:bidi w:val="0"/>
      <w:adjustRightInd/>
      <w:snapToGrid/>
      <w:spacing w:line="240" w:lineRule="auto"/>
      <w:textAlignment w:val="auto"/>
      <w:rPr>
        <w:sz w:val="2"/>
      </w:rPr>
    </w:pPr>
    <w:r>
      <w:rPr>
        <w:rFonts w:hint="eastAsia"/>
        <w:color w:val="auto"/>
        <w:lang w:val="en-US" w:eastAsia="zh-CN"/>
      </w:rPr>
      <w:t xml:space="preserve"> </w:t>
    </w:r>
    <w:r>
      <w:drawing>
        <wp:inline distT="0" distB="0" distL="114300" distR="114300">
          <wp:extent cx="480060" cy="471170"/>
          <wp:effectExtent l="0" t="0" r="15240" b="5080"/>
          <wp:docPr id="5" name="图片 3" descr="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qq"/>
                  <pic:cNvPicPr>
                    <a:picLocks noChangeAspect="1"/>
                  </pic:cNvPicPr>
                </pic:nvPicPr>
                <pic:blipFill>
                  <a:blip r:embed="rId1"/>
                  <a:stretch>
                    <a:fillRect/>
                  </a:stretch>
                </pic:blipFill>
                <pic:spPr>
                  <a:xfrm>
                    <a:off x="0" y="0"/>
                    <a:ext cx="480060" cy="471170"/>
                  </a:xfrm>
                  <a:prstGeom prst="rect">
                    <a:avLst/>
                  </a:prstGeom>
                  <a:noFill/>
                  <a:ln>
                    <a:noFill/>
                  </a:ln>
                </pic:spPr>
              </pic:pic>
            </a:graphicData>
          </a:graphic>
        </wp:inline>
      </w:drawing>
    </w:r>
    <w:r>
      <w:rPr>
        <w:rFonts w:hint="eastAsia"/>
        <w:color w:val="auto"/>
        <w:lang w:val="en-US" w:eastAsia="zh-CN"/>
      </w:rPr>
      <w:t xml:space="preserve">                                        </w:t>
    </w:r>
    <w:r>
      <w:rPr>
        <w:rFonts w:hint="eastAsia" w:ascii="华文行楷" w:hAnsi="宋体" w:eastAsia="华文行楷" w:cs="宋体"/>
        <w:b/>
        <w:color w:val="auto"/>
        <w:sz w:val="28"/>
        <w:szCs w:val="28"/>
      </w:rPr>
      <w:t>业精于勤，行成于思</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1E1E7">
    <w:pPr>
      <w:pStyle w:val="11"/>
      <w:keepNext w:val="0"/>
      <w:keepLines w:val="0"/>
      <w:pageBreakBefore w:val="0"/>
      <w:widowControl/>
      <w:pBdr>
        <w:bottom w:val="double" w:color="auto" w:sz="8" w:space="0"/>
      </w:pBdr>
      <w:kinsoku/>
      <w:wordWrap/>
      <w:overflowPunct/>
      <w:topLinePunct w:val="0"/>
      <w:autoSpaceDE/>
      <w:autoSpaceDN/>
      <w:bidi w:val="0"/>
      <w:adjustRightInd/>
      <w:snapToGrid/>
      <w:spacing w:line="240" w:lineRule="auto"/>
      <w:textAlignment w:val="auto"/>
      <w:rPr>
        <w:sz w:val="2"/>
      </w:rPr>
    </w:pPr>
    <w:r>
      <w:drawing>
        <wp:inline distT="0" distB="0" distL="114300" distR="114300">
          <wp:extent cx="607060" cy="595630"/>
          <wp:effectExtent l="0" t="0" r="2540" b="13970"/>
          <wp:docPr id="6" name="图片 6" descr="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qq"/>
                  <pic:cNvPicPr>
                    <a:picLocks noChangeAspect="1"/>
                  </pic:cNvPicPr>
                </pic:nvPicPr>
                <pic:blipFill>
                  <a:blip r:embed="rId1"/>
                  <a:stretch>
                    <a:fillRect/>
                  </a:stretch>
                </pic:blipFill>
                <pic:spPr>
                  <a:xfrm>
                    <a:off x="0" y="0"/>
                    <a:ext cx="607060" cy="595630"/>
                  </a:xfrm>
                  <a:prstGeom prst="rect">
                    <a:avLst/>
                  </a:prstGeom>
                  <a:noFill/>
                  <a:ln>
                    <a:noFill/>
                  </a:ln>
                </pic:spPr>
              </pic:pic>
            </a:graphicData>
          </a:graphic>
        </wp:inline>
      </w:drawing>
    </w:r>
    <w:r>
      <w:rPr>
        <w:rFonts w:hint="eastAsia"/>
        <w:lang w:val="en-US" w:eastAsia="zh-CN"/>
      </w:rPr>
      <w:t xml:space="preserve">                                       </w:t>
    </w:r>
    <w:r>
      <w:rPr>
        <w:rFonts w:hint="eastAsia" w:ascii="华文行楷" w:hAnsi="宋体" w:eastAsia="华文行楷" w:cs="宋体"/>
        <w:b/>
        <w:color w:val="auto"/>
        <w:sz w:val="28"/>
        <w:szCs w:val="28"/>
      </w:rPr>
      <w:t>业精于勤，行成于思</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9A23E">
    <w:pPr>
      <w:pStyle w:val="25"/>
      <w:pBdr>
        <w:bottom w:val="double" w:color="auto" w:sz="8" w:space="1"/>
      </w:pBdr>
      <w:jc w:val="left"/>
      <w:rPr>
        <w:rFonts w:hint="default" w:eastAsia="宋体"/>
        <w:lang w:val="en-US" w:eastAsia="zh-CN"/>
      </w:rPr>
    </w:pPr>
    <w:r>
      <w:drawing>
        <wp:inline distT="0" distB="0" distL="114300" distR="114300">
          <wp:extent cx="480060" cy="471170"/>
          <wp:effectExtent l="0" t="0" r="15240" b="5080"/>
          <wp:docPr id="7" name="图片 2" descr="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qq"/>
                  <pic:cNvPicPr>
                    <a:picLocks noChangeAspect="1"/>
                  </pic:cNvPicPr>
                </pic:nvPicPr>
                <pic:blipFill>
                  <a:blip r:embed="rId1"/>
                  <a:stretch>
                    <a:fillRect/>
                  </a:stretch>
                </pic:blipFill>
                <pic:spPr>
                  <a:xfrm>
                    <a:off x="0" y="0"/>
                    <a:ext cx="480060" cy="471170"/>
                  </a:xfrm>
                  <a:prstGeom prst="rect">
                    <a:avLst/>
                  </a:prstGeom>
                  <a:noFill/>
                  <a:ln>
                    <a:noFill/>
                  </a:ln>
                </pic:spPr>
              </pic:pic>
            </a:graphicData>
          </a:graphic>
        </wp:inline>
      </w:drawing>
    </w:r>
    <w:r>
      <w:rPr>
        <w:rFonts w:hint="eastAsia"/>
        <w:lang w:val="en-US" w:eastAsia="zh-CN"/>
      </w:rPr>
      <w:t xml:space="preserve">                                                                 </w:t>
    </w:r>
    <w:r>
      <w:rPr>
        <w:rFonts w:hint="eastAsia" w:ascii="华文行楷" w:hAnsi="宋体" w:eastAsia="华文行楷" w:cs="宋体"/>
        <w:b/>
        <w:sz w:val="28"/>
        <w:szCs w:val="28"/>
      </w:rPr>
      <w:t>业精于勤，行成于思</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36F8B">
    <w:pPr>
      <w:pStyle w:val="25"/>
      <w:pBdr>
        <w:bottom w:val="none" w:color="auto" w:sz="0" w:space="1"/>
      </w:pBdr>
      <w:jc w:val="left"/>
      <w:rPr>
        <w:rFonts w:hint="default" w:eastAsia="宋体"/>
        <w:lang w:val="en-US" w:eastAsia="zh-CN"/>
      </w:rPr>
    </w:pPr>
    <w:r>
      <w:drawing>
        <wp:inline distT="0" distB="0" distL="114300" distR="114300">
          <wp:extent cx="480060" cy="471170"/>
          <wp:effectExtent l="0" t="0" r="15240" b="5080"/>
          <wp:docPr id="8" name="图片 2" descr="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qq"/>
                  <pic:cNvPicPr>
                    <a:picLocks noChangeAspect="1"/>
                  </pic:cNvPicPr>
                </pic:nvPicPr>
                <pic:blipFill>
                  <a:blip r:embed="rId1"/>
                  <a:stretch>
                    <a:fillRect/>
                  </a:stretch>
                </pic:blipFill>
                <pic:spPr>
                  <a:xfrm>
                    <a:off x="0" y="0"/>
                    <a:ext cx="480060" cy="471170"/>
                  </a:xfrm>
                  <a:prstGeom prst="rect">
                    <a:avLst/>
                  </a:prstGeom>
                  <a:noFill/>
                  <a:ln>
                    <a:noFill/>
                  </a:ln>
                </pic:spPr>
              </pic:pic>
            </a:graphicData>
          </a:graphic>
        </wp:inline>
      </w:drawing>
    </w:r>
    <w:r>
      <w:rPr>
        <w:rFonts w:hint="eastAsia"/>
        <w:lang w:val="en-US" w:eastAsia="zh-CN"/>
      </w:rPr>
      <w:t xml:space="preserve">                                                                 </w:t>
    </w:r>
    <w:r>
      <w:rPr>
        <w:rFonts w:hint="eastAsia" w:ascii="华文行楷" w:hAnsi="宋体" w:eastAsia="华文行楷" w:cs="宋体"/>
        <w:b/>
        <w:sz w:val="28"/>
        <w:szCs w:val="28"/>
      </w:rPr>
      <w:t>业精于勤，行成于思</w:t>
    </w:r>
  </w:p>
  <w:p w14:paraId="64044022">
    <w:pPr>
      <w:pStyle w:val="25"/>
      <w:pBdr>
        <w:bottom w:val="double" w:color="auto" w:sz="8"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1E766A"/>
    <w:multiLevelType w:val="singleLevel"/>
    <w:tmpl w:val="961E766A"/>
    <w:lvl w:ilvl="0" w:tentative="0">
      <w:start w:val="9"/>
      <w:numFmt w:val="chineseCounting"/>
      <w:suff w:val="nothing"/>
      <w:lvlText w:val="%1、"/>
      <w:lvlJc w:val="left"/>
      <w:rPr>
        <w:rFonts w:hint="eastAsia"/>
      </w:rPr>
    </w:lvl>
  </w:abstractNum>
  <w:abstractNum w:abstractNumId="1">
    <w:nsid w:val="D07CBB58"/>
    <w:multiLevelType w:val="singleLevel"/>
    <w:tmpl w:val="D07CBB58"/>
    <w:lvl w:ilvl="0" w:tentative="0">
      <w:start w:val="1"/>
      <w:numFmt w:val="chineseCounting"/>
      <w:suff w:val="space"/>
      <w:lvlText w:val="第%1章"/>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zMmJiYThlZWRmYWQ0ZTMwNzRiNmY0MTkwNzJjM2EifQ=="/>
    <w:docVar w:name="KSO_WPS_MARK_KEY" w:val="e91352dd-47d4-40d5-942f-c959dc2a0940"/>
  </w:docVars>
  <w:rsids>
    <w:rsidRoot w:val="00172A27"/>
    <w:rsid w:val="000E7102"/>
    <w:rsid w:val="0025704E"/>
    <w:rsid w:val="002711DE"/>
    <w:rsid w:val="00337586"/>
    <w:rsid w:val="00370CEE"/>
    <w:rsid w:val="003A6B66"/>
    <w:rsid w:val="00426D6A"/>
    <w:rsid w:val="004429DB"/>
    <w:rsid w:val="00470E04"/>
    <w:rsid w:val="00472144"/>
    <w:rsid w:val="004F69E9"/>
    <w:rsid w:val="0054225C"/>
    <w:rsid w:val="0061181F"/>
    <w:rsid w:val="00630CFD"/>
    <w:rsid w:val="006360BD"/>
    <w:rsid w:val="00637C34"/>
    <w:rsid w:val="006A48E2"/>
    <w:rsid w:val="006B6D1F"/>
    <w:rsid w:val="00755B2B"/>
    <w:rsid w:val="00765F81"/>
    <w:rsid w:val="007D2619"/>
    <w:rsid w:val="007D53F5"/>
    <w:rsid w:val="00847DE1"/>
    <w:rsid w:val="00861DAB"/>
    <w:rsid w:val="008F3B34"/>
    <w:rsid w:val="009860A5"/>
    <w:rsid w:val="009E70AA"/>
    <w:rsid w:val="00A144D7"/>
    <w:rsid w:val="00B21059"/>
    <w:rsid w:val="00B34A69"/>
    <w:rsid w:val="00B76409"/>
    <w:rsid w:val="00B95804"/>
    <w:rsid w:val="00BD3531"/>
    <w:rsid w:val="00C52FD8"/>
    <w:rsid w:val="00C8236B"/>
    <w:rsid w:val="00CA4498"/>
    <w:rsid w:val="00E32D5A"/>
    <w:rsid w:val="00E441B0"/>
    <w:rsid w:val="00EB3DE6"/>
    <w:rsid w:val="00FB5F50"/>
    <w:rsid w:val="00FB6BB0"/>
    <w:rsid w:val="0100390C"/>
    <w:rsid w:val="01227D26"/>
    <w:rsid w:val="01243A71"/>
    <w:rsid w:val="0129522E"/>
    <w:rsid w:val="012D6186"/>
    <w:rsid w:val="014331DE"/>
    <w:rsid w:val="014831A5"/>
    <w:rsid w:val="016F4A91"/>
    <w:rsid w:val="01806B0D"/>
    <w:rsid w:val="01835E70"/>
    <w:rsid w:val="018502B5"/>
    <w:rsid w:val="01A249C3"/>
    <w:rsid w:val="01B140BF"/>
    <w:rsid w:val="01B841E6"/>
    <w:rsid w:val="01D60B10"/>
    <w:rsid w:val="01E57D9A"/>
    <w:rsid w:val="01F17679"/>
    <w:rsid w:val="0204742C"/>
    <w:rsid w:val="02360B74"/>
    <w:rsid w:val="02616860"/>
    <w:rsid w:val="02667165"/>
    <w:rsid w:val="030560A3"/>
    <w:rsid w:val="030D40BE"/>
    <w:rsid w:val="03185D78"/>
    <w:rsid w:val="032B210E"/>
    <w:rsid w:val="032C6FE6"/>
    <w:rsid w:val="03732B39"/>
    <w:rsid w:val="03830824"/>
    <w:rsid w:val="03885E3A"/>
    <w:rsid w:val="03B60BF9"/>
    <w:rsid w:val="03E37F54"/>
    <w:rsid w:val="03E970CB"/>
    <w:rsid w:val="03FB03BA"/>
    <w:rsid w:val="040134DD"/>
    <w:rsid w:val="04043713"/>
    <w:rsid w:val="04363AE8"/>
    <w:rsid w:val="043D011F"/>
    <w:rsid w:val="04471852"/>
    <w:rsid w:val="046C7006"/>
    <w:rsid w:val="04750C36"/>
    <w:rsid w:val="04B769D7"/>
    <w:rsid w:val="04BC223F"/>
    <w:rsid w:val="05120F55"/>
    <w:rsid w:val="05191440"/>
    <w:rsid w:val="054740F4"/>
    <w:rsid w:val="055E32F7"/>
    <w:rsid w:val="05665F0E"/>
    <w:rsid w:val="05687CD1"/>
    <w:rsid w:val="057C245C"/>
    <w:rsid w:val="057E74F5"/>
    <w:rsid w:val="05842632"/>
    <w:rsid w:val="05A34168"/>
    <w:rsid w:val="05B46D7C"/>
    <w:rsid w:val="05EA06E6"/>
    <w:rsid w:val="0632609D"/>
    <w:rsid w:val="0662504A"/>
    <w:rsid w:val="0667442D"/>
    <w:rsid w:val="067803E8"/>
    <w:rsid w:val="067C4315"/>
    <w:rsid w:val="069114AA"/>
    <w:rsid w:val="069632A2"/>
    <w:rsid w:val="06A239E6"/>
    <w:rsid w:val="06AA4EA3"/>
    <w:rsid w:val="06AA5BFF"/>
    <w:rsid w:val="06C6753A"/>
    <w:rsid w:val="06DF2215"/>
    <w:rsid w:val="06E30928"/>
    <w:rsid w:val="06E74671"/>
    <w:rsid w:val="06F9676B"/>
    <w:rsid w:val="06FD3938"/>
    <w:rsid w:val="071C5C86"/>
    <w:rsid w:val="0721759F"/>
    <w:rsid w:val="072E0056"/>
    <w:rsid w:val="073C31C4"/>
    <w:rsid w:val="07474FE1"/>
    <w:rsid w:val="074A31ED"/>
    <w:rsid w:val="078057A6"/>
    <w:rsid w:val="07846F02"/>
    <w:rsid w:val="07862691"/>
    <w:rsid w:val="079B25E0"/>
    <w:rsid w:val="07A07BF6"/>
    <w:rsid w:val="07CA4A29"/>
    <w:rsid w:val="07F11433"/>
    <w:rsid w:val="07F25F78"/>
    <w:rsid w:val="07FA3DBD"/>
    <w:rsid w:val="08053BB4"/>
    <w:rsid w:val="080C17EC"/>
    <w:rsid w:val="080E01CD"/>
    <w:rsid w:val="081D2FF5"/>
    <w:rsid w:val="08316AA1"/>
    <w:rsid w:val="08332819"/>
    <w:rsid w:val="08493DEA"/>
    <w:rsid w:val="084A5DB4"/>
    <w:rsid w:val="08512C9F"/>
    <w:rsid w:val="08953906"/>
    <w:rsid w:val="08A70521"/>
    <w:rsid w:val="08AE00F1"/>
    <w:rsid w:val="08B823C1"/>
    <w:rsid w:val="08D266FA"/>
    <w:rsid w:val="08E47818"/>
    <w:rsid w:val="08F478C5"/>
    <w:rsid w:val="0908536D"/>
    <w:rsid w:val="0909610C"/>
    <w:rsid w:val="09430D1B"/>
    <w:rsid w:val="09475E50"/>
    <w:rsid w:val="09491BC8"/>
    <w:rsid w:val="09502F56"/>
    <w:rsid w:val="095D095C"/>
    <w:rsid w:val="095D5673"/>
    <w:rsid w:val="099948FD"/>
    <w:rsid w:val="09A215FE"/>
    <w:rsid w:val="09AB79E8"/>
    <w:rsid w:val="09BB7E32"/>
    <w:rsid w:val="09CE126B"/>
    <w:rsid w:val="09D65FE5"/>
    <w:rsid w:val="09DC5F4C"/>
    <w:rsid w:val="09E638BB"/>
    <w:rsid w:val="0A07715F"/>
    <w:rsid w:val="0A1A52BD"/>
    <w:rsid w:val="0A2C77BA"/>
    <w:rsid w:val="0A2D5698"/>
    <w:rsid w:val="0A93759F"/>
    <w:rsid w:val="0A9B28F7"/>
    <w:rsid w:val="0AB26A19"/>
    <w:rsid w:val="0ABD268A"/>
    <w:rsid w:val="0B0009AC"/>
    <w:rsid w:val="0B0264D2"/>
    <w:rsid w:val="0B1A0653"/>
    <w:rsid w:val="0B20537F"/>
    <w:rsid w:val="0B21104E"/>
    <w:rsid w:val="0B4B540D"/>
    <w:rsid w:val="0B4C2B78"/>
    <w:rsid w:val="0B550CF8"/>
    <w:rsid w:val="0B7F5EBF"/>
    <w:rsid w:val="0B7F7B23"/>
    <w:rsid w:val="0B870336"/>
    <w:rsid w:val="0B9026B1"/>
    <w:rsid w:val="0B996E37"/>
    <w:rsid w:val="0B9F3D21"/>
    <w:rsid w:val="0BB21CA6"/>
    <w:rsid w:val="0BC02909"/>
    <w:rsid w:val="0BCD088E"/>
    <w:rsid w:val="0BCD4D32"/>
    <w:rsid w:val="0C0D3381"/>
    <w:rsid w:val="0C1406AA"/>
    <w:rsid w:val="0C277B04"/>
    <w:rsid w:val="0C590374"/>
    <w:rsid w:val="0C5B0590"/>
    <w:rsid w:val="0C882A07"/>
    <w:rsid w:val="0C9E047D"/>
    <w:rsid w:val="0CA401EE"/>
    <w:rsid w:val="0CAF61E6"/>
    <w:rsid w:val="0CD43E9E"/>
    <w:rsid w:val="0CF813CA"/>
    <w:rsid w:val="0CF83115"/>
    <w:rsid w:val="0D04611B"/>
    <w:rsid w:val="0D307327"/>
    <w:rsid w:val="0D35493D"/>
    <w:rsid w:val="0D5D20E6"/>
    <w:rsid w:val="0D8A6105"/>
    <w:rsid w:val="0DA35E00"/>
    <w:rsid w:val="0DCB32F3"/>
    <w:rsid w:val="0DD04666"/>
    <w:rsid w:val="0DE13971"/>
    <w:rsid w:val="0DE13CE3"/>
    <w:rsid w:val="0E1F17C1"/>
    <w:rsid w:val="0E3070D3"/>
    <w:rsid w:val="0E43308A"/>
    <w:rsid w:val="0E4B23A3"/>
    <w:rsid w:val="0E4F51EB"/>
    <w:rsid w:val="0E510438"/>
    <w:rsid w:val="0E645615"/>
    <w:rsid w:val="0E6A2F71"/>
    <w:rsid w:val="0E7D2A40"/>
    <w:rsid w:val="0EA941E5"/>
    <w:rsid w:val="0EAF24CD"/>
    <w:rsid w:val="0EC248F6"/>
    <w:rsid w:val="0F130CAE"/>
    <w:rsid w:val="0F1B4006"/>
    <w:rsid w:val="0F20161D"/>
    <w:rsid w:val="0F2A3B34"/>
    <w:rsid w:val="0F3D73C4"/>
    <w:rsid w:val="0F416115"/>
    <w:rsid w:val="0F4E618A"/>
    <w:rsid w:val="0F7D081D"/>
    <w:rsid w:val="0F9F0794"/>
    <w:rsid w:val="0FB029A1"/>
    <w:rsid w:val="0FBA47F8"/>
    <w:rsid w:val="0FD6119D"/>
    <w:rsid w:val="0FEB46B2"/>
    <w:rsid w:val="101A606C"/>
    <w:rsid w:val="10246EEB"/>
    <w:rsid w:val="105C1B48"/>
    <w:rsid w:val="10646B1F"/>
    <w:rsid w:val="1088747A"/>
    <w:rsid w:val="1092654A"/>
    <w:rsid w:val="10A36D59"/>
    <w:rsid w:val="10A371A1"/>
    <w:rsid w:val="10BC0D2D"/>
    <w:rsid w:val="10CB7366"/>
    <w:rsid w:val="10EC7A09"/>
    <w:rsid w:val="11104C56"/>
    <w:rsid w:val="11270A41"/>
    <w:rsid w:val="11567578"/>
    <w:rsid w:val="116475AA"/>
    <w:rsid w:val="11696386"/>
    <w:rsid w:val="11826EDE"/>
    <w:rsid w:val="11845E93"/>
    <w:rsid w:val="119C20D8"/>
    <w:rsid w:val="11C049F1"/>
    <w:rsid w:val="11DC5CCF"/>
    <w:rsid w:val="11E9548A"/>
    <w:rsid w:val="11FA1551"/>
    <w:rsid w:val="120C4728"/>
    <w:rsid w:val="12135F22"/>
    <w:rsid w:val="121D3BF2"/>
    <w:rsid w:val="123553DF"/>
    <w:rsid w:val="125C0BBE"/>
    <w:rsid w:val="12646EEE"/>
    <w:rsid w:val="126E1658"/>
    <w:rsid w:val="1288550F"/>
    <w:rsid w:val="128E689D"/>
    <w:rsid w:val="129A0566"/>
    <w:rsid w:val="12A8795F"/>
    <w:rsid w:val="12D01A74"/>
    <w:rsid w:val="12DE08A5"/>
    <w:rsid w:val="12E463CC"/>
    <w:rsid w:val="12ED5CBA"/>
    <w:rsid w:val="12EE69F7"/>
    <w:rsid w:val="12F33378"/>
    <w:rsid w:val="130866DC"/>
    <w:rsid w:val="130D3C66"/>
    <w:rsid w:val="1323348A"/>
    <w:rsid w:val="1324792E"/>
    <w:rsid w:val="13385187"/>
    <w:rsid w:val="13400886"/>
    <w:rsid w:val="13405E41"/>
    <w:rsid w:val="134D0507"/>
    <w:rsid w:val="13612CB9"/>
    <w:rsid w:val="1362009E"/>
    <w:rsid w:val="13780C7A"/>
    <w:rsid w:val="1384327C"/>
    <w:rsid w:val="139855AC"/>
    <w:rsid w:val="139B664C"/>
    <w:rsid w:val="13BA3DEE"/>
    <w:rsid w:val="13BA7379"/>
    <w:rsid w:val="13CC6E4E"/>
    <w:rsid w:val="13D57856"/>
    <w:rsid w:val="13E83022"/>
    <w:rsid w:val="13F1586C"/>
    <w:rsid w:val="13F93F1B"/>
    <w:rsid w:val="14024FE7"/>
    <w:rsid w:val="14411E19"/>
    <w:rsid w:val="145301B9"/>
    <w:rsid w:val="14634486"/>
    <w:rsid w:val="146927B7"/>
    <w:rsid w:val="146B3081"/>
    <w:rsid w:val="14700117"/>
    <w:rsid w:val="147815B3"/>
    <w:rsid w:val="149070A3"/>
    <w:rsid w:val="14952B42"/>
    <w:rsid w:val="150115A9"/>
    <w:rsid w:val="153C0833"/>
    <w:rsid w:val="15437105"/>
    <w:rsid w:val="154C316C"/>
    <w:rsid w:val="15697CC1"/>
    <w:rsid w:val="15794922"/>
    <w:rsid w:val="158D108E"/>
    <w:rsid w:val="159740BF"/>
    <w:rsid w:val="15B60CB8"/>
    <w:rsid w:val="15EB4733"/>
    <w:rsid w:val="161F43DC"/>
    <w:rsid w:val="162135D2"/>
    <w:rsid w:val="163A7E23"/>
    <w:rsid w:val="166320B8"/>
    <w:rsid w:val="166C5148"/>
    <w:rsid w:val="166E0EC0"/>
    <w:rsid w:val="16864065"/>
    <w:rsid w:val="16946B78"/>
    <w:rsid w:val="16976668"/>
    <w:rsid w:val="16D451C7"/>
    <w:rsid w:val="16D61B23"/>
    <w:rsid w:val="16EE0ABB"/>
    <w:rsid w:val="16F87F17"/>
    <w:rsid w:val="16FF7D6A"/>
    <w:rsid w:val="17082414"/>
    <w:rsid w:val="17326391"/>
    <w:rsid w:val="1747014E"/>
    <w:rsid w:val="175A2624"/>
    <w:rsid w:val="177054C1"/>
    <w:rsid w:val="1776002C"/>
    <w:rsid w:val="17852965"/>
    <w:rsid w:val="17A01CE7"/>
    <w:rsid w:val="17C17DBE"/>
    <w:rsid w:val="17D31922"/>
    <w:rsid w:val="17E10F3F"/>
    <w:rsid w:val="18161A9F"/>
    <w:rsid w:val="18312855"/>
    <w:rsid w:val="184243B2"/>
    <w:rsid w:val="1847542D"/>
    <w:rsid w:val="18624A54"/>
    <w:rsid w:val="187175BC"/>
    <w:rsid w:val="18787DD4"/>
    <w:rsid w:val="18820C52"/>
    <w:rsid w:val="18952734"/>
    <w:rsid w:val="18A02D1A"/>
    <w:rsid w:val="18A50454"/>
    <w:rsid w:val="18B0640A"/>
    <w:rsid w:val="18BA7221"/>
    <w:rsid w:val="18C654B3"/>
    <w:rsid w:val="18ED3478"/>
    <w:rsid w:val="191E097B"/>
    <w:rsid w:val="1920184C"/>
    <w:rsid w:val="1934131E"/>
    <w:rsid w:val="19353F17"/>
    <w:rsid w:val="19434886"/>
    <w:rsid w:val="19571BD7"/>
    <w:rsid w:val="195720DF"/>
    <w:rsid w:val="196B0DDF"/>
    <w:rsid w:val="19875E05"/>
    <w:rsid w:val="19914F2C"/>
    <w:rsid w:val="19BA284A"/>
    <w:rsid w:val="19CC6629"/>
    <w:rsid w:val="19D13C3F"/>
    <w:rsid w:val="19F53DD2"/>
    <w:rsid w:val="19FE255B"/>
    <w:rsid w:val="1A012C71"/>
    <w:rsid w:val="1A015FF9"/>
    <w:rsid w:val="1A3A7A37"/>
    <w:rsid w:val="1A4E3CEA"/>
    <w:rsid w:val="1A5D5D24"/>
    <w:rsid w:val="1A7B68D5"/>
    <w:rsid w:val="1A810DAA"/>
    <w:rsid w:val="1A976308"/>
    <w:rsid w:val="1A9C06E4"/>
    <w:rsid w:val="1AAE21D3"/>
    <w:rsid w:val="1ABA3E94"/>
    <w:rsid w:val="1AD03EF7"/>
    <w:rsid w:val="1AE12896"/>
    <w:rsid w:val="1AE649DD"/>
    <w:rsid w:val="1AFD3155"/>
    <w:rsid w:val="1B0818E3"/>
    <w:rsid w:val="1B0D514B"/>
    <w:rsid w:val="1B1A6779"/>
    <w:rsid w:val="1B1A7868"/>
    <w:rsid w:val="1B1E1F92"/>
    <w:rsid w:val="1B285AE1"/>
    <w:rsid w:val="1B2D733D"/>
    <w:rsid w:val="1B530684"/>
    <w:rsid w:val="1B5763C6"/>
    <w:rsid w:val="1B83284B"/>
    <w:rsid w:val="1B9D63B3"/>
    <w:rsid w:val="1B9E69DB"/>
    <w:rsid w:val="1BC74703"/>
    <w:rsid w:val="1BD143CB"/>
    <w:rsid w:val="1BF41E67"/>
    <w:rsid w:val="1C133801"/>
    <w:rsid w:val="1C6018CA"/>
    <w:rsid w:val="1C701332"/>
    <w:rsid w:val="1C820857"/>
    <w:rsid w:val="1C886977"/>
    <w:rsid w:val="1CA27D64"/>
    <w:rsid w:val="1CBC1555"/>
    <w:rsid w:val="1CBD655B"/>
    <w:rsid w:val="1CDA72AF"/>
    <w:rsid w:val="1D083EE0"/>
    <w:rsid w:val="1D186990"/>
    <w:rsid w:val="1D220B9C"/>
    <w:rsid w:val="1D253E27"/>
    <w:rsid w:val="1D36270A"/>
    <w:rsid w:val="1D567874"/>
    <w:rsid w:val="1D5C1AE2"/>
    <w:rsid w:val="1D5D57EA"/>
    <w:rsid w:val="1D7C7A6F"/>
    <w:rsid w:val="1D827349"/>
    <w:rsid w:val="1D994A74"/>
    <w:rsid w:val="1D9D3ED0"/>
    <w:rsid w:val="1DA90A2F"/>
    <w:rsid w:val="1DAA4B93"/>
    <w:rsid w:val="1DCA10D2"/>
    <w:rsid w:val="1DD043E3"/>
    <w:rsid w:val="1DF919B7"/>
    <w:rsid w:val="1DFB3F1E"/>
    <w:rsid w:val="1DFD36EB"/>
    <w:rsid w:val="1DFE7C94"/>
    <w:rsid w:val="1E032835"/>
    <w:rsid w:val="1E312EE3"/>
    <w:rsid w:val="1E5752B6"/>
    <w:rsid w:val="1E6D4E00"/>
    <w:rsid w:val="1E851DE6"/>
    <w:rsid w:val="1E9567D5"/>
    <w:rsid w:val="1EBE4850"/>
    <w:rsid w:val="1EC41FC5"/>
    <w:rsid w:val="1ECE1E2E"/>
    <w:rsid w:val="1ECE2E43"/>
    <w:rsid w:val="1ED03DDD"/>
    <w:rsid w:val="1ED9658A"/>
    <w:rsid w:val="1EDD6BE3"/>
    <w:rsid w:val="1EE06A5B"/>
    <w:rsid w:val="1EED151B"/>
    <w:rsid w:val="1F242A63"/>
    <w:rsid w:val="1F3F5B2D"/>
    <w:rsid w:val="1F4629DA"/>
    <w:rsid w:val="1F486752"/>
    <w:rsid w:val="1F536EA5"/>
    <w:rsid w:val="1F550E6F"/>
    <w:rsid w:val="1F6410B2"/>
    <w:rsid w:val="1F751511"/>
    <w:rsid w:val="1F7A5D94"/>
    <w:rsid w:val="1F9279CD"/>
    <w:rsid w:val="1FAB0A8F"/>
    <w:rsid w:val="1FB931AC"/>
    <w:rsid w:val="1FDE1309"/>
    <w:rsid w:val="1FE33FA0"/>
    <w:rsid w:val="201900EE"/>
    <w:rsid w:val="202F2BC0"/>
    <w:rsid w:val="2049398E"/>
    <w:rsid w:val="204F3B10"/>
    <w:rsid w:val="205140D3"/>
    <w:rsid w:val="206A26F8"/>
    <w:rsid w:val="206A6B9C"/>
    <w:rsid w:val="20711CD8"/>
    <w:rsid w:val="20875058"/>
    <w:rsid w:val="208E288A"/>
    <w:rsid w:val="20983BD9"/>
    <w:rsid w:val="20A731A1"/>
    <w:rsid w:val="20AD0837"/>
    <w:rsid w:val="20B27043"/>
    <w:rsid w:val="20BB5E37"/>
    <w:rsid w:val="20C01CFC"/>
    <w:rsid w:val="20EE157B"/>
    <w:rsid w:val="21052421"/>
    <w:rsid w:val="210668C5"/>
    <w:rsid w:val="21127B07"/>
    <w:rsid w:val="211373F3"/>
    <w:rsid w:val="211E3A77"/>
    <w:rsid w:val="213A656E"/>
    <w:rsid w:val="213A6FA5"/>
    <w:rsid w:val="21494A03"/>
    <w:rsid w:val="217774AE"/>
    <w:rsid w:val="217F6268"/>
    <w:rsid w:val="219C2D85"/>
    <w:rsid w:val="21BE2083"/>
    <w:rsid w:val="21C15B03"/>
    <w:rsid w:val="21C36564"/>
    <w:rsid w:val="21D7200F"/>
    <w:rsid w:val="21F02E95"/>
    <w:rsid w:val="21F47B5C"/>
    <w:rsid w:val="22175C74"/>
    <w:rsid w:val="225B67B9"/>
    <w:rsid w:val="22877591"/>
    <w:rsid w:val="228A52D3"/>
    <w:rsid w:val="22993768"/>
    <w:rsid w:val="229D5007"/>
    <w:rsid w:val="22AB2EC8"/>
    <w:rsid w:val="22AF4D3A"/>
    <w:rsid w:val="22B077D6"/>
    <w:rsid w:val="22BD4D30"/>
    <w:rsid w:val="22BD604A"/>
    <w:rsid w:val="22BD7457"/>
    <w:rsid w:val="22BE0601"/>
    <w:rsid w:val="22C7291B"/>
    <w:rsid w:val="22DF0144"/>
    <w:rsid w:val="22F369D5"/>
    <w:rsid w:val="23232632"/>
    <w:rsid w:val="232C0139"/>
    <w:rsid w:val="23382A35"/>
    <w:rsid w:val="233D7174"/>
    <w:rsid w:val="23494431"/>
    <w:rsid w:val="237D6E92"/>
    <w:rsid w:val="237E067A"/>
    <w:rsid w:val="23891C63"/>
    <w:rsid w:val="2389501C"/>
    <w:rsid w:val="238A07F7"/>
    <w:rsid w:val="238A4452"/>
    <w:rsid w:val="23957A8C"/>
    <w:rsid w:val="239D7097"/>
    <w:rsid w:val="23A87B77"/>
    <w:rsid w:val="23AC3027"/>
    <w:rsid w:val="23B03F74"/>
    <w:rsid w:val="23C37013"/>
    <w:rsid w:val="23C579E4"/>
    <w:rsid w:val="23CB5BA3"/>
    <w:rsid w:val="23D762F6"/>
    <w:rsid w:val="23E250A2"/>
    <w:rsid w:val="24125BDD"/>
    <w:rsid w:val="24300138"/>
    <w:rsid w:val="243036BC"/>
    <w:rsid w:val="24464E6A"/>
    <w:rsid w:val="245956A4"/>
    <w:rsid w:val="246758CC"/>
    <w:rsid w:val="249D50E5"/>
    <w:rsid w:val="24A81A41"/>
    <w:rsid w:val="24AA2DC5"/>
    <w:rsid w:val="24C32DC0"/>
    <w:rsid w:val="24CA19B7"/>
    <w:rsid w:val="24DE047B"/>
    <w:rsid w:val="24F6231C"/>
    <w:rsid w:val="25295104"/>
    <w:rsid w:val="254259F1"/>
    <w:rsid w:val="254C061E"/>
    <w:rsid w:val="25552970"/>
    <w:rsid w:val="25997B55"/>
    <w:rsid w:val="259C009E"/>
    <w:rsid w:val="25A06D40"/>
    <w:rsid w:val="25CF7050"/>
    <w:rsid w:val="25EC6D87"/>
    <w:rsid w:val="25F52A64"/>
    <w:rsid w:val="25FA1AA1"/>
    <w:rsid w:val="262E7FA5"/>
    <w:rsid w:val="264659B5"/>
    <w:rsid w:val="265F7261"/>
    <w:rsid w:val="26865DB2"/>
    <w:rsid w:val="26900620"/>
    <w:rsid w:val="2694227D"/>
    <w:rsid w:val="269C55D5"/>
    <w:rsid w:val="26A628E0"/>
    <w:rsid w:val="26A84957"/>
    <w:rsid w:val="26AC3A6A"/>
    <w:rsid w:val="26AD333E"/>
    <w:rsid w:val="26BB3CAD"/>
    <w:rsid w:val="26CA2142"/>
    <w:rsid w:val="26D71E4A"/>
    <w:rsid w:val="26D80001"/>
    <w:rsid w:val="26D97CAE"/>
    <w:rsid w:val="26F947D6"/>
    <w:rsid w:val="27201D62"/>
    <w:rsid w:val="2725381D"/>
    <w:rsid w:val="272E26D1"/>
    <w:rsid w:val="273D0B66"/>
    <w:rsid w:val="273F1867"/>
    <w:rsid w:val="274A5031"/>
    <w:rsid w:val="274E4B21"/>
    <w:rsid w:val="27551CB8"/>
    <w:rsid w:val="275C26B3"/>
    <w:rsid w:val="275F53B8"/>
    <w:rsid w:val="276F4A98"/>
    <w:rsid w:val="278C3D88"/>
    <w:rsid w:val="27A04C51"/>
    <w:rsid w:val="27B01338"/>
    <w:rsid w:val="27B4654E"/>
    <w:rsid w:val="27B7194D"/>
    <w:rsid w:val="27C616D2"/>
    <w:rsid w:val="27C640FF"/>
    <w:rsid w:val="27D03788"/>
    <w:rsid w:val="27F96433"/>
    <w:rsid w:val="281C4C20"/>
    <w:rsid w:val="281E2746"/>
    <w:rsid w:val="283067D5"/>
    <w:rsid w:val="28371EA0"/>
    <w:rsid w:val="284F572B"/>
    <w:rsid w:val="287560DE"/>
    <w:rsid w:val="288F0CFE"/>
    <w:rsid w:val="28904633"/>
    <w:rsid w:val="28915F3C"/>
    <w:rsid w:val="28983E1D"/>
    <w:rsid w:val="28C657AC"/>
    <w:rsid w:val="28C66186"/>
    <w:rsid w:val="28E72D7C"/>
    <w:rsid w:val="28F15BC1"/>
    <w:rsid w:val="290860F5"/>
    <w:rsid w:val="290A0F1C"/>
    <w:rsid w:val="293532C4"/>
    <w:rsid w:val="294C5091"/>
    <w:rsid w:val="297168A5"/>
    <w:rsid w:val="298365D8"/>
    <w:rsid w:val="29910CF5"/>
    <w:rsid w:val="2996455E"/>
    <w:rsid w:val="29D064C1"/>
    <w:rsid w:val="29EC0622"/>
    <w:rsid w:val="29F563D0"/>
    <w:rsid w:val="29F57900"/>
    <w:rsid w:val="2A136117"/>
    <w:rsid w:val="2A1D2FA8"/>
    <w:rsid w:val="2A1F09F7"/>
    <w:rsid w:val="2A317DF3"/>
    <w:rsid w:val="2A4D7312"/>
    <w:rsid w:val="2A524929"/>
    <w:rsid w:val="2A9C2048"/>
    <w:rsid w:val="2AE24AED"/>
    <w:rsid w:val="2AFD73C3"/>
    <w:rsid w:val="2AFD74FF"/>
    <w:rsid w:val="2AFE060C"/>
    <w:rsid w:val="2B2838DB"/>
    <w:rsid w:val="2B293363"/>
    <w:rsid w:val="2B346B58"/>
    <w:rsid w:val="2B3D6147"/>
    <w:rsid w:val="2B674404"/>
    <w:rsid w:val="2B772100"/>
    <w:rsid w:val="2B824F60"/>
    <w:rsid w:val="2B98280F"/>
    <w:rsid w:val="2BB60BEA"/>
    <w:rsid w:val="2BB67139"/>
    <w:rsid w:val="2BB94BE9"/>
    <w:rsid w:val="2BC24C8E"/>
    <w:rsid w:val="2BF11F1F"/>
    <w:rsid w:val="2BF612E4"/>
    <w:rsid w:val="2C2C7301"/>
    <w:rsid w:val="2C3037E7"/>
    <w:rsid w:val="2C330B9F"/>
    <w:rsid w:val="2C351E0C"/>
    <w:rsid w:val="2C397BB6"/>
    <w:rsid w:val="2C3E5B4D"/>
    <w:rsid w:val="2C6F7E45"/>
    <w:rsid w:val="2C7A1F15"/>
    <w:rsid w:val="2C804246"/>
    <w:rsid w:val="2C960225"/>
    <w:rsid w:val="2CAA1694"/>
    <w:rsid w:val="2CAF6062"/>
    <w:rsid w:val="2CB31683"/>
    <w:rsid w:val="2CBB550D"/>
    <w:rsid w:val="2CDC702F"/>
    <w:rsid w:val="2CEE645F"/>
    <w:rsid w:val="2D087520"/>
    <w:rsid w:val="2D102999"/>
    <w:rsid w:val="2D1111D4"/>
    <w:rsid w:val="2D1A59FF"/>
    <w:rsid w:val="2D314CC9"/>
    <w:rsid w:val="2D353D8B"/>
    <w:rsid w:val="2D3938BF"/>
    <w:rsid w:val="2D546C0A"/>
    <w:rsid w:val="2D56129E"/>
    <w:rsid w:val="2D5B4FFC"/>
    <w:rsid w:val="2D6055AE"/>
    <w:rsid w:val="2D77288F"/>
    <w:rsid w:val="2D8566CB"/>
    <w:rsid w:val="2DB96A6D"/>
    <w:rsid w:val="2DE81CCD"/>
    <w:rsid w:val="2DEF06E0"/>
    <w:rsid w:val="2DF06932"/>
    <w:rsid w:val="2E45366B"/>
    <w:rsid w:val="2E4E3659"/>
    <w:rsid w:val="2E964C51"/>
    <w:rsid w:val="2EA75F3D"/>
    <w:rsid w:val="2EED10C4"/>
    <w:rsid w:val="2EF530F2"/>
    <w:rsid w:val="2EFF2BA5"/>
    <w:rsid w:val="2F04398C"/>
    <w:rsid w:val="2F0A57B7"/>
    <w:rsid w:val="2F0F475A"/>
    <w:rsid w:val="2F1943FA"/>
    <w:rsid w:val="2F5A7DDB"/>
    <w:rsid w:val="2F5C3B54"/>
    <w:rsid w:val="2F8D6403"/>
    <w:rsid w:val="2FBC45F2"/>
    <w:rsid w:val="2FDB4953"/>
    <w:rsid w:val="30474804"/>
    <w:rsid w:val="305D7B83"/>
    <w:rsid w:val="30610D2A"/>
    <w:rsid w:val="306A5958"/>
    <w:rsid w:val="308F33E1"/>
    <w:rsid w:val="30A91403"/>
    <w:rsid w:val="30AE7FAA"/>
    <w:rsid w:val="30DE5DA1"/>
    <w:rsid w:val="30F92C85"/>
    <w:rsid w:val="31083655"/>
    <w:rsid w:val="31087F17"/>
    <w:rsid w:val="310B0E2A"/>
    <w:rsid w:val="31166832"/>
    <w:rsid w:val="31496359"/>
    <w:rsid w:val="31615EE8"/>
    <w:rsid w:val="3168180D"/>
    <w:rsid w:val="317258B0"/>
    <w:rsid w:val="317C672F"/>
    <w:rsid w:val="317D0093"/>
    <w:rsid w:val="31BD45BA"/>
    <w:rsid w:val="31C61758"/>
    <w:rsid w:val="31FC33CC"/>
    <w:rsid w:val="32081D71"/>
    <w:rsid w:val="32222E32"/>
    <w:rsid w:val="32252923"/>
    <w:rsid w:val="32377571"/>
    <w:rsid w:val="323C7D7E"/>
    <w:rsid w:val="323E39E4"/>
    <w:rsid w:val="326C0551"/>
    <w:rsid w:val="32981347"/>
    <w:rsid w:val="32BA163F"/>
    <w:rsid w:val="32C57C62"/>
    <w:rsid w:val="32CC0FF0"/>
    <w:rsid w:val="32DC15E2"/>
    <w:rsid w:val="32FE1FBC"/>
    <w:rsid w:val="330864CC"/>
    <w:rsid w:val="33122EA7"/>
    <w:rsid w:val="33231EC7"/>
    <w:rsid w:val="332826CA"/>
    <w:rsid w:val="333C154C"/>
    <w:rsid w:val="333E68F9"/>
    <w:rsid w:val="334B63B9"/>
    <w:rsid w:val="3355548A"/>
    <w:rsid w:val="335E3F1F"/>
    <w:rsid w:val="33683164"/>
    <w:rsid w:val="338A5133"/>
    <w:rsid w:val="33B94964"/>
    <w:rsid w:val="33C50114"/>
    <w:rsid w:val="33ED7470"/>
    <w:rsid w:val="340A75B2"/>
    <w:rsid w:val="340C4E7A"/>
    <w:rsid w:val="34117602"/>
    <w:rsid w:val="3422536C"/>
    <w:rsid w:val="34396CD1"/>
    <w:rsid w:val="343E5F1E"/>
    <w:rsid w:val="34402466"/>
    <w:rsid w:val="34525525"/>
    <w:rsid w:val="345E166A"/>
    <w:rsid w:val="34740B4F"/>
    <w:rsid w:val="3487445F"/>
    <w:rsid w:val="348A4CBF"/>
    <w:rsid w:val="348F0527"/>
    <w:rsid w:val="34BE7936"/>
    <w:rsid w:val="34CA1B9F"/>
    <w:rsid w:val="34D10C0C"/>
    <w:rsid w:val="34E621D5"/>
    <w:rsid w:val="35110D7E"/>
    <w:rsid w:val="35186A4E"/>
    <w:rsid w:val="352F1CA9"/>
    <w:rsid w:val="35337105"/>
    <w:rsid w:val="354B444E"/>
    <w:rsid w:val="35523A2F"/>
    <w:rsid w:val="355552CD"/>
    <w:rsid w:val="356279EA"/>
    <w:rsid w:val="35684FB7"/>
    <w:rsid w:val="359354E2"/>
    <w:rsid w:val="35C01E5B"/>
    <w:rsid w:val="35E3124B"/>
    <w:rsid w:val="35EF65E1"/>
    <w:rsid w:val="36201767"/>
    <w:rsid w:val="36294F36"/>
    <w:rsid w:val="364E3013"/>
    <w:rsid w:val="366C2E47"/>
    <w:rsid w:val="367774C5"/>
    <w:rsid w:val="36826596"/>
    <w:rsid w:val="36877708"/>
    <w:rsid w:val="368B7515"/>
    <w:rsid w:val="369849B4"/>
    <w:rsid w:val="36AE1139"/>
    <w:rsid w:val="36AE74DC"/>
    <w:rsid w:val="36BB5604"/>
    <w:rsid w:val="36E309FE"/>
    <w:rsid w:val="37207B97"/>
    <w:rsid w:val="373F4C7F"/>
    <w:rsid w:val="37702892"/>
    <w:rsid w:val="378123A9"/>
    <w:rsid w:val="37890A6F"/>
    <w:rsid w:val="379426EC"/>
    <w:rsid w:val="37976071"/>
    <w:rsid w:val="379A790F"/>
    <w:rsid w:val="37A61E10"/>
    <w:rsid w:val="37A865AA"/>
    <w:rsid w:val="37BE18BF"/>
    <w:rsid w:val="37C64260"/>
    <w:rsid w:val="37D84772"/>
    <w:rsid w:val="37DD4921"/>
    <w:rsid w:val="380F20AB"/>
    <w:rsid w:val="38104DED"/>
    <w:rsid w:val="3839434E"/>
    <w:rsid w:val="38465027"/>
    <w:rsid w:val="384B0C09"/>
    <w:rsid w:val="385201EA"/>
    <w:rsid w:val="38591578"/>
    <w:rsid w:val="385D5AEE"/>
    <w:rsid w:val="385E6B8E"/>
    <w:rsid w:val="385E789E"/>
    <w:rsid w:val="386E2FB9"/>
    <w:rsid w:val="389820A0"/>
    <w:rsid w:val="38D534B1"/>
    <w:rsid w:val="38D82ACA"/>
    <w:rsid w:val="38DF5A4E"/>
    <w:rsid w:val="390E4F3A"/>
    <w:rsid w:val="392576AC"/>
    <w:rsid w:val="392F4087"/>
    <w:rsid w:val="394B6BE9"/>
    <w:rsid w:val="394F0E51"/>
    <w:rsid w:val="396B533E"/>
    <w:rsid w:val="39730417"/>
    <w:rsid w:val="39766A08"/>
    <w:rsid w:val="397B72CC"/>
    <w:rsid w:val="398B4B3A"/>
    <w:rsid w:val="39AB10E5"/>
    <w:rsid w:val="39B66672"/>
    <w:rsid w:val="39CA7FE1"/>
    <w:rsid w:val="39E210F9"/>
    <w:rsid w:val="39ED4C94"/>
    <w:rsid w:val="39F07CBA"/>
    <w:rsid w:val="39F33306"/>
    <w:rsid w:val="3A0329B6"/>
    <w:rsid w:val="3A080B60"/>
    <w:rsid w:val="3A2B6F44"/>
    <w:rsid w:val="3A5B3656"/>
    <w:rsid w:val="3A695377"/>
    <w:rsid w:val="3A7461F5"/>
    <w:rsid w:val="3A830B2E"/>
    <w:rsid w:val="3AA175C6"/>
    <w:rsid w:val="3AB02FA5"/>
    <w:rsid w:val="3AC4629B"/>
    <w:rsid w:val="3ADF0D0E"/>
    <w:rsid w:val="3AE3337B"/>
    <w:rsid w:val="3AEF3ACE"/>
    <w:rsid w:val="3B072FEA"/>
    <w:rsid w:val="3B0E664A"/>
    <w:rsid w:val="3B3616FD"/>
    <w:rsid w:val="3B4D7B94"/>
    <w:rsid w:val="3B4E5E04"/>
    <w:rsid w:val="3B68770B"/>
    <w:rsid w:val="3B76581F"/>
    <w:rsid w:val="3B8D0771"/>
    <w:rsid w:val="3B8F37FD"/>
    <w:rsid w:val="3B902958"/>
    <w:rsid w:val="3B933D1F"/>
    <w:rsid w:val="3BA7084C"/>
    <w:rsid w:val="3BBB7E54"/>
    <w:rsid w:val="3BBF16F2"/>
    <w:rsid w:val="3BC1190E"/>
    <w:rsid w:val="3BD01BB6"/>
    <w:rsid w:val="3BF07AFD"/>
    <w:rsid w:val="3C0161AE"/>
    <w:rsid w:val="3C065573"/>
    <w:rsid w:val="3C177780"/>
    <w:rsid w:val="3C1C3D30"/>
    <w:rsid w:val="3C29103D"/>
    <w:rsid w:val="3C3C71E7"/>
    <w:rsid w:val="3C4E0CC8"/>
    <w:rsid w:val="3C56044C"/>
    <w:rsid w:val="3C745EDE"/>
    <w:rsid w:val="3C77306C"/>
    <w:rsid w:val="3C8E4957"/>
    <w:rsid w:val="3C951B5E"/>
    <w:rsid w:val="3C963F93"/>
    <w:rsid w:val="3CB72D11"/>
    <w:rsid w:val="3CC50F8A"/>
    <w:rsid w:val="3CCD39FF"/>
    <w:rsid w:val="3CD613E9"/>
    <w:rsid w:val="3CEB6517"/>
    <w:rsid w:val="3CF23C78"/>
    <w:rsid w:val="3CFC74D1"/>
    <w:rsid w:val="3D2949E8"/>
    <w:rsid w:val="3D3B124C"/>
    <w:rsid w:val="3D44698E"/>
    <w:rsid w:val="3D4505EE"/>
    <w:rsid w:val="3D662D14"/>
    <w:rsid w:val="3D6C58AA"/>
    <w:rsid w:val="3D8175A7"/>
    <w:rsid w:val="3DCE3E6E"/>
    <w:rsid w:val="3DE6565C"/>
    <w:rsid w:val="3DE74F30"/>
    <w:rsid w:val="3E027FBC"/>
    <w:rsid w:val="3E10092B"/>
    <w:rsid w:val="3E186F76"/>
    <w:rsid w:val="3E235CFC"/>
    <w:rsid w:val="3E2A2267"/>
    <w:rsid w:val="3E3C527C"/>
    <w:rsid w:val="3E3E6CD1"/>
    <w:rsid w:val="3E594D54"/>
    <w:rsid w:val="3E80565A"/>
    <w:rsid w:val="3E932A6A"/>
    <w:rsid w:val="3EBE2135"/>
    <w:rsid w:val="3EDA3F86"/>
    <w:rsid w:val="3EE55913"/>
    <w:rsid w:val="3EE630DF"/>
    <w:rsid w:val="3EF26282"/>
    <w:rsid w:val="3F0062A9"/>
    <w:rsid w:val="3F0B4D59"/>
    <w:rsid w:val="3F1F4BA2"/>
    <w:rsid w:val="3F265767"/>
    <w:rsid w:val="3F3C5775"/>
    <w:rsid w:val="3F4F7231"/>
    <w:rsid w:val="3F514152"/>
    <w:rsid w:val="3F827606"/>
    <w:rsid w:val="3F8E7B87"/>
    <w:rsid w:val="3FB84DD6"/>
    <w:rsid w:val="3FDF1FBE"/>
    <w:rsid w:val="3FEF0780"/>
    <w:rsid w:val="3FF34060"/>
    <w:rsid w:val="3FF97D18"/>
    <w:rsid w:val="40033813"/>
    <w:rsid w:val="401158E5"/>
    <w:rsid w:val="401A3481"/>
    <w:rsid w:val="40482E69"/>
    <w:rsid w:val="40703903"/>
    <w:rsid w:val="407707ED"/>
    <w:rsid w:val="407C363E"/>
    <w:rsid w:val="407C6D1B"/>
    <w:rsid w:val="409F7D44"/>
    <w:rsid w:val="40AA0BC3"/>
    <w:rsid w:val="40AB40E4"/>
    <w:rsid w:val="40B678E1"/>
    <w:rsid w:val="40BC26A4"/>
    <w:rsid w:val="40C559FD"/>
    <w:rsid w:val="40C854ED"/>
    <w:rsid w:val="40D95004"/>
    <w:rsid w:val="40DA0D7C"/>
    <w:rsid w:val="40EA5463"/>
    <w:rsid w:val="41362078"/>
    <w:rsid w:val="41717932"/>
    <w:rsid w:val="41790595"/>
    <w:rsid w:val="4179535A"/>
    <w:rsid w:val="41970A1B"/>
    <w:rsid w:val="419E1DAA"/>
    <w:rsid w:val="41D37393"/>
    <w:rsid w:val="41DB28E0"/>
    <w:rsid w:val="41E84D8F"/>
    <w:rsid w:val="42044303"/>
    <w:rsid w:val="421D3616"/>
    <w:rsid w:val="422519D2"/>
    <w:rsid w:val="425169F1"/>
    <w:rsid w:val="4269685C"/>
    <w:rsid w:val="427E5C8F"/>
    <w:rsid w:val="42845775"/>
    <w:rsid w:val="42936375"/>
    <w:rsid w:val="42982C9D"/>
    <w:rsid w:val="42B9369C"/>
    <w:rsid w:val="42CB3072"/>
    <w:rsid w:val="42D27F5D"/>
    <w:rsid w:val="42F75C15"/>
    <w:rsid w:val="433A22A8"/>
    <w:rsid w:val="43476D42"/>
    <w:rsid w:val="434D3A87"/>
    <w:rsid w:val="4368517E"/>
    <w:rsid w:val="436F7989"/>
    <w:rsid w:val="437B3549"/>
    <w:rsid w:val="43856536"/>
    <w:rsid w:val="43B14016"/>
    <w:rsid w:val="43C373A0"/>
    <w:rsid w:val="43C55D14"/>
    <w:rsid w:val="43CB512D"/>
    <w:rsid w:val="43DE3593"/>
    <w:rsid w:val="43E55BF9"/>
    <w:rsid w:val="43EB7685"/>
    <w:rsid w:val="44116BAD"/>
    <w:rsid w:val="442455CE"/>
    <w:rsid w:val="44596A41"/>
    <w:rsid w:val="4475503B"/>
    <w:rsid w:val="44804307"/>
    <w:rsid w:val="44891524"/>
    <w:rsid w:val="44953938"/>
    <w:rsid w:val="44AE67A8"/>
    <w:rsid w:val="44AF17D3"/>
    <w:rsid w:val="44B00772"/>
    <w:rsid w:val="44C91833"/>
    <w:rsid w:val="44CE29A6"/>
    <w:rsid w:val="44F73D6C"/>
    <w:rsid w:val="44FD210A"/>
    <w:rsid w:val="45127B32"/>
    <w:rsid w:val="451C1963"/>
    <w:rsid w:val="45237196"/>
    <w:rsid w:val="452B268D"/>
    <w:rsid w:val="453F5652"/>
    <w:rsid w:val="455235D7"/>
    <w:rsid w:val="455632B6"/>
    <w:rsid w:val="455F27D9"/>
    <w:rsid w:val="45A37D9B"/>
    <w:rsid w:val="45A62187"/>
    <w:rsid w:val="45B02FE0"/>
    <w:rsid w:val="45C476F1"/>
    <w:rsid w:val="45DB4D7F"/>
    <w:rsid w:val="45E66ECE"/>
    <w:rsid w:val="45E74D31"/>
    <w:rsid w:val="46177169"/>
    <w:rsid w:val="46202FBB"/>
    <w:rsid w:val="462679AA"/>
    <w:rsid w:val="464203D0"/>
    <w:rsid w:val="465C111A"/>
    <w:rsid w:val="46712183"/>
    <w:rsid w:val="46880893"/>
    <w:rsid w:val="468E4AE3"/>
    <w:rsid w:val="46981F66"/>
    <w:rsid w:val="46AE4A0E"/>
    <w:rsid w:val="46EA01E1"/>
    <w:rsid w:val="46FE2974"/>
    <w:rsid w:val="471B1515"/>
    <w:rsid w:val="47290367"/>
    <w:rsid w:val="47354F5E"/>
    <w:rsid w:val="47373DCB"/>
    <w:rsid w:val="473A4323"/>
    <w:rsid w:val="47431429"/>
    <w:rsid w:val="476475F1"/>
    <w:rsid w:val="476D2268"/>
    <w:rsid w:val="47787E3A"/>
    <w:rsid w:val="478F7542"/>
    <w:rsid w:val="4799373F"/>
    <w:rsid w:val="47B97CAB"/>
    <w:rsid w:val="47C02A7A"/>
    <w:rsid w:val="47C14201"/>
    <w:rsid w:val="47C64774"/>
    <w:rsid w:val="47C84024"/>
    <w:rsid w:val="47D227AD"/>
    <w:rsid w:val="47D47CB9"/>
    <w:rsid w:val="4800556C"/>
    <w:rsid w:val="4814724D"/>
    <w:rsid w:val="485315BE"/>
    <w:rsid w:val="48541414"/>
    <w:rsid w:val="489E128A"/>
    <w:rsid w:val="48C26A5A"/>
    <w:rsid w:val="48E126AB"/>
    <w:rsid w:val="48EE6838"/>
    <w:rsid w:val="49244228"/>
    <w:rsid w:val="494B2817"/>
    <w:rsid w:val="49543341"/>
    <w:rsid w:val="495711BC"/>
    <w:rsid w:val="49664586"/>
    <w:rsid w:val="498D1081"/>
    <w:rsid w:val="49B93C25"/>
    <w:rsid w:val="49BF4FB3"/>
    <w:rsid w:val="49CD09E3"/>
    <w:rsid w:val="49CD147E"/>
    <w:rsid w:val="49CE4F86"/>
    <w:rsid w:val="49D722FD"/>
    <w:rsid w:val="49DB563F"/>
    <w:rsid w:val="49EA61F5"/>
    <w:rsid w:val="49F4305D"/>
    <w:rsid w:val="4A19361C"/>
    <w:rsid w:val="4A233794"/>
    <w:rsid w:val="4A556FE7"/>
    <w:rsid w:val="4A5B2F2E"/>
    <w:rsid w:val="4A5B4CDC"/>
    <w:rsid w:val="4A9249B6"/>
    <w:rsid w:val="4A955F4B"/>
    <w:rsid w:val="4AA303D3"/>
    <w:rsid w:val="4B116CFB"/>
    <w:rsid w:val="4B1B1BCC"/>
    <w:rsid w:val="4B412124"/>
    <w:rsid w:val="4B4B4D50"/>
    <w:rsid w:val="4B5160DF"/>
    <w:rsid w:val="4B585BB2"/>
    <w:rsid w:val="4B5C06D1"/>
    <w:rsid w:val="4B642058"/>
    <w:rsid w:val="4B83273C"/>
    <w:rsid w:val="4B8355A0"/>
    <w:rsid w:val="4B9D23CD"/>
    <w:rsid w:val="4BA02C32"/>
    <w:rsid w:val="4BB1115C"/>
    <w:rsid w:val="4BC36694"/>
    <w:rsid w:val="4BC911CD"/>
    <w:rsid w:val="4BF25AA4"/>
    <w:rsid w:val="4BF947AC"/>
    <w:rsid w:val="4BFA0352"/>
    <w:rsid w:val="4C141988"/>
    <w:rsid w:val="4C400BE7"/>
    <w:rsid w:val="4C46110E"/>
    <w:rsid w:val="4C62296C"/>
    <w:rsid w:val="4C6B4F7E"/>
    <w:rsid w:val="4C7E1ECF"/>
    <w:rsid w:val="4C8B02BE"/>
    <w:rsid w:val="4C9D21EE"/>
    <w:rsid w:val="4C9D5A7F"/>
    <w:rsid w:val="4CA2524B"/>
    <w:rsid w:val="4CA706AC"/>
    <w:rsid w:val="4CAD038A"/>
    <w:rsid w:val="4CCE79E7"/>
    <w:rsid w:val="4CD6689C"/>
    <w:rsid w:val="4CE21BE0"/>
    <w:rsid w:val="4CE23492"/>
    <w:rsid w:val="4CED6440"/>
    <w:rsid w:val="4CF96597"/>
    <w:rsid w:val="4D135D42"/>
    <w:rsid w:val="4D381BE6"/>
    <w:rsid w:val="4D386F94"/>
    <w:rsid w:val="4D491763"/>
    <w:rsid w:val="4D6B4B5C"/>
    <w:rsid w:val="4D8A676D"/>
    <w:rsid w:val="4D9724CF"/>
    <w:rsid w:val="4DC0053A"/>
    <w:rsid w:val="4DC332C4"/>
    <w:rsid w:val="4DDA3AB7"/>
    <w:rsid w:val="4DDB5705"/>
    <w:rsid w:val="4DDC39DD"/>
    <w:rsid w:val="4E2875CB"/>
    <w:rsid w:val="4E401035"/>
    <w:rsid w:val="4E577EB0"/>
    <w:rsid w:val="4E5A39E3"/>
    <w:rsid w:val="4E9B7D9D"/>
    <w:rsid w:val="4EA67106"/>
    <w:rsid w:val="4EAD187E"/>
    <w:rsid w:val="4EAF55F6"/>
    <w:rsid w:val="4EB057E0"/>
    <w:rsid w:val="4EBC7D13"/>
    <w:rsid w:val="4EC217CD"/>
    <w:rsid w:val="4ECD390E"/>
    <w:rsid w:val="4EEC05F8"/>
    <w:rsid w:val="4EEC082D"/>
    <w:rsid w:val="4F164ECB"/>
    <w:rsid w:val="4F215EC5"/>
    <w:rsid w:val="4F227A85"/>
    <w:rsid w:val="4F27493A"/>
    <w:rsid w:val="4F3B1644"/>
    <w:rsid w:val="4F4A7BEA"/>
    <w:rsid w:val="4F51114F"/>
    <w:rsid w:val="4F894099"/>
    <w:rsid w:val="4FC365B8"/>
    <w:rsid w:val="4FE45773"/>
    <w:rsid w:val="4FF534DD"/>
    <w:rsid w:val="50357D7D"/>
    <w:rsid w:val="503E02C1"/>
    <w:rsid w:val="50462769"/>
    <w:rsid w:val="50575F45"/>
    <w:rsid w:val="505F595D"/>
    <w:rsid w:val="50731D98"/>
    <w:rsid w:val="50A8546E"/>
    <w:rsid w:val="50D006B8"/>
    <w:rsid w:val="50D43A3A"/>
    <w:rsid w:val="50D852D8"/>
    <w:rsid w:val="50E7376D"/>
    <w:rsid w:val="51273D20"/>
    <w:rsid w:val="512C56AF"/>
    <w:rsid w:val="5136299C"/>
    <w:rsid w:val="514C37A2"/>
    <w:rsid w:val="515F6655"/>
    <w:rsid w:val="517706E8"/>
    <w:rsid w:val="5187285A"/>
    <w:rsid w:val="51891E6A"/>
    <w:rsid w:val="518B234A"/>
    <w:rsid w:val="51B6571C"/>
    <w:rsid w:val="51CC04C9"/>
    <w:rsid w:val="51D04201"/>
    <w:rsid w:val="51D17E4C"/>
    <w:rsid w:val="51DF61F2"/>
    <w:rsid w:val="51F27133"/>
    <w:rsid w:val="51FA302C"/>
    <w:rsid w:val="52085B5A"/>
    <w:rsid w:val="521E54EC"/>
    <w:rsid w:val="524B3FA2"/>
    <w:rsid w:val="525C3D4D"/>
    <w:rsid w:val="5269068F"/>
    <w:rsid w:val="52742DDF"/>
    <w:rsid w:val="52790493"/>
    <w:rsid w:val="528C2E97"/>
    <w:rsid w:val="5294522F"/>
    <w:rsid w:val="52A33529"/>
    <w:rsid w:val="52BA5167"/>
    <w:rsid w:val="52C04925"/>
    <w:rsid w:val="52D03D8D"/>
    <w:rsid w:val="5305612D"/>
    <w:rsid w:val="530873B9"/>
    <w:rsid w:val="53165C44"/>
    <w:rsid w:val="532E5683"/>
    <w:rsid w:val="5339337C"/>
    <w:rsid w:val="534053B7"/>
    <w:rsid w:val="5340768A"/>
    <w:rsid w:val="53550FCE"/>
    <w:rsid w:val="535E44F8"/>
    <w:rsid w:val="537039C6"/>
    <w:rsid w:val="537137C2"/>
    <w:rsid w:val="53785E5A"/>
    <w:rsid w:val="5385247B"/>
    <w:rsid w:val="538B4016"/>
    <w:rsid w:val="53C6338B"/>
    <w:rsid w:val="53C9715A"/>
    <w:rsid w:val="53E747BC"/>
    <w:rsid w:val="53F817ED"/>
    <w:rsid w:val="542D593B"/>
    <w:rsid w:val="54363EAB"/>
    <w:rsid w:val="545D5AF4"/>
    <w:rsid w:val="5481373F"/>
    <w:rsid w:val="548337AD"/>
    <w:rsid w:val="54994D7E"/>
    <w:rsid w:val="54A43723"/>
    <w:rsid w:val="54CD2C7A"/>
    <w:rsid w:val="54D44BD5"/>
    <w:rsid w:val="54EE7D1B"/>
    <w:rsid w:val="55102B67"/>
    <w:rsid w:val="55145EB0"/>
    <w:rsid w:val="55202DAA"/>
    <w:rsid w:val="552900E2"/>
    <w:rsid w:val="55434CEA"/>
    <w:rsid w:val="55450A62"/>
    <w:rsid w:val="55503AFA"/>
    <w:rsid w:val="55546B20"/>
    <w:rsid w:val="55622000"/>
    <w:rsid w:val="5568597E"/>
    <w:rsid w:val="556F788D"/>
    <w:rsid w:val="557650C0"/>
    <w:rsid w:val="557A0D5F"/>
    <w:rsid w:val="55C73B6D"/>
    <w:rsid w:val="5603366A"/>
    <w:rsid w:val="56114DE8"/>
    <w:rsid w:val="561B00BB"/>
    <w:rsid w:val="561D378D"/>
    <w:rsid w:val="562B7C58"/>
    <w:rsid w:val="562C093F"/>
    <w:rsid w:val="567F1D52"/>
    <w:rsid w:val="56811F6E"/>
    <w:rsid w:val="5697709C"/>
    <w:rsid w:val="56DC0F52"/>
    <w:rsid w:val="56E541F5"/>
    <w:rsid w:val="56E80533"/>
    <w:rsid w:val="56ED4251"/>
    <w:rsid w:val="56FE3136"/>
    <w:rsid w:val="57225715"/>
    <w:rsid w:val="572416B1"/>
    <w:rsid w:val="5737087F"/>
    <w:rsid w:val="57455CD7"/>
    <w:rsid w:val="574A559B"/>
    <w:rsid w:val="57541431"/>
    <w:rsid w:val="57621C32"/>
    <w:rsid w:val="577A6A80"/>
    <w:rsid w:val="57845005"/>
    <w:rsid w:val="5795194A"/>
    <w:rsid w:val="579E26AC"/>
    <w:rsid w:val="57A33612"/>
    <w:rsid w:val="57AB05F3"/>
    <w:rsid w:val="57BF425F"/>
    <w:rsid w:val="57D05406"/>
    <w:rsid w:val="57D61E46"/>
    <w:rsid w:val="57DD1426"/>
    <w:rsid w:val="57E37D1C"/>
    <w:rsid w:val="57EA769F"/>
    <w:rsid w:val="58062172"/>
    <w:rsid w:val="5821437D"/>
    <w:rsid w:val="583B614D"/>
    <w:rsid w:val="584A6390"/>
    <w:rsid w:val="58564D34"/>
    <w:rsid w:val="58604AB4"/>
    <w:rsid w:val="586E5EF4"/>
    <w:rsid w:val="58733B38"/>
    <w:rsid w:val="58AE73A0"/>
    <w:rsid w:val="58B43F9F"/>
    <w:rsid w:val="58D36385"/>
    <w:rsid w:val="58EA175E"/>
    <w:rsid w:val="58F4119D"/>
    <w:rsid w:val="58F622CA"/>
    <w:rsid w:val="59034EBC"/>
    <w:rsid w:val="590A4B03"/>
    <w:rsid w:val="59282B75"/>
    <w:rsid w:val="592B61A4"/>
    <w:rsid w:val="593E55AC"/>
    <w:rsid w:val="594B4CEA"/>
    <w:rsid w:val="594E53E5"/>
    <w:rsid w:val="59777658"/>
    <w:rsid w:val="59BE5287"/>
    <w:rsid w:val="59C84B24"/>
    <w:rsid w:val="59D625D1"/>
    <w:rsid w:val="59E051FD"/>
    <w:rsid w:val="59E21F11"/>
    <w:rsid w:val="59F963EC"/>
    <w:rsid w:val="59FB30B7"/>
    <w:rsid w:val="59FF3960"/>
    <w:rsid w:val="5A184997"/>
    <w:rsid w:val="5A1D3D5C"/>
    <w:rsid w:val="5A1E05EC"/>
    <w:rsid w:val="5A2450EA"/>
    <w:rsid w:val="5A490FF5"/>
    <w:rsid w:val="5A4A08C9"/>
    <w:rsid w:val="5A4C5140"/>
    <w:rsid w:val="5A783688"/>
    <w:rsid w:val="5A8E4C59"/>
    <w:rsid w:val="5A9009D2"/>
    <w:rsid w:val="5A9A7513"/>
    <w:rsid w:val="5AAD1584"/>
    <w:rsid w:val="5AB20948"/>
    <w:rsid w:val="5AD007CE"/>
    <w:rsid w:val="5ADF1011"/>
    <w:rsid w:val="5AF75639"/>
    <w:rsid w:val="5AF947C9"/>
    <w:rsid w:val="5B046241"/>
    <w:rsid w:val="5B092532"/>
    <w:rsid w:val="5B163750"/>
    <w:rsid w:val="5B1A64ED"/>
    <w:rsid w:val="5B370E4D"/>
    <w:rsid w:val="5B381EE0"/>
    <w:rsid w:val="5B4843BE"/>
    <w:rsid w:val="5B4B50D1"/>
    <w:rsid w:val="5B6C2BA5"/>
    <w:rsid w:val="5B7C45F5"/>
    <w:rsid w:val="5B9058A5"/>
    <w:rsid w:val="5BB836A3"/>
    <w:rsid w:val="5BBE331C"/>
    <w:rsid w:val="5BD7787B"/>
    <w:rsid w:val="5BE56D3E"/>
    <w:rsid w:val="5BF529CE"/>
    <w:rsid w:val="5BF62AB6"/>
    <w:rsid w:val="5BFD1509"/>
    <w:rsid w:val="5C05719D"/>
    <w:rsid w:val="5C1178F0"/>
    <w:rsid w:val="5C441EF9"/>
    <w:rsid w:val="5C645C72"/>
    <w:rsid w:val="5C6F7164"/>
    <w:rsid w:val="5C7D582E"/>
    <w:rsid w:val="5C8C3C7A"/>
    <w:rsid w:val="5CA15BF1"/>
    <w:rsid w:val="5CAE3391"/>
    <w:rsid w:val="5CCB7A9F"/>
    <w:rsid w:val="5CD46E74"/>
    <w:rsid w:val="5CFC320E"/>
    <w:rsid w:val="5D0531DF"/>
    <w:rsid w:val="5D106A85"/>
    <w:rsid w:val="5D1A3CE9"/>
    <w:rsid w:val="5D291C7A"/>
    <w:rsid w:val="5D6F0D72"/>
    <w:rsid w:val="5D7435A5"/>
    <w:rsid w:val="5D79574D"/>
    <w:rsid w:val="5D8A030A"/>
    <w:rsid w:val="5D8E46C0"/>
    <w:rsid w:val="5DC015CE"/>
    <w:rsid w:val="5DD20809"/>
    <w:rsid w:val="5DD46E27"/>
    <w:rsid w:val="5DDC71C7"/>
    <w:rsid w:val="5DEE5F9E"/>
    <w:rsid w:val="5E311445"/>
    <w:rsid w:val="5E3B39DE"/>
    <w:rsid w:val="5E3E44CE"/>
    <w:rsid w:val="5E4853B5"/>
    <w:rsid w:val="5E68386C"/>
    <w:rsid w:val="5E7951D6"/>
    <w:rsid w:val="5E8757BE"/>
    <w:rsid w:val="5E8A5537"/>
    <w:rsid w:val="5E9D5CBF"/>
    <w:rsid w:val="5E9E5003"/>
    <w:rsid w:val="5EAC56AE"/>
    <w:rsid w:val="5EB7583C"/>
    <w:rsid w:val="5ECE3876"/>
    <w:rsid w:val="5ED52E57"/>
    <w:rsid w:val="5EFD0FC9"/>
    <w:rsid w:val="5F011E9E"/>
    <w:rsid w:val="5F172392"/>
    <w:rsid w:val="5F1D035A"/>
    <w:rsid w:val="5F23344E"/>
    <w:rsid w:val="5F2974D4"/>
    <w:rsid w:val="5F491D86"/>
    <w:rsid w:val="5F4B4EC7"/>
    <w:rsid w:val="5F4C094F"/>
    <w:rsid w:val="5F6629C4"/>
    <w:rsid w:val="5F6706EE"/>
    <w:rsid w:val="5F680578"/>
    <w:rsid w:val="5F69359F"/>
    <w:rsid w:val="5F8A1E93"/>
    <w:rsid w:val="5F904FD0"/>
    <w:rsid w:val="5F9745B0"/>
    <w:rsid w:val="5FAB6D69"/>
    <w:rsid w:val="5FB62D8C"/>
    <w:rsid w:val="5FB962D5"/>
    <w:rsid w:val="5FBE67DF"/>
    <w:rsid w:val="5FC0209B"/>
    <w:rsid w:val="5FC609F2"/>
    <w:rsid w:val="5FD01870"/>
    <w:rsid w:val="5FD91C8D"/>
    <w:rsid w:val="5FF437B1"/>
    <w:rsid w:val="5FFA58C1"/>
    <w:rsid w:val="60025ECE"/>
    <w:rsid w:val="601E202E"/>
    <w:rsid w:val="60214B8E"/>
    <w:rsid w:val="603B318E"/>
    <w:rsid w:val="605424A1"/>
    <w:rsid w:val="6055005C"/>
    <w:rsid w:val="60581883"/>
    <w:rsid w:val="6064131C"/>
    <w:rsid w:val="6065645C"/>
    <w:rsid w:val="607E12CC"/>
    <w:rsid w:val="608D150F"/>
    <w:rsid w:val="608F133D"/>
    <w:rsid w:val="608F7598"/>
    <w:rsid w:val="60A179F0"/>
    <w:rsid w:val="60C90799"/>
    <w:rsid w:val="611F2AAF"/>
    <w:rsid w:val="612E6F74"/>
    <w:rsid w:val="61312C83"/>
    <w:rsid w:val="61573FF7"/>
    <w:rsid w:val="6191468E"/>
    <w:rsid w:val="61940767"/>
    <w:rsid w:val="61944FD7"/>
    <w:rsid w:val="61BA4EB8"/>
    <w:rsid w:val="61BC26F0"/>
    <w:rsid w:val="61D33033"/>
    <w:rsid w:val="61DA66F4"/>
    <w:rsid w:val="61F11188"/>
    <w:rsid w:val="61FF2B44"/>
    <w:rsid w:val="6205096F"/>
    <w:rsid w:val="620D6DAC"/>
    <w:rsid w:val="621D108A"/>
    <w:rsid w:val="6220263B"/>
    <w:rsid w:val="6243706B"/>
    <w:rsid w:val="625C563D"/>
    <w:rsid w:val="6300421A"/>
    <w:rsid w:val="630A7F2D"/>
    <w:rsid w:val="63141A74"/>
    <w:rsid w:val="63366A5B"/>
    <w:rsid w:val="63533494"/>
    <w:rsid w:val="63554566"/>
    <w:rsid w:val="636255F6"/>
    <w:rsid w:val="636F1E77"/>
    <w:rsid w:val="6383194F"/>
    <w:rsid w:val="63847D76"/>
    <w:rsid w:val="63911317"/>
    <w:rsid w:val="63972DD1"/>
    <w:rsid w:val="63990579"/>
    <w:rsid w:val="63A159FD"/>
    <w:rsid w:val="63A92E6E"/>
    <w:rsid w:val="63AB687C"/>
    <w:rsid w:val="63AE224F"/>
    <w:rsid w:val="63B76FCF"/>
    <w:rsid w:val="63B95C1F"/>
    <w:rsid w:val="63E241D4"/>
    <w:rsid w:val="63E853DA"/>
    <w:rsid w:val="63F67256"/>
    <w:rsid w:val="6416019A"/>
    <w:rsid w:val="64315C38"/>
    <w:rsid w:val="64412D3D"/>
    <w:rsid w:val="64590086"/>
    <w:rsid w:val="64594D3C"/>
    <w:rsid w:val="64641488"/>
    <w:rsid w:val="647041CF"/>
    <w:rsid w:val="647F1920"/>
    <w:rsid w:val="64891076"/>
    <w:rsid w:val="64BB3ED9"/>
    <w:rsid w:val="64D67A64"/>
    <w:rsid w:val="64DE058B"/>
    <w:rsid w:val="64F20E24"/>
    <w:rsid w:val="64F8789F"/>
    <w:rsid w:val="651C22C5"/>
    <w:rsid w:val="654E66E6"/>
    <w:rsid w:val="655053A4"/>
    <w:rsid w:val="65544838"/>
    <w:rsid w:val="65566374"/>
    <w:rsid w:val="656B4260"/>
    <w:rsid w:val="656F6973"/>
    <w:rsid w:val="659A0BDD"/>
    <w:rsid w:val="65A5045A"/>
    <w:rsid w:val="65E107A1"/>
    <w:rsid w:val="66080F1E"/>
    <w:rsid w:val="664B1FFD"/>
    <w:rsid w:val="665B3823"/>
    <w:rsid w:val="66600C7A"/>
    <w:rsid w:val="666F3B91"/>
    <w:rsid w:val="667747F4"/>
    <w:rsid w:val="667F18FA"/>
    <w:rsid w:val="669663E9"/>
    <w:rsid w:val="669929BC"/>
    <w:rsid w:val="66B94E0C"/>
    <w:rsid w:val="66C46444"/>
    <w:rsid w:val="66C832A1"/>
    <w:rsid w:val="66D1449A"/>
    <w:rsid w:val="66E77536"/>
    <w:rsid w:val="670F7BDD"/>
    <w:rsid w:val="67107325"/>
    <w:rsid w:val="67125292"/>
    <w:rsid w:val="67254BC6"/>
    <w:rsid w:val="673030DE"/>
    <w:rsid w:val="67446DCC"/>
    <w:rsid w:val="67526289"/>
    <w:rsid w:val="67543688"/>
    <w:rsid w:val="6759214B"/>
    <w:rsid w:val="676C3CE4"/>
    <w:rsid w:val="67C458CC"/>
    <w:rsid w:val="67ED7463"/>
    <w:rsid w:val="67EE0675"/>
    <w:rsid w:val="6804655B"/>
    <w:rsid w:val="681307F8"/>
    <w:rsid w:val="682D7860"/>
    <w:rsid w:val="684C6DE8"/>
    <w:rsid w:val="68570D81"/>
    <w:rsid w:val="68574A40"/>
    <w:rsid w:val="686040F4"/>
    <w:rsid w:val="68702375"/>
    <w:rsid w:val="688C197E"/>
    <w:rsid w:val="68945B31"/>
    <w:rsid w:val="6897117D"/>
    <w:rsid w:val="689C6767"/>
    <w:rsid w:val="68BE4787"/>
    <w:rsid w:val="68CB00F6"/>
    <w:rsid w:val="68D1225D"/>
    <w:rsid w:val="68E455FE"/>
    <w:rsid w:val="68EA3793"/>
    <w:rsid w:val="68F76870"/>
    <w:rsid w:val="68FA5D3E"/>
    <w:rsid w:val="6910168B"/>
    <w:rsid w:val="69197DE4"/>
    <w:rsid w:val="69224BD6"/>
    <w:rsid w:val="6925604D"/>
    <w:rsid w:val="692F13B6"/>
    <w:rsid w:val="693115D2"/>
    <w:rsid w:val="69336C29"/>
    <w:rsid w:val="694B5EDD"/>
    <w:rsid w:val="694E3F32"/>
    <w:rsid w:val="696F20FA"/>
    <w:rsid w:val="698C5F39"/>
    <w:rsid w:val="69935DE8"/>
    <w:rsid w:val="69B55D5F"/>
    <w:rsid w:val="69C9180A"/>
    <w:rsid w:val="69C96F68"/>
    <w:rsid w:val="69DD34F2"/>
    <w:rsid w:val="6A183542"/>
    <w:rsid w:val="6A2369AF"/>
    <w:rsid w:val="6A371921"/>
    <w:rsid w:val="6A435181"/>
    <w:rsid w:val="6A5C442C"/>
    <w:rsid w:val="6A6B6C96"/>
    <w:rsid w:val="6ABE1B0A"/>
    <w:rsid w:val="6AC951B0"/>
    <w:rsid w:val="6ADF0A10"/>
    <w:rsid w:val="6B00675B"/>
    <w:rsid w:val="6B2C02A3"/>
    <w:rsid w:val="6B3E1C4B"/>
    <w:rsid w:val="6B474C44"/>
    <w:rsid w:val="6B4B624F"/>
    <w:rsid w:val="6B637FAF"/>
    <w:rsid w:val="6B941C70"/>
    <w:rsid w:val="6BB639B6"/>
    <w:rsid w:val="6BD4750E"/>
    <w:rsid w:val="6BE91CF0"/>
    <w:rsid w:val="6BE9481D"/>
    <w:rsid w:val="6BE96E14"/>
    <w:rsid w:val="6BF3491C"/>
    <w:rsid w:val="6C0A61C1"/>
    <w:rsid w:val="6C0B39E9"/>
    <w:rsid w:val="6C262F44"/>
    <w:rsid w:val="6C457D6E"/>
    <w:rsid w:val="6C494E84"/>
    <w:rsid w:val="6C5C2B29"/>
    <w:rsid w:val="6C7F4402"/>
    <w:rsid w:val="6C8B0FF9"/>
    <w:rsid w:val="6C9C1863"/>
    <w:rsid w:val="6CD02EB0"/>
    <w:rsid w:val="6CE30E35"/>
    <w:rsid w:val="6CFA08D6"/>
    <w:rsid w:val="6D396CA7"/>
    <w:rsid w:val="6D47142A"/>
    <w:rsid w:val="6D521B8E"/>
    <w:rsid w:val="6D5B09CB"/>
    <w:rsid w:val="6D82560B"/>
    <w:rsid w:val="6D836174"/>
    <w:rsid w:val="6D8D7674"/>
    <w:rsid w:val="6DCA69DB"/>
    <w:rsid w:val="6E223C3C"/>
    <w:rsid w:val="6E4C47B8"/>
    <w:rsid w:val="6E5C19CE"/>
    <w:rsid w:val="6E5E2523"/>
    <w:rsid w:val="6E61036C"/>
    <w:rsid w:val="6E7F06E9"/>
    <w:rsid w:val="6E95001C"/>
    <w:rsid w:val="6EA840E4"/>
    <w:rsid w:val="6EAB0461"/>
    <w:rsid w:val="6EC92BFA"/>
    <w:rsid w:val="6EDC188F"/>
    <w:rsid w:val="6F045092"/>
    <w:rsid w:val="6F0B1E63"/>
    <w:rsid w:val="6F0C27CC"/>
    <w:rsid w:val="6F0F5F11"/>
    <w:rsid w:val="6F236C38"/>
    <w:rsid w:val="6F274D57"/>
    <w:rsid w:val="6F655B31"/>
    <w:rsid w:val="6FBE7937"/>
    <w:rsid w:val="6FCE5372"/>
    <w:rsid w:val="6FE0776D"/>
    <w:rsid w:val="70057314"/>
    <w:rsid w:val="700D699C"/>
    <w:rsid w:val="701622F4"/>
    <w:rsid w:val="703600C0"/>
    <w:rsid w:val="703C2947"/>
    <w:rsid w:val="704F058F"/>
    <w:rsid w:val="704F233D"/>
    <w:rsid w:val="706202C3"/>
    <w:rsid w:val="70651B61"/>
    <w:rsid w:val="706758D9"/>
    <w:rsid w:val="706C5D82"/>
    <w:rsid w:val="70787AE6"/>
    <w:rsid w:val="70C1148D"/>
    <w:rsid w:val="70CA1D71"/>
    <w:rsid w:val="70E50283"/>
    <w:rsid w:val="70EE13AD"/>
    <w:rsid w:val="70F27898"/>
    <w:rsid w:val="70F33611"/>
    <w:rsid w:val="70FC4273"/>
    <w:rsid w:val="710E3FA6"/>
    <w:rsid w:val="711041C2"/>
    <w:rsid w:val="711D243B"/>
    <w:rsid w:val="71282B8A"/>
    <w:rsid w:val="713D1106"/>
    <w:rsid w:val="71453E6C"/>
    <w:rsid w:val="71673F5D"/>
    <w:rsid w:val="71754026"/>
    <w:rsid w:val="71844E20"/>
    <w:rsid w:val="719E5A5F"/>
    <w:rsid w:val="71CD5C10"/>
    <w:rsid w:val="71CE4A45"/>
    <w:rsid w:val="71EF1A92"/>
    <w:rsid w:val="72085BC5"/>
    <w:rsid w:val="722F0678"/>
    <w:rsid w:val="723D1A99"/>
    <w:rsid w:val="72477770"/>
    <w:rsid w:val="72712571"/>
    <w:rsid w:val="72A2709C"/>
    <w:rsid w:val="72DA034E"/>
    <w:rsid w:val="73005B71"/>
    <w:rsid w:val="73013B49"/>
    <w:rsid w:val="73104006"/>
    <w:rsid w:val="7329156C"/>
    <w:rsid w:val="732E16EE"/>
    <w:rsid w:val="73310977"/>
    <w:rsid w:val="73396D1D"/>
    <w:rsid w:val="7356788F"/>
    <w:rsid w:val="73697BBA"/>
    <w:rsid w:val="73724CC1"/>
    <w:rsid w:val="739C3AEB"/>
    <w:rsid w:val="73BA21C4"/>
    <w:rsid w:val="73C3551E"/>
    <w:rsid w:val="73E97A4A"/>
    <w:rsid w:val="73FD7F66"/>
    <w:rsid w:val="740B06A5"/>
    <w:rsid w:val="742265C1"/>
    <w:rsid w:val="7443665D"/>
    <w:rsid w:val="7458676D"/>
    <w:rsid w:val="746C5BB4"/>
    <w:rsid w:val="747131CA"/>
    <w:rsid w:val="747F0C28"/>
    <w:rsid w:val="748202E9"/>
    <w:rsid w:val="74940EAB"/>
    <w:rsid w:val="74E441B8"/>
    <w:rsid w:val="74EC6C06"/>
    <w:rsid w:val="74FD05BA"/>
    <w:rsid w:val="74FF4332"/>
    <w:rsid w:val="75061B64"/>
    <w:rsid w:val="75265D63"/>
    <w:rsid w:val="75816EA3"/>
    <w:rsid w:val="75832BD5"/>
    <w:rsid w:val="759A5E6F"/>
    <w:rsid w:val="759B1A0B"/>
    <w:rsid w:val="75B37F84"/>
    <w:rsid w:val="75C15A8B"/>
    <w:rsid w:val="75C4533B"/>
    <w:rsid w:val="75EB37ED"/>
    <w:rsid w:val="760452EA"/>
    <w:rsid w:val="76204A80"/>
    <w:rsid w:val="762C1A00"/>
    <w:rsid w:val="763C5112"/>
    <w:rsid w:val="765604B9"/>
    <w:rsid w:val="765C7562"/>
    <w:rsid w:val="767A7E4C"/>
    <w:rsid w:val="7695058E"/>
    <w:rsid w:val="769B008A"/>
    <w:rsid w:val="769E5FF6"/>
    <w:rsid w:val="76A261BC"/>
    <w:rsid w:val="76A333E3"/>
    <w:rsid w:val="76D31F1A"/>
    <w:rsid w:val="76DC2928"/>
    <w:rsid w:val="76DE39AD"/>
    <w:rsid w:val="76E8133A"/>
    <w:rsid w:val="76F37EC6"/>
    <w:rsid w:val="770025E3"/>
    <w:rsid w:val="771118B0"/>
    <w:rsid w:val="771F2A69"/>
    <w:rsid w:val="776E48CA"/>
    <w:rsid w:val="777728A5"/>
    <w:rsid w:val="777923F3"/>
    <w:rsid w:val="77B01DCD"/>
    <w:rsid w:val="77BD336F"/>
    <w:rsid w:val="77C66DF3"/>
    <w:rsid w:val="77CC6E93"/>
    <w:rsid w:val="77F24622"/>
    <w:rsid w:val="78031640"/>
    <w:rsid w:val="78231353"/>
    <w:rsid w:val="78236589"/>
    <w:rsid w:val="783E33C3"/>
    <w:rsid w:val="784D1858"/>
    <w:rsid w:val="784D3606"/>
    <w:rsid w:val="78532FC3"/>
    <w:rsid w:val="78743289"/>
    <w:rsid w:val="78877B85"/>
    <w:rsid w:val="78A87C89"/>
    <w:rsid w:val="78CA4C57"/>
    <w:rsid w:val="78DA7590"/>
    <w:rsid w:val="78F217BA"/>
    <w:rsid w:val="78FB7F64"/>
    <w:rsid w:val="790740FD"/>
    <w:rsid w:val="79140DD9"/>
    <w:rsid w:val="792926EC"/>
    <w:rsid w:val="794B033C"/>
    <w:rsid w:val="795F1843"/>
    <w:rsid w:val="796B468C"/>
    <w:rsid w:val="798D4602"/>
    <w:rsid w:val="79933281"/>
    <w:rsid w:val="799C629E"/>
    <w:rsid w:val="79BC0A44"/>
    <w:rsid w:val="79D87FE9"/>
    <w:rsid w:val="79E252C9"/>
    <w:rsid w:val="79FF3026"/>
    <w:rsid w:val="7A101646"/>
    <w:rsid w:val="7A1609FC"/>
    <w:rsid w:val="7A2B1C08"/>
    <w:rsid w:val="7A42037E"/>
    <w:rsid w:val="7A4376C5"/>
    <w:rsid w:val="7A4553DD"/>
    <w:rsid w:val="7A820BBA"/>
    <w:rsid w:val="7A8377B3"/>
    <w:rsid w:val="7A861A42"/>
    <w:rsid w:val="7A866FEE"/>
    <w:rsid w:val="7A965738"/>
    <w:rsid w:val="7A9C0875"/>
    <w:rsid w:val="7AA977A4"/>
    <w:rsid w:val="7AE2272C"/>
    <w:rsid w:val="7AE244DA"/>
    <w:rsid w:val="7AE94C16"/>
    <w:rsid w:val="7B0D298C"/>
    <w:rsid w:val="7B306510"/>
    <w:rsid w:val="7B407625"/>
    <w:rsid w:val="7B4231CA"/>
    <w:rsid w:val="7B430FB6"/>
    <w:rsid w:val="7B62386D"/>
    <w:rsid w:val="7B695626"/>
    <w:rsid w:val="7B8D7E21"/>
    <w:rsid w:val="7BAE6AB2"/>
    <w:rsid w:val="7BB30F09"/>
    <w:rsid w:val="7BEA6F04"/>
    <w:rsid w:val="7C0C0B65"/>
    <w:rsid w:val="7C1B4AE8"/>
    <w:rsid w:val="7C2D5C29"/>
    <w:rsid w:val="7C611D76"/>
    <w:rsid w:val="7C615674"/>
    <w:rsid w:val="7C790E6E"/>
    <w:rsid w:val="7C835EFC"/>
    <w:rsid w:val="7C92714B"/>
    <w:rsid w:val="7CCD7925"/>
    <w:rsid w:val="7CF83BBE"/>
    <w:rsid w:val="7D00112F"/>
    <w:rsid w:val="7D034341"/>
    <w:rsid w:val="7D050A3C"/>
    <w:rsid w:val="7D110775"/>
    <w:rsid w:val="7D292894"/>
    <w:rsid w:val="7D575C62"/>
    <w:rsid w:val="7D755B50"/>
    <w:rsid w:val="7D8C697F"/>
    <w:rsid w:val="7D8D7090"/>
    <w:rsid w:val="7D955BFB"/>
    <w:rsid w:val="7DAF2E76"/>
    <w:rsid w:val="7DB66598"/>
    <w:rsid w:val="7DC0487A"/>
    <w:rsid w:val="7DD259C8"/>
    <w:rsid w:val="7DDA6D21"/>
    <w:rsid w:val="7DE92023"/>
    <w:rsid w:val="7E1C51C4"/>
    <w:rsid w:val="7E1D3A7B"/>
    <w:rsid w:val="7E3A5223"/>
    <w:rsid w:val="7E4D34E2"/>
    <w:rsid w:val="7E5576B9"/>
    <w:rsid w:val="7E654CD5"/>
    <w:rsid w:val="7E694E0C"/>
    <w:rsid w:val="7E745D91"/>
    <w:rsid w:val="7E9957F7"/>
    <w:rsid w:val="7E9A10E4"/>
    <w:rsid w:val="7EA7564A"/>
    <w:rsid w:val="7ED00AED"/>
    <w:rsid w:val="7ED97B4C"/>
    <w:rsid w:val="7EDB5E10"/>
    <w:rsid w:val="7EDC3936"/>
    <w:rsid w:val="7EE025E0"/>
    <w:rsid w:val="7EE825B5"/>
    <w:rsid w:val="7EED41A5"/>
    <w:rsid w:val="7EF742CC"/>
    <w:rsid w:val="7F0C2F53"/>
    <w:rsid w:val="7F0D2005"/>
    <w:rsid w:val="7F3202B3"/>
    <w:rsid w:val="7F376DBE"/>
    <w:rsid w:val="7F4219EB"/>
    <w:rsid w:val="7F5E31AA"/>
    <w:rsid w:val="7F6C2F0C"/>
    <w:rsid w:val="7F7818B1"/>
    <w:rsid w:val="7F842003"/>
    <w:rsid w:val="7F914720"/>
    <w:rsid w:val="7F923FCB"/>
    <w:rsid w:val="7FB421BD"/>
    <w:rsid w:val="7FD5285F"/>
    <w:rsid w:val="7FD53C3F"/>
    <w:rsid w:val="7FE00AC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1"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qFormat="1"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5"/>
    <w:qFormat/>
    <w:uiPriority w:val="0"/>
    <w:pPr>
      <w:keepNext/>
      <w:keepLines/>
      <w:spacing w:line="576" w:lineRule="auto"/>
      <w:outlineLvl w:val="0"/>
    </w:pPr>
    <w:rPr>
      <w:b/>
      <w:bCs/>
      <w:kern w:val="44"/>
      <w:sz w:val="44"/>
      <w:szCs w:val="44"/>
    </w:rPr>
  </w:style>
  <w:style w:type="paragraph" w:styleId="3">
    <w:name w:val="heading 2"/>
    <w:basedOn w:val="1"/>
    <w:next w:val="1"/>
    <w:link w:val="46"/>
    <w:qFormat/>
    <w:uiPriority w:val="0"/>
    <w:pPr>
      <w:keepNext/>
      <w:keepLines/>
      <w:spacing w:line="413" w:lineRule="auto"/>
      <w:jc w:val="center"/>
      <w:outlineLvl w:val="1"/>
    </w:pPr>
    <w:rPr>
      <w:rFonts w:eastAsia="黑体"/>
      <w:sz w:val="32"/>
    </w:rPr>
  </w:style>
  <w:style w:type="paragraph" w:styleId="4">
    <w:name w:val="heading 3"/>
    <w:basedOn w:val="1"/>
    <w:next w:val="1"/>
    <w:unhideWhenUsed/>
    <w:qFormat/>
    <w:uiPriority w:val="9"/>
    <w:pPr>
      <w:keepNext/>
      <w:keepLines/>
      <w:spacing w:before="260" w:beforeLines="0" w:beforeAutospacing="0" w:after="260" w:afterLines="0" w:afterAutospacing="0" w:line="413" w:lineRule="auto"/>
      <w:outlineLvl w:val="2"/>
    </w:pPr>
    <w:rPr>
      <w:b/>
      <w:sz w:val="32"/>
    </w:rPr>
  </w:style>
  <w:style w:type="paragraph" w:styleId="5">
    <w:name w:val="heading 5"/>
    <w:basedOn w:val="1"/>
    <w:next w:val="1"/>
    <w:qFormat/>
    <w:uiPriority w:val="0"/>
    <w:pPr>
      <w:keepNext/>
      <w:jc w:val="center"/>
      <w:outlineLvl w:val="4"/>
    </w:pPr>
    <w:rPr>
      <w:rFonts w:ascii="Times New Roman" w:hAnsi="Times New Roman" w:eastAsia="仿宋_GB2312" w:cs="Times New Roman"/>
      <w:sz w:val="28"/>
      <w:szCs w:val="28"/>
    </w:rPr>
  </w:style>
  <w:style w:type="character" w:default="1" w:styleId="37">
    <w:name w:val="Default Paragraph Font"/>
    <w:unhideWhenUsed/>
    <w:qFormat/>
    <w:uiPriority w:val="1"/>
  </w:style>
  <w:style w:type="table" w:default="1" w:styleId="35">
    <w:name w:val="Normal Table"/>
    <w:unhideWhenUsed/>
    <w:qFormat/>
    <w:uiPriority w:val="99"/>
    <w:tblPr>
      <w:tblCellMar>
        <w:top w:w="0" w:type="dxa"/>
        <w:left w:w="108" w:type="dxa"/>
        <w:bottom w:w="0" w:type="dxa"/>
        <w:right w:w="108" w:type="dxa"/>
      </w:tblCellMar>
    </w:tblPr>
  </w:style>
  <w:style w:type="paragraph" w:styleId="6">
    <w:name w:val="toc 7"/>
    <w:basedOn w:val="1"/>
    <w:next w:val="1"/>
    <w:qFormat/>
    <w:uiPriority w:val="0"/>
    <w:pPr>
      <w:ind w:left="2520" w:leftChars="1200"/>
    </w:pPr>
    <w:rPr>
      <w:rFonts w:ascii="等线" w:hAnsi="等线" w:eastAsia="等线"/>
      <w:szCs w:val="22"/>
    </w:rPr>
  </w:style>
  <w:style w:type="paragraph" w:styleId="7">
    <w:name w:val="index 8"/>
    <w:basedOn w:val="1"/>
    <w:next w:val="1"/>
    <w:qFormat/>
    <w:uiPriority w:val="0"/>
    <w:pPr>
      <w:spacing w:line="276" w:lineRule="auto"/>
      <w:jc w:val="left"/>
    </w:pPr>
    <w:rPr>
      <w:color w:val="FF0000"/>
      <w:szCs w:val="21"/>
    </w:rPr>
  </w:style>
  <w:style w:type="paragraph" w:styleId="8">
    <w:name w:val="Normal Indent"/>
    <w:basedOn w:val="1"/>
    <w:qFormat/>
    <w:uiPriority w:val="0"/>
    <w:pPr>
      <w:ind w:firstLine="420"/>
    </w:pPr>
    <w:rPr>
      <w:szCs w:val="20"/>
    </w:rPr>
  </w:style>
  <w:style w:type="paragraph" w:styleId="9">
    <w:name w:val="Document Map"/>
    <w:basedOn w:val="1"/>
    <w:qFormat/>
    <w:uiPriority w:val="0"/>
    <w:pPr>
      <w:shd w:val="clear" w:color="auto" w:fill="000080"/>
    </w:pPr>
  </w:style>
  <w:style w:type="paragraph" w:styleId="10">
    <w:name w:val="annotation text"/>
    <w:basedOn w:val="1"/>
    <w:link w:val="47"/>
    <w:qFormat/>
    <w:uiPriority w:val="0"/>
    <w:pPr>
      <w:jc w:val="left"/>
    </w:pPr>
  </w:style>
  <w:style w:type="paragraph" w:styleId="11">
    <w:name w:val="Body Text"/>
    <w:basedOn w:val="1"/>
    <w:link w:val="43"/>
    <w:qFormat/>
    <w:uiPriority w:val="0"/>
    <w:rPr>
      <w:kern w:val="0"/>
      <w:sz w:val="28"/>
      <w:szCs w:val="20"/>
    </w:rPr>
  </w:style>
  <w:style w:type="paragraph" w:styleId="12">
    <w:name w:val="Body Text Indent"/>
    <w:basedOn w:val="13"/>
    <w:next w:val="14"/>
    <w:link w:val="42"/>
    <w:qFormat/>
    <w:uiPriority w:val="0"/>
    <w:pPr>
      <w:spacing w:after="120"/>
      <w:ind w:left="420" w:leftChars="200"/>
    </w:pPr>
    <w:rPr>
      <w:kern w:val="0"/>
      <w:sz w:val="20"/>
    </w:rPr>
  </w:style>
  <w:style w:type="paragraph" w:customStyle="1" w:styleId="13">
    <w:name w:val="Normal_2"/>
    <w:next w:val="14"/>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14">
    <w:name w:val="Body Text First Indent 2"/>
    <w:basedOn w:val="12"/>
    <w:next w:val="15"/>
    <w:qFormat/>
    <w:uiPriority w:val="0"/>
    <w:pPr>
      <w:spacing w:after="120"/>
      <w:ind w:left="420" w:leftChars="200" w:firstLine="420" w:firstLineChars="200"/>
    </w:pPr>
    <w:rPr>
      <w:rFonts w:ascii="宋体" w:hAnsi="MS Sans Serif"/>
      <w:spacing w:val="12"/>
      <w:sz w:val="21"/>
    </w:rPr>
  </w:style>
  <w:style w:type="paragraph" w:styleId="15">
    <w:name w:val="Body Text First Indent"/>
    <w:basedOn w:val="11"/>
    <w:next w:val="1"/>
    <w:qFormat/>
    <w:uiPriority w:val="0"/>
    <w:pPr>
      <w:ind w:firstLine="700" w:firstLineChars="250"/>
    </w:pPr>
    <w:rPr>
      <w:rFonts w:ascii="Calibri" w:hAnsi="Calibri"/>
      <w:kern w:val="0"/>
      <w:sz w:val="28"/>
      <w:szCs w:val="24"/>
    </w:rPr>
  </w:style>
  <w:style w:type="paragraph" w:styleId="16">
    <w:name w:val="index 4"/>
    <w:basedOn w:val="1"/>
    <w:next w:val="1"/>
    <w:qFormat/>
    <w:uiPriority w:val="99"/>
    <w:pPr>
      <w:ind w:left="600" w:leftChars="600"/>
    </w:pPr>
    <w:rPr>
      <w:szCs w:val="24"/>
    </w:rPr>
  </w:style>
  <w:style w:type="paragraph" w:styleId="17">
    <w:name w:val="toc 5"/>
    <w:basedOn w:val="1"/>
    <w:next w:val="1"/>
    <w:qFormat/>
    <w:uiPriority w:val="0"/>
    <w:pPr>
      <w:ind w:left="1680" w:leftChars="800"/>
    </w:pPr>
    <w:rPr>
      <w:rFonts w:ascii="等线" w:hAnsi="等线" w:eastAsia="等线"/>
      <w:szCs w:val="22"/>
    </w:rPr>
  </w:style>
  <w:style w:type="paragraph" w:styleId="18">
    <w:name w:val="toc 3"/>
    <w:basedOn w:val="1"/>
    <w:next w:val="1"/>
    <w:qFormat/>
    <w:uiPriority w:val="0"/>
    <w:pPr>
      <w:ind w:left="840" w:leftChars="400"/>
    </w:pPr>
    <w:rPr>
      <w:rFonts w:ascii="等线" w:hAnsi="等线" w:eastAsia="等线"/>
      <w:szCs w:val="22"/>
    </w:rPr>
  </w:style>
  <w:style w:type="paragraph" w:styleId="19">
    <w:name w:val="Plain Text"/>
    <w:basedOn w:val="1"/>
    <w:next w:val="1"/>
    <w:link w:val="48"/>
    <w:qFormat/>
    <w:uiPriority w:val="0"/>
    <w:rPr>
      <w:rFonts w:ascii="宋体" w:hAnsi="Courier New"/>
      <w:color w:val="000000"/>
      <w:szCs w:val="20"/>
    </w:rPr>
  </w:style>
  <w:style w:type="paragraph" w:styleId="20">
    <w:name w:val="toc 8"/>
    <w:basedOn w:val="1"/>
    <w:next w:val="1"/>
    <w:qFormat/>
    <w:uiPriority w:val="0"/>
    <w:pPr>
      <w:ind w:left="2940" w:leftChars="1400"/>
    </w:pPr>
    <w:rPr>
      <w:rFonts w:ascii="等线" w:hAnsi="等线" w:eastAsia="等线"/>
      <w:szCs w:val="22"/>
    </w:rPr>
  </w:style>
  <w:style w:type="paragraph" w:styleId="21">
    <w:name w:val="Date"/>
    <w:basedOn w:val="1"/>
    <w:next w:val="1"/>
    <w:link w:val="44"/>
    <w:qFormat/>
    <w:uiPriority w:val="0"/>
    <w:pPr>
      <w:ind w:left="100" w:leftChars="2500"/>
    </w:pPr>
    <w:rPr>
      <w:kern w:val="0"/>
      <w:sz w:val="20"/>
    </w:rPr>
  </w:style>
  <w:style w:type="paragraph" w:styleId="22">
    <w:name w:val="Balloon Text"/>
    <w:basedOn w:val="1"/>
    <w:qFormat/>
    <w:uiPriority w:val="0"/>
    <w:rPr>
      <w:sz w:val="18"/>
      <w:szCs w:val="18"/>
    </w:rPr>
  </w:style>
  <w:style w:type="paragraph" w:styleId="23">
    <w:name w:val="footer"/>
    <w:basedOn w:val="1"/>
    <w:link w:val="49"/>
    <w:unhideWhenUsed/>
    <w:qFormat/>
    <w:uiPriority w:val="99"/>
    <w:pPr>
      <w:tabs>
        <w:tab w:val="center" w:pos="4153"/>
        <w:tab w:val="right" w:pos="8306"/>
      </w:tabs>
      <w:snapToGrid w:val="0"/>
      <w:jc w:val="left"/>
    </w:pPr>
    <w:rPr>
      <w:sz w:val="18"/>
      <w:szCs w:val="18"/>
    </w:rPr>
  </w:style>
  <w:style w:type="paragraph" w:styleId="24">
    <w:name w:val="envelope return"/>
    <w:basedOn w:val="1"/>
    <w:qFormat/>
    <w:uiPriority w:val="0"/>
    <w:pPr>
      <w:widowControl w:val="0"/>
      <w:jc w:val="both"/>
    </w:pPr>
    <w:rPr>
      <w:rFonts w:ascii="Arial" w:hAnsi="Arial" w:eastAsia="方正仿宋_GBK" w:cs="Times New Roman"/>
      <w:kern w:val="2"/>
      <w:sz w:val="32"/>
      <w:szCs w:val="22"/>
      <w:lang w:val="en-US" w:eastAsia="zh-CN" w:bidi="ar-SA"/>
    </w:rPr>
  </w:style>
  <w:style w:type="paragraph" w:styleId="25">
    <w:name w:val="header"/>
    <w:basedOn w:val="1"/>
    <w:link w:val="50"/>
    <w:unhideWhenUsed/>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27"/>
    <w:next w:val="1"/>
    <w:qFormat/>
    <w:uiPriority w:val="0"/>
  </w:style>
  <w:style w:type="paragraph" w:styleId="27">
    <w:name w:val="index 1"/>
    <w:basedOn w:val="1"/>
    <w:next w:val="1"/>
    <w:qFormat/>
    <w:uiPriority w:val="0"/>
  </w:style>
  <w:style w:type="paragraph" w:styleId="28">
    <w:name w:val="toc 4"/>
    <w:basedOn w:val="1"/>
    <w:next w:val="1"/>
    <w:qFormat/>
    <w:uiPriority w:val="0"/>
    <w:pPr>
      <w:ind w:left="1260" w:leftChars="600"/>
    </w:pPr>
    <w:rPr>
      <w:rFonts w:ascii="等线" w:hAnsi="等线" w:eastAsia="等线"/>
      <w:szCs w:val="22"/>
    </w:rPr>
  </w:style>
  <w:style w:type="paragraph" w:styleId="29">
    <w:name w:val="toc 6"/>
    <w:basedOn w:val="1"/>
    <w:next w:val="1"/>
    <w:qFormat/>
    <w:uiPriority w:val="0"/>
    <w:pPr>
      <w:ind w:left="2100" w:leftChars="1000"/>
    </w:pPr>
    <w:rPr>
      <w:rFonts w:ascii="等线" w:hAnsi="等线" w:eastAsia="等线"/>
      <w:szCs w:val="22"/>
    </w:rPr>
  </w:style>
  <w:style w:type="paragraph" w:styleId="30">
    <w:name w:val="List 5"/>
    <w:next w:val="26"/>
    <w:unhideWhenUsed/>
    <w:qFormat/>
    <w:uiPriority w:val="0"/>
    <w:pPr>
      <w:widowControl w:val="0"/>
      <w:ind w:left="2100" w:hanging="420"/>
      <w:jc w:val="both"/>
    </w:pPr>
    <w:rPr>
      <w:rFonts w:ascii="Calibri" w:hAnsi="Calibri" w:eastAsia="宋体" w:cs="Times New Roman"/>
      <w:kern w:val="2"/>
      <w:sz w:val="21"/>
      <w:szCs w:val="22"/>
      <w:lang w:val="en-US" w:eastAsia="zh-CN" w:bidi="ar-SA"/>
    </w:rPr>
  </w:style>
  <w:style w:type="paragraph" w:styleId="31">
    <w:name w:val="toc 2"/>
    <w:basedOn w:val="1"/>
    <w:next w:val="1"/>
    <w:qFormat/>
    <w:uiPriority w:val="0"/>
    <w:pPr>
      <w:ind w:left="420" w:leftChars="200"/>
    </w:pPr>
  </w:style>
  <w:style w:type="paragraph" w:styleId="32">
    <w:name w:val="toc 9"/>
    <w:basedOn w:val="1"/>
    <w:next w:val="1"/>
    <w:qFormat/>
    <w:uiPriority w:val="0"/>
    <w:pPr>
      <w:ind w:left="3360" w:leftChars="1600"/>
    </w:pPr>
    <w:rPr>
      <w:rFonts w:ascii="等线" w:hAnsi="等线" w:eastAsia="等线"/>
      <w:szCs w:val="22"/>
    </w:rPr>
  </w:style>
  <w:style w:type="paragraph" w:styleId="33">
    <w:name w:val="Normal (Web)"/>
    <w:basedOn w:val="1"/>
    <w:qFormat/>
    <w:uiPriority w:val="0"/>
    <w:pPr>
      <w:spacing w:after="120"/>
      <w:jc w:val="left"/>
    </w:pPr>
    <w:rPr>
      <w:kern w:val="0"/>
      <w:sz w:val="24"/>
    </w:rPr>
  </w:style>
  <w:style w:type="paragraph" w:styleId="34">
    <w:name w:val="Title"/>
    <w:basedOn w:val="1"/>
    <w:next w:val="1"/>
    <w:qFormat/>
    <w:uiPriority w:val="99"/>
    <w:pPr>
      <w:spacing w:before="240" w:after="60"/>
      <w:jc w:val="center"/>
      <w:outlineLvl w:val="0"/>
    </w:pPr>
    <w:rPr>
      <w:rFonts w:ascii="Arial" w:hAnsi="Arial"/>
      <w:b/>
      <w:bCs/>
      <w:sz w:val="32"/>
      <w:szCs w:val="32"/>
    </w:rPr>
  </w:style>
  <w:style w:type="table" w:styleId="36">
    <w:name w:val="Table Grid"/>
    <w:basedOn w:val="35"/>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qFormat/>
    <w:uiPriority w:val="0"/>
    <w:rPr>
      <w:b/>
      <w:bCs/>
    </w:rPr>
  </w:style>
  <w:style w:type="character" w:styleId="39">
    <w:name w:val="Hyperlink"/>
    <w:qFormat/>
    <w:uiPriority w:val="0"/>
    <w:rPr>
      <w:rFonts w:ascii="Times New Roman" w:hAnsi="Times New Roman" w:eastAsia="宋体" w:cs="Times New Roman"/>
      <w:color w:val="0563C1"/>
      <w:u w:val="single"/>
    </w:rPr>
  </w:style>
  <w:style w:type="paragraph" w:customStyle="1" w:styleId="40">
    <w:name w:val="PlainText"/>
    <w:basedOn w:val="1"/>
    <w:qFormat/>
    <w:uiPriority w:val="0"/>
    <w:rPr>
      <w:rFonts w:ascii="宋体" w:hAnsi="Courier New"/>
    </w:rPr>
  </w:style>
  <w:style w:type="paragraph" w:customStyle="1" w:styleId="41">
    <w:name w:val="p0"/>
    <w:basedOn w:val="1"/>
    <w:qFormat/>
    <w:uiPriority w:val="0"/>
    <w:pPr>
      <w:widowControl/>
      <w:spacing w:before="100" w:beforeAutospacing="1" w:after="100" w:afterAutospacing="1"/>
      <w:jc w:val="left"/>
    </w:pPr>
    <w:rPr>
      <w:rFonts w:ascii="宋体" w:hAnsi="宋体" w:cs="宋体"/>
      <w:kern w:val="0"/>
      <w:sz w:val="24"/>
    </w:rPr>
  </w:style>
  <w:style w:type="character" w:customStyle="1" w:styleId="42">
    <w:name w:val="正文文本缩进 Char"/>
    <w:link w:val="12"/>
    <w:qFormat/>
    <w:uiPriority w:val="0"/>
    <w:rPr>
      <w:rFonts w:ascii="Times New Roman" w:hAnsi="Times New Roman" w:eastAsia="宋体" w:cs="Times New Roman"/>
      <w:szCs w:val="24"/>
    </w:rPr>
  </w:style>
  <w:style w:type="character" w:customStyle="1" w:styleId="43">
    <w:name w:val="正文文本 Char"/>
    <w:link w:val="11"/>
    <w:qFormat/>
    <w:uiPriority w:val="0"/>
    <w:rPr>
      <w:rFonts w:ascii="Times New Roman" w:hAnsi="Times New Roman" w:eastAsia="宋体" w:cs="Times New Roman"/>
      <w:sz w:val="28"/>
    </w:rPr>
  </w:style>
  <w:style w:type="character" w:customStyle="1" w:styleId="44">
    <w:name w:val="日期 Char"/>
    <w:link w:val="21"/>
    <w:qFormat/>
    <w:uiPriority w:val="0"/>
    <w:rPr>
      <w:rFonts w:ascii="Times New Roman" w:hAnsi="Times New Roman" w:eastAsia="宋体" w:cs="Times New Roman"/>
      <w:szCs w:val="24"/>
    </w:rPr>
  </w:style>
  <w:style w:type="character" w:customStyle="1" w:styleId="45">
    <w:name w:val="标题 1 Char"/>
    <w:basedOn w:val="37"/>
    <w:link w:val="2"/>
    <w:qFormat/>
    <w:uiPriority w:val="0"/>
    <w:rPr>
      <w:rFonts w:ascii="Times New Roman" w:hAnsi="Times New Roman" w:eastAsia="宋体" w:cs="Times New Roman"/>
      <w:b/>
      <w:bCs/>
      <w:kern w:val="44"/>
      <w:sz w:val="44"/>
      <w:szCs w:val="44"/>
    </w:rPr>
  </w:style>
  <w:style w:type="character" w:customStyle="1" w:styleId="46">
    <w:name w:val="标题 2 Char"/>
    <w:basedOn w:val="37"/>
    <w:link w:val="3"/>
    <w:qFormat/>
    <w:uiPriority w:val="0"/>
    <w:rPr>
      <w:rFonts w:ascii="Times New Roman" w:hAnsi="Times New Roman" w:eastAsia="黑体" w:cs="Times New Roman"/>
      <w:sz w:val="32"/>
      <w:szCs w:val="24"/>
    </w:rPr>
  </w:style>
  <w:style w:type="character" w:customStyle="1" w:styleId="47">
    <w:name w:val="批注文字 Char"/>
    <w:basedOn w:val="37"/>
    <w:link w:val="10"/>
    <w:qFormat/>
    <w:uiPriority w:val="0"/>
    <w:rPr>
      <w:rFonts w:ascii="Times New Roman" w:hAnsi="Times New Roman" w:eastAsia="宋体" w:cs="Times New Roman"/>
      <w:szCs w:val="24"/>
    </w:rPr>
  </w:style>
  <w:style w:type="character" w:customStyle="1" w:styleId="48">
    <w:name w:val="纯文本 Char"/>
    <w:basedOn w:val="37"/>
    <w:link w:val="19"/>
    <w:qFormat/>
    <w:uiPriority w:val="0"/>
    <w:rPr>
      <w:rFonts w:ascii="宋体" w:hAnsi="Courier New" w:eastAsia="宋体" w:cs="Times New Roman"/>
      <w:color w:val="000000"/>
      <w:szCs w:val="20"/>
    </w:rPr>
  </w:style>
  <w:style w:type="character" w:customStyle="1" w:styleId="49">
    <w:name w:val="页脚 Char"/>
    <w:basedOn w:val="37"/>
    <w:link w:val="23"/>
    <w:qFormat/>
    <w:uiPriority w:val="99"/>
    <w:rPr>
      <w:sz w:val="18"/>
      <w:szCs w:val="18"/>
    </w:rPr>
  </w:style>
  <w:style w:type="character" w:customStyle="1" w:styleId="50">
    <w:name w:val="页眉 Char"/>
    <w:basedOn w:val="37"/>
    <w:link w:val="25"/>
    <w:semiHidden/>
    <w:qFormat/>
    <w:uiPriority w:val="99"/>
    <w:rPr>
      <w:sz w:val="18"/>
      <w:szCs w:val="18"/>
    </w:rPr>
  </w:style>
  <w:style w:type="character" w:customStyle="1" w:styleId="51">
    <w:name w:val="font31"/>
    <w:basedOn w:val="37"/>
    <w:qFormat/>
    <w:uiPriority w:val="0"/>
    <w:rPr>
      <w:rFonts w:hint="eastAsia" w:ascii="宋体" w:hAnsi="宋体" w:eastAsia="宋体" w:cs="宋体"/>
      <w:color w:val="000000"/>
      <w:sz w:val="24"/>
      <w:szCs w:val="24"/>
      <w:u w:val="none"/>
    </w:rPr>
  </w:style>
  <w:style w:type="character" w:customStyle="1" w:styleId="52">
    <w:name w:val="未处理的提及"/>
    <w:qFormat/>
    <w:uiPriority w:val="0"/>
    <w:rPr>
      <w:rFonts w:ascii="Times New Roman" w:hAnsi="Times New Roman" w:eastAsia="宋体" w:cs="Times New Roman"/>
      <w:color w:val="605E5C"/>
      <w:shd w:val="clear" w:color="auto" w:fill="E1DFDD"/>
    </w:rPr>
  </w:style>
  <w:style w:type="character" w:customStyle="1" w:styleId="53">
    <w:name w:val="font21"/>
    <w:basedOn w:val="37"/>
    <w:qFormat/>
    <w:uiPriority w:val="0"/>
    <w:rPr>
      <w:rFonts w:ascii="微软雅黑" w:hAnsi="微软雅黑" w:eastAsia="微软雅黑" w:cs="微软雅黑"/>
      <w:color w:val="000000"/>
      <w:sz w:val="24"/>
      <w:szCs w:val="24"/>
      <w:u w:val="none"/>
    </w:rPr>
  </w:style>
  <w:style w:type="character" w:customStyle="1" w:styleId="54">
    <w:name w:val="正文文本缩进 Char1"/>
    <w:basedOn w:val="37"/>
    <w:semiHidden/>
    <w:qFormat/>
    <w:uiPriority w:val="99"/>
    <w:rPr>
      <w:rFonts w:ascii="Times New Roman" w:hAnsi="Times New Roman" w:eastAsia="宋体" w:cs="Times New Roman"/>
      <w:szCs w:val="24"/>
    </w:rPr>
  </w:style>
  <w:style w:type="character" w:customStyle="1" w:styleId="55">
    <w:name w:val="font51"/>
    <w:basedOn w:val="37"/>
    <w:qFormat/>
    <w:uiPriority w:val="0"/>
    <w:rPr>
      <w:rFonts w:ascii="微软雅黑" w:hAnsi="微软雅黑" w:eastAsia="微软雅黑" w:cs="微软雅黑"/>
      <w:color w:val="000000"/>
      <w:sz w:val="24"/>
      <w:szCs w:val="24"/>
      <w:u w:val="none"/>
    </w:rPr>
  </w:style>
  <w:style w:type="character" w:customStyle="1" w:styleId="56">
    <w:name w:val="日期 Char1"/>
    <w:basedOn w:val="37"/>
    <w:semiHidden/>
    <w:qFormat/>
    <w:uiPriority w:val="99"/>
    <w:rPr>
      <w:rFonts w:ascii="Times New Roman" w:hAnsi="Times New Roman" w:eastAsia="宋体" w:cs="Times New Roman"/>
      <w:szCs w:val="24"/>
    </w:rPr>
  </w:style>
  <w:style w:type="character" w:customStyle="1" w:styleId="57">
    <w:name w:val="15"/>
    <w:qFormat/>
    <w:uiPriority w:val="0"/>
    <w:rPr>
      <w:rFonts w:hint="default" w:ascii="Times New Roman" w:hAnsi="Times New Roman" w:eastAsia="宋体" w:cs="Times New Roman"/>
      <w:b/>
      <w:bCs/>
    </w:rPr>
  </w:style>
  <w:style w:type="character" w:customStyle="1" w:styleId="58">
    <w:name w:val="font11"/>
    <w:basedOn w:val="37"/>
    <w:qFormat/>
    <w:uiPriority w:val="0"/>
    <w:rPr>
      <w:rFonts w:hint="eastAsia" w:ascii="宋体" w:hAnsi="宋体" w:eastAsia="宋体" w:cs="宋体"/>
      <w:color w:val="000000"/>
      <w:sz w:val="24"/>
      <w:szCs w:val="24"/>
      <w:u w:val="none"/>
    </w:rPr>
  </w:style>
  <w:style w:type="character" w:customStyle="1" w:styleId="59">
    <w:name w:val="17"/>
    <w:qFormat/>
    <w:uiPriority w:val="0"/>
    <w:rPr>
      <w:rFonts w:hint="default" w:ascii="MingLiU-ExtB" w:hAnsi="MingLiU-ExtB" w:eastAsia="宋体" w:cs="Times New Roman"/>
      <w:b/>
      <w:bCs/>
      <w:color w:val="000000"/>
      <w:spacing w:val="0"/>
      <w:sz w:val="30"/>
      <w:szCs w:val="30"/>
    </w:rPr>
  </w:style>
  <w:style w:type="character" w:customStyle="1" w:styleId="60">
    <w:name w:val="font41"/>
    <w:basedOn w:val="37"/>
    <w:qFormat/>
    <w:uiPriority w:val="0"/>
    <w:rPr>
      <w:rFonts w:hint="eastAsia" w:ascii="宋体" w:hAnsi="宋体" w:eastAsia="宋体" w:cs="宋体"/>
      <w:color w:val="000000"/>
      <w:sz w:val="20"/>
      <w:szCs w:val="20"/>
      <w:u w:val="none"/>
    </w:rPr>
  </w:style>
  <w:style w:type="character" w:customStyle="1" w:styleId="61">
    <w:name w:val="正文文本 Char1"/>
    <w:basedOn w:val="37"/>
    <w:semiHidden/>
    <w:qFormat/>
    <w:uiPriority w:val="99"/>
    <w:rPr>
      <w:rFonts w:ascii="Times New Roman" w:hAnsi="Times New Roman" w:eastAsia="宋体" w:cs="Times New Roman"/>
      <w:szCs w:val="24"/>
    </w:rPr>
  </w:style>
  <w:style w:type="character" w:customStyle="1" w:styleId="62">
    <w:name w:val="font61"/>
    <w:basedOn w:val="37"/>
    <w:qFormat/>
    <w:uiPriority w:val="0"/>
    <w:rPr>
      <w:rFonts w:hint="eastAsia" w:ascii="宋体" w:hAnsi="宋体" w:eastAsia="宋体" w:cs="宋体"/>
      <w:color w:val="FF211E"/>
      <w:sz w:val="20"/>
      <w:szCs w:val="20"/>
      <w:u w:val="none"/>
    </w:rPr>
  </w:style>
  <w:style w:type="paragraph" w:customStyle="1" w:styleId="63">
    <w:name w:val="列表段落1"/>
    <w:basedOn w:val="1"/>
    <w:unhideWhenUsed/>
    <w:qFormat/>
    <w:uiPriority w:val="0"/>
    <w:pPr>
      <w:ind w:firstLine="420" w:firstLineChars="200"/>
    </w:pPr>
  </w:style>
  <w:style w:type="paragraph" w:customStyle="1" w:styleId="64">
    <w:name w:val="p2"/>
    <w:basedOn w:val="1"/>
    <w:qFormat/>
    <w:uiPriority w:val="0"/>
    <w:pPr>
      <w:widowControl/>
      <w:spacing w:line="480" w:lineRule="auto"/>
      <w:ind w:firstLine="420"/>
      <w:jc w:val="left"/>
    </w:pPr>
    <w:rPr>
      <w:rFonts w:ascii="宋体" w:hAnsi="宋体" w:cs="宋体"/>
      <w:kern w:val="0"/>
      <w:szCs w:val="21"/>
    </w:rPr>
  </w:style>
  <w:style w:type="paragraph" w:customStyle="1" w:styleId="65">
    <w:name w:val="Normal Indent"/>
    <w:basedOn w:val="1"/>
    <w:next w:val="1"/>
    <w:qFormat/>
    <w:uiPriority w:val="0"/>
    <w:pPr>
      <w:tabs>
        <w:tab w:val="left" w:pos="750"/>
      </w:tabs>
      <w:autoSpaceDE w:val="0"/>
      <w:autoSpaceDN w:val="0"/>
      <w:spacing w:before="156" w:beforeLines="50" w:line="300" w:lineRule="auto"/>
      <w:ind w:firstLine="200" w:firstLineChars="200"/>
      <w:jc w:val="left"/>
    </w:pPr>
    <w:rPr>
      <w:rFonts w:ascii="宋体" w:hAnsi="宋体" w:cs="宋体"/>
      <w:kern w:val="0"/>
      <w:sz w:val="22"/>
      <w:szCs w:val="20"/>
      <w:lang w:eastAsia="en-US"/>
    </w:rPr>
  </w:style>
  <w:style w:type="paragraph" w:customStyle="1" w:styleId="66">
    <w:name w:val="Char"/>
    <w:basedOn w:val="1"/>
    <w:qFormat/>
    <w:uiPriority w:val="0"/>
    <w:pPr>
      <w:pageBreakBefore/>
      <w:spacing w:line="360" w:lineRule="auto"/>
    </w:pPr>
    <w:rPr>
      <w:sz w:val="28"/>
    </w:rPr>
  </w:style>
  <w:style w:type="paragraph" w:customStyle="1" w:styleId="67">
    <w:name w:val="样式2"/>
    <w:basedOn w:val="1"/>
    <w:qFormat/>
    <w:uiPriority w:val="0"/>
    <w:pPr>
      <w:spacing w:line="300" w:lineRule="auto"/>
      <w:jc w:val="center"/>
      <w:outlineLvl w:val="0"/>
    </w:pPr>
    <w:rPr>
      <w:rFonts w:ascii="Calibri" w:hAnsi="Calibri"/>
      <w:b/>
      <w:sz w:val="24"/>
      <w:szCs w:val="20"/>
    </w:rPr>
  </w:style>
  <w:style w:type="paragraph" w:customStyle="1" w:styleId="68">
    <w:name w:val="标准文本"/>
    <w:basedOn w:val="1"/>
    <w:qFormat/>
    <w:uiPriority w:val="0"/>
    <w:pPr>
      <w:spacing w:line="360" w:lineRule="auto"/>
      <w:ind w:firstLine="480" w:firstLineChars="200"/>
    </w:pPr>
    <w:rPr>
      <w:rFonts w:cs="宋体"/>
      <w:sz w:val="24"/>
      <w:szCs w:val="20"/>
    </w:rPr>
  </w:style>
  <w:style w:type="paragraph" w:customStyle="1" w:styleId="69">
    <w:name w:val="Table Paragraph"/>
    <w:basedOn w:val="1"/>
    <w:qFormat/>
    <w:uiPriority w:val="1"/>
    <w:rPr>
      <w:rFonts w:ascii="宋体" w:hAnsi="宋体" w:eastAsia="宋体" w:cs="宋体"/>
      <w:lang w:val="zh-CN" w:eastAsia="zh-CN" w:bidi="zh-CN"/>
    </w:rPr>
  </w:style>
  <w:style w:type="paragraph" w:customStyle="1" w:styleId="70">
    <w:name w:val="BodyText"/>
    <w:basedOn w:val="1"/>
    <w:qFormat/>
    <w:uiPriority w:val="0"/>
    <w:rPr>
      <w:kern w:val="0"/>
      <w:szCs w:val="22"/>
    </w:rPr>
  </w:style>
  <w:style w:type="paragraph" w:customStyle="1" w:styleId="71">
    <w:name w:val="正文 A"/>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kern w:val="2"/>
      <w:sz w:val="21"/>
      <w:szCs w:val="21"/>
      <w:lang w:val="en-US" w:eastAsia="zh-CN" w:bidi="ar-SA"/>
    </w:rPr>
  </w:style>
  <w:style w:type="paragraph" w:customStyle="1" w:styleId="72">
    <w:name w:val="List Paragraph"/>
    <w:basedOn w:val="1"/>
    <w:qFormat/>
    <w:uiPriority w:val="0"/>
    <w:pPr>
      <w:ind w:firstLine="420" w:firstLineChars="200"/>
    </w:pPr>
  </w:style>
  <w:style w:type="paragraph" w:customStyle="1" w:styleId="73">
    <w:name w:val="样式 样式 首行缩进:  2.57 字符 + 首行缩进:  2.57 字符"/>
    <w:basedOn w:val="1"/>
    <w:qFormat/>
    <w:uiPriority w:val="0"/>
    <w:pPr>
      <w:widowControl/>
      <w:spacing w:line="360" w:lineRule="auto"/>
      <w:ind w:firstLine="771" w:firstLineChars="257"/>
      <w:jc w:val="left"/>
    </w:pPr>
    <w:rPr>
      <w:rFonts w:eastAsia="仿宋" w:cs="宋体"/>
      <w:kern w:val="0"/>
      <w:sz w:val="30"/>
      <w:szCs w:val="30"/>
    </w:rPr>
  </w:style>
  <w:style w:type="table" w:customStyle="1" w:styleId="74">
    <w:name w:val="Table Normal_0"/>
    <w:unhideWhenUsed/>
    <w:qFormat/>
    <w:uiPriority w:val="0"/>
    <w:tblPr>
      <w:tblCellMar>
        <w:top w:w="0" w:type="dxa"/>
        <w:left w:w="0" w:type="dxa"/>
        <w:bottom w:w="0" w:type="dxa"/>
        <w:right w:w="0" w:type="dxa"/>
      </w:tblCellMar>
    </w:tblPr>
  </w:style>
  <w:style w:type="paragraph" w:customStyle="1" w:styleId="75">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76">
    <w:name w:val="WPSOffice手动目录 1"/>
    <w:qFormat/>
    <w:uiPriority w:val="0"/>
    <w:pPr>
      <w:ind w:leftChars="0"/>
    </w:pPr>
    <w:rPr>
      <w:rFonts w:ascii="Times New Roman" w:hAnsi="Times New Roman" w:eastAsia="宋体" w:cs="Times New Roman"/>
      <w:sz w:val="20"/>
      <w:szCs w:val="20"/>
    </w:rPr>
  </w:style>
  <w:style w:type="paragraph" w:customStyle="1" w:styleId="77">
    <w:name w:val="WPSOffice手动目录 2"/>
    <w:qFormat/>
    <w:uiPriority w:val="0"/>
    <w:pPr>
      <w:ind w:leftChars="200"/>
    </w:pPr>
    <w:rPr>
      <w:rFonts w:ascii="Times New Roman" w:hAnsi="Times New Roman" w:eastAsia="宋体" w:cs="Times New Roman"/>
      <w:sz w:val="20"/>
      <w:szCs w:val="20"/>
    </w:rPr>
  </w:style>
  <w:style w:type="paragraph" w:customStyle="1" w:styleId="78">
    <w:name w:val="正文首行缩进两字符"/>
    <w:basedOn w:val="1"/>
    <w:qFormat/>
    <w:uiPriority w:val="0"/>
    <w:pPr>
      <w:spacing w:line="360" w:lineRule="auto"/>
      <w:ind w:firstLine="200" w:firstLineChars="200"/>
    </w:pPr>
  </w:style>
  <w:style w:type="paragraph" w:customStyle="1" w:styleId="79">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character" w:customStyle="1" w:styleId="80">
    <w:name w:val="font91"/>
    <w:basedOn w:val="37"/>
    <w:qFormat/>
    <w:uiPriority w:val="0"/>
    <w:rPr>
      <w:rFonts w:ascii="Arial" w:hAnsi="Arial" w:cs="Arial"/>
      <w:color w:val="000000"/>
      <w:sz w:val="18"/>
      <w:szCs w:val="18"/>
      <w:u w:val="none"/>
    </w:rPr>
  </w:style>
  <w:style w:type="character" w:customStyle="1" w:styleId="81">
    <w:name w:val="font101"/>
    <w:basedOn w:val="37"/>
    <w:qFormat/>
    <w:uiPriority w:val="0"/>
    <w:rPr>
      <w:rFonts w:ascii="TimesNewRomanPS" w:hAnsi="TimesNewRomanPS" w:eastAsia="TimesNewRomanPS" w:cs="TimesNewRomanPS"/>
      <w:b/>
      <w:bCs/>
      <w:color w:val="000000"/>
      <w:sz w:val="18"/>
      <w:szCs w:val="18"/>
      <w:u w:val="none"/>
    </w:rPr>
  </w:style>
  <w:style w:type="character" w:customStyle="1" w:styleId="82">
    <w:name w:val="font121"/>
    <w:basedOn w:val="37"/>
    <w:qFormat/>
    <w:uiPriority w:val="0"/>
    <w:rPr>
      <w:rFonts w:ascii="宋体" w:hAnsi="宋体" w:eastAsia="宋体" w:cs="宋体"/>
      <w:color w:val="000000"/>
      <w:sz w:val="18"/>
      <w:szCs w:val="18"/>
      <w:u w:val="none"/>
    </w:rPr>
  </w:style>
  <w:style w:type="character" w:customStyle="1" w:styleId="83">
    <w:name w:val="font01"/>
    <w:basedOn w:val="37"/>
    <w:qFormat/>
    <w:uiPriority w:val="0"/>
    <w:rPr>
      <w:rFonts w:hint="eastAsia" w:ascii="宋体" w:hAnsi="宋体" w:eastAsia="宋体" w:cs="宋体"/>
      <w:color w:val="000000"/>
      <w:sz w:val="20"/>
      <w:szCs w:val="20"/>
      <w:u w:val="none"/>
    </w:rPr>
  </w:style>
  <w:style w:type="character" w:customStyle="1" w:styleId="84">
    <w:name w:val="font131"/>
    <w:basedOn w:val="37"/>
    <w:qFormat/>
    <w:uiPriority w:val="0"/>
    <w:rPr>
      <w:rFonts w:ascii="宋体-简" w:hAnsi="宋体-简" w:eastAsia="宋体-简" w:cs="宋体-简"/>
      <w:color w:val="000000"/>
      <w:sz w:val="20"/>
      <w:szCs w:val="20"/>
      <w:u w:val="none"/>
    </w:rPr>
  </w:style>
  <w:style w:type="character" w:customStyle="1" w:styleId="85">
    <w:name w:val="font112"/>
    <w:basedOn w:val="37"/>
    <w:qFormat/>
    <w:uiPriority w:val="0"/>
    <w:rPr>
      <w:rFonts w:ascii="Trebuchet MS" w:hAnsi="Trebuchet MS" w:cs="Trebuchet MS"/>
      <w:color w:val="000000"/>
      <w:sz w:val="20"/>
      <w:szCs w:val="20"/>
      <w:u w:val="none"/>
    </w:rPr>
  </w:style>
  <w:style w:type="character" w:customStyle="1" w:styleId="86">
    <w:name w:val="font141"/>
    <w:basedOn w:val="37"/>
    <w:qFormat/>
    <w:uiPriority w:val="0"/>
    <w:rPr>
      <w:rFonts w:ascii="Calibri" w:hAnsi="Calibri" w:cs="Calibri"/>
      <w:color w:val="000000"/>
      <w:sz w:val="20"/>
      <w:szCs w:val="20"/>
      <w:u w:val="none"/>
    </w:rPr>
  </w:style>
  <w:style w:type="character" w:customStyle="1" w:styleId="87">
    <w:name w:val="font151"/>
    <w:basedOn w:val="37"/>
    <w:qFormat/>
    <w:uiPriority w:val="0"/>
    <w:rPr>
      <w:rFonts w:hint="eastAsia" w:ascii="宋体" w:hAnsi="宋体" w:eastAsia="宋体" w:cs="宋体"/>
      <w:color w:val="000000"/>
      <w:sz w:val="20"/>
      <w:szCs w:val="20"/>
      <w:u w:val="none"/>
    </w:rPr>
  </w:style>
  <w:style w:type="character" w:customStyle="1" w:styleId="88">
    <w:name w:val="font71"/>
    <w:basedOn w:val="37"/>
    <w:qFormat/>
    <w:uiPriority w:val="0"/>
    <w:rPr>
      <w:rFonts w:hint="eastAsia" w:ascii="宋体" w:hAnsi="宋体" w:eastAsia="宋体" w:cs="宋体"/>
      <w:color w:val="000000"/>
      <w:sz w:val="20"/>
      <w:szCs w:val="20"/>
      <w:u w:val="none"/>
    </w:rPr>
  </w:style>
  <w:style w:type="character" w:customStyle="1" w:styleId="89">
    <w:name w:val="font161"/>
    <w:basedOn w:val="37"/>
    <w:qFormat/>
    <w:uiPriority w:val="0"/>
    <w:rPr>
      <w:rFonts w:hint="eastAsia" w:ascii="宋体" w:hAnsi="宋体" w:eastAsia="宋体" w:cs="宋体"/>
      <w:b/>
      <w:bCs/>
      <w:color w:val="000000"/>
      <w:sz w:val="20"/>
      <w:szCs w:val="20"/>
      <w:u w:val="none"/>
    </w:rPr>
  </w:style>
  <w:style w:type="character" w:customStyle="1" w:styleId="90">
    <w:name w:val="font171"/>
    <w:basedOn w:val="37"/>
    <w:qFormat/>
    <w:uiPriority w:val="0"/>
    <w:rPr>
      <w:rFonts w:hint="eastAsia" w:ascii="宋体" w:hAnsi="宋体" w:eastAsia="宋体" w:cs="宋体"/>
      <w:color w:val="000000"/>
      <w:sz w:val="18"/>
      <w:szCs w:val="18"/>
      <w:u w:val="none"/>
    </w:rPr>
  </w:style>
  <w:style w:type="character" w:customStyle="1" w:styleId="91">
    <w:name w:val="font181"/>
    <w:basedOn w:val="37"/>
    <w:qFormat/>
    <w:uiPriority w:val="0"/>
    <w:rPr>
      <w:rFonts w:ascii="Trebuchet MS" w:hAnsi="Trebuchet MS" w:cs="Trebuchet MS"/>
      <w:color w:val="555756"/>
      <w:sz w:val="20"/>
      <w:szCs w:val="20"/>
      <w:u w:val="none"/>
    </w:rPr>
  </w:style>
  <w:style w:type="character" w:customStyle="1" w:styleId="92">
    <w:name w:val="font81"/>
    <w:basedOn w:val="37"/>
    <w:qFormat/>
    <w:uiPriority w:val="0"/>
    <w:rPr>
      <w:rFonts w:ascii="Calibri" w:hAnsi="Calibri" w:cs="Calibri"/>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83a4377f-da70-4ed3-ac2f-726fdda0f121</errorID>
      <errorWord>农业部</errorWord>
      <group>L1_Knowledge</group>
      <groupName>知识性问题</groupName>
      <ability>L2_Knowledge</ability>
      <abilityName>其他知识</abilityName>
      <candidateList>
        <item>农业农村部</item>
      </candidateList>
      <explain/>
      <paraID>6B16794A</paraID>
      <start>63</start>
      <end>66</end>
      <status>unmodified</status>
      <modifiedWord/>
      <trackRevisions>false</trackRevisions>
    </reviewItem>
    <reviewItem>
      <errorID>12e48b81-8678-4510-a662-ef5eef64b36d</errorID>
      <errorWord>农业部</errorWord>
      <group>L1_Knowledge</group>
      <groupName>知识性问题</groupName>
      <ability>L2_Knowledge</ability>
      <abilityName>其他知识</abilityName>
      <candidateList>
        <item>农业农村部</item>
      </candidateList>
      <explain/>
      <paraID>6B16794A</paraID>
      <start>84</start>
      <end>87</end>
      <status>unmodified</status>
      <modifiedWord/>
      <trackRevisions>false</trackRevisions>
    </reviewItem>
    <reviewItem>
      <errorID>40c209a7-039f-4573-bb97-e289d6055b65</errorID>
      <errorWord>农业部</errorWord>
      <group>L1_Knowledge</group>
      <groupName>知识性问题</groupName>
      <ability>L2_Knowledge</ability>
      <abilityName>其他知识</abilityName>
      <candidateList>
        <item>农业农村部</item>
      </candidateList>
      <explain/>
      <paraID>6B16794A</paraID>
      <start>149</start>
      <end>152</end>
      <status>unmodified</status>
      <modifiedWord/>
      <trackRevisions>false</trackRevisions>
    </reviewItem>
    <reviewItem>
      <errorID>409955b7-ff04-4780-9e6b-48d69eb75313</errorID>
      <errorWord>)</errorWord>
      <group>L1_Format</group>
      <groupName>格式问题</groupName>
      <ability>L2_HalfPunc_CN</ability>
      <abilityName>全半角问题</abilityName>
      <candidateList>
        <item>）</item>
      </candidateList>
      <explain>文本全半角错误。</explain>
      <paraID>46D9C2EC</paraID>
      <start>64</start>
      <end>65</end>
      <status>unmodified</status>
      <modifiedWord/>
      <trackRevisions>false</trackRevisions>
    </reviewItem>
    <reviewItem>
      <errorID>827df695-aa92-4213-96e8-a9da905ac822</errorID>
      <errorWord>(</errorWord>
      <group>L1_Format</group>
      <groupName>格式问题</groupName>
      <ability>L2_HalfPunc_CN</ability>
      <abilityName>全半角问题</abilityName>
      <candidateList>
        <item>（</item>
      </candidateList>
      <explain>文本全半角错误。</explain>
      <paraID>46D9C2EC</paraID>
      <start>77</start>
      <end>78</end>
      <status>unmodified</status>
      <modifiedWord/>
      <trackRevisions>false</trackRevisions>
    </reviewItem>
    <reviewItem>
      <errorID>1bcec4e0-9e0b-456c-b640-64d6bb3020d7</errorID>
      <errorWord>)</errorWord>
      <group>L1_Format</group>
      <groupName>格式问题</groupName>
      <ability>L2_HalfPunc_CN</ability>
      <abilityName>全半角问题</abilityName>
      <candidateList>
        <item>）</item>
      </candidateList>
      <explain>文本全半角错误。</explain>
      <paraID>46D9C2EC</paraID>
      <start>93</start>
      <end>94</end>
      <status>unmodified</status>
      <modifiedWord/>
      <trackRevisions>false</trackRevisions>
    </reviewItem>
    <reviewItem>
      <errorID>583abe81-5709-418e-b897-92781b40a498</errorID>
      <errorWord>(</errorWord>
      <group>L1_Format</group>
      <groupName>格式问题</groupName>
      <ability>L2_HalfPunc_CN</ability>
      <abilityName>全半角问题</abilityName>
      <candidateList>
        <item>（</item>
      </candidateList>
      <explain>文本全半角错误。</explain>
      <paraID>5CD76248</paraID>
      <start>58</start>
      <end>59</end>
      <status>unmodified</status>
      <modifiedWord/>
      <trackRevisions>false</trackRevisions>
    </reviewItem>
    <reviewItem>
      <errorID>25833c7a-bc55-4f22-b69c-61ea72e32f46</errorID>
      <errorWord>)</errorWord>
      <group>L1_Format</group>
      <groupName>格式问题</groupName>
      <ability>L2_HalfPunc_CN</ability>
      <abilityName>全半角问题</abilityName>
      <candidateList>
        <item>）</item>
      </candidateList>
      <explain>文本全半角错误。</explain>
      <paraID>5CD76248</paraID>
      <start>64</start>
      <end>65</end>
      <status>unmodified</status>
      <modifiedWord/>
      <trackRevisions>false</trackRevisions>
    </reviewItem>
    <reviewItem>
      <errorID>a6dd6419-6005-410f-b760-e8ffacb8e5db</errorID>
      <errorWord>：</errorWord>
      <group>L1_Format</group>
      <groupName>格式问题</groupName>
      <ability>L2_HalfPunc_CN</ability>
      <abilityName>全半角问题</abilityName>
      <candidateList>
        <item>:</item>
      </candidateList>
      <explain>文本全半角错误。</explain>
      <paraID>4C948B51</paraID>
      <start>36</start>
      <end>37</end>
      <status>unmodified</status>
      <modifiedWord/>
      <trackRevisions>false</trackRevisions>
    </reviewItem>
    <reviewItem>
      <errorID>2725d2ff-977f-441d-b494-e1558529b7c5</errorID>
      <errorWord>：</errorWord>
      <group>L1_Format</group>
      <groupName>格式问题</groupName>
      <ability>L2_HalfPunc_CN</ability>
      <abilityName>全半角问题</abilityName>
      <candidateList>
        <item>:</item>
      </candidateList>
      <explain>文本全半角错误。</explain>
      <paraID>4C948B51</paraID>
      <start>56</start>
      <end>57</end>
      <status>unmodified</status>
      <modifiedWord/>
      <trackRevisions>false</trackRevisions>
    </reviewItem>
    <reviewItem>
      <errorID>11d97f4e-a4eb-404e-937d-97220fa01ce0</errorID>
      <errorWord>-</errorWord>
      <group>L1_Format</group>
      <groupName>格式问题</groupName>
      <ability>L2_HalfPunc_CN</ability>
      <abilityName>全半角问题</abilityName>
      <candidateList>
        <item>－</item>
      </candidateList>
      <explain>文本全半角错误。</explain>
      <paraID>39D3CF48</paraID>
      <start>49</start>
      <end>50</end>
      <status>unmodified</status>
      <modifiedWord/>
      <trackRevisions>false</trackRevisions>
    </reviewItem>
    <reviewItem>
      <errorID>27b70c56-90ac-4ff0-952a-74dcd3a8d948</errorID>
      <errorWord>-</errorWord>
      <group>L1_Format</group>
      <groupName>格式问题</groupName>
      <ability>L2_HalfPunc_CN</ability>
      <abilityName>全半角问题</abilityName>
      <candidateList>
        <item>－</item>
      </candidateList>
      <explain>文本全半角错误。</explain>
      <paraID>39D3CF48</paraID>
      <start>54</start>
      <end>55</end>
      <status>unmodified</status>
      <modifiedWord/>
      <trackRevisions>false</trackRevisions>
    </reviewItem>
    <reviewItem>
      <errorID>c8e1f23a-bd23-460c-b136-c031a56e1501</errorID>
      <errorWord>-</errorWord>
      <group>L1_Format</group>
      <groupName>格式问题</groupName>
      <ability>L2_HalfPunc_CN</ability>
      <abilityName>全半角问题</abilityName>
      <candidateList>
        <item>－</item>
      </candidateList>
      <explain>文本全半角错误。</explain>
      <paraID>39D3CF48</paraID>
      <start>62</start>
      <end>63</end>
      <status>unmodified</status>
      <modifiedWord/>
      <trackRevisions>false</trackRevisions>
    </reviewItem>
    <reviewItem>
      <errorID>c312c7e0-e5dc-45dc-aea3-6dd0c32887e2</errorID>
      <errorWord>-</errorWord>
      <group>L1_Format</group>
      <groupName>格式问题</groupName>
      <ability>L2_HalfPunc_CN</ability>
      <abilityName>全半角问题</abilityName>
      <candidateList>
        <item>－</item>
      </candidateList>
      <explain>文本全半角错误。</explain>
      <paraID>39D3CF48</paraID>
      <start>68</start>
      <end>69</end>
      <status>unmodified</status>
      <modifiedWord/>
      <trackRevisions>false</trackRevisions>
    </reviewItem>
    <reviewItem>
      <errorID>2e46f4a9-aac4-4b43-8ff3-21f26089d5ce</errorID>
      <errorWord>:</errorWord>
      <group>L1_Format</group>
      <groupName>格式问题</groupName>
      <ability>L2_HalfPunc_CN</ability>
      <abilityName>全半角问题</abilityName>
      <candidateList>
        <item>：</item>
      </candidateList>
      <explain>文本全半角错误。</explain>
      <paraID>70F8196E</paraID>
      <start>1</start>
      <end>2</end>
      <status>unmodified</status>
      <modifiedWord/>
      <trackRevisions>false</trackRevisions>
    </reviewItem>
    <reviewItem>
      <errorID>ae9da154-fe39-4f0b-91be-f6922a7145e8</errorID>
      <errorWord>(</errorWord>
      <group>L1_Format</group>
      <groupName>格式问题</groupName>
      <ability>L2_HalfPunc_CN</ability>
      <abilityName>全半角问题</abilityName>
      <candidateList>
        <item>（</item>
      </candidateList>
      <explain>文本全半角错误。</explain>
      <paraID>4B9B9F2D</paraID>
      <start>79</start>
      <end>80</end>
      <status>unmodified</status>
      <modifiedWord/>
      <trackRevisions>false</trackRevisions>
    </reviewItem>
    <reviewItem>
      <errorID>565e3829-342e-4e58-8d79-3e4b3914735c</errorID>
      <errorWord>:</errorWord>
      <group>L1_Format</group>
      <groupName>格式问题</groupName>
      <ability>L2_HalfPunc_CN</ability>
      <abilityName>全半角问题</abilityName>
      <candidateList>
        <item>：</item>
      </candidateList>
      <explain>文本全半角错误。</explain>
      <paraID>4B9B9F2D</paraID>
      <start>81</start>
      <end>82</end>
      <status>unmodified</status>
      <modifiedWord/>
      <trackRevisions>false</trackRevisions>
    </reviewItem>
    <reviewItem>
      <errorID>b5b77ade-4920-4f8f-a8df-8de16f20e3b0</errorID>
      <errorWord>(</errorWord>
      <group>L1_Format</group>
      <groupName>格式问题</groupName>
      <ability>L2_HalfPunc_CN</ability>
      <abilityName>全半角问题</abilityName>
      <candidateList>
        <item>（</item>
      </candidateList>
      <explain>文本全半角错误。</explain>
      <paraID> 220ECCF</paraID>
      <start>16</start>
      <end>17</end>
      <status>unmodified</status>
      <modifiedWord/>
      <trackRevisions>false</trackRevisions>
    </reviewItem>
    <reviewItem>
      <errorID>dec78290-13ca-44a1-8590-cff859bf40e7</errorID>
      <errorWord>:</errorWord>
      <group>L1_Format</group>
      <groupName>格式问题</groupName>
      <ability>L2_HalfPunc_CN</ability>
      <abilityName>全半角问题</abilityName>
      <candidateList>
        <item>：</item>
      </candidateList>
      <explain>文本全半角错误。</explain>
      <paraID> 7556721</paraID>
      <start>6</start>
      <end>7</end>
      <status>unmodified</status>
      <modifiedWord/>
      <trackRevisions>false</trackRevisions>
    </reviewItem>
    <reviewItem>
      <errorID>256e84ed-ada4-412e-a047-b4f99ef9a105</errorID>
      <errorWord>；】</errorWord>
      <group>L1_Punc</group>
      <groupName>标点问题</groupName>
      <ability>L2_Punc_CN</ability>
      <abilityName>标点符号问题</abilityName>
      <candidateList>
        <item>】</item>
      </candidateList>
      <explain/>
      <paraID>14AC70F4</paraID>
      <start>167</start>
      <end>169</end>
      <status>unmodified</status>
      <modifiedWord/>
      <trackRevisions>false</trackRevisions>
    </reviewItem>
    <reviewItem>
      <errorID>ffd3f955-dfda-46bf-8426-7f40df9c984d</errorID>
      <errorWord>农业部</errorWord>
      <group>L1_Knowledge</group>
      <groupName>知识性问题</groupName>
      <ability>L2_Knowledge</ability>
      <abilityName>其他知识</abilityName>
      <candidateList>
        <item>农业农村部</item>
      </candidateList>
      <explain/>
      <paraID> 84DF21B</paraID>
      <start>33</start>
      <end>36</end>
      <status>unmodified</status>
      <modifiedWord/>
      <trackRevisions>false</trackRevisions>
    </reviewItem>
    <reviewItem>
      <errorID>b09d8cb7-0790-4df3-9446-79abfcd99486</errorID>
      <errorWord>农业部</errorWord>
      <group>L1_Knowledge</group>
      <groupName>知识性问题</groupName>
      <ability>L2_Knowledge</ability>
      <abilityName>其他知识</abilityName>
      <candidateList>
        <item>农业农村部</item>
      </candidateList>
      <explain/>
      <paraID> 84DF21B</paraID>
      <start>54</start>
      <end>57</end>
      <status>unmodified</status>
      <modifiedWord/>
      <trackRevisions>false</trackRevisions>
    </reviewItem>
    <reviewItem>
      <errorID>b5b6b216-3576-40a9-b3e4-9aefe7b3c123</errorID>
      <errorWord>农业部</errorWord>
      <group>L1_Knowledge</group>
      <groupName>知识性问题</groupName>
      <ability>L2_Knowledge</ability>
      <abilityName>其他知识</abilityName>
      <candidateList>
        <item>农业农村部</item>
      </candidateList>
      <explain/>
      <paraID> 84DF21B</paraID>
      <start>90</start>
      <end>93</end>
      <status>unmodified</status>
      <modifiedWord/>
      <trackRevisions>false</trackRevisions>
    </reviewItem>
    <reviewItem>
      <errorID>ceabc0e2-fa59-4178-a445-ac7dddac9394</errorID>
      <errorWord>)</errorWord>
      <group>L1_Format</group>
      <groupName>格式问题</groupName>
      <ability>L2_HalfPunc_CN</ability>
      <abilityName>全半角问题</abilityName>
      <candidateList>
        <item>）</item>
      </candidateList>
      <explain>文本全半角错误。</explain>
      <paraID>1650F517</paraID>
      <start>64</start>
      <end>65</end>
      <status>unmodified</status>
      <modifiedWord/>
      <trackRevisions>false</trackRevisions>
    </reviewItem>
    <reviewItem>
      <errorID>41640da7-33ad-4b4f-941b-2d5fe8ef7e72</errorID>
      <errorWord>(</errorWord>
      <group>L1_Format</group>
      <groupName>格式问题</groupName>
      <ability>L2_HalfPunc_CN</ability>
      <abilityName>全半角问题</abilityName>
      <candidateList>
        <item>（</item>
      </candidateList>
      <explain>文本全半角错误。</explain>
      <paraID>1650F517</paraID>
      <start>77</start>
      <end>78</end>
      <status>unmodified</status>
      <modifiedWord/>
      <trackRevisions>false</trackRevisions>
    </reviewItem>
    <reviewItem>
      <errorID>3500bff6-493d-46b8-b91b-ad772ee3d67f</errorID>
      <errorWord>)</errorWord>
      <group>L1_Format</group>
      <groupName>格式问题</groupName>
      <ability>L2_HalfPunc_CN</ability>
      <abilityName>全半角问题</abilityName>
      <candidateList>
        <item>）</item>
      </candidateList>
      <explain>文本全半角错误。</explain>
      <paraID>1650F517</paraID>
      <start>93</start>
      <end>94</end>
      <status>unmodified</status>
      <modifiedWord/>
      <trackRevisions>false</trackRevisions>
    </reviewItem>
    <reviewItem>
      <errorID>4b663a9c-642d-4f3f-96a4-8720891426b5</errorID>
      <errorWord>(</errorWord>
      <group>L1_Format</group>
      <groupName>格式问题</groupName>
      <ability>L2_HalfPunc_CN</ability>
      <abilityName>全半角问题</abilityName>
      <candidateList>
        <item>（</item>
      </candidateList>
      <explain>文本全半角错误。</explain>
      <paraID>5ECE95EB</paraID>
      <start>58</start>
      <end>59</end>
      <status>unmodified</status>
      <modifiedWord/>
      <trackRevisions>false</trackRevisions>
    </reviewItem>
    <reviewItem>
      <errorID>48bffc3b-40df-44f7-a03a-d06c9f51c8a6</errorID>
      <errorWord>)</errorWord>
      <group>L1_Format</group>
      <groupName>格式问题</groupName>
      <ability>L2_HalfPunc_CN</ability>
      <abilityName>全半角问题</abilityName>
      <candidateList>
        <item>）</item>
      </candidateList>
      <explain>文本全半角错误。</explain>
      <paraID>5ECE95EB</paraID>
      <start>64</start>
      <end>65</end>
      <status>unmodified</status>
      <modifiedWord/>
      <trackRevisions>false</trackRevisions>
    </reviewItem>
    <reviewItem>
      <errorID>9f73788c-1363-4bf1-a821-9bd617c934e4</errorID>
      <errorWord>)</errorWord>
      <group>L1_Format</group>
      <groupName>格式问题</groupName>
      <ability>L2_HalfPunc_CN</ability>
      <abilityName>全半角问题</abilityName>
      <candidateList>
        <item>）</item>
      </candidateList>
      <explain>文本全半角错误。</explain>
      <paraID>6ECC7B98</paraID>
      <start>32</start>
      <end>33</end>
      <status>unmodified</status>
      <modifiedWord/>
      <trackRevisions>false</trackRevisions>
    </reviewItem>
    <reviewItem>
      <errorID>bac6c3b9-c549-4102-ab4c-62928b89f8e8</errorID>
      <errorWord>:</errorWord>
      <group>L1_Format</group>
      <groupName>格式问题</groupName>
      <ability>L2_HalfPunc_CN</ability>
      <abilityName>全半角问题</abilityName>
      <candidateList>
        <item>：</item>
      </candidateList>
      <explain>文本全半角错误。</explain>
      <paraID>73C6016C</paraID>
      <start>11</start>
      <end>12</end>
      <status>unmodified</status>
      <modifiedWord/>
      <trackRevisions>false</trackRevisions>
    </reviewItem>
    <reviewItem>
      <errorID>88b8c3a0-1a66-456b-a4f5-71f0e31ccd1f</errorID>
      <errorWord>(</errorWord>
      <group>L1_Format</group>
      <groupName>格式问题</groupName>
      <ability>L2_HalfPunc_CN</ability>
      <abilityName>全半角问题</abilityName>
      <candidateList>
        <item>（</item>
      </candidateList>
      <explain>文本全半角错误。</explain>
      <paraID>6F45651F</paraID>
      <start>7</start>
      <end>8</end>
      <status>unmodified</status>
      <modifiedWord/>
      <trackRevisions>false</trackRevisions>
    </reviewItem>
    <reviewItem>
      <errorID>2a8f0d61-eae3-4b42-b6c5-36eab6cad78f</errorID>
      <errorWord>)</errorWord>
      <group>L1_Format</group>
      <groupName>格式问题</groupName>
      <ability>L2_HalfPunc_CN</ability>
      <abilityName>全半角问题</abilityName>
      <candidateList>
        <item>）</item>
      </candidateList>
      <explain>文本全半角错误。</explain>
      <paraID>6F45651F</paraID>
      <start>11</start>
      <end>12</end>
      <status>unmodified</status>
      <modifiedWord/>
      <trackRevisions>false</trackRevisions>
    </reviewItem>
    <reviewItem>
      <errorID>93d225c5-01b8-4be8-b8d8-d4eca3847354</errorID>
      <errorWord>:</errorWord>
      <group>L1_Format</group>
      <groupName>格式问题</groupName>
      <ability>L2_HalfPunc_CN</ability>
      <abilityName>全半角问题</abilityName>
      <candidateList>
        <item>：</item>
      </candidateList>
      <explain>文本全半角错误。</explain>
      <paraID>42022E23</paraID>
      <start>13</start>
      <end>14</end>
      <status>unmodified</status>
      <modifiedWord/>
      <trackRevisions>false</trackRevisions>
    </reviewItem>
    <reviewItem>
      <errorID>626c5b93-b603-49d6-8c38-b6eb2cfac9d7</errorID>
      <errorWord>;</errorWord>
      <group>L1_Format</group>
      <groupName>格式问题</groupName>
      <ability>L2_HalfPunc_CN</ability>
      <abilityName>全半角问题</abilityName>
      <candidateList>
        <item>；</item>
      </candidateList>
      <explain>文本全半角错误。</explain>
      <paraID>47D40D01</paraID>
      <start>15</start>
      <end>16</end>
      <status>unmodified</status>
      <modifiedWord/>
      <trackRevisions>false</trackRevisions>
    </reviewItem>
    <reviewItem>
      <errorID>84a7ef0b-3006-42ee-aa11-b3bd82440457</errorID>
      <errorWord>;</errorWord>
      <group>L1_Format</group>
      <groupName>格式问题</groupName>
      <ability>L2_HalfPunc_CN</ability>
      <abilityName>全半角问题</abilityName>
      <candidateList>
        <item>；</item>
      </candidateList>
      <explain>文本全半角错误。</explain>
      <paraID>380A70CB</paraID>
      <start>43</start>
      <end>44</end>
      <status>unmodified</status>
      <modifiedWord/>
      <trackRevisions>false</trackRevisions>
    </reviewItem>
    <reviewItem>
      <errorID>e06ac0c3-4335-4422-b7ad-6b8cf6c25163</errorID>
      <errorWord>4点半</errorWord>
      <group>L1_Word</group>
      <groupName>字词问题</groupName>
      <ability>L2_Typo</ability>
      <abilityName>字词错误</abilityName>
      <candidateList>
        <item>四点半</item>
      </candidateList>
      <explain/>
      <paraID>2C20100E</paraID>
      <start>42</start>
      <end>45</end>
      <status>unmodified</status>
      <modifiedWord/>
      <trackRevisions>false</trackRevisions>
    </reviewItem>
    <reviewItem>
      <errorID>8ba7cf15-a280-41ef-9a41-546c12155ace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4C5AC64F</paraID>
      <start>20</start>
      <end>23</end>
      <status>unmodified</status>
      <modifiedWord/>
      <trackRevisions>false</trackRevisions>
    </reviewItem>
    <reviewItem>
      <errorID>32156e55-d4c7-4ce8-8758-c2e548695780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4C5AC64F</paraID>
      <start>39</start>
      <end>42</end>
      <status>unmodified</status>
      <modifiedWord/>
      <trackRevisions>false</trackRevisions>
    </reviewItem>
    <reviewItem>
      <errorID>fc354090-12ac-42b3-8100-8b69c290f02e</errorID>
      <errorWord>法律、法规</errorWord>
      <group>L1_Word</group>
      <groupName>字词问题</groupName>
      <ability>L2_Typo</ability>
      <abilityName>字词错误</abilityName>
      <candidateList>
        <item>法律法规</item>
      </candidateList>
      <explain/>
      <paraID>4C5AC64F</paraID>
      <start>80</start>
      <end>85</end>
      <status>unmodified</status>
      <modifiedWord/>
      <trackRevisions>false</trackRevisions>
    </reviewItem>
    <reviewItem>
      <errorID>915fd33a-f6ac-4601-8ab2-80376f46400d</errorID>
      <errorWord>万</errorWord>
      <group>L1_Word</group>
      <groupName>字词问题</groupName>
      <ability>L2_Typo</ability>
      <abilityName>字词错误</abilityName>
      <candidateList>
        <item>万元</item>
      </candidateList>
      <explain/>
      <paraID>723CFDC7</paraID>
      <start>55</start>
      <end>56</end>
      <status>unmodified</status>
      <modifiedWord/>
      <trackRevisions>false</trackRevisions>
    </reviewItem>
    <reviewItem>
      <errorID>535ea6a2-c10f-4060-98a3-01a1978b2782</errorID>
      <errorWord>勘踏</errorWord>
      <group>L1_Knowledge</group>
      <groupName>知识性问题</groupName>
      <ability>L2_Knowledge</ability>
      <abilityName>其他知识</abilityName>
      <candidateList>
        <item>勘探</item>
      </candidateList>
      <explain/>
      <paraID>70AEFA80</paraID>
      <start>5</start>
      <end>7</end>
      <status>unmodified</status>
      <modifiedWord/>
      <trackRevisions>false</trackRevisions>
    </reviewItem>
    <reviewItem>
      <errorID>694f9c0d-d92f-4973-9262-86550fac39dd</errorID>
      <errorWord>（</errorWord>
      <group>L1_Punc</group>
      <groupName>标点问题</groupName>
      <ability>L2_Punc_CN</ability>
      <abilityName>标点符号问题</abilityName>
      <candidateList/>
      <explain>同一形式括号套用。</explain>
      <paraID>421B8C15</paraID>
      <start>28</start>
      <end>29</end>
      <status>unmodified</status>
      <modifiedWord/>
      <trackRevisions>false</trackRevisions>
    </reviewItem>
    <reviewItem>
      <errorID>12fa19e2-1725-45c7-b4e1-8ea4166e6a2a</errorID>
      <errorWord>(</errorWord>
      <group>L1_Punc</group>
      <groupName>标点问题</groupName>
      <ability>L2_Punc_CN</ability>
      <abilityName>标点符号问题</abilityName>
      <candidateList/>
      <explain>同一形式括号套用。</explain>
      <paraID>421B8C15</paraID>
      <start>67</start>
      <end>68</end>
      <status>unmodified</status>
      <modifiedWord/>
      <trackRevisions>false</trackRevisions>
    </reviewItem>
    <reviewItem>
      <errorID>8d1466a5-cfd2-449b-9c11-406f4a93ef79</errorID>
      <errorWord>)</errorWord>
      <group>L1_Punc</group>
      <groupName>标点问题</groupName>
      <ability>L2_Punc_CN</ability>
      <abilityName>标点符号问题</abilityName>
      <candidateList/>
      <explain>同一形式括号套用。</explain>
      <paraID>421B8C15</paraID>
      <start>75</start>
      <end>76</end>
      <status>unmodified</status>
      <modifiedWord/>
      <trackRevisions>false</trackRevisions>
    </reviewItem>
    <reviewItem>
      <errorID>2ed85a38-147c-4192-a97f-d5ca77886205</errorID>
      <errorWord>）</errorWord>
      <group>L1_Punc</group>
      <groupName>标点问题</groupName>
      <ability>L2_Punc_CN</ability>
      <abilityName>标点符号问题</abilityName>
      <candidateList/>
      <explain>同一形式括号套用。</explain>
      <paraID>421B8C15</paraID>
      <start>76</start>
      <end>77</end>
      <status>unmodified</status>
      <modifiedWord/>
      <trackRevisions>false</trackRevisions>
    </reviewItem>
    <reviewItem>
      <errorID>41cd9547-a46b-481b-84db-3dccbf1e7fd3</errorID>
      <errorWord>其它</errorWord>
      <group>L1_Word</group>
      <groupName>字词问题</groupName>
      <ability>L2_Alias</ability>
      <abilityName>也作/曾用词</abilityName>
      <candidateList>
        <item>其他</item>
      </candidateList>
      <explain>词汇[其它]为不规范表述或旧称，其规范书面表述为[其他]。</explain>
      <paraID>  368F74</paraID>
      <start>3</start>
      <end>5</end>
      <status>unmodified</status>
      <modifiedWord/>
      <trackRevisions>false</trackRevisions>
    </reviewItem>
    <reviewItem>
      <errorID>5f8f5e70-2862-461e-956f-743b99f8154e</errorID>
      <errorWord>其它</errorWord>
      <group>L1_Word</group>
      <groupName>字词问题</groupName>
      <ability>L2_Alias</ability>
      <abilityName>也作/曾用词</abilityName>
      <candidateList>
        <item>其他</item>
      </candidateList>
      <explain>词汇[其它]为不规范表述或旧称，其规范书面表述为[其他]。</explain>
      <paraID>41422C98</paraID>
      <start>3</start>
      <end>5</end>
      <status>unmodified</status>
      <modifiedWord/>
      <trackRevisions>false</trackRevisions>
    </reviewItem>
    <reviewItem>
      <errorID>1955498a-1f59-47af-a4a8-fec7cbf5d9cf</errorID>
      <errorWord>透漏</errorWord>
      <group>L1_Word</group>
      <groupName>字词问题</groupName>
      <ability>L2_Typo</ability>
      <abilityName>字词错误</abilityName>
      <candidateList>
        <item>透露</item>
      </candidateList>
      <explain>存在发音相同字词的误用。</explain>
      <paraID>69DF7716</paraID>
      <start>33</start>
      <end>35</end>
      <status>modified</status>
      <modifiedWord>透露</modifiedWord>
      <trackRevisions>false</trackRevisions>
    </reviewItem>
    <reviewItem>
      <errorID>3bb8e55c-5a7b-45da-a55b-1737320f9367</errorID>
      <errorWord>法律、法规</errorWord>
      <group>L1_Word</group>
      <groupName>字词问题</groupName>
      <ability>L2_Typo</ability>
      <abilityName>字词错误</abilityName>
      <candidateList>
        <item>法律法规</item>
      </candidateList>
      <explain/>
      <paraID> AD1656F</paraID>
      <start>21</start>
      <end>26</end>
      <status>unmodified</status>
      <modifiedWord/>
      <trackRevisions>false</trackRevisions>
    </reviewItem>
    <reviewItem>
      <errorID>190c30f7-e000-4199-9ceb-7bba22108d7a</errorID>
      <errorWord>农业部</errorWord>
      <group>L1_Knowledge</group>
      <groupName>知识性问题</groupName>
      <ability>L2_Knowledge</ability>
      <abilityName>其他知识</abilityName>
      <candidateList>
        <item>农业农村部</item>
      </candidateList>
      <explain/>
      <paraID> A114DD2</paraID>
      <start>61</start>
      <end>64</end>
      <status>unmodified</status>
      <modifiedWord/>
      <trackRevisions>false</trackRevisions>
    </reviewItem>
    <reviewItem>
      <errorID>e7c5dc1d-414c-42dc-b697-9f3e1c61008c</errorID>
      <errorWord>农业部</errorWord>
      <group>L1_Knowledge</group>
      <groupName>知识性问题</groupName>
      <ability>L2_Knowledge</ability>
      <abilityName>其他知识</abilityName>
      <candidateList>
        <item>农业农村部</item>
      </candidateList>
      <explain/>
      <paraID> A114DD2</paraID>
      <start>82</start>
      <end>85</end>
      <status>unmodified</status>
      <modifiedWord/>
      <trackRevisions>false</trackRevisions>
    </reviewItem>
    <reviewItem>
      <errorID>3d405f6f-7d35-4251-bfaf-006b2600efcd</errorID>
      <errorWord>农业部</errorWord>
      <group>L1_Knowledge</group>
      <groupName>知识性问题</groupName>
      <ability>L2_Knowledge</ability>
      <abilityName>其他知识</abilityName>
      <candidateList>
        <item>农业农村部</item>
      </candidateList>
      <explain/>
      <paraID> A114DD2</paraID>
      <start>148</start>
      <end>151</end>
      <status>unmodified</status>
      <modifiedWord/>
      <trackRevisions>false</trackRevisions>
    </reviewItem>
    <reviewItem>
      <errorID>17afebef-6b46-463c-ad4d-b5b9e2c0e0fc</errorID>
      <errorWord>)</errorWord>
      <group>L1_Format</group>
      <groupName>格式问题</groupName>
      <ability>L2_HalfPunc_CN</ability>
      <abilityName>全半角问题</abilityName>
      <candidateList>
        <item>）</item>
      </candidateList>
      <explain>文本全半角错误。</explain>
      <paraID>1F41A0D2</paraID>
      <start>62</start>
      <end>63</end>
      <status>unmodified</status>
      <modifiedWord/>
      <trackRevisions>false</trackRevisions>
    </reviewItem>
    <reviewItem>
      <errorID>39a511e0-305e-4926-b4a1-bb64c0596588</errorID>
      <errorWord>(</errorWord>
      <group>L1_Format</group>
      <groupName>格式问题</groupName>
      <ability>L2_HalfPunc_CN</ability>
      <abilityName>全半角问题</abilityName>
      <candidateList>
        <item>（</item>
      </candidateList>
      <explain>文本全半角错误。</explain>
      <paraID>1F41A0D2</paraID>
      <start>75</start>
      <end>76</end>
      <status>unmodified</status>
      <modifiedWord/>
      <trackRevisions>false</trackRevisions>
    </reviewItem>
    <reviewItem>
      <errorID>511e4082-6a44-4d2a-b9d5-abc219675271</errorID>
      <errorWord>)</errorWord>
      <group>L1_Format</group>
      <groupName>格式问题</groupName>
      <ability>L2_HalfPunc_CN</ability>
      <abilityName>全半角问题</abilityName>
      <candidateList>
        <item>）</item>
      </candidateList>
      <explain>文本全半角错误。</explain>
      <paraID>1F41A0D2</paraID>
      <start>91</start>
      <end>92</end>
      <status>unmodified</status>
      <modifiedWord/>
      <trackRevisions>false</trackRevisions>
    </reviewItem>
    <reviewItem>
      <errorID>966cffb8-cb3d-4d40-8b90-a4bcfca1577e</errorID>
      <errorWord>(</errorWord>
      <group>L1_Format</group>
      <groupName>格式问题</groupName>
      <ability>L2_HalfPunc_CN</ability>
      <abilityName>全半角问题</abilityName>
      <candidateList>
        <item>（</item>
      </candidateList>
      <explain>文本全半角错误。</explain>
      <paraID>4AC16568</paraID>
      <start>56</start>
      <end>57</end>
      <status>unmodified</status>
      <modifiedWord/>
      <trackRevisions>false</trackRevisions>
    </reviewItem>
    <reviewItem>
      <errorID>a203d545-2024-4406-8f54-c27916cbbc92</errorID>
      <errorWord>)</errorWord>
      <group>L1_Format</group>
      <groupName>格式问题</groupName>
      <ability>L2_HalfPunc_CN</ability>
      <abilityName>全半角问题</abilityName>
      <candidateList>
        <item>）</item>
      </candidateList>
      <explain>文本全半角错误。</explain>
      <paraID>4AC16568</paraID>
      <start>62</start>
      <end>63</end>
      <status>unmodified</status>
      <modifiedWord/>
      <trackRevisions>false</trackRevisions>
    </reviewItem>
    <reviewItem>
      <errorID>b9c78a64-c774-4897-bbfb-44994941a8f9</errorID>
      <errorWord>(</errorWord>
      <group>L1_Format</group>
      <groupName>格式问题</groupName>
      <ability>L2_HalfPunc_CN</ability>
      <abilityName>全半角问题</abilityName>
      <candidateList>
        <item>（</item>
      </candidateList>
      <explain>文本全半角错误。</explain>
      <paraID>26FAD112</paraID>
      <start>16</start>
      <end>17</end>
      <status>unmodified</status>
      <modifiedWord/>
      <trackRevisions>false</trackRevisions>
    </reviewItem>
    <reviewItem>
      <errorID>fc640501-00ee-483a-b0a0-6e0d1aea8280</errorID>
      <errorWord>)</errorWord>
      <group>L1_Format</group>
      <groupName>格式问题</groupName>
      <ability>L2_HalfPunc_CN</ability>
      <abilityName>全半角问题</abilityName>
      <candidateList>
        <item>）</item>
      </candidateList>
      <explain>文本全半角错误。</explain>
      <paraID>26FAD112</paraID>
      <start>24</start>
      <end>25</end>
      <status>unmodified</status>
      <modifiedWord/>
      <trackRevisions>false</trackRevisions>
    </reviewItem>
    <reviewItem>
      <errorID>7c62254a-4859-4aaa-bc91-90c9b88a597f</errorID>
      <errorWord>法律、法规</errorWord>
      <group>L1_Word</group>
      <groupName>字词问题</groupName>
      <ability>L2_Typo</ability>
      <abilityName>字词错误</abilityName>
      <candidateList>
        <item>法律法规</item>
      </candidateList>
      <explain/>
      <paraID>1E53DCF6</paraID>
      <start>3</start>
      <end>8</end>
      <status>unmodified</status>
      <modifiedWord/>
      <trackRevisions>false</trackRevisions>
    </reviewItem>
    <reviewItem>
      <errorID>e4be6cff-f332-4664-8ccb-f8778edd4ccb</errorID>
      <errorWord>-</errorWord>
      <group>L1_Format</group>
      <groupName>格式问题</groupName>
      <ability>L2_HalfPunc_CN</ability>
      <abilityName>全半角问题</abilityName>
      <candidateList>
        <item>－</item>
      </candidateList>
      <explain>文本全半角错误。</explain>
      <paraID>64FC91AE</paraID>
      <start>19</start>
      <end>20</end>
      <status>unmodified</status>
      <modifiedWord/>
      <trackRevisions>false</trackRevisions>
    </reviewItem>
    <reviewItem>
      <errorID>5a05276f-574e-4ddd-aa17-48eb6bbf5e64</errorID>
      <errorWord>（</errorWord>
      <group>L1_Format</group>
      <groupName>格式问题</groupName>
      <ability>L2_HalfPunc_CN</ability>
      <abilityName>全半角问题</abilityName>
      <candidateList>
        <item>(</item>
      </candidateList>
      <explain>文本全半角错误。</explain>
      <paraID>75DE356C</paraID>
      <start>5</start>
      <end>6</end>
      <status>unmodified</status>
      <modifiedWord/>
      <trackRevisions>false</trackRevisions>
    </reviewItem>
    <reviewItem>
      <errorID>bd6326aa-5e72-4bd5-afef-7dd5e1c8ba56</errorID>
      <errorWord>）</errorWord>
      <group>L1_Format</group>
      <groupName>格式问题</groupName>
      <ability>L2_HalfPunc_CN</ability>
      <abilityName>全半角问题</abilityName>
      <candidateList>
        <item>)</item>
      </candidateList>
      <explain>文本全半角错误。</explain>
      <paraID>75DE356C</paraID>
      <start>7</start>
      <end>8</end>
      <status>unmodified</status>
      <modifiedWord/>
      <trackRevisions>false</trackRevisions>
    </reviewItem>
    <reviewItem>
      <errorID>9d973e3f-59be-4219-8dee-9a21bb4aa3e1</errorID>
      <errorWord>:</errorWord>
      <group>L1_Format</group>
      <groupName>格式问题</groupName>
      <ability>L2_HalfPunc_CN</ability>
      <abilityName>全半角问题</abilityName>
      <candidateList>
        <item>：</item>
      </candidateList>
      <explain>文本全半角错误。</explain>
      <paraID> 47270F1</paraID>
      <start>2</start>
      <end>3</end>
      <status>unmodified</status>
      <modifiedWord/>
      <trackRevisions>false</trackRevisions>
    </reviewItem>
    <reviewItem>
      <errorID>ed6c89c0-9dc7-445e-b3a5-414600df7b63</errorID>
      <errorWord>(</errorWord>
      <group>L1_Format</group>
      <groupName>格式问题</groupName>
      <ability>L2_HalfPunc_CN</ability>
      <abilityName>全半角问题</abilityName>
      <candidateList>
        <item>（</item>
      </candidateList>
      <explain>文本全半角错误。</explain>
      <paraID>314F0772</paraID>
      <start>11</start>
      <end>12</end>
      <status>unmodified</status>
      <modifiedWord/>
      <trackRevisions>false</trackRevisions>
    </reviewItem>
    <reviewItem>
      <errorID>47e28b96-a9dc-41da-95d3-f885c557e524</errorID>
      <errorWord>)</errorWord>
      <group>L1_Format</group>
      <groupName>格式问题</groupName>
      <ability>L2_HalfPunc_CN</ability>
      <abilityName>全半角问题</abilityName>
      <candidateList>
        <item>）</item>
      </candidateList>
      <explain>文本全半角错误。</explain>
      <paraID>314F0772</paraID>
      <start>17</start>
      <end>18</end>
      <status>unmodified</status>
      <modifiedWord/>
      <trackRevisions>false</trackRevisions>
    </reviewItem>
    <reviewItem>
      <errorID>cab2a88a-d20a-4848-ae50-7422f884df48</errorID>
      <errorWord>-</errorWord>
      <group>L1_Format</group>
      <groupName>格式问题</groupName>
      <ability>L2_HalfPunc_CN</ability>
      <abilityName>全半角问题</abilityName>
      <candidateList>
        <item>－</item>
      </candidateList>
      <explain>文本全半角错误。</explain>
      <paraID>314F0772</paraID>
      <start>38</start>
      <end>39</end>
      <status>unmodified</status>
      <modifiedWord/>
      <trackRevisions>false</trackRevisions>
    </reviewItem>
    <reviewItem>
      <errorID>b7191bd0-d907-499d-90f1-e1c847c1201a</errorID>
      <errorWord>-</errorWord>
      <group>L1_Format</group>
      <groupName>格式问题</groupName>
      <ability>L2_HalfPunc_CN</ability>
      <abilityName>全半角问题</abilityName>
      <candidateList>
        <item>－</item>
      </candidateList>
      <explain>文本全半角错误。</explain>
      <paraID>314F0772</paraID>
      <start>63</start>
      <end>64</end>
      <status>unmodified</status>
      <modifiedWord/>
      <trackRevisions>false</trackRevisions>
    </reviewItem>
    <reviewItem>
      <errorID>fb4d9c23-0113-4525-8118-a224357506cc</errorID>
      <errorWord>二位</errorWord>
      <group>L1_Word</group>
      <groupName>字词问题</groupName>
      <ability>L2_Typo</ability>
      <abilityName>字词错误</abilityName>
      <candidateList>
        <item>两位</item>
      </candidateList>
      <explain/>
      <paraID>1950FAC3</paraID>
      <start>31</start>
      <end>33</end>
      <status>unmodified</status>
      <modifiedWord/>
      <trackRevisions>false</trackRevisions>
    </reviewItem>
    <reviewItem>
      <errorID>72f76f6b-584b-4afb-a29f-7cf599a2050d</errorID>
      <errorWord>（</errorWord>
      <group>L1_Format</group>
      <groupName>格式问题</groupName>
      <ability>L2_HalfPunc_CN</ability>
      <abilityName>全半角问题</abilityName>
      <candidateList>
        <item>(</item>
      </candidateList>
      <explain>文本全半角错误。</explain>
      <paraID>7F83E1BE</paraID>
      <start>5</start>
      <end>6</end>
      <status>unmodified</status>
      <modifiedWord/>
      <trackRevisions>false</trackRevisions>
    </reviewItem>
    <reviewItem>
      <errorID>2a7dc31f-f5c9-4800-8bbb-0c123ad492ae</errorID>
      <errorWord>）</errorWord>
      <group>L1_Format</group>
      <groupName>格式问题</groupName>
      <ability>L2_HalfPunc_CN</ability>
      <abilityName>全半角问题</abilityName>
      <candidateList>
        <item>)</item>
      </candidateList>
      <explain>文本全半角错误。</explain>
      <paraID>7F83E1BE</paraID>
      <start>7</start>
      <end>8</end>
      <status>unmodified</status>
      <modifiedWord/>
      <trackRevisions>false</trackRevisions>
    </reviewItem>
    <reviewItem>
      <errorID>f2ce443b-54ec-4196-8f0e-bf6a73ab74ec</errorID>
      <errorWord>(</errorWord>
      <group>L1_Format</group>
      <groupName>格式问题</groupName>
      <ability>L2_HalfPunc_CN</ability>
      <abilityName>全半角问题</abilityName>
      <candidateList>
        <item>（</item>
      </candidateList>
      <explain>文本全半角错误。</explain>
      <paraID>31AF7383</paraID>
      <start>100</start>
      <end>101</end>
      <status>unmodified</status>
      <modifiedWord/>
      <trackRevisions>false</trackRevisions>
    </reviewItem>
    <reviewItem>
      <errorID>d4377140-c1c9-4379-b486-0d902c209ab9</errorID>
      <errorWord>)</errorWord>
      <group>L1_Format</group>
      <groupName>格式问题</groupName>
      <ability>L2_HalfPunc_CN</ability>
      <abilityName>全半角问题</abilityName>
      <candidateList>
        <item>）</item>
      </candidateList>
      <explain>文本全半角错误。</explain>
      <paraID>31AF7383</paraID>
      <start>155</start>
      <end>156</end>
      <status>unmodified</status>
      <modifiedWord/>
      <trackRevisions>false</trackRevisions>
    </reviewItem>
    <reviewItem>
      <errorID>41963379-0ccd-4056-baa8-e1510d4e21e5</errorID>
      <errorWord>粘度</errorWord>
      <group>L1_Word</group>
      <groupName>字词问题</groupName>
      <ability>L2_Alias</ability>
      <abilityName>也作/曾用词</abilityName>
      <candidateList>
        <item>黏度</item>
      </candidateList>
      <explain>词汇[粘度]为不规范表述或旧称，其规范书面表述为[黏度]。</explain>
      <paraID>7C818D28</paraID>
      <start>8</start>
      <end>10</end>
      <status>unmodified</status>
      <modifiedWord/>
      <trackRevisions>false</trackRevisions>
    </reviewItem>
    <reviewItem>
      <errorID>a57345b4-4cfb-438e-a414-9c4a5761b0b3</errorID>
      <errorWord>粘度</errorWord>
      <group>L1_Word</group>
      <groupName>字词问题</groupName>
      <ability>L2_Alias</ability>
      <abilityName>也作/曾用词</abilityName>
      <candidateList>
        <item>黏度</item>
      </candidateList>
      <explain>词汇[粘度]为不规范表述或旧称，其规范书面表述为[黏度]。</explain>
      <paraID>7C818D28</paraID>
      <start>19</start>
      <end>21</end>
      <status>unmodified</status>
      <modifiedWord/>
      <trackRevisions>false</trackRevisions>
    </reviewItem>
    <reviewItem>
      <errorID>1fa86b2d-3f81-4724-a395-a87b07f61914</errorID>
      <errorWord>做为</errorWord>
      <group>L1_Word</group>
      <groupName>字词问题</groupName>
      <ability>L2_Typo</ability>
      <abilityName>字词错误</abilityName>
      <candidateList>
        <item>作为</item>
      </candidateList>
      <explain/>
      <paraID> 440D8FA</paraID>
      <start>128</start>
      <end>130</end>
      <status>unmodified</status>
      <modifiedWord/>
      <trackRevisions>false</trackRevisions>
    </reviewItem>
    <reviewItem>
      <errorID>0d6fbe7b-5d5a-4f49-b6af-8eaae3149aed</errorID>
      <errorWord>（</errorWord>
      <group>L1_Format</group>
      <groupName>格式问题</groupName>
      <ability>L2_HalfPunc_CN</ability>
      <abilityName>全半角问题</abilityName>
      <candidateList>
        <item>(</item>
      </candidateList>
      <explain>文本全半角错误。</explain>
      <paraID>6156FE31</paraID>
      <start>0</start>
      <end>1</end>
      <status>unmodified</status>
      <modifiedWord/>
      <trackRevisions>false</trackRevisions>
    </reviewItem>
    <reviewItem>
      <errorID>aba83d9a-f0ca-4413-98d1-dbc222b46ae3</errorID>
      <errorWord>）</errorWord>
      <group>L1_Format</group>
      <groupName>格式问题</groupName>
      <ability>L2_HalfPunc_CN</ability>
      <abilityName>全半角问题</abilityName>
      <candidateList>
        <item>)</item>
      </candidateList>
      <explain>文本全半角错误。</explain>
      <paraID>6156FE31</paraID>
      <start>2</start>
      <end>3</end>
      <status>unmodified</status>
      <modifiedWord/>
      <trackRevisions>false</trackRevisions>
    </reviewItem>
    <reviewItem>
      <errorID>932cc078-6b46-4920-a735-2933b814e36f</errorID>
      <errorWord>(</errorWord>
      <group>L1_Format</group>
      <groupName>格式问题</groupName>
      <ability>L2_HalfPunc_CN</ability>
      <abilityName>全半角问题</abilityName>
      <candidateList>
        <item>（</item>
      </candidateList>
      <explain>文本全半角错误。</explain>
      <paraID>4446FAB4</paraID>
      <start>10</start>
      <end>11</end>
      <status>unmodified</status>
      <modifiedWord/>
      <trackRevisions>false</trackRevisions>
    </reviewItem>
    <reviewItem>
      <errorID>becf52a0-7d54-4736-bee1-3b86aa50a63d</errorID>
      <errorWord>)</errorWord>
      <group>L1_Format</group>
      <groupName>格式问题</groupName>
      <ability>L2_HalfPunc_CN</ability>
      <abilityName>全半角问题</abilityName>
      <candidateList>
        <item>）</item>
      </candidateList>
      <explain>文本全半角错误。</explain>
      <paraID>4446FAB4</paraID>
      <start>16</start>
      <end>17</end>
      <status>unmodified</status>
      <modifiedWord/>
      <trackRevisions>false</trackRevisions>
    </reviewItem>
    <reviewItem>
      <errorID>549b16aa-0906-44df-91b9-fb26eb407de0</errorID>
      <errorWord>(</errorWord>
      <group>L1_Format</group>
      <groupName>格式问题</groupName>
      <ability>L2_HalfPunc_CN</ability>
      <abilityName>全半角问题</abilityName>
      <candidateList>
        <item>（</item>
      </candidateList>
      <explain>文本全半角错误。</explain>
      <paraID>7DF40E43</paraID>
      <start>2</start>
      <end>3</end>
      <status>unmodified</status>
      <modifiedWord/>
      <trackRevisions>false</trackRevisions>
    </reviewItem>
    <reviewItem>
      <errorID>ba063869-450a-424b-a849-59cf4ef58ff7</errorID>
      <errorWord>)</errorWord>
      <group>L1_Format</group>
      <groupName>格式问题</groupName>
      <ability>L2_HalfPunc_CN</ability>
      <abilityName>全半角问题</abilityName>
      <candidateList>
        <item>）</item>
      </candidateList>
      <explain>文本全半角错误。</explain>
      <paraID>7DF40E43</paraID>
      <start>5</start>
      <end>6</end>
      <status>unmodified</status>
      <modifiedWord/>
      <trackRevisions>false</trackRevisions>
    </reviewItem>
    <reviewItem>
      <errorID>66379d52-df62-48ab-9e6b-c94cbb0bcdbf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672C328D</paraID>
      <start>0</start>
      <end>3</end>
      <status>unmodified</status>
      <modifiedWord/>
      <trackRevisions>false</trackRevisions>
    </reviewItem>
    <reviewItem>
      <errorID>a4bbc22d-8846-4b8a-a9e0-ff04d4d81b8b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672C328D</paraID>
      <start>41</start>
      <end>42</end>
      <status>unmodified</status>
      <modifiedWord/>
      <trackRevisions>false</trackRevisions>
    </reviewItem>
    <reviewItem>
      <errorID>e382abb2-baa7-4620-a393-5f406fb08df6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672C328D</paraID>
      <start>56</start>
      <end>57</end>
      <status>unmodified</status>
      <modifiedWord/>
      <trackRevisions>false</trackRevisions>
    </reviewItem>
    <reviewItem>
      <errorID>a3f7c00a-a900-4eb9-ab07-a59790f24bf9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57C4B81A</paraID>
      <start>0</start>
      <end>3</end>
      <status>unmodified</status>
      <modifiedWord/>
      <trackRevisions>false</trackRevisions>
    </reviewItem>
    <reviewItem>
      <errorID>b3bf37a3-1af8-4684-b78a-659869a5cd44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29AA8CE8</paraID>
      <start>0</start>
      <end>3</end>
      <status>unmodified</status>
      <modifiedWord/>
      <trackRevisions>false</trackRevisions>
    </reviewItem>
    <reviewItem>
      <errorID>b7ce48c2-db90-41d0-bf1a-508cfe9137b0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36CE3D8E</paraID>
      <start>0</start>
      <end>3</end>
      <status>unmodified</status>
      <modifiedWord/>
      <trackRevisions>false</trackRevisions>
    </reviewItem>
    <reviewItem>
      <errorID>8eab9aa0-7ca5-4f7f-80f8-c1d468a098e2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5DEC25F8</paraID>
      <start>0</start>
      <end>3</end>
      <status>unmodified</status>
      <modifiedWord/>
      <trackRevisions>false</trackRevisions>
    </reviewItem>
    <reviewItem>
      <errorID>47025985-3e38-47da-b5ff-1e42706cf0eb</errorID>
      <errorWord>(</errorWord>
      <group>L1_Format</group>
      <groupName>格式问题</groupName>
      <ability>L2_HalfPunc_CN</ability>
      <abilityName>全半角问题</abilityName>
      <candidateList>
        <item>（</item>
      </candidateList>
      <explain>文本全半角错误。</explain>
      <paraID>5DEC25F8</paraID>
      <start>7</start>
      <end>8</end>
      <status>unmodified</status>
      <modifiedWord/>
      <trackRevisions>false</trackRevisions>
    </reviewItem>
    <reviewItem>
      <errorID>105913a4-d173-42c5-9422-7120e5391f59</errorID>
      <errorWord>)</errorWord>
      <group>L1_Format</group>
      <groupName>格式问题</groupName>
      <ability>L2_HalfPunc_CN</ability>
      <abilityName>全半角问题</abilityName>
      <candidateList>
        <item>）</item>
      </candidateList>
      <explain>文本全半角错误。</explain>
      <paraID>5DEC25F8</paraID>
      <start>57</start>
      <end>58</end>
      <status>unmodified</status>
      <modifiedWord/>
      <trackRevisions>false</trackRevisions>
    </reviewItem>
    <reviewItem>
      <errorID>e32ff54e-b323-4b91-b2f6-184e0fa73a7a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5DFFE200</paraID>
      <start>0</start>
      <end>3</end>
      <status>unmodified</status>
      <modifiedWord/>
      <trackRevisions>false</trackRevisions>
    </reviewItem>
    <reviewItem>
      <errorID>2ee4d391-bd4e-4bab-984f-92c2d987812f</errorID>
      <errorWord>(</errorWord>
      <group>L1_Format</group>
      <groupName>格式问题</groupName>
      <ability>L2_HalfPunc_CN</ability>
      <abilityName>全半角问题</abilityName>
      <candidateList>
        <item>（</item>
      </candidateList>
      <explain>文本全半角错误。</explain>
      <paraID>5DFFE200</paraID>
      <start>9</start>
      <end>10</end>
      <status>unmodified</status>
      <modifiedWord/>
      <trackRevisions>false</trackRevisions>
    </reviewItem>
    <reviewItem>
      <errorID>88e7c627-3d18-4ae4-8f2c-4457c878079d</errorID>
      <errorWord>)</errorWord>
      <group>L1_Format</group>
      <groupName>格式问题</groupName>
      <ability>L2_HalfPunc_CN</ability>
      <abilityName>全半角问题</abilityName>
      <candidateList>
        <item>）</item>
      </candidateList>
      <explain>文本全半角错误。</explain>
      <paraID>5DFFE200</paraID>
      <start>31</start>
      <end>32</end>
      <status>unmodified</status>
      <modifiedWord/>
      <trackRevisions>false</trackRevisions>
    </reviewItem>
    <reviewItem>
      <errorID>0c041460-4a29-44b8-83bb-715193b10d95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451280DC</paraID>
      <start>0</start>
      <end>3</end>
      <status>unmodified</status>
      <modifiedWord/>
      <trackRevisions>false</trackRevisions>
    </reviewItem>
    <reviewItem>
      <errorID>36ef16c3-cac0-4353-851e-175954c2401e</errorID>
      <errorWord>反应</errorWord>
      <group>L1_Word</group>
      <groupName>字词问题</groupName>
      <ability>L2_Typo</ability>
      <abilityName>字词错误</abilityName>
      <candidateList>
        <item>反映</item>
      </candidateList>
      <explain>反映【词汇用法】1、将客观事物的面貌或者实质表现出来（例：这本书反映了当前社会的一些发展规律。）2、将意见，情况告诉给上级（例：我已经将相关情况反映给了上级部门。）</explain>
      <paraID>65BA5E85</paraID>
      <start>137</start>
      <end>139</end>
      <status>unmodified</status>
      <modifiedWord/>
      <trackRevisions>false</trackRevisions>
    </reviewItem>
    <reviewItem>
      <errorID>3f95e56a-2a2a-496f-9957-55e878127314</errorID>
      <errorWord>做为</errorWord>
      <group>L1_Word</group>
      <groupName>字词问题</groupName>
      <ability>L2_Typo</ability>
      <abilityName>字词错误</abilityName>
      <candidateList>
        <item>作为</item>
      </candidateList>
      <explain>存在发音相同字词的误用。</explain>
      <paraID>1073AF97</paraID>
      <start>94</start>
      <end>96</end>
      <status>unmodified</status>
      <modifiedWord/>
      <trackRevisions>false</trackRevisions>
    </reviewItem>
    <reviewItem>
      <errorID>99984984-0709-4f86-9a85-1388ace020d4</errorID>
      <errorWord>做为</errorWord>
      <group>L1_Word</group>
      <groupName>字词问题</groupName>
      <ability>L2_Typo</ability>
      <abilityName>字词错误</abilityName>
      <candidateList>
        <item>作为</item>
      </candidateList>
      <explain>存在发音相同字词的误用。</explain>
      <paraID>1073AF97</paraID>
      <start>128</start>
      <end>130</end>
      <status>unmodified</status>
      <modifiedWord/>
      <trackRevisions>false</trackRevisions>
    </reviewItem>
    <reviewItem>
      <errorID>5c9dca6e-1bd0-4cdf-a036-bc5329f0753b</errorID>
      <errorWord>-</errorWord>
      <group>L1_Format</group>
      <groupName>格式问题</groupName>
      <ability>L2_HalfPunc_CN</ability>
      <abilityName>全半角问题</abilityName>
      <candidateList>
        <item>－</item>
      </candidateList>
      <explain>文本全半角错误。</explain>
      <paraID>3340F557</paraID>
      <start>19</start>
      <end>20</end>
      <status>unmodified</status>
      <modifiedWord/>
      <trackRevisions>false</trackRevisions>
    </reviewItem>
    <reviewItem>
      <errorID>d726a096-8ece-453a-9fc9-4bfad2490f6f</errorID>
      <errorWord>依据依据</errorWord>
      <group>L1_Word</group>
      <groupName>字词问题</groupName>
      <ability>L2_Typo</ability>
      <abilityName>字词错误</abilityName>
      <candidateList>
        <item>依据</item>
      </candidateList>
      <explain/>
      <paraID> DB28C80</paraID>
      <start>0</start>
      <end>4</end>
      <status>unmodified</status>
      <modifiedWord/>
      <trackRevisions>false</trackRevisions>
    </reviewItem>
    <reviewItem>
      <errorID>913d957c-8467-459f-a7fc-2181b3a51be8</errorID>
      <errorWord>材料随</errorWord>
      <group>L1_Word</group>
      <groupName>字词问题</groupName>
      <ability>L2_Typo</ability>
      <abilityName>字词错误</abilityName>
      <candidateList>
        <item>材料</item>
      </candidateList>
      <explain/>
      <paraID> DB28C80</paraID>
      <start>156</start>
      <end>159</end>
      <status>unmodified</status>
      <modifiedWord/>
      <trackRevisions>false</trackRevisions>
    </reviewItem>
    <reviewItem>
      <errorID>4ec0bf2a-2f39-47af-860d-6cffdc8267ed</errorID>
      <errorWord>（</errorWord>
      <group>L1_Format</group>
      <groupName>格式问题</groupName>
      <ability>L2_HalfPunc_CN</ability>
      <abilityName>全半角问题</abilityName>
      <candidateList>
        <item>(</item>
      </candidateList>
      <explain>文本全半角错误。</explain>
      <paraID>72AE0713</paraID>
      <start>5</start>
      <end>6</end>
      <status>unmodified</status>
      <modifiedWord/>
      <trackRevisions>false</trackRevisions>
    </reviewItem>
    <reviewItem>
      <errorID>dee73968-e195-4860-b6ca-44b4c183b57c</errorID>
      <errorWord>）</errorWord>
      <group>L1_Format</group>
      <groupName>格式问题</groupName>
      <ability>L2_HalfPunc_CN</ability>
      <abilityName>全半角问题</abilityName>
      <candidateList>
        <item>)</item>
      </candidateList>
      <explain>文本全半角错误。</explain>
      <paraID>72AE0713</paraID>
      <start>7</start>
      <end>8</end>
      <status>unmodified</status>
      <modifiedWord/>
      <trackRevisions>false</trackRevisions>
    </reviewItem>
    <reviewItem>
      <errorID>7be7e18e-a288-495a-9987-8328a951ee28</errorID>
      <errorWord>:</errorWord>
      <group>L1_Format</group>
      <groupName>格式问题</groupName>
      <ability>L2_HalfPunc_CN</ability>
      <abilityName>全半角问题</abilityName>
      <candidateList>
        <item>：</item>
      </candidateList>
      <explain>文本全半角错误。</explain>
      <paraID>76F74FCF</paraID>
      <start>2</start>
      <end>3</end>
      <status>unmodified</status>
      <modifiedWord/>
      <trackRevisions>false</trackRevisions>
    </reviewItem>
    <reviewItem>
      <errorID>deb5e5c6-2bda-4bde-b589-f6a4040c7be1</errorID>
      <errorWord>(</errorWord>
      <group>L1_Format</group>
      <groupName>格式问题</groupName>
      <ability>L2_HalfPunc_CN</ability>
      <abilityName>全半角问题</abilityName>
      <candidateList>
        <item>（</item>
      </candidateList>
      <explain>文本全半角错误。</explain>
      <paraID>46E46F73</paraID>
      <start>11</start>
      <end>12</end>
      <status>unmodified</status>
      <modifiedWord/>
      <trackRevisions>false</trackRevisions>
    </reviewItem>
    <reviewItem>
      <errorID>fe28a46d-88b7-4160-b075-dc9106395ced</errorID>
      <errorWord>)</errorWord>
      <group>L1_Format</group>
      <groupName>格式问题</groupName>
      <ability>L2_HalfPunc_CN</ability>
      <abilityName>全半角问题</abilityName>
      <candidateList>
        <item>）</item>
      </candidateList>
      <explain>文本全半角错误。</explain>
      <paraID>46E46F73</paraID>
      <start>17</start>
      <end>18</end>
      <status>unmodified</status>
      <modifiedWord/>
      <trackRevisions>false</trackRevisions>
    </reviewItem>
    <reviewItem>
      <errorID>81be5349-ee51-48df-ab7e-dd1c7013b005</errorID>
      <errorWord>-</errorWord>
      <group>L1_Format</group>
      <groupName>格式问题</groupName>
      <ability>L2_HalfPunc_CN</ability>
      <abilityName>全半角问题</abilityName>
      <candidateList>
        <item>－</item>
      </candidateList>
      <explain>文本全半角错误。</explain>
      <paraID>46E46F73</paraID>
      <start>38</start>
      <end>39</end>
      <status>unmodified</status>
      <modifiedWord/>
      <trackRevisions>false</trackRevisions>
    </reviewItem>
    <reviewItem>
      <errorID>5c59035a-6747-4301-aa68-a943b278a1a5</errorID>
      <errorWord>-</errorWord>
      <group>L1_Format</group>
      <groupName>格式问题</groupName>
      <ability>L2_HalfPunc_CN</ability>
      <abilityName>全半角问题</abilityName>
      <candidateList>
        <item>－</item>
      </candidateList>
      <explain>文本全半角错误。</explain>
      <paraID>46E46F73</paraID>
      <start>63</start>
      <end>64</end>
      <status>unmodified</status>
      <modifiedWord/>
      <trackRevisions>false</trackRevisions>
    </reviewItem>
    <reviewItem>
      <errorID>be4f5eac-b0e9-4117-8063-39b30e0d7e7e</errorID>
      <errorWord>二位</errorWord>
      <group>L1_Word</group>
      <groupName>字词问题</groupName>
      <ability>L2_Typo</ability>
      <abilityName>字词错误</abilityName>
      <candidateList>
        <item>两位</item>
      </candidateList>
      <explain/>
      <paraID>7CEB759F</paraID>
      <start>31</start>
      <end>33</end>
      <status>unmodified</status>
      <modifiedWord/>
      <trackRevisions>false</trackRevisions>
    </reviewItem>
    <reviewItem>
      <errorID>04942a79-3d11-47c5-89a9-9a97b594a821</errorID>
      <errorWord>（</errorWord>
      <group>L1_Format</group>
      <groupName>格式问题</groupName>
      <ability>L2_HalfPunc_CN</ability>
      <abilityName>全半角问题</abilityName>
      <candidateList>
        <item>(</item>
      </candidateList>
      <explain>文本全半角错误。</explain>
      <paraID>16A1FAD4</paraID>
      <start>5</start>
      <end>6</end>
      <status>unmodified</status>
      <modifiedWord/>
      <trackRevisions>false</trackRevisions>
    </reviewItem>
    <reviewItem>
      <errorID>5136a714-dcc4-4093-b90e-acdeaad1a376</errorID>
      <errorWord>）</errorWord>
      <group>L1_Format</group>
      <groupName>格式问题</groupName>
      <ability>L2_HalfPunc_CN</ability>
      <abilityName>全半角问题</abilityName>
      <candidateList>
        <item>)</item>
      </candidateList>
      <explain>文本全半角错误。</explain>
      <paraID>16A1FAD4</paraID>
      <start>7</start>
      <end>8</end>
      <status>unmodified</status>
      <modifiedWord/>
      <trackRevisions>false</trackRevisions>
    </reviewItem>
    <reviewItem>
      <errorID>b777fae5-c89b-40e5-8e95-f4bd9691d3e6</errorID>
      <errorWord>(</errorWord>
      <group>L1_Format</group>
      <groupName>格式问题</groupName>
      <ability>L2_HalfPunc_CN</ability>
      <abilityName>全半角问题</abilityName>
      <candidateList>
        <item>（</item>
      </candidateList>
      <explain>文本全半角错误。</explain>
      <paraID>41FAB80A</paraID>
      <start>100</start>
      <end>101</end>
      <status>unmodified</status>
      <modifiedWord/>
      <trackRevisions>false</trackRevisions>
    </reviewItem>
    <reviewItem>
      <errorID>eeb55df3-09fa-4547-8f96-46d7dd33e6fb</errorID>
      <errorWord>)</errorWord>
      <group>L1_Format</group>
      <groupName>格式问题</groupName>
      <ability>L2_HalfPunc_CN</ability>
      <abilityName>全半角问题</abilityName>
      <candidateList>
        <item>）</item>
      </candidateList>
      <explain>文本全半角错误。</explain>
      <paraID>41FAB80A</paraID>
      <start>155</start>
      <end>156</end>
      <status>unmodified</status>
      <modifiedWord/>
      <trackRevisions>false</trackRevisions>
    </reviewItem>
    <reviewItem>
      <errorID>4acd784b-90a1-4c72-8920-09db8781137c</errorID>
      <errorWord>粘度</errorWord>
      <group>L1_Word</group>
      <groupName>字词问题</groupName>
      <ability>L2_Alias</ability>
      <abilityName>也作/曾用词</abilityName>
      <candidateList>
        <item>黏度</item>
      </candidateList>
      <explain>词汇[粘度]为不规范表述或旧称，其规范书面表述为[黏度]。</explain>
      <paraID> 894D2F5</paraID>
      <start>8</start>
      <end>10</end>
      <status>unmodified</status>
      <modifiedWord/>
      <trackRevisions>false</trackRevisions>
    </reviewItem>
    <reviewItem>
      <errorID>5b547e9a-b818-46d1-89fe-4e0b681ef76a</errorID>
      <errorWord>粘度</errorWord>
      <group>L1_Word</group>
      <groupName>字词问题</groupName>
      <ability>L2_Alias</ability>
      <abilityName>也作/曾用词</abilityName>
      <candidateList>
        <item>黏度</item>
      </candidateList>
      <explain>词汇[粘度]为不规范表述或旧称，其规范书面表述为[黏度]。</explain>
      <paraID> 894D2F5</paraID>
      <start>19</start>
      <end>21</end>
      <status>unmodified</status>
      <modifiedWord/>
      <trackRevisions>false</trackRevisions>
    </reviewItem>
    <reviewItem>
      <errorID>0ae9cacb-7ee1-4d73-992e-ca12bdde34da</errorID>
      <errorWord>（</errorWord>
      <group>L1_Format</group>
      <groupName>格式问题</groupName>
      <ability>L2_HalfPunc_CN</ability>
      <abilityName>全半角问题</abilityName>
      <candidateList>
        <item>(</item>
      </candidateList>
      <explain>文本全半角错误。</explain>
      <paraID>14D67946</paraID>
      <start>0</start>
      <end>1</end>
      <status>unmodified</status>
      <modifiedWord/>
      <trackRevisions>false</trackRevisions>
    </reviewItem>
    <reviewItem>
      <errorID>cf17bc03-a819-4a46-b7c9-1c85128fa5ee</errorID>
      <errorWord>）</errorWord>
      <group>L1_Format</group>
      <groupName>格式问题</groupName>
      <ability>L2_HalfPunc_CN</ability>
      <abilityName>全半角问题</abilityName>
      <candidateList>
        <item>)</item>
      </candidateList>
      <explain>文本全半角错误。</explain>
      <paraID>14D67946</paraID>
      <start>2</start>
      <end>3</end>
      <status>unmodified</status>
      <modifiedWord/>
      <trackRevisions>false</trackRevisions>
    </reviewItem>
    <reviewItem>
      <errorID>f55970f8-5848-4f85-8d37-d447521e45b8</errorID>
      <errorWord>(</errorWord>
      <group>L1_Format</group>
      <groupName>格式问题</groupName>
      <ability>L2_HalfPunc_CN</ability>
      <abilityName>全半角问题</abilityName>
      <candidateList>
        <item>（</item>
      </candidateList>
      <explain>文本全半角错误。</explain>
      <paraID>59478AB9</paraID>
      <start>10</start>
      <end>11</end>
      <status>unmodified</status>
      <modifiedWord/>
      <trackRevisions>false</trackRevisions>
    </reviewItem>
    <reviewItem>
      <errorID>fddbcada-40b3-4db8-917f-a177a47ad48a</errorID>
      <errorWord>)</errorWord>
      <group>L1_Format</group>
      <groupName>格式问题</groupName>
      <ability>L2_HalfPunc_CN</ability>
      <abilityName>全半角问题</abilityName>
      <candidateList>
        <item>）</item>
      </candidateList>
      <explain>文本全半角错误。</explain>
      <paraID>59478AB9</paraID>
      <start>16</start>
      <end>17</end>
      <status>unmodified</status>
      <modifiedWord/>
      <trackRevisions>false</trackRevisions>
    </reviewItem>
    <reviewItem>
      <errorID>7a9626c6-0632-4d2e-b1b9-d47644737df2</errorID>
      <errorWord>(</errorWord>
      <group>L1_Format</group>
      <groupName>格式问题</groupName>
      <ability>L2_HalfPunc_CN</ability>
      <abilityName>全半角问题</abilityName>
      <candidateList>
        <item>（</item>
      </candidateList>
      <explain>文本全半角错误。</explain>
      <paraID>1BED349D</paraID>
      <start>2</start>
      <end>3</end>
      <status>unmodified</status>
      <modifiedWord/>
      <trackRevisions>false</trackRevisions>
    </reviewItem>
    <reviewItem>
      <errorID>cf55bb05-7648-4096-af9b-aa1fe1ce6756</errorID>
      <errorWord>)</errorWord>
      <group>L1_Format</group>
      <groupName>格式问题</groupName>
      <ability>L2_HalfPunc_CN</ability>
      <abilityName>全半角问题</abilityName>
      <candidateList>
        <item>）</item>
      </candidateList>
      <explain>文本全半角错误。</explain>
      <paraID>1BED349D</paraID>
      <start>5</start>
      <end>6</end>
      <status>unmodified</status>
      <modifiedWord/>
      <trackRevisions>false</trackRevisions>
    </reviewItem>
    <reviewItem>
      <errorID>d38acaac-74ee-406c-ab43-e7c6bd92c7d0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1F82ED91</paraID>
      <start>0</start>
      <end>3</end>
      <status>unmodified</status>
      <modifiedWord/>
      <trackRevisions>false</trackRevisions>
    </reviewItem>
    <reviewItem>
      <errorID>907919f2-13a6-4af7-b548-1c6f0bef103f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1F82ED91</paraID>
      <start>42</start>
      <end>43</end>
      <status>unmodified</status>
      <modifiedWord/>
      <trackRevisions>false</trackRevisions>
    </reviewItem>
    <reviewItem>
      <errorID>054ef069-7351-4e30-a6f4-6d86293f09a2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1F82ED91</paraID>
      <start>57</start>
      <end>58</end>
      <status>unmodified</status>
      <modifiedWord/>
      <trackRevisions>false</trackRevisions>
    </reviewItem>
    <reviewItem>
      <errorID>1491e5d9-0757-42b2-9761-ad474b253c41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EF57D46</paraID>
      <start>0</start>
      <end>3</end>
      <status>unmodified</status>
      <modifiedWord/>
      <trackRevisions>false</trackRevisions>
    </reviewItem>
    <reviewItem>
      <errorID>38175ed4-3580-4658-9b03-4884a57b853d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2676DD02</paraID>
      <start>0</start>
      <end>3</end>
      <status>unmodified</status>
      <modifiedWord/>
      <trackRevisions>false</trackRevisions>
    </reviewItem>
    <reviewItem>
      <errorID>d3391f69-3e39-468f-8453-b67f8b2bb772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5DC3E7B3</paraID>
      <start>0</start>
      <end>3</end>
      <status>unmodified</status>
      <modifiedWord/>
      <trackRevisions>false</trackRevisions>
    </reviewItem>
    <reviewItem>
      <errorID>bee95c48-4288-4250-a97b-6f3d0bda84e8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F190747</paraID>
      <start>0</start>
      <end>3</end>
      <status>unmodified</status>
      <modifiedWord/>
      <trackRevisions>false</trackRevisions>
    </reviewItem>
    <reviewItem>
      <errorID>6ad601dd-e8f0-4521-9aad-e5f836252df9</errorID>
      <errorWord>(</errorWord>
      <group>L1_Format</group>
      <groupName>格式问题</groupName>
      <ability>L2_HalfPunc_CN</ability>
      <abilityName>全半角问题</abilityName>
      <candidateList>
        <item>（</item>
      </candidateList>
      <explain>文本全半角错误。</explain>
      <paraID> F190747</paraID>
      <start>7</start>
      <end>8</end>
      <status>unmodified</status>
      <modifiedWord/>
      <trackRevisions>false</trackRevisions>
    </reviewItem>
    <reviewItem>
      <errorID>871d51fd-2587-4486-a905-6e90969b1b8e</errorID>
      <errorWord>)</errorWord>
      <group>L1_Format</group>
      <groupName>格式问题</groupName>
      <ability>L2_HalfPunc_CN</ability>
      <abilityName>全半角问题</abilityName>
      <candidateList>
        <item>）</item>
      </candidateList>
      <explain>文本全半角错误。</explain>
      <paraID> F190747</paraID>
      <start>57</start>
      <end>58</end>
      <status>unmodified</status>
      <modifiedWord/>
      <trackRevisions>false</trackRevisions>
    </reviewItem>
    <reviewItem>
      <errorID>fe5cb2f3-3984-4947-bf77-9996216df84f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18694A18</paraID>
      <start>0</start>
      <end>3</end>
      <status>unmodified</status>
      <modifiedWord/>
      <trackRevisions>false</trackRevisions>
    </reviewItem>
    <reviewItem>
      <errorID>63e6052b-2369-4bb3-87d0-68a5c4167c5e</errorID>
      <errorWord>(</errorWord>
      <group>L1_Format</group>
      <groupName>格式问题</groupName>
      <ability>L2_HalfPunc_CN</ability>
      <abilityName>全半角问题</abilityName>
      <candidateList>
        <item>（</item>
      </candidateList>
      <explain>文本全半角错误。</explain>
      <paraID>18694A18</paraID>
      <start>9</start>
      <end>10</end>
      <status>unmodified</status>
      <modifiedWord/>
      <trackRevisions>false</trackRevisions>
    </reviewItem>
    <reviewItem>
      <errorID>971fd90c-e5af-409d-b544-5f8d8af41ca9</errorID>
      <errorWord>)</errorWord>
      <group>L1_Format</group>
      <groupName>格式问题</groupName>
      <ability>L2_HalfPunc_CN</ability>
      <abilityName>全半角问题</abilityName>
      <candidateList>
        <item>）</item>
      </candidateList>
      <explain>文本全半角错误。</explain>
      <paraID>18694A18</paraID>
      <start>31</start>
      <end>32</end>
      <status>unmodified</status>
      <modifiedWord/>
      <trackRevisions>false</trackRevisions>
    </reviewItem>
    <reviewItem>
      <errorID>21b9e352-ffbc-45ec-8a35-afee3974b7b8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17A81D3C</paraID>
      <start>0</start>
      <end>3</end>
      <status>unmodified</status>
      <modifiedWord/>
      <trackRevisions>false</trackRevisions>
    </reviewItem>
    <reviewItem>
      <errorID>d2931ff7-0e04-4306-a6f0-7bd1477997f4</errorID>
      <errorWord>反应</errorWord>
      <group>L1_Word</group>
      <groupName>字词问题</groupName>
      <ability>L2_Typo</ability>
      <abilityName>字词错误</abilityName>
      <candidateList>
        <item>反映</item>
      </candidateList>
      <explain>反映【词汇用法】1、将客观事物的面貌或者实质表现出来（例：这本书反映了当前社会的一些发展规律。）2、将意见，情况告诉给上级（例：我已经将相关情况反映给了上级部门。）</explain>
      <paraID>719BE712</paraID>
      <start>137</start>
      <end>139</end>
      <status>unmodified</status>
      <modifiedWord/>
      <trackRevisions>false</trackRevisions>
    </reviewItem>
    <reviewItem>
      <errorID>90ad12b5-317b-4f5d-a399-e8eb84314917</errorID>
      <errorWord>做为</errorWord>
      <group>L1_Word</group>
      <groupName>字词问题</groupName>
      <ability>L2_Typo</ability>
      <abilityName>字词错误</abilityName>
      <candidateList>
        <item>作为</item>
      </candidateList>
      <explain>存在发音相同字词的误用。</explain>
      <paraID>767B8270</paraID>
      <start>94</start>
      <end>96</end>
      <status>unmodified</status>
      <modifiedWord/>
      <trackRevisions>false</trackRevisions>
    </reviewItem>
    <reviewItem>
      <errorID>681ecfc9-1ff4-4f97-9603-4b92d862accd</errorID>
      <errorWord>做为</errorWord>
      <group>L1_Word</group>
      <groupName>字词问题</groupName>
      <ability>L2_Typo</ability>
      <abilityName>字词错误</abilityName>
      <candidateList>
        <item>作为</item>
      </candidateList>
      <explain>存在发音相同字词的误用。</explain>
      <paraID>767B8270</paraID>
      <start>128</start>
      <end>130</end>
      <status>unmodified</status>
      <modifiedWord/>
      <trackRevisions>false</trackRevisions>
    </reviewItem>
    <reviewItem>
      <errorID>70a5bbb7-a3a5-4e87-bdaf-e04697b520af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101993D9</paraID>
      <start>71</start>
      <end>72</end>
      <status>unmodified</status>
      <modifiedWord/>
      <trackRevisions>false</trackRevisions>
    </reviewItem>
    <reviewItem>
      <errorID>e0d0e51f-7514-45c0-ad13-cdcf07c4283d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F9AA441</paraID>
      <start>0</start>
      <end>3</end>
      <status>unmodified</status>
      <modifiedWord/>
      <trackRevisions>false</trackRevisions>
    </reviewItem>
    <reviewItem>
      <errorID>0c17df89-ceda-47a8-88aa-693d1dc1b366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D3500E0</paraID>
      <start>0</start>
      <end>3</end>
      <status>unmodified</status>
      <modifiedWord/>
      <trackRevisions>false</trackRevisions>
    </reviewItem>
    <reviewItem>
      <errorID>3f64cce8-095e-41b4-946c-abc2fdf02754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620A6F1F</paraID>
      <start>0</start>
      <end>3</end>
      <status>unmodified</status>
      <modifiedWord/>
      <trackRevisions>false</trackRevisions>
    </reviewItem>
    <reviewItem>
      <errorID>7fbfaae0-20f1-4ed9-968f-395565229417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582F2E99</paraID>
      <start>0</start>
      <end>3</end>
      <status>unmodified</status>
      <modifiedWord/>
      <trackRevisions>false</trackRevisions>
    </reviewItem>
    <reviewItem>
      <errorID>5d536c4f-61db-49ce-b6b6-370cd74002a0</errorID>
      <errorWord>(</errorWord>
      <group>L1_Format</group>
      <groupName>格式问题</groupName>
      <ability>L2_HalfPunc_CN</ability>
      <abilityName>全半角问题</abilityName>
      <candidateList>
        <item>（</item>
      </candidateList>
      <explain>文本全半角错误。</explain>
      <paraID>71099135</paraID>
      <start>25</start>
      <end>26</end>
      <status>unmodified</status>
      <modifiedWord/>
      <trackRevisions>false</trackRevisions>
    </reviewItem>
    <reviewItem>
      <errorID>9d79c133-29af-492f-b058-938244841b07</errorID>
      <errorWord>[2014]68号</errorWord>
      <group>L1_Knowledge</group>
      <groupName>知识性问题</groupName>
      <ability>L2_Knowledge</ability>
      <abilityName>其他知识</abilityName>
      <candidateList>
        <item>〔2014〕68号</item>
      </candidateList>
      <explain>发文字号格式错误。</explain>
      <paraID>71099135</paraID>
      <start>28</start>
      <end>37</end>
      <status>unmodified</status>
      <modifiedWord/>
      <trackRevisions>false</trackRevisions>
    </reviewItem>
    <reviewItem>
      <errorID>cc77ed15-eb74-49f9-b347-f45a29e0c847</errorID>
      <errorWord>)</errorWord>
      <group>L1_Format</group>
      <groupName>格式问题</groupName>
      <ability>L2_HalfPunc_CN</ability>
      <abilityName>全半角问题</abilityName>
      <candidateList>
        <item>）</item>
      </candidateList>
      <explain>文本全半角错误。</explain>
      <paraID>71099135</paraID>
      <start>37</start>
      <end>38</end>
      <status>unmodified</status>
      <modifiedWord/>
      <trackRevisions>false</trackRevisions>
    </reviewItem>
    <reviewItem>
      <errorID>9d727d85-63c7-4a5a-b2d7-dbf765f0c694</errorID>
      <errorWord>(</errorWord>
      <group>L1_Format</group>
      <groupName>格式问题</groupName>
      <ability>L2_HalfPunc_CN</ability>
      <abilityName>全半角问题</abilityName>
      <candidateList>
        <item>（</item>
      </candidateList>
      <explain>文本全半角错误。</explain>
      <paraID>71099135</paraID>
      <start>82</start>
      <end>83</end>
      <status>unmodified</status>
      <modifiedWord/>
      <trackRevisions>false</trackRevisions>
    </reviewItem>
    <reviewItem>
      <errorID>e9456b22-4c8f-423a-989b-93e1100dd61a</errorID>
      <errorWord>)</errorWord>
      <group>L1_Format</group>
      <groupName>格式问题</groupName>
      <ability>L2_HalfPunc_CN</ability>
      <abilityName>全半角问题</abilityName>
      <candidateList>
        <item>）</item>
      </candidateList>
      <explain>文本全半角错误。</explain>
      <paraID>71099135</paraID>
      <start>92</start>
      <end>93</end>
      <status>unmodified</status>
      <modifiedWord/>
      <trackRevisions>false</trackRevisions>
    </reviewItem>
    <reviewItem>
      <errorID>3562bb16-0843-486b-bc23-b2c21f1d44c1</errorID>
      <errorWord>送</errorWord>
      <group>L1_Word</group>
      <groupName>字词问题</groupName>
      <ability>L2_Typo</ability>
      <abilityName>字词错误</abilityName>
      <candidateList>
        <item>送达</item>
      </candidateList>
      <explain/>
      <paraID>3E2C8318</paraID>
      <start>31</start>
      <end>32</end>
      <status>unmodified</status>
      <modifiedWord/>
      <trackRevisions>false</trackRevisions>
    </reviewItem>
    <reviewItem>
      <errorID>3a7e8565-4693-4af8-b115-fc0a8ab43e91</errorID>
      <errorWord>５</errorWord>
      <group>L1_Format</group>
      <groupName>格式问题</groupName>
      <ability>L2_HalfPunc_CN</ability>
      <abilityName>全半角问题</abilityName>
      <candidateList>
        <item>5</item>
      </candidateList>
      <explain>文本全半角错误。</explain>
      <paraID>7AF73F1A</paraID>
      <start>15</start>
      <end>16</end>
      <status>unmodified</status>
      <modifiedWord/>
      <trackRevisions>false</trackRevisions>
    </reviewItem>
    <reviewItem>
      <errorID>c6654302-b211-4f11-8e33-1459834bb12a</errorID>
      <errorWord>其它</errorWord>
      <group>L1_Word</group>
      <groupName>字词问题</groupName>
      <ability>L2_Alias</ability>
      <abilityName>也作/曾用词</abilityName>
      <candidateList>
        <item>其他</item>
      </candidateList>
      <explain>词汇[其它]为不规范表述或旧称，其规范书面表述为[其他]。</explain>
      <paraID>3EDD5BA3</paraID>
      <start>147</start>
      <end>149</end>
      <status>unmodified</status>
      <modifiedWord/>
      <trackRevisions>false</trackRevisions>
    </reviewItem>
    <reviewItem>
      <errorID>e4008f3f-06ed-4e5e-9934-fd191474f4e9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76442C19</paraID>
      <start>0</start>
      <end>2</end>
      <status>unmodified</status>
      <modifiedWord/>
      <trackRevisions>false</trackRevisions>
    </reviewItem>
    <reviewItem>
      <errorID>47d074f0-e477-40be-b260-c8aa48c33c8c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4B1FF019</paraID>
      <start>0</start>
      <end>2</end>
      <status>unmodified</status>
      <modifiedWord/>
      <trackRevisions>false</trackRevisions>
    </reviewItem>
    <reviewItem>
      <errorID>013920d1-a531-45e7-9603-84b1dde87f2b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6E0F5CD5</paraID>
      <start>0</start>
      <end>2</end>
      <status>unmodified</status>
      <modifiedWord/>
      <trackRevisions>false</trackRevisions>
    </reviewItem>
    <reviewItem>
      <errorID>c45004e5-ec0f-4563-86ab-dcee763b69ed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60E5F98D</paraID>
      <start>0</start>
      <end>2</end>
      <status>unmodified</status>
      <modifiedWord/>
      <trackRevisions>false</trackRevisions>
    </reviewItem>
    <reviewItem>
      <errorID>e6e2690b-18ff-48ef-9892-76d954258e3e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42649C4C</paraID>
      <start>0</start>
      <end>2</end>
      <status>unmodified</status>
      <modifiedWord/>
      <trackRevisions>false</trackRevisions>
    </reviewItem>
    <reviewItem>
      <errorID>003de494-d5fd-4867-8edb-5df9ef68fff2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5287C573</paraID>
      <start>0</start>
      <end>2</end>
      <status>unmodified</status>
      <modifiedWord/>
      <trackRevisions>false</trackRevisions>
    </reviewItem>
    <reviewItem>
      <errorID>22cece6d-7163-4a9f-8831-647460f40c8d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500EAE28</paraID>
      <start>0</start>
      <end>2</end>
      <status>unmodified</status>
      <modifiedWord/>
      <trackRevisions>false</trackRevisions>
    </reviewItem>
    <reviewItem>
      <errorID>1cd69d10-d655-45e2-b68f-c5ad1eaf34b8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184B8D9</paraID>
      <start>0</start>
      <end>2</end>
      <status>unmodified</status>
      <modifiedWord/>
      <trackRevisions>false</trackRevisions>
    </reviewItem>
    <reviewItem>
      <errorID>76ed844f-cc07-4a32-bb2a-89f959d4ddec</errorID>
      <errorWord>国家农业农村部</errorWord>
      <group>L1_Political</group>
      <groupName>政治性问题</groupName>
      <ability>L2_Unpolitical</ability>
      <abilityName>政治敏感错误</abilityName>
      <candidateList>
        <item>农业农村部</item>
      </candidateList>
      <explain/>
      <paraID> 184B8D9</paraID>
      <start>23</start>
      <end>30</end>
      <status>unmodified</status>
      <modifiedWord/>
      <trackRevisions>false</trackRevisions>
    </reviewItem>
    <reviewItem>
      <errorID>0a366617-d955-4cfd-9b2b-662e5a695ee8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77839B0D</paraID>
      <start>0</start>
      <end>2</end>
      <status>unmodified</status>
      <modifiedWord/>
      <trackRevisions>false</trackRevisions>
    </reviewItem>
    <reviewItem>
      <errorID>58e7e769-57cb-4443-bb0b-1dc775bf3080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1205CB9E</paraID>
      <start>0</start>
      <end>2</end>
      <status>unmodified</status>
      <modifiedWord/>
      <trackRevisions>false</trackRevisions>
    </reviewItem>
    <reviewItem>
      <errorID>e206fe5d-b159-40bf-9465-1ca732a432fc</errorID>
      <errorWord>参与</errorWord>
      <group>L1_Word</group>
      <groupName>字词问题</groupName>
      <ability>L2_Typo</ability>
      <abilityName>字词错误</abilityName>
      <candidateList>
        <item>与</item>
      </candidateList>
      <explain/>
      <paraID>1205CB9E</paraID>
      <start>2</start>
      <end>4</end>
      <status>unmodified</status>
      <modifiedWord/>
      <trackRevisions>false</trackRevisions>
    </reviewItem>
    <reviewItem>
      <errorID>5c0490cb-974c-4a8a-931d-14c50acb3de0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12E04DDF</paraID>
      <start>0</start>
      <end>2</end>
      <status>unmodified</status>
      <modifiedWord/>
      <trackRevisions>false</trackRevisions>
    </reviewItem>
    <reviewItem>
      <errorID>78a466b4-b74e-462b-91a2-034957146bef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7917157</paraID>
      <start>0</start>
      <end>2</end>
      <status>unmodified</status>
      <modifiedWord/>
      <trackRevisions>false</trackRevisions>
    </reviewItem>
    <reviewItem>
      <errorID>23f1157f-b9aa-4d4d-8006-3863a7cbbb78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6F9DD81B</paraID>
      <start>0</start>
      <end>2</end>
      <status>unmodified</status>
      <modifiedWord/>
      <trackRevisions>false</trackRevisions>
    </reviewItem>
    <reviewItem>
      <errorID>f17c521b-f30c-45b4-b9ec-169d0b3c4f94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1FE62A0F</paraID>
      <start>0</start>
      <end>2</end>
      <status>unmodified</status>
      <modifiedWord/>
      <trackRevisions>false</trackRevisions>
    </reviewItem>
    <reviewItem>
      <errorID>26e55357-7120-46ec-bd62-d809b8ec112a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144E916</paraID>
      <start>0</start>
      <end>2</end>
      <status>unmodified</status>
      <modifiedWord/>
      <trackRevisions>false</trackRevisions>
    </reviewItem>
    <reviewItem>
      <errorID>775c6eeb-0ad3-45a5-bd0d-5c866db75153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6BD3DDDD</paraID>
      <start>0</start>
      <end>2</end>
      <status>unmodified</status>
      <modifiedWord/>
      <trackRevisions>false</trackRevisions>
    </reviewItem>
    <reviewItem>
      <errorID>69388675-a8ee-414a-b76d-815c1e4abc40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7C5A0461</paraID>
      <start>0</start>
      <end>2</end>
      <status>unmodified</status>
      <modifiedWord/>
      <trackRevisions>false</trackRevisions>
    </reviewItem>
    <reviewItem>
      <errorID>401ddef5-cfbe-4da1-93b0-da972068ed6d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B788A4</paraID>
      <start>0</start>
      <end>2</end>
      <status>unmodified</status>
      <modifiedWord/>
      <trackRevisions>false</trackRevisions>
    </reviewItem>
    <reviewItem>
      <errorID>22c81796-de98-4415-8570-02580bc07616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36B477E8</paraID>
      <start>0</start>
      <end>2</end>
      <status>unmodified</status>
      <modifiedWord/>
      <trackRevisions>false</trackRevisions>
    </reviewItem>
    <reviewItem>
      <errorID>878c4100-2cec-47a8-9df8-68bf71933dc0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4A63080</paraID>
      <start>0</start>
      <end>2</end>
      <status>unmodified</status>
      <modifiedWord/>
      <trackRevisions>false</trackRevisions>
    </reviewItem>
    <reviewItem>
      <errorID>d6cee74d-2468-4abc-a4d5-bd20df601b8c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43FA9AFF</paraID>
      <start>0</start>
      <end>2</end>
      <status>unmodified</status>
      <modifiedWord/>
      <trackRevisions>false</trackRevisions>
    </reviewItem>
    <reviewItem>
      <errorID>e69fe726-f351-4ef1-b727-1ba0e2043510</errorID>
      <errorWord>;</errorWord>
      <group>L1_Format</group>
      <groupName>格式问题</groupName>
      <ability>L2_HalfPunc_CN</ability>
      <abilityName>全半角问题</abilityName>
      <candidateList>
        <item>；</item>
      </candidateList>
      <explain>文本全半角错误。</explain>
      <paraID>7D48B936</paraID>
      <start>42</start>
      <end>43</end>
      <status>unmodified</status>
      <modifiedWord/>
      <trackRevisions>false</trackRevisions>
    </reviewItem>
    <reviewItem>
      <errorID>edba2f87-75a1-4fc5-b494-b5f1396dcc22</errorID>
      <errorWord>:</errorWord>
      <group>L1_Format</group>
      <groupName>格式问题</groupName>
      <ability>L2_HalfPunc_CN</ability>
      <abilityName>全半角问题</abilityName>
      <candidateList>
        <item>：</item>
      </candidateList>
      <explain>文本全半角错误。</explain>
      <paraID>13B7C4E0</paraID>
      <start>11</start>
      <end>12</end>
      <status>unmodified</status>
      <modifiedWord/>
      <trackRevisions>false</trackRevisions>
    </reviewItem>
    <reviewItem>
      <errorID>cc031cf7-949b-4e32-96df-6fe26167e2b6</errorID>
      <errorWord>;</errorWord>
      <group>L1_Format</group>
      <groupName>格式问题</groupName>
      <ability>L2_HalfPunc_CN</ability>
      <abilityName>全半角问题</abilityName>
      <candidateList>
        <item>；</item>
      </candidateList>
      <explain>文本全半角错误。</explain>
      <paraID>13B7C4E0</paraID>
      <start>63</start>
      <end>64</end>
      <status>unmodified</status>
      <modifiedWord/>
      <trackRevisions>false</trackRevisions>
    </reviewItem>
    <reviewItem>
      <errorID>0c3f003e-f340-4db2-bcf3-1d860b96aa84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30E2A7E5</paraID>
      <start>0</start>
      <end>2</end>
      <status>unmodified</status>
      <modifiedWord/>
      <trackRevisions>false</trackRevisions>
    </reviewItem>
    <reviewItem>
      <errorID>69c3d85b-3fb0-41f4-a913-54f11a823b06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2B7357F0</paraID>
      <start>0</start>
      <end>2</end>
      <status>unmodified</status>
      <modifiedWord/>
      <trackRevisions>false</trackRevisions>
    </reviewItem>
    <reviewItem>
      <errorID>b54e3786-64c7-4e55-a196-496fffd29d4b</errorID>
      <errorWord>;</errorWord>
      <group>L1_Format</group>
      <groupName>格式问题</groupName>
      <ability>L2_HalfPunc_CN</ability>
      <abilityName>全半角问题</abilityName>
      <candidateList>
        <item>；</item>
      </candidateList>
      <explain>文本全半角错误。</explain>
      <paraID>399730B4</paraID>
      <start>46</start>
      <end>47</end>
      <status>unmodified</status>
      <modifiedWord/>
      <trackRevisions>false</trackRevisions>
    </reviewItem>
    <reviewItem>
      <errorID>bb0423d6-3767-4c93-91cf-ca156bea4edf</errorID>
      <errorWord>;</errorWord>
      <group>L1_Format</group>
      <groupName>格式问题</groupName>
      <ability>L2_HalfPunc_CN</ability>
      <abilityName>全半角问题</abilityName>
      <candidateList>
        <item>；</item>
      </candidateList>
      <explain>文本全半角错误。</explain>
      <paraID>399730B4</paraID>
      <start>64</start>
      <end>65</end>
      <status>unmodified</status>
      <modifiedWord/>
      <trackRevisions>false</trackRevisions>
    </reviewItem>
    <reviewItem>
      <errorID>8a1e1058-73e2-46ba-b238-f836e2ad63d9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77F689E3</paraID>
      <start>0</start>
      <end>2</end>
      <status>unmodified</status>
      <modifiedWord/>
      <trackRevisions>false</trackRevisions>
    </reviewItem>
    <reviewItem>
      <errorID>dd8b09b5-d980-42a9-840f-4dab14a227ec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1F8E7E16</paraID>
      <start>0</start>
      <end>2</end>
      <status>unmodified</status>
      <modifiedWord/>
      <trackRevisions>false</trackRevisions>
    </reviewItem>
    <reviewItem>
      <errorID>ab82013c-dab7-42e2-8ed8-d03839c04b6f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7401EEE9</paraID>
      <start>0</start>
      <end>2</end>
      <status>unmodified</status>
      <modifiedWord/>
      <trackRevisions>false</trackRevisions>
    </reviewItem>
    <reviewItem>
      <errorID>8227143e-ad43-4446-b992-1d1d7f44b2a2</errorID>
      <errorWord>:</errorWord>
      <group>L1_Format</group>
      <groupName>格式问题</groupName>
      <ability>L2_HalfPunc_CN</ability>
      <abilityName>全半角问题</abilityName>
      <candidateList>
        <item>：</item>
      </candidateList>
      <explain>文本全半角错误。</explain>
      <paraID>763593AF</paraID>
      <start>6</start>
      <end>7</end>
      <status>unmodified</status>
      <modifiedWord/>
      <trackRevisions>false</trackRevisions>
    </reviewItem>
    <reviewItem>
      <errorID>6239a295-24ac-4811-ab9d-0b266ff9c9f2</errorID>
      <errorWord>;</errorWord>
      <group>L1_Format</group>
      <groupName>格式问题</groupName>
      <ability>L2_HalfPunc_CN</ability>
      <abilityName>全半角问题</abilityName>
      <candidateList>
        <item>；</item>
      </candidateList>
      <explain>文本全半角错误。</explain>
      <paraID>763593AF</paraID>
      <start>67</start>
      <end>68</end>
      <status>unmodified</status>
      <modifiedWord/>
      <trackRevisions>false</trackRevisions>
    </reviewItem>
    <reviewItem>
      <errorID>f424a93f-8a3e-415f-a927-913a328f77af</errorID>
      <errorWord>其它</errorWord>
      <group>L1_Word</group>
      <groupName>字词问题</groupName>
      <ability>L2_Alias</ability>
      <abilityName>也作/曾用词</abilityName>
      <candidateList>
        <item>其他</item>
      </candidateList>
      <explain>词汇[其它]为不规范表述或旧称，其规范书面表述为[其他]。</explain>
      <paraID>42B5C932</paraID>
      <start>116</start>
      <end>118</end>
      <status>unmodified</status>
      <modifiedWord/>
      <trackRevisions>false</trackRevisions>
    </reviewItem>
    <reviewItem>
      <errorID>a107e644-7618-4df5-87a8-4abb1d3787ea</errorID>
      <errorWord>(</errorWord>
      <group>L1_Format</group>
      <groupName>格式问题</groupName>
      <ability>L2_HalfPunc_CN</ability>
      <abilityName>全半角问题</abilityName>
      <candidateList>
        <item>（</item>
      </candidateList>
      <explain>文本全半角错误。</explain>
      <paraID>62041867</paraID>
      <start>115</start>
      <end>116</end>
      <status>unmodified</status>
      <modifiedWord/>
      <trackRevisions>false</trackRevisions>
    </reviewItem>
    <reviewItem>
      <errorID>16baa2ba-911d-4454-abe5-1624917bdfa7</errorID>
      <errorWord>);</errorWord>
      <group>L1_Format</group>
      <groupName>格式问题</groupName>
      <ability>L2_HalfPunc_CN</ability>
      <abilityName>全半角问题</abilityName>
      <candidateList>
        <item>）；</item>
      </candidateList>
      <explain>文本全半角错误。</explain>
      <paraID>62041867</paraID>
      <start>129</start>
      <end>131</end>
      <status>unmodified</status>
      <modifiedWord/>
      <trackRevisions>false</trackRevisions>
    </reviewItem>
    <reviewItem>
      <errorID>f674f6fc-7e0f-45eb-8417-fbb3ae04ab44</errorID>
      <errorWord>统一信用代码</errorWord>
      <group>L1_Word</group>
      <groupName>字词问题</groupName>
      <ability>L2_Typo</ability>
      <abilityName>字词错误</abilityName>
      <candidateList>
        <item>统一社会信用代码</item>
      </candidateList>
      <explain/>
      <paraID>1BB7A1F5</paraID>
      <start>0</start>
      <end>6</end>
      <status>unmodified</status>
      <modifiedWord/>
      <trackRevisions>false</trackRevisions>
    </reviewItem>
    <reviewItem>
      <errorID>61853054-e980-4a13-a3bd-e4fc613114b3</errorID>
      <errorWord>统一信用代码</errorWord>
      <group>L1_Word</group>
      <groupName>字词问题</groupName>
      <ability>L2_Typo</ability>
      <abilityName>字词错误</abilityName>
      <candidateList>
        <item>统一社会信用代码</item>
      </candidateList>
      <explain/>
      <paraID>7C139A7F</paraID>
      <start>0</start>
      <end>6</end>
      <status>unmodified</status>
      <modifiedWord/>
      <trackRevisions>false</trackRevisions>
    </reviewItem>
    <reviewItem>
      <errorID>6f79092b-703d-4f64-af04-282d9fb862a3</errorID>
      <errorWord>:</errorWord>
      <group>L1_Format</group>
      <groupName>格式问题</groupName>
      <ability>L2_HalfPunc_CN</ability>
      <abilityName>全半角问题</abilityName>
      <candidateList>
        <item>：</item>
      </candidateList>
      <explain>文本全半角错误。</explain>
      <paraID> 27C0CF3</paraID>
      <start>7</start>
      <end>8</end>
      <status>unmodified</status>
      <modifiedWord/>
      <trackRevisions>false</trackRevisions>
    </reviewItem>
    <reviewItem>
      <errorID>e93ad1fc-e71c-42d0-bbb8-dacedb5b8cb6</errorID>
      <errorWord>:</errorWord>
      <group>L1_Format</group>
      <groupName>格式问题</groupName>
      <ability>L2_HalfPunc_CN</ability>
      <abilityName>全半角问题</abilityName>
      <candidateList>
        <item>：</item>
      </candidateList>
      <explain>文本全半角错误。</explain>
      <paraID> 1CFEE11</paraID>
      <start>7</start>
      <end>8</end>
      <status>unmodified</status>
      <modifiedWord/>
      <trackRevisions>false</trackRevisions>
    </reviewItem>
    <reviewItem>
      <errorID>4d8c739f-81e8-4eb5-bd73-556d6b6ffead</errorID>
      <errorWord>,</errorWord>
      <group>L1_Format</group>
      <groupName>格式问题</groupName>
      <ability>L2_HalfPunc_CN</ability>
      <abilityName>全半角问题</abilityName>
      <candidateList>
        <item>，</item>
      </candidateList>
      <explain>文本全半角错误。</explain>
      <paraID> D151CCE</paraID>
      <start>49</start>
      <end>50</end>
      <status>unmodified</status>
      <modifiedWord/>
      <trackRevisions>false</trackRevisions>
    </reviewItem>
    <reviewItem>
      <errorID>3accf4f4-84f5-4072-8364-f3b600a0a1fa</errorID>
      <errorWord>全</errorWord>
      <group>L1_Word</group>
      <groupName>字词问题</groupName>
      <ability>L2_Typo</ability>
      <abilityName>字词错误</abilityName>
      <candidateList>
        <item>全过</item>
      </candidateList>
      <explain/>
      <paraID> 6CD627F</paraID>
      <start>23</start>
      <end>24</end>
      <status>unmodified</status>
      <modifiedWord/>
      <trackRevisions>false</trackRevisions>
    </reviewItem>
    <reviewItem>
      <errorID>c52fab9c-025b-4d9b-94c2-281a31a004f5</errorID>
      <errorWord>、</errorWord>
      <group>L1_Word</group>
      <groupName>字词问题</groupName>
      <ability>L2_Typo</ability>
      <abilityName>字词错误</abilityName>
      <candidateList>
        <item>、以</item>
      </candidateList>
      <explain/>
      <paraID>5E60027B</paraID>
      <start>221</start>
      <end>222</end>
      <status>unmodified</status>
      <modifiedWord/>
      <trackRevisions>false</trackRevisions>
    </reviewItem>
    <reviewItem>
      <errorID>c215ed15-e3cb-44e1-87ae-c4b3d49b087d</errorID>
      <errorWord>)</errorWord>
      <group>L1_Format</group>
      <groupName>格式问题</groupName>
      <ability>L2_HalfPunc_CN</ability>
      <abilityName>全半角问题</abilityName>
      <candidateList>
        <item>）</item>
      </candidateList>
      <explain>文本全半角错误。</explain>
      <paraID>442C360D</paraID>
      <start>3</start>
      <end>4</end>
      <status>unmodified</status>
      <modifiedWord/>
      <trackRevisions>false</trackRevisions>
    </reviewItem>
    <reviewItem>
      <errorID>d11034db-7c59-4602-bdc0-0e9877c303e6</errorID>
      <errorWord>:</errorWord>
      <group>L1_Format</group>
      <groupName>格式问题</groupName>
      <ability>L2_HalfPunc_CN</ability>
      <abilityName>全半角问题</abilityName>
      <candidateList>
        <item>：</item>
      </candidateList>
      <explain>文本全半角错误。</explain>
      <paraID> 6C2242E</paraID>
      <start>2</start>
      <end>3</end>
      <status>unmodified</status>
      <modifiedWord/>
      <trackRevisions>false</trackRevisions>
    </reviewItem>
    <reviewItem>
      <errorID>dd84a994-71f5-4085-a9d5-2632a7d97b38</errorID>
      <errorWord>务工费</errorWord>
      <group>L1_Word</group>
      <groupName>字词问题</groupName>
      <ability>L2_Typo</ability>
      <abilityName>字词错误</abilityName>
      <candidateList>
        <item>误工费</item>
      </candidateList>
      <explain>存在发音相同字词的误用。</explain>
      <paraID>777E1F70</paraID>
      <start>7</start>
      <end>10</end>
      <status>unmodified</status>
      <modifiedWord/>
      <trackRevisions>false</trackRevisions>
    </reviewItem>
    <reviewItem>
      <errorID>fe04c222-c6b1-444e-a8c9-e0be6a17a5f6</errorID>
      <errorWord>)</errorWord>
      <group>L1_Format</group>
      <groupName>格式问题</groupName>
      <ability>L2_HalfPunc_CN</ability>
      <abilityName>全半角问题</abilityName>
      <candidateList>
        <item>）</item>
      </candidateList>
      <explain>文本全半角错误。</explain>
      <paraID>38937708</paraID>
      <start>16</start>
      <end>17</end>
      <status>unmodified</status>
      <modifiedWord/>
      <trackRevisions>false</trackRevisions>
    </reviewItem>
    <reviewItem>
      <errorID>8607a49e-d11b-4777-922d-318007e8b995</errorID>
      <errorWord>(</errorWord>
      <group>L1_Format</group>
      <groupName>格式问题</groupName>
      <ability>L2_HalfPunc_CN</ability>
      <abilityName>全半角问题</abilityName>
      <candidateList>
        <item>（</item>
      </candidateList>
      <explain>文本全半角错误。</explain>
      <paraID> B54070C</paraID>
      <start>28</start>
      <end>29</end>
      <status>unmodified</status>
      <modifiedWord/>
      <trackRevisions>false</trackRevisions>
    </reviewItem>
    <reviewItem>
      <errorID>83063674-6e03-4f44-a3d2-7876a64712a5</errorID>
      <errorWord>)</errorWord>
      <group>L1_Format</group>
      <groupName>格式问题</groupName>
      <ability>L2_HalfPunc_CN</ability>
      <abilityName>全半角问题</abilityName>
      <candidateList>
        <item>）</item>
      </candidateList>
      <explain>文本全半角错误。</explain>
      <paraID> B54070C</paraID>
      <start>38</start>
      <end>39</end>
      <status>unmodified</status>
      <modifiedWord/>
      <trackRevisions>false</trackRevisions>
    </reviewItem>
    <reviewItem>
      <errorID>470466eb-7ec9-4977-b0f4-824f791a8194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42ADFF0F</paraID>
      <start>0</start>
      <end>2</end>
      <status>unmodified</status>
      <modifiedWord/>
      <trackRevisions>false</trackRevisions>
    </reviewItem>
    <reviewItem>
      <errorID>077a7a52-e2a3-4fd0-a1a6-5b1112e07446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364EFDFB</paraID>
      <start>4</start>
      <end>6</end>
      <status>unmodified</status>
      <modifiedWord/>
      <trackRevisions>false</trackRevisions>
    </reviewItem>
    <reviewItem>
      <errorID>2d6cbf22-86a2-4ff8-8237-4e3afe2bdb42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5B98162A</paraID>
      <start>0</start>
      <end>2</end>
      <status>unmodified</status>
      <modifiedWord/>
      <trackRevisions>false</trackRevisions>
    </reviewItem>
    <reviewItem>
      <errorID>16a4eaef-9561-4b31-8e85-9ba2c1f3a3b5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4962ADE5</paraID>
      <start>0</start>
      <end>2</end>
      <status>unmodified</status>
      <modifiedWord/>
      <trackRevisions>false</trackRevisions>
    </reviewItem>
    <reviewItem>
      <errorID>2b8f9920-1302-4bf3-995d-b1de74909e8b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7914B093</paraID>
      <start>0</start>
      <end>2</end>
      <status>unmodified</status>
      <modifiedWord/>
      <trackRevisions>false</trackRevisions>
    </reviewItem>
    <reviewItem>
      <errorID>31119d1e-2eda-469d-ae1a-874f3f3e5058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6CAB3313</paraID>
      <start>0</start>
      <end>2</end>
      <status>unmodified</status>
      <modifiedWord/>
      <trackRevisions>false</trackRevisions>
    </reviewItem>
    <reviewItem>
      <errorID>2044eeff-154c-4e0a-b6ae-27017fda3a97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F5FB167</paraID>
      <start>0</start>
      <end>2</end>
      <status>unmodified</status>
      <modifiedWord/>
      <trackRevisions>false</trackRevisions>
    </reviewItem>
    <reviewItem>
      <errorID>9e6b15ef-dbed-43a8-9be6-ac1648922899</errorID>
      <errorWord>,</errorWord>
      <group>L1_Format</group>
      <groupName>格式问题</groupName>
      <ability>L2_HalfPunc_CN</ability>
      <abilityName>全半角问题</abilityName>
      <candidateList>
        <item>，</item>
      </candidateList>
      <explain>文本全半角错误。</explain>
      <paraID> F5FB167</paraID>
      <start>9</start>
      <end>10</end>
      <status>unmodified</status>
      <modifiedWord/>
      <trackRevisions>false</trackRevisions>
    </reviewItem>
    <reviewItem>
      <errorID>e8f56ba0-1269-4c19-9deb-7c0dd2f5fd6f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41B8BCCD</paraID>
      <start>0</start>
      <end>2</end>
      <status>unmodified</status>
      <modifiedWord/>
      <trackRevisions>false</trackRevisions>
    </reviewItem>
    <reviewItem>
      <errorID>e09f89ef-cb7d-46fa-a4b0-b3b0b4f5d912</errorID>
      <errorWord>)</errorWord>
      <group>L1_Format</group>
      <groupName>格式问题</groupName>
      <ability>L2_HalfPunc_CN</ability>
      <abilityName>全半角问题</abilityName>
      <candidateList>
        <item>）</item>
      </candidateList>
      <explain>文本全半角错误。</explain>
      <paraID>7C53B7F8</paraID>
      <start>37</start>
      <end>38</end>
      <status>unmodified</status>
      <modifiedWord/>
      <trackRevisions>false</trackRevisions>
    </reviewItem>
    <reviewItem>
      <errorID>d6d71d69-9559-4f34-ac59-c8450e184218</errorID>
      <errorWord>送</errorWord>
      <group>L1_Word</group>
      <groupName>字词问题</groupName>
      <ability>L2_Typo</ability>
      <abilityName>字词错误</abilityName>
      <candidateList>
        <item>送至</item>
      </candidateList>
      <explain/>
      <paraID>14A8C916</paraID>
      <start>25</start>
      <end>26</end>
      <status>unmodified</status>
      <modifiedWord/>
      <trackRevisions>false</trackRevisions>
    </reviewItem>
    <reviewItem>
      <errorID>351be53b-604a-4748-9aa6-9b672da159f4</errorID>
      <errorWord>曝晒</errorWord>
      <group>L1_Word</group>
      <groupName>字词问题</groupName>
      <ability>L2_Typo</ability>
      <abilityName>字词错误</abilityName>
      <candidateList>
        <item>暴晒</item>
      </candidateList>
      <explain/>
      <paraID>60F4784C</paraID>
      <start>126</start>
      <end>128</end>
      <status>modified</status>
      <modifiedWord>暴晒</modifiedWord>
      <trackRevisions>false</trackRevisions>
    </reviewItem>
    <reviewItem>
      <errorID>99d96d2a-466a-47e3-8fbf-f9cc0a181e6a</errorID>
      <errorWord>其它</errorWord>
      <group>L1_Word</group>
      <groupName>字词问题</groupName>
      <ability>L2_Alias</ability>
      <abilityName>也作/曾用词</abilityName>
      <candidateList>
        <item>其他</item>
      </candidateList>
      <explain>词汇[其它]为不规范表述或旧称，其规范书面表述为[其他]。</explain>
      <paraID>1BC8A4B3</paraID>
      <start>117</start>
      <end>119</end>
      <status>unmodified</status>
      <modifiedWord/>
      <trackRevisions>false</trackRevisions>
    </reviewItem>
    <reviewItem>
      <errorID>1455c2ce-dce2-45e7-8ff6-0beeafb61bff</errorID>
      <errorWord>，</errorWord>
      <group>L1_Word</group>
      <groupName>字词问题</groupName>
      <ability>L2_Typo</ability>
      <abilityName>字词错误</abilityName>
      <candidateList>
        <item>，并</item>
      </candidateList>
      <explain/>
      <paraID>2949BF0F</paraID>
      <start>40</start>
      <end>41</end>
      <status>unmodified</status>
      <modifiedWord/>
      <trackRevisions>false</trackRevisions>
    </reviewItem>
    <reviewItem>
      <errorID>f40ad8a6-03b5-451f-8427-c49ad1fa75e8</errorID>
      <errorWord>..</errorWord>
      <group>L1_Punc</group>
      <groupName>标点问题</groupName>
      <ability>L2_Punc_CN</ability>
      <abilityName>标点符号问题</abilityName>
      <candidateList>
        <item>.</item>
      </candidateList>
      <explain/>
      <paraID>1CF82C84</paraID>
      <start>1</start>
      <end>3</end>
      <status>unmodified</status>
      <modifiedWord/>
      <trackRevisions>false</trackRevisions>
    </reviewItem>
    <reviewItem>
      <errorID>e2a6aeea-71ec-49bb-88a6-2dd6af7af117</errorID>
      <errorWord>..</errorWord>
      <group>L1_Punc</group>
      <groupName>标点问题</groupName>
      <ability>L2_Punc_CN</ability>
      <abilityName>标点符号问题</abilityName>
      <candidateList>
        <item>.</item>
      </candidateList>
      <explain/>
      <paraID>7E71243B</paraID>
      <start>1</start>
      <end>3</end>
      <status>unmodified</status>
      <modifiedWord/>
      <trackRevisions>false</trackRevisions>
    </reviewItem>
    <reviewItem>
      <errorID>966b047b-36a5-4dba-b3aa-51b1677b7578</errorID>
      <errorWord>..</errorWord>
      <group>L1_Punc</group>
      <groupName>标点问题</groupName>
      <ability>L2_Punc_CN</ability>
      <abilityName>标点符号问题</abilityName>
      <candidateList>
        <item>.</item>
      </candidateList>
      <explain/>
      <paraID>6FE91823</paraID>
      <start>1</start>
      <end>3</end>
      <status>unmodified</status>
      <modifiedWord/>
      <trackRevisions>false</trackRevisions>
    </reviewItem>
    <reviewItem>
      <errorID>63763cea-c342-4de3-aefb-876624f0643d</errorID>
      <errorWord>(</errorWord>
      <group>L1_Format</group>
      <groupName>格式问题</groupName>
      <ability>L2_HalfPunc_CN</ability>
      <abilityName>全半角问题</abilityName>
      <candidateList>
        <item>（</item>
      </candidateList>
      <explain>文本全半角错误。</explain>
      <paraID>374051BF</paraID>
      <start>6</start>
      <end>7</end>
      <status>unmodified</status>
      <modifiedWord/>
      <trackRevisions>false</trackRevisions>
    </reviewItem>
    <reviewItem>
      <errorID>41a0f623-93e7-4a32-b4f5-ccf763b25387</errorID>
      <errorWord>)</errorWord>
      <group>L1_Format</group>
      <groupName>格式问题</groupName>
      <ability>L2_HalfPunc_CN</ability>
      <abilityName>全半角问题</abilityName>
      <candidateList>
        <item>）</item>
      </candidateList>
      <explain>文本全半角错误。</explain>
      <paraID>374051BF</paraID>
      <start>11</start>
      <end>12</end>
      <status>unmodified</status>
      <modifiedWord/>
      <trackRevisions>false</trackRevisions>
    </reviewItem>
    <reviewItem>
      <errorID>3652ec42-15f9-4559-a51b-7b188914b42a</errorID>
      <errorWord>(</errorWord>
      <group>L1_Format</group>
      <groupName>格式问题</groupName>
      <ability>L2_HalfPunc_CN</ability>
      <abilityName>全半角问题</abilityName>
      <candidateList>
        <item>（</item>
      </candidateList>
      <explain>文本全半角错误。</explain>
      <paraID>3D7D3462</paraID>
      <start>12</start>
      <end>13</end>
      <status>unmodified</status>
      <modifiedWord/>
      <trackRevisions>false</trackRevisions>
    </reviewItem>
    <reviewItem>
      <errorID>d05af400-a8ba-4937-b696-a9204bfbf4bc</errorID>
      <errorWord>)</errorWord>
      <group>L1_Format</group>
      <groupName>格式问题</groupName>
      <ability>L2_HalfPunc_CN</ability>
      <abilityName>全半角问题</abilityName>
      <candidateList>
        <item>）</item>
      </candidateList>
      <explain>文本全半角错误。</explain>
      <paraID>3D7D3462</paraID>
      <start>17</start>
      <end>18</end>
      <status>unmodified</status>
      <modifiedWord/>
      <trackRevisions>false</trackRevisions>
    </reviewItem>
    <reviewItem>
      <errorID>b4d5f2f4-ad23-47af-b645-5bae149b20fa</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4023467B</paraID>
      <start>0</start>
      <end>2</end>
      <status>unmodified</status>
      <modifiedWord/>
      <trackRevisions>false</trackRevisions>
    </reviewItem>
    <reviewItem>
      <errorID>20e95776-e73e-4ed9-ab3d-661116a3e014</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53ED41DC</paraID>
      <start>0</start>
      <end>2</end>
      <status>unmodified</status>
      <modifiedWord/>
      <trackRevisions>false</trackRevisions>
    </reviewItem>
    <reviewItem>
      <errorID>399cc453-5b54-4549-bf33-16525be3abf9</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11F41B15</paraID>
      <start>0</start>
      <end>2</end>
      <status>unmodified</status>
      <modifiedWord/>
      <trackRevisions>false</trackRevisions>
    </reviewItem>
    <reviewItem>
      <errorID>32b11db2-0e7a-4682-bf7e-bc88ac8feb28</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D2B1870</paraID>
      <start>0</start>
      <end>2</end>
      <status>unmodified</status>
      <modifiedWord/>
      <trackRevisions>false</trackRevisions>
    </reviewItem>
    <reviewItem>
      <errorID>62762994-57d8-46bc-b80d-cf963e377f98</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795849EA</paraID>
      <start>0</start>
      <end>2</end>
      <status>unmodified</status>
      <modifiedWord/>
      <trackRevisions>false</trackRevisions>
    </reviewItem>
    <reviewItem>
      <errorID>69563a99-62f5-4081-98f8-af963af72103</errorID>
      <errorWord>⑥、</errorWord>
      <group>L1_Format</group>
      <groupName>格式问题</groupName>
      <ability>L2_Ordinal</ability>
      <abilityName>序号格式</abilityName>
      <candidateList>
        <item>⑥</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53E03DAC</paraID>
      <start>0</start>
      <end>2</end>
      <status>unmodified</status>
      <modifiedWord/>
      <trackRevisions>false</trackRevisions>
    </reviewItem>
    <reviewItem>
      <errorID>9a666907-a9db-4346-b29f-1b746cb1c5fc</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66B3379B</paraID>
      <start>0</start>
      <end>2</end>
      <status>unmodified</status>
      <modifiedWord/>
      <trackRevisions>false</trackRevisions>
    </reviewItem>
    <reviewItem>
      <errorID>ea663ce3-cdd4-4352-b188-38e2e4c96d9a</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3A3D332F</paraID>
      <start>0</start>
      <end>2</end>
      <status>unmodified</status>
      <modifiedWord/>
      <trackRevisions>false</trackRevisions>
    </reviewItem>
    <reviewItem>
      <errorID>fd010bf9-d368-4a43-9e6c-ddc9ddeb9a0e</errorID>
      <errorWord>(</errorWord>
      <group>L1_Format</group>
      <groupName>格式问题</groupName>
      <ability>L2_HalfPunc_CN</ability>
      <abilityName>全半角问题</abilityName>
      <candidateList>
        <item>（</item>
      </candidateList>
      <explain>文本全半角错误。</explain>
      <paraID>123BE0CD</paraID>
      <start>20</start>
      <end>21</end>
      <status>unmodified</status>
      <modifiedWord/>
      <trackRevisions>false</trackRevisions>
    </reviewItem>
    <reviewItem>
      <errorID>b57df325-38d1-4343-a294-c6548105fbed</errorID>
      <errorWord>)</errorWord>
      <group>L1_Format</group>
      <groupName>格式问题</groupName>
      <ability>L2_HalfPunc_CN</ability>
      <abilityName>全半角问题</abilityName>
      <candidateList>
        <item>）</item>
      </candidateList>
      <explain>文本全半角错误。</explain>
      <paraID>123BE0CD</paraID>
      <start>39</start>
      <end>40</end>
      <status>unmodified</status>
      <modifiedWord/>
      <trackRevisions>false</trackRevisions>
    </reviewItem>
    <reviewItem>
      <errorID>c0131e5c-8c7c-430f-90f1-bfbde46f695c</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5EB2FAC5</paraID>
      <start>11</start>
      <end>14</end>
      <status>unmodified</status>
      <modifiedWord/>
      <trackRevisions>false</trackRevisions>
    </reviewItem>
    <reviewItem>
      <errorID>fc514ecf-46e6-4a87-8e26-1f7fb9c20544</errorID>
      <errorWord>社会保险法</errorWord>
      <group>L1_Knowledge</group>
      <groupName>知识性问题</groupName>
      <ability>L2_Knowledge</ability>
      <abilityName>其他知识</abilityName>
      <candidateList>
        <item>中华人民共和国社会保险法</item>
      </candidateList>
      <explain>当前法律法规名称使用简称，请注意是否应当使用全称。</explain>
      <paraID>5EB2FAC5</paraID>
      <start>25</start>
      <end>30</end>
      <status>unmodified</status>
      <modifiedWord/>
      <trackRevisions>false</trackRevisions>
    </reviewItem>
    <reviewItem>
      <errorID>26070c30-fa41-43d8-8c31-ba3946e424c2</errorID>
      <errorWord>法律、法规</errorWord>
      <group>L1_Word</group>
      <groupName>字词问题</groupName>
      <ability>L2_Typo</ability>
      <abilityName>字词错误</abilityName>
      <candidateList>
        <item>法律法规</item>
      </candidateList>
      <explain/>
      <paraID>5EB2FAC5</paraID>
      <start>39</start>
      <end>44</end>
      <status>unmodified</status>
      <modifiedWord/>
      <trackRevisions>false</trackRevisions>
    </reviewItem>
    <reviewItem>
      <errorID>fb3e45e2-5bbc-4d48-9952-63ea00849f8a</errorID>
      <errorWord>(</errorWord>
      <group>L1_Format</group>
      <groupName>格式问题</groupName>
      <ability>L2_HalfPunc_CN</ability>
      <abilityName>全半角问题</abilityName>
      <candidateList>
        <item>（</item>
      </candidateList>
      <explain>文本全半角错误。</explain>
      <paraID>70BC2122</paraID>
      <start>20</start>
      <end>21</end>
      <status>unmodified</status>
      <modifiedWord/>
      <trackRevisions>false</trackRevisions>
    </reviewItem>
    <reviewItem>
      <errorID>3f68be9a-3e09-488f-b0a6-d99224610e54</errorID>
      <errorWord>)</errorWord>
      <group>L1_Format</group>
      <groupName>格式问题</groupName>
      <ability>L2_HalfPunc_CN</ability>
      <abilityName>全半角问题</abilityName>
      <candidateList>
        <item>）</item>
      </candidateList>
      <explain>文本全半角错误。</explain>
      <paraID>70BC2122</paraID>
      <start>39</start>
      <end>40</end>
      <status>unmodified</status>
      <modifiedWord/>
      <trackRevisions>false</trackRevisions>
    </reviewItem>
    <reviewItem>
      <errorID>6d16c2a8-b154-41af-8bd9-bf01da15e9a4</errorID>
      <errorWord>中华人民共和国税收征收管理办法</errorWord>
      <group>L1_Knowledge</group>
      <groupName>知识性问题</groupName>
      <ability>L2_Knowledge</ability>
      <abilityName>其他知识</abilityName>
      <candidateList>
        <item>中华人民共和国税收征收管理法</item>
      </candidateList>
      <explain>当前法律法规未收录或尚未生效，注意核查是否正确。</explain>
      <paraID>78DEFF7C</paraID>
      <start>3</start>
      <end>18</end>
      <status>unmodified</status>
      <modifiedWord/>
      <trackRevisions>false</trackRevisions>
    </reviewItem>
    <reviewItem>
      <errorID>636fbd0a-590b-4415-b68d-d1a23c34ad98</errorID>
      <errorWord>第25条</errorWord>
      <group>L1_Knowledge</group>
      <groupName>知识性问题</groupName>
      <ability>L2_Knowledge</ability>
      <abilityName>其他知识</abilityName>
      <candidateList>
        <item>第二十五条</item>
      </candidateList>
      <explain>法律条目书写应使用汉字数字，不使用阿拉伯数字。</explain>
      <paraID>78DEFF7C</paraID>
      <start>19</start>
      <end>23</end>
      <status>unmodified</status>
      <modifiedWord/>
      <trackRevisions>false</trackRevisions>
    </reviewItem>
    <reviewItem>
      <errorID>1c8e9553-f348-4411-8358-1d8f9bc380cb</errorID>
      <errorWord>(</errorWord>
      <group>L1_Format</group>
      <groupName>格式问题</groupName>
      <ability>L2_HalfPunc_CN</ability>
      <abilityName>全半角问题</abilityName>
      <candidateList>
        <item>（</item>
      </candidateList>
      <explain>文本全半角错误。</explain>
      <paraID>78DEFF7C</paraID>
      <start>34</start>
      <end>35</end>
      <status>unmodified</status>
      <modifiedWord/>
      <trackRevisions>false</trackRevisions>
    </reviewItem>
    <reviewItem>
      <errorID>ae1dd03a-79e9-4c85-8b9a-1a4cf681a92e</errorID>
      <errorWord>)</errorWord>
      <group>L1_Format</group>
      <groupName>格式问题</groupName>
      <ability>L2_HalfPunc_CN</ability>
      <abilityName>全半角问题</abilityName>
      <candidateList>
        <item>）</item>
      </candidateList>
      <explain>文本全半角错误。</explain>
      <paraID>78DEFF7C</paraID>
      <start>37</start>
      <end>38</end>
      <status>unmodified</status>
      <modifiedWord/>
      <trackRevisions>false</trackRevisions>
    </reviewItem>
    <reviewItem>
      <errorID>4b175a1c-9e95-4690-a04a-0a7729118784</errorID>
      <errorWord>限</errorWord>
      <group>L1_Word</group>
      <groupName>字词问题</groupName>
      <ability>L2_Typo</ability>
      <abilityName>字词错误</abilityName>
      <candidateList>
        <item>限于</item>
      </candidateList>
      <explain/>
      <paraID>78DEFF7C</paraID>
      <start>56</start>
      <end>57</end>
      <status>unmodified</status>
      <modifiedWord/>
      <trackRevisions>false</trackRevisions>
    </reviewItem>
    <reviewItem>
      <errorID>9bf74a0d-bdc9-41e3-9d90-741283c43145</errorID>
      <errorWord>,</errorWord>
      <group>L1_Format</group>
      <groupName>格式问题</groupName>
      <ability>L2_HalfPunc_CN</ability>
      <abilityName>全半角问题</abilityName>
      <candidateList>
        <item>，</item>
      </candidateList>
      <explain>文本全半角错误。</explain>
      <paraID>78DEFF7C</paraID>
      <start>68</start>
      <end>69</end>
      <status>unmodified</status>
      <modifiedWord/>
      <trackRevisions>false</trackRevisions>
    </reviewItem>
    <reviewItem>
      <errorID>c42e8207-04d8-43dc-8e59-e907a779f482</errorID>
      <errorWord>农业部</errorWord>
      <group>L1_Knowledge</group>
      <groupName>知识性问题</groupName>
      <ability>L2_Knowledge</ability>
      <abilityName>其他知识</abilityName>
      <candidateList>
        <item>农业农村部</item>
      </candidateList>
      <explain/>
      <paraID>327CD399</paraID>
      <start>33</start>
      <end>36</end>
      <status>unmodified</status>
      <modifiedWord/>
      <trackRevisions>false</trackRevisions>
    </reviewItem>
    <reviewItem>
      <errorID>12ae9428-1662-4997-9b8b-d72d0ad08f25</errorID>
      <errorWord>农业部</errorWord>
      <group>L1_Knowledge</group>
      <groupName>知识性问题</groupName>
      <ability>L2_Knowledge</ability>
      <abilityName>其他知识</abilityName>
      <candidateList>
        <item>农业农村部</item>
      </candidateList>
      <explain/>
      <paraID>327CD399</paraID>
      <start>54</start>
      <end>57</end>
      <status>unmodified</status>
      <modifiedWord/>
      <trackRevisions>false</trackRevisions>
    </reviewItem>
    <reviewItem>
      <errorID>069fbbdc-edf5-41a0-bc7f-7c4163a0548f</errorID>
      <errorWord>农业部</errorWord>
      <group>L1_Knowledge</group>
      <groupName>知识性问题</groupName>
      <ability>L2_Knowledge</ability>
      <abilityName>其他知识</abilityName>
      <candidateList>
        <item>农业农村部</item>
      </candidateList>
      <explain/>
      <paraID>327CD399</paraID>
      <start>89</start>
      <end>92</end>
      <status>unmodified</status>
      <modifiedWord/>
      <trackRevisions>false</trackRevisions>
    </reviewItem>
    <reviewItem>
      <errorID>3e0e9a84-7d00-4231-979c-32676010ab05</errorID>
      <errorWord>)</errorWord>
      <group>L1_Format</group>
      <groupName>格式问题</groupName>
      <ability>L2_HalfPunc_CN</ability>
      <abilityName>全半角问题</abilityName>
      <candidateList>
        <item>）</item>
      </candidateList>
      <explain>文本全半角错误。</explain>
      <paraID>5053D9CB</paraID>
      <start>64</start>
      <end>65</end>
      <status>unmodified</status>
      <modifiedWord/>
      <trackRevisions>false</trackRevisions>
    </reviewItem>
    <reviewItem>
      <errorID>d5096206-e7a2-4680-aaf6-2c805b8d4310</errorID>
      <errorWord>(</errorWord>
      <group>L1_Format</group>
      <groupName>格式问题</groupName>
      <ability>L2_HalfPunc_CN</ability>
      <abilityName>全半角问题</abilityName>
      <candidateList>
        <item>（</item>
      </candidateList>
      <explain>文本全半角错误。</explain>
      <paraID>5053D9CB</paraID>
      <start>77</start>
      <end>78</end>
      <status>unmodified</status>
      <modifiedWord/>
      <trackRevisions>false</trackRevisions>
    </reviewItem>
    <reviewItem>
      <errorID>7b49438b-9a22-452a-ae95-d30ff75f62c8</errorID>
      <errorWord>)</errorWord>
      <group>L1_Format</group>
      <groupName>格式问题</groupName>
      <ability>L2_HalfPunc_CN</ability>
      <abilityName>全半角问题</abilityName>
      <candidateList>
        <item>）</item>
      </candidateList>
      <explain>文本全半角错误。</explain>
      <paraID>5053D9CB</paraID>
      <start>93</start>
      <end>94</end>
      <status>unmodified</status>
      <modifiedWord/>
      <trackRevisions>false</trackRevisions>
    </reviewItem>
    <reviewItem>
      <errorID>f8c2b46a-edfb-4d21-93da-e2eab2a77b30</errorID>
      <errorWord>(</errorWord>
      <group>L1_Format</group>
      <groupName>格式问题</groupName>
      <ability>L2_HalfPunc_CN</ability>
      <abilityName>全半角问题</abilityName>
      <candidateList>
        <item>（</item>
      </candidateList>
      <explain>文本全半角错误。</explain>
      <paraID>45EA4821</paraID>
      <start>58</start>
      <end>59</end>
      <status>unmodified</status>
      <modifiedWord/>
      <trackRevisions>false</trackRevisions>
    </reviewItem>
    <reviewItem>
      <errorID>52e92206-e542-419e-842f-967e89ba378c</errorID>
      <errorWord>)</errorWord>
      <group>L1_Format</group>
      <groupName>格式问题</groupName>
      <ability>L2_HalfPunc_CN</ability>
      <abilityName>全半角问题</abilityName>
      <candidateList>
        <item>）</item>
      </candidateList>
      <explain>文本全半角错误。</explain>
      <paraID>45EA4821</paraID>
      <start>64</start>
      <end>65</end>
      <status>unmodified</status>
      <modifiedWord/>
      <trackRevisions>false</trackRevisions>
    </reviewItem>
    <reviewItem>
      <errorID>4c53b9b8-0603-4f01-a4b8-a1a159667f1f</errorID>
      <errorWord>(</errorWord>
      <group>L1_Format</group>
      <groupName>格式问题</groupName>
      <ability>L2_HalfPunc_CN</ability>
      <abilityName>全半角问题</abilityName>
      <candidateList>
        <item>（</item>
      </candidateList>
      <explain>文本全半角错误。</explain>
      <paraID>584835CE</paraID>
      <start>6</start>
      <end>7</end>
      <status>unmodified</status>
      <modifiedWord/>
      <trackRevisions>false</trackRevisions>
    </reviewItem>
    <reviewItem>
      <errorID>d40b594e-e430-4763-8973-ed5640b3a247</errorID>
      <errorWord>)</errorWord>
      <group>L1_Format</group>
      <groupName>格式问题</groupName>
      <ability>L2_HalfPunc_CN</ability>
      <abilityName>全半角问题</abilityName>
      <candidateList>
        <item>）</item>
      </candidateList>
      <explain>文本全半角错误。</explain>
      <paraID>584835CE</paraID>
      <start>11</start>
      <end>12</end>
      <status>unmodified</status>
      <modifiedWord/>
      <trackRevisions>false</trackRevisions>
    </reviewItem>
    <reviewItem>
      <errorID>da1b7295-7f5d-4529-a619-c9ec7bbe8b5c</errorID>
      <errorWord>(</errorWord>
      <group>L1_Format</group>
      <groupName>格式问题</groupName>
      <ability>L2_HalfPunc_CN</ability>
      <abilityName>全半角问题</abilityName>
      <candidateList>
        <item>（</item>
      </candidateList>
      <explain>文本全半角错误。</explain>
      <paraID>60966717</paraID>
      <start>12</start>
      <end>13</end>
      <status>unmodified</status>
      <modifiedWord/>
      <trackRevisions>false</trackRevisions>
    </reviewItem>
    <reviewItem>
      <errorID>178e6652-010f-4f7d-bf4c-0c6a591b39b2</errorID>
      <errorWord>)</errorWord>
      <group>L1_Format</group>
      <groupName>格式问题</groupName>
      <ability>L2_HalfPunc_CN</ability>
      <abilityName>全半角问题</abilityName>
      <candidateList>
        <item>）</item>
      </candidateList>
      <explain>文本全半角错误。</explain>
      <paraID>60966717</paraID>
      <start>17</start>
      <end>18</end>
      <status>unmodified</status>
      <modifiedWord/>
      <trackRevisions>false</trackRevisions>
    </reviewItem>
    <reviewItem>
      <errorID>79845811-02fa-41bc-8a9c-f4b88cf9b4a9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2A3913D7</paraID>
      <start>0</start>
      <end>2</end>
      <status>unmodified</status>
      <modifiedWord/>
      <trackRevisions>false</trackRevisions>
    </reviewItem>
    <reviewItem>
      <errorID>52d1ac70-13e7-4c6d-a161-cf26a1f1c69f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BAB35CE</paraID>
      <start>0</start>
      <end>2</end>
      <status>unmodified</status>
      <modifiedWord/>
      <trackRevisions>false</trackRevisions>
    </reviewItem>
    <reviewItem>
      <errorID>be3a4ca5-a5e3-4dfe-8483-1a4149252dd1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647719E7</paraID>
      <start>0</start>
      <end>2</end>
      <status>unmodified</status>
      <modifiedWord/>
      <trackRevisions>false</trackRevisions>
    </reviewItem>
    <reviewItem>
      <errorID>24fd47da-b0f6-4d80-bfd0-743bf3d74cbc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3783A7BD</paraID>
      <start>0</start>
      <end>2</end>
      <status>unmodified</status>
      <modifiedWord/>
      <trackRevisions>false</trackRevisions>
    </reviewItem>
    <reviewItem>
      <errorID>4e45a9a5-b54a-49c7-a693-fc3e1a46b7f3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645AA872</paraID>
      <start>0</start>
      <end>2</end>
      <status>unmodified</status>
      <modifiedWord/>
      <trackRevisions>false</trackRevisions>
    </reviewItem>
    <reviewItem>
      <errorID>9c00c3a1-7641-46c9-8901-5b1580e89b86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5A1419F2</paraID>
      <start>0</start>
      <end>2</end>
      <status>unmodified</status>
      <modifiedWord/>
      <trackRevisions>false</trackRevisions>
    </reviewItem>
    <reviewItem>
      <errorID>9170c7de-5ac9-4b86-b300-8f24540b454f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717A050</paraID>
      <start>0</start>
      <end>2</end>
      <status>unmodified</status>
      <modifiedWord/>
      <trackRevisions>false</trackRevisions>
    </reviewItem>
    <reviewItem>
      <errorID>dc01d9b5-78ac-44a6-8c10-7e54f87f4df4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5604F3CF</paraID>
      <start>0</start>
      <end>2</end>
      <status>unmodified</status>
      <modifiedWord/>
      <trackRevisions>false</trackRevisions>
    </reviewItem>
    <reviewItem>
      <errorID>84b727d6-bb83-4408-83a1-e3a0d65bb3cf</errorID>
      <errorWord>(</errorWord>
      <group>L1_Format</group>
      <groupName>格式问题</groupName>
      <ability>L2_HalfPunc_CN</ability>
      <abilityName>全半角问题</abilityName>
      <candidateList>
        <item>（</item>
      </candidateList>
      <explain>文本全半角错误。</explain>
      <paraID>47BB0204</paraID>
      <start>6</start>
      <end>7</end>
      <status>unmodified</status>
      <modifiedWord/>
      <trackRevisions>false</trackRevisions>
    </reviewItem>
    <reviewItem>
      <errorID>3e7c5f6b-0123-4427-81c9-5d8db21bb6b3</errorID>
      <errorWord>)</errorWord>
      <group>L1_Format</group>
      <groupName>格式问题</groupName>
      <ability>L2_HalfPunc_CN</ability>
      <abilityName>全半角问题</abilityName>
      <candidateList>
        <item>）</item>
      </candidateList>
      <explain>文本全半角错误。</explain>
      <paraID>47BB0204</paraID>
      <start>11</start>
      <end>12</end>
      <status>unmodified</status>
      <modifiedWord/>
      <trackRevisions>false</trackRevisions>
    </reviewItem>
    <reviewItem>
      <errorID>0296ec8e-79e8-4620-99cc-b1ed6118da8a</errorID>
      <errorWord>(</errorWord>
      <group>L1_Format</group>
      <groupName>格式问题</groupName>
      <ability>L2_HalfPunc_CN</ability>
      <abilityName>全半角问题</abilityName>
      <candidateList>
        <item>（</item>
      </candidateList>
      <explain>文本全半角错误。</explain>
      <paraID>762A645C</paraID>
      <start>12</start>
      <end>13</end>
      <status>unmodified</status>
      <modifiedWord/>
      <trackRevisions>false</trackRevisions>
    </reviewItem>
    <reviewItem>
      <errorID>e85df41a-b30f-49b1-85d1-daeb755a5306</errorID>
      <errorWord>)</errorWord>
      <group>L1_Format</group>
      <groupName>格式问题</groupName>
      <ability>L2_HalfPunc_CN</ability>
      <abilityName>全半角问题</abilityName>
      <candidateList>
        <item>）</item>
      </candidateList>
      <explain>文本全半角错误。</explain>
      <paraID>762A645C</paraID>
      <start>17</start>
      <end>18</end>
      <status>unmodified</status>
      <modifiedWord/>
      <trackRevisions>false</trackRevisions>
    </reviewItem>
    <reviewItem>
      <errorID>28f6b7c3-be3c-431b-aa29-f3ded1b0ac14</errorID>
      <errorWord>(</errorWord>
      <group>L1_Format</group>
      <groupName>格式问题</groupName>
      <ability>L2_HalfPunc_CN</ability>
      <abilityName>全半角问题</abilityName>
      <candidateList>
        <item>（</item>
      </candidateList>
      <explain>文本全半角错误。</explain>
      <paraID>67735C81</paraID>
      <start>36</start>
      <end>37</end>
      <status>unmodified</status>
      <modifiedWord/>
      <trackRevisions>false</trackRevisions>
    </reviewItem>
    <reviewItem>
      <errorID>35d1d1fd-a057-4318-93db-dbd0a8da035d</errorID>
      <errorWord>)</errorWord>
      <group>L1_Format</group>
      <groupName>格式问题</groupName>
      <ability>L2_HalfPunc_CN</ability>
      <abilityName>全半角问题</abilityName>
      <candidateList>
        <item>）</item>
      </candidateList>
      <explain>文本全半角错误。</explain>
      <paraID>67735C81</paraID>
      <start>39</start>
      <end>40</end>
      <status>unmodified</status>
      <modifiedWord/>
      <trackRevisions>false</trackRevisions>
    </reviewItem>
    <reviewItem>
      <errorID>665442f1-1ab3-487b-bfa0-ab427c5ba4bf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1C3D48A</paraID>
      <start>0</start>
      <end>2</end>
      <status>unmodified</status>
      <modifiedWord/>
      <trackRevisions>false</trackRevisions>
    </reviewItem>
    <reviewItem>
      <errorID>6c4aae93-924a-4fe3-97f5-5ea4d1705756</errorID>
      <errorWord>(</errorWord>
      <group>L1_Format</group>
      <groupName>格式问题</groupName>
      <ability>L2_HalfPunc_CN</ability>
      <abilityName>全半角问题</abilityName>
      <candidateList>
        <item>（</item>
      </candidateList>
      <explain>文本全半角错误。</explain>
      <paraID>13D98D0B</paraID>
      <start>7</start>
      <end>8</end>
      <status>unmodified</status>
      <modifiedWord/>
      <trackRevisions>false</trackRevisions>
    </reviewItem>
    <reviewItem>
      <errorID>c512d880-647a-47b3-a98d-d8f662238605</errorID>
      <errorWord>)</errorWord>
      <group>L1_Format</group>
      <groupName>格式问题</groupName>
      <ability>L2_HalfPunc_CN</ability>
      <abilityName>全半角问题</abilityName>
      <candidateList>
        <item>）</item>
      </candidateList>
      <explain>文本全半角错误。</explain>
      <paraID>13D98D0B</paraID>
      <start>13</start>
      <end>14</end>
      <status>unmodified</status>
      <modifiedWord/>
      <trackRevisions>false</trackRevisions>
    </reviewItem>
    <reviewItem>
      <errorID>425b90f1-e88a-4b70-9176-fc756d3acbcb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2A4D14C4</paraID>
      <start>16</start>
      <end>19</end>
      <status>unmodified</status>
      <modifiedWord/>
      <trackRevisions>false</trackRevisions>
    </reviewItem>
    <reviewItem>
      <errorID>0e7e2c32-e0dd-4fbb-8dbe-66777007538d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3AE08808</paraID>
      <start>0</start>
      <end>3</end>
      <status>unmodified</status>
      <modifiedWord/>
      <trackRevisions>false</trackRevisions>
    </reviewItem>
    <reviewItem>
      <errorID>4fc45318-0fab-4218-8d16-29bf5ec29cee</errorID>
      <errorWord>〔2017〕 141号</errorWord>
      <group>L1_Knowledge</group>
      <groupName>知识性问题</groupName>
      <ability>L2_Knowledge</ability>
      <abilityName>其他知识</abilityName>
      <candidateList>
        <item>〔2017〕141号</item>
      </candidateList>
      <explain>发文字号格式错误。</explain>
      <paraID>314D5A75</paraID>
      <start>49</start>
      <end>60</end>
      <status>unmodified</status>
      <modifiedWord/>
      <trackRevisions>false</trackRevisions>
    </reviewItem>
    <reviewItem>
      <errorID>929c37ae-4423-4acd-bfbd-829a28e2dd21</errorID>
      <errorWord>(</errorWord>
      <group>L1_Format</group>
      <groupName>格式问题</groupName>
      <ability>L2_HalfPunc_CN</ability>
      <abilityName>全半角问题</abilityName>
      <candidateList>
        <item>（</item>
      </candidateList>
      <explain>文本全半角错误。</explain>
      <paraID>458C7BA4</paraID>
      <start>132</start>
      <end>133</end>
      <status>unmodified</status>
      <modifiedWord/>
      <trackRevisions>false</trackRevisions>
    </reviewItem>
    <reviewItem>
      <errorID>e543efde-85ac-4c06-8d50-10e2e5782bcb</errorID>
      <errorWord>)</errorWord>
      <group>L1_Format</group>
      <groupName>格式问题</groupName>
      <ability>L2_HalfPunc_CN</ability>
      <abilityName>全半角问题</abilityName>
      <candidateList>
        <item>）</item>
      </candidateList>
      <explain>文本全半角错误。</explain>
      <paraID>458C7BA4</paraID>
      <start>137</start>
      <end>138</end>
      <status>unmodified</status>
      <modifiedWord/>
      <trackRevisions>false</trackRevisions>
    </reviewItem>
    <reviewItem>
      <errorID>6e6fbb00-7e48-40cb-add9-52e815edc0f2</errorID>
      <errorWord>(</errorWord>
      <group>L1_Format</group>
      <groupName>格式问题</groupName>
      <ability>L2_HalfPunc_CN</ability>
      <abilityName>全半角问题</abilityName>
      <candidateList>
        <item>（</item>
      </candidateList>
      <explain>文本全半角错误。</explain>
      <paraID>458C7BA4</paraID>
      <start>214</start>
      <end>215</end>
      <status>unmodified</status>
      <modifiedWord/>
      <trackRevisions>false</trackRevisions>
    </reviewItem>
    <reviewItem>
      <errorID>91e93916-06ae-4484-b782-7f23c03880a5</errorID>
      <errorWord>)</errorWord>
      <group>L1_Format</group>
      <groupName>格式问题</groupName>
      <ability>L2_HalfPunc_CN</ability>
      <abilityName>全半角问题</abilityName>
      <candidateList>
        <item>）</item>
      </candidateList>
      <explain>文本全半角错误。</explain>
      <paraID>458C7BA4</paraID>
      <start>224</start>
      <end>225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9e82f3-aa53-4410-be63-e704644ade77}">
  <ds:schemaRefs/>
</ds:datastoreItem>
</file>

<file path=docProps/app.xml><?xml version="1.0" encoding="utf-8"?>
<Properties xmlns="http://schemas.openxmlformats.org/officeDocument/2006/extended-properties" xmlns:vt="http://schemas.openxmlformats.org/officeDocument/2006/docPropsVTypes">
  <Template>Normal.dotm</Template>
  <Pages>80</Pages>
  <Words>2564</Words>
  <Characters>2894</Characters>
  <Lines>329</Lines>
  <Paragraphs>92</Paragraphs>
  <TotalTime>19</TotalTime>
  <ScaleCrop>false</ScaleCrop>
  <LinksUpToDate>false</LinksUpToDate>
  <CharactersWithSpaces>3010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2019-08-22T03:09:00Z</dcterms:created>
  <dc:creator>Administrator</dc:creator>
  <cp:lastModifiedBy>user</cp:lastModifiedBy>
  <cp:lastPrinted>2021-06-25T08:12:00Z</cp:lastPrinted>
  <dcterms:modified xsi:type="dcterms:W3CDTF">2026-09-10T01:44:40Z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446AF1A4550247A9A37ADBC4A49483B9_13</vt:lpwstr>
  </property>
  <property fmtid="{D5CDD505-2E9C-101B-9397-08002B2CF9AE}" pid="4" name="KSOTemplateDocerSaveRecord">
    <vt:lpwstr>eyJoZGlkIjoiOGQ3YWM4MTA5M2ZmMzA3ZWQ5MDFkMzdlMjljMmVlYjkiLCJ1c2VySWQiOiIzOTA0OTYyNjcifQ==</vt:lpwstr>
  </property>
</Properties>
</file>