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01069">
      <w:pPr>
        <w:keepNext w:val="0"/>
        <w:keepLines w:val="0"/>
        <w:pageBreakBefore w:val="0"/>
        <w:widowControl w:val="0"/>
        <w:kinsoku/>
        <w:wordWrap/>
        <w:overflowPunct/>
        <w:topLinePunct w:val="0"/>
        <w:autoSpaceDE/>
        <w:autoSpaceDN/>
        <w:bidi w:val="0"/>
        <w:adjustRightInd/>
        <w:snapToGrid/>
        <w:spacing w:line="600" w:lineRule="auto"/>
        <w:textAlignment w:val="auto"/>
        <w:rPr>
          <w:color w:val="auto"/>
        </w:rPr>
      </w:pPr>
      <w:bookmarkStart w:id="0" w:name="_Toc12377"/>
      <w:r>
        <w:rPr>
          <w:rFonts w:hint="eastAsia"/>
          <w:lang w:eastAsia="zh-CN"/>
        </w:rPr>
        <w:tab/>
      </w:r>
      <w:r>
        <w:rPr>
          <w:rFonts w:hint="eastAsia"/>
          <w:lang w:val="en-US" w:eastAsia="zh-CN"/>
        </w:rPr>
        <w:t xml:space="preserve">  </w:t>
      </w:r>
      <w:r>
        <w:rPr>
          <w:color w:val="auto"/>
        </w:rPr>
        <w:drawing>
          <wp:inline distT="0" distB="0" distL="114300" distR="114300">
            <wp:extent cx="5539740" cy="7835265"/>
            <wp:effectExtent l="0" t="0" r="3810" b="3810"/>
            <wp:docPr id="8" name="图片 8" descr="新建 DOC 文档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新建 DOC 文档_01"/>
                    <pic:cNvPicPr>
                      <a:picLocks noChangeAspect="1"/>
                    </pic:cNvPicPr>
                  </pic:nvPicPr>
                  <pic:blipFill>
                    <a:blip r:embed="rId9"/>
                    <a:stretch>
                      <a:fillRect/>
                    </a:stretch>
                  </pic:blipFill>
                  <pic:spPr>
                    <a:xfrm>
                      <a:off x="0" y="0"/>
                      <a:ext cx="5539740" cy="7835265"/>
                    </a:xfrm>
                    <a:prstGeom prst="rect">
                      <a:avLst/>
                    </a:prstGeom>
                  </pic:spPr>
                </pic:pic>
              </a:graphicData>
            </a:graphic>
          </wp:inline>
        </w:drawing>
      </w:r>
    </w:p>
    <w:p w14:paraId="0B1A952D">
      <w:pPr>
        <w:keepNext w:val="0"/>
        <w:keepLines w:val="0"/>
        <w:pageBreakBefore w:val="0"/>
        <w:widowControl w:val="0"/>
        <w:kinsoku/>
        <w:wordWrap/>
        <w:overflowPunct/>
        <w:topLinePunct w:val="0"/>
        <w:autoSpaceDE/>
        <w:autoSpaceDN/>
        <w:bidi w:val="0"/>
        <w:snapToGrid/>
        <w:spacing w:line="520" w:lineRule="exact"/>
        <w:ind w:right="29"/>
        <w:jc w:val="center"/>
        <w:textAlignment w:val="auto"/>
        <w:outlineLvl w:val="0"/>
        <w:rPr>
          <w:rFonts w:hint="eastAsia" w:ascii="仿宋" w:hAnsi="仿宋" w:eastAsia="仿宋" w:cs="仿宋"/>
          <w:b/>
          <w:bCs/>
          <w:sz w:val="24"/>
          <w:szCs w:val="24"/>
          <w:lang w:eastAsia="zh-CN"/>
        </w:rPr>
      </w:pPr>
    </w:p>
    <w:p w14:paraId="14261966">
      <w:pPr>
        <w:keepNext w:val="0"/>
        <w:keepLines w:val="0"/>
        <w:pageBreakBefore w:val="0"/>
        <w:widowControl w:val="0"/>
        <w:kinsoku/>
        <w:wordWrap/>
        <w:overflowPunct/>
        <w:topLinePunct w:val="0"/>
        <w:autoSpaceDE/>
        <w:autoSpaceDN/>
        <w:bidi w:val="0"/>
        <w:snapToGrid/>
        <w:spacing w:line="520" w:lineRule="exact"/>
        <w:ind w:right="29"/>
        <w:jc w:val="center"/>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使用说明</w:t>
      </w:r>
      <w:bookmarkEnd w:id="0"/>
    </w:p>
    <w:p w14:paraId="4F5AB1C7">
      <w:pPr>
        <w:keepNext w:val="0"/>
        <w:keepLines w:val="0"/>
        <w:pageBreakBefore w:val="0"/>
        <w:widowControl w:val="0"/>
        <w:kinsoku/>
        <w:wordWrap/>
        <w:overflowPunct/>
        <w:topLinePunct w:val="0"/>
        <w:autoSpaceDE/>
        <w:autoSpaceDN/>
        <w:bidi w:val="0"/>
        <w:snapToGrid/>
        <w:spacing w:line="520" w:lineRule="exact"/>
        <w:ind w:right="29"/>
        <w:jc w:val="center"/>
        <w:textAlignment w:val="auto"/>
        <w:outlineLvl w:val="0"/>
        <w:rPr>
          <w:rFonts w:hint="eastAsia" w:ascii="仿宋" w:hAnsi="仿宋" w:eastAsia="仿宋" w:cs="仿宋"/>
          <w:b/>
          <w:bCs/>
          <w:sz w:val="24"/>
          <w:szCs w:val="24"/>
          <w:lang w:eastAsia="zh-CN"/>
        </w:rPr>
      </w:pPr>
    </w:p>
    <w:p w14:paraId="56196BF3">
      <w:pPr>
        <w:keepNext w:val="0"/>
        <w:keepLines w:val="0"/>
        <w:pageBreakBefore w:val="0"/>
        <w:widowControl w:val="0"/>
        <w:kinsoku/>
        <w:wordWrap/>
        <w:overflowPunct/>
        <w:topLinePunct w:val="0"/>
        <w:autoSpaceDE/>
        <w:autoSpaceDN/>
        <w:bidi w:val="0"/>
        <w:snapToGrid/>
        <w:spacing w:line="520" w:lineRule="exact"/>
        <w:ind w:right="29"/>
        <w:jc w:val="center"/>
        <w:textAlignment w:val="auto"/>
        <w:outlineLvl w:val="0"/>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 xml:space="preserve">  </w:t>
      </w:r>
      <w:r>
        <w:rPr>
          <w:rFonts w:hint="eastAsia" w:ascii="仿宋" w:hAnsi="仿宋" w:eastAsia="仿宋" w:cs="仿宋"/>
          <w:sz w:val="24"/>
          <w:szCs w:val="24"/>
          <w:lang w:eastAsia="zh-CN"/>
        </w:rPr>
        <w:t>为促进政府采购活动的公开、公平和公正进行，进一步优化我省政府采购营商环境，提高竞争性磋商文件编制质量和采购工作效率，根据政府采购有关法律法规及政策要求，会同有关单位研究制定了《云南省政府采购项目竞争性磋商文件示范文本（试行）（V.0版）》（以下简称《示范文本》），并在我省政府</w:t>
      </w:r>
      <w:r>
        <w:rPr>
          <w:rFonts w:hint="eastAsia" w:ascii="仿宋" w:hAnsi="仿宋" w:eastAsia="仿宋" w:cs="仿宋"/>
          <w:w w:val="110"/>
          <w:sz w:val="24"/>
          <w:szCs w:val="24"/>
          <w:lang w:eastAsia="zh-CN"/>
        </w:rPr>
        <w:t>采购项目中推广使用。</w:t>
      </w:r>
    </w:p>
    <w:p w14:paraId="7792D115">
      <w:pPr>
        <w:keepNext w:val="0"/>
        <w:keepLines w:val="0"/>
        <w:pageBreakBefore w:val="0"/>
        <w:widowControl w:val="0"/>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一、适用范围</w:t>
      </w:r>
    </w:p>
    <w:p w14:paraId="0CEC2FB2">
      <w:pPr>
        <w:keepNext w:val="0"/>
        <w:keepLines w:val="0"/>
        <w:pageBreakBefore w:val="0"/>
        <w:widowControl w:val="0"/>
        <w:kinsoku/>
        <w:wordWrap/>
        <w:overflowPunct/>
        <w:topLinePunct w:val="0"/>
        <w:autoSpaceDE/>
        <w:autoSpaceDN/>
        <w:bidi w:val="0"/>
        <w:snapToGrid/>
        <w:spacing w:line="520" w:lineRule="exact"/>
        <w:ind w:right="687" w:firstLine="456" w:firstLineChars="200"/>
        <w:textAlignment w:val="auto"/>
        <w:rPr>
          <w:rFonts w:hint="eastAsia" w:ascii="仿宋" w:hAnsi="仿宋" w:eastAsia="仿宋" w:cs="仿宋"/>
          <w:sz w:val="24"/>
          <w:szCs w:val="24"/>
          <w:lang w:eastAsia="zh-CN"/>
        </w:rPr>
      </w:pPr>
      <w:r>
        <w:rPr>
          <w:rFonts w:hint="eastAsia" w:ascii="仿宋" w:hAnsi="仿宋" w:eastAsia="仿宋" w:cs="仿宋"/>
          <w:w w:val="95"/>
          <w:sz w:val="24"/>
          <w:szCs w:val="24"/>
          <w:lang w:eastAsia="zh-CN"/>
        </w:rPr>
        <w:t>《示范文本》适用于我省采用竞争性磋商方式采购的政府采</w:t>
      </w:r>
      <w:r>
        <w:rPr>
          <w:rFonts w:hint="eastAsia" w:ascii="仿宋" w:hAnsi="仿宋" w:eastAsia="仿宋" w:cs="仿宋"/>
          <w:sz w:val="24"/>
          <w:szCs w:val="24"/>
          <w:lang w:eastAsia="zh-CN"/>
        </w:rPr>
        <w:t>购项目。</w:t>
      </w:r>
    </w:p>
    <w:p w14:paraId="42BE0E21">
      <w:pPr>
        <w:keepNext w:val="0"/>
        <w:keepLines w:val="0"/>
        <w:pageBreakBefore w:val="0"/>
        <w:widowControl w:val="0"/>
        <w:numPr>
          <w:ilvl w:val="0"/>
          <w:numId w:val="2"/>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填写规则</w:t>
      </w:r>
    </w:p>
    <w:p w14:paraId="7EB13E3F">
      <w:pPr>
        <w:keepNext w:val="0"/>
        <w:keepLines w:val="0"/>
        <w:pageBreakBefore w:val="0"/>
        <w:widowControl w:val="0"/>
        <w:numPr>
          <w:ilvl w:val="0"/>
          <w:numId w:val="0"/>
        </w:numPr>
        <w:kinsoku/>
        <w:wordWrap/>
        <w:overflowPunct/>
        <w:topLinePunct w:val="0"/>
        <w:autoSpaceDE/>
        <w:autoSpaceDN/>
        <w:bidi w:val="0"/>
        <w:snapToGrid/>
        <w:spacing w:line="520" w:lineRule="exact"/>
        <w:ind w:firstLine="504" w:firstLineChars="200"/>
        <w:textAlignment w:val="auto"/>
        <w:rPr>
          <w:rFonts w:hint="eastAsia" w:ascii="仿宋" w:hAnsi="仿宋" w:eastAsia="仿宋" w:cs="仿宋"/>
          <w:w w:val="105"/>
          <w:sz w:val="24"/>
          <w:szCs w:val="24"/>
          <w:lang w:eastAsia="zh-CN"/>
        </w:rPr>
      </w:pPr>
      <w:r>
        <w:rPr>
          <w:rFonts w:hint="eastAsia" w:ascii="仿宋" w:hAnsi="仿宋" w:eastAsia="仿宋" w:cs="仿宋"/>
          <w:w w:val="105"/>
          <w:sz w:val="24"/>
          <w:szCs w:val="24"/>
          <w:lang w:eastAsia="zh-CN"/>
        </w:rPr>
        <w:t>条款中以空格和下划横线</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”形式标记的部分</w:t>
      </w:r>
      <w:r>
        <w:rPr>
          <w:rFonts w:hint="eastAsia" w:ascii="仿宋" w:hAnsi="仿宋" w:eastAsia="仿宋" w:cs="仿宋"/>
          <w:spacing w:val="-58"/>
          <w:sz w:val="24"/>
          <w:szCs w:val="24"/>
          <w:lang w:eastAsia="zh-CN"/>
        </w:rPr>
        <w:t>，</w:t>
      </w:r>
      <w:r>
        <w:rPr>
          <w:rFonts w:hint="eastAsia" w:ascii="仿宋" w:hAnsi="仿宋" w:eastAsia="仿宋" w:cs="仿宋"/>
          <w:sz w:val="24"/>
          <w:szCs w:val="24"/>
          <w:lang w:eastAsia="zh-CN"/>
        </w:rPr>
        <w:t>为采购人</w:t>
      </w:r>
      <w:r>
        <w:rPr>
          <w:rFonts w:hint="eastAsia" w:ascii="仿宋" w:hAnsi="仿宋" w:eastAsia="仿宋" w:cs="仿宋"/>
          <w:spacing w:val="-13"/>
          <w:sz w:val="24"/>
          <w:szCs w:val="24"/>
          <w:lang w:eastAsia="zh-CN"/>
        </w:rPr>
        <w:t>或</w:t>
      </w:r>
      <w:r>
        <w:rPr>
          <w:rFonts w:hint="eastAsia" w:ascii="仿宋" w:hAnsi="仿宋" w:eastAsia="仿宋" w:cs="仿宋"/>
          <w:sz w:val="24"/>
          <w:szCs w:val="24"/>
          <w:lang w:eastAsia="zh-CN"/>
        </w:rPr>
        <w:t>采购代理机构需要填写的内容。采购人或采购代理机构应根据采购项目具体特点和实际需要进行具体化填写，确实没有需要填写</w:t>
      </w:r>
      <w:r>
        <w:rPr>
          <w:rFonts w:hint="eastAsia" w:ascii="仿宋" w:hAnsi="仿宋" w:eastAsia="仿宋" w:cs="仿宋"/>
          <w:w w:val="105"/>
          <w:sz w:val="24"/>
          <w:szCs w:val="24"/>
          <w:lang w:eastAsia="zh-CN"/>
        </w:rPr>
        <w:t>的，在空格或下</w:t>
      </w:r>
      <w:r>
        <w:rPr>
          <w:rFonts w:hint="eastAsia" w:ascii="仿宋" w:hAnsi="仿宋" w:eastAsia="仿宋" w:cs="仿宋"/>
          <w:spacing w:val="3"/>
          <w:w w:val="105"/>
          <w:sz w:val="24"/>
          <w:szCs w:val="24"/>
          <w:lang w:eastAsia="zh-CN"/>
        </w:rPr>
        <w:t>划</w:t>
      </w:r>
      <w:r>
        <w:rPr>
          <w:rFonts w:hint="eastAsia" w:ascii="仿宋" w:hAnsi="仿宋" w:eastAsia="仿宋" w:cs="仿宋"/>
          <w:w w:val="105"/>
          <w:sz w:val="24"/>
          <w:szCs w:val="24"/>
          <w:lang w:eastAsia="zh-CN"/>
        </w:rPr>
        <w:t>横线</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中用</w:t>
      </w:r>
      <w:r>
        <w:rPr>
          <w:rFonts w:hint="eastAsia" w:ascii="仿宋" w:hAnsi="仿宋" w:eastAsia="仿宋" w:cs="仿宋"/>
          <w:sz w:val="24"/>
          <w:szCs w:val="24"/>
          <w:lang w:eastAsia="zh-CN"/>
        </w:rPr>
        <w:t>“</w:t>
      </w:r>
      <w:r>
        <w:rPr>
          <w:rFonts w:hint="eastAsia" w:ascii="仿宋" w:hAnsi="仿宋" w:eastAsia="仿宋" w:cs="仿宋"/>
          <w:w w:val="130"/>
          <w:sz w:val="24"/>
          <w:szCs w:val="24"/>
          <w:lang w:eastAsia="zh-CN"/>
        </w:rPr>
        <w:t>/</w:t>
      </w: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标记。</w:t>
      </w:r>
    </w:p>
    <w:p w14:paraId="6477EBF9">
      <w:pPr>
        <w:keepNext w:val="0"/>
        <w:keepLines w:val="0"/>
        <w:pageBreakBefore w:val="0"/>
        <w:widowControl w:val="0"/>
        <w:numPr>
          <w:ilvl w:val="0"/>
          <w:numId w:val="0"/>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条款中以“□”形式标记的内容，为采购人或采购代理机构需要确定的选项。编制竞争性磋商文件时，适用于本项目的选项标</w:t>
      </w:r>
      <w:r>
        <w:rPr>
          <w:rFonts w:hint="eastAsia" w:ascii="仿宋" w:hAnsi="仿宋" w:eastAsia="仿宋" w:cs="仿宋"/>
          <w:w w:val="110"/>
          <w:sz w:val="24"/>
          <w:szCs w:val="24"/>
          <w:lang w:eastAsia="zh-CN"/>
        </w:rPr>
        <w:t>记为</w:t>
      </w:r>
      <w:r>
        <w:rPr>
          <w:rFonts w:hint="eastAsia" w:ascii="仿宋" w:hAnsi="仿宋" w:eastAsia="仿宋" w:cs="仿宋"/>
          <w:sz w:val="24"/>
          <w:szCs w:val="24"/>
          <w:lang w:eastAsia="zh-CN"/>
        </w:rPr>
        <w:t>“■”</w:t>
      </w:r>
      <w:r>
        <w:rPr>
          <w:rFonts w:hint="eastAsia" w:ascii="仿宋" w:hAnsi="仿宋" w:eastAsia="仿宋" w:cs="仿宋"/>
          <w:w w:val="160"/>
          <w:sz w:val="24"/>
          <w:szCs w:val="24"/>
          <w:lang w:eastAsia="zh-CN"/>
        </w:rPr>
        <w:t>，</w:t>
      </w:r>
      <w:r>
        <w:rPr>
          <w:rFonts w:hint="eastAsia" w:ascii="仿宋" w:hAnsi="仿宋" w:eastAsia="仿宋" w:cs="仿宋"/>
          <w:w w:val="110"/>
          <w:sz w:val="24"/>
          <w:szCs w:val="24"/>
          <w:lang w:eastAsia="zh-CN"/>
        </w:rPr>
        <w:t>不适用于本项目的选项标记为</w:t>
      </w:r>
      <w:r>
        <w:rPr>
          <w:rFonts w:hint="eastAsia" w:ascii="仿宋" w:hAnsi="仿宋" w:eastAsia="仿宋" w:cs="仿宋"/>
          <w:sz w:val="24"/>
          <w:szCs w:val="24"/>
          <w:lang w:eastAsia="zh-CN"/>
        </w:rPr>
        <w:t>“□”</w:t>
      </w:r>
      <w:r>
        <w:rPr>
          <w:rFonts w:hint="eastAsia" w:ascii="仿宋" w:hAnsi="仿宋" w:eastAsia="仿宋" w:cs="仿宋"/>
          <w:w w:val="110"/>
          <w:sz w:val="24"/>
          <w:szCs w:val="24"/>
          <w:lang w:eastAsia="zh-CN"/>
        </w:rPr>
        <w:t>。</w:t>
      </w:r>
    </w:p>
    <w:p w14:paraId="04F81FCB">
      <w:pPr>
        <w:keepNext w:val="0"/>
        <w:keepLines w:val="0"/>
        <w:pageBreakBefore w:val="0"/>
        <w:widowControl w:val="0"/>
        <w:numPr>
          <w:ilvl w:val="0"/>
          <w:numId w:val="2"/>
        </w:numPr>
        <w:kinsoku/>
        <w:wordWrap/>
        <w:overflowPunct/>
        <w:topLinePunct w:val="0"/>
        <w:autoSpaceDE/>
        <w:autoSpaceDN/>
        <w:bidi w:val="0"/>
        <w:snapToGrid/>
        <w:spacing w:line="520" w:lineRule="exact"/>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提示条款</w:t>
      </w:r>
    </w:p>
    <w:p w14:paraId="1822B2D9">
      <w:pPr>
        <w:keepNext w:val="0"/>
        <w:keepLines w:val="0"/>
        <w:pageBreakBefore w:val="0"/>
        <w:widowControl w:val="0"/>
        <w:numPr>
          <w:ilvl w:val="0"/>
          <w:numId w:val="0"/>
        </w:numPr>
        <w:kinsoku/>
        <w:wordWrap/>
        <w:overflowPunct/>
        <w:topLinePunct w:val="0"/>
        <w:autoSpaceDE/>
        <w:autoSpaceDN/>
        <w:bidi w:val="0"/>
        <w:snapToGrid/>
        <w:spacing w:line="520" w:lineRule="exact"/>
        <w:ind w:firstLine="448" w:firstLineChars="200"/>
        <w:textAlignment w:val="auto"/>
        <w:rPr>
          <w:rFonts w:hint="eastAsia" w:ascii="仿宋" w:hAnsi="仿宋" w:eastAsia="仿宋" w:cs="仿宋"/>
          <w:sz w:val="24"/>
          <w:szCs w:val="24"/>
          <w:lang w:eastAsia="zh-CN"/>
        </w:rPr>
      </w:pPr>
      <w:r>
        <w:rPr>
          <w:rFonts w:hint="eastAsia" w:ascii="仿宋" w:hAnsi="仿宋" w:eastAsia="仿宋" w:cs="仿宋"/>
          <w:spacing w:val="-8"/>
          <w:sz w:val="24"/>
          <w:szCs w:val="24"/>
          <w:lang w:eastAsia="zh-CN"/>
        </w:rPr>
        <w:t>《示范文本》中</w:t>
      </w:r>
      <w:r>
        <w:rPr>
          <w:rFonts w:hint="eastAsia" w:ascii="仿宋" w:hAnsi="仿宋" w:eastAsia="仿宋" w:cs="仿宋"/>
          <w:sz w:val="24"/>
          <w:szCs w:val="24"/>
          <w:lang w:eastAsia="zh-CN"/>
        </w:rPr>
        <w:t>“</w:t>
      </w:r>
      <w:r>
        <w:rPr>
          <w:rFonts w:hint="eastAsia" w:ascii="仿宋" w:hAnsi="仿宋" w:eastAsia="仿宋" w:cs="仿宋"/>
          <w:i/>
          <w:sz w:val="24"/>
          <w:szCs w:val="24"/>
          <w:lang w:eastAsia="zh-CN"/>
        </w:rPr>
        <w:t>（）</w:t>
      </w:r>
      <w:r>
        <w:rPr>
          <w:rFonts w:hint="eastAsia" w:ascii="仿宋" w:hAnsi="仿宋" w:eastAsia="仿宋" w:cs="仿宋"/>
          <w:sz w:val="24"/>
          <w:szCs w:val="24"/>
          <w:lang w:eastAsia="zh-CN"/>
        </w:rPr>
        <w:t>”</w:t>
      </w:r>
      <w:r>
        <w:rPr>
          <w:rFonts w:hint="eastAsia" w:ascii="仿宋" w:hAnsi="仿宋" w:eastAsia="仿宋" w:cs="仿宋"/>
          <w:spacing w:val="-2"/>
          <w:sz w:val="24"/>
          <w:szCs w:val="24"/>
          <w:lang w:eastAsia="zh-CN"/>
        </w:rPr>
        <w:t>形式标记的红色斜体内容，属于提示编制竞争性磋商文件的注意事项，竞争性磋商文件发出前，有关提示内容应予以删除。</w:t>
      </w:r>
    </w:p>
    <w:p w14:paraId="2AEA6588">
      <w:pPr>
        <w:keepNext w:val="0"/>
        <w:keepLines w:val="0"/>
        <w:pageBreakBefore w:val="0"/>
        <w:widowControl w:val="0"/>
        <w:numPr>
          <w:ilvl w:val="0"/>
          <w:numId w:val="2"/>
        </w:numPr>
        <w:kinsoku/>
        <w:wordWrap/>
        <w:overflowPunct/>
        <w:topLinePunct w:val="0"/>
        <w:autoSpaceDE/>
        <w:autoSpaceDN/>
        <w:bidi w:val="0"/>
        <w:snapToGrid/>
        <w:spacing w:line="520" w:lineRule="exact"/>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资料表的运用</w:t>
      </w:r>
    </w:p>
    <w:p w14:paraId="0C6DF040">
      <w:pPr>
        <w:keepNext w:val="0"/>
        <w:keepLines w:val="0"/>
        <w:pageBreakBefore w:val="0"/>
        <w:widowControl w:val="0"/>
        <w:numPr>
          <w:ilvl w:val="0"/>
          <w:numId w:val="0"/>
        </w:numPr>
        <w:kinsoku/>
        <w:wordWrap/>
        <w:overflowPunct/>
        <w:topLinePunct w:val="0"/>
        <w:autoSpaceDE/>
        <w:autoSpaceDN/>
        <w:bidi w:val="0"/>
        <w:snapToGrid/>
        <w:spacing w:line="520" w:lineRule="exact"/>
        <w:ind w:firstLine="440" w:firstLineChars="200"/>
        <w:textAlignment w:val="auto"/>
        <w:rPr>
          <w:rFonts w:hint="eastAsia" w:ascii="仿宋" w:hAnsi="仿宋" w:eastAsia="仿宋" w:cs="仿宋"/>
          <w:sz w:val="24"/>
          <w:szCs w:val="24"/>
          <w:lang w:eastAsia="zh-CN"/>
        </w:rPr>
      </w:pPr>
      <w:r>
        <w:rPr>
          <w:rFonts w:hint="eastAsia" w:ascii="仿宋" w:hAnsi="仿宋" w:eastAsia="仿宋" w:cs="仿宋"/>
          <w:spacing w:val="-4"/>
          <w:w w:val="95"/>
          <w:sz w:val="24"/>
          <w:szCs w:val="24"/>
          <w:lang w:eastAsia="zh-CN"/>
        </w:rPr>
        <w:t xml:space="preserve">为了便于供应商高效阅览、避免遗漏重点内容，《示范文本》 </w:t>
      </w:r>
      <w:r>
        <w:rPr>
          <w:rFonts w:hint="eastAsia" w:ascii="仿宋" w:hAnsi="仿宋" w:eastAsia="仿宋" w:cs="仿宋"/>
          <w:spacing w:val="-4"/>
          <w:sz w:val="24"/>
          <w:szCs w:val="24"/>
          <w:lang w:eastAsia="zh-CN"/>
        </w:rPr>
        <w:t>对第二章</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供应商须知</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设置了资料表形式。</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供应商须知资料表</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用于进一步明确</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供应商须知</w:t>
      </w:r>
      <w:r>
        <w:rPr>
          <w:rFonts w:hint="eastAsia" w:ascii="仿宋" w:hAnsi="仿宋" w:eastAsia="仿宋" w:cs="仿宋"/>
          <w:sz w:val="24"/>
          <w:szCs w:val="24"/>
          <w:lang w:eastAsia="zh-CN"/>
        </w:rPr>
        <w:t>”</w:t>
      </w:r>
      <w:r>
        <w:rPr>
          <w:rFonts w:hint="eastAsia" w:ascii="仿宋" w:hAnsi="仿宋" w:eastAsia="仿宋" w:cs="仿宋"/>
          <w:spacing w:val="-4"/>
          <w:sz w:val="24"/>
          <w:szCs w:val="24"/>
          <w:lang w:eastAsia="zh-CN"/>
        </w:rPr>
        <w:t xml:space="preserve">正文中的未尽事宜，采购人或采购代理机构在编制竞争性磋商文件时，应根据采购项目实际需要， </w:t>
      </w:r>
      <w:r>
        <w:rPr>
          <w:rFonts w:hint="eastAsia" w:ascii="仿宋" w:hAnsi="仿宋" w:eastAsia="仿宋" w:cs="仿宋"/>
          <w:spacing w:val="-6"/>
          <w:sz w:val="24"/>
          <w:szCs w:val="24"/>
          <w:lang w:eastAsia="zh-CN"/>
        </w:rPr>
        <w:t>对于需要修改和补充的内容在资料表中选择和补充列明。</w:t>
      </w:r>
      <w:r>
        <w:rPr>
          <w:rFonts w:hint="eastAsia" w:ascii="仿宋" w:hAnsi="仿宋" w:eastAsia="仿宋" w:cs="仿宋"/>
          <w:sz w:val="24"/>
          <w:szCs w:val="24"/>
          <w:lang w:eastAsia="zh-CN"/>
        </w:rPr>
        <w:t>“供应商须知资料表”与“供应商须知”正文内容不一致的，以“供应商须知资料表”为准。</w:t>
      </w:r>
    </w:p>
    <w:p w14:paraId="0495A51B">
      <w:pPr>
        <w:keepNext w:val="0"/>
        <w:keepLines w:val="0"/>
        <w:pageBreakBefore w:val="0"/>
        <w:widowControl w:val="0"/>
        <w:numPr>
          <w:ilvl w:val="0"/>
          <w:numId w:val="0"/>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为避免竞争性磋商文件编制过程中出现的相同内容在文件中前后不一致等错误，竞争性磋商文件尽量做到相同内容只出现一次，其他章节涉及有关内容的，以标明条款号引用的方式体现。</w:t>
      </w:r>
    </w:p>
    <w:p w14:paraId="408BB505">
      <w:pPr>
        <w:keepNext w:val="0"/>
        <w:keepLines w:val="0"/>
        <w:pageBreakBefore w:val="0"/>
        <w:widowControl w:val="0"/>
        <w:numPr>
          <w:ilvl w:val="0"/>
          <w:numId w:val="3"/>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采购需求与合同条款及格式</w:t>
      </w:r>
    </w:p>
    <w:p w14:paraId="0E333984">
      <w:pPr>
        <w:keepNext w:val="0"/>
        <w:keepLines w:val="0"/>
        <w:pageBreakBefore w:val="0"/>
        <w:widowControl w:val="0"/>
        <w:numPr>
          <w:ilvl w:val="0"/>
          <w:numId w:val="0"/>
        </w:numPr>
        <w:kinsoku/>
        <w:wordWrap/>
        <w:overflowPunct/>
        <w:topLinePunct w:val="0"/>
        <w:autoSpaceDE/>
        <w:autoSpaceDN/>
        <w:bidi w:val="0"/>
        <w:snapToGrid/>
        <w:spacing w:line="520" w:lineRule="exact"/>
        <w:ind w:firstLine="456" w:firstLineChars="200"/>
        <w:textAlignment w:val="auto"/>
        <w:rPr>
          <w:rFonts w:hint="eastAsia" w:ascii="仿宋" w:hAnsi="仿宋" w:eastAsia="仿宋" w:cs="仿宋"/>
          <w:sz w:val="24"/>
          <w:szCs w:val="24"/>
          <w:lang w:eastAsia="zh-CN"/>
        </w:rPr>
      </w:pPr>
      <w:r>
        <w:rPr>
          <w:rFonts w:hint="eastAsia" w:ascii="仿宋" w:hAnsi="仿宋" w:eastAsia="仿宋" w:cs="仿宋"/>
          <w:w w:val="95"/>
          <w:sz w:val="24"/>
          <w:szCs w:val="24"/>
          <w:lang w:eastAsia="zh-CN"/>
        </w:rPr>
        <w:t>《示范文本》在第四章</w:t>
      </w:r>
      <w:r>
        <w:rPr>
          <w:rFonts w:hint="eastAsia" w:ascii="仿宋" w:hAnsi="仿宋" w:eastAsia="仿宋" w:cs="仿宋"/>
          <w:sz w:val="24"/>
          <w:szCs w:val="24"/>
          <w:lang w:eastAsia="zh-CN"/>
        </w:rPr>
        <w:t>“</w:t>
      </w:r>
      <w:r>
        <w:rPr>
          <w:rFonts w:hint="eastAsia" w:ascii="仿宋" w:hAnsi="仿宋" w:eastAsia="仿宋" w:cs="仿宋"/>
          <w:w w:val="95"/>
          <w:sz w:val="24"/>
          <w:szCs w:val="24"/>
          <w:lang w:eastAsia="zh-CN"/>
        </w:rPr>
        <w:t>采购需求</w:t>
      </w:r>
      <w:r>
        <w:rPr>
          <w:rFonts w:hint="eastAsia" w:ascii="仿宋" w:hAnsi="仿宋" w:eastAsia="仿宋" w:cs="仿宋"/>
          <w:sz w:val="24"/>
          <w:szCs w:val="24"/>
          <w:lang w:eastAsia="zh-CN"/>
        </w:rPr>
        <w:t>”</w:t>
      </w:r>
      <w:r>
        <w:rPr>
          <w:rFonts w:hint="eastAsia" w:ascii="仿宋" w:hAnsi="仿宋" w:eastAsia="仿宋" w:cs="仿宋"/>
          <w:w w:val="95"/>
          <w:sz w:val="24"/>
          <w:szCs w:val="24"/>
          <w:lang w:eastAsia="zh-CN"/>
        </w:rPr>
        <w:t>部分列出了需求大纲供采</w:t>
      </w:r>
      <w:r>
        <w:rPr>
          <w:rFonts w:hint="eastAsia" w:ascii="仿宋" w:hAnsi="仿宋" w:eastAsia="仿宋" w:cs="仿宋"/>
          <w:sz w:val="24"/>
          <w:szCs w:val="24"/>
          <w:lang w:eastAsia="zh-CN"/>
        </w:rPr>
        <w:t>购人或采购代理机构参考。</w:t>
      </w:r>
    </w:p>
    <w:p w14:paraId="507828A1">
      <w:pPr>
        <w:keepNext w:val="0"/>
        <w:keepLines w:val="0"/>
        <w:pageBreakBefore w:val="0"/>
        <w:widowControl w:val="0"/>
        <w:numPr>
          <w:ilvl w:val="0"/>
          <w:numId w:val="0"/>
        </w:numPr>
        <w:kinsoku/>
        <w:wordWrap/>
        <w:overflowPunct/>
        <w:topLinePunct w:val="0"/>
        <w:autoSpaceDE/>
        <w:autoSpaceDN/>
        <w:bidi w:val="0"/>
        <w:snapToGrid/>
        <w:spacing w:line="520" w:lineRule="exact"/>
        <w:ind w:firstLine="456" w:firstLineChars="200"/>
        <w:textAlignment w:val="auto"/>
        <w:rPr>
          <w:rFonts w:hint="eastAsia" w:ascii="仿宋" w:hAnsi="仿宋" w:eastAsia="仿宋" w:cs="仿宋"/>
          <w:sz w:val="24"/>
          <w:szCs w:val="24"/>
          <w:lang w:eastAsia="zh-CN"/>
        </w:rPr>
      </w:pPr>
      <w:r>
        <w:rPr>
          <w:rFonts w:hint="eastAsia" w:ascii="仿宋" w:hAnsi="仿宋" w:eastAsia="仿宋" w:cs="仿宋"/>
          <w:w w:val="95"/>
          <w:sz w:val="24"/>
          <w:szCs w:val="24"/>
          <w:lang w:eastAsia="zh-CN"/>
        </w:rPr>
        <w:t xml:space="preserve">采购人或采购代理机构应当依据《中华人民共和国民法典》 </w:t>
      </w:r>
      <w:r>
        <w:rPr>
          <w:rFonts w:hint="eastAsia" w:ascii="仿宋" w:hAnsi="仿宋" w:eastAsia="仿宋" w:cs="仿宋"/>
          <w:sz w:val="24"/>
          <w:szCs w:val="24"/>
          <w:lang w:eastAsia="zh-CN"/>
        </w:rPr>
        <w:t>等有关法律法规和政策要求，结合采购项目合同类型和特点，规范拟定和签署项目采购合同。在拟定合同条款及格式时，应优先选择国家或行业制定推荐的有关标准或示范合同文本。</w:t>
      </w:r>
    </w:p>
    <w:p w14:paraId="102F0D36">
      <w:pPr>
        <w:keepNext w:val="0"/>
        <w:keepLines w:val="0"/>
        <w:pageBreakBefore w:val="0"/>
        <w:widowControl w:val="0"/>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六、响应文件格式的统一与简化</w:t>
      </w:r>
    </w:p>
    <w:p w14:paraId="4B558734">
      <w:pPr>
        <w:keepNext w:val="0"/>
        <w:keepLines w:val="0"/>
        <w:pageBreakBefore w:val="0"/>
        <w:widowControl w:val="0"/>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为便于供应商制作响应文件，便于磋商小组评审时统一标准，《示范文本》对适宜的内容提供了统一的响应文件参考格式，尽可能对格式中需要填列的内容进行了简化，尽可能减少了格式中需要签字、盖章的要求。</w:t>
      </w:r>
    </w:p>
    <w:p w14:paraId="03153BFD">
      <w:pPr>
        <w:keepNext w:val="0"/>
        <w:keepLines w:val="0"/>
        <w:pageBreakBefore w:val="0"/>
        <w:widowControl w:val="0"/>
        <w:numPr>
          <w:ilvl w:val="0"/>
          <w:numId w:val="0"/>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七、</w:t>
      </w:r>
      <w:r>
        <w:rPr>
          <w:rFonts w:hint="eastAsia" w:ascii="仿宋" w:hAnsi="仿宋" w:eastAsia="仿宋" w:cs="仿宋"/>
          <w:sz w:val="24"/>
          <w:szCs w:val="24"/>
          <w:lang w:eastAsia="zh-CN"/>
        </w:rPr>
        <w:t>实施及修改</w:t>
      </w:r>
    </w:p>
    <w:p w14:paraId="26BE582C">
      <w:pPr>
        <w:keepNext w:val="0"/>
        <w:keepLines w:val="0"/>
        <w:pageBreakBefore w:val="0"/>
        <w:widowControl w:val="0"/>
        <w:numPr>
          <w:ilvl w:val="0"/>
          <w:numId w:val="0"/>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请云南省各级预算单位、采购代理机构认真组织好《示范文本》的推广使用，使用中有任何意见建议，请及时与云南省财政厅政府采购管理处联系。我们将及时总结经验，以进一步修订完善《示范文本》并协同推进其规范运用。</w:t>
      </w:r>
    </w:p>
    <w:p w14:paraId="184B746B">
      <w:pPr>
        <w:keepNext w:val="0"/>
        <w:keepLines w:val="0"/>
        <w:pageBreakBefore w:val="0"/>
        <w:widowControl w:val="0"/>
        <w:numPr>
          <w:ilvl w:val="0"/>
          <w:numId w:val="0"/>
        </w:numPr>
        <w:kinsoku/>
        <w:wordWrap/>
        <w:overflowPunct/>
        <w:topLinePunct w:val="0"/>
        <w:autoSpaceDE/>
        <w:autoSpaceDN/>
        <w:bidi w:val="0"/>
        <w:snapToGrid/>
        <w:spacing w:line="5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采购人或采购代理机构可根据法律法规、政府采购政策文件等更新情况或项目具体特点，对示范文本适当进行更新或调整。</w:t>
      </w:r>
    </w:p>
    <w:p w14:paraId="20256FE6">
      <w:pPr>
        <w:rPr>
          <w:rFonts w:hint="eastAsia" w:ascii="仿宋" w:hAnsi="仿宋" w:eastAsia="仿宋" w:cs="仿宋"/>
          <w:b/>
          <w:bCs/>
          <w:color w:val="000000" w:themeColor="text1"/>
          <w:spacing w:val="0"/>
          <w:sz w:val="28"/>
          <w:szCs w:val="28"/>
          <w:highlight w:val="none"/>
          <w:lang w:val="en-US" w:eastAsia="zh-CN"/>
          <w14:textFill>
            <w14:solidFill>
              <w14:schemeClr w14:val="tx1"/>
            </w14:solidFill>
          </w14:textFill>
        </w:rPr>
      </w:pPr>
    </w:p>
    <w:p w14:paraId="43742448">
      <w:pPr>
        <w:rPr>
          <w:rFonts w:hint="eastAsia" w:ascii="仿宋" w:hAnsi="仿宋" w:eastAsia="仿宋" w:cs="仿宋"/>
          <w:b/>
          <w:bCs/>
          <w:color w:val="000000"/>
          <w:sz w:val="32"/>
          <w:szCs w:val="32"/>
          <w:highlight w:val="none"/>
        </w:rPr>
      </w:pPr>
      <w:r>
        <w:rPr>
          <w:rFonts w:hint="eastAsia" w:ascii="仿宋" w:hAnsi="仿宋" w:eastAsia="仿宋" w:cs="仿宋"/>
          <w:b/>
          <w:bCs/>
          <w:color w:val="000000" w:themeColor="text1"/>
          <w:spacing w:val="0"/>
          <w:sz w:val="28"/>
          <w:szCs w:val="28"/>
          <w:highlight w:val="none"/>
          <w:lang w:val="en-US" w:eastAsia="zh-CN"/>
          <w14:textFill>
            <w14:solidFill>
              <w14:schemeClr w14:val="tx1"/>
            </w14:solidFill>
          </w14:textFill>
        </w:rPr>
        <w:br w:type="page"/>
      </w:r>
    </w:p>
    <w:p w14:paraId="706B0221">
      <w:pPr>
        <w:rPr>
          <w:rFonts w:hint="eastAsia"/>
          <w:lang w:val="en-US" w:eastAsia="zh-CN"/>
        </w:rPr>
      </w:pPr>
      <w:r>
        <w:rPr>
          <w:rFonts w:hint="eastAsia"/>
          <w:lang w:val="en-US" w:eastAsia="zh-CN"/>
        </w:rPr>
        <w:t xml:space="preserve"> </w:t>
      </w:r>
    </w:p>
    <w:p w14:paraId="229D1248">
      <w:pPr>
        <w:rPr>
          <w:rFonts w:hint="eastAsia"/>
          <w:lang w:val="en-US" w:eastAsia="zh-CN"/>
        </w:rPr>
      </w:pPr>
      <w:r>
        <w:rPr>
          <w:rFonts w:hint="eastAsia"/>
          <w:lang w:val="en-US" w:eastAsia="zh-CN"/>
        </w:rPr>
        <w:drawing>
          <wp:inline distT="0" distB="0" distL="114300" distR="114300">
            <wp:extent cx="5742940" cy="8126730"/>
            <wp:effectExtent l="0" t="0" r="635" b="7620"/>
            <wp:docPr id="2" name="图片 2" descr="采购文件公平竞争审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采购文件公平竞争审查表_01"/>
                    <pic:cNvPicPr>
                      <a:picLocks noChangeAspect="1"/>
                    </pic:cNvPicPr>
                  </pic:nvPicPr>
                  <pic:blipFill>
                    <a:blip r:embed="rId10"/>
                    <a:stretch>
                      <a:fillRect/>
                    </a:stretch>
                  </pic:blipFill>
                  <pic:spPr>
                    <a:xfrm>
                      <a:off x="0" y="0"/>
                      <a:ext cx="5742940" cy="8126730"/>
                    </a:xfrm>
                    <a:prstGeom prst="rect">
                      <a:avLst/>
                    </a:prstGeom>
                  </pic:spPr>
                </pic:pic>
              </a:graphicData>
            </a:graphic>
          </wp:inline>
        </w:drawing>
      </w:r>
    </w:p>
    <w:p w14:paraId="3902588D">
      <w:pPr>
        <w:rPr>
          <w:rFonts w:hint="eastAsia"/>
          <w:lang w:val="en-US" w:eastAsia="zh-CN"/>
        </w:rPr>
      </w:pPr>
    </w:p>
    <w:p w14:paraId="629E5598">
      <w:pPr>
        <w:rPr>
          <w:rFonts w:hint="eastAsia"/>
          <w:lang w:val="en-US" w:eastAsia="zh-CN"/>
        </w:rPr>
      </w:pPr>
      <w:r>
        <w:rPr>
          <w:rFonts w:hint="eastAsia"/>
          <w:lang w:val="en-US" w:eastAsia="zh-CN"/>
        </w:rPr>
        <w:drawing>
          <wp:inline distT="0" distB="0" distL="114300" distR="114300">
            <wp:extent cx="5742940" cy="8126730"/>
            <wp:effectExtent l="0" t="0" r="635" b="7620"/>
            <wp:docPr id="7" name="图片 7" descr="采购文件公平竞争审查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采购文件公平竞争审查表_02"/>
                    <pic:cNvPicPr>
                      <a:picLocks noChangeAspect="1"/>
                    </pic:cNvPicPr>
                  </pic:nvPicPr>
                  <pic:blipFill>
                    <a:blip r:embed="rId11"/>
                    <a:stretch>
                      <a:fillRect/>
                    </a:stretch>
                  </pic:blipFill>
                  <pic:spPr>
                    <a:xfrm>
                      <a:off x="0" y="0"/>
                      <a:ext cx="5742940" cy="8126730"/>
                    </a:xfrm>
                    <a:prstGeom prst="rect">
                      <a:avLst/>
                    </a:prstGeom>
                  </pic:spPr>
                </pic:pic>
              </a:graphicData>
            </a:graphic>
          </wp:inline>
        </w:drawing>
      </w:r>
    </w:p>
    <w:p w14:paraId="195232DB">
      <w:pPr>
        <w:rPr>
          <w:rFonts w:hint="eastAsia"/>
          <w:lang w:val="en-US" w:eastAsia="zh-CN"/>
        </w:rPr>
      </w:pPr>
    </w:p>
    <w:p w14:paraId="34742CF2">
      <w:pPr>
        <w:rPr>
          <w:rFonts w:hint="eastAsia"/>
          <w:lang w:val="en-US" w:eastAsia="zh-CN"/>
        </w:rPr>
      </w:pPr>
    </w:p>
    <w:p w14:paraId="5E42A7EE">
      <w:pPr>
        <w:rPr>
          <w:rFonts w:hint="eastAsia"/>
          <w:lang w:val="en-US" w:eastAsia="zh-CN"/>
        </w:rPr>
      </w:pPr>
    </w:p>
    <w:p w14:paraId="4048FD36">
      <w:pPr>
        <w:rPr>
          <w:rFonts w:hint="eastAsia"/>
          <w:lang w:val="en-US" w:eastAsia="zh-CN"/>
        </w:rPr>
      </w:pPr>
    </w:p>
    <w:p w14:paraId="3CA442EF">
      <w:pPr>
        <w:rPr>
          <w:rFonts w:hint="eastAsia"/>
          <w:lang w:val="en-US" w:eastAsia="zh-CN"/>
        </w:rPr>
      </w:pPr>
    </w:p>
    <w:p w14:paraId="2BB9734C">
      <w:pPr>
        <w:pStyle w:val="7"/>
        <w:bidi w:val="0"/>
        <w:spacing w:before="0" w:after="0" w:line="240" w:lineRule="auto"/>
        <w:rPr>
          <w:rFonts w:hint="eastAsia" w:ascii="仿宋" w:hAnsi="仿宋" w:eastAsia="仿宋" w:cs="仿宋"/>
          <w:b/>
          <w:bCs/>
          <w:color w:val="000000"/>
          <w:sz w:val="32"/>
          <w:szCs w:val="32"/>
          <w:highlight w:val="none"/>
        </w:rPr>
      </w:pPr>
    </w:p>
    <w:p w14:paraId="6FCD33E6">
      <w:pPr>
        <w:pStyle w:val="12"/>
        <w:ind w:firstLine="964" w:firstLineChars="3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纳竜坝村小组茶产业及人居环境综合整治提升项目</w:t>
      </w:r>
    </w:p>
    <w:p w14:paraId="28DC2EF6">
      <w:pPr>
        <w:ind w:firstLine="2880" w:firstLineChars="900"/>
        <w:jc w:val="both"/>
        <w:outlineLvl w:val="0"/>
        <w:rPr>
          <w:rFonts w:hint="eastAsia" w:ascii="仿宋" w:hAnsi="仿宋" w:eastAsia="仿宋" w:cs="仿宋"/>
          <w:b w:val="0"/>
          <w:bCs w:val="0"/>
          <w:color w:val="auto"/>
          <w:sz w:val="32"/>
          <w:szCs w:val="32"/>
          <w:highlight w:val="none"/>
        </w:rPr>
      </w:pPr>
      <w:bookmarkStart w:id="1" w:name="_Toc29980"/>
      <w:bookmarkStart w:id="2" w:name="_Toc31763"/>
      <w:bookmarkStart w:id="3" w:name="_Toc18722"/>
      <w:bookmarkStart w:id="4" w:name="_Toc2604"/>
    </w:p>
    <w:p w14:paraId="13F616E3">
      <w:pPr>
        <w:spacing w:line="480" w:lineRule="auto"/>
        <w:ind w:firstLine="2880" w:firstLineChars="900"/>
        <w:jc w:val="both"/>
        <w:outlineLvl w:val="0"/>
        <w:rPr>
          <w:rFonts w:hint="default" w:ascii="仿宋" w:hAnsi="仿宋" w:eastAsia="仿宋" w:cs="仿宋"/>
          <w:b w:val="0"/>
          <w:bCs w:val="0"/>
          <w:color w:val="auto"/>
          <w:sz w:val="32"/>
          <w:szCs w:val="32"/>
          <w:highlight w:val="none"/>
          <w:lang w:val="en-US"/>
        </w:rPr>
      </w:pPr>
      <w:r>
        <w:rPr>
          <w:rFonts w:hint="eastAsia" w:ascii="仿宋" w:hAnsi="仿宋" w:eastAsia="仿宋" w:cs="仿宋"/>
          <w:b w:val="0"/>
          <w:bCs w:val="0"/>
          <w:color w:val="auto"/>
          <w:sz w:val="32"/>
          <w:szCs w:val="32"/>
          <w:highlight w:val="none"/>
        </w:rPr>
        <w:t>采购文件编制人：</w:t>
      </w:r>
      <w:bookmarkEnd w:id="1"/>
      <w:bookmarkEnd w:id="2"/>
      <w:bookmarkEnd w:id="3"/>
      <w:bookmarkEnd w:id="4"/>
      <w:r>
        <w:rPr>
          <w:rFonts w:hint="eastAsia" w:ascii="仿宋" w:hAnsi="仿宋" w:eastAsia="仿宋" w:cs="仿宋"/>
          <w:b w:val="0"/>
          <w:bCs w:val="0"/>
          <w:color w:val="auto"/>
          <w:sz w:val="32"/>
          <w:szCs w:val="32"/>
          <w:highlight w:val="none"/>
          <w:lang w:val="en-US" w:eastAsia="zh-CN"/>
        </w:rPr>
        <w:t>玉应新</w:t>
      </w:r>
    </w:p>
    <w:p w14:paraId="515C5861">
      <w:pPr>
        <w:spacing w:line="480" w:lineRule="auto"/>
        <w:jc w:val="center"/>
        <w:outlineLvl w:val="0"/>
        <w:rPr>
          <w:rFonts w:hint="default" w:ascii="仿宋" w:hAnsi="仿宋" w:eastAsia="仿宋" w:cs="仿宋"/>
          <w:b w:val="0"/>
          <w:bCs w:val="0"/>
          <w:color w:val="auto"/>
          <w:sz w:val="32"/>
          <w:szCs w:val="32"/>
          <w:highlight w:val="none"/>
          <w:lang w:val="en-US" w:eastAsia="zh-CN"/>
        </w:rPr>
      </w:pPr>
      <w:bookmarkStart w:id="5" w:name="_Toc16761"/>
      <w:bookmarkStart w:id="6" w:name="_Toc264"/>
      <w:bookmarkStart w:id="7" w:name="_Toc19332"/>
      <w:bookmarkStart w:id="8" w:name="_Toc16935"/>
      <w:r>
        <w:rPr>
          <w:rFonts w:hint="eastAsia" w:ascii="仿宋" w:hAnsi="仿宋" w:eastAsia="仿宋" w:cs="仿宋"/>
          <w:b w:val="0"/>
          <w:bCs w:val="0"/>
          <w:color w:val="auto"/>
          <w:sz w:val="32"/>
          <w:szCs w:val="32"/>
          <w:highlight w:val="none"/>
        </w:rPr>
        <w:t>采购文件复审人：</w:t>
      </w:r>
      <w:bookmarkEnd w:id="5"/>
      <w:bookmarkEnd w:id="6"/>
      <w:bookmarkEnd w:id="7"/>
      <w:bookmarkEnd w:id="8"/>
      <w:r>
        <w:rPr>
          <w:rFonts w:hint="eastAsia" w:ascii="仿宋" w:hAnsi="仿宋" w:eastAsia="仿宋" w:cs="仿宋"/>
          <w:b w:val="0"/>
          <w:bCs w:val="0"/>
          <w:color w:val="auto"/>
          <w:sz w:val="32"/>
          <w:szCs w:val="32"/>
          <w:highlight w:val="none"/>
          <w:lang w:val="en-US" w:eastAsia="zh-CN"/>
        </w:rPr>
        <w:t>吴绍雄、刘子旋</w:t>
      </w:r>
    </w:p>
    <w:p w14:paraId="5D7B0D0D">
      <w:pPr>
        <w:pStyle w:val="7"/>
        <w:bidi w:val="0"/>
        <w:spacing w:before="0" w:after="0" w:line="480" w:lineRule="auto"/>
        <w:ind w:firstLine="2880" w:firstLineChars="900"/>
        <w:rPr>
          <w:rFonts w:hint="default" w:ascii="仿宋" w:hAnsi="仿宋" w:eastAsia="仿宋" w:cs="仿宋"/>
          <w:b w:val="0"/>
          <w:bCs w:val="0"/>
          <w:color w:val="auto"/>
          <w:sz w:val="32"/>
          <w:szCs w:val="32"/>
          <w:highlight w:val="none"/>
          <w:lang w:val="en-US" w:eastAsia="zh-CN"/>
        </w:rPr>
      </w:pPr>
      <w:bookmarkStart w:id="9" w:name="_Toc24346"/>
      <w:bookmarkStart w:id="10" w:name="_Toc736"/>
      <w:bookmarkStart w:id="11" w:name="_Toc19778"/>
      <w:bookmarkStart w:id="12" w:name="_Toc14600"/>
      <w:r>
        <w:rPr>
          <w:rFonts w:hint="eastAsia" w:ascii="仿宋" w:hAnsi="仿宋" w:eastAsia="仿宋" w:cs="仿宋"/>
          <w:b w:val="0"/>
          <w:bCs w:val="0"/>
          <w:color w:val="auto"/>
          <w:sz w:val="32"/>
          <w:szCs w:val="32"/>
          <w:highlight w:val="none"/>
        </w:rPr>
        <w:t>采购单位审核人：</w:t>
      </w:r>
      <w:bookmarkEnd w:id="9"/>
      <w:bookmarkEnd w:id="10"/>
      <w:bookmarkEnd w:id="11"/>
      <w:bookmarkEnd w:id="12"/>
      <w:r>
        <w:rPr>
          <w:rFonts w:hint="eastAsia" w:ascii="仿宋" w:hAnsi="仿宋" w:eastAsia="仿宋" w:cs="仿宋"/>
          <w:b w:val="0"/>
          <w:bCs w:val="0"/>
          <w:color w:val="auto"/>
          <w:kern w:val="2"/>
          <w:sz w:val="32"/>
          <w:szCs w:val="32"/>
          <w:highlight w:val="none"/>
          <w:lang w:val="en-US" w:eastAsia="zh-CN" w:bidi="ar-SA"/>
        </w:rPr>
        <w:t>胡源</w:t>
      </w:r>
    </w:p>
    <w:p w14:paraId="308ACEFD">
      <w:pPr>
        <w:spacing w:line="480" w:lineRule="auto"/>
        <w:jc w:val="center"/>
        <w:outlineLvl w:val="0"/>
        <w:rPr>
          <w:rFonts w:hint="default" w:ascii="仿宋" w:hAnsi="仿宋" w:eastAsia="仿宋" w:cs="仿宋"/>
          <w:b/>
          <w:color w:val="auto"/>
          <w:sz w:val="32"/>
          <w:szCs w:val="32"/>
          <w:highlight w:val="none"/>
          <w:lang w:val="en-US" w:eastAsia="zh-CN"/>
        </w:rPr>
      </w:pPr>
    </w:p>
    <w:p w14:paraId="25112AF7">
      <w:pPr>
        <w:pStyle w:val="7"/>
        <w:bidi w:val="0"/>
        <w:spacing w:before="0" w:after="0" w:line="240" w:lineRule="auto"/>
        <w:ind w:firstLine="4819" w:firstLineChars="1500"/>
        <w:rPr>
          <w:rFonts w:hint="eastAsia" w:ascii="仿宋" w:hAnsi="仿宋" w:eastAsia="仿宋" w:cs="仿宋"/>
          <w:b/>
          <w:color w:val="auto"/>
          <w:sz w:val="32"/>
          <w:szCs w:val="32"/>
          <w:highlight w:val="none"/>
          <w:lang w:val="en-US" w:eastAsia="zh-CN"/>
        </w:rPr>
      </w:pPr>
    </w:p>
    <w:p w14:paraId="4E38F65E">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23BCE376">
      <w:pPr>
        <w:rPr>
          <w:rFonts w:hint="eastAsia" w:ascii="仿宋" w:hAnsi="仿宋" w:eastAsia="仿宋" w:cs="仿宋"/>
          <w:b/>
          <w:color w:val="auto"/>
          <w:sz w:val="28"/>
          <w:szCs w:val="28"/>
          <w:highlight w:val="none"/>
          <w:lang w:val="en-US" w:eastAsia="zh-CN"/>
        </w:rPr>
      </w:pPr>
    </w:p>
    <w:p w14:paraId="6061841B">
      <w:pPr>
        <w:rPr>
          <w:rFonts w:hint="eastAsia" w:ascii="仿宋" w:hAnsi="仿宋" w:eastAsia="仿宋" w:cs="仿宋"/>
          <w:b/>
          <w:color w:val="auto"/>
          <w:sz w:val="28"/>
          <w:szCs w:val="28"/>
          <w:highlight w:val="none"/>
          <w:lang w:val="en-US" w:eastAsia="zh-CN"/>
        </w:rPr>
      </w:pPr>
    </w:p>
    <w:p w14:paraId="3C606EDB">
      <w:pPr>
        <w:rPr>
          <w:rFonts w:hint="eastAsia" w:ascii="仿宋" w:hAnsi="仿宋" w:eastAsia="仿宋" w:cs="仿宋"/>
          <w:b/>
          <w:color w:val="auto"/>
          <w:sz w:val="28"/>
          <w:szCs w:val="28"/>
          <w:highlight w:val="none"/>
          <w:lang w:val="en-US" w:eastAsia="zh-CN"/>
        </w:rPr>
      </w:pPr>
    </w:p>
    <w:p w14:paraId="434696B7">
      <w:pPr>
        <w:rPr>
          <w:rFonts w:hint="eastAsia" w:ascii="仿宋" w:hAnsi="仿宋" w:eastAsia="仿宋" w:cs="仿宋"/>
          <w:b/>
          <w:color w:val="auto"/>
          <w:sz w:val="28"/>
          <w:szCs w:val="28"/>
          <w:highlight w:val="none"/>
          <w:lang w:val="en-US" w:eastAsia="zh-CN"/>
        </w:rPr>
      </w:pPr>
    </w:p>
    <w:p w14:paraId="555E8D37">
      <w:pPr>
        <w:rPr>
          <w:rFonts w:hint="eastAsia" w:ascii="仿宋" w:hAnsi="仿宋" w:eastAsia="仿宋" w:cs="仿宋"/>
          <w:b/>
          <w:color w:val="auto"/>
          <w:sz w:val="28"/>
          <w:szCs w:val="28"/>
          <w:highlight w:val="none"/>
          <w:lang w:val="en-US" w:eastAsia="zh-CN"/>
        </w:rPr>
      </w:pPr>
    </w:p>
    <w:p w14:paraId="1FA6A461">
      <w:pPr>
        <w:rPr>
          <w:rFonts w:hint="eastAsia" w:ascii="仿宋" w:hAnsi="仿宋" w:eastAsia="仿宋" w:cs="仿宋"/>
          <w:b/>
          <w:color w:val="auto"/>
          <w:sz w:val="28"/>
          <w:szCs w:val="28"/>
          <w:highlight w:val="none"/>
          <w:lang w:val="en-US" w:eastAsia="zh-CN"/>
        </w:rPr>
      </w:pPr>
    </w:p>
    <w:p w14:paraId="56990B16">
      <w:pPr>
        <w:rPr>
          <w:rFonts w:hint="eastAsia" w:ascii="仿宋" w:hAnsi="仿宋" w:eastAsia="仿宋" w:cs="仿宋"/>
          <w:b/>
          <w:color w:val="auto"/>
          <w:sz w:val="28"/>
          <w:szCs w:val="28"/>
          <w:highlight w:val="none"/>
          <w:lang w:val="en-US" w:eastAsia="zh-CN"/>
        </w:rPr>
      </w:pPr>
    </w:p>
    <w:p w14:paraId="1255D623">
      <w:pPr>
        <w:rPr>
          <w:rFonts w:hint="eastAsia" w:ascii="仿宋" w:hAnsi="仿宋" w:eastAsia="仿宋" w:cs="仿宋"/>
          <w:b/>
          <w:color w:val="auto"/>
          <w:sz w:val="28"/>
          <w:szCs w:val="28"/>
          <w:highlight w:val="none"/>
          <w:lang w:val="en-US" w:eastAsia="zh-CN"/>
        </w:rPr>
      </w:pPr>
    </w:p>
    <w:p w14:paraId="4763B5F1">
      <w:pPr>
        <w:rPr>
          <w:rFonts w:hint="eastAsia" w:ascii="仿宋" w:hAnsi="仿宋" w:eastAsia="仿宋" w:cs="仿宋"/>
          <w:b/>
          <w:color w:val="auto"/>
          <w:sz w:val="28"/>
          <w:szCs w:val="28"/>
          <w:highlight w:val="none"/>
          <w:lang w:val="en-US" w:eastAsia="zh-CN"/>
        </w:rPr>
      </w:pPr>
    </w:p>
    <w:p w14:paraId="4E6B20FF">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303F4FDD">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75B32C17">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6307B1F9">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79A66166">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573591DA">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7A1F7206">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79389370">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17AA78A0">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321A8380">
      <w:pPr>
        <w:pStyle w:val="7"/>
        <w:bidi w:val="0"/>
        <w:spacing w:before="0" w:after="0" w:line="240" w:lineRule="auto"/>
        <w:ind w:firstLine="0" w:firstLineChars="0"/>
        <w:rPr>
          <w:rFonts w:hint="eastAsia" w:ascii="仿宋" w:hAnsi="仿宋" w:eastAsia="仿宋" w:cs="仿宋"/>
          <w:b/>
          <w:color w:val="auto"/>
          <w:sz w:val="28"/>
          <w:szCs w:val="28"/>
          <w:highlight w:val="none"/>
          <w:lang w:val="en-US" w:eastAsia="zh-CN"/>
        </w:rPr>
      </w:pPr>
    </w:p>
    <w:p w14:paraId="165B29AD">
      <w:pPr>
        <w:rPr>
          <w:rFonts w:hint="eastAsia" w:ascii="仿宋" w:hAnsi="仿宋" w:eastAsia="仿宋" w:cs="仿宋"/>
          <w:b/>
          <w:color w:val="auto"/>
          <w:sz w:val="28"/>
          <w:szCs w:val="28"/>
          <w:highlight w:val="none"/>
          <w:lang w:val="en-US" w:eastAsia="zh-CN"/>
        </w:rPr>
      </w:pPr>
    </w:p>
    <w:p w14:paraId="5641EC9D">
      <w:pPr>
        <w:rPr>
          <w:rFonts w:hint="eastAsia" w:ascii="仿宋" w:hAnsi="仿宋" w:eastAsia="仿宋" w:cs="仿宋"/>
          <w:b/>
          <w:color w:val="auto"/>
          <w:sz w:val="28"/>
          <w:szCs w:val="28"/>
          <w:highlight w:val="none"/>
          <w:lang w:val="en-US" w:eastAsia="zh-CN"/>
        </w:rPr>
      </w:pPr>
    </w:p>
    <w:p w14:paraId="5C5A3BC5">
      <w:pPr>
        <w:pStyle w:val="7"/>
        <w:bidi w:val="0"/>
        <w:spacing w:before="0" w:after="0" w:line="240" w:lineRule="auto"/>
        <w:ind w:firstLine="3534" w:firstLineChars="1100"/>
        <w:rPr>
          <w:rFonts w:hint="eastAsia" w:ascii="仿宋" w:hAnsi="仿宋" w:eastAsia="仿宋" w:cs="仿宋"/>
          <w:b/>
          <w:bCs/>
          <w:color w:val="000000"/>
          <w:sz w:val="28"/>
          <w:szCs w:val="28"/>
          <w:highlight w:val="none"/>
        </w:rPr>
      </w:pPr>
      <w:r>
        <w:rPr>
          <w:rFonts w:hint="eastAsia" w:ascii="仿宋" w:hAnsi="仿宋" w:eastAsia="仿宋" w:cs="仿宋"/>
          <w:b/>
          <w:bCs/>
          <w:color w:val="000000"/>
          <w:sz w:val="32"/>
          <w:szCs w:val="32"/>
          <w:highlight w:val="none"/>
        </w:rPr>
        <w:t xml:space="preserve">目 </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录</w:t>
      </w:r>
    </w:p>
    <w:p w14:paraId="7EBFB88A">
      <w:pPr>
        <w:pStyle w:val="21"/>
        <w:shd w:val="clear" w:color="auto" w:fill="auto"/>
        <w:tabs>
          <w:tab w:val="right" w:leader="dot" w:pos="9070"/>
        </w:tabs>
        <w:wordWrap w:val="0"/>
        <w:spacing w:line="360" w:lineRule="auto"/>
        <w:rPr>
          <w:rFonts w:hint="eastAsia" w:ascii="仿宋" w:hAnsi="仿宋" w:eastAsia="仿宋" w:cs="仿宋"/>
          <w:bCs w:val="0"/>
          <w:color w:val="000000"/>
          <w:highlight w:val="none"/>
        </w:rPr>
      </w:pPr>
    </w:p>
    <w:p w14:paraId="375E729B">
      <w:pPr>
        <w:pStyle w:val="21"/>
        <w:tabs>
          <w:tab w:val="right" w:leader="dot" w:pos="9070"/>
        </w:tabs>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TOC \o "1-1" \h \u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_Toc19848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rPr>
        <w:t>第一章 竞争性磋商公告</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_Toc19848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p>
    <w:p w14:paraId="0B3BB473">
      <w:pPr>
        <w:pStyle w:val="21"/>
        <w:tabs>
          <w:tab w:val="right" w:leader="dot" w:pos="9070"/>
        </w:tabs>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_Toc2050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fldChar w:fldCharType="end"/>
      </w:r>
    </w:p>
    <w:p w14:paraId="20C2D653">
      <w:pPr>
        <w:pStyle w:val="21"/>
        <w:tabs>
          <w:tab w:val="right" w:leader="dot" w:pos="9070"/>
        </w:tabs>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_Toc32102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第三章 评审办法</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5</w:t>
      </w:r>
    </w:p>
    <w:p w14:paraId="551DF034">
      <w:pPr>
        <w:pStyle w:val="21"/>
        <w:tabs>
          <w:tab w:val="right" w:leader="dot" w:pos="9070"/>
        </w:tabs>
        <w:spacing w:line="360" w:lineRule="auto"/>
        <w:rPr>
          <w:rFonts w:hint="eastAsia" w:eastAsia="仿宋"/>
          <w:lang w:val="en-US" w:eastAsia="zh-CN"/>
        </w:rPr>
      </w:pPr>
      <w:r>
        <w:rPr>
          <w:rFonts w:hint="eastAsia" w:ascii="仿宋" w:hAnsi="仿宋" w:eastAsia="仿宋" w:cs="仿宋"/>
          <w:color w:val="000000"/>
          <w:sz w:val="28"/>
          <w:szCs w:val="28"/>
          <w:highlight w:val="none"/>
          <w:lang w:val="en-US" w:eastAsia="zh-CN"/>
        </w:rPr>
        <w:t xml:space="preserve">第四章 </w:t>
      </w:r>
      <w:r>
        <w:rPr>
          <w:rFonts w:hint="eastAsia" w:ascii="仿宋" w:hAnsi="仿宋" w:eastAsia="仿宋" w:cs="仿宋"/>
          <w:color w:val="000000"/>
          <w:sz w:val="28"/>
          <w:szCs w:val="28"/>
          <w:highlight w:val="none"/>
        </w:rPr>
        <w:t>采购需求</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_Toc32102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0</w:t>
      </w:r>
    </w:p>
    <w:p w14:paraId="5D73C60A">
      <w:pPr>
        <w:pStyle w:val="21"/>
        <w:tabs>
          <w:tab w:val="right" w:leader="dot" w:pos="9070"/>
        </w:tabs>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_Toc14383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rPr>
        <w:t>第</w:t>
      </w:r>
      <w:r>
        <w:rPr>
          <w:rFonts w:hint="eastAsia" w:ascii="仿宋" w:hAnsi="仿宋" w:eastAsia="仿宋" w:cs="仿宋"/>
          <w:bCs/>
          <w:color w:val="000000"/>
          <w:sz w:val="28"/>
          <w:szCs w:val="28"/>
          <w:highlight w:val="none"/>
          <w:lang w:val="en-US" w:eastAsia="zh-CN"/>
        </w:rPr>
        <w:t>五</w:t>
      </w:r>
      <w:r>
        <w:rPr>
          <w:rFonts w:hint="eastAsia" w:ascii="仿宋" w:hAnsi="仿宋" w:eastAsia="仿宋" w:cs="仿宋"/>
          <w:bCs/>
          <w:color w:val="000000"/>
          <w:sz w:val="28"/>
          <w:szCs w:val="28"/>
          <w:highlight w:val="none"/>
        </w:rPr>
        <w:t>章 合同条款及格式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3</w:t>
      </w:r>
    </w:p>
    <w:p w14:paraId="4DD3BA41">
      <w:pPr>
        <w:pStyle w:val="21"/>
        <w:tabs>
          <w:tab w:val="right" w:leader="dot" w:pos="9070"/>
        </w:tabs>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_Toc20420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rPr>
        <w:t>第</w:t>
      </w:r>
      <w:r>
        <w:rPr>
          <w:rFonts w:hint="eastAsia" w:ascii="仿宋" w:hAnsi="仿宋" w:eastAsia="仿宋" w:cs="仿宋"/>
          <w:bCs/>
          <w:color w:val="000000"/>
          <w:sz w:val="28"/>
          <w:szCs w:val="28"/>
          <w:highlight w:val="none"/>
          <w:lang w:val="en-US" w:eastAsia="zh-CN"/>
        </w:rPr>
        <w:t>六</w:t>
      </w:r>
      <w:r>
        <w:rPr>
          <w:rFonts w:hint="eastAsia" w:ascii="仿宋" w:hAnsi="仿宋" w:eastAsia="仿宋" w:cs="仿宋"/>
          <w:bCs/>
          <w:color w:val="000000"/>
          <w:sz w:val="28"/>
          <w:szCs w:val="28"/>
          <w:highlight w:val="none"/>
        </w:rPr>
        <w:t>章 响应文件格式</w:t>
      </w:r>
      <w:r>
        <w:rPr>
          <w:rFonts w:hint="eastAsia" w:ascii="仿宋" w:hAnsi="仿宋" w:eastAsia="仿宋" w:cs="仿宋"/>
          <w:color w:val="000000"/>
          <w:sz w:val="28"/>
          <w:szCs w:val="28"/>
          <w:highlight w:val="none"/>
        </w:rPr>
        <w:tab/>
      </w: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PAGEREF _Toc20420 \h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167</w:t>
      </w:r>
      <w:r>
        <w:rPr>
          <w:rFonts w:hint="eastAsia" w:ascii="仿宋" w:hAnsi="仿宋" w:eastAsia="仿宋" w:cs="仿宋"/>
          <w:bCs/>
          <w:color w:val="000000"/>
          <w:sz w:val="28"/>
          <w:szCs w:val="28"/>
          <w:highlight w:val="none"/>
        </w:rPr>
        <w:fldChar w:fldCharType="end"/>
      </w:r>
      <w:r>
        <w:rPr>
          <w:rFonts w:hint="eastAsia" w:ascii="仿宋" w:hAnsi="仿宋" w:eastAsia="仿宋" w:cs="仿宋"/>
          <w:color w:val="000000"/>
          <w:sz w:val="28"/>
          <w:szCs w:val="28"/>
          <w:highlight w:val="none"/>
        </w:rPr>
        <w:fldChar w:fldCharType="end"/>
      </w:r>
    </w:p>
    <w:p w14:paraId="12A440DE">
      <w:pPr>
        <w:pStyle w:val="21"/>
        <w:tabs>
          <w:tab w:val="right" w:leader="dot" w:pos="9070"/>
        </w:tabs>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_Toc7194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第七章 工程量清单</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92</w:t>
      </w:r>
    </w:p>
    <w:p w14:paraId="28F8979C">
      <w:pPr>
        <w:pStyle w:val="37"/>
        <w:keepNext w:val="0"/>
        <w:keepLines w:val="0"/>
        <w:pageBreakBefore w:val="0"/>
        <w:shd w:val="clear" w:color="auto" w:fill="auto"/>
        <w:tabs>
          <w:tab w:val="right" w:leader="dot" w:pos="9070"/>
        </w:tabs>
        <w:kinsoku/>
        <w:wordWrap w:val="0"/>
        <w:overflowPunct/>
        <w:topLinePunct w:val="0"/>
        <w:autoSpaceDE/>
        <w:autoSpaceDN/>
        <w:bidi w:val="0"/>
        <w:adjustRightInd/>
        <w:snapToGrid/>
        <w:spacing w:line="360" w:lineRule="auto"/>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end"/>
      </w:r>
    </w:p>
    <w:p w14:paraId="5F1A57FA">
      <w:pPr>
        <w:pStyle w:val="37"/>
        <w:keepNext w:val="0"/>
        <w:keepLines w:val="0"/>
        <w:pageBreakBefore w:val="0"/>
        <w:shd w:val="clear" w:color="auto" w:fill="auto"/>
        <w:tabs>
          <w:tab w:val="right" w:leader="dot" w:pos="9070"/>
        </w:tabs>
        <w:kinsoku/>
        <w:wordWrap w:val="0"/>
        <w:overflowPunct/>
        <w:topLinePunct w:val="0"/>
        <w:autoSpaceDE/>
        <w:autoSpaceDN/>
        <w:bidi w:val="0"/>
        <w:adjustRightInd/>
        <w:snapToGrid/>
        <w:spacing w:line="360" w:lineRule="auto"/>
        <w:textAlignment w:val="auto"/>
        <w:rPr>
          <w:rFonts w:hint="eastAsia" w:ascii="仿宋" w:hAnsi="仿宋" w:eastAsia="仿宋" w:cs="仿宋"/>
          <w:color w:val="000000"/>
          <w:sz w:val="28"/>
          <w:szCs w:val="28"/>
          <w:highlight w:val="none"/>
          <w:lang w:val="en-US" w:eastAsia="zh-CN"/>
        </w:rPr>
      </w:pPr>
    </w:p>
    <w:p w14:paraId="355E0A49">
      <w:pPr>
        <w:shd w:val="clear" w:color="auto" w:fill="auto"/>
        <w:wordWrap w:val="0"/>
        <w:spacing w:line="500" w:lineRule="exact"/>
        <w:rPr>
          <w:rFonts w:hint="eastAsia" w:ascii="仿宋" w:hAnsi="仿宋" w:eastAsia="仿宋" w:cs="仿宋"/>
          <w:b/>
          <w:bCs/>
          <w:color w:val="000000"/>
          <w:sz w:val="44"/>
          <w:highlight w:val="none"/>
        </w:rPr>
      </w:pPr>
    </w:p>
    <w:p w14:paraId="7A3EB4AF">
      <w:pPr>
        <w:shd w:val="clear" w:color="auto" w:fill="auto"/>
        <w:wordWrap w:val="0"/>
        <w:spacing w:line="500" w:lineRule="exact"/>
        <w:rPr>
          <w:rFonts w:hint="eastAsia" w:ascii="仿宋" w:hAnsi="仿宋" w:eastAsia="仿宋" w:cs="仿宋"/>
          <w:b/>
          <w:bCs/>
          <w:color w:val="000000"/>
          <w:sz w:val="44"/>
          <w:highlight w:val="none"/>
        </w:rPr>
      </w:pPr>
    </w:p>
    <w:p w14:paraId="4D77D4A3">
      <w:pPr>
        <w:shd w:val="clear" w:color="auto" w:fill="auto"/>
        <w:wordWrap w:val="0"/>
        <w:spacing w:line="500" w:lineRule="exact"/>
        <w:rPr>
          <w:rFonts w:hint="eastAsia" w:ascii="仿宋" w:hAnsi="仿宋" w:eastAsia="仿宋" w:cs="仿宋"/>
          <w:b/>
          <w:bCs/>
          <w:color w:val="000000"/>
          <w:sz w:val="44"/>
          <w:highlight w:val="none"/>
        </w:rPr>
      </w:pPr>
    </w:p>
    <w:p w14:paraId="5A56423A">
      <w:pPr>
        <w:shd w:val="clear" w:color="auto" w:fill="auto"/>
        <w:wordWrap w:val="0"/>
        <w:spacing w:line="500" w:lineRule="exact"/>
        <w:rPr>
          <w:rFonts w:hint="eastAsia" w:ascii="仿宋" w:hAnsi="仿宋" w:eastAsia="仿宋" w:cs="仿宋"/>
          <w:b/>
          <w:bCs/>
          <w:color w:val="000000"/>
          <w:sz w:val="44"/>
          <w:highlight w:val="none"/>
        </w:rPr>
      </w:pPr>
    </w:p>
    <w:p w14:paraId="101277B2">
      <w:pPr>
        <w:shd w:val="clear" w:color="auto" w:fill="auto"/>
        <w:wordWrap w:val="0"/>
        <w:spacing w:line="480" w:lineRule="exact"/>
        <w:jc w:val="center"/>
        <w:rPr>
          <w:rFonts w:hint="eastAsia" w:ascii="仿宋" w:hAnsi="仿宋" w:eastAsia="仿宋" w:cs="仿宋"/>
          <w:b/>
          <w:bCs/>
          <w:color w:val="000000"/>
          <w:sz w:val="32"/>
          <w:szCs w:val="32"/>
          <w:highlight w:val="none"/>
        </w:rPr>
        <w:sectPr>
          <w:headerReference r:id="rId3" w:type="default"/>
          <w:footerReference r:id="rId4" w:type="default"/>
          <w:pgSz w:w="11906" w:h="16838"/>
          <w:pgMar w:top="1440" w:right="1418" w:bottom="1558" w:left="1418" w:header="851" w:footer="824" w:gutter="0"/>
          <w:pgNumType w:start="1"/>
          <w:cols w:space="720" w:num="1"/>
          <w:docGrid w:linePitch="312" w:charSpace="0"/>
        </w:sectPr>
      </w:pPr>
      <w:bookmarkStart w:id="13" w:name="_Hlt106081166"/>
      <w:bookmarkEnd w:id="13"/>
      <w:bookmarkStart w:id="14" w:name="_Hlt106009959"/>
      <w:bookmarkEnd w:id="14"/>
      <w:bookmarkStart w:id="15" w:name="_Hlt255389641"/>
      <w:bookmarkEnd w:id="15"/>
      <w:bookmarkStart w:id="16" w:name="_Toc420767679"/>
    </w:p>
    <w:p w14:paraId="59F67CC8">
      <w:pPr>
        <w:shd w:val="clear" w:color="auto" w:fill="auto"/>
        <w:wordWrap w:val="0"/>
        <w:spacing w:after="156" w:afterLines="50" w:line="480" w:lineRule="exact"/>
        <w:jc w:val="center"/>
        <w:outlineLvl w:val="0"/>
        <w:rPr>
          <w:rFonts w:hint="eastAsia" w:ascii="仿宋" w:hAnsi="仿宋" w:eastAsia="仿宋" w:cs="仿宋"/>
          <w:color w:val="000000"/>
          <w:sz w:val="28"/>
          <w:szCs w:val="28"/>
          <w:highlight w:val="none"/>
        </w:rPr>
      </w:pPr>
      <w:bookmarkStart w:id="17" w:name="_Toc13443"/>
      <w:bookmarkStart w:id="18" w:name="_Toc2308"/>
      <w:bookmarkStart w:id="19" w:name="_Toc6121"/>
      <w:bookmarkStart w:id="20" w:name="_Toc6197"/>
      <w:bookmarkStart w:id="21" w:name="_Toc26665"/>
      <w:bookmarkStart w:id="22" w:name="_Toc23402"/>
      <w:bookmarkStart w:id="23" w:name="_Toc19848"/>
      <w:r>
        <w:rPr>
          <w:rFonts w:hint="eastAsia" w:ascii="仿宋" w:hAnsi="仿宋" w:eastAsia="仿宋" w:cs="仿宋"/>
          <w:b/>
          <w:bCs/>
          <w:color w:val="000000"/>
          <w:sz w:val="32"/>
          <w:szCs w:val="32"/>
          <w:highlight w:val="none"/>
        </w:rPr>
        <w:t>第一章</w:t>
      </w:r>
      <w:bookmarkEnd w:id="16"/>
      <w:r>
        <w:rPr>
          <w:rFonts w:hint="eastAsia" w:ascii="仿宋" w:hAnsi="仿宋" w:eastAsia="仿宋" w:cs="仿宋"/>
          <w:b/>
          <w:bCs/>
          <w:color w:val="000000"/>
          <w:sz w:val="32"/>
          <w:szCs w:val="32"/>
          <w:highlight w:val="none"/>
        </w:rPr>
        <w:t xml:space="preserve"> 竞争性磋商公告</w:t>
      </w:r>
      <w:bookmarkEnd w:id="17"/>
      <w:bookmarkEnd w:id="18"/>
      <w:bookmarkEnd w:id="19"/>
      <w:bookmarkEnd w:id="20"/>
      <w:bookmarkEnd w:id="21"/>
      <w:bookmarkEnd w:id="22"/>
      <w:bookmarkEnd w:id="23"/>
      <w:bookmarkStart w:id="24" w:name="_Toc420767680"/>
    </w:p>
    <w:p w14:paraId="71D5930C">
      <w:pPr>
        <w:pBdr>
          <w:top w:val="single" w:color="auto" w:sz="4" w:space="0"/>
          <w:left w:val="single" w:color="auto" w:sz="4" w:space="0"/>
          <w:bottom w:val="single" w:color="auto" w:sz="4" w:space="0"/>
          <w:right w:val="single" w:color="auto" w:sz="4" w:space="0"/>
        </w:pBdr>
        <w:shd w:val="clear" w:color="auto" w:fill="auto"/>
        <w:wordWrap w:val="0"/>
        <w:snapToGrid w:val="0"/>
        <w:spacing w:line="44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项目概况</w:t>
      </w:r>
    </w:p>
    <w:p w14:paraId="170B3D8E">
      <w:pPr>
        <w:pBdr>
          <w:top w:val="single" w:color="auto" w:sz="4" w:space="0"/>
          <w:left w:val="single" w:color="auto" w:sz="4" w:space="0"/>
          <w:bottom w:val="single" w:color="auto" w:sz="4" w:space="0"/>
          <w:right w:val="single" w:color="auto" w:sz="4" w:space="0"/>
        </w:pBdr>
        <w:shd w:val="clear" w:color="auto" w:fill="auto"/>
        <w:wordWrap w:val="0"/>
        <w:snapToGrid w:val="0"/>
        <w:spacing w:line="440" w:lineRule="exact"/>
        <w:ind w:firstLine="561"/>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lang w:eastAsia="zh-CN"/>
        </w:rPr>
        <w:t>纳竜坝村小组茶产业及人居环境综合整治提升项目</w:t>
      </w:r>
      <w:r>
        <w:rPr>
          <w:rFonts w:hint="eastAsia" w:ascii="仿宋" w:hAnsi="仿宋" w:eastAsia="仿宋" w:cs="仿宋"/>
          <w:color w:val="000000"/>
          <w:spacing w:val="-6"/>
          <w:sz w:val="24"/>
          <w:szCs w:val="24"/>
          <w:highlight w:val="none"/>
        </w:rPr>
        <w:t>的潜在供应商应在</w:t>
      </w:r>
      <w:r>
        <w:rPr>
          <w:rFonts w:hint="eastAsia" w:ascii="仿宋" w:hAnsi="仿宋" w:eastAsia="仿宋" w:cs="仿宋"/>
          <w:color w:val="000000"/>
          <w:spacing w:val="-6"/>
          <w:sz w:val="24"/>
          <w:szCs w:val="24"/>
          <w:highlight w:val="none"/>
          <w:lang w:eastAsia="zh-CN"/>
        </w:rPr>
        <w:t>政府采购云平台（https://www.zcygov.cn）</w:t>
      </w:r>
      <w:r>
        <w:rPr>
          <w:rFonts w:hint="eastAsia" w:ascii="仿宋" w:hAnsi="仿宋" w:eastAsia="仿宋" w:cs="仿宋"/>
          <w:color w:val="000000"/>
          <w:sz w:val="24"/>
          <w:szCs w:val="24"/>
          <w:highlight w:val="none"/>
        </w:rPr>
        <w:t>获取竞争性磋商文件，并</w:t>
      </w:r>
      <w:r>
        <w:rPr>
          <w:rFonts w:hint="eastAsia" w:ascii="仿宋" w:hAnsi="仿宋" w:eastAsia="仿宋" w:cs="仿宋"/>
          <w:color w:val="000000"/>
          <w:spacing w:val="-6"/>
          <w:sz w:val="24"/>
          <w:szCs w:val="24"/>
          <w:highlight w:val="none"/>
          <w:lang w:eastAsia="zh-CN"/>
        </w:rPr>
        <w:t>于</w:t>
      </w:r>
      <w:r>
        <w:rPr>
          <w:rFonts w:hint="eastAsia" w:ascii="仿宋" w:hAnsi="仿宋" w:eastAsia="仿宋" w:cs="仿宋"/>
          <w:color w:val="auto"/>
          <w:sz w:val="24"/>
          <w:szCs w:val="24"/>
          <w:highlight w:val="none"/>
          <w:u w:val="none"/>
          <w:lang w:val="en-US" w:eastAsia="zh-CN"/>
        </w:rPr>
        <w:t>2026年09月30日9时00分</w:t>
      </w:r>
      <w:r>
        <w:rPr>
          <w:rFonts w:hint="eastAsia" w:ascii="仿宋" w:hAnsi="仿宋" w:eastAsia="仿宋" w:cs="仿宋"/>
          <w:color w:val="000000"/>
          <w:sz w:val="24"/>
          <w:szCs w:val="24"/>
          <w:highlight w:val="none"/>
        </w:rPr>
        <w:t>（北京时间）前提交响应文件。</w:t>
      </w:r>
    </w:p>
    <w:p w14:paraId="5185887F">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bookmarkStart w:id="25" w:name="_Toc35393798"/>
      <w:bookmarkStart w:id="26" w:name="_Toc35393629"/>
      <w:bookmarkStart w:id="27" w:name="_Toc28359012"/>
      <w:bookmarkStart w:id="28" w:name="_Toc28359089"/>
      <w:r>
        <w:rPr>
          <w:rFonts w:hint="eastAsia" w:ascii="仿宋" w:hAnsi="仿宋" w:eastAsia="仿宋" w:cs="仿宋"/>
          <w:b/>
          <w:bCs/>
          <w:color w:val="000000"/>
          <w:sz w:val="24"/>
          <w:szCs w:val="24"/>
          <w:highlight w:val="none"/>
        </w:rPr>
        <w:t>一、项目基本情况</w:t>
      </w:r>
      <w:bookmarkEnd w:id="25"/>
      <w:bookmarkEnd w:id="26"/>
      <w:bookmarkEnd w:id="27"/>
      <w:bookmarkEnd w:id="28"/>
    </w:p>
    <w:p w14:paraId="571F59BF">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1.项目编号</w:t>
      </w:r>
      <w:r>
        <w:rPr>
          <w:rFonts w:hint="eastAsia" w:ascii="仿宋" w:hAnsi="仿宋" w:eastAsia="仿宋" w:cs="仿宋"/>
          <w:b w:val="0"/>
          <w:bCs w:val="0"/>
          <w:color w:val="000000"/>
          <w:sz w:val="24"/>
          <w:szCs w:val="24"/>
          <w:highlight w:val="none"/>
          <w:lang w:eastAsia="zh-CN"/>
        </w:rPr>
        <w:t>：XSBNZC2026-C2-00561-YNJY-0006。</w:t>
      </w:r>
    </w:p>
    <w:p w14:paraId="6B9E7DF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2.项目名称：</w:t>
      </w:r>
      <w:r>
        <w:rPr>
          <w:rFonts w:hint="eastAsia" w:ascii="仿宋" w:hAnsi="仿宋" w:eastAsia="仿宋" w:cs="仿宋"/>
          <w:b w:val="0"/>
          <w:bCs w:val="0"/>
          <w:color w:val="000000"/>
          <w:sz w:val="24"/>
          <w:szCs w:val="24"/>
          <w:highlight w:val="none"/>
          <w:lang w:eastAsia="zh-CN"/>
        </w:rPr>
        <w:t>纳竜坝村小组茶产业及人居环境综合整治提升项目</w:t>
      </w:r>
      <w:r>
        <w:rPr>
          <w:rFonts w:hint="eastAsia" w:ascii="仿宋" w:hAnsi="仿宋" w:eastAsia="仿宋" w:cs="仿宋"/>
          <w:b w:val="0"/>
          <w:bCs w:val="0"/>
          <w:color w:val="000000"/>
          <w:sz w:val="24"/>
          <w:szCs w:val="24"/>
          <w:highlight w:val="none"/>
        </w:rPr>
        <w:t>。</w:t>
      </w:r>
    </w:p>
    <w:p w14:paraId="3DEA877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3.采购方式</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rPr>
        <w:t>竞争性磋商。</w:t>
      </w:r>
    </w:p>
    <w:p w14:paraId="480D1DE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4.预算金额</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元</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color w:val="000000"/>
          <w:sz w:val="24"/>
          <w:szCs w:val="24"/>
          <w:highlight w:val="none"/>
          <w:lang w:val="en-US" w:eastAsia="zh-CN"/>
        </w:rPr>
        <w:t>1100000.00   大写：（壹佰壹拾万元整)</w:t>
      </w:r>
      <w:r>
        <w:rPr>
          <w:rFonts w:hint="eastAsia" w:ascii="仿宋" w:hAnsi="仿宋" w:eastAsia="仿宋" w:cs="仿宋"/>
          <w:b w:val="0"/>
          <w:bCs w:val="0"/>
          <w:color w:val="000000"/>
          <w:sz w:val="24"/>
          <w:szCs w:val="24"/>
          <w:highlight w:val="none"/>
        </w:rPr>
        <w:t>。</w:t>
      </w:r>
    </w:p>
    <w:p w14:paraId="2A7531B6">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00"/>
          <w:sz w:val="24"/>
          <w:szCs w:val="24"/>
          <w:highlight w:val="none"/>
        </w:rPr>
        <w:t>5.最高限价</w:t>
      </w:r>
      <w:r>
        <w:rPr>
          <w:rFonts w:hint="eastAsia" w:ascii="仿宋" w:hAnsi="仿宋" w:eastAsia="仿宋" w:cs="仿宋"/>
          <w:b w:val="0"/>
          <w:bCs w:val="0"/>
          <w:color w:val="000000"/>
          <w:sz w:val="24"/>
          <w:szCs w:val="24"/>
          <w:highlight w:val="none"/>
          <w:lang w:val="en-US" w:eastAsia="zh-CN"/>
        </w:rPr>
        <w:t>（元）：1099862.72   大写：（壹佰零玖万玖仟捌佰陆拾贰元柒角贰分）。</w:t>
      </w:r>
    </w:p>
    <w:p w14:paraId="3714E1C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6.采购需求：1.新建标准化钢架结构茶叶加工厂 1 座，长 15 米、宽6 米，地面硬化 90 平方米框架，辐射带动洪水河片区茶农，统一开展茶叶收购、精深加工、产销对接服务；2.村内道路硬化工程 1000 米，路面平均宽度 3 米；3.修建排水渠 500 米，包含三面光、四面光防渗沟渠；4.民族陀螺文化活动场地长 26 米，宽 17 米，地面硬化442 平方米（围墙砌筑高 1.2 米，长 30 米，做护壁），修建钢架结构顶大棚 1 个面积 550 平方米；5.安装乡村亮化路灯 10 盏（具体以发布的工程量清单及图纸为准）。</w:t>
      </w:r>
    </w:p>
    <w:p w14:paraId="5941D5D7">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7.</w:t>
      </w:r>
      <w:r>
        <w:rPr>
          <w:rFonts w:hint="eastAsia" w:ascii="仿宋" w:hAnsi="仿宋" w:eastAsia="仿宋" w:cs="仿宋"/>
          <w:b w:val="0"/>
          <w:bCs w:val="0"/>
          <w:color w:val="000000"/>
          <w:sz w:val="24"/>
          <w:szCs w:val="24"/>
          <w:highlight w:val="none"/>
          <w:lang w:val="en-US" w:eastAsia="zh-CN"/>
        </w:rPr>
        <w:t>合同履行期限</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自采购人与成交供应商签订的合同生效之日起，工期90日历天。</w:t>
      </w:r>
    </w:p>
    <w:p w14:paraId="71ED1F0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8.本项目是否接受联合体：□是   ☑否。</w:t>
      </w:r>
    </w:p>
    <w:p w14:paraId="2195BE1D">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000000"/>
          <w:sz w:val="24"/>
          <w:szCs w:val="24"/>
          <w:highlight w:val="none"/>
          <w:lang w:eastAsia="zh-CN"/>
        </w:rPr>
      </w:pPr>
      <w:bookmarkStart w:id="29" w:name="_Toc28359013"/>
      <w:bookmarkStart w:id="30" w:name="_Toc35393630"/>
      <w:bookmarkStart w:id="31" w:name="_Toc35393799"/>
      <w:bookmarkStart w:id="32" w:name="_Toc28359090"/>
      <w:r>
        <w:rPr>
          <w:rFonts w:hint="eastAsia" w:ascii="仿宋" w:hAnsi="仿宋" w:eastAsia="仿宋" w:cs="仿宋"/>
          <w:b w:val="0"/>
          <w:bCs w:val="0"/>
          <w:color w:val="000000"/>
          <w:sz w:val="24"/>
          <w:szCs w:val="24"/>
          <w:highlight w:val="none"/>
          <w:lang w:eastAsia="zh-CN"/>
        </w:rPr>
        <w:t>二、供应商的资格要求</w:t>
      </w:r>
      <w:bookmarkEnd w:id="29"/>
      <w:bookmarkEnd w:id="30"/>
      <w:bookmarkEnd w:id="31"/>
      <w:bookmarkEnd w:id="32"/>
    </w:p>
    <w:p w14:paraId="614FDA5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eastAsia="zh-CN"/>
        </w:rPr>
        <w:t>1.满足《中华人民共和国政府采购法》第</w:t>
      </w:r>
      <w:r>
        <w:rPr>
          <w:rFonts w:hint="eastAsia" w:ascii="仿宋" w:hAnsi="仿宋" w:eastAsia="仿宋" w:cs="仿宋"/>
          <w:color w:val="000000"/>
          <w:sz w:val="24"/>
          <w:szCs w:val="24"/>
          <w:highlight w:val="none"/>
        </w:rPr>
        <w:t>二十二条规定。</w:t>
      </w:r>
    </w:p>
    <w:p w14:paraId="6173717C">
      <w:pPr>
        <w:keepNext w:val="0"/>
        <w:keepLines w:val="0"/>
        <w:pageBreakBefore w:val="0"/>
        <w:widowControl w:val="0"/>
        <w:kinsoku/>
        <w:wordWrap w:val="0"/>
        <w:overflowPunct/>
        <w:topLinePunct w:val="0"/>
        <w:autoSpaceDE/>
        <w:autoSpaceDN/>
        <w:bidi w:val="0"/>
        <w:adjustRightInd/>
        <w:spacing w:line="480" w:lineRule="exact"/>
        <w:ind w:right="0" w:rightChars="0" w:firstLine="480" w:firstLineChars="200"/>
        <w:textAlignment w:val="auto"/>
        <w:outlineLvl w:val="9"/>
        <w:rPr>
          <w:rFonts w:hint="eastAsia" w:ascii="仿宋" w:hAnsi="仿宋" w:eastAsia="仿宋" w:cs="仿宋"/>
          <w:color w:val="000000"/>
          <w:sz w:val="24"/>
          <w:szCs w:val="24"/>
          <w:highlight w:val="none"/>
        </w:rPr>
      </w:pPr>
      <w:bookmarkStart w:id="33" w:name="_Toc6374"/>
      <w:bookmarkStart w:id="34" w:name="_Toc24146"/>
      <w:bookmarkStart w:id="35" w:name="_Toc10178"/>
      <w:bookmarkStart w:id="36" w:name="_Toc29933"/>
      <w:bookmarkStart w:id="37" w:name="_Toc28359091"/>
      <w:bookmarkStart w:id="38" w:name="_Toc28359014"/>
      <w:r>
        <w:rPr>
          <w:rFonts w:hint="eastAsia" w:ascii="仿宋" w:hAnsi="仿宋" w:eastAsia="仿宋" w:cs="仿宋"/>
          <w:color w:val="000000"/>
          <w:sz w:val="24"/>
          <w:szCs w:val="24"/>
          <w:highlight w:val="none"/>
        </w:rPr>
        <w:t>2.落实政府采购政策需满足的资格要求</w:t>
      </w:r>
      <w:bookmarkEnd w:id="33"/>
      <w:bookmarkEnd w:id="34"/>
      <w:bookmarkEnd w:id="35"/>
      <w:bookmarkEnd w:id="36"/>
    </w:p>
    <w:p w14:paraId="53544A7E">
      <w:pPr>
        <w:keepNext w:val="0"/>
        <w:keepLines w:val="0"/>
        <w:pageBreakBefore w:val="0"/>
        <w:widowControl w:val="0"/>
        <w:kinsoku/>
        <w:wordWrap w:val="0"/>
        <w:overflowPunct/>
        <w:topLinePunct w:val="0"/>
        <w:autoSpaceDE/>
        <w:autoSpaceDN/>
        <w:bidi w:val="0"/>
        <w:adjustRightInd/>
        <w:spacing w:line="480" w:lineRule="exact"/>
        <w:ind w:right="0" w:rightChars="0" w:firstLine="480" w:firstLineChars="200"/>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2.1 中小企业政策</w:t>
      </w:r>
    </w:p>
    <w:p w14:paraId="6D4BD11E">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□本项目不专门面向中小企业预留采购份额。</w:t>
      </w:r>
    </w:p>
    <w:p w14:paraId="03C1CCE8">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val="en-US" w:eastAsia="zh-CN"/>
        </w:rPr>
        <w:t>根据《政府采购促进中小企业发展管理办法》（财库〔2020〕46号）、《关于进一步加大政府采购支持中小企业力度通知》（财库〔2022〕19号）、《财政部 司法部关于政府采购支持监狱企业发展有关问题的通知》 (财库〔2014〕68 号)、《财政部 民政部 中国残疾人联合会关于促进残疾人就业政府采购政策的通知》（财库〔2017〕141号）和《云南省财政厅关于促进政府采购公平竞争优化营商环境的实施意见》（云财规〔2019〕5号）等文件规定，本项目对符合规定的小微企业报价给予3%的扣除，用扣除后的价格参加评审。监狱企业、残疾人福利性单位视同小微企业。监狱企业、残疾人福利性单位属于小微企业的，不重复享受价格扣除优惠政策。价格扣除比例对小型企业和微型企业同等对待，不作区分</w:t>
      </w:r>
      <w:r>
        <w:rPr>
          <w:rFonts w:hint="eastAsia" w:ascii="仿宋" w:hAnsi="仿宋" w:eastAsia="仿宋" w:cs="仿宋"/>
          <w:color w:val="auto"/>
          <w:sz w:val="24"/>
          <w:szCs w:val="24"/>
          <w:lang w:val="en-US" w:eastAsia="zh-CN"/>
        </w:rPr>
        <w:t>。</w:t>
      </w:r>
    </w:p>
    <w:p w14:paraId="5BC09C2C">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☑本项目专门面向 ☑中小 ☑小微企业 采购。即：工程由符合政策要求的中小/小微企业承建。</w:t>
      </w:r>
    </w:p>
    <w:p w14:paraId="2DE54CB6">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lang w:eastAsia="zh-CN"/>
        </w:rPr>
        <w:t>。</w:t>
      </w:r>
    </w:p>
    <w:p w14:paraId="045D6BB6">
      <w:pPr>
        <w:keepNext w:val="0"/>
        <w:keepLines w:val="0"/>
        <w:pageBreakBefore w:val="0"/>
        <w:widowControl w:val="0"/>
        <w:kinsoku/>
        <w:wordWrap w:val="0"/>
        <w:overflowPunct/>
        <w:topLinePunct w:val="0"/>
        <w:autoSpaceDE/>
        <w:autoSpaceDN/>
        <w:bidi w:val="0"/>
        <w:adjustRightInd/>
        <w:spacing w:line="480" w:lineRule="exact"/>
        <w:ind w:right="0" w:righ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2.2 其它落实政府采购政策的资格要求（如有）：</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lang w:eastAsia="zh-CN"/>
        </w:rPr>
        <w:t>。</w:t>
      </w:r>
    </w:p>
    <w:p w14:paraId="6A48D9BB">
      <w:pPr>
        <w:keepNext w:val="0"/>
        <w:keepLines w:val="0"/>
        <w:pageBreakBefore w:val="0"/>
        <w:widowControl w:val="0"/>
        <w:kinsoku/>
        <w:wordWrap w:val="0"/>
        <w:overflowPunct/>
        <w:topLinePunct w:val="0"/>
        <w:autoSpaceDE/>
        <w:autoSpaceDN/>
        <w:bidi w:val="0"/>
        <w:adjustRightInd/>
        <w:spacing w:line="480" w:lineRule="exact"/>
        <w:ind w:right="0" w:rightChars="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.本项目的特定资格要求</w:t>
      </w:r>
    </w:p>
    <w:p w14:paraId="26FE1C9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lang w:eastAsia="zh-CN"/>
        </w:rPr>
        <w:t>3.1 本项目是否属于政府购买服务：</w:t>
      </w:r>
    </w:p>
    <w:p w14:paraId="1A6E5AE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☑否</w:t>
      </w:r>
    </w:p>
    <w:p w14:paraId="282E4100">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color w:val="auto"/>
          <w:sz w:val="24"/>
          <w:szCs w:val="24"/>
          <w:lang w:eastAsia="zh-CN"/>
        </w:rPr>
        <w:t>□是，公益一类事业单位、使用事业编制且由财政拨款保障的群团组织，不得作为承接主体；</w:t>
      </w:r>
    </w:p>
    <w:p w14:paraId="0EA302BD">
      <w:pPr>
        <w:keepNext w:val="0"/>
        <w:keepLines w:val="0"/>
        <w:pageBreakBefore w:val="0"/>
        <w:widowControl w:val="0"/>
        <w:kinsoku/>
        <w:wordWrap/>
        <w:overflowPunct/>
        <w:topLinePunct w:val="0"/>
        <w:autoSpaceDE/>
        <w:autoSpaceDN/>
        <w:bidi w:val="0"/>
        <w:snapToGrid/>
        <w:spacing w:line="460" w:lineRule="exact"/>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3.2其他特定资格要求：</w:t>
      </w:r>
    </w:p>
    <w:p w14:paraId="25C2A66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供应商未被列入“信用中国”网站（http://www.creditchina.gov.cn）失信被执行人[根据网站提示链接到中国执行信息网（http://zxgk.court.gov.cn）查询]、重大税收违法失信主体和政府采购严重违法失信行为记录名单;未被列入“中国政府采购网”（http://www.ccgp.gov.cn）政府采购严重违法失信行为记录名单（处罚期限尚未届满的）。（查询结果以采购人、采购代理机构查询结果为准）。</w:t>
      </w:r>
    </w:p>
    <w:p w14:paraId="5831432C">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lang w:val="en-US" w:eastAsia="zh-CN"/>
        </w:rPr>
        <w:t>（2）单位负责人为同一人或者存在直接控股、管理关系的不同供应商，不得参加同一合同项下的政府采购活动。</w:t>
      </w:r>
    </w:p>
    <w:p w14:paraId="784C7A88">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bookmarkStart w:id="39" w:name="_Toc35393631"/>
      <w:bookmarkStart w:id="40" w:name="_Toc35393800"/>
      <w:r>
        <w:rPr>
          <w:rFonts w:hint="eastAsia" w:ascii="仿宋" w:hAnsi="仿宋" w:eastAsia="仿宋" w:cs="仿宋"/>
          <w:bCs w:val="0"/>
          <w:color w:val="auto"/>
          <w:kern w:val="2"/>
          <w:sz w:val="24"/>
          <w:szCs w:val="24"/>
          <w:highlight w:val="none"/>
          <w:lang w:val="en-US" w:eastAsia="zh-CN" w:bidi="ar-SA"/>
        </w:rPr>
        <w:t>（</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b w:val="0"/>
          <w:bCs w:val="0"/>
          <w:color w:val="auto"/>
          <w:sz w:val="24"/>
          <w:szCs w:val="24"/>
          <w:highlight w:val="none"/>
          <w:u w:val="none"/>
          <w:lang w:val="en-US" w:eastAsia="zh-CN"/>
        </w:rPr>
        <w:t>本次采购要求供应商应具备独立承担民事责任能力的法人或者其他组织，具备有效期内的建筑工程施工总承包叁级以上（含叁级）资质或钢结构工程专业承包叁级以上（含叁级）资质或依据《云南省住房和城乡建设厅关于做好有关建设工程企业资质证书换领和延续工作的通知》云建建(2024)82号文规定，办理更新的钢结构工程专业承包二级以上（含二级）资质，并具有有效的安全生产许可证。</w:t>
      </w:r>
    </w:p>
    <w:p w14:paraId="73B48ED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（4）供应商拟派项目负责人应具有有效的建筑工程专业二级以上（含二级）建造师注册证书和安全生产考核合格证书，拟派项目负责人不得担任其他在建工程项目的项目负责人。</w:t>
      </w:r>
    </w:p>
    <w:p w14:paraId="12F34315">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三、</w:t>
      </w:r>
      <w:bookmarkEnd w:id="37"/>
      <w:bookmarkEnd w:id="38"/>
      <w:bookmarkEnd w:id="39"/>
      <w:bookmarkEnd w:id="40"/>
      <w:r>
        <w:rPr>
          <w:rFonts w:hint="eastAsia" w:ascii="仿宋" w:hAnsi="仿宋" w:eastAsia="仿宋" w:cs="仿宋"/>
          <w:b/>
          <w:bCs/>
          <w:color w:val="000000"/>
          <w:sz w:val="24"/>
          <w:szCs w:val="24"/>
          <w:highlight w:val="none"/>
        </w:rPr>
        <w:t>获取采购文件</w:t>
      </w:r>
    </w:p>
    <w:p w14:paraId="2B1F4D4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bookmarkStart w:id="41" w:name="_Toc35393801"/>
      <w:bookmarkStart w:id="42" w:name="_Toc28359015"/>
      <w:bookmarkStart w:id="43" w:name="_Toc35393632"/>
      <w:bookmarkStart w:id="44" w:name="_Toc28359092"/>
      <w:r>
        <w:rPr>
          <w:rFonts w:hint="eastAsia" w:ascii="仿宋" w:hAnsi="仿宋" w:eastAsia="仿宋" w:cs="仿宋"/>
          <w:color w:val="auto"/>
          <w:sz w:val="24"/>
          <w:szCs w:val="24"/>
          <w:highlight w:val="none"/>
          <w:u w:val="none"/>
          <w:lang w:val="en-US" w:eastAsia="zh-CN"/>
        </w:rPr>
        <w:t>1.时间：</w:t>
      </w:r>
      <w:r>
        <w:rPr>
          <w:rFonts w:hint="eastAsia" w:ascii="仿宋" w:hAnsi="仿宋" w:eastAsia="仿宋" w:cs="仿宋"/>
          <w:color w:val="auto"/>
          <w:sz w:val="24"/>
          <w:szCs w:val="24"/>
          <w:u w:val="single"/>
          <w:lang w:val="en-US" w:eastAsia="zh-CN"/>
        </w:rPr>
        <w:t xml:space="preserve"> 2026年09月20日至2026年09月28日 每日上午:06:00-12:00，下午:12:00-23:59</w:t>
      </w:r>
      <w:r>
        <w:rPr>
          <w:rFonts w:hint="eastAsia" w:ascii="仿宋" w:hAnsi="仿宋" w:eastAsia="仿宋" w:cs="仿宋"/>
          <w:color w:val="auto"/>
          <w:sz w:val="24"/>
          <w:szCs w:val="24"/>
          <w:highlight w:val="none"/>
          <w:u w:val="none"/>
          <w:lang w:val="en-US" w:eastAsia="zh-CN"/>
        </w:rPr>
        <w:t>（北京时间，法定节假日除外）。</w:t>
      </w:r>
    </w:p>
    <w:p w14:paraId="16CFE85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2.地点：政采云平台（https://www.zcygov.cn/）线上获取 。</w:t>
      </w:r>
    </w:p>
    <w:p w14:paraId="386BF8E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方式：凡有意参加响应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响应资格。</w:t>
      </w:r>
    </w:p>
    <w:p w14:paraId="1FE8FA56">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4.售价：0元。</w:t>
      </w:r>
    </w:p>
    <w:p w14:paraId="63DEFB6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四、响应文件提交</w:t>
      </w:r>
      <w:bookmarkEnd w:id="41"/>
      <w:bookmarkEnd w:id="42"/>
      <w:bookmarkEnd w:id="43"/>
      <w:bookmarkEnd w:id="44"/>
    </w:p>
    <w:p w14:paraId="2795941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1.截止时间：2026年09月30日9时00分（北京时间）。</w:t>
      </w:r>
    </w:p>
    <w:p w14:paraId="3953A44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2.地点：</w:t>
      </w:r>
      <w:bookmarkStart w:id="45" w:name="_Toc35393633"/>
      <w:bookmarkStart w:id="46" w:name="_Toc35393802"/>
      <w:bookmarkStart w:id="47" w:name="_Toc28359016"/>
      <w:bookmarkStart w:id="48" w:name="_Toc28359093"/>
      <w:r>
        <w:rPr>
          <w:rFonts w:hint="eastAsia" w:ascii="仿宋" w:hAnsi="仿宋" w:eastAsia="仿宋" w:cs="仿宋"/>
          <w:color w:val="000000"/>
          <w:sz w:val="24"/>
          <w:szCs w:val="24"/>
          <w:highlight w:val="none"/>
          <w:lang w:eastAsia="zh-CN"/>
        </w:rPr>
        <w:t>政府采购云平台（https://www.zcygov.cn）</w:t>
      </w:r>
      <w:r>
        <w:rPr>
          <w:rFonts w:hint="eastAsia" w:ascii="仿宋" w:hAnsi="仿宋" w:eastAsia="仿宋" w:cs="仿宋"/>
          <w:color w:val="000000"/>
          <w:sz w:val="24"/>
          <w:szCs w:val="24"/>
          <w:highlight w:val="none"/>
        </w:rPr>
        <w:t>（网上提交）。</w:t>
      </w:r>
    </w:p>
    <w:p w14:paraId="0C13544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五、开启</w:t>
      </w:r>
      <w:bookmarkEnd w:id="45"/>
      <w:bookmarkEnd w:id="46"/>
      <w:bookmarkEnd w:id="47"/>
      <w:bookmarkEnd w:id="48"/>
    </w:p>
    <w:p w14:paraId="69E192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1.时间：2026年09月30日9时00分（北京时间）。</w:t>
      </w:r>
    </w:p>
    <w:p w14:paraId="4BA2FCE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2.地点：</w:t>
      </w:r>
      <w:bookmarkStart w:id="49" w:name="_Toc28359017"/>
      <w:bookmarkStart w:id="50" w:name="_Toc35393803"/>
      <w:bookmarkStart w:id="51" w:name="_Toc28359094"/>
      <w:bookmarkStart w:id="52" w:name="_Toc35393634"/>
      <w:r>
        <w:rPr>
          <w:rFonts w:hint="eastAsia" w:ascii="仿宋" w:hAnsi="仿宋" w:eastAsia="仿宋" w:cs="仿宋"/>
          <w:color w:val="000000"/>
          <w:sz w:val="24"/>
          <w:szCs w:val="24"/>
          <w:highlight w:val="none"/>
          <w:lang w:eastAsia="zh-CN"/>
        </w:rPr>
        <w:t>云南锦寅工程咨询有限公司（云南省西双版纳傣族自治州景洪市曼弄枫会展国际D20-DX-114）</w:t>
      </w:r>
      <w:r>
        <w:rPr>
          <w:rFonts w:hint="eastAsia" w:ascii="仿宋" w:hAnsi="仿宋" w:eastAsia="仿宋" w:cs="仿宋"/>
          <w:color w:val="000000"/>
          <w:sz w:val="24"/>
          <w:szCs w:val="24"/>
          <w:highlight w:val="none"/>
        </w:rPr>
        <w:t>。</w:t>
      </w:r>
    </w:p>
    <w:p w14:paraId="0E5BF32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六、公告期限</w:t>
      </w:r>
      <w:bookmarkEnd w:id="49"/>
      <w:bookmarkEnd w:id="50"/>
      <w:bookmarkEnd w:id="51"/>
      <w:bookmarkEnd w:id="52"/>
    </w:p>
    <w:p w14:paraId="6DFD9D7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自本公告发布之日起</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个工作日。</w:t>
      </w:r>
    </w:p>
    <w:p w14:paraId="55858E5F">
      <w:pPr>
        <w:keepNext w:val="0"/>
        <w:keepLines w:val="0"/>
        <w:pageBreakBefore w:val="0"/>
        <w:widowControl w:val="0"/>
        <w:numPr>
          <w:ilvl w:val="0"/>
          <w:numId w:val="4"/>
        </w:numPr>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bookmarkStart w:id="53" w:name="_Toc35393804"/>
      <w:bookmarkStart w:id="54" w:name="_Toc35393635"/>
      <w:r>
        <w:rPr>
          <w:rFonts w:hint="eastAsia" w:ascii="仿宋" w:hAnsi="仿宋" w:eastAsia="仿宋" w:cs="仿宋"/>
          <w:b/>
          <w:bCs/>
          <w:color w:val="000000"/>
          <w:sz w:val="24"/>
          <w:szCs w:val="24"/>
          <w:highlight w:val="none"/>
        </w:rPr>
        <w:t>其他补充事宜</w:t>
      </w:r>
      <w:bookmarkEnd w:id="53"/>
      <w:bookmarkEnd w:id="54"/>
    </w:p>
    <w:p w14:paraId="259E5BD7">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default" w:ascii="仿宋" w:hAnsi="仿宋" w:eastAsia="仿宋" w:cs="仿宋"/>
          <w:color w:val="auto"/>
          <w:sz w:val="24"/>
          <w:szCs w:val="24"/>
          <w:highlight w:val="none"/>
          <w:lang w:val="en-US" w:eastAsia="zh-CN"/>
        </w:rPr>
      </w:pPr>
      <w:bookmarkStart w:id="55" w:name="_Toc28359018"/>
      <w:bookmarkStart w:id="56" w:name="_Toc35393805"/>
      <w:bookmarkStart w:id="57" w:name="_Toc28359095"/>
      <w:bookmarkStart w:id="58" w:name="_Toc35393636"/>
      <w:r>
        <w:rPr>
          <w:rFonts w:hint="eastAsia" w:ascii="仿宋" w:hAnsi="仿宋" w:eastAsia="仿宋" w:cs="仿宋"/>
          <w:color w:val="auto"/>
          <w:sz w:val="24"/>
          <w:szCs w:val="24"/>
          <w:highlight w:val="none"/>
          <w:lang w:val="en-US" w:eastAsia="zh-CN"/>
        </w:rPr>
        <w:t>1.本项目需要落实的政府采购政策：</w:t>
      </w:r>
      <w:r>
        <w:rPr>
          <w:rFonts w:hint="eastAsia" w:ascii="仿宋" w:hAnsi="仿宋" w:eastAsia="仿宋" w:cs="仿宋"/>
          <w:color w:val="auto"/>
          <w:sz w:val="24"/>
          <w:szCs w:val="24"/>
          <w:lang w:eastAsia="zh-CN"/>
        </w:rPr>
        <w:t>☑本项目专门面向 □中小 ☑小微企业 采购。即：工程由符合政策要求的中小/小微企业承建。</w:t>
      </w:r>
    </w:p>
    <w:p w14:paraId="12BAABED">
      <w:pPr>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0000FF"/>
          <w:sz w:val="24"/>
          <w:szCs w:val="24"/>
          <w:highlight w:val="none"/>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.项目地址：</w:t>
      </w:r>
      <w:r>
        <w:rPr>
          <w:rFonts w:hint="eastAsia" w:ascii="仿宋" w:hAnsi="仿宋" w:eastAsia="仿宋" w:cs="仿宋"/>
          <w:color w:val="auto"/>
          <w:sz w:val="24"/>
          <w:szCs w:val="24"/>
          <w:highlight w:val="none"/>
          <w:lang w:val="en-US" w:eastAsia="zh-CN"/>
        </w:rPr>
        <w:t>勐腊县象明彝族乡蛮砖村委会纳竜坝村小组。</w:t>
      </w:r>
    </w:p>
    <w:p w14:paraId="1D23ED4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77FA520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CA数字证书服务热线 </w:t>
      </w:r>
    </w:p>
    <w:p w14:paraId="48D9ECB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汇信CA：0571-88350735</w:t>
      </w:r>
    </w:p>
    <w:p w14:paraId="09461F4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云南CA:4006727666</w:t>
      </w:r>
    </w:p>
    <w:p w14:paraId="40E91F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云南壹证通：4000040628</w:t>
      </w:r>
    </w:p>
    <w:p w14:paraId="4DDCBC5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福建CA：0591-87760022</w:t>
      </w:r>
    </w:p>
    <w:p w14:paraId="6F1CE50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3.1办理 CA 数字证书，供应商登录云南省省级政府采购电子交易平台查阅操作指南—入驻与配置—CA管理。使用操作指南，按照程序要求办理。 </w:t>
      </w:r>
    </w:p>
    <w:p w14:paraId="12B4410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3.2注册供应商登录云南省省级政府采购电子交易平台操作指南—入驻与配置—云南省供应商注册入驻与配置。注册入库操作流程指引进行自助注册绑定。 </w:t>
      </w:r>
    </w:p>
    <w:p w14:paraId="1BF03D9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677A90B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获取电子采购文件供应商使用账号密码或CA数字证书登录相关驱动及客户端获取电子采购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59F3C81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3.5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64D97DE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3.6提交电子投标文件供应商应于投标截止时间前在政府采购电子交易平台提交电子投标文件，上传电子投标文件过程中请保持与互联网的连接畅通。 </w:t>
      </w:r>
    </w:p>
    <w:p w14:paraId="74AE01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3.7电子开标供应商在开标地点使用账号密码或CA数字证书登录云南省省级政府采购电子交易平台进行电子开标。</w:t>
      </w:r>
    </w:p>
    <w:p w14:paraId="14EB8A2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4、质量要求：按国家及相关行业质量验收标准，一次性验收合格。</w:t>
      </w:r>
    </w:p>
    <w:p w14:paraId="6CE7ED5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八、凡对本次采购提出询问，请按以下方式联系。</w:t>
      </w:r>
      <w:bookmarkEnd w:id="55"/>
      <w:bookmarkEnd w:id="56"/>
      <w:bookmarkEnd w:id="57"/>
      <w:bookmarkEnd w:id="58"/>
    </w:p>
    <w:p w14:paraId="654BFA8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color w:val="000000"/>
          <w:sz w:val="24"/>
          <w:szCs w:val="24"/>
          <w:highlight w:val="none"/>
        </w:rPr>
      </w:pPr>
      <w:bookmarkStart w:id="59" w:name="_Toc28359019"/>
      <w:bookmarkStart w:id="60" w:name="_Toc35393806"/>
      <w:bookmarkStart w:id="61" w:name="_Toc28359096"/>
      <w:bookmarkStart w:id="62" w:name="_Toc35393637"/>
      <w:r>
        <w:rPr>
          <w:rFonts w:hint="eastAsia" w:ascii="仿宋" w:hAnsi="仿宋" w:eastAsia="仿宋" w:cs="仿宋"/>
          <w:color w:val="000000"/>
          <w:sz w:val="24"/>
          <w:szCs w:val="24"/>
          <w:highlight w:val="none"/>
        </w:rPr>
        <w:t>1.采购人信息</w:t>
      </w:r>
      <w:bookmarkEnd w:id="59"/>
      <w:bookmarkEnd w:id="60"/>
      <w:bookmarkEnd w:id="61"/>
      <w:bookmarkEnd w:id="62"/>
    </w:p>
    <w:p w14:paraId="3687D3BA">
      <w:pPr>
        <w:numPr>
          <w:ilvl w:val="0"/>
          <w:numId w:val="0"/>
        </w:numPr>
        <w:wordWrap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1.采购人信息</w:t>
      </w:r>
    </w:p>
    <w:p w14:paraId="6AAAF0EB">
      <w:pPr>
        <w:numPr>
          <w:ilvl w:val="0"/>
          <w:numId w:val="0"/>
        </w:numPr>
        <w:wordWrap w:val="0"/>
        <w:spacing w:line="360" w:lineRule="auto"/>
        <w:rPr>
          <w:rFonts w:hint="eastAsia" w:ascii="仿宋" w:hAnsi="仿宋" w:eastAsia="仿宋" w:cs="仿宋"/>
          <w:color w:val="0000FF"/>
          <w:sz w:val="24"/>
          <w:lang w:val="en-US" w:eastAsia="zh-CN"/>
        </w:rPr>
      </w:pPr>
      <w:r>
        <w:rPr>
          <w:rFonts w:hint="eastAsia" w:ascii="仿宋" w:hAnsi="仿宋" w:eastAsia="仿宋" w:cs="仿宋"/>
          <w:sz w:val="24"/>
          <w:lang w:val="en-US" w:eastAsia="zh-CN"/>
        </w:rPr>
        <w:t>名称：勐腊县象明彝族乡人民政府</w:t>
      </w:r>
    </w:p>
    <w:p w14:paraId="1BB7D862">
      <w:pPr>
        <w:numPr>
          <w:ilvl w:val="0"/>
          <w:numId w:val="0"/>
        </w:numPr>
        <w:wordWrap w:val="0"/>
        <w:spacing w:line="360" w:lineRule="auto"/>
        <w:rPr>
          <w:rFonts w:hint="eastAsia" w:ascii="仿宋" w:hAnsi="仿宋" w:eastAsia="仿宋" w:cs="仿宋"/>
          <w:sz w:val="24"/>
          <w:highlight w:val="cyan"/>
          <w:lang w:val="en-US" w:eastAsia="zh-CN"/>
        </w:rPr>
      </w:pPr>
      <w:r>
        <w:rPr>
          <w:rFonts w:hint="eastAsia" w:ascii="仿宋" w:hAnsi="仿宋" w:eastAsia="仿宋" w:cs="仿宋"/>
          <w:sz w:val="24"/>
          <w:lang w:val="en-US" w:eastAsia="zh-CN"/>
        </w:rPr>
        <w:t>地址：</w:t>
      </w:r>
      <w:r>
        <w:rPr>
          <w:rFonts w:hint="eastAsia" w:ascii="仿宋" w:hAnsi="仿宋" w:eastAsia="仿宋" w:cs="仿宋"/>
          <w:color w:val="auto"/>
          <w:sz w:val="24"/>
          <w:szCs w:val="24"/>
          <w:highlight w:val="none"/>
          <w:lang w:val="en-US" w:eastAsia="zh-CN"/>
        </w:rPr>
        <w:t>勐腊县象明彝族乡蛮砖路25号</w:t>
      </w:r>
    </w:p>
    <w:p w14:paraId="2ADEC60A">
      <w:pPr>
        <w:numPr>
          <w:ilvl w:val="0"/>
          <w:numId w:val="0"/>
        </w:numPr>
        <w:wordWrap w:val="0"/>
        <w:spacing w:line="360" w:lineRule="auto"/>
        <w:rPr>
          <w:rFonts w:hint="eastAsia" w:ascii="仿宋" w:hAnsi="仿宋" w:eastAsia="仿宋" w:cs="仿宋"/>
          <w:sz w:val="24"/>
          <w:highlight w:val="cyan"/>
          <w:lang w:val="en-US" w:eastAsia="zh-CN"/>
        </w:rPr>
      </w:pPr>
      <w:bookmarkStart w:id="63" w:name="OLE_LINK9"/>
      <w:r>
        <w:rPr>
          <w:rFonts w:hint="eastAsia" w:ascii="仿宋" w:hAnsi="仿宋" w:eastAsia="仿宋" w:cs="仿宋"/>
          <w:sz w:val="24"/>
          <w:lang w:val="en-US" w:eastAsia="zh-CN"/>
        </w:rPr>
        <w:t>联系人：</w:t>
      </w:r>
      <w:r>
        <w:rPr>
          <w:rFonts w:hint="eastAsia" w:ascii="仿宋" w:hAnsi="仿宋" w:eastAsia="仿宋" w:cs="仿宋"/>
          <w:b w:val="0"/>
          <w:bCs w:val="0"/>
          <w:color w:val="auto"/>
          <w:sz w:val="24"/>
          <w:szCs w:val="24"/>
          <w:highlight w:val="none"/>
          <w:lang w:val="en-US" w:eastAsia="zh-CN"/>
        </w:rPr>
        <w:t>胡源</w:t>
      </w:r>
    </w:p>
    <w:p w14:paraId="5C62A99E">
      <w:pPr>
        <w:numPr>
          <w:ilvl w:val="0"/>
          <w:numId w:val="0"/>
        </w:numPr>
        <w:wordWrap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lang w:val="en-US" w:eastAsia="zh-CN"/>
        </w:rPr>
        <w:t>联系方式</w:t>
      </w:r>
      <w:r>
        <w:rPr>
          <w:rFonts w:hint="eastAsia" w:ascii="仿宋" w:hAnsi="仿宋" w:eastAsia="仿宋" w:cs="仿宋"/>
          <w:b w:val="0"/>
          <w:bCs w:val="0"/>
          <w:color w:val="auto"/>
          <w:sz w:val="24"/>
          <w:szCs w:val="24"/>
          <w:highlight w:val="none"/>
          <w:lang w:val="en-US" w:eastAsia="zh-CN"/>
        </w:rPr>
        <w:t>：</w:t>
      </w:r>
      <w:bookmarkEnd w:id="63"/>
      <w:bookmarkStart w:id="64" w:name="_Toc35393807"/>
      <w:bookmarkStart w:id="65" w:name="_Toc28359097"/>
      <w:bookmarkStart w:id="66" w:name="_Toc35393638"/>
      <w:bookmarkStart w:id="67" w:name="_Toc28359020"/>
      <w:r>
        <w:rPr>
          <w:rFonts w:hint="eastAsia" w:ascii="仿宋" w:hAnsi="仿宋" w:eastAsia="仿宋" w:cs="仿宋"/>
          <w:b w:val="0"/>
          <w:bCs w:val="0"/>
          <w:color w:val="auto"/>
          <w:sz w:val="24"/>
          <w:szCs w:val="24"/>
          <w:highlight w:val="none"/>
          <w:lang w:val="en-US" w:eastAsia="zh-CN"/>
        </w:rPr>
        <w:t xml:space="preserve">15198670542 </w:t>
      </w:r>
    </w:p>
    <w:p w14:paraId="0D028C75">
      <w:pPr>
        <w:numPr>
          <w:ilvl w:val="0"/>
          <w:numId w:val="0"/>
        </w:numPr>
        <w:wordWrap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2.采购代理机构信息</w:t>
      </w:r>
      <w:bookmarkEnd w:id="64"/>
      <w:bookmarkEnd w:id="65"/>
      <w:bookmarkEnd w:id="66"/>
      <w:bookmarkEnd w:id="67"/>
    </w:p>
    <w:p w14:paraId="2F940378">
      <w:pPr>
        <w:numPr>
          <w:ilvl w:val="0"/>
          <w:numId w:val="0"/>
        </w:numPr>
        <w:wordWrap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名   称：云南锦寅工程咨询有限公司</w:t>
      </w:r>
    </w:p>
    <w:p w14:paraId="5E193AA4">
      <w:pPr>
        <w:numPr>
          <w:ilvl w:val="0"/>
          <w:numId w:val="0"/>
        </w:numPr>
        <w:wordWrap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地   址：景洪市曼弄枫会展国际D20-DX-114</w:t>
      </w:r>
    </w:p>
    <w:p w14:paraId="67FEB79A">
      <w:pPr>
        <w:numPr>
          <w:ilvl w:val="0"/>
          <w:numId w:val="0"/>
        </w:numPr>
        <w:wordWrap w:val="0"/>
        <w:spacing w:line="360" w:lineRule="auto"/>
        <w:rPr>
          <w:rFonts w:hint="default" w:ascii="仿宋" w:hAnsi="仿宋" w:eastAsia="仿宋" w:cs="仿宋"/>
          <w:sz w:val="24"/>
          <w:lang w:val="en-US" w:eastAsia="zh-CN"/>
        </w:rPr>
      </w:pPr>
      <w:bookmarkStart w:id="68" w:name="OLE_LINK8"/>
      <w:r>
        <w:rPr>
          <w:rFonts w:hint="eastAsia" w:ascii="仿宋" w:hAnsi="仿宋" w:eastAsia="仿宋" w:cs="仿宋"/>
          <w:sz w:val="24"/>
          <w:lang w:val="en-US" w:eastAsia="zh-CN"/>
        </w:rPr>
        <w:t>联系人：</w:t>
      </w:r>
      <w:bookmarkStart w:id="69" w:name="OLE_LINK6"/>
      <w:r>
        <w:rPr>
          <w:rFonts w:hint="eastAsia" w:ascii="仿宋" w:hAnsi="仿宋" w:eastAsia="仿宋" w:cs="仿宋"/>
          <w:sz w:val="24"/>
          <w:lang w:val="en-US" w:eastAsia="zh-CN"/>
        </w:rPr>
        <w:t>玉应新、刘子旋</w:t>
      </w:r>
    </w:p>
    <w:bookmarkEnd w:id="69"/>
    <w:p w14:paraId="3FC93CB4">
      <w:pPr>
        <w:numPr>
          <w:ilvl w:val="0"/>
          <w:numId w:val="0"/>
        </w:numPr>
        <w:wordWrap w:val="0"/>
        <w:spacing w:line="360" w:lineRule="auto"/>
        <w:rPr>
          <w:rFonts w:hint="eastAsia" w:ascii="仿宋" w:hAnsi="仿宋" w:eastAsia="仿宋" w:cs="仿宋"/>
          <w:sz w:val="24"/>
          <w:lang w:val="en-US" w:eastAsia="zh-CN"/>
        </w:rPr>
      </w:pPr>
      <w:r>
        <w:rPr>
          <w:rFonts w:hint="eastAsia" w:ascii="仿宋" w:hAnsi="仿宋" w:eastAsia="仿宋" w:cs="仿宋"/>
          <w:sz w:val="24"/>
          <w:lang w:val="en-US" w:eastAsia="zh-CN"/>
        </w:rPr>
        <w:t>联系电话：18787937622、</w:t>
      </w:r>
      <w:bookmarkStart w:id="70" w:name="OLE_LINK7"/>
      <w:r>
        <w:rPr>
          <w:rFonts w:hint="eastAsia" w:ascii="仿宋" w:hAnsi="仿宋" w:eastAsia="仿宋" w:cs="仿宋"/>
          <w:sz w:val="24"/>
          <w:lang w:val="en-US" w:eastAsia="zh-CN"/>
        </w:rPr>
        <w:t>15393839379</w:t>
      </w:r>
    </w:p>
    <w:p w14:paraId="3CB606F5">
      <w:pPr>
        <w:numPr>
          <w:ilvl w:val="0"/>
          <w:numId w:val="0"/>
        </w:numPr>
        <w:wordWrap w:val="0"/>
        <w:spacing w:line="240" w:lineRule="auto"/>
        <w:rPr>
          <w:rFonts w:hint="eastAsia" w:ascii="仿宋" w:hAnsi="仿宋" w:eastAsia="仿宋" w:cs="仿宋"/>
          <w:sz w:val="24"/>
          <w:lang w:val="en-US" w:eastAsia="zh-CN"/>
        </w:rPr>
      </w:pPr>
      <w:bookmarkStart w:id="71" w:name="_Toc28359098"/>
      <w:bookmarkStart w:id="72" w:name="_Toc35393639"/>
      <w:bookmarkStart w:id="73" w:name="_Toc35393808"/>
      <w:bookmarkStart w:id="74" w:name="_Toc28359021"/>
      <w:r>
        <w:rPr>
          <w:rFonts w:hint="eastAsia" w:ascii="仿宋" w:hAnsi="仿宋" w:eastAsia="仿宋" w:cs="仿宋"/>
          <w:sz w:val="24"/>
          <w:lang w:val="en-US" w:eastAsia="zh-CN"/>
        </w:rPr>
        <w:t>3.项目联系方式</w:t>
      </w:r>
      <w:bookmarkEnd w:id="71"/>
      <w:bookmarkEnd w:id="72"/>
      <w:bookmarkEnd w:id="73"/>
      <w:bookmarkEnd w:id="74"/>
    </w:p>
    <w:p w14:paraId="4DAB0644">
      <w:pPr>
        <w:numPr>
          <w:ilvl w:val="0"/>
          <w:numId w:val="0"/>
        </w:numPr>
        <w:wordWrap w:val="0"/>
        <w:spacing w:line="360" w:lineRule="auto"/>
        <w:rPr>
          <w:rFonts w:hint="eastAsia" w:ascii="仿宋" w:hAnsi="仿宋" w:eastAsia="仿宋" w:cs="仿宋"/>
          <w:sz w:val="24"/>
          <w:lang w:val="en-US" w:eastAsia="zh-CN"/>
        </w:rPr>
      </w:pPr>
      <w:bookmarkStart w:id="75" w:name="OLE_LINK10"/>
      <w:r>
        <w:rPr>
          <w:rFonts w:hint="eastAsia" w:ascii="仿宋" w:hAnsi="仿宋" w:eastAsia="仿宋" w:cs="仿宋"/>
          <w:sz w:val="24"/>
          <w:lang w:val="en-US" w:eastAsia="zh-CN"/>
        </w:rPr>
        <w:t>项目联系人：玉应新、刘子旋、胡源</w:t>
      </w:r>
    </w:p>
    <w:p w14:paraId="5FD5A3BD">
      <w:pPr>
        <w:numPr>
          <w:ilvl w:val="0"/>
          <w:numId w:val="0"/>
        </w:numPr>
        <w:wordWrap w:val="0"/>
        <w:spacing w:line="360" w:lineRule="auto"/>
        <w:rPr>
          <w:rFonts w:hint="default"/>
          <w:lang w:val="en-US" w:eastAsia="zh-CN"/>
        </w:rPr>
        <w:sectPr>
          <w:footerReference r:id="rId5" w:type="default"/>
          <w:pgSz w:w="11907" w:h="16839"/>
          <w:pgMar w:top="1351" w:right="1048" w:bottom="1600" w:left="1012" w:header="1050" w:footer="1439" w:gutter="0"/>
          <w:pgNumType w:fmt="decimal" w:start="1"/>
          <w:cols w:space="720" w:num="1"/>
        </w:sectPr>
      </w:pPr>
      <w:r>
        <w:rPr>
          <w:rFonts w:hint="eastAsia" w:ascii="仿宋" w:hAnsi="仿宋" w:eastAsia="仿宋" w:cs="仿宋"/>
          <w:sz w:val="24"/>
          <w:lang w:val="en-US" w:eastAsia="zh-CN"/>
        </w:rPr>
        <w:t>电  话：</w:t>
      </w:r>
      <w:bookmarkEnd w:id="75"/>
      <w:r>
        <w:rPr>
          <w:rFonts w:hint="eastAsia" w:ascii="仿宋" w:hAnsi="仿宋" w:eastAsia="仿宋" w:cs="仿宋"/>
          <w:sz w:val="24"/>
          <w:lang w:val="en-US" w:eastAsia="zh-CN"/>
        </w:rPr>
        <w:t>18787937622、15393839379、</w:t>
      </w:r>
      <w:r>
        <w:rPr>
          <w:rFonts w:hint="eastAsia" w:ascii="仿宋" w:hAnsi="仿宋" w:eastAsia="仿宋" w:cs="仿宋"/>
          <w:b w:val="0"/>
          <w:bCs w:val="0"/>
          <w:color w:val="auto"/>
          <w:sz w:val="24"/>
          <w:szCs w:val="24"/>
          <w:highlight w:val="none"/>
          <w:lang w:val="en-US" w:eastAsia="zh-CN"/>
        </w:rPr>
        <w:t>15198670542</w:t>
      </w:r>
    </w:p>
    <w:bookmarkEnd w:id="24"/>
    <w:bookmarkEnd w:id="68"/>
    <w:bookmarkEnd w:id="70"/>
    <w:p w14:paraId="6995DB76">
      <w:pPr>
        <w:rPr>
          <w:rFonts w:hint="eastAsia" w:ascii="仿宋" w:hAnsi="仿宋" w:eastAsia="仿宋" w:cs="仿宋"/>
          <w:b/>
          <w:color w:val="auto"/>
          <w:sz w:val="28"/>
          <w:szCs w:val="28"/>
          <w:highlight w:val="none"/>
        </w:rPr>
      </w:pPr>
      <w:r>
        <w:rPr>
          <w:rFonts w:hint="eastAsia"/>
          <w:color w:val="auto"/>
          <w:highlight w:val="none"/>
          <w:lang w:val="en-US" w:eastAsia="zh-CN"/>
        </w:rPr>
        <w:t xml:space="preserve">                            </w:t>
      </w:r>
      <w:r>
        <w:rPr>
          <w:rFonts w:hint="eastAsia" w:ascii="仿宋" w:hAnsi="仿宋" w:eastAsia="仿宋" w:cs="仿宋"/>
          <w:b/>
          <w:color w:val="auto"/>
          <w:sz w:val="28"/>
          <w:szCs w:val="28"/>
          <w:highlight w:val="none"/>
        </w:rPr>
        <w:t>第二章 供应商须知</w:t>
      </w:r>
    </w:p>
    <w:p w14:paraId="38071383">
      <w:pPr>
        <w:pStyle w:val="38"/>
        <w:keepNext/>
        <w:keepLines/>
        <w:pageBreakBefore w:val="0"/>
        <w:widowControl w:val="0"/>
        <w:kinsoku/>
        <w:wordWrap/>
        <w:overflowPunct/>
        <w:topLinePunct w:val="0"/>
        <w:autoSpaceDE/>
        <w:autoSpaceDN/>
        <w:bidi w:val="0"/>
        <w:adjustRightInd/>
        <w:snapToGrid/>
        <w:spacing w:before="80" w:after="120" w:line="50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供应商须知资料表</w:t>
      </w:r>
    </w:p>
    <w:p w14:paraId="74FABCB4">
      <w:pPr>
        <w:pStyle w:val="38"/>
        <w:keepNext/>
        <w:keepLines/>
        <w:pageBreakBefore w:val="0"/>
        <w:widowControl w:val="0"/>
        <w:kinsoku/>
        <w:wordWrap/>
        <w:overflowPunct/>
        <w:topLinePunct w:val="0"/>
        <w:autoSpaceDE/>
        <w:autoSpaceDN/>
        <w:bidi w:val="0"/>
        <w:adjustRightInd/>
        <w:snapToGrid/>
        <w:spacing w:before="80" w:after="120" w:line="500" w:lineRule="exact"/>
        <w:ind w:firstLine="480" w:firstLineChars="200"/>
        <w:jc w:val="both"/>
        <w:textAlignment w:val="auto"/>
        <w:outlineLvl w:val="9"/>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本表是对供应商须知的具体补充和修改，如有矛盾，均以本资料表为准。标记“</w:t>
      </w:r>
      <w:r>
        <w:rPr>
          <w:rFonts w:hint="eastAsia" w:ascii="仿宋" w:hAnsi="仿宋" w:eastAsia="仿宋" w:cs="仿宋"/>
          <w:b w:val="0"/>
          <w:bCs w:val="0"/>
          <w:spacing w:val="-1"/>
          <w:w w:val="115"/>
          <w:sz w:val="24"/>
          <w:szCs w:val="24"/>
          <w:lang w:eastAsia="zh-CN"/>
        </w:rPr>
        <w:t>■</w:t>
      </w:r>
      <w:r>
        <w:rPr>
          <w:rFonts w:hint="eastAsia" w:ascii="仿宋" w:hAnsi="仿宋" w:eastAsia="仿宋" w:cs="仿宋"/>
          <w:b w:val="0"/>
          <w:bCs w:val="0"/>
          <w:sz w:val="24"/>
          <w:szCs w:val="24"/>
          <w:lang w:eastAsia="zh-CN"/>
        </w:rPr>
        <w:t>”的选项意为适用于本项目，标记“</w:t>
      </w:r>
      <w:r>
        <w:rPr>
          <w:rFonts w:hint="eastAsia" w:ascii="仿宋" w:hAnsi="仿宋" w:eastAsia="仿宋" w:cs="仿宋"/>
          <w:b w:val="0"/>
          <w:bCs w:val="0"/>
          <w:spacing w:val="-1"/>
          <w:w w:val="120"/>
          <w:sz w:val="24"/>
          <w:szCs w:val="24"/>
          <w:lang w:eastAsia="zh-CN"/>
        </w:rPr>
        <w:t>□</w:t>
      </w:r>
      <w:r>
        <w:rPr>
          <w:rFonts w:hint="eastAsia" w:ascii="仿宋" w:hAnsi="仿宋" w:eastAsia="仿宋" w:cs="仿宋"/>
          <w:b w:val="0"/>
          <w:bCs w:val="0"/>
          <w:sz w:val="24"/>
          <w:szCs w:val="24"/>
          <w:lang w:eastAsia="zh-CN"/>
        </w:rPr>
        <w:t>”的选项意为不适用于本项目。</w:t>
      </w:r>
    </w:p>
    <w:tbl>
      <w:tblPr>
        <w:tblStyle w:val="46"/>
        <w:tblW w:w="9349" w:type="dxa"/>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00"/>
        <w:gridCol w:w="1908"/>
        <w:gridCol w:w="6341"/>
      </w:tblGrid>
      <w:tr w14:paraId="4E2FA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100" w:type="dxa"/>
            <w:noWrap w:val="0"/>
            <w:vAlign w:val="center"/>
          </w:tcPr>
          <w:p w14:paraId="2FBF76E0">
            <w:pPr>
              <w:pStyle w:val="45"/>
              <w:keepNext w:val="0"/>
              <w:keepLines w:val="0"/>
              <w:pageBreakBefore w:val="0"/>
              <w:widowControl w:val="0"/>
              <w:kinsoku/>
              <w:wordWrap/>
              <w:overflowPunct/>
              <w:topLinePunct w:val="0"/>
              <w:autoSpaceDE/>
              <w:autoSpaceDN/>
              <w:bidi w:val="0"/>
              <w:adjustRightInd/>
              <w:snapToGrid/>
              <w:spacing w:line="400" w:lineRule="exact"/>
              <w:ind w:left="89" w:right="79"/>
              <w:jc w:val="center"/>
              <w:textAlignment w:val="auto"/>
              <w:rPr>
                <w:rFonts w:hint="eastAsia" w:ascii="仿宋" w:hAnsi="仿宋" w:eastAsia="仿宋" w:cs="仿宋"/>
                <w:b/>
                <w:sz w:val="24"/>
                <w:szCs w:val="24"/>
              </w:rPr>
            </w:pPr>
            <w:r>
              <w:rPr>
                <w:rFonts w:hint="eastAsia" w:ascii="仿宋" w:hAnsi="仿宋" w:eastAsia="仿宋" w:cs="仿宋"/>
                <w:b/>
                <w:sz w:val="24"/>
                <w:szCs w:val="24"/>
              </w:rPr>
              <w:t>条款号</w:t>
            </w:r>
          </w:p>
        </w:tc>
        <w:tc>
          <w:tcPr>
            <w:tcW w:w="1908" w:type="dxa"/>
            <w:noWrap w:val="0"/>
            <w:vAlign w:val="center"/>
          </w:tcPr>
          <w:p w14:paraId="4D75361F">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b/>
                <w:sz w:val="24"/>
                <w:szCs w:val="24"/>
              </w:rPr>
            </w:pPr>
            <w:r>
              <w:rPr>
                <w:rFonts w:hint="eastAsia" w:ascii="仿宋" w:hAnsi="仿宋" w:eastAsia="仿宋" w:cs="仿宋"/>
                <w:b/>
                <w:sz w:val="24"/>
                <w:szCs w:val="24"/>
              </w:rPr>
              <w:t>条目</w:t>
            </w:r>
          </w:p>
        </w:tc>
        <w:tc>
          <w:tcPr>
            <w:tcW w:w="6341" w:type="dxa"/>
            <w:noWrap w:val="0"/>
            <w:vAlign w:val="center"/>
          </w:tcPr>
          <w:p w14:paraId="1387CB10">
            <w:pPr>
              <w:pStyle w:val="45"/>
              <w:keepNext w:val="0"/>
              <w:keepLines w:val="0"/>
              <w:pageBreakBefore w:val="0"/>
              <w:widowControl w:val="0"/>
              <w:kinsoku/>
              <w:wordWrap/>
              <w:overflowPunct/>
              <w:topLinePunct w:val="0"/>
              <w:autoSpaceDE/>
              <w:autoSpaceDN/>
              <w:bidi w:val="0"/>
              <w:adjustRightInd/>
              <w:snapToGrid/>
              <w:spacing w:line="400" w:lineRule="exact"/>
              <w:ind w:left="3368"/>
              <w:jc w:val="both"/>
              <w:textAlignment w:val="auto"/>
              <w:rPr>
                <w:rFonts w:hint="eastAsia" w:ascii="仿宋" w:hAnsi="仿宋" w:eastAsia="仿宋" w:cs="仿宋"/>
                <w:b/>
                <w:sz w:val="24"/>
                <w:szCs w:val="24"/>
                <w:lang w:eastAsia="zh-CN"/>
              </w:rPr>
            </w:pPr>
            <w:r>
              <w:rPr>
                <w:rFonts w:hint="eastAsia" w:ascii="仿宋" w:hAnsi="仿宋" w:eastAsia="仿宋" w:cs="仿宋"/>
                <w:b/>
                <w:sz w:val="24"/>
                <w:szCs w:val="24"/>
              </w:rPr>
              <w:t>内容</w:t>
            </w:r>
          </w:p>
        </w:tc>
      </w:tr>
      <w:tr w14:paraId="17111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0" w:hRule="atLeast"/>
        </w:trPr>
        <w:tc>
          <w:tcPr>
            <w:tcW w:w="1100" w:type="dxa"/>
            <w:noWrap w:val="0"/>
            <w:vAlign w:val="center"/>
          </w:tcPr>
          <w:p w14:paraId="08DE6646">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2.2</w:t>
            </w:r>
          </w:p>
        </w:tc>
        <w:tc>
          <w:tcPr>
            <w:tcW w:w="1908" w:type="dxa"/>
            <w:noWrap w:val="0"/>
            <w:vAlign w:val="center"/>
          </w:tcPr>
          <w:p w14:paraId="0CA0D1AD">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项目属性</w:t>
            </w:r>
          </w:p>
        </w:tc>
        <w:tc>
          <w:tcPr>
            <w:tcW w:w="6341" w:type="dxa"/>
            <w:noWrap w:val="0"/>
            <w:vAlign w:val="center"/>
          </w:tcPr>
          <w:p w14:paraId="6EED318A">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项目属性：</w:t>
            </w:r>
          </w:p>
          <w:p w14:paraId="07BD3B13">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□服务</w:t>
            </w:r>
          </w:p>
          <w:p w14:paraId="3B30F526">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□货物：单一产品或核心产品为：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，核心产品相关内容参照财政部87号令有关规定执行。</w:t>
            </w:r>
          </w:p>
          <w:p w14:paraId="25D2952C">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☑工程</w:t>
            </w:r>
          </w:p>
        </w:tc>
      </w:tr>
      <w:tr w14:paraId="6B167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trPr>
        <w:tc>
          <w:tcPr>
            <w:tcW w:w="1100" w:type="dxa"/>
            <w:vMerge w:val="restart"/>
            <w:noWrap w:val="0"/>
            <w:vAlign w:val="center"/>
          </w:tcPr>
          <w:p w14:paraId="0085827E">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3.1</w:t>
            </w:r>
          </w:p>
        </w:tc>
        <w:tc>
          <w:tcPr>
            <w:tcW w:w="1908" w:type="dxa"/>
            <w:noWrap w:val="0"/>
            <w:vAlign w:val="center"/>
          </w:tcPr>
          <w:p w14:paraId="1AA1B0C8">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现场考察</w:t>
            </w:r>
          </w:p>
        </w:tc>
        <w:tc>
          <w:tcPr>
            <w:tcW w:w="6341" w:type="dxa"/>
            <w:noWrap w:val="0"/>
            <w:vAlign w:val="center"/>
          </w:tcPr>
          <w:p w14:paraId="66CE8CE6">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☑不组织</w:t>
            </w:r>
          </w:p>
          <w:p w14:paraId="05674E55">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□组织，考察时间：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分</w:t>
            </w:r>
          </w:p>
          <w:p w14:paraId="125925D8">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考察地点：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tc>
      </w:tr>
      <w:tr w14:paraId="46CA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1100" w:type="dxa"/>
            <w:vMerge w:val="continue"/>
            <w:tcBorders>
              <w:top w:val="nil"/>
            </w:tcBorders>
            <w:noWrap w:val="0"/>
            <w:vAlign w:val="center"/>
          </w:tcPr>
          <w:p w14:paraId="1E3718EE">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val="en-US" w:eastAsia="zh-CN"/>
              </w:rPr>
            </w:pPr>
          </w:p>
        </w:tc>
        <w:tc>
          <w:tcPr>
            <w:tcW w:w="1908" w:type="dxa"/>
            <w:noWrap w:val="0"/>
            <w:vAlign w:val="center"/>
          </w:tcPr>
          <w:p w14:paraId="65704172">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磋商前答疑会</w:t>
            </w:r>
          </w:p>
        </w:tc>
        <w:tc>
          <w:tcPr>
            <w:tcW w:w="6341" w:type="dxa"/>
            <w:noWrap w:val="0"/>
            <w:vAlign w:val="center"/>
          </w:tcPr>
          <w:p w14:paraId="3BBCF699">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☑不召开</w:t>
            </w:r>
          </w:p>
          <w:p w14:paraId="1FAE329B">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□召开，召开时间：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分</w:t>
            </w:r>
          </w:p>
          <w:p w14:paraId="3FF7321B">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召开地点：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tc>
      </w:tr>
      <w:tr w14:paraId="06FC6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1100" w:type="dxa"/>
            <w:tcBorders>
              <w:top w:val="nil"/>
            </w:tcBorders>
            <w:noWrap w:val="0"/>
            <w:vAlign w:val="center"/>
          </w:tcPr>
          <w:p w14:paraId="6FF19D18">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4.1.3</w:t>
            </w:r>
          </w:p>
        </w:tc>
        <w:tc>
          <w:tcPr>
            <w:tcW w:w="1908" w:type="dxa"/>
            <w:noWrap w:val="0"/>
            <w:vAlign w:val="center"/>
          </w:tcPr>
          <w:p w14:paraId="0036C1DB">
            <w:pPr>
              <w:pStyle w:val="45"/>
              <w:keepNext w:val="0"/>
              <w:keepLines w:val="0"/>
              <w:pageBreakBefore w:val="0"/>
              <w:widowControl w:val="0"/>
              <w:kinsoku/>
              <w:wordWrap/>
              <w:overflowPunct/>
              <w:topLinePunct w:val="0"/>
              <w:autoSpaceDE/>
              <w:autoSpaceDN/>
              <w:bidi w:val="0"/>
              <w:adjustRightInd/>
              <w:snapToGrid/>
              <w:spacing w:line="400" w:lineRule="exact"/>
              <w:ind w:left="108"/>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是否允许采购进口产品</w:t>
            </w:r>
          </w:p>
        </w:tc>
        <w:tc>
          <w:tcPr>
            <w:tcW w:w="6341" w:type="dxa"/>
            <w:noWrap w:val="0"/>
            <w:vAlign w:val="center"/>
          </w:tcPr>
          <w:p w14:paraId="6E07805C">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☑本项目不允许采购进口产品。</w:t>
            </w:r>
          </w:p>
          <w:p w14:paraId="750B1E43">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□可以就</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采购进口产品。</w:t>
            </w:r>
          </w:p>
        </w:tc>
      </w:tr>
      <w:tr w14:paraId="51916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0" w:hRule="atLeast"/>
        </w:trPr>
        <w:tc>
          <w:tcPr>
            <w:tcW w:w="1100" w:type="dxa"/>
            <w:noWrap w:val="0"/>
            <w:vAlign w:val="center"/>
          </w:tcPr>
          <w:p w14:paraId="4D279A9D">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4.2.5</w:t>
            </w:r>
          </w:p>
        </w:tc>
        <w:tc>
          <w:tcPr>
            <w:tcW w:w="1908" w:type="dxa"/>
            <w:noWrap w:val="0"/>
            <w:vAlign w:val="center"/>
          </w:tcPr>
          <w:p w14:paraId="672639BE">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标的所属行业</w:t>
            </w:r>
          </w:p>
        </w:tc>
        <w:tc>
          <w:tcPr>
            <w:tcW w:w="6341" w:type="dxa"/>
            <w:noWrap w:val="0"/>
            <w:vAlign w:val="center"/>
          </w:tcPr>
          <w:p w14:paraId="32B98D0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本项目采购标的对应的中小企业划分标准所属行业：</w:t>
            </w:r>
          </w:p>
          <w:p w14:paraId="36A8FBB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（1）包号：/</w:t>
            </w:r>
          </w:p>
          <w:p w14:paraId="118E36B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lang w:val="en-US" w:eastAsia="zh-CN"/>
              </w:rPr>
              <w:t>（2）标的名称：</w:t>
            </w:r>
            <w:r>
              <w:rPr>
                <w:rFonts w:hint="eastAsia" w:ascii="仿宋" w:hAnsi="仿宋" w:eastAsia="仿宋" w:cs="仿宋"/>
                <w:color w:val="auto"/>
                <w:sz w:val="24"/>
                <w:szCs w:val="24"/>
                <w:u w:val="single"/>
                <w:lang w:val="en-US" w:eastAsia="zh-CN"/>
              </w:rPr>
              <w:t>纳竜坝村小组茶产业及人居环境综合整治提升项目</w:t>
            </w:r>
            <w:r>
              <w:rPr>
                <w:rFonts w:hint="eastAsia" w:ascii="仿宋" w:hAnsi="仿宋" w:eastAsia="仿宋" w:cs="仿宋"/>
                <w:color w:val="auto"/>
                <w:sz w:val="24"/>
                <w:szCs w:val="24"/>
                <w:u w:val="none"/>
                <w:lang w:val="en-US" w:eastAsia="zh-CN"/>
              </w:rPr>
              <w:t>。</w:t>
            </w:r>
          </w:p>
          <w:p w14:paraId="14A7EF1A">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b/>
                <w:bCs/>
                <w:color w:val="auto"/>
                <w:sz w:val="24"/>
                <w:szCs w:val="24"/>
                <w:u w:val="single"/>
                <w:lang w:val="en-US"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）中小企业划分标准所属行业：</w:t>
            </w:r>
            <w:r>
              <w:rPr>
                <w:rFonts w:hint="eastAsia" w:ascii="仿宋" w:hAnsi="仿宋" w:eastAsia="仿宋" w:cs="仿宋"/>
                <w:b/>
                <w:bCs/>
                <w:color w:val="auto"/>
                <w:sz w:val="24"/>
                <w:szCs w:val="24"/>
                <w:u w:val="single"/>
                <w:lang w:val="en-US" w:eastAsia="zh-CN"/>
              </w:rPr>
              <w:t>建筑业</w:t>
            </w:r>
          </w:p>
          <w:p w14:paraId="270A06F6">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建筑业中小微型企业划分标准：中型和小型企业须同时满 足所列指标（营业收入、资产总额）的下限，否则下划一档；微 型企业只须满足所列指标中的一项即可。</w:t>
            </w:r>
          </w:p>
          <w:p w14:paraId="7808948E">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中型企业：6000 万元≤营业收入＜80000 万元，5000 万元≤资 产总额＜80000 万元。</w:t>
            </w:r>
          </w:p>
          <w:p w14:paraId="52E74176">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小型企业：300 万元≤营业收入＜6000 万元，300 万元≤资产总 额＜5000 万元。</w:t>
            </w:r>
          </w:p>
          <w:p w14:paraId="6947DE35">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微型企业：营业收入＜300 万元，资产总额＜300 万元。</w:t>
            </w:r>
          </w:p>
          <w:p w14:paraId="21AF19B5">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（4）企业划分指标以现行统计制度为准。①营业收入，采用主 营业务收入；②资产总额，采用资产总计代替。</w:t>
            </w:r>
          </w:p>
        </w:tc>
      </w:tr>
      <w:tr w14:paraId="50B52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3" w:hRule="atLeast"/>
        </w:trPr>
        <w:tc>
          <w:tcPr>
            <w:tcW w:w="1100" w:type="dxa"/>
            <w:noWrap w:val="0"/>
            <w:vAlign w:val="center"/>
          </w:tcPr>
          <w:p w14:paraId="68D13460">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10.2</w:t>
            </w:r>
          </w:p>
        </w:tc>
        <w:tc>
          <w:tcPr>
            <w:tcW w:w="1908" w:type="dxa"/>
            <w:noWrap w:val="0"/>
            <w:vAlign w:val="center"/>
          </w:tcPr>
          <w:p w14:paraId="3911AC5F">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报价</w:t>
            </w:r>
          </w:p>
        </w:tc>
        <w:tc>
          <w:tcPr>
            <w:tcW w:w="6341" w:type="dxa"/>
            <w:noWrap w:val="0"/>
            <w:vAlign w:val="center"/>
          </w:tcPr>
          <w:p w14:paraId="615BE7FB">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报价的特殊规定：</w:t>
            </w:r>
          </w:p>
          <w:p w14:paraId="6C3C9CCC">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w w:val="120"/>
                <w:sz w:val="24"/>
                <w:szCs w:val="24"/>
                <w:lang w:eastAsia="zh-CN"/>
              </w:rPr>
              <w:t>无</w:t>
            </w:r>
          </w:p>
          <w:p w14:paraId="4286B61A">
            <w:pPr>
              <w:pStyle w:val="45"/>
              <w:keepNext w:val="0"/>
              <w:keepLines w:val="0"/>
              <w:pageBreakBefore w:val="0"/>
              <w:widowControl w:val="0"/>
              <w:tabs>
                <w:tab w:val="left" w:pos="3304"/>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w w:val="105"/>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w w:val="105"/>
                <w:sz w:val="24"/>
                <w:szCs w:val="24"/>
                <w:lang w:eastAsia="zh-CN"/>
              </w:rPr>
              <w:t>有，具体情形：</w:t>
            </w:r>
          </w:p>
          <w:p w14:paraId="3AC32E23">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（1）采购人保留对严重不平衡报价进行调整的权利。</w:t>
            </w:r>
          </w:p>
          <w:p w14:paraId="35A078C3">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2）本工程的磋商报价采用工程量清单计价。磋商报价为供应商在响应文件中提出的完成本项目采购需求规定的全部施工内容并提供相关文件规定的全部费用，包括但不限于分部分项工程费、措施项目费、其他项目费、其他规费、利润、税金、政策性文件规定费用和代理费等所有费用。</w:t>
            </w:r>
          </w:p>
          <w:p w14:paraId="7DF9E774">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（3）供应商不能随意调整采购人公布的工程量清单。</w:t>
            </w:r>
          </w:p>
          <w:p w14:paraId="504457FE">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（4）供应商须根据竞争性磋商文件所提出的各项要求，以及自身具体情况，并考虑对采购人的优惠可能进行报价（含税价）。</w:t>
            </w:r>
          </w:p>
          <w:p w14:paraId="14EDA64F">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（5）供应商可先到工地踏勘以充分了解工地位置、情况、道路、储存空间、装卸限制及任何其他足以影响承包价的情况，任何因忽视或误解工地情况而导致的索赔或工期延长申请将不被批准。</w:t>
            </w:r>
          </w:p>
          <w:p w14:paraId="52C09662">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（6）供应商须全面考虑在将来施工过程中因市场价格波动带来的风险因素。如施工中出现设计修改、材料变更或工程量变更必须经采购人及监理单位（如有）的审核与签证，按实际审定结果进行调整。</w:t>
            </w:r>
          </w:p>
          <w:p w14:paraId="3D6EF8BF">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（7）供应商应在响应文件“首次报价一览表 ”和“ 已标价工程量清单”中进行首次报价，其响应文件通过初步评审后，按照政府采购云平台（https://www.zcygov.cn）系统自动生成的顺序分别与竞争性磋商小组进行磋商；供应商根据磋商内容，进行最后报价及确认。供应商应在接到最后报价通知后在规定时间内登录政府采购云平台（https://www.zcygov.cn）按照最后报价填写要求对建安工程费进行最后报价。成交后，</w:t>
            </w:r>
            <w:r>
              <w:rPr>
                <w:rFonts w:hint="eastAsia" w:ascii="仿宋" w:hAnsi="仿宋" w:eastAsia="仿宋" w:cs="仿宋"/>
                <w:b/>
                <w:bCs/>
                <w:color w:val="auto"/>
                <w:w w:val="105"/>
                <w:sz w:val="24"/>
                <w:szCs w:val="24"/>
                <w:u w:val="single"/>
                <w:lang w:val="en-US" w:eastAsia="zh-CN"/>
              </w:rPr>
              <w:t>成交供应商在领取成交通知书时需向采购代理机构提供一份“最后报价的已标价工程量清单”</w:t>
            </w:r>
            <w:r>
              <w:rPr>
                <w:rFonts w:hint="eastAsia" w:ascii="仿宋" w:hAnsi="仿宋" w:eastAsia="仿宋" w:cs="仿宋"/>
                <w:color w:val="auto"/>
                <w:w w:val="105"/>
                <w:sz w:val="24"/>
                <w:szCs w:val="24"/>
                <w:u w:val="single"/>
                <w:lang w:val="en-US" w:eastAsia="zh-CN"/>
              </w:rPr>
              <w:t>，该“最后报价的已标价工程量清单”应根据供应商最后所报总价进行编制，“最后报价的已标价工程量清单”中的综合单价不得高于首次报价。最后报价的已标价工程量清单应单独装订成册，编制封面和页码，并按要求签字盖章（本项目对造价工程师和造价人员签字盖章不作要求），装订应牢固，且不易拆散和换页，不得采用活页夹装订。“最后报价的已标价工程量清单”是本工程结算依据，如成交供应商磋商时最后报价（总价）与首次报价（总价）相同，则无需提供“最后报价的已标价工程量清单”，其“首次报价的已标价工程量清单”作为工程结算依据。</w:t>
            </w:r>
          </w:p>
          <w:p w14:paraId="5E1178AE">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u w:val="single"/>
                <w:lang w:val="en-US" w:eastAsia="zh-CN"/>
              </w:rPr>
              <w:t>（8）供应商一旦成交，其所报建安工程费不予调整，采购人按照经造价咨询单位审定的建安工程费支付最终建安工程费，最终建安工程费以经造价咨询单位（按规定的计价原则、工程联系单、工程签证等为依据）审定的建安工程费结算价。</w:t>
            </w:r>
          </w:p>
          <w:p w14:paraId="755AE7E2">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u w:val="single"/>
                <w:lang w:val="en-US" w:eastAsia="zh-CN"/>
              </w:rPr>
              <w:t>（9）最终建安工程费应是完成本项目承包范围内施工、交付使用等全部工作产生的费用，包括但不限于分部分项工程费、措施项目费、其他项目费、其他规费、利润、税金、政策性文件规定费用和代理费等所有费用，并按照发包人的要求提供合法有效的增值税发票。</w:t>
            </w:r>
          </w:p>
          <w:p w14:paraId="020672FD">
            <w:pPr>
              <w:pStyle w:val="45"/>
              <w:keepNext w:val="0"/>
              <w:keepLines w:val="0"/>
              <w:pageBreakBefore w:val="0"/>
              <w:widowControl w:val="0"/>
              <w:tabs>
                <w:tab w:val="left" w:pos="3304"/>
              </w:tabs>
              <w:kinsoku/>
              <w:wordWrap/>
              <w:overflowPunct/>
              <w:topLinePunct w:val="0"/>
              <w:autoSpaceDE/>
              <w:autoSpaceDN/>
              <w:bidi w:val="0"/>
              <w:adjustRightInd/>
              <w:snapToGrid/>
              <w:spacing w:line="360" w:lineRule="auto"/>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val="en-US" w:eastAsia="zh-CN"/>
              </w:rPr>
              <w:t>（10）供应商的两次报价均不得超过最高限价，报价保留小数点后二位，第三位四舍五入，否则其响应文件视为无效文件。</w:t>
            </w:r>
          </w:p>
        </w:tc>
      </w:tr>
      <w:tr w14:paraId="56351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100" w:type="dxa"/>
            <w:noWrap w:val="0"/>
            <w:vAlign w:val="center"/>
          </w:tcPr>
          <w:p w14:paraId="788F5D1F">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11.1</w:t>
            </w:r>
          </w:p>
        </w:tc>
        <w:tc>
          <w:tcPr>
            <w:tcW w:w="1908" w:type="dxa"/>
            <w:noWrap w:val="0"/>
            <w:vAlign w:val="center"/>
          </w:tcPr>
          <w:p w14:paraId="49A71429">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磋商保证金</w:t>
            </w:r>
          </w:p>
        </w:tc>
        <w:tc>
          <w:tcPr>
            <w:tcW w:w="6341" w:type="dxa"/>
            <w:noWrap w:val="0"/>
            <w:vAlign w:val="center"/>
          </w:tcPr>
          <w:p w14:paraId="60F6A67D">
            <w:pPr>
              <w:pStyle w:val="45"/>
              <w:keepNext w:val="0"/>
              <w:keepLines w:val="0"/>
              <w:pageBreakBefore w:val="0"/>
              <w:widowControl w:val="0"/>
              <w:tabs>
                <w:tab w:val="left" w:pos="4068"/>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color w:val="auto"/>
                <w:sz w:val="24"/>
                <w:szCs w:val="24"/>
                <w:lang w:eastAsia="zh-CN"/>
              </w:rPr>
              <w:t>根据《中华人民共和国政府采购法实施条例》，第三十三条“投标保证金不得超过采购项目预算金额的2%”的规定，本项目可收</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lang w:eastAsia="zh-CN"/>
              </w:rPr>
              <w:t>保证金</w:t>
            </w:r>
            <w:r>
              <w:rPr>
                <w:rFonts w:hint="eastAsia" w:ascii="仿宋" w:hAnsi="仿宋" w:eastAsia="仿宋" w:cs="仿宋"/>
                <w:color w:val="auto"/>
                <w:sz w:val="24"/>
                <w:szCs w:val="24"/>
                <w:lang w:val="en-US" w:eastAsia="zh-CN"/>
              </w:rPr>
              <w:t>22000.00</w:t>
            </w:r>
            <w:r>
              <w:rPr>
                <w:rFonts w:hint="eastAsia" w:ascii="仿宋" w:hAnsi="仿宋" w:eastAsia="仿宋" w:cs="仿宋"/>
                <w:color w:val="auto"/>
                <w:sz w:val="24"/>
                <w:szCs w:val="24"/>
                <w:lang w:eastAsia="zh-CN"/>
              </w:rPr>
              <w:t>元，参照《云南省人民政府关于印发2024年进一步推动经济稳进提质政策措施的通知》（云政发〔2024〕7号）、《西双版纳州关于进一步减免投标保证金降低招标投标交易成本的通知》等文件精神，本项目</w:t>
            </w:r>
            <w:r>
              <w:rPr>
                <w:rFonts w:hint="eastAsia" w:ascii="仿宋" w:hAnsi="仿宋" w:eastAsia="仿宋" w:cs="仿宋"/>
                <w:b/>
                <w:bCs/>
                <w:color w:val="auto"/>
                <w:kern w:val="2"/>
                <w:sz w:val="24"/>
                <w:szCs w:val="24"/>
                <w:lang w:val="en-US" w:eastAsia="zh-CN" w:bidi="ar-SA"/>
              </w:rPr>
              <w:t>项目免予收取磋商保证金</w:t>
            </w:r>
          </w:p>
          <w:p w14:paraId="16EEB7D1">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磋商保证金不予退还的其他情形：</w:t>
            </w:r>
          </w:p>
          <w:p w14:paraId="1BDA671F">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w w:val="105"/>
                <w:sz w:val="24"/>
                <w:szCs w:val="24"/>
                <w:lang w:eastAsia="zh-CN"/>
              </w:rPr>
              <w:t>无</w:t>
            </w:r>
          </w:p>
          <w:p w14:paraId="6476106D">
            <w:pPr>
              <w:pStyle w:val="45"/>
              <w:keepNext w:val="0"/>
              <w:keepLines w:val="0"/>
              <w:pageBreakBefore w:val="0"/>
              <w:widowControl w:val="0"/>
              <w:tabs>
                <w:tab w:val="left" w:pos="3305"/>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w w:val="105"/>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w w:val="105"/>
                <w:sz w:val="24"/>
                <w:szCs w:val="24"/>
                <w:lang w:eastAsia="zh-CN"/>
              </w:rPr>
              <w:t>有，具体情形：</w:t>
            </w:r>
          </w:p>
          <w:p w14:paraId="7D57D218">
            <w:pPr>
              <w:pStyle w:val="45"/>
              <w:keepNext w:val="0"/>
              <w:keepLines w:val="0"/>
              <w:pageBreakBefore w:val="0"/>
              <w:widowControl w:val="0"/>
              <w:tabs>
                <w:tab w:val="left" w:pos="3305"/>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（1）供应商在提交响应文件截止时间后撤回响应文件的；</w:t>
            </w:r>
          </w:p>
          <w:p w14:paraId="0A26A9F6">
            <w:pPr>
              <w:pStyle w:val="45"/>
              <w:keepNext w:val="0"/>
              <w:keepLines w:val="0"/>
              <w:pageBreakBefore w:val="0"/>
              <w:widowControl w:val="0"/>
              <w:tabs>
                <w:tab w:val="left" w:pos="3305"/>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（2）供应商在响应文件中提供虚假材料的；</w:t>
            </w:r>
          </w:p>
          <w:p w14:paraId="370B45CE">
            <w:pPr>
              <w:pStyle w:val="45"/>
              <w:keepNext w:val="0"/>
              <w:keepLines w:val="0"/>
              <w:pageBreakBefore w:val="0"/>
              <w:widowControl w:val="0"/>
              <w:tabs>
                <w:tab w:val="left" w:pos="3305"/>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w w:val="105"/>
                <w:sz w:val="24"/>
                <w:szCs w:val="24"/>
                <w:u w:val="single"/>
                <w:lang w:val="en-US" w:eastAsia="zh-CN"/>
              </w:rPr>
            </w:pPr>
            <w:r>
              <w:rPr>
                <w:rFonts w:hint="eastAsia" w:ascii="仿宋" w:hAnsi="仿宋" w:eastAsia="仿宋" w:cs="仿宋"/>
                <w:color w:val="auto"/>
                <w:w w:val="105"/>
                <w:sz w:val="24"/>
                <w:szCs w:val="24"/>
                <w:u w:val="single"/>
                <w:lang w:val="en-US" w:eastAsia="zh-CN"/>
              </w:rPr>
              <w:t>（3）除因不可抗力或竞争性磋商文件认可的情形以外，成交供应商不与采购人签订合同的；</w:t>
            </w:r>
          </w:p>
          <w:p w14:paraId="3E99D482">
            <w:pPr>
              <w:pStyle w:val="45"/>
              <w:keepNext w:val="0"/>
              <w:keepLines w:val="0"/>
              <w:pageBreakBefore w:val="0"/>
              <w:widowControl w:val="0"/>
              <w:tabs>
                <w:tab w:val="left" w:pos="4068"/>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color w:val="auto"/>
                <w:w w:val="105"/>
                <w:sz w:val="24"/>
                <w:szCs w:val="24"/>
                <w:u w:val="single"/>
                <w:lang w:val="en-US" w:eastAsia="zh-CN"/>
              </w:rPr>
              <w:t>（4）供应商与采购人、其他供应商或者采购代理机构恶意串通的。</w:t>
            </w:r>
          </w:p>
        </w:tc>
      </w:tr>
      <w:tr w14:paraId="6D8A1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trPr>
        <w:tc>
          <w:tcPr>
            <w:tcW w:w="1100" w:type="dxa"/>
            <w:noWrap w:val="0"/>
            <w:vAlign w:val="center"/>
          </w:tcPr>
          <w:p w14:paraId="4206A769">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12.1</w:t>
            </w:r>
          </w:p>
        </w:tc>
        <w:tc>
          <w:tcPr>
            <w:tcW w:w="1908" w:type="dxa"/>
            <w:noWrap w:val="0"/>
            <w:vAlign w:val="center"/>
          </w:tcPr>
          <w:p w14:paraId="48C01FB1">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响应有效期</w:t>
            </w:r>
          </w:p>
        </w:tc>
        <w:tc>
          <w:tcPr>
            <w:tcW w:w="6341" w:type="dxa"/>
            <w:noWrap w:val="0"/>
            <w:vAlign w:val="center"/>
          </w:tcPr>
          <w:p w14:paraId="332B2B4F">
            <w:pPr>
              <w:pStyle w:val="45"/>
              <w:keepNext w:val="0"/>
              <w:keepLines w:val="0"/>
              <w:pageBreakBefore w:val="0"/>
              <w:widowControl w:val="0"/>
              <w:tabs>
                <w:tab w:val="left" w:pos="4068"/>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自响应文件提交截止之日起算</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60 </w:t>
            </w:r>
            <w:r>
              <w:rPr>
                <w:rFonts w:hint="eastAsia" w:ascii="仿宋" w:hAnsi="仿宋" w:eastAsia="仿宋" w:cs="仿宋"/>
                <w:color w:val="auto"/>
                <w:sz w:val="24"/>
                <w:szCs w:val="24"/>
                <w:lang w:eastAsia="zh-CN"/>
              </w:rPr>
              <w:t>日历天。</w:t>
            </w:r>
          </w:p>
        </w:tc>
      </w:tr>
      <w:tr w14:paraId="55FC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1100" w:type="dxa"/>
            <w:noWrap w:val="0"/>
            <w:vAlign w:val="center"/>
          </w:tcPr>
          <w:p w14:paraId="10290D60">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13.3</w:t>
            </w:r>
          </w:p>
        </w:tc>
        <w:tc>
          <w:tcPr>
            <w:tcW w:w="1908" w:type="dxa"/>
            <w:noWrap w:val="0"/>
            <w:vAlign w:val="center"/>
          </w:tcPr>
          <w:p w14:paraId="26391A28">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响应文件的签署、盖章</w:t>
            </w:r>
          </w:p>
        </w:tc>
        <w:tc>
          <w:tcPr>
            <w:tcW w:w="6341" w:type="dxa"/>
            <w:noWrap w:val="0"/>
            <w:vAlign w:val="center"/>
          </w:tcPr>
          <w:p w14:paraId="7088D764">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响应文件的签盖章的其他要求：</w:t>
            </w:r>
          </w:p>
          <w:p w14:paraId="28EA5754">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□无</w:t>
            </w:r>
          </w:p>
          <w:p w14:paraId="2AF448D2">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☑有，具体要求：</w:t>
            </w:r>
            <w:r>
              <w:rPr>
                <w:rFonts w:hint="eastAsia" w:ascii="仿宋" w:hAnsi="仿宋" w:eastAsia="仿宋" w:cs="仿宋"/>
                <w:sz w:val="24"/>
                <w:szCs w:val="24"/>
                <w:u w:val="single"/>
                <w:lang w:val="zh-CN" w:eastAsia="zh-CN"/>
              </w:rPr>
              <w:t>响应文件中要求加盖供应商单位公章的地方应加盖供应商单位电子印章或单位鲜章，要求法定代表人或其委托代理人签字或签章的地方应加盖个人电子签名或个人电子印章或手写签名。响应文件由委托代理人加盖个人电子签名或个人电子印章或手写签名的，应提供法定代表人签署的法定代表人授权委托书。</w:t>
            </w:r>
          </w:p>
        </w:tc>
      </w:tr>
      <w:tr w14:paraId="7E7F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100" w:type="dxa"/>
            <w:noWrap w:val="0"/>
            <w:vAlign w:val="center"/>
          </w:tcPr>
          <w:p w14:paraId="1543B099">
            <w:pPr>
              <w:pStyle w:val="45"/>
              <w:keepNext w:val="0"/>
              <w:keepLines w:val="0"/>
              <w:pageBreakBefore w:val="0"/>
              <w:widowControl w:val="0"/>
              <w:kinsoku/>
              <w:wordWrap/>
              <w:overflowPunct/>
              <w:topLinePunct w:val="0"/>
              <w:autoSpaceDE/>
              <w:autoSpaceDN/>
              <w:bidi w:val="0"/>
              <w:adjustRightInd/>
              <w:snapToGrid/>
              <w:spacing w:line="400" w:lineRule="exact"/>
              <w:ind w:right="102"/>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20.1</w:t>
            </w:r>
          </w:p>
        </w:tc>
        <w:tc>
          <w:tcPr>
            <w:tcW w:w="1908" w:type="dxa"/>
            <w:noWrap w:val="0"/>
            <w:vAlign w:val="center"/>
          </w:tcPr>
          <w:p w14:paraId="283FB832">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确定成交供</w:t>
            </w:r>
          </w:p>
          <w:p w14:paraId="3FCCA250">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应商</w:t>
            </w:r>
          </w:p>
        </w:tc>
        <w:tc>
          <w:tcPr>
            <w:tcW w:w="6341" w:type="dxa"/>
            <w:noWrap w:val="0"/>
            <w:vAlign w:val="center"/>
          </w:tcPr>
          <w:p w14:paraId="4AF72D6C">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采购人是否授权磋商小组直接确定成交供应商：</w:t>
            </w:r>
          </w:p>
          <w:p w14:paraId="54121FF0">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15"/>
                <w:sz w:val="24"/>
                <w:szCs w:val="24"/>
                <w:lang w:eastAsia="zh-CN"/>
              </w:rPr>
              <w:t>否</w:t>
            </w:r>
          </w:p>
          <w:p w14:paraId="2FA53301">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15"/>
                <w:sz w:val="24"/>
                <w:szCs w:val="24"/>
                <w:lang w:eastAsia="zh-CN"/>
              </w:rPr>
              <w:t>是</w:t>
            </w:r>
          </w:p>
          <w:p w14:paraId="710B5C39">
            <w:pPr>
              <w:pStyle w:val="45"/>
              <w:keepNext w:val="0"/>
              <w:keepLines w:val="0"/>
              <w:pageBreakBefore w:val="0"/>
              <w:widowControl w:val="0"/>
              <w:tabs>
                <w:tab w:val="left" w:pos="6468"/>
              </w:tabs>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lang w:eastAsia="zh-CN"/>
              </w:rPr>
              <w:t>成交候选人并列的，按照以下方式确定成交供应商：</w:t>
            </w:r>
            <w:r>
              <w:rPr>
                <w:rFonts w:hint="eastAsia" w:ascii="仿宋" w:hAnsi="仿宋" w:eastAsia="仿宋" w:cs="仿宋"/>
                <w:color w:val="auto"/>
                <w:sz w:val="24"/>
                <w:szCs w:val="24"/>
                <w:u w:val="single"/>
                <w:lang w:eastAsia="zh-CN"/>
              </w:rPr>
              <w:t>评审得分相同的，按照最后报价由低到高的顺序推荐。评审得分且最后报价相同的，按照评审因素的量化指标技术部分评审得分最高的供应商为排名第一的成交候选人</w:t>
            </w:r>
            <w:r>
              <w:rPr>
                <w:rFonts w:hint="eastAsia" w:ascii="仿宋" w:hAnsi="仿宋" w:eastAsia="仿宋" w:cs="仿宋"/>
                <w:color w:val="auto"/>
                <w:w w:val="105"/>
                <w:sz w:val="24"/>
                <w:szCs w:val="24"/>
                <w:u w:val="single"/>
                <w:lang w:eastAsia="zh-CN"/>
              </w:rPr>
              <w:t>。</w:t>
            </w:r>
          </w:p>
        </w:tc>
      </w:tr>
      <w:tr w14:paraId="0B660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4" w:hRule="atLeast"/>
        </w:trPr>
        <w:tc>
          <w:tcPr>
            <w:tcW w:w="1100" w:type="dxa"/>
            <w:noWrap w:val="0"/>
            <w:vAlign w:val="center"/>
          </w:tcPr>
          <w:p w14:paraId="58F50EBF">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t>23.5</w:t>
            </w:r>
          </w:p>
        </w:tc>
        <w:tc>
          <w:tcPr>
            <w:tcW w:w="1908" w:type="dxa"/>
            <w:noWrap w:val="0"/>
            <w:vAlign w:val="center"/>
          </w:tcPr>
          <w:p w14:paraId="24C3166D">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分包</w:t>
            </w:r>
          </w:p>
        </w:tc>
        <w:tc>
          <w:tcPr>
            <w:tcW w:w="6341" w:type="dxa"/>
            <w:noWrap w:val="0"/>
            <w:vAlign w:val="center"/>
          </w:tcPr>
          <w:p w14:paraId="317D4AB1">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本项目是否允许分包：</w:t>
            </w:r>
          </w:p>
          <w:p w14:paraId="630F8EC7">
            <w:pPr>
              <w:pStyle w:val="45"/>
              <w:keepNext w:val="0"/>
              <w:keepLines w:val="0"/>
              <w:pageBreakBefore w:val="0"/>
              <w:widowControl w:val="0"/>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10"/>
                <w:sz w:val="24"/>
                <w:szCs w:val="24"/>
                <w:lang w:eastAsia="zh-CN"/>
              </w:rPr>
              <w:t>不允许</w:t>
            </w:r>
          </w:p>
          <w:p w14:paraId="20E8638A">
            <w:pPr>
              <w:pStyle w:val="45"/>
              <w:keepNext w:val="0"/>
              <w:keepLines w:val="0"/>
              <w:pageBreakBefore w:val="0"/>
              <w:widowControl w:val="0"/>
              <w:tabs>
                <w:tab w:val="left" w:pos="3064"/>
              </w:tabs>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05"/>
                <w:sz w:val="24"/>
                <w:szCs w:val="24"/>
                <w:lang w:eastAsia="zh-CN"/>
              </w:rPr>
              <w:t>允许，具体要求：</w:t>
            </w:r>
            <w:r>
              <w:rPr>
                <w:rFonts w:hint="eastAsia" w:ascii="仿宋" w:hAnsi="仿宋" w:eastAsia="仿宋" w:cs="仿宋"/>
                <w:w w:val="105"/>
                <w:sz w:val="24"/>
                <w:szCs w:val="24"/>
                <w:u w:val="single"/>
                <w:lang w:val="en-US" w:eastAsia="zh-CN"/>
              </w:rPr>
              <w:t xml:space="preserve">        </w:t>
            </w:r>
            <w:r>
              <w:rPr>
                <w:rFonts w:hint="eastAsia" w:ascii="仿宋" w:hAnsi="仿宋" w:eastAsia="仿宋" w:cs="仿宋"/>
                <w:w w:val="105"/>
                <w:sz w:val="24"/>
                <w:szCs w:val="24"/>
                <w:lang w:eastAsia="zh-CN"/>
              </w:rPr>
              <w:t>。</w:t>
            </w:r>
          </w:p>
          <w:p w14:paraId="137FD453">
            <w:pPr>
              <w:pStyle w:val="45"/>
              <w:keepNext w:val="0"/>
              <w:keepLines w:val="0"/>
              <w:pageBreakBefore w:val="0"/>
              <w:widowControl w:val="0"/>
              <w:numPr>
                <w:ilvl w:val="0"/>
                <w:numId w:val="0"/>
              </w:numPr>
              <w:tabs>
                <w:tab w:val="left" w:pos="741"/>
                <w:tab w:val="left" w:pos="4459"/>
              </w:tabs>
              <w:kinsoku/>
              <w:wordWrap/>
              <w:overflowPunct/>
              <w:topLinePunct w:val="0"/>
              <w:autoSpaceDE/>
              <w:autoSpaceDN/>
              <w:bidi w:val="0"/>
              <w:adjustRightInd/>
              <w:snapToGrid/>
              <w:spacing w:line="360" w:lineRule="exact"/>
              <w:ind w:left="107" w:leftChars="0"/>
              <w:textAlignment w:val="auto"/>
              <w:rPr>
                <w:rFonts w:hint="default" w:ascii="仿宋" w:hAnsi="仿宋" w:eastAsia="仿宋" w:cs="仿宋"/>
                <w:sz w:val="24"/>
                <w:szCs w:val="24"/>
                <w:u w:val="single"/>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）可以分包履行的具体内容：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w:t>
            </w:r>
          </w:p>
          <w:p w14:paraId="3844807C">
            <w:pPr>
              <w:pStyle w:val="45"/>
              <w:keepNext w:val="0"/>
              <w:keepLines w:val="0"/>
              <w:pageBreakBefore w:val="0"/>
              <w:widowControl w:val="0"/>
              <w:numPr>
                <w:ilvl w:val="0"/>
                <w:numId w:val="0"/>
              </w:numPr>
              <w:tabs>
                <w:tab w:val="left" w:pos="741"/>
                <w:tab w:val="left" w:pos="4459"/>
              </w:tabs>
              <w:kinsoku/>
              <w:wordWrap/>
              <w:overflowPunct/>
              <w:topLinePunct w:val="0"/>
              <w:autoSpaceDE/>
              <w:autoSpaceDN/>
              <w:bidi w:val="0"/>
              <w:adjustRightInd/>
              <w:snapToGrid/>
              <w:spacing w:line="360" w:lineRule="exact"/>
              <w:ind w:left="107" w:leftChars="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）允许分包的金额或者比例：</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lang w:eastAsia="zh-CN"/>
              </w:rPr>
              <w:t>；</w:t>
            </w:r>
          </w:p>
          <w:p w14:paraId="1FC52FEE">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其他要求：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rPr>
              <w:tab/>
            </w:r>
            <w:r>
              <w:rPr>
                <w:rFonts w:hint="eastAsia" w:ascii="仿宋" w:hAnsi="仿宋" w:eastAsia="仿宋" w:cs="仿宋"/>
                <w:sz w:val="24"/>
                <w:szCs w:val="24"/>
              </w:rPr>
              <w:t>。</w:t>
            </w:r>
          </w:p>
        </w:tc>
      </w:tr>
      <w:tr w14:paraId="764BD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1100" w:type="dxa"/>
            <w:noWrap w:val="0"/>
            <w:vAlign w:val="center"/>
          </w:tcPr>
          <w:p w14:paraId="557F4859">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24.1.1</w:t>
            </w:r>
          </w:p>
        </w:tc>
        <w:tc>
          <w:tcPr>
            <w:tcW w:w="1908" w:type="dxa"/>
            <w:noWrap w:val="0"/>
            <w:vAlign w:val="center"/>
          </w:tcPr>
          <w:p w14:paraId="5A5542D5">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询问</w:t>
            </w:r>
          </w:p>
        </w:tc>
        <w:tc>
          <w:tcPr>
            <w:tcW w:w="6341" w:type="dxa"/>
            <w:noWrap w:val="0"/>
            <w:vAlign w:val="center"/>
          </w:tcPr>
          <w:p w14:paraId="40CA7D88">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rPr>
              <w:t>询问送达形式：</w:t>
            </w:r>
            <w:r>
              <w:rPr>
                <w:rFonts w:hint="eastAsia" w:ascii="仿宋" w:hAnsi="仿宋" w:eastAsia="仿宋" w:cs="仿宋"/>
                <w:sz w:val="24"/>
                <w:szCs w:val="24"/>
                <w:u w:val="single"/>
              </w:rPr>
              <w:t xml:space="preserve"> 书面送达</w:t>
            </w:r>
            <w:r>
              <w:rPr>
                <w:rFonts w:hint="eastAsia" w:ascii="仿宋" w:hAnsi="仿宋" w:eastAsia="仿宋" w:cs="仿宋"/>
                <w:sz w:val="24"/>
                <w:szCs w:val="24"/>
                <w:u w:val="single"/>
              </w:rPr>
              <w:tab/>
            </w:r>
            <w:r>
              <w:rPr>
                <w:rFonts w:hint="eastAsia" w:ascii="仿宋" w:hAnsi="仿宋" w:eastAsia="仿宋" w:cs="仿宋"/>
                <w:sz w:val="24"/>
                <w:szCs w:val="24"/>
              </w:rPr>
              <w:t>。</w:t>
            </w:r>
          </w:p>
        </w:tc>
      </w:tr>
      <w:tr w14:paraId="738EF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1100" w:type="dxa"/>
            <w:noWrap w:val="0"/>
            <w:vAlign w:val="center"/>
          </w:tcPr>
          <w:p w14:paraId="78333388">
            <w:pPr>
              <w:pStyle w:val="45"/>
              <w:keepNext w:val="0"/>
              <w:keepLines w:val="0"/>
              <w:pageBreakBefore w:val="0"/>
              <w:widowControl w:val="0"/>
              <w:kinsoku/>
              <w:wordWrap/>
              <w:overflowPunct/>
              <w:topLinePunct w:val="0"/>
              <w:autoSpaceDE/>
              <w:autoSpaceDN/>
              <w:bidi w:val="0"/>
              <w:adjustRightInd/>
              <w:snapToGrid/>
              <w:spacing w:line="400" w:lineRule="exact"/>
              <w:ind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24.3</w:t>
            </w:r>
          </w:p>
        </w:tc>
        <w:tc>
          <w:tcPr>
            <w:tcW w:w="1908" w:type="dxa"/>
            <w:noWrap w:val="0"/>
            <w:vAlign w:val="center"/>
          </w:tcPr>
          <w:p w14:paraId="27C1FDF5">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联系方式</w:t>
            </w:r>
          </w:p>
        </w:tc>
        <w:tc>
          <w:tcPr>
            <w:tcW w:w="6341" w:type="dxa"/>
            <w:noWrap w:val="0"/>
            <w:vAlign w:val="top"/>
          </w:tcPr>
          <w:p w14:paraId="1A6C8FDA">
            <w:pPr>
              <w:pStyle w:val="45"/>
              <w:keepNext w:val="0"/>
              <w:keepLines w:val="0"/>
              <w:pageBreakBefore w:val="0"/>
              <w:widowControl w:val="0"/>
              <w:kinsoku/>
              <w:wordWrap/>
              <w:overflowPunct/>
              <w:topLinePunct w:val="0"/>
              <w:autoSpaceDE/>
              <w:autoSpaceDN/>
              <w:bidi w:val="0"/>
              <w:adjustRightInd/>
              <w:snapToGrid/>
              <w:spacing w:line="360" w:lineRule="exact"/>
              <w:ind w:left="109" w:right="102"/>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接收询问和质疑的联系方式</w:t>
            </w:r>
          </w:p>
          <w:p w14:paraId="21BD7DF5">
            <w:pPr>
              <w:pStyle w:val="45"/>
              <w:keepNext w:val="0"/>
              <w:keepLines w:val="0"/>
              <w:pageBreakBefore w:val="0"/>
              <w:widowControl w:val="0"/>
              <w:kinsoku/>
              <w:wordWrap/>
              <w:overflowPunct/>
              <w:topLinePunct w:val="0"/>
              <w:autoSpaceDE/>
              <w:autoSpaceDN/>
              <w:bidi w:val="0"/>
              <w:adjustRightInd/>
              <w:snapToGrid/>
              <w:spacing w:line="360" w:lineRule="exact"/>
              <w:ind w:left="109" w:right="102"/>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联系部门：</w:t>
            </w:r>
            <w:r>
              <w:rPr>
                <w:rFonts w:hint="eastAsia" w:ascii="仿宋" w:hAnsi="仿宋" w:eastAsia="仿宋" w:cs="仿宋"/>
                <w:kern w:val="2"/>
                <w:sz w:val="24"/>
                <w:szCs w:val="24"/>
                <w:u w:val="single"/>
                <w:lang w:val="en-US" w:eastAsia="zh-CN" w:bidi="ar-SA"/>
              </w:rPr>
              <w:t>云南锦寅工程咨询有限公司</w:t>
            </w:r>
            <w:r>
              <w:rPr>
                <w:rFonts w:hint="eastAsia" w:ascii="仿宋" w:hAnsi="仿宋" w:eastAsia="仿宋" w:cs="仿宋"/>
                <w:kern w:val="2"/>
                <w:sz w:val="24"/>
                <w:szCs w:val="24"/>
                <w:lang w:val="en-US" w:eastAsia="zh-CN" w:bidi="ar-SA"/>
              </w:rPr>
              <w:t>；</w:t>
            </w:r>
          </w:p>
          <w:p w14:paraId="29175529">
            <w:pPr>
              <w:pStyle w:val="45"/>
              <w:keepNext w:val="0"/>
              <w:keepLines w:val="0"/>
              <w:pageBreakBefore w:val="0"/>
              <w:widowControl w:val="0"/>
              <w:kinsoku/>
              <w:wordWrap/>
              <w:overflowPunct/>
              <w:topLinePunct w:val="0"/>
              <w:autoSpaceDE/>
              <w:autoSpaceDN/>
              <w:bidi w:val="0"/>
              <w:adjustRightInd/>
              <w:snapToGrid/>
              <w:spacing w:line="360" w:lineRule="exact"/>
              <w:ind w:left="109" w:right="102"/>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联系电话：</w:t>
            </w:r>
            <w:r>
              <w:rPr>
                <w:rFonts w:hint="eastAsia" w:ascii="仿宋" w:hAnsi="仿宋" w:eastAsia="仿宋" w:cs="仿宋"/>
                <w:kern w:val="2"/>
                <w:sz w:val="24"/>
                <w:szCs w:val="24"/>
                <w:u w:val="single"/>
                <w:lang w:val="en-US" w:eastAsia="zh-CN" w:bidi="ar-SA"/>
              </w:rPr>
              <w:t xml:space="preserve">13988131448 </w:t>
            </w:r>
            <w:r>
              <w:rPr>
                <w:rFonts w:hint="eastAsia" w:ascii="仿宋" w:hAnsi="仿宋" w:eastAsia="仿宋" w:cs="仿宋"/>
                <w:kern w:val="2"/>
                <w:sz w:val="24"/>
                <w:szCs w:val="24"/>
                <w:lang w:val="en-US" w:eastAsia="zh-CN" w:bidi="ar-SA"/>
              </w:rPr>
              <w:t>；</w:t>
            </w:r>
          </w:p>
        </w:tc>
      </w:tr>
      <w:tr w14:paraId="4CB2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100" w:type="dxa"/>
            <w:noWrap w:val="0"/>
            <w:vAlign w:val="center"/>
          </w:tcPr>
          <w:p w14:paraId="228D0D5A">
            <w:pPr>
              <w:pStyle w:val="45"/>
              <w:keepNext w:val="0"/>
              <w:keepLines w:val="0"/>
              <w:pageBreakBefore w:val="0"/>
              <w:widowControl w:val="0"/>
              <w:kinsoku/>
              <w:wordWrap/>
              <w:overflowPunct/>
              <w:topLinePunct w:val="0"/>
              <w:autoSpaceDE/>
              <w:autoSpaceDN/>
              <w:bidi w:val="0"/>
              <w:adjustRightInd/>
              <w:snapToGrid/>
              <w:spacing w:line="400" w:lineRule="exact"/>
              <w:ind w:right="102"/>
              <w:jc w:val="center"/>
              <w:textAlignment w:val="auto"/>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t>25</w:t>
            </w:r>
          </w:p>
        </w:tc>
        <w:tc>
          <w:tcPr>
            <w:tcW w:w="1908" w:type="dxa"/>
            <w:noWrap w:val="0"/>
            <w:vAlign w:val="center"/>
          </w:tcPr>
          <w:p w14:paraId="701EC53B">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代理费</w:t>
            </w:r>
          </w:p>
        </w:tc>
        <w:tc>
          <w:tcPr>
            <w:tcW w:w="6341" w:type="dxa"/>
            <w:noWrap w:val="0"/>
            <w:vAlign w:val="top"/>
          </w:tcPr>
          <w:p w14:paraId="016BFF14">
            <w:pPr>
              <w:pStyle w:val="45"/>
              <w:keepNext w:val="0"/>
              <w:keepLines w:val="0"/>
              <w:pageBreakBefore w:val="0"/>
              <w:widowControl w:val="0"/>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收费对象：</w:t>
            </w:r>
          </w:p>
          <w:p w14:paraId="239B3E7A">
            <w:pPr>
              <w:pStyle w:val="45"/>
              <w:keepNext w:val="0"/>
              <w:keepLines w:val="0"/>
              <w:pageBreakBefore w:val="0"/>
              <w:widowControl w:val="0"/>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10"/>
                <w:sz w:val="24"/>
                <w:szCs w:val="24"/>
                <w:lang w:eastAsia="zh-CN"/>
              </w:rPr>
              <w:t>采购人</w:t>
            </w:r>
          </w:p>
          <w:p w14:paraId="51FA2F7D">
            <w:pPr>
              <w:pStyle w:val="45"/>
              <w:keepNext w:val="0"/>
              <w:keepLines w:val="0"/>
              <w:pageBreakBefore w:val="0"/>
              <w:widowControl w:val="0"/>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w w:val="110"/>
                <w:sz w:val="24"/>
                <w:szCs w:val="24"/>
                <w:lang w:eastAsia="zh-CN"/>
              </w:rPr>
              <w:t>成交供应商</w:t>
            </w:r>
          </w:p>
          <w:p w14:paraId="42BF48B1">
            <w:pPr>
              <w:pStyle w:val="45"/>
              <w:keepNext w:val="0"/>
              <w:keepLines w:val="0"/>
              <w:pageBreakBefore w:val="0"/>
              <w:widowControl w:val="0"/>
              <w:tabs>
                <w:tab w:val="left" w:pos="2148"/>
              </w:tabs>
              <w:kinsoku/>
              <w:wordWrap/>
              <w:overflowPunct/>
              <w:topLinePunct w:val="0"/>
              <w:autoSpaceDE/>
              <w:autoSpaceDN/>
              <w:bidi w:val="0"/>
              <w:adjustRightInd/>
              <w:snapToGrid/>
              <w:spacing w:line="360" w:lineRule="exact"/>
              <w:ind w:left="108"/>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lang w:eastAsia="zh-CN"/>
              </w:rPr>
              <w:t>收费标准</w:t>
            </w:r>
            <w:r>
              <w:rPr>
                <w:rFonts w:hint="eastAsia" w:ascii="仿宋" w:hAnsi="仿宋" w:eastAsia="仿宋" w:cs="仿宋"/>
                <w:color w:val="auto"/>
                <w:sz w:val="24"/>
                <w:szCs w:val="24"/>
                <w:lang w:eastAsia="zh-CN"/>
              </w:rPr>
              <w:t>：</w:t>
            </w:r>
            <w:r>
              <w:rPr>
                <w:rFonts w:hint="eastAsia" w:ascii="仿宋" w:hAnsi="仿宋" w:eastAsia="仿宋" w:cs="仿宋"/>
                <w:spacing w:val="5"/>
                <w:sz w:val="24"/>
                <w:szCs w:val="24"/>
                <w:lang w:val="en-US" w:eastAsia="zh-CN"/>
              </w:rPr>
              <w:t>参照云南省建设工程招标投标行业协会关于印发</w:t>
            </w:r>
            <w:r>
              <w:rPr>
                <w:rFonts w:hint="eastAsia" w:ascii="仿宋" w:hAnsi="仿宋" w:eastAsia="仿宋" w:cs="仿宋"/>
                <w:spacing w:val="5"/>
                <w:sz w:val="24"/>
                <w:szCs w:val="24"/>
                <w:highlight w:val="none"/>
                <w:lang w:val="en-US" w:eastAsia="zh-CN"/>
              </w:rPr>
              <w:t>《云南省建设工程招标代理服务收费参考意见》的通知云建招办[2026]11号文件规定执行，以成交价为计费基数，向成交供应商收取。</w:t>
            </w:r>
          </w:p>
          <w:p w14:paraId="1FB070CD">
            <w:pPr>
              <w:pStyle w:val="45"/>
              <w:keepNext w:val="0"/>
              <w:keepLines w:val="0"/>
              <w:pageBreakBefore w:val="0"/>
              <w:widowControl w:val="0"/>
              <w:tabs>
                <w:tab w:val="left" w:pos="2148"/>
              </w:tabs>
              <w:kinsoku/>
              <w:wordWrap/>
              <w:overflowPunct/>
              <w:topLinePunct w:val="0"/>
              <w:autoSpaceDE/>
              <w:autoSpaceDN/>
              <w:bidi w:val="0"/>
              <w:adjustRightInd/>
              <w:snapToGrid/>
              <w:spacing w:line="360" w:lineRule="exact"/>
              <w:ind w:left="108"/>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缴纳时间：在成交通知书</w:t>
            </w:r>
            <w:r>
              <w:rPr>
                <w:rFonts w:hint="eastAsia" w:ascii="仿宋" w:hAnsi="仿宋" w:eastAsia="仿宋" w:cs="仿宋"/>
                <w:sz w:val="24"/>
                <w:szCs w:val="24"/>
                <w:lang w:val="en-US" w:eastAsia="zh-CN"/>
              </w:rPr>
              <w:t>发出之日起，10个工作日内</w:t>
            </w:r>
            <w:r>
              <w:rPr>
                <w:rFonts w:hint="eastAsia" w:ascii="仿宋" w:hAnsi="仿宋" w:eastAsia="仿宋" w:cs="仿宋"/>
                <w:sz w:val="24"/>
                <w:szCs w:val="24"/>
                <w:lang w:eastAsia="zh-CN"/>
              </w:rPr>
              <w:t>一次性付清。</w:t>
            </w:r>
          </w:p>
        </w:tc>
      </w:tr>
      <w:tr w14:paraId="5A0F7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7" w:hRule="atLeast"/>
        </w:trPr>
        <w:tc>
          <w:tcPr>
            <w:tcW w:w="1100" w:type="dxa"/>
            <w:vMerge w:val="restart"/>
            <w:noWrap w:val="0"/>
            <w:vAlign w:val="center"/>
          </w:tcPr>
          <w:p w14:paraId="742E5021">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26</w:t>
            </w:r>
          </w:p>
        </w:tc>
        <w:tc>
          <w:tcPr>
            <w:tcW w:w="1908" w:type="dxa"/>
            <w:noWrap w:val="0"/>
            <w:vAlign w:val="center"/>
          </w:tcPr>
          <w:p w14:paraId="3840A869">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信用信息查询</w:t>
            </w:r>
          </w:p>
        </w:tc>
        <w:tc>
          <w:tcPr>
            <w:tcW w:w="6341" w:type="dxa"/>
            <w:noWrap w:val="0"/>
            <w:vAlign w:val="center"/>
          </w:tcPr>
          <w:p w14:paraId="5C188CC8">
            <w:pPr>
              <w:pStyle w:val="47"/>
              <w:keepNext w:val="0"/>
              <w:keepLines w:val="0"/>
              <w:pageBreakBefore w:val="0"/>
              <w:widowControl w:val="0"/>
              <w:kinsoku/>
              <w:wordWrap/>
              <w:overflowPunct/>
              <w:topLinePunct w:val="0"/>
              <w:autoSpaceDE/>
              <w:autoSpaceDN/>
              <w:bidi w:val="0"/>
              <w:adjustRightInd/>
              <w:snapToGrid/>
              <w:spacing w:before="0" w:line="360" w:lineRule="exact"/>
              <w:ind w:firstLine="0" w:firstLineChars="0"/>
              <w:textAlignment w:val="auto"/>
              <w:rPr>
                <w:rFonts w:hint="eastAsia" w:ascii="仿宋" w:hAnsi="仿宋" w:eastAsia="仿宋" w:cs="仿宋"/>
                <w:kern w:val="0"/>
                <w:sz w:val="24"/>
                <w:szCs w:val="24"/>
              </w:rPr>
            </w:pPr>
            <w:r>
              <w:rPr>
                <w:rFonts w:hint="eastAsia" w:ascii="仿宋" w:hAnsi="仿宋" w:eastAsia="仿宋" w:cs="仿宋"/>
                <w:kern w:val="0"/>
                <w:sz w:val="24"/>
                <w:szCs w:val="24"/>
              </w:rPr>
              <w:t>查询渠道：信用中国(</w:t>
            </w:r>
            <w:r>
              <w:rPr>
                <w:rFonts w:hint="eastAsia" w:ascii="仿宋" w:hAnsi="仿宋" w:eastAsia="仿宋" w:cs="仿宋"/>
                <w:color w:val="000000"/>
                <w:sz w:val="24"/>
                <w:szCs w:val="24"/>
                <w:highlight w:val="none"/>
                <w:u w:val="none"/>
                <w:lang w:val="en-US" w:eastAsia="zh-CN"/>
              </w:rPr>
              <w:t>http://www.creditchina.gov.cn</w:t>
            </w:r>
            <w:r>
              <w:rPr>
                <w:rFonts w:hint="eastAsia" w:ascii="仿宋" w:hAnsi="仿宋" w:eastAsia="仿宋" w:cs="仿宋"/>
                <w:kern w:val="0"/>
                <w:sz w:val="24"/>
                <w:szCs w:val="24"/>
              </w:rPr>
              <w:t>)、中国政府采购网(</w:t>
            </w:r>
            <w:r>
              <w:rPr>
                <w:rFonts w:hint="eastAsia" w:ascii="仿宋" w:hAnsi="仿宋" w:eastAsia="仿宋" w:cs="仿宋"/>
                <w:color w:val="000000"/>
                <w:sz w:val="24"/>
                <w:szCs w:val="24"/>
                <w:highlight w:val="none"/>
                <w:u w:val="none"/>
                <w:lang w:val="en-US" w:eastAsia="zh-CN"/>
              </w:rPr>
              <w:t>http://www.ccgp.gov.cn</w:t>
            </w:r>
            <w:r>
              <w:rPr>
                <w:rFonts w:hint="eastAsia" w:ascii="仿宋" w:hAnsi="仿宋" w:eastAsia="仿宋" w:cs="仿宋"/>
                <w:kern w:val="0"/>
                <w:sz w:val="24"/>
                <w:szCs w:val="24"/>
              </w:rPr>
              <w:t>)。</w:t>
            </w:r>
          </w:p>
          <w:p w14:paraId="6A4A61C1">
            <w:pPr>
              <w:pStyle w:val="47"/>
              <w:keepNext w:val="0"/>
              <w:keepLines w:val="0"/>
              <w:pageBreakBefore w:val="0"/>
              <w:widowControl w:val="0"/>
              <w:kinsoku/>
              <w:wordWrap/>
              <w:overflowPunct/>
              <w:topLinePunct w:val="0"/>
              <w:autoSpaceDE/>
              <w:autoSpaceDN/>
              <w:bidi w:val="0"/>
              <w:adjustRightInd/>
              <w:snapToGrid/>
              <w:spacing w:before="0" w:line="360" w:lineRule="exact"/>
              <w:ind w:firstLine="0" w:firstLineChars="0"/>
              <w:textAlignment w:val="auto"/>
              <w:rPr>
                <w:rFonts w:hint="eastAsia" w:ascii="仿宋" w:hAnsi="仿宋" w:eastAsia="仿宋" w:cs="仿宋"/>
                <w:kern w:val="0"/>
                <w:sz w:val="24"/>
                <w:szCs w:val="24"/>
              </w:rPr>
            </w:pPr>
            <w:r>
              <w:rPr>
                <w:rFonts w:hint="eastAsia" w:ascii="仿宋" w:hAnsi="仿宋" w:eastAsia="仿宋" w:cs="仿宋"/>
                <w:kern w:val="0"/>
                <w:sz w:val="24"/>
                <w:szCs w:val="24"/>
              </w:rPr>
              <w:t>查询人：采购人或采购代理机构</w:t>
            </w:r>
          </w:p>
          <w:p w14:paraId="78677B02">
            <w:pPr>
              <w:pStyle w:val="47"/>
              <w:keepNext w:val="0"/>
              <w:keepLines w:val="0"/>
              <w:pageBreakBefore w:val="0"/>
              <w:widowControl w:val="0"/>
              <w:kinsoku/>
              <w:wordWrap/>
              <w:overflowPunct/>
              <w:topLinePunct w:val="0"/>
              <w:autoSpaceDE/>
              <w:autoSpaceDN/>
              <w:bidi w:val="0"/>
              <w:adjustRightInd/>
              <w:snapToGrid/>
              <w:spacing w:before="0" w:line="360" w:lineRule="exact"/>
              <w:ind w:firstLine="0" w:firstLineChars="0"/>
              <w:textAlignment w:val="auto"/>
              <w:rPr>
                <w:rFonts w:hint="eastAsia" w:ascii="仿宋" w:hAnsi="仿宋" w:eastAsia="仿宋" w:cs="仿宋"/>
                <w:kern w:val="0"/>
                <w:sz w:val="24"/>
                <w:szCs w:val="24"/>
              </w:rPr>
            </w:pPr>
            <w:r>
              <w:rPr>
                <w:rFonts w:hint="eastAsia" w:ascii="仿宋" w:hAnsi="仿宋" w:eastAsia="仿宋" w:cs="仿宋"/>
                <w:kern w:val="0"/>
                <w:sz w:val="24"/>
                <w:szCs w:val="24"/>
              </w:rPr>
              <w:t>查询时间：首次响应文件递交截止时间以后、资格审查阶段实际查询时间。</w:t>
            </w:r>
          </w:p>
          <w:p w14:paraId="52118AFA">
            <w:pPr>
              <w:pStyle w:val="47"/>
              <w:keepNext w:val="0"/>
              <w:keepLines w:val="0"/>
              <w:pageBreakBefore w:val="0"/>
              <w:widowControl w:val="0"/>
              <w:kinsoku/>
              <w:wordWrap/>
              <w:overflowPunct/>
              <w:topLinePunct w:val="0"/>
              <w:autoSpaceDE/>
              <w:autoSpaceDN/>
              <w:bidi w:val="0"/>
              <w:adjustRightInd/>
              <w:snapToGrid/>
              <w:spacing w:before="0" w:line="360" w:lineRule="exact"/>
              <w:ind w:firstLine="0" w:firstLineChars="0"/>
              <w:textAlignment w:val="auto"/>
              <w:rPr>
                <w:rFonts w:hint="eastAsia" w:ascii="仿宋" w:hAnsi="仿宋" w:eastAsia="仿宋" w:cs="仿宋"/>
                <w:kern w:val="0"/>
                <w:sz w:val="24"/>
                <w:szCs w:val="24"/>
              </w:rPr>
            </w:pPr>
            <w:r>
              <w:rPr>
                <w:rFonts w:hint="eastAsia" w:ascii="仿宋" w:hAnsi="仿宋" w:eastAsia="仿宋" w:cs="仿宋"/>
                <w:kern w:val="0"/>
                <w:sz w:val="24"/>
                <w:szCs w:val="24"/>
              </w:rPr>
              <w:t>信用信息查询记录和证据留存的具体方式：查询结果网页打印页（或网页截图）作为查询记录和证据，与其他采购文件一并保存。</w:t>
            </w:r>
          </w:p>
          <w:p w14:paraId="18A82419">
            <w:pPr>
              <w:pStyle w:val="47"/>
              <w:keepNext w:val="0"/>
              <w:keepLines w:val="0"/>
              <w:pageBreakBefore w:val="0"/>
              <w:widowControl w:val="0"/>
              <w:kinsoku/>
              <w:wordWrap/>
              <w:overflowPunct/>
              <w:topLinePunct w:val="0"/>
              <w:autoSpaceDE/>
              <w:autoSpaceDN/>
              <w:bidi w:val="0"/>
              <w:adjustRightInd/>
              <w:snapToGrid/>
              <w:spacing w:before="0" w:line="360" w:lineRule="exact"/>
              <w:ind w:firstLine="0" w:firstLineChars="0"/>
              <w:textAlignment w:val="auto"/>
              <w:rPr>
                <w:rFonts w:hint="eastAsia" w:ascii="仿宋" w:hAnsi="仿宋" w:eastAsia="仿宋" w:cs="仿宋"/>
                <w:sz w:val="24"/>
                <w:szCs w:val="24"/>
              </w:rPr>
            </w:pPr>
            <w:r>
              <w:rPr>
                <w:rFonts w:hint="eastAsia" w:ascii="仿宋" w:hAnsi="仿宋" w:eastAsia="仿宋" w:cs="仿宋"/>
                <w:kern w:val="0"/>
                <w:sz w:val="24"/>
                <w:szCs w:val="24"/>
              </w:rPr>
              <w:t>信用信息的使用规则：经查询列入失信被执行人名单或者重大税收违法案件当事人名单或者政府采购严重违法失信行为记录名单的供应商将被拒绝参与政府采购活动。</w:t>
            </w:r>
          </w:p>
        </w:tc>
      </w:tr>
      <w:tr w14:paraId="4E29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100" w:type="dxa"/>
            <w:vMerge w:val="continue"/>
            <w:noWrap w:val="0"/>
            <w:vAlign w:val="center"/>
          </w:tcPr>
          <w:p w14:paraId="24F827AA">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p>
        </w:tc>
        <w:tc>
          <w:tcPr>
            <w:tcW w:w="1908" w:type="dxa"/>
            <w:noWrap w:val="0"/>
            <w:vAlign w:val="center"/>
          </w:tcPr>
          <w:p w14:paraId="3BD92615">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方案讲解演示</w:t>
            </w:r>
          </w:p>
        </w:tc>
        <w:tc>
          <w:tcPr>
            <w:tcW w:w="6341" w:type="dxa"/>
            <w:noWrap w:val="0"/>
            <w:vAlign w:val="center"/>
          </w:tcPr>
          <w:p w14:paraId="30ED5D88">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w w:val="135"/>
                <w:sz w:val="24"/>
                <w:szCs w:val="24"/>
                <w:lang w:eastAsia="zh-CN"/>
              </w:rPr>
            </w:pPr>
            <w:r>
              <w:rPr>
                <w:rFonts w:hint="eastAsia" w:ascii="仿宋" w:hAnsi="仿宋" w:eastAsia="仿宋" w:cs="仿宋"/>
                <w:sz w:val="24"/>
                <w:szCs w:val="24"/>
                <w:lang w:eastAsia="zh-CN"/>
              </w:rPr>
              <w:t>☑不组织</w:t>
            </w:r>
            <w:r>
              <w:rPr>
                <w:rFonts w:hint="eastAsia" w:ascii="仿宋" w:hAnsi="仿宋" w:eastAsia="仿宋" w:cs="仿宋"/>
                <w:w w:val="135"/>
                <w:sz w:val="24"/>
                <w:szCs w:val="24"/>
                <w:lang w:eastAsia="zh-CN"/>
              </w:rPr>
              <w:t>。</w:t>
            </w:r>
          </w:p>
          <w:p w14:paraId="5091AAAE">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w w:val="135"/>
                <w:sz w:val="24"/>
                <w:szCs w:val="24"/>
                <w:lang w:eastAsia="zh-CN"/>
              </w:rPr>
            </w:pPr>
            <w:r>
              <w:rPr>
                <w:rFonts w:hint="eastAsia" w:ascii="仿宋" w:hAnsi="仿宋" w:eastAsia="仿宋" w:cs="仿宋"/>
                <w:sz w:val="24"/>
                <w:szCs w:val="24"/>
                <w:lang w:eastAsia="zh-CN"/>
              </w:rPr>
              <w:t>□组织，具体要求：</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p>
        </w:tc>
      </w:tr>
      <w:tr w14:paraId="051C5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1100" w:type="dxa"/>
            <w:vMerge w:val="continue"/>
            <w:noWrap w:val="0"/>
            <w:vAlign w:val="top"/>
          </w:tcPr>
          <w:p w14:paraId="59E0D832">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p>
        </w:tc>
        <w:tc>
          <w:tcPr>
            <w:tcW w:w="1908" w:type="dxa"/>
            <w:noWrap w:val="0"/>
            <w:vAlign w:val="center"/>
          </w:tcPr>
          <w:p w14:paraId="71E28569">
            <w:pPr>
              <w:pStyle w:val="45"/>
              <w:keepNext w:val="0"/>
              <w:keepLines w:val="0"/>
              <w:pageBreakBefore w:val="0"/>
              <w:widowControl w:val="0"/>
              <w:kinsoku/>
              <w:wordWrap/>
              <w:overflowPunct/>
              <w:topLinePunct w:val="0"/>
              <w:autoSpaceDE/>
              <w:autoSpaceDN/>
              <w:bidi w:val="0"/>
              <w:adjustRightInd/>
              <w:snapToGrid/>
              <w:spacing w:line="400" w:lineRule="exact"/>
              <w:ind w:left="109" w:leftChars="0" w:right="102" w:right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样品</w:t>
            </w:r>
          </w:p>
        </w:tc>
        <w:tc>
          <w:tcPr>
            <w:tcW w:w="6341" w:type="dxa"/>
            <w:noWrap w:val="0"/>
            <w:vAlign w:val="center"/>
          </w:tcPr>
          <w:p w14:paraId="524502B1">
            <w:pPr>
              <w:pStyle w:val="45"/>
              <w:keepNext w:val="0"/>
              <w:keepLines w:val="0"/>
              <w:pageBreakBefore w:val="0"/>
              <w:widowControl w:val="0"/>
              <w:kinsoku/>
              <w:wordWrap/>
              <w:overflowPunct/>
              <w:topLinePunct w:val="0"/>
              <w:autoSpaceDE/>
              <w:autoSpaceDN/>
              <w:bidi w:val="0"/>
              <w:adjustRightInd/>
              <w:snapToGrid/>
              <w:spacing w:line="360" w:lineRule="exact"/>
              <w:ind w:left="108"/>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☑不要求提供。</w:t>
            </w:r>
          </w:p>
          <w:p w14:paraId="0995123E">
            <w:pPr>
              <w:pStyle w:val="45"/>
              <w:keepNext w:val="0"/>
              <w:keepLines w:val="0"/>
              <w:pageBreakBefore w:val="0"/>
              <w:widowControl w:val="0"/>
              <w:kinsoku/>
              <w:wordWrap/>
              <w:overflowPunct/>
              <w:topLinePunct w:val="0"/>
              <w:autoSpaceDE/>
              <w:autoSpaceDN/>
              <w:bidi w:val="0"/>
              <w:adjustRightInd/>
              <w:snapToGrid/>
              <w:spacing w:line="360" w:lineRule="exact"/>
              <w:ind w:left="108" w:leftChars="0"/>
              <w:jc w:val="both"/>
              <w:textAlignment w:val="auto"/>
              <w:rPr>
                <w:rFonts w:hint="eastAsia" w:ascii="仿宋" w:hAnsi="仿宋" w:eastAsia="仿宋" w:cs="仿宋"/>
                <w:w w:val="135"/>
                <w:kern w:val="2"/>
                <w:sz w:val="24"/>
                <w:szCs w:val="24"/>
                <w:lang w:val="en-US" w:eastAsia="zh-CN" w:bidi="ar-SA"/>
              </w:rPr>
            </w:pPr>
            <w:r>
              <w:rPr>
                <w:rFonts w:hint="eastAsia" w:ascii="仿宋" w:hAnsi="仿宋" w:eastAsia="仿宋" w:cs="仿宋"/>
                <w:sz w:val="24"/>
                <w:szCs w:val="24"/>
                <w:lang w:eastAsia="zh-CN"/>
              </w:rPr>
              <w:t>□要求提供，具体要求</w:t>
            </w:r>
            <w:r>
              <w:rPr>
                <w:rFonts w:hint="eastAsia" w:ascii="仿宋" w:hAnsi="仿宋" w:eastAsia="仿宋" w:cs="仿宋"/>
                <w:w w:val="135"/>
                <w:sz w:val="24"/>
                <w:szCs w:val="24"/>
                <w:lang w:eastAsia="zh-CN"/>
              </w:rPr>
              <w:t>：</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p>
        </w:tc>
      </w:tr>
      <w:tr w14:paraId="4D7E5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1100" w:type="dxa"/>
            <w:vMerge w:val="continue"/>
            <w:noWrap w:val="0"/>
            <w:vAlign w:val="top"/>
          </w:tcPr>
          <w:p w14:paraId="761C2B1E">
            <w:pPr>
              <w:pStyle w:val="45"/>
              <w:keepNext w:val="0"/>
              <w:keepLines w:val="0"/>
              <w:pageBreakBefore w:val="0"/>
              <w:widowControl w:val="0"/>
              <w:kinsoku/>
              <w:wordWrap/>
              <w:overflowPunct/>
              <w:topLinePunct w:val="0"/>
              <w:autoSpaceDE/>
              <w:autoSpaceDN/>
              <w:bidi w:val="0"/>
              <w:adjustRightInd/>
              <w:snapToGrid/>
              <w:spacing w:line="400" w:lineRule="exact"/>
              <w:ind w:left="109" w:right="102"/>
              <w:jc w:val="center"/>
              <w:textAlignment w:val="auto"/>
              <w:rPr>
                <w:rFonts w:hint="eastAsia" w:ascii="仿宋" w:hAnsi="仿宋" w:eastAsia="仿宋" w:cs="仿宋"/>
                <w:kern w:val="2"/>
                <w:sz w:val="24"/>
                <w:szCs w:val="24"/>
                <w:lang w:val="en-US" w:eastAsia="zh-CN" w:bidi="ar-SA"/>
              </w:rPr>
            </w:pPr>
          </w:p>
        </w:tc>
        <w:tc>
          <w:tcPr>
            <w:tcW w:w="1908" w:type="dxa"/>
            <w:noWrap w:val="0"/>
            <w:vAlign w:val="center"/>
          </w:tcPr>
          <w:p w14:paraId="2DA475D2">
            <w:pPr>
              <w:pageBreakBefore w:val="0"/>
              <w:kinsoku/>
              <w:wordWrap/>
              <w:overflowPunct/>
              <w:bidi w:val="0"/>
              <w:spacing w:after="160" w:line="440" w:lineRule="exact"/>
              <w:ind w:left="0" w:lef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履约保证金</w:t>
            </w:r>
          </w:p>
        </w:tc>
        <w:tc>
          <w:tcPr>
            <w:tcW w:w="6341" w:type="dxa"/>
            <w:noWrap w:val="0"/>
            <w:vAlign w:val="center"/>
          </w:tcPr>
          <w:p w14:paraId="56665B9B">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承包人是否提供履约保证金：</w:t>
            </w:r>
            <w:r>
              <w:rPr>
                <w:rFonts w:hint="eastAsia" w:ascii="仿宋" w:hAnsi="仿宋" w:eastAsia="仿宋" w:cs="仿宋"/>
                <w:color w:val="auto"/>
                <w:spacing w:val="5"/>
                <w:kern w:val="2"/>
                <w:sz w:val="24"/>
                <w:szCs w:val="24"/>
                <w:u w:val="single"/>
                <w:lang w:val="en-US" w:eastAsia="zh-CN" w:bidi="ar-SA"/>
              </w:rPr>
              <w:t>否</w:t>
            </w:r>
            <w:r>
              <w:rPr>
                <w:rFonts w:hint="eastAsia" w:ascii="仿宋" w:hAnsi="仿宋" w:eastAsia="仿宋" w:cs="仿宋"/>
                <w:color w:val="auto"/>
                <w:spacing w:val="5"/>
                <w:kern w:val="2"/>
                <w:sz w:val="24"/>
                <w:szCs w:val="24"/>
                <w:lang w:val="en-US" w:eastAsia="zh-CN" w:bidi="ar-SA"/>
              </w:rPr>
              <w:t>。</w:t>
            </w:r>
          </w:p>
          <w:p w14:paraId="0DCE96F4">
            <w:pPr>
              <w:pStyle w:val="54"/>
              <w:ind w:left="0" w:leftChars="0" w:firstLine="0" w:firstLineChars="0"/>
              <w:rPr>
                <w:rFonts w:hint="eastAsia" w:ascii="仿宋" w:hAnsi="仿宋" w:eastAsia="仿宋" w:cs="仿宋"/>
                <w:sz w:val="24"/>
                <w:szCs w:val="24"/>
                <w:lang w:eastAsia="zh-CN"/>
              </w:rPr>
            </w:pPr>
            <w:r>
              <w:rPr>
                <w:rFonts w:hint="eastAsia" w:ascii="仿宋" w:hAnsi="仿宋" w:eastAsia="仿宋" w:cs="仿宋"/>
                <w:b/>
                <w:bCs/>
                <w:color w:val="auto"/>
                <w:spacing w:val="0"/>
                <w:sz w:val="24"/>
                <w:szCs w:val="24"/>
                <w:u w:val="none" w:color="auto"/>
                <w:lang w:eastAsia="zh-CN"/>
              </w:rPr>
              <w:t>本项目不要求提交履约保证金。</w:t>
            </w:r>
          </w:p>
        </w:tc>
      </w:tr>
      <w:tr w14:paraId="27D2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1100" w:type="dxa"/>
            <w:noWrap w:val="0"/>
            <w:vAlign w:val="top"/>
          </w:tcPr>
          <w:p w14:paraId="0B01F80F">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p>
          <w:p w14:paraId="7387C344">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p>
          <w:p w14:paraId="40C93CE9">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27</w:t>
            </w:r>
          </w:p>
        </w:tc>
        <w:tc>
          <w:tcPr>
            <w:tcW w:w="1908" w:type="dxa"/>
            <w:noWrap w:val="0"/>
            <w:vAlign w:val="top"/>
          </w:tcPr>
          <w:p w14:paraId="0A9AE68E">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p>
          <w:p w14:paraId="4C7682FC">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p>
          <w:p w14:paraId="175CA626">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需要补充的其他内容</w:t>
            </w:r>
          </w:p>
        </w:tc>
        <w:tc>
          <w:tcPr>
            <w:tcW w:w="6341" w:type="dxa"/>
            <w:noWrap w:val="0"/>
            <w:vAlign w:val="top"/>
          </w:tcPr>
          <w:p w14:paraId="728957CA">
            <w:pPr>
              <w:keepNext w:val="0"/>
              <w:keepLines w:val="0"/>
              <w:pageBreakBefore w:val="0"/>
              <w:widowControl w:val="0"/>
              <w:kinsoku/>
              <w:wordWrap/>
              <w:overflowPunct/>
              <w:topLinePunct w:val="0"/>
              <w:autoSpaceDE/>
              <w:autoSpaceDN/>
              <w:bidi w:val="0"/>
              <w:adjustRightInd/>
              <w:snapToGrid/>
              <w:spacing w:after="160" w:line="360" w:lineRule="exact"/>
              <w:textAlignment w:val="auto"/>
              <w:rPr>
                <w:rFonts w:hint="eastAsia" w:ascii="仿宋" w:hAnsi="仿宋" w:eastAsia="仿宋" w:cs="仿宋"/>
                <w:b/>
                <w:bCs/>
                <w:color w:val="auto"/>
                <w:spacing w:val="0"/>
                <w:sz w:val="24"/>
                <w:szCs w:val="24"/>
                <w:u w:val="none" w:color="auto"/>
                <w:lang w:eastAsia="zh-CN"/>
              </w:rPr>
            </w:pPr>
            <w:r>
              <w:rPr>
                <w:rFonts w:hint="eastAsia" w:ascii="仿宋" w:hAnsi="仿宋" w:eastAsia="仿宋" w:cs="仿宋"/>
                <w:color w:val="auto"/>
                <w:spacing w:val="5"/>
                <w:kern w:val="2"/>
                <w:sz w:val="24"/>
                <w:szCs w:val="24"/>
                <w:lang w:val="en-US" w:eastAsia="zh-CN" w:bidi="ar-SA"/>
              </w:rPr>
              <w:t>为支持和促进中小企业发展，进一步发挥政府采购政策功能，鼓励供应商使用电子保险/保函替代投标、履约保证金，支持成交供应商基于成交项目进行合同融资。申请人可登录【云南省政府采购金 融支 撑服 务平 台】 进 行 了 解 或 致电 95763 。直 达 链接:</w:t>
            </w:r>
            <w:r>
              <w:rPr>
                <w:rFonts w:hint="eastAsia" w:ascii="仿宋" w:hAnsi="仿宋" w:eastAsia="仿宋" w:cs="仿宋"/>
                <w:color w:val="auto"/>
                <w:spacing w:val="5"/>
                <w:kern w:val="2"/>
                <w:sz w:val="24"/>
                <w:szCs w:val="24"/>
                <w:lang w:val="en-US" w:eastAsia="zh-CN" w:bidi="ar-SA"/>
              </w:rPr>
              <w:fldChar w:fldCharType="begin"/>
            </w:r>
            <w:r>
              <w:rPr>
                <w:rFonts w:hint="eastAsia" w:ascii="仿宋" w:hAnsi="仿宋" w:eastAsia="仿宋" w:cs="仿宋"/>
                <w:color w:val="auto"/>
                <w:spacing w:val="5"/>
                <w:kern w:val="2"/>
                <w:sz w:val="24"/>
                <w:szCs w:val="24"/>
                <w:lang w:val="en-US" w:eastAsia="zh-CN" w:bidi="ar-SA"/>
              </w:rPr>
              <w:instrText xml:space="preserve"> HYPERLINK "https://jinrong.zcygov.cn/luban/finance/yunnan" </w:instrText>
            </w:r>
            <w:r>
              <w:rPr>
                <w:rFonts w:hint="eastAsia" w:ascii="仿宋" w:hAnsi="仿宋" w:eastAsia="仿宋" w:cs="仿宋"/>
                <w:color w:val="auto"/>
                <w:spacing w:val="5"/>
                <w:kern w:val="2"/>
                <w:sz w:val="24"/>
                <w:szCs w:val="24"/>
                <w:lang w:val="en-US" w:eastAsia="zh-CN" w:bidi="ar-SA"/>
              </w:rPr>
              <w:fldChar w:fldCharType="separate"/>
            </w:r>
            <w:r>
              <w:rPr>
                <w:rFonts w:hint="eastAsia" w:ascii="仿宋" w:hAnsi="仿宋" w:eastAsia="仿宋" w:cs="仿宋"/>
                <w:color w:val="auto"/>
                <w:spacing w:val="5"/>
                <w:kern w:val="2"/>
                <w:sz w:val="24"/>
                <w:szCs w:val="24"/>
                <w:lang w:val="en-US" w:eastAsia="zh-CN" w:bidi="ar-SA"/>
              </w:rPr>
              <w:t>https://jinrong.zcygov.cn/luban/finance/yunnan</w:t>
            </w:r>
            <w:r>
              <w:rPr>
                <w:rFonts w:hint="eastAsia" w:ascii="仿宋" w:hAnsi="仿宋" w:eastAsia="仿宋" w:cs="仿宋"/>
                <w:color w:val="auto"/>
                <w:spacing w:val="5"/>
                <w:kern w:val="2"/>
                <w:sz w:val="24"/>
                <w:szCs w:val="24"/>
                <w:lang w:val="en-US" w:eastAsia="zh-CN" w:bidi="ar-SA"/>
              </w:rPr>
              <w:fldChar w:fldCharType="end"/>
            </w:r>
            <w:r>
              <w:rPr>
                <w:rFonts w:hint="eastAsia" w:ascii="仿宋" w:hAnsi="仿宋" w:eastAsia="仿宋" w:cs="仿宋"/>
                <w:color w:val="auto"/>
                <w:spacing w:val="5"/>
                <w:kern w:val="2"/>
                <w:sz w:val="24"/>
                <w:szCs w:val="24"/>
                <w:lang w:val="en-US" w:eastAsia="zh-CN" w:bidi="ar-SA"/>
              </w:rPr>
              <w:t>。</w:t>
            </w:r>
          </w:p>
        </w:tc>
      </w:tr>
    </w:tbl>
    <w:p w14:paraId="2DD7821B">
      <w:pPr>
        <w:rPr>
          <w:rFonts w:hint="eastAsia" w:ascii="仿宋" w:hAnsi="仿宋" w:eastAsia="仿宋" w:cs="仿宋"/>
          <w:sz w:val="24"/>
          <w:szCs w:val="24"/>
        </w:rPr>
      </w:pPr>
      <w:r>
        <w:rPr>
          <w:rFonts w:hint="eastAsia" w:ascii="仿宋" w:hAnsi="仿宋" w:eastAsia="仿宋" w:cs="仿宋"/>
          <w:sz w:val="24"/>
          <w:szCs w:val="24"/>
        </w:rPr>
        <w:br w:type="page"/>
      </w:r>
    </w:p>
    <w:p w14:paraId="70E3304F">
      <w:pPr>
        <w:pStyle w:val="3"/>
        <w:keepNext/>
        <w:keepLines/>
        <w:pageBreakBefore w:val="0"/>
        <w:widowControl w:val="0"/>
        <w:tabs>
          <w:tab w:val="left" w:pos="5063"/>
          <w:tab w:val="left" w:pos="5625"/>
        </w:tabs>
        <w:kinsoku/>
        <w:wordWrap/>
        <w:overflowPunct/>
        <w:topLinePunct w:val="0"/>
        <w:autoSpaceDE/>
        <w:autoSpaceDN/>
        <w:bidi w:val="0"/>
        <w:adjustRightInd/>
        <w:snapToGrid/>
        <w:spacing w:before="0" w:beforeLines="0" w:after="0" w:afterLines="0" w:line="480" w:lineRule="exact"/>
        <w:ind w:right="0" w:firstLine="4337" w:firstLineChars="1800"/>
        <w:jc w:val="both"/>
        <w:textAlignment w:val="auto"/>
        <w:rPr>
          <w:rFonts w:hint="eastAsia" w:ascii="仿宋" w:hAnsi="仿宋" w:eastAsia="仿宋" w:cs="仿宋"/>
          <w:sz w:val="24"/>
          <w:szCs w:val="24"/>
        </w:rPr>
      </w:pPr>
      <w:r>
        <w:rPr>
          <w:rFonts w:hint="eastAsia" w:ascii="仿宋" w:hAnsi="仿宋" w:eastAsia="仿宋" w:cs="仿宋"/>
          <w:sz w:val="24"/>
          <w:szCs w:val="24"/>
        </w:rPr>
        <w:t>供应商须知</w:t>
      </w:r>
    </w:p>
    <w:p w14:paraId="728DF308">
      <w:pPr>
        <w:pStyle w:val="3"/>
        <w:keepNext/>
        <w:keepLines/>
        <w:pageBreakBefore w:val="0"/>
        <w:widowControl w:val="0"/>
        <w:tabs>
          <w:tab w:val="left" w:pos="5063"/>
          <w:tab w:val="left" w:pos="5625"/>
        </w:tabs>
        <w:kinsoku/>
        <w:wordWrap/>
        <w:overflowPunct/>
        <w:topLinePunct w:val="0"/>
        <w:autoSpaceDE/>
        <w:autoSpaceDN/>
        <w:bidi w:val="0"/>
        <w:adjustRightInd/>
        <w:snapToGrid/>
        <w:spacing w:before="0" w:beforeLines="0" w:after="0" w:afterLines="0" w:line="480" w:lineRule="exact"/>
        <w:ind w:right="0"/>
        <w:jc w:val="center"/>
        <w:textAlignment w:val="auto"/>
        <w:rPr>
          <w:rFonts w:hint="eastAsia" w:ascii="仿宋" w:hAnsi="仿宋" w:eastAsia="仿宋" w:cs="仿宋"/>
          <w:spacing w:val="0"/>
          <w:w w:val="100"/>
          <w:sz w:val="24"/>
          <w:szCs w:val="24"/>
        </w:rPr>
      </w:pPr>
      <w:r>
        <w:rPr>
          <w:rFonts w:hint="eastAsia" w:ascii="仿宋" w:hAnsi="仿宋" w:eastAsia="仿宋" w:cs="仿宋"/>
          <w:spacing w:val="0"/>
          <w:w w:val="100"/>
          <w:sz w:val="24"/>
          <w:szCs w:val="24"/>
        </w:rPr>
        <w:t>一</w:t>
      </w: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rPr>
        <w:t>说明</w:t>
      </w:r>
    </w:p>
    <w:p w14:paraId="0628758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w:t>
      </w:r>
      <w:r>
        <w:rPr>
          <w:rFonts w:hint="eastAsia" w:ascii="仿宋" w:hAnsi="仿宋" w:eastAsia="仿宋" w:cs="仿宋"/>
          <w:spacing w:val="0"/>
          <w:w w:val="100"/>
          <w:sz w:val="24"/>
          <w:szCs w:val="24"/>
          <w:lang w:eastAsia="zh-CN"/>
        </w:rPr>
        <w:t>采购人、采购代理机构、供应商、负责人、联合体</w:t>
      </w:r>
    </w:p>
    <w:p w14:paraId="0017F6DA">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w:t>
      </w:r>
      <w:r>
        <w:rPr>
          <w:rFonts w:hint="eastAsia" w:ascii="仿宋" w:hAnsi="仿宋" w:eastAsia="仿宋" w:cs="仿宋"/>
          <w:spacing w:val="0"/>
          <w:w w:val="100"/>
          <w:sz w:val="24"/>
          <w:szCs w:val="24"/>
          <w:lang w:eastAsia="zh-CN"/>
        </w:rPr>
        <w:t>采购人、采购代理机构：指依法进行政府采购的国家机关、事业单位、团体组织，及其委托的采购代理机构。本项目采购人、采购代理机构见第一章《采购邀请》。</w:t>
      </w:r>
    </w:p>
    <w:p w14:paraId="1023E059">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1.2</w:t>
      </w:r>
      <w:r>
        <w:rPr>
          <w:rFonts w:hint="eastAsia" w:ascii="仿宋" w:hAnsi="仿宋" w:eastAsia="仿宋" w:cs="仿宋"/>
          <w:spacing w:val="0"/>
          <w:w w:val="100"/>
          <w:sz w:val="24"/>
          <w:szCs w:val="24"/>
          <w:lang w:eastAsia="zh-CN"/>
        </w:rPr>
        <w:t>供应商（也称“申请人”）：指向采购人提供货物、工程或者服务的法人、其他组织或者自然人。</w:t>
      </w:r>
    </w:p>
    <w:p w14:paraId="749BE24A">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1.3</w:t>
      </w:r>
      <w:r>
        <w:rPr>
          <w:rFonts w:hint="eastAsia" w:ascii="仿宋" w:hAnsi="仿宋" w:eastAsia="仿宋" w:cs="仿宋"/>
          <w:spacing w:val="0"/>
          <w:w w:val="100"/>
          <w:sz w:val="24"/>
          <w:szCs w:val="24"/>
          <w:lang w:eastAsia="zh-CN"/>
        </w:rPr>
        <w:t>负责人：指法人企业的法定负责人，或其他组织为法律、行政法规规定代表单位行使职权的主要负责人，或自然人本人。</w:t>
      </w:r>
    </w:p>
    <w:p w14:paraId="2BA13889">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1.4联合体：指两个以上的自然人、法人或者其他组织组成一个联合体，以一个供应商的身份共同参加政府采购。</w:t>
      </w:r>
    </w:p>
    <w:p w14:paraId="50EFB398">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1.5电子签章：指数据电文中以电子形式所含、所附用于识别签名人身份并表明签名人认可其中内容的数据；“公章”系指单位法定名称章。</w:t>
      </w:r>
    </w:p>
    <w:p w14:paraId="3197A4C3">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1.6电子交易平台：指本项目政府采购活动所依托的政府采购云平台（https://www.zcygov.cn/）（简称“政采云平台”）。</w:t>
      </w:r>
    </w:p>
    <w:p w14:paraId="1578C2C8">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2、资金来源、项目属性</w:t>
      </w:r>
    </w:p>
    <w:p w14:paraId="7B9D0B80">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2.1资金来源为财政性资金和/或本项目采购中无法与财政性资金分割的非财政性资金。</w:t>
      </w:r>
    </w:p>
    <w:p w14:paraId="18BEB536">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2.2项目属性见《供应商须知资料表》。</w:t>
      </w:r>
    </w:p>
    <w:p w14:paraId="6E569F49">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w:t>
      </w:r>
      <w:r>
        <w:rPr>
          <w:rFonts w:hint="eastAsia" w:ascii="仿宋" w:hAnsi="仿宋" w:eastAsia="仿宋" w:cs="仿宋"/>
          <w:spacing w:val="0"/>
          <w:w w:val="100"/>
          <w:sz w:val="24"/>
          <w:szCs w:val="24"/>
          <w:lang w:eastAsia="zh-CN"/>
        </w:rPr>
        <w:t>现场考察、磋商前答疑会</w:t>
      </w:r>
    </w:p>
    <w:p w14:paraId="10CFAC79">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3.1</w:t>
      </w:r>
      <w:r>
        <w:rPr>
          <w:rFonts w:hint="eastAsia" w:ascii="仿宋" w:hAnsi="仿宋" w:eastAsia="仿宋" w:cs="仿宋"/>
          <w:spacing w:val="0"/>
          <w:w w:val="100"/>
          <w:sz w:val="24"/>
          <w:szCs w:val="24"/>
          <w:lang w:eastAsia="zh-CN"/>
        </w:rPr>
        <w:t>若《供应商须知资料表》中规定了组织现场考察、召开磋商前答疑会，则供应商应按要求在规定的时间和地点参加。</w:t>
      </w:r>
    </w:p>
    <w:p w14:paraId="435756C4">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w:t>
      </w:r>
      <w:r>
        <w:rPr>
          <w:rFonts w:hint="eastAsia" w:ascii="仿宋" w:hAnsi="仿宋" w:eastAsia="仿宋" w:cs="仿宋"/>
          <w:spacing w:val="0"/>
          <w:w w:val="100"/>
          <w:sz w:val="24"/>
          <w:szCs w:val="24"/>
          <w:lang w:eastAsia="zh-CN"/>
        </w:rPr>
        <w:t>由于未参加现场考察或磋商前答疑会而导致对项目实际情况不了解，影响响应文件编制、报价准确性、综合因素响应不全面等问题的，由供应商自行承担不利评审后果。</w:t>
      </w:r>
    </w:p>
    <w:p w14:paraId="587AAE3F">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w:t>
      </w:r>
      <w:r>
        <w:rPr>
          <w:rFonts w:hint="eastAsia" w:ascii="仿宋" w:hAnsi="仿宋" w:eastAsia="仿宋" w:cs="仿宋"/>
          <w:spacing w:val="0"/>
          <w:w w:val="100"/>
          <w:sz w:val="24"/>
          <w:szCs w:val="24"/>
          <w:lang w:eastAsia="zh-CN"/>
        </w:rPr>
        <w:t>政府采购政策（包括但不限于下列具体政策要求）</w:t>
      </w:r>
    </w:p>
    <w:p w14:paraId="16410B46">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4.1</w:t>
      </w:r>
      <w:r>
        <w:rPr>
          <w:rFonts w:hint="eastAsia" w:ascii="仿宋" w:hAnsi="仿宋" w:eastAsia="仿宋" w:cs="仿宋"/>
          <w:spacing w:val="0"/>
          <w:w w:val="100"/>
          <w:sz w:val="24"/>
          <w:szCs w:val="24"/>
          <w:lang w:eastAsia="zh-CN"/>
        </w:rPr>
        <w:t>采购本国货物、工程和服务</w:t>
      </w:r>
    </w:p>
    <w:p w14:paraId="6A4C89D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4.1.1</w:t>
      </w:r>
      <w:r>
        <w:rPr>
          <w:rFonts w:hint="eastAsia" w:ascii="仿宋" w:hAnsi="仿宋" w:eastAsia="仿宋" w:cs="仿宋"/>
          <w:spacing w:val="0"/>
          <w:w w:val="100"/>
          <w:sz w:val="24"/>
          <w:szCs w:val="24"/>
          <w:lang w:eastAsia="zh-CN"/>
        </w:rPr>
        <w:t>政府采购应当采购本国货物、工程和服务。但有《中华人民共和国政府采购法》第十条规定情形的除外。</w:t>
      </w:r>
    </w:p>
    <w:p w14:paraId="71572BCA">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4.1.2</w:t>
      </w:r>
      <w:r>
        <w:rPr>
          <w:rFonts w:hint="eastAsia" w:ascii="仿宋" w:hAnsi="仿宋" w:eastAsia="仿宋" w:cs="仿宋"/>
          <w:spacing w:val="0"/>
          <w:w w:val="100"/>
          <w:sz w:val="24"/>
          <w:szCs w:val="24"/>
          <w:lang w:eastAsia="zh-CN"/>
        </w:rPr>
        <w:t>本项目如接受非本国货物、工程、服务参与磋商，则具体要求见第四章《采购需求》。</w:t>
      </w:r>
    </w:p>
    <w:p w14:paraId="155047A1">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4.1.3</w:t>
      </w:r>
      <w:r>
        <w:rPr>
          <w:rFonts w:hint="eastAsia" w:ascii="仿宋" w:hAnsi="仿宋" w:eastAsia="仿宋" w:cs="仿宋"/>
          <w:spacing w:val="0"/>
          <w:w w:val="100"/>
          <w:sz w:val="24"/>
          <w:szCs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14:paraId="551C7C21">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w:t>
      </w:r>
      <w:r>
        <w:rPr>
          <w:rFonts w:hint="eastAsia" w:ascii="仿宋" w:hAnsi="仿宋" w:eastAsia="仿宋" w:cs="仿宋"/>
          <w:spacing w:val="0"/>
          <w:w w:val="100"/>
          <w:sz w:val="24"/>
          <w:szCs w:val="24"/>
          <w:lang w:eastAsia="zh-CN"/>
        </w:rPr>
        <w:t>中小企业、监狱企业及残疾人福利性单位</w:t>
      </w:r>
    </w:p>
    <w:p w14:paraId="29016EB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rPr>
      </w:pPr>
      <w:r>
        <w:rPr>
          <w:rFonts w:hint="eastAsia" w:ascii="仿宋" w:hAnsi="仿宋" w:eastAsia="仿宋" w:cs="仿宋"/>
          <w:spacing w:val="0"/>
          <w:w w:val="100"/>
          <w:sz w:val="24"/>
          <w:szCs w:val="24"/>
          <w:lang w:val="en-US" w:eastAsia="zh-CN"/>
        </w:rPr>
        <w:t>4.2.1</w:t>
      </w:r>
      <w:r>
        <w:rPr>
          <w:rFonts w:hint="eastAsia" w:ascii="仿宋" w:hAnsi="仿宋" w:eastAsia="仿宋" w:cs="仿宋"/>
          <w:spacing w:val="0"/>
          <w:w w:val="100"/>
          <w:sz w:val="24"/>
          <w:szCs w:val="24"/>
        </w:rPr>
        <w:t>中小企业定义：</w:t>
      </w:r>
    </w:p>
    <w:p w14:paraId="0D992122">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4.2.1.1</w:t>
      </w:r>
      <w:r>
        <w:rPr>
          <w:rFonts w:hint="eastAsia" w:ascii="仿宋" w:hAnsi="仿宋" w:eastAsia="仿宋" w:cs="仿宋"/>
          <w:spacing w:val="0"/>
          <w:w w:val="100"/>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2BD4B540">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4.2.1.2</w:t>
      </w:r>
      <w:r>
        <w:rPr>
          <w:rFonts w:hint="eastAsia" w:ascii="仿宋" w:hAnsi="仿宋" w:eastAsia="仿宋" w:cs="仿宋"/>
          <w:spacing w:val="0"/>
          <w:w w:val="100"/>
          <w:sz w:val="24"/>
          <w:szCs w:val="24"/>
          <w:lang w:eastAsia="zh-CN"/>
        </w:rPr>
        <w:t>供应商提供的货物、工程或者服务符合下列情形的，享受中小企业扶持政策：</w:t>
      </w:r>
    </w:p>
    <w:p w14:paraId="434A42C3">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1</w:t>
      </w:r>
      <w:r>
        <w:rPr>
          <w:rFonts w:hint="eastAsia" w:ascii="仿宋" w:hAnsi="仿宋" w:eastAsia="仿宋" w:cs="仿宋"/>
          <w:spacing w:val="0"/>
          <w:w w:val="100"/>
          <w:sz w:val="24"/>
          <w:szCs w:val="24"/>
          <w:lang w:eastAsia="zh-CN"/>
        </w:rPr>
        <w:t>）在货物采购项目中，货物由中小企业制造，即货物由中小企业生产且使用该中小企业商号或者注册商标；</w:t>
      </w:r>
    </w:p>
    <w:p w14:paraId="1ABA1946">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2</w:t>
      </w:r>
      <w:r>
        <w:rPr>
          <w:rFonts w:hint="eastAsia" w:ascii="仿宋" w:hAnsi="仿宋" w:eastAsia="仿宋" w:cs="仿宋"/>
          <w:spacing w:val="0"/>
          <w:w w:val="100"/>
          <w:sz w:val="24"/>
          <w:szCs w:val="24"/>
          <w:lang w:eastAsia="zh-CN"/>
        </w:rPr>
        <w:t>）在工程采购项目中，工程由中小企业承建，即工程施工单位为中小企业；</w:t>
      </w:r>
    </w:p>
    <w:p w14:paraId="1D6AB53D">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3</w:t>
      </w:r>
      <w:r>
        <w:rPr>
          <w:rFonts w:hint="eastAsia" w:ascii="仿宋" w:hAnsi="仿宋" w:eastAsia="仿宋" w:cs="仿宋"/>
          <w:spacing w:val="0"/>
          <w:w w:val="100"/>
          <w:sz w:val="24"/>
          <w:szCs w:val="24"/>
          <w:lang w:eastAsia="zh-CN"/>
        </w:rPr>
        <w:t>）在服务采购项目中，服务由中小企业承接，即提供服务的人员为中小企业依照《中华人民共和国劳动合同法》订立劳动合同的从业人员。</w:t>
      </w:r>
    </w:p>
    <w:p w14:paraId="4C59CC3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4.2.1.3</w:t>
      </w:r>
      <w:r>
        <w:rPr>
          <w:rFonts w:hint="eastAsia" w:ascii="仿宋" w:hAnsi="仿宋" w:eastAsia="仿宋" w:cs="仿宋"/>
          <w:spacing w:val="0"/>
          <w:w w:val="100"/>
          <w:sz w:val="24"/>
          <w:szCs w:val="24"/>
          <w:lang w:eastAsia="zh-CN"/>
        </w:rPr>
        <w:t>在货物采购项目中，供应商提供的货物既有中小企业制造货物，也有大型企业制造货物的，不享受中小企业扶持政策。</w:t>
      </w:r>
    </w:p>
    <w:p w14:paraId="4B34954A">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4.2.1.4</w:t>
      </w:r>
      <w:r>
        <w:rPr>
          <w:rFonts w:hint="eastAsia" w:ascii="仿宋" w:hAnsi="仿宋" w:eastAsia="仿宋" w:cs="仿宋"/>
          <w:spacing w:val="0"/>
          <w:w w:val="100"/>
          <w:sz w:val="24"/>
          <w:szCs w:val="24"/>
          <w:lang w:eastAsia="zh-CN"/>
        </w:rPr>
        <w:t>以联合体形式参加政府采购活动，联合体各方均为中小企业的，联合体视同中小企业。其中，联合体各方均为小微企业的，联合体视同小微企业。</w:t>
      </w:r>
    </w:p>
    <w:p w14:paraId="058440AB">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4.2.2</w:t>
      </w:r>
      <w:r>
        <w:rPr>
          <w:rFonts w:hint="eastAsia" w:ascii="仿宋" w:hAnsi="仿宋" w:eastAsia="仿宋" w:cs="仿宋"/>
          <w:spacing w:val="0"/>
          <w:w w:val="100"/>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62700B">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4.2.3</w:t>
      </w:r>
      <w:r>
        <w:rPr>
          <w:rFonts w:hint="eastAsia" w:ascii="仿宋" w:hAnsi="仿宋" w:eastAsia="仿宋" w:cs="仿宋"/>
          <w:spacing w:val="0"/>
          <w:w w:val="100"/>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A4C88C2">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4.2.3.1</w:t>
      </w:r>
      <w:r>
        <w:rPr>
          <w:rFonts w:hint="eastAsia" w:ascii="仿宋" w:hAnsi="仿宋" w:eastAsia="仿宋" w:cs="仿宋"/>
          <w:spacing w:val="0"/>
          <w:w w:val="100"/>
          <w:sz w:val="24"/>
          <w:szCs w:val="24"/>
          <w:lang w:eastAsia="zh-CN"/>
        </w:rPr>
        <w:t>安置的残疾人占本单位在职职工人数的比例不低于25%（含25%），并且安置的残疾人人数不少于10人（含</w:t>
      </w:r>
      <w:r>
        <w:rPr>
          <w:rFonts w:hint="eastAsia" w:ascii="仿宋" w:hAnsi="仿宋" w:eastAsia="仿宋" w:cs="仿宋"/>
          <w:spacing w:val="0"/>
          <w:w w:val="100"/>
          <w:sz w:val="24"/>
          <w:szCs w:val="24"/>
          <w:lang w:val="en-US" w:eastAsia="zh-CN"/>
        </w:rPr>
        <w:t>10</w:t>
      </w:r>
      <w:r>
        <w:rPr>
          <w:rFonts w:hint="eastAsia" w:ascii="仿宋" w:hAnsi="仿宋" w:eastAsia="仿宋" w:cs="仿宋"/>
          <w:spacing w:val="0"/>
          <w:w w:val="100"/>
          <w:sz w:val="24"/>
          <w:szCs w:val="24"/>
          <w:lang w:eastAsia="zh-CN"/>
        </w:rPr>
        <w:t>人）；</w:t>
      </w:r>
    </w:p>
    <w:p w14:paraId="11C9E275">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4.2.3.2依法与安置的每位残疾人签订了一年以上（含一年）的劳动合同或服务协议；</w:t>
      </w:r>
    </w:p>
    <w:p w14:paraId="0C84CCFB">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4.2.3.3为安置的每位残疾人按月足额缴纳了基本养老保险、基本医疗保险、失业保险、工伤保险和生育保险等社会保险费；</w:t>
      </w:r>
    </w:p>
    <w:p w14:paraId="11D39E82">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4.2.3.4通过银行等金融机构向安置的每位残疾人，按月支付了不低于单位所在区县适用的经省级人民政府批准的月最低工资标准的工资；</w:t>
      </w:r>
    </w:p>
    <w:p w14:paraId="7AA65706">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4.2.3.5提供本单位制造的货物、承担的工程或者服务（以下简称产品），或者提供其他残疾人福利性单位制造的货物（不包括使用非残疾人福利性单位注册商标的货物）；</w:t>
      </w:r>
    </w:p>
    <w:p w14:paraId="598BEA8D">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4.2.3.6前款所称残疾人是指法定劳动年龄内，持有《中华人民共和 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D48D3C8">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4.2.4</w:t>
      </w:r>
      <w:r>
        <w:rPr>
          <w:rFonts w:hint="eastAsia" w:ascii="仿宋" w:hAnsi="仿宋" w:eastAsia="仿宋" w:cs="仿宋"/>
          <w:spacing w:val="0"/>
          <w:w w:val="100"/>
          <w:sz w:val="24"/>
          <w:szCs w:val="24"/>
          <w:lang w:eastAsia="zh-CN"/>
        </w:rPr>
        <w:t>本项目是否专门面向中小企业预留采购份额见第一章《采购邀请》。</w:t>
      </w:r>
    </w:p>
    <w:p w14:paraId="4191AA4D">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4.2.5</w:t>
      </w:r>
      <w:r>
        <w:rPr>
          <w:rFonts w:hint="eastAsia" w:ascii="仿宋" w:hAnsi="仿宋" w:eastAsia="仿宋" w:cs="仿宋"/>
          <w:spacing w:val="0"/>
          <w:w w:val="100"/>
          <w:sz w:val="24"/>
          <w:szCs w:val="24"/>
          <w:lang w:eastAsia="zh-CN"/>
        </w:rPr>
        <w:t>采购标的对应的中小企业划分标准所属行业见《供应商须知资料表》。</w:t>
      </w:r>
    </w:p>
    <w:p w14:paraId="4FA21A53">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4.2.6</w:t>
      </w:r>
      <w:r>
        <w:rPr>
          <w:rFonts w:hint="eastAsia" w:ascii="仿宋" w:hAnsi="仿宋" w:eastAsia="仿宋" w:cs="仿宋"/>
          <w:spacing w:val="0"/>
          <w:w w:val="100"/>
          <w:sz w:val="24"/>
          <w:szCs w:val="24"/>
          <w:lang w:eastAsia="zh-CN"/>
        </w:rPr>
        <w:t>小微企业价格评审优惠的政策调整：见第三章《评审方法和评审标准》。</w:t>
      </w:r>
    </w:p>
    <w:p w14:paraId="0276B968">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4.3</w:t>
      </w:r>
      <w:r>
        <w:rPr>
          <w:rFonts w:hint="eastAsia" w:ascii="仿宋" w:hAnsi="仿宋" w:eastAsia="仿宋" w:cs="仿宋"/>
          <w:spacing w:val="0"/>
          <w:w w:val="100"/>
          <w:sz w:val="24"/>
          <w:szCs w:val="24"/>
          <w:lang w:eastAsia="zh-CN"/>
        </w:rPr>
        <w:t>政府采购节能产品、环境标志产品</w:t>
      </w:r>
    </w:p>
    <w:p w14:paraId="44FAFDBE">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4.3.1</w:t>
      </w:r>
      <w:r>
        <w:rPr>
          <w:rFonts w:hint="eastAsia" w:ascii="仿宋" w:hAnsi="仿宋" w:eastAsia="仿宋" w:cs="仿宋"/>
          <w:spacing w:val="0"/>
          <w:w w:val="100"/>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FE1126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4.3.2</w:t>
      </w:r>
      <w:r>
        <w:rPr>
          <w:rFonts w:hint="eastAsia" w:ascii="仿宋" w:hAnsi="仿宋" w:eastAsia="仿宋" w:cs="仿宋"/>
          <w:spacing w:val="0"/>
          <w:w w:val="100"/>
          <w:sz w:val="24"/>
          <w:szCs w:val="2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4A32860C">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4.3.3</w:t>
      </w:r>
      <w:r>
        <w:rPr>
          <w:rFonts w:hint="eastAsia" w:ascii="仿宋" w:hAnsi="仿宋" w:eastAsia="仿宋" w:cs="仿宋"/>
          <w:spacing w:val="0"/>
          <w:w w:val="100"/>
          <w:sz w:val="24"/>
          <w:szCs w:val="24"/>
          <w:lang w:eastAsia="zh-CN"/>
        </w:rPr>
        <w:t>如本项目采购产品属于实施政府强制采购品目清单范围的节能产品，则供应商所报产品必须获得国家确定的认证机构出具的、处于有效期之内的节能产品认证证书，否则响应无效。</w:t>
      </w:r>
    </w:p>
    <w:p w14:paraId="5AFF0267">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val="en-US" w:eastAsia="zh-CN"/>
        </w:rPr>
      </w:pPr>
      <w:r>
        <w:rPr>
          <w:rFonts w:hint="eastAsia" w:ascii="仿宋" w:hAnsi="仿宋" w:eastAsia="仿宋" w:cs="仿宋"/>
          <w:spacing w:val="0"/>
          <w:w w:val="100"/>
          <w:sz w:val="24"/>
          <w:szCs w:val="24"/>
          <w:lang w:val="en-US" w:eastAsia="zh-CN"/>
        </w:rPr>
        <w:t>4.3.4</w:t>
      </w:r>
      <w:r>
        <w:rPr>
          <w:rFonts w:hint="eastAsia" w:ascii="仿宋" w:hAnsi="仿宋" w:eastAsia="仿宋" w:cs="仿宋"/>
          <w:spacing w:val="0"/>
          <w:w w:val="100"/>
          <w:sz w:val="24"/>
          <w:szCs w:val="24"/>
          <w:lang w:eastAsia="zh-CN"/>
        </w:rPr>
        <w:t>非政府强制采购的节能产品或环境标志产品，依据品目清单和认证证书实施政府优先采购。优先采购的具体规定见第三章《评审方法和评审标准》（如涉及）。</w:t>
      </w:r>
    </w:p>
    <w:p w14:paraId="31152C95">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rPr>
      </w:pPr>
      <w:r>
        <w:rPr>
          <w:rFonts w:hint="eastAsia" w:ascii="仿宋" w:hAnsi="仿宋" w:eastAsia="仿宋" w:cs="仿宋"/>
          <w:spacing w:val="0"/>
          <w:w w:val="100"/>
          <w:sz w:val="24"/>
          <w:szCs w:val="24"/>
          <w:lang w:val="en-US" w:eastAsia="zh-CN"/>
        </w:rPr>
        <w:t>5、</w:t>
      </w:r>
      <w:r>
        <w:rPr>
          <w:rFonts w:hint="eastAsia" w:ascii="仿宋" w:hAnsi="仿宋" w:eastAsia="仿宋" w:cs="仿宋"/>
          <w:spacing w:val="0"/>
          <w:w w:val="100"/>
          <w:sz w:val="24"/>
          <w:szCs w:val="24"/>
        </w:rPr>
        <w:t>响应费用</w:t>
      </w:r>
    </w:p>
    <w:p w14:paraId="00EACB2A">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供应商应自行承担所有与准备和参加磋商有关的费用，无论磋商的结果如何，采购人或采购代理机构在任何情况下均无承担这些费用的义务和责任。</w:t>
      </w:r>
    </w:p>
    <w:p w14:paraId="32A66F34">
      <w:pPr>
        <w:pStyle w:val="3"/>
        <w:pageBreakBefore w:val="0"/>
        <w:widowControl w:val="0"/>
        <w:numPr>
          <w:ilvl w:val="0"/>
          <w:numId w:val="0"/>
        </w:numPr>
        <w:tabs>
          <w:tab w:val="left" w:pos="700"/>
        </w:tabs>
        <w:kinsoku/>
        <w:wordWrap/>
        <w:overflowPunct/>
        <w:topLinePunct w:val="0"/>
        <w:autoSpaceDE/>
        <w:autoSpaceDN/>
        <w:bidi w:val="0"/>
        <w:snapToGrid/>
        <w:spacing w:before="0" w:beforeLines="0" w:after="0" w:afterLines="0" w:line="480" w:lineRule="exact"/>
        <w:ind w:right="0" w:rightChars="0"/>
        <w:textAlignment w:val="auto"/>
        <w:outlineLvl w:val="9"/>
        <w:rPr>
          <w:rFonts w:hint="eastAsia" w:ascii="仿宋" w:hAnsi="仿宋" w:eastAsia="仿宋" w:cs="仿宋"/>
          <w:bCs/>
          <w:spacing w:val="0"/>
          <w:sz w:val="24"/>
          <w:szCs w:val="24"/>
        </w:rPr>
      </w:pPr>
    </w:p>
    <w:p w14:paraId="10F3FF15">
      <w:pPr>
        <w:pStyle w:val="3"/>
        <w:pageBreakBefore w:val="0"/>
        <w:widowControl w:val="0"/>
        <w:numPr>
          <w:ilvl w:val="0"/>
          <w:numId w:val="0"/>
        </w:numPr>
        <w:tabs>
          <w:tab w:val="left" w:pos="700"/>
        </w:tabs>
        <w:kinsoku/>
        <w:wordWrap/>
        <w:overflowPunct/>
        <w:topLinePunct w:val="0"/>
        <w:autoSpaceDE/>
        <w:autoSpaceDN/>
        <w:bidi w:val="0"/>
        <w:snapToGrid/>
        <w:spacing w:before="0" w:beforeLines="0" w:after="0" w:afterLines="0" w:line="480" w:lineRule="exact"/>
        <w:ind w:right="0" w:rightChars="0"/>
        <w:jc w:val="center"/>
        <w:textAlignment w:val="auto"/>
        <w:rPr>
          <w:rFonts w:hint="eastAsia" w:ascii="仿宋" w:hAnsi="仿宋" w:eastAsia="仿宋" w:cs="仿宋"/>
          <w:bCs/>
          <w:spacing w:val="0"/>
          <w:w w:val="100"/>
          <w:sz w:val="24"/>
          <w:szCs w:val="24"/>
        </w:rPr>
      </w:pPr>
      <w:r>
        <w:rPr>
          <w:rFonts w:hint="eastAsia" w:ascii="仿宋" w:hAnsi="仿宋" w:eastAsia="仿宋" w:cs="仿宋"/>
          <w:bCs/>
          <w:spacing w:val="0"/>
          <w:w w:val="100"/>
          <w:sz w:val="24"/>
          <w:szCs w:val="24"/>
          <w:lang w:val="en-US" w:eastAsia="zh-CN"/>
        </w:rPr>
        <w:t>二、</w:t>
      </w:r>
      <w:r>
        <w:rPr>
          <w:rFonts w:hint="eastAsia" w:ascii="仿宋" w:hAnsi="仿宋" w:eastAsia="仿宋" w:cs="仿宋"/>
          <w:bCs/>
          <w:spacing w:val="0"/>
          <w:w w:val="100"/>
          <w:sz w:val="24"/>
          <w:szCs w:val="24"/>
        </w:rPr>
        <w:t>竞争性磋商文件</w:t>
      </w:r>
    </w:p>
    <w:p w14:paraId="6B75F5E9">
      <w:pPr>
        <w:pStyle w:val="3"/>
        <w:pageBreakBefore w:val="0"/>
        <w:widowControl w:val="0"/>
        <w:numPr>
          <w:ilvl w:val="0"/>
          <w:numId w:val="0"/>
        </w:numPr>
        <w:tabs>
          <w:tab w:val="left" w:pos="700"/>
        </w:tabs>
        <w:kinsoku/>
        <w:wordWrap/>
        <w:overflowPunct/>
        <w:topLinePunct w:val="0"/>
        <w:autoSpaceDE/>
        <w:autoSpaceDN/>
        <w:bidi w:val="0"/>
        <w:snapToGrid/>
        <w:spacing w:before="0" w:beforeLines="0" w:after="0" w:afterLines="0" w:line="480" w:lineRule="exact"/>
        <w:ind w:right="0" w:rightChars="0" w:firstLine="480" w:firstLineChars="200"/>
        <w:textAlignment w:val="auto"/>
        <w:rPr>
          <w:rFonts w:hint="eastAsia" w:ascii="仿宋" w:hAnsi="仿宋" w:eastAsia="仿宋" w:cs="仿宋"/>
          <w:b w:val="0"/>
          <w:bCs w:val="0"/>
          <w:spacing w:val="0"/>
          <w:w w:val="100"/>
          <w:sz w:val="24"/>
          <w:szCs w:val="24"/>
        </w:rPr>
      </w:pPr>
      <w:r>
        <w:rPr>
          <w:rFonts w:hint="eastAsia" w:ascii="仿宋" w:hAnsi="仿宋" w:eastAsia="仿宋" w:cs="仿宋"/>
          <w:b w:val="0"/>
          <w:bCs w:val="0"/>
          <w:spacing w:val="0"/>
          <w:w w:val="100"/>
          <w:sz w:val="24"/>
          <w:szCs w:val="24"/>
          <w:lang w:val="en-US" w:eastAsia="zh-CN"/>
        </w:rPr>
        <w:t>6、</w:t>
      </w:r>
      <w:r>
        <w:rPr>
          <w:rFonts w:hint="eastAsia" w:ascii="仿宋" w:hAnsi="仿宋" w:eastAsia="仿宋" w:cs="仿宋"/>
          <w:b w:val="0"/>
          <w:bCs w:val="0"/>
          <w:spacing w:val="0"/>
          <w:w w:val="100"/>
          <w:sz w:val="24"/>
          <w:szCs w:val="24"/>
        </w:rPr>
        <w:t>竞争性磋商文件构成</w:t>
      </w:r>
    </w:p>
    <w:p w14:paraId="0B388DE4">
      <w:pPr>
        <w:pStyle w:val="3"/>
        <w:pageBreakBefore w:val="0"/>
        <w:widowControl w:val="0"/>
        <w:numPr>
          <w:ilvl w:val="0"/>
          <w:numId w:val="0"/>
        </w:numPr>
        <w:tabs>
          <w:tab w:val="left" w:pos="700"/>
        </w:tabs>
        <w:kinsoku/>
        <w:wordWrap/>
        <w:overflowPunct/>
        <w:topLinePunct w:val="0"/>
        <w:autoSpaceDE/>
        <w:autoSpaceDN/>
        <w:bidi w:val="0"/>
        <w:snapToGrid/>
        <w:spacing w:before="0" w:beforeLines="0" w:after="0" w:afterLines="0" w:line="480" w:lineRule="exact"/>
        <w:ind w:right="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val="en-US" w:eastAsia="zh-CN"/>
        </w:rPr>
        <w:t>6.1</w:t>
      </w:r>
      <w:r>
        <w:rPr>
          <w:rFonts w:hint="eastAsia" w:ascii="仿宋" w:hAnsi="仿宋" w:eastAsia="仿宋" w:cs="仿宋"/>
          <w:b w:val="0"/>
          <w:bCs w:val="0"/>
          <w:spacing w:val="0"/>
          <w:w w:val="100"/>
          <w:sz w:val="24"/>
          <w:szCs w:val="24"/>
          <w:lang w:eastAsia="zh-CN"/>
        </w:rPr>
        <w:t xml:space="preserve">竞争性磋商文件包括以下部分： </w:t>
      </w:r>
    </w:p>
    <w:p w14:paraId="7575EB00">
      <w:pPr>
        <w:pStyle w:val="3"/>
        <w:pageBreakBefore w:val="0"/>
        <w:widowControl w:val="0"/>
        <w:numPr>
          <w:ilvl w:val="0"/>
          <w:numId w:val="0"/>
        </w:numPr>
        <w:tabs>
          <w:tab w:val="left" w:pos="700"/>
        </w:tabs>
        <w:kinsoku/>
        <w:wordWrap/>
        <w:overflowPunct/>
        <w:topLinePunct w:val="0"/>
        <w:autoSpaceDE/>
        <w:autoSpaceDN/>
        <w:bidi w:val="0"/>
        <w:snapToGrid/>
        <w:spacing w:before="0" w:beforeLines="0" w:after="0" w:afterLines="0" w:line="480" w:lineRule="exact"/>
        <w:ind w:right="0" w:firstLine="480" w:firstLineChars="200"/>
        <w:textAlignment w:val="auto"/>
        <w:outlineLvl w:val="0"/>
        <w:rPr>
          <w:rFonts w:hint="eastAsia" w:ascii="仿宋" w:hAnsi="仿宋" w:eastAsia="仿宋" w:cs="仿宋"/>
          <w:b w:val="0"/>
          <w:bCs w:val="0"/>
          <w:spacing w:val="0"/>
          <w:w w:val="100"/>
          <w:sz w:val="24"/>
          <w:szCs w:val="24"/>
          <w:lang w:eastAsia="zh-CN"/>
        </w:rPr>
      </w:pPr>
      <w:bookmarkStart w:id="76" w:name="_Toc17595"/>
      <w:r>
        <w:rPr>
          <w:rFonts w:hint="eastAsia" w:ascii="仿宋" w:hAnsi="仿宋" w:eastAsia="仿宋" w:cs="仿宋"/>
          <w:b w:val="0"/>
          <w:bCs w:val="0"/>
          <w:spacing w:val="0"/>
          <w:w w:val="100"/>
          <w:sz w:val="24"/>
          <w:szCs w:val="24"/>
          <w:lang w:eastAsia="zh-CN"/>
        </w:rPr>
        <w:t>第一章</w:t>
      </w:r>
      <w:r>
        <w:rPr>
          <w:rFonts w:hint="eastAsia" w:ascii="仿宋" w:hAnsi="仿宋" w:eastAsia="仿宋" w:cs="仿宋"/>
          <w:b w:val="0"/>
          <w:bCs w:val="0"/>
          <w:spacing w:val="0"/>
          <w:w w:val="100"/>
          <w:sz w:val="24"/>
          <w:szCs w:val="24"/>
          <w:lang w:val="en-US" w:eastAsia="zh-CN"/>
        </w:rPr>
        <w:t xml:space="preserve"> </w:t>
      </w:r>
      <w:bookmarkEnd w:id="76"/>
      <w:r>
        <w:rPr>
          <w:rFonts w:hint="eastAsia" w:ascii="仿宋" w:hAnsi="仿宋" w:eastAsia="仿宋" w:cs="仿宋"/>
          <w:b w:val="0"/>
          <w:bCs w:val="0"/>
          <w:spacing w:val="0"/>
          <w:w w:val="100"/>
          <w:sz w:val="24"/>
          <w:szCs w:val="24"/>
          <w:lang w:val="en-US" w:eastAsia="zh-CN"/>
        </w:rPr>
        <w:t>竞争性磋商公告</w:t>
      </w:r>
    </w:p>
    <w:p w14:paraId="05D81DBA">
      <w:pPr>
        <w:pStyle w:val="12"/>
        <w:pageBreakBefore w:val="0"/>
        <w:widowControl w:val="0"/>
        <w:tabs>
          <w:tab w:val="left" w:pos="3061"/>
        </w:tabs>
        <w:kinsoku/>
        <w:wordWrap/>
        <w:overflowPunct/>
        <w:topLinePunct w:val="0"/>
        <w:autoSpaceDE/>
        <w:autoSpaceDN/>
        <w:bidi w:val="0"/>
        <w:snapToGrid/>
        <w:spacing w:line="480" w:lineRule="exact"/>
        <w:ind w:right="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eastAsia="zh-CN"/>
        </w:rPr>
        <w:t>第二章</w:t>
      </w:r>
      <w:r>
        <w:rPr>
          <w:rFonts w:hint="eastAsia" w:ascii="仿宋" w:hAnsi="仿宋" w:eastAsia="仿宋" w:cs="仿宋"/>
          <w:b w:val="0"/>
          <w:bCs w:val="0"/>
          <w:spacing w:val="0"/>
          <w:w w:val="100"/>
          <w:sz w:val="24"/>
          <w:szCs w:val="24"/>
          <w:lang w:val="en-US" w:eastAsia="zh-CN"/>
        </w:rPr>
        <w:t xml:space="preserve"> </w:t>
      </w:r>
      <w:r>
        <w:rPr>
          <w:rFonts w:hint="eastAsia" w:ascii="仿宋" w:hAnsi="仿宋" w:eastAsia="仿宋" w:cs="仿宋"/>
          <w:b w:val="0"/>
          <w:bCs w:val="0"/>
          <w:spacing w:val="0"/>
          <w:w w:val="100"/>
          <w:sz w:val="24"/>
          <w:szCs w:val="24"/>
          <w:lang w:eastAsia="zh-CN"/>
        </w:rPr>
        <w:t>供应商须知</w:t>
      </w:r>
    </w:p>
    <w:p w14:paraId="05629F9D">
      <w:pPr>
        <w:pStyle w:val="12"/>
        <w:pageBreakBefore w:val="0"/>
        <w:widowControl w:val="0"/>
        <w:tabs>
          <w:tab w:val="left" w:pos="3061"/>
        </w:tabs>
        <w:kinsoku/>
        <w:wordWrap/>
        <w:overflowPunct/>
        <w:topLinePunct w:val="0"/>
        <w:autoSpaceDE/>
        <w:autoSpaceDN/>
        <w:bidi w:val="0"/>
        <w:snapToGrid/>
        <w:spacing w:line="480" w:lineRule="exact"/>
        <w:ind w:right="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eastAsia="zh-CN"/>
        </w:rPr>
        <w:t>第三章</w:t>
      </w:r>
      <w:r>
        <w:rPr>
          <w:rFonts w:hint="eastAsia" w:ascii="仿宋" w:hAnsi="仿宋" w:eastAsia="仿宋" w:cs="仿宋"/>
          <w:b w:val="0"/>
          <w:bCs w:val="0"/>
          <w:spacing w:val="0"/>
          <w:w w:val="100"/>
          <w:sz w:val="24"/>
          <w:szCs w:val="24"/>
          <w:lang w:val="en-US" w:eastAsia="zh-CN"/>
        </w:rPr>
        <w:t xml:space="preserve"> </w:t>
      </w:r>
      <w:r>
        <w:rPr>
          <w:rFonts w:hint="eastAsia" w:ascii="仿宋" w:hAnsi="仿宋" w:eastAsia="仿宋" w:cs="仿宋"/>
          <w:b w:val="0"/>
          <w:bCs w:val="0"/>
          <w:spacing w:val="0"/>
          <w:w w:val="100"/>
          <w:sz w:val="24"/>
          <w:szCs w:val="24"/>
          <w:lang w:eastAsia="zh-CN"/>
        </w:rPr>
        <w:t>评审方法和评审标准</w:t>
      </w:r>
    </w:p>
    <w:p w14:paraId="6CE13235">
      <w:pPr>
        <w:pStyle w:val="12"/>
        <w:pageBreakBefore w:val="0"/>
        <w:widowControl w:val="0"/>
        <w:tabs>
          <w:tab w:val="left" w:pos="3061"/>
        </w:tabs>
        <w:kinsoku/>
        <w:wordWrap/>
        <w:overflowPunct/>
        <w:topLinePunct w:val="0"/>
        <w:autoSpaceDE/>
        <w:autoSpaceDN/>
        <w:bidi w:val="0"/>
        <w:snapToGrid/>
        <w:spacing w:line="480" w:lineRule="exact"/>
        <w:ind w:right="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eastAsia="zh-CN"/>
        </w:rPr>
        <w:t>第四章</w:t>
      </w:r>
      <w:r>
        <w:rPr>
          <w:rFonts w:hint="eastAsia" w:ascii="仿宋" w:hAnsi="仿宋" w:eastAsia="仿宋" w:cs="仿宋"/>
          <w:b w:val="0"/>
          <w:bCs w:val="0"/>
          <w:spacing w:val="0"/>
          <w:w w:val="100"/>
          <w:sz w:val="24"/>
          <w:szCs w:val="24"/>
          <w:lang w:val="en-US" w:eastAsia="zh-CN"/>
        </w:rPr>
        <w:t xml:space="preserve"> </w:t>
      </w:r>
      <w:r>
        <w:rPr>
          <w:rFonts w:hint="eastAsia" w:ascii="仿宋" w:hAnsi="仿宋" w:eastAsia="仿宋" w:cs="仿宋"/>
          <w:b w:val="0"/>
          <w:bCs w:val="0"/>
          <w:spacing w:val="0"/>
          <w:w w:val="100"/>
          <w:sz w:val="24"/>
          <w:szCs w:val="24"/>
          <w:lang w:eastAsia="zh-CN"/>
        </w:rPr>
        <w:t>采购需求</w:t>
      </w:r>
    </w:p>
    <w:p w14:paraId="3433DAFB">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val="en-US" w:eastAsia="zh-CN"/>
        </w:rPr>
        <w:t xml:space="preserve">第五章 </w:t>
      </w:r>
      <w:r>
        <w:rPr>
          <w:rFonts w:hint="eastAsia" w:ascii="仿宋" w:hAnsi="仿宋" w:eastAsia="仿宋" w:cs="仿宋"/>
          <w:b w:val="0"/>
          <w:bCs w:val="0"/>
          <w:spacing w:val="0"/>
          <w:w w:val="100"/>
          <w:sz w:val="24"/>
          <w:szCs w:val="24"/>
          <w:lang w:eastAsia="zh-CN"/>
        </w:rPr>
        <w:t>合同条款及格式</w:t>
      </w:r>
    </w:p>
    <w:p w14:paraId="53335767">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b w:val="0"/>
          <w:bCs w:val="0"/>
          <w:spacing w:val="0"/>
          <w:w w:val="100"/>
          <w:sz w:val="24"/>
          <w:szCs w:val="24"/>
          <w:lang w:eastAsia="zh-CN"/>
        </w:rPr>
      </w:pPr>
      <w:r>
        <w:rPr>
          <w:rFonts w:hint="eastAsia" w:ascii="仿宋" w:hAnsi="仿宋" w:eastAsia="仿宋" w:cs="仿宋"/>
          <w:b w:val="0"/>
          <w:bCs w:val="0"/>
          <w:spacing w:val="0"/>
          <w:w w:val="100"/>
          <w:sz w:val="24"/>
          <w:szCs w:val="24"/>
          <w:lang w:eastAsia="zh-CN"/>
        </w:rPr>
        <w:t>第六章</w:t>
      </w:r>
      <w:r>
        <w:rPr>
          <w:rFonts w:hint="eastAsia" w:ascii="仿宋" w:hAnsi="仿宋" w:eastAsia="仿宋" w:cs="仿宋"/>
          <w:b w:val="0"/>
          <w:bCs w:val="0"/>
          <w:spacing w:val="0"/>
          <w:w w:val="100"/>
          <w:sz w:val="24"/>
          <w:szCs w:val="24"/>
          <w:lang w:val="en-US" w:eastAsia="zh-CN"/>
        </w:rPr>
        <w:t xml:space="preserve"> </w:t>
      </w:r>
      <w:r>
        <w:rPr>
          <w:rFonts w:hint="eastAsia" w:ascii="仿宋" w:hAnsi="仿宋" w:eastAsia="仿宋" w:cs="仿宋"/>
          <w:b w:val="0"/>
          <w:bCs w:val="0"/>
          <w:spacing w:val="0"/>
          <w:w w:val="100"/>
          <w:sz w:val="24"/>
          <w:szCs w:val="24"/>
          <w:lang w:eastAsia="zh-CN"/>
        </w:rPr>
        <w:t>响应文件格式</w:t>
      </w:r>
    </w:p>
    <w:p w14:paraId="65D73CC9">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b w:val="0"/>
          <w:bCs w:val="0"/>
          <w:spacing w:val="0"/>
          <w:w w:val="100"/>
          <w:sz w:val="24"/>
          <w:szCs w:val="24"/>
          <w:lang w:val="en-US" w:eastAsia="zh-CN"/>
        </w:rPr>
        <w:t>6.2</w:t>
      </w:r>
      <w:r>
        <w:rPr>
          <w:rFonts w:hint="eastAsia" w:ascii="仿宋" w:hAnsi="仿宋" w:eastAsia="仿宋" w:cs="仿宋"/>
          <w:spacing w:val="0"/>
          <w:w w:val="100"/>
          <w:sz w:val="24"/>
          <w:szCs w:val="24"/>
          <w:lang w:eastAsia="zh-CN"/>
        </w:rPr>
        <w:t>与本项目有关的澄清或者修改的内容为磋商文件的组成部分。</w:t>
      </w:r>
    </w:p>
    <w:p w14:paraId="13E5A93B">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color w:val="auto"/>
          <w:spacing w:val="0"/>
          <w:w w:val="100"/>
          <w:sz w:val="24"/>
          <w:szCs w:val="24"/>
          <w:lang w:eastAsia="zh-CN"/>
        </w:rPr>
      </w:pPr>
      <w:r>
        <w:rPr>
          <w:rFonts w:hint="eastAsia" w:ascii="仿宋" w:hAnsi="仿宋" w:eastAsia="仿宋" w:cs="仿宋"/>
          <w:spacing w:val="0"/>
          <w:w w:val="100"/>
          <w:sz w:val="24"/>
          <w:szCs w:val="24"/>
          <w:lang w:val="en-US" w:eastAsia="zh-CN"/>
        </w:rPr>
        <w:t>6.3</w:t>
      </w:r>
      <w:r>
        <w:rPr>
          <w:rFonts w:hint="eastAsia" w:ascii="仿宋" w:hAnsi="仿宋" w:eastAsia="仿宋" w:cs="仿宋"/>
          <w:spacing w:val="0"/>
          <w:w w:val="100"/>
          <w:sz w:val="24"/>
          <w:szCs w:val="24"/>
          <w:lang w:eastAsia="zh-CN"/>
        </w:rPr>
        <w:t>供应商应认真阅读竞争性磋商文件的全部内容。供应商应按照竞争性磋商文件要求提交响应文件并保证所提供的全部资料的真实性，并对竞争性磋商文件做出实质性响应，否则响应无</w:t>
      </w:r>
      <w:r>
        <w:rPr>
          <w:rFonts w:hint="eastAsia" w:ascii="仿宋" w:hAnsi="仿宋" w:eastAsia="仿宋" w:cs="仿宋"/>
          <w:color w:val="auto"/>
          <w:spacing w:val="0"/>
          <w:w w:val="100"/>
          <w:sz w:val="24"/>
          <w:szCs w:val="24"/>
          <w:lang w:eastAsia="zh-CN"/>
        </w:rPr>
        <w:t>效。</w:t>
      </w:r>
    </w:p>
    <w:p w14:paraId="5BE1CC19">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val="en-US" w:eastAsia="zh-CN"/>
        </w:rPr>
        <w:t>7、</w:t>
      </w:r>
      <w:r>
        <w:rPr>
          <w:rFonts w:hint="eastAsia" w:ascii="仿宋" w:hAnsi="仿宋" w:eastAsia="仿宋" w:cs="仿宋"/>
          <w:color w:val="auto"/>
          <w:spacing w:val="0"/>
          <w:w w:val="100"/>
          <w:sz w:val="24"/>
          <w:szCs w:val="24"/>
          <w:lang w:eastAsia="zh-CN"/>
        </w:rPr>
        <w:t>对竞争性磋商文件的澄清或修改</w:t>
      </w:r>
    </w:p>
    <w:p w14:paraId="094AD4F6">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color w:val="auto"/>
          <w:spacing w:val="0"/>
          <w:w w:val="100"/>
          <w:sz w:val="24"/>
          <w:szCs w:val="24"/>
          <w:lang w:val="en-US" w:eastAsia="zh-CN"/>
        </w:rPr>
        <w:t>7.1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03822086">
      <w:pPr>
        <w:pStyle w:val="12"/>
        <w:pageBreakBefore w:val="0"/>
        <w:widowControl w:val="0"/>
        <w:numPr>
          <w:ilvl w:val="0"/>
          <w:numId w:val="0"/>
        </w:numPr>
        <w:tabs>
          <w:tab w:val="left" w:pos="3061"/>
        </w:tabs>
        <w:kinsoku/>
        <w:wordWrap/>
        <w:overflowPunct/>
        <w:topLinePunct w:val="0"/>
        <w:autoSpaceDE/>
        <w:autoSpaceDN/>
        <w:bidi w:val="0"/>
        <w:snapToGrid/>
        <w:spacing w:line="480" w:lineRule="exact"/>
        <w:ind w:right="0" w:rightChars="0" w:firstLine="480" w:firstLineChars="200"/>
        <w:textAlignment w:val="auto"/>
        <w:rPr>
          <w:rFonts w:hint="eastAsia" w:ascii="仿宋" w:hAnsi="仿宋" w:eastAsia="仿宋" w:cs="仿宋"/>
          <w:color w:val="auto"/>
          <w:sz w:val="24"/>
          <w:szCs w:val="24"/>
        </w:rPr>
      </w:pPr>
      <w:r>
        <w:rPr>
          <w:rFonts w:hint="eastAsia" w:ascii="仿宋" w:hAnsi="仿宋" w:eastAsia="仿宋" w:cs="仿宋"/>
          <w:spacing w:val="0"/>
          <w:w w:val="100"/>
          <w:sz w:val="24"/>
          <w:szCs w:val="24"/>
          <w:lang w:val="en-US" w:eastAsia="zh-CN"/>
        </w:rPr>
        <w:t>7.2澄清或者修改的内容为竞争性磋商文件的组成部分，并对所有获取竞争性磋商文件的潜在供应商具有约束力。澄清或者修改的内容可能影响响应文件编制的，将在提交首次响应文件截止之日5日前，通过电子交易平台通知所有获取磋商文件的供应商；不足上述时间的，将顺延提交响应文件截止时间</w:t>
      </w:r>
      <w:r>
        <w:rPr>
          <w:rFonts w:hint="eastAsia" w:ascii="仿宋" w:hAnsi="仿宋" w:eastAsia="仿宋" w:cs="仿宋"/>
          <w:color w:val="auto"/>
          <w:spacing w:val="0"/>
          <w:w w:val="100"/>
          <w:sz w:val="24"/>
          <w:szCs w:val="24"/>
          <w:lang w:eastAsia="zh-CN"/>
        </w:rPr>
        <w:t>。</w:t>
      </w:r>
    </w:p>
    <w:p w14:paraId="12DC14C2">
      <w:pPr>
        <w:pStyle w:val="3"/>
        <w:pageBreakBefore w:val="0"/>
        <w:widowControl w:val="0"/>
        <w:tabs>
          <w:tab w:val="left" w:pos="700"/>
        </w:tabs>
        <w:kinsoku/>
        <w:wordWrap/>
        <w:overflowPunct/>
        <w:topLinePunct w:val="0"/>
        <w:autoSpaceDE/>
        <w:autoSpaceDN/>
        <w:bidi w:val="0"/>
        <w:adjustRightInd/>
        <w:snapToGrid/>
        <w:spacing w:before="0" w:beforeLines="0" w:after="0" w:afterLines="0" w:line="480" w:lineRule="exact"/>
        <w:ind w:right="0"/>
        <w:textAlignment w:val="auto"/>
        <w:outlineLvl w:val="9"/>
        <w:rPr>
          <w:rFonts w:hint="eastAsia" w:ascii="仿宋" w:hAnsi="仿宋" w:eastAsia="仿宋" w:cs="仿宋"/>
          <w:color w:val="auto"/>
          <w:sz w:val="24"/>
          <w:szCs w:val="24"/>
          <w:lang w:val="en-US" w:eastAsia="zh-CN"/>
        </w:rPr>
      </w:pPr>
    </w:p>
    <w:p w14:paraId="2536F2C7">
      <w:pPr>
        <w:pStyle w:val="3"/>
        <w:pageBreakBefore w:val="0"/>
        <w:widowControl w:val="0"/>
        <w:tabs>
          <w:tab w:val="left" w:pos="700"/>
        </w:tabs>
        <w:kinsoku/>
        <w:wordWrap/>
        <w:overflowPunct/>
        <w:topLinePunct w:val="0"/>
        <w:autoSpaceDE/>
        <w:autoSpaceDN/>
        <w:bidi w:val="0"/>
        <w:adjustRightInd/>
        <w:snapToGrid/>
        <w:spacing w:before="0" w:beforeLines="0" w:after="0" w:afterLines="0" w:line="480" w:lineRule="exact"/>
        <w:ind w:right="0"/>
        <w:jc w:val="center"/>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三、</w:t>
      </w:r>
      <w:r>
        <w:rPr>
          <w:rFonts w:hint="eastAsia" w:ascii="仿宋" w:hAnsi="仿宋" w:eastAsia="仿宋" w:cs="仿宋"/>
          <w:spacing w:val="0"/>
          <w:sz w:val="24"/>
          <w:szCs w:val="24"/>
        </w:rPr>
        <w:t>响应文件的编制</w:t>
      </w:r>
    </w:p>
    <w:p w14:paraId="750E0660">
      <w:pPr>
        <w:pStyle w:val="40"/>
        <w:pageBreakBefore w:val="0"/>
        <w:widowControl w:val="0"/>
        <w:numPr>
          <w:ilvl w:val="0"/>
          <w:numId w:val="0"/>
        </w:numPr>
        <w:tabs>
          <w:tab w:val="left" w:pos="897"/>
        </w:tabs>
        <w:kinsoku/>
        <w:wordWrap/>
        <w:overflowPunct/>
        <w:topLinePunct w:val="0"/>
        <w:autoSpaceDE/>
        <w:autoSpaceDN/>
        <w:bidi w:val="0"/>
        <w:adjustRightInd/>
        <w:snapToGrid/>
        <w:spacing w:line="480" w:lineRule="exact"/>
        <w:ind w:right="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8、</w:t>
      </w:r>
      <w:r>
        <w:rPr>
          <w:rFonts w:hint="eastAsia" w:ascii="仿宋" w:hAnsi="仿宋" w:eastAsia="仿宋" w:cs="仿宋"/>
          <w:spacing w:val="0"/>
          <w:sz w:val="24"/>
          <w:szCs w:val="24"/>
          <w:lang w:eastAsia="zh-CN"/>
        </w:rPr>
        <w:t>响应范围、竞争性磋商文件中计量单位的使用及磋商语言</w:t>
      </w:r>
    </w:p>
    <w:p w14:paraId="0A21DD04">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color w:val="000000" w:themeColor="text1"/>
          <w:spacing w:val="0"/>
          <w:sz w:val="24"/>
          <w:szCs w:val="24"/>
          <w:lang w:eastAsia="zh-CN"/>
          <w14:textFill>
            <w14:solidFill>
              <w14:schemeClr w14:val="tx1"/>
            </w14:solidFill>
          </w14:textFill>
        </w:rPr>
      </w:pPr>
      <w:r>
        <w:rPr>
          <w:rFonts w:hint="eastAsia" w:ascii="仿宋" w:hAnsi="仿宋" w:eastAsia="仿宋" w:cs="仿宋"/>
          <w:spacing w:val="0"/>
          <w:sz w:val="24"/>
          <w:szCs w:val="24"/>
          <w:lang w:val="en-US" w:eastAsia="zh-CN"/>
        </w:rPr>
        <w:t>8.1本项目如划分采购包，供应商可以对本项目的其中一个采购包进行响应，也可同时对多个采购包进行响应。供应商应当对所参与采购包对应第四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r>
        <w:rPr>
          <w:rFonts w:hint="eastAsia" w:ascii="仿宋" w:hAnsi="仿宋" w:eastAsia="仿宋" w:cs="仿宋"/>
          <w:color w:val="000000" w:themeColor="text1"/>
          <w:spacing w:val="0"/>
          <w:sz w:val="24"/>
          <w:szCs w:val="24"/>
          <w:lang w:eastAsia="zh-CN"/>
          <w14:textFill>
            <w14:solidFill>
              <w14:schemeClr w14:val="tx1"/>
            </w14:solidFill>
          </w14:textFill>
        </w:rPr>
        <w:t>。</w:t>
      </w:r>
    </w:p>
    <w:p w14:paraId="5AFFE6B7">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8.2</w:t>
      </w:r>
      <w:r>
        <w:rPr>
          <w:rFonts w:hint="eastAsia" w:ascii="仿宋" w:hAnsi="仿宋" w:eastAsia="仿宋" w:cs="仿宋"/>
          <w:spacing w:val="0"/>
          <w:sz w:val="24"/>
          <w:szCs w:val="24"/>
          <w:lang w:eastAsia="zh-CN"/>
        </w:rPr>
        <w:t>除竞争性磋商文件有特殊要求外，本项目磋商所使用的计量单位，应采用中华人民共和国法定计量单位。</w:t>
      </w:r>
    </w:p>
    <w:p w14:paraId="7F58EB5E">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11EDB16">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9、</w:t>
      </w:r>
      <w:r>
        <w:rPr>
          <w:rFonts w:hint="eastAsia" w:ascii="仿宋" w:hAnsi="仿宋" w:eastAsia="仿宋" w:cs="仿宋"/>
          <w:spacing w:val="0"/>
          <w:sz w:val="24"/>
          <w:szCs w:val="24"/>
        </w:rPr>
        <w:t>响应文件构成</w:t>
      </w:r>
    </w:p>
    <w:p w14:paraId="661CAB32">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9.1</w:t>
      </w:r>
      <w:r>
        <w:rPr>
          <w:rFonts w:hint="eastAsia" w:ascii="仿宋" w:hAnsi="仿宋" w:eastAsia="仿宋" w:cs="仿宋"/>
          <w:spacing w:val="0"/>
          <w:sz w:val="24"/>
          <w:szCs w:val="24"/>
          <w:lang w:eastAsia="zh-CN"/>
        </w:rPr>
        <w:t>供应商应当按照竞争性磋商文件的要求编制响应文件，并对其提交的响应文件的真实性、合法性承担法律责任。响应文件的部分格式要求，见第六章《响应文件格式》。</w:t>
      </w:r>
    </w:p>
    <w:p w14:paraId="416CCDB6">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9.2</w:t>
      </w:r>
      <w:r>
        <w:rPr>
          <w:rFonts w:hint="eastAsia" w:ascii="仿宋" w:hAnsi="仿宋" w:eastAsia="仿宋" w:cs="仿宋"/>
          <w:spacing w:val="0"/>
          <w:sz w:val="24"/>
          <w:szCs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01A365D0">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9.3</w:t>
      </w:r>
      <w:r>
        <w:rPr>
          <w:rFonts w:hint="eastAsia" w:ascii="仿宋" w:hAnsi="仿宋" w:eastAsia="仿宋" w:cs="仿宋"/>
          <w:spacing w:val="0"/>
          <w:sz w:val="24"/>
          <w:szCs w:val="24"/>
          <w:lang w:eastAsia="zh-CN"/>
        </w:rPr>
        <w:t>第三章《评审方法和评审标准》中涉及的证明文件。</w:t>
      </w:r>
    </w:p>
    <w:p w14:paraId="7AB851CF">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9.4</w:t>
      </w:r>
      <w:r>
        <w:rPr>
          <w:rFonts w:hint="eastAsia" w:ascii="仿宋" w:hAnsi="仿宋" w:eastAsia="仿宋" w:cs="仿宋"/>
          <w:spacing w:val="0"/>
          <w:sz w:val="24"/>
          <w:szCs w:val="24"/>
          <w:lang w:eastAsia="zh-CN"/>
        </w:rPr>
        <w:t>对照第四章《采购需求》，</w:t>
      </w:r>
      <w:r>
        <w:rPr>
          <w:rFonts w:hint="eastAsia" w:ascii="仿宋" w:hAnsi="仿宋" w:eastAsia="仿宋" w:cs="仿宋"/>
          <w:color w:val="auto"/>
          <w:spacing w:val="0"/>
          <w:sz w:val="24"/>
          <w:szCs w:val="24"/>
          <w:lang w:eastAsia="zh-CN"/>
        </w:rPr>
        <w:t>说明所</w:t>
      </w:r>
      <w:r>
        <w:rPr>
          <w:rFonts w:hint="eastAsia" w:ascii="仿宋" w:hAnsi="仿宋" w:eastAsia="仿宋" w:cs="仿宋"/>
          <w:color w:val="auto"/>
          <w:spacing w:val="0"/>
          <w:sz w:val="24"/>
          <w:szCs w:val="24"/>
          <w:lang w:val="en-US" w:eastAsia="zh-CN"/>
        </w:rPr>
        <w:t>承接本项目</w:t>
      </w:r>
      <w:r>
        <w:rPr>
          <w:rFonts w:hint="eastAsia" w:ascii="仿宋" w:hAnsi="仿宋" w:eastAsia="仿宋" w:cs="仿宋"/>
          <w:color w:val="auto"/>
          <w:spacing w:val="0"/>
          <w:sz w:val="24"/>
          <w:szCs w:val="24"/>
          <w:lang w:eastAsia="zh-CN"/>
        </w:rPr>
        <w:t>已对第四章《采购需求》做出了响应，或申明与第四章《采购需求》的偏差和例外。</w:t>
      </w:r>
      <w:r>
        <w:rPr>
          <w:rFonts w:hint="eastAsia" w:ascii="仿宋" w:hAnsi="仿宋" w:eastAsia="仿宋" w:cs="仿宋"/>
          <w:spacing w:val="0"/>
          <w:sz w:val="24"/>
          <w:szCs w:val="24"/>
          <w:lang w:eastAsia="zh-CN"/>
        </w:rPr>
        <w:t>如第四章《采购需求》中要求提供证明文件的，供应商应当按具体要求提供证明文件。</w:t>
      </w:r>
    </w:p>
    <w:p w14:paraId="76E13181">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9.5</w:t>
      </w:r>
      <w:r>
        <w:rPr>
          <w:rFonts w:hint="eastAsia" w:ascii="仿宋" w:hAnsi="仿宋" w:eastAsia="仿宋" w:cs="仿宋"/>
          <w:spacing w:val="0"/>
          <w:sz w:val="24"/>
          <w:szCs w:val="24"/>
          <w:lang w:eastAsia="zh-CN"/>
        </w:rPr>
        <w:t>供应商认为应附的其他材料。</w:t>
      </w:r>
    </w:p>
    <w:p w14:paraId="0C044181">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10、</w:t>
      </w:r>
      <w:r>
        <w:rPr>
          <w:rFonts w:hint="eastAsia" w:ascii="仿宋" w:hAnsi="仿宋" w:eastAsia="仿宋" w:cs="仿宋"/>
          <w:spacing w:val="0"/>
          <w:sz w:val="24"/>
          <w:szCs w:val="24"/>
        </w:rPr>
        <w:t>报价</w:t>
      </w:r>
    </w:p>
    <w:p w14:paraId="5E5BED4B">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10.1</w:t>
      </w:r>
      <w:r>
        <w:rPr>
          <w:rFonts w:hint="eastAsia" w:ascii="仿宋" w:hAnsi="仿宋" w:eastAsia="仿宋" w:cs="仿宋"/>
          <w:spacing w:val="0"/>
          <w:sz w:val="24"/>
          <w:szCs w:val="24"/>
          <w:lang w:eastAsia="zh-CN"/>
        </w:rPr>
        <w:t>所有响应均以人民币报价。</w:t>
      </w:r>
    </w:p>
    <w:p w14:paraId="00AF01BC">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10.2供应商的报价为竞争性磋商文件要求完成本项目的全部相关费用，应包括为完成本项目所发生的一切费用和税费，采购人将不再支付报价以外的任何费用。供应商的报价应包括但不限于下列内容，《供应商须知资料表》中有特殊规定的，从其规定。</w:t>
      </w:r>
    </w:p>
    <w:p w14:paraId="4B3969FF">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val="en-US" w:eastAsia="zh-CN"/>
        </w:rPr>
      </w:pPr>
      <w:r>
        <w:rPr>
          <w:rFonts w:hint="eastAsia" w:ascii="仿宋" w:hAnsi="仿宋" w:eastAsia="仿宋" w:cs="仿宋"/>
          <w:spacing w:val="0"/>
          <w:sz w:val="24"/>
          <w:szCs w:val="24"/>
          <w:lang w:val="en-US" w:eastAsia="zh-CN"/>
        </w:rPr>
        <w:t>10.2.1响应报价包括但不限于分部分项工程费、措施项目费、其他项目费、其他规费、利润、税金、政策性文件规定费用和代理费等所有费用；</w:t>
      </w:r>
    </w:p>
    <w:p w14:paraId="1F467FAB">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default" w:ascii="仿宋" w:hAnsi="仿宋" w:eastAsia="仿宋" w:cs="仿宋"/>
          <w:spacing w:val="0"/>
          <w:sz w:val="24"/>
          <w:szCs w:val="24"/>
          <w:lang w:val="en-US" w:eastAsia="zh-CN"/>
        </w:rPr>
      </w:pPr>
      <w:r>
        <w:rPr>
          <w:rFonts w:hint="eastAsia" w:ascii="仿宋" w:hAnsi="仿宋" w:eastAsia="仿宋" w:cs="仿宋"/>
          <w:spacing w:val="0"/>
          <w:sz w:val="24"/>
          <w:szCs w:val="24"/>
          <w:lang w:val="en-US" w:eastAsia="zh-CN"/>
        </w:rPr>
        <w:t>10.2.2按照竞争性磋商文件要求完成本项目的全部相关费用。</w:t>
      </w:r>
    </w:p>
    <w:p w14:paraId="64328D0D">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10.3</w:t>
      </w:r>
      <w:r>
        <w:rPr>
          <w:rFonts w:hint="eastAsia" w:ascii="仿宋" w:hAnsi="仿宋" w:eastAsia="仿宋" w:cs="仿宋"/>
          <w:spacing w:val="0"/>
          <w:sz w:val="24"/>
          <w:szCs w:val="24"/>
          <w:lang w:eastAsia="zh-CN"/>
        </w:rPr>
        <w:t>采购人不得向供应商索要或者接受其给予的赠品、回扣或者与采购无关的其他商品、服务。</w:t>
      </w:r>
    </w:p>
    <w:p w14:paraId="1AE5FD9F">
      <w:pPr>
        <w:pStyle w:val="4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10.4</w:t>
      </w:r>
      <w:r>
        <w:rPr>
          <w:rFonts w:hint="eastAsia" w:ascii="仿宋" w:hAnsi="仿宋" w:eastAsia="仿宋" w:cs="仿宋"/>
          <w:spacing w:val="0"/>
          <w:sz w:val="24"/>
          <w:szCs w:val="24"/>
          <w:lang w:eastAsia="zh-CN"/>
        </w:rPr>
        <w:t>供应商不能提供任何有选择性或可调整的最后报价（竞争性磋商文件另有规定的除外），否则其响应无效。</w:t>
      </w:r>
    </w:p>
    <w:p w14:paraId="5B502964">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rPr>
      </w:pPr>
      <w:r>
        <w:rPr>
          <w:rFonts w:hint="eastAsia" w:ascii="仿宋" w:hAnsi="仿宋" w:eastAsia="仿宋" w:cs="仿宋"/>
          <w:spacing w:val="0"/>
          <w:w w:val="100"/>
          <w:sz w:val="24"/>
          <w:szCs w:val="24"/>
          <w:lang w:val="en-US" w:eastAsia="zh-CN"/>
        </w:rPr>
        <w:t>11、</w:t>
      </w:r>
      <w:r>
        <w:rPr>
          <w:rFonts w:hint="eastAsia" w:ascii="仿宋" w:hAnsi="仿宋" w:eastAsia="仿宋" w:cs="仿宋"/>
          <w:spacing w:val="0"/>
          <w:w w:val="100"/>
          <w:sz w:val="24"/>
          <w:szCs w:val="24"/>
        </w:rPr>
        <w:t>磋商保证金</w:t>
      </w:r>
    </w:p>
    <w:p w14:paraId="13F186B5">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11.1</w:t>
      </w:r>
      <w:r>
        <w:rPr>
          <w:rFonts w:hint="eastAsia" w:ascii="仿宋" w:hAnsi="仿宋" w:eastAsia="仿宋" w:cs="仿宋"/>
          <w:spacing w:val="0"/>
          <w:w w:val="100"/>
          <w:sz w:val="24"/>
          <w:szCs w:val="24"/>
          <w:lang w:eastAsia="zh-CN"/>
        </w:rPr>
        <w:t>供应商应按《供应商须知资料表》中规定的金额及要求交纳磋商保证金。</w:t>
      </w:r>
    </w:p>
    <w:p w14:paraId="2AF6306E">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11.2</w:t>
      </w:r>
      <w:r>
        <w:rPr>
          <w:rFonts w:hint="eastAsia" w:ascii="仿宋" w:hAnsi="仿宋" w:eastAsia="仿宋" w:cs="仿宋"/>
          <w:spacing w:val="0"/>
          <w:w w:val="100"/>
          <w:sz w:val="24"/>
          <w:szCs w:val="24"/>
          <w:lang w:eastAsia="zh-CN"/>
        </w:rPr>
        <w:t>交纳磋商保证金可采用的形式：政府采购法律法规接受的支票、汇票、本票、网上银行支付或者金融机构、担保机构出具的保函、保证保险等非现金形式。</w:t>
      </w:r>
    </w:p>
    <w:p w14:paraId="062C5FF5">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11.3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将原件提交至采购代理机构； 由于到账时间晚于首次响应文件提交截止时间的，或者票据错误、印鉴不清等原因导致不能到账的，其响应无效</w:t>
      </w:r>
      <w:r>
        <w:rPr>
          <w:rFonts w:hint="eastAsia" w:ascii="仿宋" w:hAnsi="仿宋" w:eastAsia="仿宋" w:cs="仿宋"/>
          <w:spacing w:val="0"/>
          <w:w w:val="100"/>
          <w:sz w:val="24"/>
          <w:szCs w:val="24"/>
          <w:lang w:eastAsia="zh-CN"/>
        </w:rPr>
        <w:t>。</w:t>
      </w:r>
    </w:p>
    <w:p w14:paraId="1899B460">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11.4</w:t>
      </w:r>
      <w:r>
        <w:rPr>
          <w:rFonts w:hint="eastAsia" w:ascii="仿宋" w:hAnsi="仿宋" w:eastAsia="仿宋" w:cs="仿宋"/>
          <w:spacing w:val="0"/>
          <w:w w:val="100"/>
          <w:sz w:val="24"/>
          <w:szCs w:val="24"/>
          <w:lang w:eastAsia="zh-CN"/>
        </w:rPr>
        <w:t>磋商保证金有效期同响应有效期。</w:t>
      </w:r>
    </w:p>
    <w:p w14:paraId="6539BB97">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highlight w:val="none"/>
          <w:lang w:eastAsia="zh-CN"/>
        </w:rPr>
      </w:pPr>
      <w:r>
        <w:rPr>
          <w:rFonts w:hint="eastAsia" w:ascii="仿宋" w:hAnsi="仿宋" w:eastAsia="仿宋" w:cs="仿宋"/>
          <w:spacing w:val="0"/>
          <w:w w:val="100"/>
          <w:sz w:val="24"/>
          <w:szCs w:val="24"/>
          <w:lang w:val="en-US" w:eastAsia="zh-CN"/>
        </w:rPr>
        <w:t>11.5</w:t>
      </w:r>
      <w:r>
        <w:rPr>
          <w:rFonts w:hint="eastAsia" w:ascii="仿宋" w:hAnsi="仿宋" w:eastAsia="仿宋" w:cs="仿宋"/>
          <w:spacing w:val="0"/>
          <w:w w:val="100"/>
          <w:sz w:val="24"/>
          <w:szCs w:val="24"/>
          <w:lang w:eastAsia="zh-CN"/>
        </w:rPr>
        <w:t xml:space="preserve">供应商为联合体的，可以由联合体中的一方或者多方共同交纳磋商保证金， </w:t>
      </w:r>
      <w:r>
        <w:rPr>
          <w:rFonts w:hint="eastAsia" w:ascii="仿宋" w:hAnsi="仿宋" w:eastAsia="仿宋" w:cs="仿宋"/>
          <w:spacing w:val="0"/>
          <w:w w:val="100"/>
          <w:sz w:val="24"/>
          <w:szCs w:val="24"/>
          <w:highlight w:val="none"/>
          <w:lang w:eastAsia="zh-CN"/>
        </w:rPr>
        <w:t>其交纳的保证金对联合体各方均具有约束力。</w:t>
      </w:r>
    </w:p>
    <w:p w14:paraId="1BC1A5C5">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highlight w:val="none"/>
          <w:lang w:eastAsia="zh-CN"/>
        </w:rPr>
      </w:pPr>
      <w:r>
        <w:rPr>
          <w:rFonts w:hint="eastAsia" w:ascii="仿宋" w:hAnsi="仿宋" w:eastAsia="仿宋" w:cs="仿宋"/>
          <w:spacing w:val="0"/>
          <w:w w:val="100"/>
          <w:sz w:val="24"/>
          <w:szCs w:val="24"/>
          <w:highlight w:val="none"/>
          <w:lang w:val="en-US" w:eastAsia="zh-CN"/>
        </w:rPr>
        <w:t>11.6</w:t>
      </w:r>
      <w:r>
        <w:rPr>
          <w:rFonts w:hint="eastAsia" w:ascii="仿宋" w:hAnsi="仿宋" w:eastAsia="仿宋" w:cs="仿宋"/>
          <w:spacing w:val="0"/>
          <w:w w:val="100"/>
          <w:sz w:val="24"/>
          <w:szCs w:val="24"/>
          <w:highlight w:val="none"/>
          <w:lang w:eastAsia="zh-CN"/>
        </w:rPr>
        <w:t>采购人、采购代理机构将及时退还供应商的保证金，采用支票、汇票、本票、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524A7C9E">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11.6.1</w:t>
      </w:r>
      <w:r>
        <w:rPr>
          <w:rFonts w:hint="eastAsia" w:ascii="仿宋" w:hAnsi="仿宋" w:eastAsia="仿宋" w:cs="仿宋"/>
          <w:spacing w:val="0"/>
          <w:w w:val="100"/>
          <w:sz w:val="24"/>
          <w:szCs w:val="24"/>
          <w:lang w:eastAsia="zh-CN"/>
        </w:rPr>
        <w:t>已提交响应文件的供应商，在提交最后报价之前，可以根据磋商情况退出磋商。采购人、采购代理机构将退还退出磋商的供应商的磋商保证金；</w:t>
      </w:r>
    </w:p>
    <w:p w14:paraId="71CD2DDA">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11.6.2</w:t>
      </w:r>
      <w:r>
        <w:rPr>
          <w:rFonts w:hint="eastAsia" w:ascii="仿宋" w:hAnsi="仿宋" w:eastAsia="仿宋" w:cs="仿宋"/>
          <w:spacing w:val="0"/>
          <w:w w:val="100"/>
          <w:sz w:val="24"/>
          <w:szCs w:val="24"/>
          <w:lang w:eastAsia="zh-CN"/>
        </w:rPr>
        <w:t>成交供应商的磋商保证金，在采购合同签订后5个工作日内退还成交供应商；</w:t>
      </w:r>
    </w:p>
    <w:p w14:paraId="173F4139">
      <w:pPr>
        <w:pStyle w:val="40"/>
        <w:keepNext w:val="0"/>
        <w:keepLines w:val="0"/>
        <w:pageBreakBefore w:val="0"/>
        <w:widowControl w:val="0"/>
        <w:numPr>
          <w:ilvl w:val="0"/>
          <w:numId w:val="0"/>
        </w:numPr>
        <w:tabs>
          <w:tab w:val="left" w:pos="1622"/>
        </w:tabs>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仿宋" w:hAnsi="仿宋" w:eastAsia="仿宋" w:cs="仿宋"/>
          <w:spacing w:val="0"/>
          <w:sz w:val="24"/>
          <w:szCs w:val="24"/>
          <w:lang w:eastAsia="zh-CN"/>
        </w:rPr>
      </w:pPr>
      <w:r>
        <w:rPr>
          <w:rFonts w:hint="eastAsia" w:ascii="仿宋" w:hAnsi="仿宋" w:eastAsia="仿宋" w:cs="仿宋"/>
          <w:spacing w:val="0"/>
          <w:w w:val="100"/>
          <w:sz w:val="24"/>
          <w:szCs w:val="24"/>
          <w:lang w:val="en-US" w:eastAsia="zh-CN"/>
        </w:rPr>
        <w:t>11.6.3</w:t>
      </w:r>
      <w:r>
        <w:rPr>
          <w:rFonts w:hint="eastAsia" w:ascii="仿宋" w:hAnsi="仿宋" w:eastAsia="仿宋" w:cs="仿宋"/>
          <w:spacing w:val="0"/>
          <w:w w:val="100"/>
          <w:sz w:val="24"/>
          <w:szCs w:val="24"/>
          <w:lang w:eastAsia="zh-CN"/>
        </w:rPr>
        <w:t>未成交供应商的磋商保证金，在成交通知书发出后5个工作日内退还。</w:t>
      </w:r>
    </w:p>
    <w:p w14:paraId="718F1351">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w:t>
      </w:r>
      <w:r>
        <w:rPr>
          <w:rFonts w:hint="eastAsia" w:ascii="仿宋" w:hAnsi="仿宋" w:eastAsia="仿宋" w:cs="仿宋"/>
          <w:spacing w:val="0"/>
          <w:sz w:val="24"/>
          <w:szCs w:val="24"/>
          <w:lang w:eastAsia="zh-CN"/>
        </w:rPr>
        <w:t>有下列情形之一的，采购人或采购代理机构不予退还磋商保证金：</w:t>
      </w:r>
    </w:p>
    <w:p w14:paraId="28EF353A">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11.7.1</w:t>
      </w:r>
      <w:r>
        <w:rPr>
          <w:rFonts w:hint="eastAsia" w:ascii="仿宋" w:hAnsi="仿宋" w:eastAsia="仿宋" w:cs="仿宋"/>
          <w:spacing w:val="0"/>
          <w:sz w:val="24"/>
          <w:szCs w:val="24"/>
          <w:lang w:eastAsia="zh-CN"/>
        </w:rPr>
        <w:t>供应商在提交响应文件截止时间后撤回响应文件的；</w:t>
      </w:r>
    </w:p>
    <w:p w14:paraId="6AAECD5D">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11.7.2</w:t>
      </w:r>
      <w:r>
        <w:rPr>
          <w:rFonts w:hint="eastAsia" w:ascii="仿宋" w:hAnsi="仿宋" w:eastAsia="仿宋" w:cs="仿宋"/>
          <w:spacing w:val="0"/>
          <w:sz w:val="24"/>
          <w:szCs w:val="24"/>
          <w:lang w:eastAsia="zh-CN"/>
        </w:rPr>
        <w:t>供应商在响应文件中提供虚假材料的；</w:t>
      </w:r>
    </w:p>
    <w:p w14:paraId="6A96DC15">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11.7.3</w:t>
      </w:r>
      <w:r>
        <w:rPr>
          <w:rFonts w:hint="eastAsia" w:ascii="仿宋" w:hAnsi="仿宋" w:eastAsia="仿宋" w:cs="仿宋"/>
          <w:spacing w:val="0"/>
          <w:sz w:val="24"/>
          <w:szCs w:val="24"/>
          <w:lang w:eastAsia="zh-CN"/>
        </w:rPr>
        <w:t>除因不可抗力或磋商文件认可的情形以外，成交供应商不与采购人签订合同的；</w:t>
      </w:r>
    </w:p>
    <w:p w14:paraId="6BC39A31">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11.7.4</w:t>
      </w:r>
      <w:r>
        <w:rPr>
          <w:rFonts w:hint="eastAsia" w:ascii="仿宋" w:hAnsi="仿宋" w:eastAsia="仿宋" w:cs="仿宋"/>
          <w:spacing w:val="0"/>
          <w:sz w:val="24"/>
          <w:szCs w:val="24"/>
          <w:lang w:eastAsia="zh-CN"/>
        </w:rPr>
        <w:t>供应商与采购人、其他供应商或者采购代理机构恶意串通的；</w:t>
      </w:r>
    </w:p>
    <w:p w14:paraId="7E997A01">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11.7.5</w:t>
      </w:r>
      <w:r>
        <w:rPr>
          <w:rFonts w:hint="eastAsia" w:ascii="仿宋" w:hAnsi="仿宋" w:eastAsia="仿宋" w:cs="仿宋"/>
          <w:spacing w:val="0"/>
          <w:sz w:val="24"/>
          <w:szCs w:val="24"/>
          <w:lang w:eastAsia="zh-CN"/>
        </w:rPr>
        <w:t>《供应商须知资料表》规定的其他情形。</w:t>
      </w:r>
    </w:p>
    <w:p w14:paraId="3E1D4D9A">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12、</w:t>
      </w:r>
      <w:r>
        <w:rPr>
          <w:rFonts w:hint="eastAsia" w:ascii="仿宋" w:hAnsi="仿宋" w:eastAsia="仿宋" w:cs="仿宋"/>
          <w:spacing w:val="0"/>
          <w:sz w:val="24"/>
          <w:szCs w:val="24"/>
        </w:rPr>
        <w:t>响应有效期</w:t>
      </w:r>
    </w:p>
    <w:p w14:paraId="45BF06D6">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12.1</w:t>
      </w:r>
      <w:r>
        <w:rPr>
          <w:rFonts w:hint="eastAsia" w:ascii="仿宋" w:hAnsi="仿宋" w:eastAsia="仿宋" w:cs="仿宋"/>
          <w:spacing w:val="0"/>
          <w:sz w:val="24"/>
          <w:szCs w:val="24"/>
          <w:lang w:eastAsia="zh-CN"/>
        </w:rPr>
        <w:t>响应文件应在本竞争性磋商文件《供应商须知资料表》中规定的响应有效期内保持有效，响应有效期少于竞争性磋商文件规定期限的，其响应无效。</w:t>
      </w:r>
    </w:p>
    <w:p w14:paraId="27A54FB1">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13、</w:t>
      </w:r>
      <w:r>
        <w:rPr>
          <w:rFonts w:hint="eastAsia" w:ascii="仿宋" w:hAnsi="仿宋" w:eastAsia="仿宋" w:cs="仿宋"/>
          <w:spacing w:val="0"/>
          <w:sz w:val="24"/>
          <w:szCs w:val="24"/>
        </w:rPr>
        <w:t>响应文件的签署、盖章</w:t>
      </w:r>
    </w:p>
    <w:p w14:paraId="44697765">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val="en-US" w:eastAsia="zh-CN"/>
        </w:rPr>
      </w:pPr>
      <w:r>
        <w:rPr>
          <w:rFonts w:hint="eastAsia" w:ascii="仿宋" w:hAnsi="仿宋" w:eastAsia="仿宋" w:cs="仿宋"/>
          <w:spacing w:val="0"/>
          <w:sz w:val="24"/>
          <w:szCs w:val="24"/>
          <w:lang w:val="en-US" w:eastAsia="zh-CN"/>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DCB1480">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13.2竞争性磋商文件要求盖章的内容，可以通过文件编制工具加盖电子签章</w:t>
      </w:r>
      <w:r>
        <w:rPr>
          <w:rFonts w:hint="eastAsia" w:ascii="仿宋" w:hAnsi="仿宋" w:eastAsia="仿宋" w:cs="仿宋"/>
          <w:spacing w:val="0"/>
          <w:sz w:val="24"/>
          <w:szCs w:val="24"/>
          <w:lang w:eastAsia="zh-CN"/>
        </w:rPr>
        <w:t>。</w:t>
      </w:r>
    </w:p>
    <w:p w14:paraId="170E5BAB">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13.3</w:t>
      </w:r>
      <w:r>
        <w:rPr>
          <w:rFonts w:hint="eastAsia" w:ascii="仿宋" w:hAnsi="仿宋" w:eastAsia="仿宋" w:cs="仿宋"/>
          <w:spacing w:val="0"/>
          <w:sz w:val="24"/>
          <w:szCs w:val="24"/>
          <w:lang w:eastAsia="zh-CN"/>
        </w:rPr>
        <w:t>《供应商须知资料表》规定的其他情形。</w:t>
      </w:r>
    </w:p>
    <w:p w14:paraId="02246E3C">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4"/>
          <w:szCs w:val="24"/>
        </w:rPr>
      </w:pPr>
    </w:p>
    <w:p w14:paraId="63FC3A8D">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四</w:t>
      </w:r>
      <w:r>
        <w:rPr>
          <w:rFonts w:hint="eastAsia" w:ascii="仿宋" w:hAnsi="仿宋" w:eastAsia="仿宋" w:cs="仿宋"/>
          <w:b/>
          <w:bCs/>
          <w:sz w:val="24"/>
          <w:szCs w:val="24"/>
          <w:lang w:eastAsia="zh-CN"/>
        </w:rPr>
        <w:t>、</w:t>
      </w:r>
      <w:r>
        <w:rPr>
          <w:rFonts w:hint="eastAsia" w:ascii="仿宋" w:hAnsi="仿宋" w:eastAsia="仿宋" w:cs="仿宋"/>
          <w:b/>
          <w:bCs/>
          <w:sz w:val="24"/>
          <w:szCs w:val="24"/>
        </w:rPr>
        <w:t>响应文件的提交</w:t>
      </w:r>
    </w:p>
    <w:p w14:paraId="49C30BD5">
      <w:pPr>
        <w:pStyle w:val="40"/>
        <w:keepNext w:val="0"/>
        <w:keepLines w:val="0"/>
        <w:pageBreakBefore w:val="0"/>
        <w:widowControl w:val="0"/>
        <w:numPr>
          <w:ilvl w:val="0"/>
          <w:numId w:val="0"/>
        </w:numPr>
        <w:tabs>
          <w:tab w:val="left" w:pos="897"/>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w:t>
      </w:r>
      <w:r>
        <w:rPr>
          <w:rFonts w:hint="eastAsia" w:ascii="仿宋" w:hAnsi="仿宋" w:eastAsia="仿宋" w:cs="仿宋"/>
          <w:sz w:val="24"/>
          <w:szCs w:val="24"/>
        </w:rPr>
        <w:t>响应文件的提交</w:t>
      </w:r>
    </w:p>
    <w:p w14:paraId="5A1072D4">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14.1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29B22318">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14.2为确保网上操作合法、有效和安全，供应商应当在响应文件提交截止时间前完成在“政采云平台”的身份认证，确保在电子交易过程中能够对相关数据电文进行加密和使用电子签名。</w:t>
      </w:r>
    </w:p>
    <w:p w14:paraId="40B4DCA6">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14.3采购人及采购代理机构拒绝接受通过电子交易平台以外任何形式提交的响应文件，磋商保证金除外。</w:t>
      </w:r>
    </w:p>
    <w:p w14:paraId="474BA04E">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15、响应文件提交截止时间</w:t>
      </w:r>
    </w:p>
    <w:p w14:paraId="485340F7">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15.1供应商应在竞争性磋商文件要求响应文件提交截止时间前，将电子响应文件提交至电子交易平台。</w:t>
      </w:r>
    </w:p>
    <w:p w14:paraId="68BE7748">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16、响应文件的修改与撤回</w:t>
      </w:r>
    </w:p>
    <w:p w14:paraId="6BB97DDB">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3BEBC030">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16.2供应商对响应文件的补充、修改的内容应当按照竞争性磋商文件要求签署、盖章，作为响应文件的组成部分。补充、修改的内容与响应文件不一致的， 以补充、修改的内容为准。</w:t>
      </w:r>
    </w:p>
    <w:p w14:paraId="0428A73D">
      <w:pPr>
        <w:pStyle w:val="12"/>
        <w:pageBreakBefore w:val="0"/>
        <w:widowControl w:val="0"/>
        <w:kinsoku/>
        <w:wordWrap/>
        <w:overflowPunct/>
        <w:topLinePunct w:val="0"/>
        <w:autoSpaceDE/>
        <w:autoSpaceDN/>
        <w:bidi w:val="0"/>
        <w:snapToGrid/>
        <w:spacing w:line="480" w:lineRule="exact"/>
        <w:textAlignment w:val="auto"/>
        <w:rPr>
          <w:rFonts w:hint="eastAsia" w:ascii="仿宋" w:hAnsi="仿宋" w:eastAsia="仿宋" w:cs="仿宋"/>
          <w:sz w:val="24"/>
          <w:szCs w:val="24"/>
          <w:lang w:eastAsia="zh-CN"/>
        </w:rPr>
      </w:pPr>
    </w:p>
    <w:p w14:paraId="3CFA1901">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五、评审</w:t>
      </w:r>
    </w:p>
    <w:p w14:paraId="0788B966">
      <w:pPr>
        <w:pStyle w:val="40"/>
        <w:keepNext w:val="0"/>
        <w:keepLines w:val="0"/>
        <w:pageBreakBefore w:val="0"/>
        <w:widowControl w:val="0"/>
        <w:numPr>
          <w:ilvl w:val="0"/>
          <w:numId w:val="0"/>
        </w:numPr>
        <w:tabs>
          <w:tab w:val="left" w:pos="1617"/>
        </w:tabs>
        <w:kinsoku/>
        <w:wordWrap/>
        <w:overflowPunct/>
        <w:topLinePunct w:val="0"/>
        <w:autoSpaceDE/>
        <w:autoSpaceDN/>
        <w:bidi w:val="0"/>
        <w:adjustRightInd/>
        <w:snapToGrid/>
        <w:spacing w:line="480" w:lineRule="exact"/>
        <w:ind w:right="570" w:righ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17、响应文件的解密与开启</w:t>
      </w:r>
    </w:p>
    <w:p w14:paraId="116BCA1B">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17.1采购人或采购代理机构将按竞争性磋商文件的规定，在响应文件提交截止时间的同一时间和竞争性磋商文件预先确定的地点开启响应文件。</w:t>
      </w:r>
    </w:p>
    <w:p w14:paraId="4159EC24">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17.2本项目解密使用政采云平台。采购代理机构依托该电子交易平台发起开始解密指令，供应商须使用加密时所用的CA锁按平台提示和采购文件的规定登录到政采云平台电子开标大厅签到，并在发起解密指令之时起30分钟内完成对电子响应文件在线解密。</w:t>
      </w:r>
    </w:p>
    <w:p w14:paraId="1C12869B">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17.3发起解密指令之时起5分钟内供应商还未进行解密的，代理机构可通知供应商，供应商未预留联系方式或预留联系方式无效，导致代理机构无法联系到供应商进行解密的，视为撤回响应文件。</w:t>
      </w:r>
    </w:p>
    <w:p w14:paraId="08E15DCF">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17.4供应商应在规定的时间内对响应文件进行解密，因非系统原因导致的解密失败，视为无效响应。</w:t>
      </w:r>
    </w:p>
    <w:p w14:paraId="5FB37E9C">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17.5电子交易活动的中止</w:t>
      </w:r>
    </w:p>
    <w:p w14:paraId="12F6C85D">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采购过程中出现以下情形，导致电子交易平台无法正常运行，或者无法保证电子交易的公平、公正和安全时，采购代理机构可中止电子交易活动：</w:t>
      </w:r>
    </w:p>
    <w:p w14:paraId="52386EB3">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（1）电子交易平台发生故障而无法登录访问的；</w:t>
      </w:r>
    </w:p>
    <w:p w14:paraId="7026A9FD">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（2）电子交易平台应用或数据库出现错误，不能进行正常操作的；</w:t>
      </w:r>
    </w:p>
    <w:p w14:paraId="4ACB8A26">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（3）电子交易平台发现严重安全漏洞，有潜在泄密危险的；</w:t>
      </w:r>
    </w:p>
    <w:p w14:paraId="7748FF27">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（4）病毒发作导致不能进行正常操作的；</w:t>
      </w:r>
    </w:p>
    <w:p w14:paraId="2B01B2EE">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（5）其他无法保证电子交易的公平、公正和安全的情况。</w:t>
      </w:r>
    </w:p>
    <w:p w14:paraId="2751898E">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17.6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2E7DE3A5">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17.7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712F144">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17.8供应商不足3家的，不予解密。</w:t>
      </w:r>
    </w:p>
    <w:p w14:paraId="6668F2EF">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17.9本项目不公开报价。</w:t>
      </w:r>
    </w:p>
    <w:p w14:paraId="16C9DA42">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18、磋商小组</w:t>
      </w:r>
    </w:p>
    <w:p w14:paraId="47C5384D">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18.1磋商小组根据政府采购有关规定和本次采购项目的特点进行组建，并负责具体评审与磋商事务，独立履行职责。</w:t>
      </w:r>
    </w:p>
    <w:p w14:paraId="45C66E7E">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18.2评审专家须符合《财政部关于在政府采购活动中查询及使用信用记录有关问题的通知》（财库〔2016〕125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7E4B22D2">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19、评审方法和评审标准</w:t>
      </w:r>
    </w:p>
    <w:p w14:paraId="361EF482">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19.1见第三章《评审方法和评审标准》。</w:t>
      </w:r>
    </w:p>
    <w:p w14:paraId="5DE28E3B">
      <w:pPr>
        <w:pageBreakBefore w:val="0"/>
        <w:kinsoku/>
        <w:wordWrap/>
        <w:overflowPunct/>
        <w:topLinePunct w:val="0"/>
        <w:autoSpaceDE/>
        <w:autoSpaceDN/>
        <w:bidi w:val="0"/>
        <w:snapToGrid/>
        <w:spacing w:line="480" w:lineRule="exact"/>
        <w:jc w:val="center"/>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六、确定成交</w:t>
      </w:r>
    </w:p>
    <w:p w14:paraId="4D98CE67">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20、确定成交供应商</w:t>
      </w:r>
    </w:p>
    <w:p w14:paraId="5382A66F">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20.1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ED2DF4A">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21、成交公告与成交通知书</w:t>
      </w:r>
    </w:p>
    <w:p w14:paraId="61353A8C">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21.1采购人或采购代理机构将在成交供应商确定后2个工作日内，在云南省政府采购网公告成交结果，同时向成交供应商发出成交通知书，成交公告期限为1个工作日。</w:t>
      </w:r>
    </w:p>
    <w:p w14:paraId="0D88715B">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21.2成交通知书对采购人和成交供应商均具有法律效力。成交通知书发出后，采购人改变成交结果的，或者成交供应商放弃成交项目的，应当依法承担法律责任。  </w:t>
      </w:r>
    </w:p>
    <w:p w14:paraId="31EB45CC">
      <w:pPr>
        <w:pageBreakBefore w:val="0"/>
        <w:numPr>
          <w:ilvl w:val="0"/>
          <w:numId w:val="5"/>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终止</w:t>
      </w:r>
    </w:p>
    <w:p w14:paraId="0EF8C55F">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22.1出现下列情形之一的，采购人或采购代理机构将终止竞争性磋商采购活动， 发布项目终止公告并说明原因，重新开展采购活动：</w:t>
      </w:r>
    </w:p>
    <w:p w14:paraId="0BA941DD">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22.1.1因情况变化，不再符合规定的竞争性磋商采购方式适用情形的；</w:t>
      </w:r>
    </w:p>
    <w:p w14:paraId="016BBEC6">
      <w:pPr>
        <w:pageBreakBefore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22.1.2出现影响采购公正的违法、违规行为的；</w:t>
      </w:r>
    </w:p>
    <w:p w14:paraId="400AE883">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B265D86">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签订合同</w:t>
      </w:r>
    </w:p>
    <w:p w14:paraId="16D02AF9">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23.1采购人与成交供应商应当在成交通知书发出之日起30日内，按照磋商文件确定的合同文本以及采购标的、规格型号、采购金额、采购数量、技术和服务要求（或工程项目的工程范围、工期、质量标准、技术标准和要求）等事项签订政府采购合同。</w:t>
      </w:r>
    </w:p>
    <w:p w14:paraId="43700E60">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F33BE63">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23.3联合体成交的，联合体各方应当共同与采购人签订合同，就采购合同约定的事项向采购人承担连带责任。</w:t>
      </w:r>
    </w:p>
    <w:p w14:paraId="7CA1AAAF">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23.4政府采购合同不能转包。</w:t>
      </w:r>
    </w:p>
    <w:p w14:paraId="2FC67FEB">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14248AFC">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询问与质疑</w:t>
      </w:r>
    </w:p>
    <w:p w14:paraId="1D26E94C">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24.1询问</w:t>
      </w:r>
    </w:p>
    <w:p w14:paraId="594C4117">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24.1.1供应商对政府采购活动事项有疑问的，可依法提出询问，并按《供应商须知资料表》载明的形式送达采购人或采购代理机构。</w:t>
      </w:r>
    </w:p>
    <w:p w14:paraId="40220AE1">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24.1.2采购人或采购代理机构对供应商依法提出的询问，在3个工作日内作出答复，但答复的内容不得涉及商业秘密。</w:t>
      </w:r>
    </w:p>
    <w:p w14:paraId="25E744D1">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24.2质疑</w:t>
      </w:r>
    </w:p>
    <w:p w14:paraId="27C1D826">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24.2.1供应商认为竞争性磋商文件、采购过程、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7个工作日内作出答复。</w:t>
      </w:r>
    </w:p>
    <w:p w14:paraId="04A0A346">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24.2.2供应商应知其权益受到损害之日，是指：</w:t>
      </w:r>
    </w:p>
    <w:p w14:paraId="7CD8CA35">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（1）对可以质疑的采购文件提出质疑的，质疑时效期间的起算日期为公告期限届满之日；</w:t>
      </w:r>
    </w:p>
    <w:p w14:paraId="07567426">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（2）对采购过程提出质疑的，为各采购程序环节结束之日；</w:t>
      </w:r>
    </w:p>
    <w:p w14:paraId="0707DB97">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（3）对成交结果提出质疑的，为成交结果公告期限届满之日。</w:t>
      </w:r>
    </w:p>
    <w:p w14:paraId="7D012FE5">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24.2.3质疑函须使用财政部制定的范本文件。供应商为自然人的，质疑函应当由本人签字；供应商为法人或者其他组织的，质疑函应当由法定代表人、主要负责人，或者其授权代表签字或者盖章，并加盖公章。</w:t>
      </w:r>
    </w:p>
    <w:p w14:paraId="485A9D00">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24.2.4供应商委托代理人进行质疑的，应当随质疑函同时提交供应商签署的授权委托书。授权委托书应当载明代理人的姓名或者名称、代理事项、具体权限、期限和相关事项。供应商为自然人的，应当由本人签字；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2295E948">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24.2.5供应商应在法定质疑期内一次性提出针对同一采购程序环节的质疑，法定质疑期内针对同一采购程序环节再次提出的质疑，采购人、采购代理机构有权不予答复。</w:t>
      </w:r>
    </w:p>
    <w:p w14:paraId="78E5ABEC">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24.3接收询问和质疑的联系部门、联系电话和通讯地址见《供应商须知资料表》。</w:t>
      </w:r>
    </w:p>
    <w:p w14:paraId="6302E3FA">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25</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代理费</w:t>
      </w:r>
    </w:p>
    <w:p w14:paraId="4FF70F38">
      <w:pPr>
        <w:pageBreakBefore w:val="0"/>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25.1收费对象、收费标准及缴纳时间见《供应商须知资料表》。由成交供应商支付的，成交供应商须一次性向采购代理机构缴纳代理费，报价应包含代理费用。</w:t>
      </w:r>
    </w:p>
    <w:p w14:paraId="297DDB05">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26、</w:t>
      </w:r>
      <w:r>
        <w:rPr>
          <w:rFonts w:hint="default" w:ascii="仿宋" w:hAnsi="仿宋" w:eastAsia="仿宋" w:cs="仿宋"/>
          <w:b w:val="0"/>
          <w:bCs w:val="0"/>
          <w:color w:val="auto"/>
          <w:sz w:val="24"/>
          <w:szCs w:val="24"/>
          <w:highlight w:val="none"/>
          <w:lang w:val="en-US" w:eastAsia="zh-CN"/>
        </w:rPr>
        <w:t>其他：见《供应商须知资料表》。</w:t>
      </w:r>
      <w:bookmarkStart w:id="77" w:name="_Toc17435"/>
    </w:p>
    <w:p w14:paraId="56A4CA56">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27、补充内容：</w:t>
      </w:r>
    </w:p>
    <w:p w14:paraId="396BB62D">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27.1《关于印发中小企业划型标准规定的通知》（工信部联企业〔2011〕300 号）中小企业划型标准规定节选：</w:t>
      </w:r>
    </w:p>
    <w:p w14:paraId="0D1E6D7E">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四、各行业划型标准为： </w:t>
      </w:r>
    </w:p>
    <w:p w14:paraId="7EC24B13">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（一）农、林、牧、渔业。营业收入20000万元以下的为中小微型企业。其中，营业收入500万元及以上的为中型企业， 营业收入50万元及以上的为小型企业，营业收入50万元以下的为微型企业。</w:t>
      </w:r>
    </w:p>
    <w:p w14:paraId="1D0E7201">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（二）工业。从业人员1000人以下或营业收入40000万元以下的为中小微型企业。其中，从业人员300人及以上，且营业 收入2000万元及以上的为中型企业；从业人员20人及以上，且营业收入300万元及以上的为小型企业；从业人员20人以下或 营业收入300万元以下的为微型企业。 </w:t>
      </w:r>
    </w:p>
    <w:p w14:paraId="356822A3">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（三）建筑业。营业收入80000万元以下或资产总额80000万元以下的为中小微型企业。其中，营业收入6000万元及以 上，且资产总额5000万元及以上的为中型企业；营业收入300万元及以上，且资产总额300万元及以上的为小型企业；营业收 入300万元以下或资产总额300万元以下的为微型企业。 </w:t>
      </w:r>
    </w:p>
    <w:p w14:paraId="7CB01621">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（四）批发业。从业人员200人以下或营业收入40000万元以下的为中小微型企业。其中，从业人员20人及以上，且营业 收入5000万元及以上的为中型企业；从业人员5人及以上，且营业收入1000万元及以上的为小型企业；从业人员5人以下或营 业收入1000万元以下的为微型企业。 </w:t>
      </w:r>
    </w:p>
    <w:p w14:paraId="531713FD">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（五）零售业。从业人员300人以下或营业收入20000万元以下的为中小微型企业。其中，从业人员50人及以上，且营业 收入500万元及以上的为中型企业；从业人员10人及以上，且营业收入100万元及以上的为小型企业；从业人员10人以下或营 业收入100万元以下的为微型企业。 </w:t>
      </w:r>
    </w:p>
    <w:p w14:paraId="08893C11">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（六）交通运输业。从业人员1000人以下或营业收入30000万元以下的为中小微型企业。其中，从业人员300人及以上， 且营业收入3000万元及以上的为中型企业；从业人员20人及以上，且营业收入200万元及以上的为小型企业；从业人员20人 以下或营业收入200万元以下的为微型企业。 </w:t>
      </w:r>
    </w:p>
    <w:p w14:paraId="724B504F">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（七）仓储业。从业人员200人以下或营业收入30000万元以下的为中小微型企业。其中，从业人员100人及以上，且营 业收入1000万元及以上的为中型企业；从业人员20人及以上，且营业收入100万元及以上的为小型企业；从业人员20人以下 或营业收入100万元以下的为微型企业。 </w:t>
      </w:r>
    </w:p>
    <w:p w14:paraId="3D652229">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（八）邮政业。从业人员1000人以下或营业收入30000万元以下的为中小微型企业。其中，从业人员300人及以上，且营 业收入2000万元及以上的为中型企业；从业人员20人及以上，且营业收入100万元及以上的为小型企业；从业人员20人以下 或营业收入100万元以下的为微型企业。 </w:t>
      </w:r>
    </w:p>
    <w:p w14:paraId="4098F5C0">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（九）住宿业。从业人员300人以下或营业收入10000万元以下的为中小微型企业。其中，从业人员100人及以上，且营 业收入2000万元及以上的为中型企业；从业人员10人及以上，且营业收入100万元及以上的为小型企业；从业人员10人以下或营业收入100万元以下的为微型企业。 </w:t>
      </w:r>
    </w:p>
    <w:p w14:paraId="62A8AA6C">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（十）餐饮业。从业人员300人以下或营业收入10000万元以下的为中小微型企业。其中，从业人员100人及以上，且营 业收入2000万元及以上的为中型企业；从业人员10人及以上，且营业收入100万元及以上的为小型企业；从业人员10人以下 或营业收入100万元以下的为微型企业。 </w:t>
      </w:r>
    </w:p>
    <w:p w14:paraId="2D344FCA">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（十一）信息传输业。从业人员2000人以下或营业收入100000万元以下的为中小微型企业。其中，从业人员100人及以 上，且营业收入1000万元及以上的为中型企业；从业人员10人及以上，且营业收入100万元及以上的为小型企业；从业人员 10人以下或营业收入100万元以下的为微型企业。 </w:t>
      </w:r>
    </w:p>
    <w:p w14:paraId="72330D6B">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（十二）软件和信息技术服务业。从业人员300人以下或营业收入10000万元以下的为中小微型企业。其中，从业人员 100人及以上，且营业收入1000万元及以上的为中型企业；从业人员10人及以上，且营业收入50万元及以上的为小型企业； 从业人员10人以下或营业收入50万元以下的为微型企业。 </w:t>
      </w:r>
    </w:p>
    <w:p w14:paraId="244B3736">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（十三）房地产开发经营。营业收入200000万元以下或资产总额10000万元以下的为中小微型企业。其中，营业收入 1000万元及以上，且资产总额5000万元及以上的为中型企业；营业收入100万元及以上，且资产总额2000万元及以上的为小 型企业；营业收入100万元以下或资产总额2000万元以下的为微型企业。 </w:t>
      </w:r>
    </w:p>
    <w:p w14:paraId="04D4CD19">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（十四）物业管理。从业人员1000人以下或营业收入5000万元以下的为中小微型企业。其中，从业人员300人及以上， 且营业收入1000万元及以上的为中型企业；从业人员100人及以上，且营业收入500万元及以上的为小型企业；从业人员100 人以下或营业收入500万元以下的为微型企业。 </w:t>
      </w:r>
    </w:p>
    <w:p w14:paraId="26B7FF8C">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（十五）租赁和商务服务业。从业人员300人以下或资产总额120000万元以下的为中小微型企业。其中，从业人员100人 及以上，且资产总额8000万元及以上的为中型企业；从业人员10人及以上，且资产总额100万元及以上的为小型企业；从业人 员10人以下或资产总额100万元以下的为微型企业。 </w:t>
      </w:r>
    </w:p>
    <w:p w14:paraId="433A05A6">
      <w:pPr>
        <w:pageBreakBefore w:val="0"/>
        <w:numPr>
          <w:ilvl w:val="0"/>
          <w:numId w:val="0"/>
        </w:numPr>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4"/>
          <w:szCs w:val="24"/>
          <w:highlight w:val="none"/>
          <w:lang w:val="en-US" w:eastAsia="zh-CN"/>
        </w:rPr>
        <w:t>（十六）其他未列明行业。从业人员300人以下的为中小微型企业。其中，从业人员100人及以上的为中型企业；从业人 员10人及以上的为小型企业；从业人员10人以下的为微型企业。</w:t>
      </w:r>
      <w:r>
        <w:rPr>
          <w:rFonts w:hint="eastAsia" w:ascii="仿宋" w:hAnsi="仿宋" w:eastAsia="仿宋" w:cs="仿宋"/>
          <w:color w:val="auto"/>
          <w:sz w:val="28"/>
          <w:szCs w:val="28"/>
          <w:highlight w:val="none"/>
        </w:rPr>
        <w:br w:type="page"/>
      </w:r>
    </w:p>
    <w:bookmarkEnd w:id="77"/>
    <w:p w14:paraId="3CF10CD8">
      <w:pPr>
        <w:jc w:val="center"/>
        <w:rPr>
          <w:rFonts w:hint="default" w:ascii="仿宋" w:hAnsi="仿宋" w:eastAsia="仿宋" w:cs="仿宋"/>
          <w:b/>
          <w:bCs/>
          <w:color w:val="auto"/>
          <w:sz w:val="28"/>
          <w:szCs w:val="28"/>
          <w:highlight w:val="none"/>
          <w:lang w:val="en-US" w:eastAsia="zh-CN"/>
        </w:rPr>
      </w:pPr>
      <w:bookmarkStart w:id="78" w:name="_Toc3695"/>
      <w:bookmarkStart w:id="79" w:name="_Toc5910"/>
      <w:bookmarkStart w:id="80" w:name="_Toc20127"/>
      <w:bookmarkStart w:id="81" w:name="_Toc1344"/>
      <w:r>
        <w:rPr>
          <w:rFonts w:hint="eastAsia" w:ascii="仿宋" w:hAnsi="仿宋" w:eastAsia="仿宋" w:cs="仿宋"/>
          <w:b/>
          <w:bCs/>
          <w:color w:val="auto"/>
          <w:sz w:val="28"/>
          <w:szCs w:val="28"/>
          <w:highlight w:val="none"/>
        </w:rPr>
        <w:t>第</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 xml:space="preserve">章 </w:t>
      </w:r>
      <w:r>
        <w:rPr>
          <w:rFonts w:hint="eastAsia" w:ascii="仿宋" w:hAnsi="仿宋" w:eastAsia="仿宋" w:cs="仿宋"/>
          <w:b/>
          <w:bCs/>
          <w:color w:val="auto"/>
          <w:sz w:val="28"/>
          <w:szCs w:val="28"/>
          <w:highlight w:val="none"/>
          <w:lang w:eastAsia="zh-CN"/>
        </w:rPr>
        <w:t>评审</w:t>
      </w:r>
      <w:r>
        <w:rPr>
          <w:rFonts w:hint="eastAsia" w:ascii="仿宋" w:hAnsi="仿宋" w:eastAsia="仿宋" w:cs="仿宋"/>
          <w:b/>
          <w:bCs/>
          <w:color w:val="auto"/>
          <w:sz w:val="28"/>
          <w:szCs w:val="28"/>
          <w:highlight w:val="none"/>
          <w:lang w:val="en-US" w:eastAsia="zh-CN"/>
        </w:rPr>
        <w:t>方法和评审</w:t>
      </w:r>
      <w:bookmarkEnd w:id="78"/>
      <w:bookmarkEnd w:id="79"/>
      <w:r>
        <w:rPr>
          <w:rFonts w:hint="eastAsia" w:ascii="仿宋" w:hAnsi="仿宋" w:eastAsia="仿宋" w:cs="仿宋"/>
          <w:b/>
          <w:bCs/>
          <w:color w:val="auto"/>
          <w:sz w:val="28"/>
          <w:szCs w:val="28"/>
          <w:highlight w:val="none"/>
          <w:lang w:val="en-US" w:eastAsia="zh-CN"/>
        </w:rPr>
        <w:t>标准</w:t>
      </w:r>
      <w:bookmarkEnd w:id="80"/>
      <w:bookmarkEnd w:id="81"/>
    </w:p>
    <w:tbl>
      <w:tblPr>
        <w:tblStyle w:val="24"/>
        <w:tblpPr w:leftFromText="180" w:rightFromText="180" w:vertAnchor="text" w:horzAnchor="page" w:tblpX="873" w:tblpY="618"/>
        <w:tblOverlap w:val="never"/>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730"/>
        <w:gridCol w:w="1827"/>
        <w:gridCol w:w="3794"/>
        <w:gridCol w:w="2983"/>
      </w:tblGrid>
      <w:tr w14:paraId="0804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blHeader/>
        </w:trPr>
        <w:tc>
          <w:tcPr>
            <w:tcW w:w="980" w:type="dxa"/>
            <w:vAlign w:val="center"/>
          </w:tcPr>
          <w:p w14:paraId="0360767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rPr>
            </w:pPr>
            <w:bookmarkStart w:id="82" w:name="_Toc31429"/>
            <w:bookmarkStart w:id="83" w:name="_Toc90573253"/>
            <w:bookmarkStart w:id="84" w:name="_Toc15332"/>
            <w:bookmarkStart w:id="85" w:name="_Toc28050"/>
            <w:bookmarkStart w:id="86" w:name="_Toc90573254"/>
            <w:bookmarkStart w:id="87" w:name="_Toc3378814"/>
            <w:bookmarkStart w:id="88" w:name="_Toc8382352"/>
            <w:bookmarkStart w:id="89" w:name="_Toc10320898"/>
            <w:bookmarkStart w:id="90" w:name="_Toc15435"/>
            <w:bookmarkStart w:id="91" w:name="_Toc17530"/>
            <w:bookmarkStart w:id="92" w:name="_Toc86124094"/>
            <w:bookmarkStart w:id="93" w:name="_Toc347849269"/>
            <w:bookmarkStart w:id="94" w:name="_Toc378499750"/>
            <w:bookmarkStart w:id="95" w:name="_Toc511457566"/>
            <w:bookmarkStart w:id="96" w:name="_Toc15466"/>
            <w:r>
              <w:rPr>
                <w:rFonts w:hint="eastAsia" w:ascii="仿宋" w:hAnsi="仿宋" w:eastAsia="仿宋" w:cs="仿宋"/>
                <w:b/>
                <w:sz w:val="24"/>
                <w:szCs w:val="24"/>
              </w:rPr>
              <w:t>条款号</w:t>
            </w:r>
          </w:p>
        </w:tc>
        <w:tc>
          <w:tcPr>
            <w:tcW w:w="730" w:type="dxa"/>
            <w:vAlign w:val="center"/>
          </w:tcPr>
          <w:p w14:paraId="5D9AC129">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rPr>
            </w:pPr>
            <w:r>
              <w:rPr>
                <w:rFonts w:hint="eastAsia" w:ascii="仿宋" w:hAnsi="仿宋" w:eastAsia="仿宋" w:cs="仿宋"/>
                <w:b/>
                <w:sz w:val="24"/>
                <w:szCs w:val="24"/>
              </w:rPr>
              <w:t>评审程序</w:t>
            </w:r>
          </w:p>
        </w:tc>
        <w:tc>
          <w:tcPr>
            <w:tcW w:w="5621" w:type="dxa"/>
            <w:gridSpan w:val="2"/>
            <w:vAlign w:val="center"/>
          </w:tcPr>
          <w:p w14:paraId="40B8E28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rPr>
            </w:pPr>
            <w:r>
              <w:rPr>
                <w:rFonts w:hint="eastAsia" w:ascii="仿宋" w:hAnsi="仿宋" w:eastAsia="仿宋" w:cs="仿宋"/>
                <w:b/>
                <w:sz w:val="24"/>
                <w:szCs w:val="24"/>
              </w:rPr>
              <w:t>评 审 内 容 及 标 准</w:t>
            </w:r>
          </w:p>
        </w:tc>
        <w:tc>
          <w:tcPr>
            <w:tcW w:w="2983" w:type="dxa"/>
            <w:vAlign w:val="center"/>
          </w:tcPr>
          <w:p w14:paraId="6EC2F4E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r>
              <w:rPr>
                <w:rFonts w:hint="eastAsia" w:ascii="仿宋" w:hAnsi="仿宋" w:eastAsia="仿宋" w:cs="仿宋"/>
                <w:b/>
                <w:sz w:val="24"/>
                <w:szCs w:val="24"/>
              </w:rPr>
              <w:t>格式要求</w:t>
            </w:r>
          </w:p>
        </w:tc>
      </w:tr>
      <w:tr w14:paraId="70FC2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980" w:type="dxa"/>
            <w:vAlign w:val="center"/>
          </w:tcPr>
          <w:p w14:paraId="73C3EDA6">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730" w:type="dxa"/>
            <w:vMerge w:val="restart"/>
            <w:vAlign w:val="center"/>
          </w:tcPr>
          <w:p w14:paraId="575ED7E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资格审查要求</w:t>
            </w:r>
          </w:p>
        </w:tc>
        <w:tc>
          <w:tcPr>
            <w:tcW w:w="1827" w:type="dxa"/>
            <w:vAlign w:val="center"/>
          </w:tcPr>
          <w:p w14:paraId="27F4CCC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满足《中华人民共和国政府采购法》第二十二条规定</w:t>
            </w:r>
          </w:p>
        </w:tc>
        <w:tc>
          <w:tcPr>
            <w:tcW w:w="3794" w:type="dxa"/>
            <w:vAlign w:val="center"/>
          </w:tcPr>
          <w:p w14:paraId="21037284">
            <w:pPr>
              <w:keepNext w:val="0"/>
              <w:keepLines w:val="0"/>
              <w:pageBreakBefore w:val="0"/>
              <w:kinsoku/>
              <w:wordWrap/>
              <w:overflowPunct/>
              <w:topLinePunct w:val="0"/>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符合第一章《竞争性磋商公告》的规定</w:t>
            </w:r>
          </w:p>
        </w:tc>
        <w:tc>
          <w:tcPr>
            <w:tcW w:w="2983" w:type="dxa"/>
            <w:vAlign w:val="center"/>
          </w:tcPr>
          <w:p w14:paraId="53ADCA93">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3ED9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980" w:type="dxa"/>
            <w:vAlign w:val="center"/>
          </w:tcPr>
          <w:p w14:paraId="737BB76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w:t>
            </w:r>
          </w:p>
        </w:tc>
        <w:tc>
          <w:tcPr>
            <w:tcW w:w="730" w:type="dxa"/>
            <w:vMerge w:val="continue"/>
            <w:vAlign w:val="center"/>
          </w:tcPr>
          <w:p w14:paraId="67B7FC0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43E171C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营业执照等证明文件</w:t>
            </w:r>
          </w:p>
        </w:tc>
        <w:tc>
          <w:tcPr>
            <w:tcW w:w="3794" w:type="dxa"/>
            <w:vAlign w:val="center"/>
          </w:tcPr>
          <w:p w14:paraId="5BE49432">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供应商为法人、其他组织或者自然人，提供有效的营业执照或事业单位法人证书或民办非企业登记证书或执业许可证或社会团体登记证或自然人身份证明扫描件。扫描件应清晰可辨，否则视为未提供。</w:t>
            </w:r>
          </w:p>
        </w:tc>
        <w:tc>
          <w:tcPr>
            <w:tcW w:w="2983" w:type="dxa"/>
            <w:vAlign w:val="center"/>
          </w:tcPr>
          <w:p w14:paraId="485EB91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提供证明文件的电子件或电子证照</w:t>
            </w:r>
          </w:p>
        </w:tc>
      </w:tr>
      <w:tr w14:paraId="3D9E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0" w:type="dxa"/>
            <w:vMerge w:val="restart"/>
            <w:vAlign w:val="center"/>
          </w:tcPr>
          <w:p w14:paraId="535C00D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w:t>
            </w:r>
          </w:p>
        </w:tc>
        <w:tc>
          <w:tcPr>
            <w:tcW w:w="730" w:type="dxa"/>
            <w:vMerge w:val="continue"/>
            <w:vAlign w:val="center"/>
          </w:tcPr>
          <w:p w14:paraId="60AC0B63">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Merge w:val="restart"/>
            <w:vAlign w:val="center"/>
          </w:tcPr>
          <w:p w14:paraId="50FD0AC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商业信誉和财务会计制度</w:t>
            </w:r>
          </w:p>
        </w:tc>
        <w:tc>
          <w:tcPr>
            <w:tcW w:w="3794" w:type="dxa"/>
            <w:vAlign w:val="center"/>
          </w:tcPr>
          <w:p w14:paraId="2F0B03AC">
            <w:pPr>
              <w:pStyle w:val="47"/>
              <w:keepNext w:val="0"/>
              <w:keepLines w:val="0"/>
              <w:pageBreakBefore w:val="0"/>
              <w:widowControl w:val="0"/>
              <w:kinsoku/>
              <w:wordWrap/>
              <w:overflowPunct/>
              <w:topLinePunct w:val="0"/>
              <w:autoSpaceDE/>
              <w:autoSpaceDN/>
              <w:bidi w:val="0"/>
              <w:adjustRightInd/>
              <w:snapToGrid/>
              <w:spacing w:before="0" w:beforeAutospacing="0" w:afterAutospacing="0" w:line="440" w:lineRule="exact"/>
              <w:ind w:firstLine="0" w:firstLineChars="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查询渠道：信用中国(</w:t>
            </w:r>
            <w:r>
              <w:rPr>
                <w:rFonts w:hint="eastAsia" w:ascii="仿宋" w:hAnsi="仿宋" w:eastAsia="仿宋" w:cs="仿宋"/>
                <w:color w:val="auto"/>
                <w:sz w:val="24"/>
                <w:szCs w:val="24"/>
                <w:highlight w:val="none"/>
                <w:u w:val="none"/>
                <w:lang w:val="en-US" w:eastAsia="zh-CN"/>
              </w:rPr>
              <w:t>http://www.creditchina.gov.cn</w:t>
            </w:r>
            <w:r>
              <w:rPr>
                <w:rFonts w:hint="eastAsia" w:ascii="仿宋" w:hAnsi="仿宋" w:eastAsia="仿宋" w:cs="仿宋"/>
                <w:color w:val="auto"/>
                <w:kern w:val="0"/>
                <w:sz w:val="24"/>
                <w:szCs w:val="24"/>
              </w:rPr>
              <w:t>)、中国政府采购网(</w:t>
            </w:r>
            <w:r>
              <w:rPr>
                <w:rFonts w:hint="eastAsia" w:ascii="仿宋" w:hAnsi="仿宋" w:eastAsia="仿宋" w:cs="仿宋"/>
                <w:color w:val="auto"/>
                <w:sz w:val="24"/>
                <w:szCs w:val="24"/>
                <w:highlight w:val="none"/>
                <w:u w:val="none"/>
                <w:lang w:val="en-US" w:eastAsia="zh-CN"/>
              </w:rPr>
              <w:t>http://www.ccgp.gov.cn</w:t>
            </w:r>
            <w:r>
              <w:rPr>
                <w:rFonts w:hint="eastAsia" w:ascii="仿宋" w:hAnsi="仿宋" w:eastAsia="仿宋" w:cs="仿宋"/>
                <w:color w:val="auto"/>
                <w:kern w:val="0"/>
                <w:sz w:val="24"/>
                <w:szCs w:val="24"/>
              </w:rPr>
              <w:t>)。</w:t>
            </w:r>
          </w:p>
          <w:p w14:paraId="136C36B5">
            <w:pPr>
              <w:pStyle w:val="47"/>
              <w:keepNext w:val="0"/>
              <w:keepLines w:val="0"/>
              <w:pageBreakBefore w:val="0"/>
              <w:widowControl w:val="0"/>
              <w:kinsoku/>
              <w:wordWrap/>
              <w:overflowPunct/>
              <w:topLinePunct w:val="0"/>
              <w:autoSpaceDE/>
              <w:autoSpaceDN/>
              <w:bidi w:val="0"/>
              <w:adjustRightInd/>
              <w:snapToGrid/>
              <w:spacing w:before="0" w:beforeAutospacing="0" w:afterAutospacing="0" w:line="440" w:lineRule="exact"/>
              <w:ind w:firstLine="0" w:firstLineChars="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查询人：采购人或采购代理机构</w:t>
            </w:r>
          </w:p>
          <w:p w14:paraId="0ED404DF">
            <w:pPr>
              <w:pStyle w:val="47"/>
              <w:keepNext w:val="0"/>
              <w:keepLines w:val="0"/>
              <w:pageBreakBefore w:val="0"/>
              <w:widowControl w:val="0"/>
              <w:kinsoku/>
              <w:wordWrap/>
              <w:overflowPunct/>
              <w:topLinePunct w:val="0"/>
              <w:autoSpaceDE/>
              <w:autoSpaceDN/>
              <w:bidi w:val="0"/>
              <w:adjustRightInd/>
              <w:snapToGrid/>
              <w:spacing w:before="0" w:beforeAutospacing="0" w:afterAutospacing="0" w:line="440" w:lineRule="exact"/>
              <w:ind w:firstLine="0" w:firstLineChars="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查询时间：首次响应文件递交截止时间以后、资格审查阶段实际查询时间。</w:t>
            </w:r>
          </w:p>
          <w:p w14:paraId="161C9A77">
            <w:pPr>
              <w:pStyle w:val="47"/>
              <w:keepNext w:val="0"/>
              <w:keepLines w:val="0"/>
              <w:pageBreakBefore w:val="0"/>
              <w:widowControl w:val="0"/>
              <w:kinsoku/>
              <w:wordWrap/>
              <w:overflowPunct/>
              <w:topLinePunct w:val="0"/>
              <w:autoSpaceDE/>
              <w:autoSpaceDN/>
              <w:bidi w:val="0"/>
              <w:adjustRightInd/>
              <w:snapToGrid/>
              <w:spacing w:before="0" w:beforeAutospacing="0" w:afterAutospacing="0" w:line="440" w:lineRule="exact"/>
              <w:ind w:firstLine="0" w:firstLineChars="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信用信息查询记录和证据留存的具体方式：查询结果网页打印页（或网页截图）作为查询记录和证据，与其他采购文件一并保存。</w:t>
            </w:r>
          </w:p>
          <w:p w14:paraId="7A706891">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kern w:val="0"/>
                <w:sz w:val="24"/>
                <w:szCs w:val="24"/>
              </w:rPr>
              <w:t>信用信息的使用规则：经查询列入失信被执行人名单或者重大税收违法案件当事人名单或者政府采购严重违法失信行为记录名单的供应商将被拒绝参与政府采购活动。</w:t>
            </w:r>
          </w:p>
        </w:tc>
        <w:tc>
          <w:tcPr>
            <w:tcW w:w="2983" w:type="dxa"/>
            <w:vAlign w:val="center"/>
          </w:tcPr>
          <w:p w14:paraId="53DE29E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color w:val="auto"/>
                <w:spacing w:val="0"/>
                <w:w w:val="100"/>
                <w:sz w:val="24"/>
                <w:szCs w:val="24"/>
                <w:highlight w:val="none"/>
              </w:rPr>
              <w:t>无须供应商</w:t>
            </w:r>
            <w:r>
              <w:rPr>
                <w:rFonts w:hint="eastAsia" w:ascii="仿宋" w:hAnsi="仿宋" w:eastAsia="仿宋" w:cs="仿宋"/>
                <w:color w:val="auto"/>
                <w:spacing w:val="0"/>
                <w:w w:val="100"/>
                <w:sz w:val="24"/>
                <w:szCs w:val="24"/>
                <w:highlight w:val="none"/>
                <w:lang w:eastAsia="zh-CN"/>
              </w:rPr>
              <w:t>提</w:t>
            </w:r>
            <w:r>
              <w:rPr>
                <w:rFonts w:hint="eastAsia" w:ascii="仿宋" w:hAnsi="仿宋" w:eastAsia="仿宋" w:cs="仿宋"/>
                <w:color w:val="auto"/>
                <w:spacing w:val="0"/>
                <w:w w:val="100"/>
                <w:sz w:val="24"/>
                <w:szCs w:val="24"/>
                <w:highlight w:val="none"/>
              </w:rPr>
              <w:t>供，由采购人或采购代理机构查询</w:t>
            </w:r>
          </w:p>
        </w:tc>
      </w:tr>
      <w:tr w14:paraId="0D3B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980" w:type="dxa"/>
            <w:vMerge w:val="continue"/>
            <w:vAlign w:val="center"/>
          </w:tcPr>
          <w:p w14:paraId="7C8B7A21">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p>
        </w:tc>
        <w:tc>
          <w:tcPr>
            <w:tcW w:w="730" w:type="dxa"/>
            <w:vMerge w:val="continue"/>
            <w:vAlign w:val="center"/>
          </w:tcPr>
          <w:p w14:paraId="473CD79B">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Merge w:val="continue"/>
            <w:vAlign w:val="center"/>
          </w:tcPr>
          <w:p w14:paraId="3139CC4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color w:val="auto"/>
                <w:sz w:val="24"/>
                <w:szCs w:val="24"/>
                <w:lang w:eastAsia="zh-CN"/>
              </w:rPr>
            </w:pPr>
          </w:p>
        </w:tc>
        <w:tc>
          <w:tcPr>
            <w:tcW w:w="3794" w:type="dxa"/>
            <w:vAlign w:val="center"/>
          </w:tcPr>
          <w:p w14:paraId="65B12F58">
            <w:pPr>
              <w:pStyle w:val="48"/>
              <w:spacing w:before="0" w:line="246" w:lineRule="auto"/>
              <w:ind w:left="121" w:right="102" w:firstLine="6"/>
              <w:jc w:val="both"/>
              <w:rPr>
                <w:rFonts w:hint="eastAsia" w:ascii="仿宋" w:hAnsi="仿宋" w:eastAsia="仿宋" w:cs="仿宋"/>
                <w:bCs/>
                <w:color w:val="auto"/>
                <w:kern w:val="2"/>
                <w:sz w:val="24"/>
                <w:szCs w:val="20"/>
                <w:highlight w:val="none"/>
                <w:lang w:val="en-US" w:eastAsia="zh-CN" w:bidi="ar-SA"/>
              </w:rPr>
            </w:pPr>
            <w:r>
              <w:rPr>
                <w:rFonts w:hint="eastAsia" w:ascii="仿宋" w:hAnsi="仿宋" w:eastAsia="仿宋" w:cs="仿宋"/>
                <w:bCs/>
                <w:color w:val="auto"/>
                <w:kern w:val="2"/>
                <w:sz w:val="24"/>
                <w:szCs w:val="20"/>
                <w:highlight w:val="none"/>
                <w:lang w:val="en-US" w:eastAsia="zh-CN" w:bidi="ar-SA"/>
              </w:rPr>
              <w:t>提供2024 年度或2025年度经审计的财务报告（包括资产负债表、利润表、现金流量表、所有者权益变动表及其附注），或者银行出具的资信证明（投标人是法人的，提供基本开户银行出具的资信证明），或者财政部门认可专业担保机构出具的投标担保函扫描件；若为新成立的公司应作出说明。扫描件应清晰可辨，否则视为未提供。</w:t>
            </w:r>
          </w:p>
          <w:p w14:paraId="58F47AE6">
            <w:pPr>
              <w:pStyle w:val="48"/>
              <w:spacing w:before="0" w:line="246" w:lineRule="auto"/>
              <w:ind w:left="121" w:right="102" w:firstLine="6"/>
              <w:jc w:val="both"/>
              <w:rPr>
                <w:rFonts w:hint="eastAsia" w:ascii="仿宋" w:hAnsi="仿宋" w:eastAsia="仿宋" w:cs="仿宋"/>
                <w:bCs/>
                <w:color w:val="auto"/>
                <w:kern w:val="2"/>
                <w:sz w:val="24"/>
                <w:szCs w:val="20"/>
                <w:highlight w:val="none"/>
                <w:lang w:val="en-US" w:eastAsia="zh-CN" w:bidi="ar-SA"/>
              </w:rPr>
            </w:pPr>
            <w:r>
              <w:rPr>
                <w:rFonts w:hint="eastAsia" w:ascii="仿宋" w:hAnsi="仿宋" w:eastAsia="仿宋" w:cs="仿宋"/>
                <w:bCs/>
                <w:color w:val="auto"/>
                <w:kern w:val="2"/>
                <w:sz w:val="24"/>
                <w:szCs w:val="20"/>
                <w:highlight w:val="none"/>
                <w:lang w:val="en-US" w:eastAsia="zh-CN" w:bidi="ar-SA"/>
              </w:rPr>
              <w:t>注：（1）根据相关文件规定，企业法人、事业单位法人的会计制度各不相同，各会计制度中要求的财务报告的会计报表组成也不相同。因此，投标人根据其单位所属类别的会计制度规定提供完整的经审计的财务报告即可，本项目对财务报告的组成报表不作具体要求。</w:t>
            </w:r>
          </w:p>
          <w:p w14:paraId="16398CB4">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color w:val="auto"/>
                <w:sz w:val="24"/>
                <w:szCs w:val="24"/>
                <w:lang w:eastAsia="zh-CN"/>
              </w:rPr>
            </w:pPr>
            <w:r>
              <w:rPr>
                <w:rFonts w:hint="eastAsia" w:ascii="仿宋" w:hAnsi="仿宋" w:eastAsia="仿宋" w:cs="仿宋"/>
                <w:bCs/>
                <w:color w:val="auto"/>
                <w:sz w:val="24"/>
                <w:highlight w:val="none"/>
                <w:lang w:val="en-US" w:eastAsia="zh-CN"/>
              </w:rPr>
              <w:t>（2）根据财政部、国务院国资委、金融监管总局于2023年9月14日发布的《关于加强审计报告查验工作的通知》(财会〔2023〕15号)的规定，</w:t>
            </w:r>
            <w:r>
              <w:rPr>
                <w:rFonts w:hint="eastAsia" w:ascii="仿宋" w:hAnsi="仿宋" w:eastAsia="仿宋" w:cs="仿宋"/>
                <w:b/>
                <w:bCs w:val="0"/>
                <w:color w:val="auto"/>
                <w:sz w:val="24"/>
                <w:highlight w:val="none"/>
                <w:u w:val="single"/>
                <w:lang w:val="en-US" w:eastAsia="zh-CN"/>
              </w:rPr>
              <w:t>供应商提供的2024年或2025年审计报告须附验证码</w:t>
            </w:r>
            <w:r>
              <w:rPr>
                <w:rFonts w:hint="eastAsia" w:ascii="仿宋" w:hAnsi="仿宋" w:eastAsia="仿宋" w:cs="仿宋"/>
                <w:bCs/>
                <w:color w:val="auto"/>
                <w:sz w:val="24"/>
                <w:highlight w:val="none"/>
                <w:lang w:val="en-US" w:eastAsia="zh-CN"/>
              </w:rPr>
              <w:t>。</w:t>
            </w:r>
          </w:p>
        </w:tc>
        <w:tc>
          <w:tcPr>
            <w:tcW w:w="2983" w:type="dxa"/>
            <w:vAlign w:val="center"/>
          </w:tcPr>
          <w:p w14:paraId="7FA0265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提供证明文件的电子件</w:t>
            </w:r>
          </w:p>
        </w:tc>
      </w:tr>
      <w:tr w14:paraId="2E5A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980" w:type="dxa"/>
            <w:vAlign w:val="center"/>
          </w:tcPr>
          <w:p w14:paraId="2BA40154">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1.1-3</w:t>
            </w:r>
          </w:p>
        </w:tc>
        <w:tc>
          <w:tcPr>
            <w:tcW w:w="730" w:type="dxa"/>
            <w:vMerge w:val="continue"/>
            <w:vAlign w:val="center"/>
          </w:tcPr>
          <w:p w14:paraId="605FD493">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32D227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hanging="15" w:firstLineChars="0"/>
              <w:jc w:val="center"/>
              <w:textAlignment w:val="auto"/>
              <w:outlineLvl w:val="9"/>
              <w:rPr>
                <w:rFonts w:hint="eastAsia" w:ascii="仿宋" w:hAnsi="仿宋" w:eastAsia="仿宋" w:cs="仿宋"/>
                <w:color w:val="auto"/>
                <w:kern w:val="2"/>
                <w:sz w:val="24"/>
                <w:szCs w:val="24"/>
                <w:lang w:val="en-US" w:eastAsia="zh-CN" w:bidi="ar-SA"/>
              </w:rPr>
            </w:pPr>
            <w:r>
              <w:rPr>
                <w:rFonts w:hint="eastAsia" w:ascii="仿宋" w:hAnsi="仿宋" w:eastAsia="仿宋" w:cs="仿宋"/>
                <w:snapToGrid w:val="0"/>
                <w:color w:val="auto"/>
                <w:spacing w:val="0"/>
                <w:w w:val="100"/>
                <w:kern w:val="0"/>
                <w:sz w:val="24"/>
                <w:szCs w:val="24"/>
                <w:highlight w:val="none"/>
                <w:lang w:val="en-US" w:eastAsia="en-US" w:bidi="ar-SA"/>
              </w:rPr>
              <w:t>设备和专业技术能力</w:t>
            </w:r>
          </w:p>
        </w:tc>
        <w:tc>
          <w:tcPr>
            <w:tcW w:w="3794" w:type="dxa"/>
            <w:vAlign w:val="center"/>
          </w:tcPr>
          <w:p w14:paraId="55916949">
            <w:pPr>
              <w:pStyle w:val="48"/>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firstLine="2" w:firstLineChars="0"/>
              <w:jc w:val="left"/>
              <w:textAlignment w:val="auto"/>
              <w:outlineLvl w:val="9"/>
              <w:rPr>
                <w:rFonts w:hint="eastAsia" w:ascii="仿宋" w:hAnsi="仿宋" w:eastAsia="仿宋" w:cs="仿宋"/>
                <w:color w:val="auto"/>
                <w:kern w:val="2"/>
                <w:sz w:val="24"/>
                <w:szCs w:val="24"/>
                <w:lang w:val="en-US" w:eastAsia="zh-CN" w:bidi="ar-SA"/>
              </w:rPr>
            </w:pPr>
            <w:r>
              <w:rPr>
                <w:rFonts w:hint="eastAsia" w:ascii="仿宋" w:hAnsi="仿宋" w:eastAsia="仿宋" w:cs="仿宋"/>
                <w:snapToGrid w:val="0"/>
                <w:color w:val="auto"/>
                <w:spacing w:val="0"/>
                <w:w w:val="100"/>
                <w:kern w:val="0"/>
                <w:sz w:val="24"/>
                <w:szCs w:val="24"/>
                <w:highlight w:val="none"/>
                <w:lang w:val="en-US" w:eastAsia="en-US" w:bidi="ar-SA"/>
              </w:rPr>
              <w:t>供应商须</w:t>
            </w:r>
            <w:r>
              <w:rPr>
                <w:rFonts w:hint="eastAsia" w:ascii="仿宋" w:hAnsi="仿宋" w:eastAsia="仿宋" w:cs="仿宋"/>
                <w:snapToGrid w:val="0"/>
                <w:color w:val="auto"/>
                <w:spacing w:val="0"/>
                <w:w w:val="100"/>
                <w:kern w:val="0"/>
                <w:sz w:val="24"/>
                <w:szCs w:val="24"/>
                <w:highlight w:val="none"/>
                <w:lang w:val="en-US" w:eastAsia="zh-CN" w:bidi="ar-SA"/>
              </w:rPr>
              <w:t>具有履行合同所必需的设备和专业技术能力，提供书面承诺。</w:t>
            </w:r>
          </w:p>
        </w:tc>
        <w:tc>
          <w:tcPr>
            <w:tcW w:w="2983" w:type="dxa"/>
            <w:vAlign w:val="center"/>
          </w:tcPr>
          <w:p w14:paraId="086C0478">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提供证明文件的电子件</w:t>
            </w:r>
          </w:p>
        </w:tc>
      </w:tr>
      <w:tr w14:paraId="1D638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80" w:type="dxa"/>
            <w:vMerge w:val="restart"/>
            <w:vAlign w:val="center"/>
          </w:tcPr>
          <w:p w14:paraId="0DC440B1">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1.1-4</w:t>
            </w:r>
          </w:p>
        </w:tc>
        <w:tc>
          <w:tcPr>
            <w:tcW w:w="730" w:type="dxa"/>
            <w:vMerge w:val="continue"/>
            <w:vAlign w:val="center"/>
          </w:tcPr>
          <w:p w14:paraId="1E823B0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Merge w:val="restart"/>
            <w:vAlign w:val="center"/>
          </w:tcPr>
          <w:p w14:paraId="614A5F4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hanging="15" w:firstLineChars="0"/>
              <w:jc w:val="center"/>
              <w:textAlignment w:val="auto"/>
              <w:outlineLvl w:val="9"/>
              <w:rPr>
                <w:rFonts w:hint="eastAsia" w:ascii="仿宋" w:hAnsi="仿宋" w:eastAsia="仿宋" w:cs="仿宋"/>
                <w:snapToGrid w:val="0"/>
                <w:color w:val="auto"/>
                <w:spacing w:val="0"/>
                <w:w w:val="100"/>
                <w:kern w:val="0"/>
                <w:sz w:val="24"/>
                <w:szCs w:val="24"/>
                <w:highlight w:val="none"/>
                <w:lang w:val="en-US" w:eastAsia="en-US" w:bidi="ar-SA"/>
              </w:rPr>
            </w:pPr>
            <w:r>
              <w:rPr>
                <w:rFonts w:hint="eastAsia" w:ascii="仿宋" w:hAnsi="仿宋" w:eastAsia="仿宋" w:cs="仿宋"/>
                <w:snapToGrid w:val="0"/>
                <w:color w:val="auto"/>
                <w:spacing w:val="0"/>
                <w:w w:val="100"/>
                <w:kern w:val="0"/>
                <w:sz w:val="24"/>
                <w:szCs w:val="24"/>
                <w:highlight w:val="none"/>
                <w:lang w:val="en-US" w:eastAsia="en-US" w:bidi="ar-SA"/>
              </w:rPr>
              <w:t>依法缴纳税收和社会保障资金的良好记录</w:t>
            </w:r>
          </w:p>
        </w:tc>
        <w:tc>
          <w:tcPr>
            <w:tcW w:w="3794" w:type="dxa"/>
            <w:vAlign w:val="center"/>
          </w:tcPr>
          <w:p w14:paraId="7685E747">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auto"/>
              <w:rPr>
                <w:rFonts w:hint="eastAsia" w:ascii="仿宋" w:hAnsi="仿宋" w:eastAsia="仿宋" w:cs="仿宋"/>
                <w:snapToGrid w:val="0"/>
                <w:color w:val="auto"/>
                <w:spacing w:val="0"/>
                <w:w w:val="100"/>
                <w:kern w:val="0"/>
                <w:sz w:val="24"/>
                <w:szCs w:val="24"/>
                <w:highlight w:val="none"/>
                <w:lang w:val="en-US" w:eastAsia="zh-CN" w:bidi="ar-SA"/>
              </w:rPr>
            </w:pPr>
            <w:r>
              <w:rPr>
                <w:rFonts w:hint="eastAsia" w:ascii="仿宋" w:hAnsi="仿宋" w:eastAsia="仿宋" w:cs="仿宋"/>
                <w:snapToGrid w:val="0"/>
                <w:color w:val="auto"/>
                <w:spacing w:val="0"/>
                <w:w w:val="100"/>
                <w:kern w:val="0"/>
                <w:sz w:val="24"/>
                <w:szCs w:val="24"/>
                <w:highlight w:val="none"/>
                <w:lang w:val="en-US" w:eastAsia="en-US" w:bidi="ar-SA"/>
              </w:rPr>
              <w:t>供应商须提供缴费所属时间在提交响应文件截止之日前十二个月内任意</w:t>
            </w:r>
            <w:r>
              <w:rPr>
                <w:rFonts w:hint="eastAsia" w:ascii="仿宋" w:hAnsi="仿宋" w:eastAsia="仿宋" w:cs="仿宋"/>
                <w:snapToGrid w:val="0"/>
                <w:color w:val="auto"/>
                <w:spacing w:val="0"/>
                <w:w w:val="100"/>
                <w:kern w:val="0"/>
                <w:sz w:val="24"/>
                <w:szCs w:val="24"/>
                <w:highlight w:val="none"/>
                <w:lang w:val="en-US" w:eastAsia="zh-CN" w:bidi="ar-SA"/>
              </w:rPr>
              <w:t>1</w:t>
            </w:r>
            <w:r>
              <w:rPr>
                <w:rFonts w:hint="eastAsia" w:ascii="仿宋" w:hAnsi="仿宋" w:eastAsia="仿宋" w:cs="仿宋"/>
                <w:snapToGrid w:val="0"/>
                <w:color w:val="auto"/>
                <w:spacing w:val="0"/>
                <w:w w:val="100"/>
                <w:kern w:val="0"/>
                <w:sz w:val="24"/>
                <w:szCs w:val="24"/>
                <w:highlight w:val="none"/>
                <w:lang w:val="en-US" w:eastAsia="en-US" w:bidi="ar-SA"/>
              </w:rPr>
              <w:t>个月的税务局税收通用缴款书复印件或银行电子缴税（费）凭证复印件或税务局出具纳税情况的相关证明</w:t>
            </w:r>
            <w:r>
              <w:rPr>
                <w:rFonts w:hint="eastAsia" w:ascii="仿宋" w:hAnsi="仿宋" w:eastAsia="仿宋" w:cs="仿宋"/>
                <w:snapToGrid w:val="0"/>
                <w:color w:val="auto"/>
                <w:spacing w:val="0"/>
                <w:w w:val="100"/>
                <w:kern w:val="0"/>
                <w:sz w:val="24"/>
                <w:szCs w:val="24"/>
                <w:highlight w:val="none"/>
                <w:lang w:val="en-US" w:eastAsia="zh-CN" w:bidi="ar-SA"/>
              </w:rPr>
              <w:t>；</w:t>
            </w:r>
            <w:r>
              <w:rPr>
                <w:rFonts w:hint="eastAsia" w:ascii="仿宋" w:hAnsi="仿宋" w:eastAsia="仿宋" w:cs="仿宋"/>
                <w:snapToGrid w:val="0"/>
                <w:color w:val="auto"/>
                <w:spacing w:val="0"/>
                <w:w w:val="100"/>
                <w:kern w:val="0"/>
                <w:sz w:val="24"/>
                <w:szCs w:val="24"/>
                <w:highlight w:val="none"/>
                <w:lang w:val="en-US" w:eastAsia="en-US" w:bidi="ar-SA"/>
              </w:rPr>
              <w:t>新成立企业，成立时间不足2个月的提供自成立以来的税务局税收通用缴款书复印件或银行电子缴税（费）凭证复印件或税务局出具纳税情况的相关证明。供应商依法免税的，应提供依法免税的相关证明文件</w:t>
            </w:r>
            <w:r>
              <w:rPr>
                <w:rFonts w:hint="eastAsia" w:ascii="仿宋" w:hAnsi="仿宋" w:eastAsia="仿宋" w:cs="仿宋"/>
                <w:snapToGrid w:val="0"/>
                <w:color w:val="auto"/>
                <w:spacing w:val="0"/>
                <w:w w:val="100"/>
                <w:kern w:val="0"/>
                <w:sz w:val="24"/>
                <w:szCs w:val="24"/>
                <w:highlight w:val="none"/>
                <w:lang w:val="en-US" w:eastAsia="zh-CN" w:bidi="ar-SA"/>
              </w:rPr>
              <w:t>。</w:t>
            </w:r>
          </w:p>
          <w:p w14:paraId="1461BF11">
            <w:pPr>
              <w:pStyle w:val="48"/>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firstLine="2" w:firstLineChars="0"/>
              <w:jc w:val="left"/>
              <w:textAlignment w:val="auto"/>
              <w:outlineLvl w:val="9"/>
              <w:rPr>
                <w:rFonts w:hint="eastAsia" w:ascii="仿宋" w:hAnsi="仿宋" w:eastAsia="仿宋" w:cs="仿宋"/>
                <w:snapToGrid w:val="0"/>
                <w:color w:val="auto"/>
                <w:spacing w:val="0"/>
                <w:w w:val="100"/>
                <w:kern w:val="0"/>
                <w:sz w:val="24"/>
                <w:szCs w:val="24"/>
                <w:highlight w:val="none"/>
                <w:lang w:val="en-US" w:eastAsia="en-US" w:bidi="ar-SA"/>
              </w:rPr>
            </w:pPr>
          </w:p>
        </w:tc>
        <w:tc>
          <w:tcPr>
            <w:tcW w:w="2983" w:type="dxa"/>
            <w:vAlign w:val="center"/>
          </w:tcPr>
          <w:p w14:paraId="13FDB12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提供证明文件的电子件</w:t>
            </w:r>
          </w:p>
        </w:tc>
      </w:tr>
      <w:tr w14:paraId="7744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0" w:hRule="atLeast"/>
        </w:trPr>
        <w:tc>
          <w:tcPr>
            <w:tcW w:w="980" w:type="dxa"/>
            <w:vMerge w:val="continue"/>
            <w:vAlign w:val="center"/>
          </w:tcPr>
          <w:p w14:paraId="076AA22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p>
        </w:tc>
        <w:tc>
          <w:tcPr>
            <w:tcW w:w="730" w:type="dxa"/>
            <w:vMerge w:val="continue"/>
            <w:vAlign w:val="center"/>
          </w:tcPr>
          <w:p w14:paraId="3E9B0803">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Merge w:val="continue"/>
            <w:vAlign w:val="center"/>
          </w:tcPr>
          <w:p w14:paraId="731A847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3794" w:type="dxa"/>
            <w:vAlign w:val="center"/>
          </w:tcPr>
          <w:p w14:paraId="48C1ACB1">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auto"/>
              <w:rPr>
                <w:rFonts w:hint="eastAsia" w:ascii="仿宋" w:hAnsi="仿宋" w:eastAsia="仿宋" w:cs="仿宋"/>
                <w:color w:val="FF0000"/>
                <w:sz w:val="24"/>
                <w:szCs w:val="24"/>
                <w:lang w:eastAsia="zh-CN"/>
              </w:rPr>
            </w:pPr>
            <w:r>
              <w:rPr>
                <w:rFonts w:hint="eastAsia" w:ascii="仿宋" w:hAnsi="仿宋" w:eastAsia="仿宋" w:cs="仿宋"/>
                <w:snapToGrid w:val="0"/>
                <w:color w:val="auto"/>
                <w:spacing w:val="0"/>
                <w:w w:val="100"/>
                <w:kern w:val="0"/>
                <w:sz w:val="24"/>
                <w:szCs w:val="24"/>
                <w:highlight w:val="none"/>
                <w:lang w:val="en-US" w:eastAsia="en-US" w:bidi="ar-SA"/>
              </w:rPr>
              <w:t>供应商须提供缴费所属时间在提交响应文件截止之日前十二个月内任意</w:t>
            </w:r>
            <w:r>
              <w:rPr>
                <w:rFonts w:hint="eastAsia" w:ascii="仿宋" w:hAnsi="仿宋" w:eastAsia="仿宋" w:cs="仿宋"/>
                <w:snapToGrid w:val="0"/>
                <w:color w:val="auto"/>
                <w:spacing w:val="0"/>
                <w:w w:val="100"/>
                <w:kern w:val="0"/>
                <w:sz w:val="24"/>
                <w:szCs w:val="24"/>
                <w:highlight w:val="none"/>
                <w:lang w:val="en-US" w:eastAsia="zh-CN" w:bidi="ar-SA"/>
              </w:rPr>
              <w:t>1</w:t>
            </w:r>
            <w:r>
              <w:rPr>
                <w:rFonts w:hint="eastAsia" w:ascii="仿宋" w:hAnsi="仿宋" w:eastAsia="仿宋" w:cs="仿宋"/>
                <w:snapToGrid w:val="0"/>
                <w:color w:val="auto"/>
                <w:spacing w:val="0"/>
                <w:w w:val="100"/>
                <w:kern w:val="0"/>
                <w:sz w:val="24"/>
                <w:szCs w:val="24"/>
                <w:highlight w:val="none"/>
                <w:lang w:val="en-US" w:eastAsia="en-US" w:bidi="ar-SA"/>
              </w:rPr>
              <w:t>个月的社会保险费缴款书复印件或银行电子缴税（费）凭证复印件或社保管理部门出具的有效的缴款证明</w:t>
            </w:r>
            <w:r>
              <w:rPr>
                <w:rFonts w:hint="eastAsia" w:ascii="仿宋" w:hAnsi="仿宋" w:eastAsia="仿宋" w:cs="仿宋"/>
                <w:snapToGrid w:val="0"/>
                <w:color w:val="auto"/>
                <w:spacing w:val="0"/>
                <w:w w:val="100"/>
                <w:kern w:val="0"/>
                <w:sz w:val="24"/>
                <w:szCs w:val="24"/>
                <w:highlight w:val="none"/>
                <w:lang w:val="en-US" w:eastAsia="zh-CN" w:bidi="ar-SA"/>
              </w:rPr>
              <w:t>；</w:t>
            </w:r>
            <w:r>
              <w:rPr>
                <w:rFonts w:hint="eastAsia" w:ascii="仿宋" w:hAnsi="仿宋" w:eastAsia="仿宋" w:cs="仿宋"/>
                <w:snapToGrid w:val="0"/>
                <w:color w:val="auto"/>
                <w:spacing w:val="0"/>
                <w:w w:val="100"/>
                <w:kern w:val="0"/>
                <w:sz w:val="24"/>
                <w:szCs w:val="24"/>
                <w:highlight w:val="none"/>
                <w:lang w:val="en-US" w:eastAsia="en-US" w:bidi="ar-SA"/>
              </w:rPr>
              <w:t>新成立企业，成立时间不足2个月的提供自成立以来的社会保险费缴款书复印件或银行电子缴税（费）凭证复印件或社保管理部门出具的有效的缴款证明。供应商依法免缴的，应提供依法免缴的相关证明文件</w:t>
            </w:r>
            <w:r>
              <w:rPr>
                <w:rFonts w:hint="eastAsia" w:ascii="仿宋" w:hAnsi="仿宋" w:eastAsia="仿宋" w:cs="仿宋"/>
                <w:snapToGrid w:val="0"/>
                <w:color w:val="auto"/>
                <w:spacing w:val="0"/>
                <w:w w:val="100"/>
                <w:kern w:val="0"/>
                <w:sz w:val="24"/>
                <w:szCs w:val="24"/>
                <w:highlight w:val="none"/>
                <w:lang w:val="en-US" w:eastAsia="zh-CN" w:bidi="ar-SA"/>
              </w:rPr>
              <w:t>。</w:t>
            </w:r>
          </w:p>
        </w:tc>
        <w:tc>
          <w:tcPr>
            <w:tcW w:w="2983" w:type="dxa"/>
            <w:vAlign w:val="center"/>
          </w:tcPr>
          <w:p w14:paraId="4F3781FC">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提供证明文件的电子件</w:t>
            </w:r>
          </w:p>
        </w:tc>
      </w:tr>
      <w:tr w14:paraId="66EE0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80" w:type="dxa"/>
            <w:vAlign w:val="center"/>
          </w:tcPr>
          <w:p w14:paraId="6B2815A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1.1-5</w:t>
            </w:r>
          </w:p>
        </w:tc>
        <w:tc>
          <w:tcPr>
            <w:tcW w:w="730" w:type="dxa"/>
            <w:vMerge w:val="continue"/>
            <w:vAlign w:val="center"/>
          </w:tcPr>
          <w:p w14:paraId="6788EB46">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4E4A86D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供应商资格声明书</w:t>
            </w:r>
          </w:p>
        </w:tc>
        <w:tc>
          <w:tcPr>
            <w:tcW w:w="3794" w:type="dxa"/>
            <w:vAlign w:val="center"/>
          </w:tcPr>
          <w:p w14:paraId="5BE7C172">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提供了符合竞争性磋商文件要求的《供应商资格声明书》。</w:t>
            </w:r>
          </w:p>
        </w:tc>
        <w:tc>
          <w:tcPr>
            <w:tcW w:w="2983" w:type="dxa"/>
            <w:vAlign w:val="center"/>
          </w:tcPr>
          <w:p w14:paraId="31687699">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格式见《响应文件格式》</w:t>
            </w:r>
          </w:p>
        </w:tc>
      </w:tr>
      <w:tr w14:paraId="1C820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980" w:type="dxa"/>
            <w:vAlign w:val="center"/>
          </w:tcPr>
          <w:p w14:paraId="7FA97EAF">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1.1-6</w:t>
            </w:r>
          </w:p>
        </w:tc>
        <w:tc>
          <w:tcPr>
            <w:tcW w:w="730" w:type="dxa"/>
            <w:vMerge w:val="continue"/>
            <w:vAlign w:val="center"/>
          </w:tcPr>
          <w:p w14:paraId="266B0C3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5C920EA1">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本项目的其他特定资格要求</w:t>
            </w:r>
          </w:p>
        </w:tc>
        <w:tc>
          <w:tcPr>
            <w:tcW w:w="3794" w:type="dxa"/>
            <w:vAlign w:val="center"/>
          </w:tcPr>
          <w:p w14:paraId="3111C7E1">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符合第一章《竞争性磋商公告》的规定。</w:t>
            </w:r>
          </w:p>
        </w:tc>
        <w:tc>
          <w:tcPr>
            <w:tcW w:w="2983" w:type="dxa"/>
            <w:vAlign w:val="center"/>
          </w:tcPr>
          <w:p w14:paraId="3B5897A6">
            <w:pPr>
              <w:keepNext w:val="0"/>
              <w:keepLines w:val="0"/>
              <w:pageBreakBefore w:val="0"/>
              <w:widowControl w:val="0"/>
              <w:numPr>
                <w:ilvl w:val="0"/>
                <w:numId w:val="0"/>
              </w:numPr>
              <w:kinsoku/>
              <w:wordWrap/>
              <w:overflowPunct/>
              <w:topLinePunct w:val="0"/>
              <w:autoSpaceDE/>
              <w:autoSpaceDN/>
              <w:bidi w:val="0"/>
              <w:snapToGrid/>
              <w:spacing w:line="460" w:lineRule="exac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供应商未被列入“信用中国”网站（http://www.creditchina.gov.cn）失信被执行人[根据网站提示链接到中国执行信息网（http://zxgk.court.gov.cn）查询]、重大税收违法失信主体和政府采购严重违法失信行为记录名单;未被列入“中国政府采购网”（http://www.ccgp.gov.cn）政府采购严重违法失信行为记录名单（处罚期限尚未届满的）。（查询结果以采购人、采购代理机构查询结果为准）。</w:t>
            </w:r>
          </w:p>
          <w:p w14:paraId="078268E0">
            <w:pPr>
              <w:keepNext w:val="0"/>
              <w:keepLines w:val="0"/>
              <w:pageBreakBefore w:val="0"/>
              <w:widowControl w:val="0"/>
              <w:kinsoku/>
              <w:wordWrap/>
              <w:overflowPunct/>
              <w:topLinePunct w:val="0"/>
              <w:autoSpaceDE/>
              <w:autoSpaceDN/>
              <w:bidi w:val="0"/>
              <w:snapToGrid/>
              <w:spacing w:line="460" w:lineRule="exact"/>
              <w:textAlignment w:val="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lang w:val="en-US" w:eastAsia="zh-CN"/>
              </w:rPr>
              <w:t>（2）单位负责人为同一人或者存在直接控股、管理关系的不同供应商，不得参加同一合同项下的政府采购活动，提供承诺书。</w:t>
            </w:r>
          </w:p>
          <w:p w14:paraId="3201EB53">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Cs w:val="0"/>
                <w:color w:val="auto"/>
                <w:kern w:val="2"/>
                <w:sz w:val="24"/>
                <w:szCs w:val="24"/>
                <w:highlight w:val="none"/>
                <w:lang w:val="en-US" w:eastAsia="zh-CN" w:bidi="ar-SA"/>
              </w:rPr>
              <w:t>（</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b w:val="0"/>
                <w:bCs w:val="0"/>
                <w:color w:val="auto"/>
                <w:sz w:val="24"/>
                <w:szCs w:val="24"/>
                <w:highlight w:val="none"/>
                <w:u w:val="none"/>
                <w:lang w:val="en-US" w:eastAsia="zh-CN"/>
              </w:rPr>
              <w:t>本次采购要求供应商应具备独立承担民事责任能力的法人或者其他组织，具备有效期内的建筑工程施工总承包叁级以上（含叁级）资质或钢结构工程专业承包叁级以上（含叁级）资质或依据《云南省住房和城乡建设厅关于做好有关建设工程企业资质证书换领和延续工作的通知》云建建(2024)82号文规定，办理更新的钢结构工程专业承包二级以上（含二级）资质，并具有有效的安全生产许可（证</w:t>
            </w:r>
            <w:r>
              <w:rPr>
                <w:rFonts w:hint="eastAsia" w:ascii="仿宋" w:hAnsi="仿宋" w:eastAsia="仿宋" w:cs="仿宋"/>
                <w:sz w:val="24"/>
                <w:szCs w:val="24"/>
                <w:lang w:eastAsia="zh-CN"/>
              </w:rPr>
              <w:t>提供证明文件的电子件）</w:t>
            </w:r>
            <w:r>
              <w:rPr>
                <w:rFonts w:hint="eastAsia" w:ascii="仿宋" w:hAnsi="仿宋" w:eastAsia="仿宋" w:cs="仿宋"/>
                <w:b w:val="0"/>
                <w:bCs w:val="0"/>
                <w:color w:val="auto"/>
                <w:sz w:val="24"/>
                <w:szCs w:val="24"/>
                <w:highlight w:val="none"/>
                <w:u w:val="none"/>
                <w:lang w:val="en-US" w:eastAsia="zh-CN"/>
              </w:rPr>
              <w:t>。</w:t>
            </w:r>
          </w:p>
          <w:p w14:paraId="7ED202D8">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24"/>
                <w:szCs w:val="24"/>
                <w:lang w:val="en-US" w:eastAsia="zh-CN"/>
              </w:rPr>
            </w:pPr>
            <w:r>
              <w:rPr>
                <w:rFonts w:hint="eastAsia" w:ascii="仿宋" w:hAnsi="仿宋" w:eastAsia="仿宋" w:cs="仿宋"/>
                <w:b w:val="0"/>
                <w:bCs w:val="0"/>
                <w:color w:val="auto"/>
                <w:sz w:val="24"/>
                <w:szCs w:val="24"/>
                <w:highlight w:val="none"/>
                <w:u w:val="none"/>
                <w:lang w:val="en-US" w:eastAsia="zh-CN"/>
              </w:rPr>
              <w:t>（4）供应商拟派项目负责人应具有有效的建筑工程专业二级以上（含二级）建造师注册证书和安全生产考核合格证书，拟派项目负责人不得担任其他在建工程项目的项目负责人</w:t>
            </w:r>
            <w:r>
              <w:rPr>
                <w:rFonts w:hint="eastAsia" w:ascii="仿宋" w:hAnsi="仿宋" w:eastAsia="仿宋" w:cs="仿宋"/>
                <w:color w:val="auto"/>
                <w:sz w:val="24"/>
                <w:szCs w:val="24"/>
                <w:highlight w:val="none"/>
                <w:u w:val="none"/>
                <w:lang w:val="en-US" w:eastAsia="zh-CN"/>
              </w:rPr>
              <w:t>（提供</w:t>
            </w:r>
            <w:r>
              <w:rPr>
                <w:rFonts w:hint="eastAsia" w:ascii="仿宋" w:hAnsi="仿宋" w:eastAsia="仿宋" w:cs="仿宋"/>
                <w:sz w:val="24"/>
                <w:szCs w:val="24"/>
                <w:lang w:eastAsia="zh-CN"/>
              </w:rPr>
              <w:t>证明文件的电子件</w:t>
            </w:r>
            <w:r>
              <w:rPr>
                <w:rFonts w:hint="eastAsia" w:ascii="仿宋" w:hAnsi="仿宋" w:eastAsia="仿宋" w:cs="仿宋"/>
                <w:sz w:val="24"/>
                <w:szCs w:val="24"/>
                <w:lang w:val="en-US" w:eastAsia="zh-CN"/>
              </w:rPr>
              <w:t>和</w:t>
            </w:r>
            <w:r>
              <w:rPr>
                <w:rFonts w:hint="eastAsia" w:ascii="仿宋" w:hAnsi="仿宋" w:eastAsia="仿宋" w:cs="仿宋"/>
                <w:color w:val="auto"/>
                <w:sz w:val="24"/>
                <w:szCs w:val="24"/>
                <w:highlight w:val="none"/>
                <w:u w:val="none"/>
                <w:lang w:val="en-US" w:eastAsia="zh-CN"/>
              </w:rPr>
              <w:t>承诺书）。</w:t>
            </w:r>
          </w:p>
        </w:tc>
      </w:tr>
      <w:tr w14:paraId="28DF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980" w:type="dxa"/>
            <w:vAlign w:val="center"/>
          </w:tcPr>
          <w:p w14:paraId="5AFA4D4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1.1-7</w:t>
            </w:r>
          </w:p>
        </w:tc>
        <w:tc>
          <w:tcPr>
            <w:tcW w:w="730" w:type="dxa"/>
            <w:vAlign w:val="center"/>
          </w:tcPr>
          <w:p w14:paraId="5F835C0B">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28A2FB78">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spacing w:val="-5"/>
                <w:sz w:val="24"/>
                <w:szCs w:val="24"/>
              </w:rPr>
              <w:t>重大违法记录的书面声</w:t>
            </w:r>
            <w:r>
              <w:rPr>
                <w:rFonts w:hint="eastAsia" w:ascii="仿宋" w:hAnsi="仿宋" w:eastAsia="仿宋" w:cs="仿宋"/>
                <w:sz w:val="24"/>
                <w:szCs w:val="24"/>
              </w:rPr>
              <w:t>明</w:t>
            </w:r>
          </w:p>
        </w:tc>
        <w:tc>
          <w:tcPr>
            <w:tcW w:w="3794" w:type="dxa"/>
            <w:vAlign w:val="center"/>
          </w:tcPr>
          <w:p w14:paraId="6EE409C5">
            <w:pPr>
              <w:keepNext w:val="0"/>
              <w:keepLines w:val="0"/>
              <w:pageBreakBefore w:val="0"/>
              <w:kinsoku/>
              <w:wordWrap/>
              <w:overflowPunct/>
              <w:topLinePunct w:val="0"/>
              <w:bidi w:val="0"/>
              <w:adjustRightInd/>
              <w:snapToGrid/>
              <w:spacing w:beforeAutospacing="0" w:afterAutospacing="0" w:line="440" w:lineRule="exact"/>
              <w:jc w:val="both"/>
              <w:textAlignment w:val="auto"/>
              <w:rPr>
                <w:rFonts w:hint="eastAsia" w:ascii="仿宋" w:hAnsi="仿宋" w:eastAsia="仿宋" w:cs="仿宋"/>
                <w:color w:val="auto"/>
                <w:sz w:val="24"/>
                <w:szCs w:val="24"/>
                <w:lang w:eastAsia="zh-CN"/>
              </w:rPr>
            </w:pPr>
            <w:r>
              <w:rPr>
                <w:rFonts w:hint="eastAsia" w:ascii="仿宋" w:hAnsi="仿宋" w:eastAsia="仿宋" w:cs="仿宋"/>
                <w:sz w:val="24"/>
                <w:szCs w:val="24"/>
                <w:lang w:eastAsia="zh-CN"/>
              </w:rPr>
              <w:t>参加政府采购活动前三年内在经营活动中没有重大违法记录的书面声明，</w:t>
            </w:r>
            <w:r>
              <w:rPr>
                <w:rFonts w:hint="eastAsia" w:ascii="仿宋" w:hAnsi="仿宋" w:eastAsia="仿宋" w:cs="仿宋"/>
                <w:sz w:val="24"/>
                <w:szCs w:val="24"/>
                <w:lang w:val="en-US" w:eastAsia="zh-CN"/>
              </w:rPr>
              <w:t>提供书面</w:t>
            </w:r>
            <w:r>
              <w:rPr>
                <w:rFonts w:hint="eastAsia" w:ascii="仿宋" w:hAnsi="仿宋" w:eastAsia="仿宋" w:cs="仿宋"/>
                <w:sz w:val="24"/>
                <w:szCs w:val="24"/>
                <w:lang w:eastAsia="zh-CN"/>
              </w:rPr>
              <w:t>声</w:t>
            </w:r>
            <w:r>
              <w:rPr>
                <w:rFonts w:hint="eastAsia" w:ascii="仿宋" w:hAnsi="仿宋" w:eastAsia="仿宋" w:cs="仿宋"/>
                <w:b w:val="0"/>
                <w:bCs w:val="0"/>
                <w:color w:val="auto"/>
                <w:sz w:val="24"/>
                <w:szCs w:val="24"/>
                <w:lang w:eastAsia="zh-CN"/>
              </w:rPr>
              <w:t>明</w:t>
            </w:r>
            <w:r>
              <w:rPr>
                <w:rFonts w:hint="eastAsia" w:ascii="仿宋" w:hAnsi="仿宋" w:eastAsia="仿宋" w:cs="仿宋"/>
                <w:b w:val="0"/>
                <w:bCs w:val="0"/>
                <w:color w:val="auto"/>
                <w:sz w:val="24"/>
                <w:szCs w:val="24"/>
                <w:lang w:val="en-US" w:eastAsia="zh-CN"/>
              </w:rPr>
              <w:t>并加盖电子公章。</w:t>
            </w:r>
          </w:p>
        </w:tc>
        <w:tc>
          <w:tcPr>
            <w:tcW w:w="2983" w:type="dxa"/>
            <w:vAlign w:val="center"/>
          </w:tcPr>
          <w:p w14:paraId="7A894E8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color w:val="auto"/>
                <w:sz w:val="24"/>
                <w:szCs w:val="24"/>
                <w:lang w:val="en-US" w:eastAsia="zh-CN"/>
              </w:rPr>
              <w:t>格式自拟</w:t>
            </w:r>
          </w:p>
        </w:tc>
      </w:tr>
      <w:tr w14:paraId="5E017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980" w:type="dxa"/>
            <w:vAlign w:val="center"/>
          </w:tcPr>
          <w:p w14:paraId="1BEED158">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1.1-8</w:t>
            </w:r>
          </w:p>
        </w:tc>
        <w:tc>
          <w:tcPr>
            <w:tcW w:w="730" w:type="dxa"/>
            <w:vAlign w:val="center"/>
          </w:tcPr>
          <w:p w14:paraId="5111F07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7F9E4C09">
            <w:pPr>
              <w:pStyle w:val="48"/>
              <w:spacing w:before="314" w:line="222" w:lineRule="auto"/>
              <w:ind w:left="111"/>
              <w:rPr>
                <w:rFonts w:hint="eastAsia" w:ascii="仿宋" w:hAnsi="仿宋" w:eastAsia="仿宋" w:cs="仿宋"/>
                <w:sz w:val="24"/>
                <w:szCs w:val="24"/>
              </w:rPr>
            </w:pPr>
            <w:r>
              <w:rPr>
                <w:rFonts w:hint="eastAsia" w:ascii="仿宋" w:hAnsi="仿宋" w:eastAsia="仿宋" w:cs="仿宋"/>
                <w:spacing w:val="-6"/>
                <w:sz w:val="24"/>
                <w:szCs w:val="24"/>
              </w:rPr>
              <w:t>落实政府采</w:t>
            </w:r>
          </w:p>
          <w:p w14:paraId="0576F72E">
            <w:pPr>
              <w:pStyle w:val="48"/>
              <w:spacing w:before="112" w:line="222" w:lineRule="auto"/>
              <w:ind w:left="100"/>
              <w:rPr>
                <w:rFonts w:hint="eastAsia" w:ascii="仿宋" w:hAnsi="仿宋" w:eastAsia="仿宋" w:cs="仿宋"/>
                <w:sz w:val="24"/>
                <w:szCs w:val="24"/>
              </w:rPr>
            </w:pPr>
            <w:r>
              <w:rPr>
                <w:rFonts w:hint="eastAsia" w:ascii="仿宋" w:hAnsi="仿宋" w:eastAsia="仿宋" w:cs="仿宋"/>
                <w:spacing w:val="-4"/>
                <w:sz w:val="24"/>
                <w:szCs w:val="24"/>
              </w:rPr>
              <w:t>购政策需满</w:t>
            </w:r>
          </w:p>
          <w:p w14:paraId="0E51A573">
            <w:pPr>
              <w:pStyle w:val="48"/>
              <w:spacing w:before="110" w:line="309" w:lineRule="auto"/>
              <w:ind w:left="586" w:leftChars="0" w:right="85" w:rightChars="0" w:hanging="487" w:firstLineChars="0"/>
              <w:rPr>
                <w:rFonts w:hint="eastAsia" w:ascii="仿宋" w:hAnsi="仿宋" w:eastAsia="仿宋" w:cs="仿宋"/>
                <w:color w:val="auto"/>
                <w:sz w:val="24"/>
                <w:szCs w:val="24"/>
                <w:lang w:eastAsia="zh-CN"/>
              </w:rPr>
            </w:pPr>
            <w:r>
              <w:rPr>
                <w:rFonts w:hint="eastAsia" w:ascii="仿宋" w:hAnsi="仿宋" w:eastAsia="仿宋" w:cs="仿宋"/>
                <w:spacing w:val="-4"/>
                <w:sz w:val="24"/>
                <w:szCs w:val="24"/>
              </w:rPr>
              <w:t>足的资格要</w:t>
            </w:r>
            <w:r>
              <w:rPr>
                <w:rFonts w:hint="eastAsia" w:ascii="仿宋" w:hAnsi="仿宋" w:eastAsia="仿宋" w:cs="仿宋"/>
                <w:sz w:val="24"/>
                <w:szCs w:val="24"/>
              </w:rPr>
              <w:t>求</w:t>
            </w:r>
          </w:p>
        </w:tc>
        <w:tc>
          <w:tcPr>
            <w:tcW w:w="3794" w:type="dxa"/>
            <w:vAlign w:val="top"/>
          </w:tcPr>
          <w:p w14:paraId="362116BB">
            <w:pPr>
              <w:spacing w:line="271" w:lineRule="auto"/>
              <w:rPr>
                <w:rFonts w:hint="eastAsia" w:ascii="仿宋" w:hAnsi="仿宋" w:eastAsia="仿宋" w:cs="仿宋"/>
                <w:sz w:val="21"/>
              </w:rPr>
            </w:pPr>
          </w:p>
          <w:p w14:paraId="38CAA2DB">
            <w:pPr>
              <w:spacing w:line="271" w:lineRule="auto"/>
              <w:rPr>
                <w:rFonts w:hint="eastAsia" w:ascii="仿宋" w:hAnsi="仿宋" w:eastAsia="仿宋" w:cs="仿宋"/>
                <w:sz w:val="21"/>
              </w:rPr>
            </w:pPr>
          </w:p>
          <w:p w14:paraId="291F441C">
            <w:pPr>
              <w:spacing w:line="272" w:lineRule="auto"/>
              <w:rPr>
                <w:rFonts w:hint="eastAsia" w:ascii="仿宋" w:hAnsi="仿宋" w:eastAsia="仿宋" w:cs="仿宋"/>
                <w:sz w:val="21"/>
              </w:rPr>
            </w:pPr>
          </w:p>
          <w:p w14:paraId="5E4AE5A5">
            <w:pPr>
              <w:pStyle w:val="48"/>
              <w:spacing w:before="78" w:line="222" w:lineRule="auto"/>
              <w:ind w:left="17" w:leftChars="0"/>
              <w:rPr>
                <w:rFonts w:hint="eastAsia" w:ascii="仿宋" w:hAnsi="仿宋" w:eastAsia="仿宋" w:cs="仿宋"/>
                <w:color w:val="auto"/>
                <w:sz w:val="24"/>
                <w:szCs w:val="24"/>
                <w:lang w:eastAsia="zh-CN"/>
              </w:rPr>
            </w:pPr>
            <w:r>
              <w:rPr>
                <w:rFonts w:hint="eastAsia" w:ascii="仿宋" w:hAnsi="仿宋" w:eastAsia="仿宋" w:cs="仿宋"/>
                <w:spacing w:val="-2"/>
                <w:sz w:val="24"/>
                <w:szCs w:val="24"/>
              </w:rPr>
              <w:t>本项目专门面向中小微企业采购。</w:t>
            </w:r>
          </w:p>
        </w:tc>
        <w:tc>
          <w:tcPr>
            <w:tcW w:w="2983" w:type="dxa"/>
            <w:vAlign w:val="top"/>
          </w:tcPr>
          <w:p w14:paraId="2941EC56">
            <w:pPr>
              <w:pStyle w:val="48"/>
              <w:spacing w:before="115" w:line="222" w:lineRule="auto"/>
              <w:ind w:left="54"/>
              <w:rPr>
                <w:rFonts w:hint="eastAsia" w:ascii="仿宋" w:hAnsi="仿宋" w:eastAsia="仿宋" w:cs="仿宋"/>
                <w:sz w:val="24"/>
                <w:szCs w:val="24"/>
              </w:rPr>
            </w:pPr>
            <w:r>
              <w:rPr>
                <w:rFonts w:hint="eastAsia" w:ascii="仿宋" w:hAnsi="仿宋" w:eastAsia="仿宋" w:cs="仿宋"/>
                <w:spacing w:val="-4"/>
                <w:sz w:val="24"/>
                <w:szCs w:val="24"/>
              </w:rPr>
              <w:t>格式见《</w:t>
            </w:r>
            <w:r>
              <w:rPr>
                <w:rFonts w:hint="eastAsia" w:ascii="仿宋" w:hAnsi="仿宋" w:eastAsia="仿宋" w:cs="仿宋"/>
                <w:spacing w:val="-12"/>
                <w:sz w:val="24"/>
                <w:szCs w:val="24"/>
              </w:rPr>
              <w:t>中小企业</w:t>
            </w:r>
            <w:r>
              <w:rPr>
                <w:rFonts w:hint="eastAsia" w:ascii="仿宋" w:hAnsi="仿宋" w:eastAsia="仿宋" w:cs="仿宋"/>
                <w:spacing w:val="-4"/>
                <w:sz w:val="24"/>
                <w:szCs w:val="24"/>
              </w:rPr>
              <w:t>声明函</w:t>
            </w:r>
            <w:r>
              <w:rPr>
                <w:rFonts w:hint="eastAsia" w:ascii="仿宋" w:hAnsi="仿宋" w:eastAsia="仿宋" w:cs="仿宋"/>
                <w:spacing w:val="15"/>
                <w:sz w:val="24"/>
                <w:szCs w:val="24"/>
              </w:rPr>
              <w:t xml:space="preserve"> </w:t>
            </w:r>
            <w:r>
              <w:rPr>
                <w:rFonts w:hint="eastAsia" w:ascii="仿宋" w:hAnsi="仿宋" w:eastAsia="仿宋" w:cs="仿宋"/>
                <w:spacing w:val="-4"/>
                <w:sz w:val="24"/>
                <w:szCs w:val="24"/>
              </w:rPr>
              <w:t>(</w:t>
            </w:r>
          </w:p>
          <w:p w14:paraId="0D1F092D">
            <w:pPr>
              <w:pStyle w:val="48"/>
              <w:spacing w:before="111" w:line="260" w:lineRule="auto"/>
              <w:ind w:left="300" w:leftChars="0" w:right="36" w:rightChars="0" w:hanging="239" w:firstLineChars="0"/>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spacing w:val="-6"/>
                <w:sz w:val="24"/>
                <w:szCs w:val="24"/>
              </w:rPr>
              <w:t>工程）格</w:t>
            </w:r>
            <w:r>
              <w:rPr>
                <w:rFonts w:hint="eastAsia" w:ascii="仿宋" w:hAnsi="仿宋" w:eastAsia="仿宋" w:cs="仿宋"/>
                <w:spacing w:val="-11"/>
                <w:sz w:val="24"/>
                <w:szCs w:val="24"/>
              </w:rPr>
              <w:t>式》</w:t>
            </w:r>
          </w:p>
        </w:tc>
      </w:tr>
      <w:tr w14:paraId="0206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980" w:type="dxa"/>
            <w:vAlign w:val="center"/>
          </w:tcPr>
          <w:p w14:paraId="0EA5030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rPr>
            </w:pPr>
            <w:r>
              <w:rPr>
                <w:rFonts w:hint="eastAsia" w:ascii="仿宋" w:hAnsi="仿宋" w:eastAsia="仿宋" w:cs="仿宋"/>
                <w:b/>
                <w:sz w:val="24"/>
                <w:szCs w:val="24"/>
              </w:rPr>
              <w:t>条款号</w:t>
            </w:r>
          </w:p>
        </w:tc>
        <w:tc>
          <w:tcPr>
            <w:tcW w:w="730" w:type="dxa"/>
            <w:vAlign w:val="center"/>
          </w:tcPr>
          <w:p w14:paraId="0A03DF2F">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rPr>
            </w:pPr>
            <w:r>
              <w:rPr>
                <w:rFonts w:hint="eastAsia" w:ascii="仿宋" w:hAnsi="仿宋" w:eastAsia="仿宋" w:cs="仿宋"/>
                <w:b/>
                <w:sz w:val="24"/>
                <w:szCs w:val="24"/>
              </w:rPr>
              <w:t>评审程序</w:t>
            </w:r>
          </w:p>
        </w:tc>
        <w:tc>
          <w:tcPr>
            <w:tcW w:w="5621" w:type="dxa"/>
            <w:gridSpan w:val="2"/>
            <w:vAlign w:val="center"/>
          </w:tcPr>
          <w:p w14:paraId="4E9C578C">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b/>
                <w:sz w:val="24"/>
                <w:szCs w:val="24"/>
              </w:rPr>
              <w:t>评 审 内 容 及 标 准</w:t>
            </w:r>
          </w:p>
        </w:tc>
        <w:tc>
          <w:tcPr>
            <w:tcW w:w="2983" w:type="dxa"/>
            <w:vAlign w:val="center"/>
          </w:tcPr>
          <w:p w14:paraId="7C186F5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b/>
                <w:sz w:val="24"/>
                <w:szCs w:val="24"/>
                <w:lang w:eastAsia="zh-CN"/>
              </w:rPr>
              <w:t>格式要求</w:t>
            </w:r>
          </w:p>
        </w:tc>
      </w:tr>
      <w:tr w14:paraId="0DCFC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80" w:type="dxa"/>
            <w:vMerge w:val="restart"/>
            <w:vAlign w:val="center"/>
          </w:tcPr>
          <w:p w14:paraId="55ED428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r>
              <w:rPr>
                <w:rFonts w:hint="eastAsia" w:ascii="仿宋" w:hAnsi="仿宋" w:eastAsia="仿宋" w:cs="仿宋"/>
                <w:sz w:val="24"/>
                <w:szCs w:val="24"/>
                <w:lang w:val="en-US" w:eastAsia="zh-CN"/>
              </w:rPr>
              <w:t>1.2</w:t>
            </w:r>
          </w:p>
        </w:tc>
        <w:tc>
          <w:tcPr>
            <w:tcW w:w="730" w:type="dxa"/>
            <w:vMerge w:val="restart"/>
            <w:vAlign w:val="center"/>
          </w:tcPr>
          <w:p w14:paraId="3935EF4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rPr>
            </w:pPr>
            <w:r>
              <w:rPr>
                <w:rFonts w:hint="eastAsia" w:ascii="仿宋" w:hAnsi="仿宋" w:eastAsia="仿宋" w:cs="仿宋"/>
                <w:sz w:val="24"/>
                <w:szCs w:val="24"/>
              </w:rPr>
              <w:t>符合性</w:t>
            </w:r>
            <w:r>
              <w:rPr>
                <w:rFonts w:hint="eastAsia" w:ascii="仿宋" w:hAnsi="仿宋" w:eastAsia="仿宋" w:cs="仿宋"/>
                <w:sz w:val="24"/>
                <w:szCs w:val="24"/>
                <w:lang w:eastAsia="zh-CN"/>
              </w:rPr>
              <w:t>审查</w:t>
            </w:r>
            <w:r>
              <w:rPr>
                <w:rFonts w:hint="eastAsia" w:ascii="仿宋" w:hAnsi="仿宋" w:eastAsia="仿宋" w:cs="仿宋"/>
                <w:sz w:val="24"/>
                <w:szCs w:val="24"/>
              </w:rPr>
              <w:t>要求</w:t>
            </w:r>
          </w:p>
        </w:tc>
        <w:tc>
          <w:tcPr>
            <w:tcW w:w="1827" w:type="dxa"/>
            <w:vAlign w:val="top"/>
          </w:tcPr>
          <w:p w14:paraId="30C6F6C3">
            <w:pPr>
              <w:pStyle w:val="48"/>
              <w:spacing w:before="143" w:line="222" w:lineRule="auto"/>
              <w:ind w:left="311"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授权委托书</w:t>
            </w:r>
          </w:p>
        </w:tc>
        <w:tc>
          <w:tcPr>
            <w:tcW w:w="3794" w:type="dxa"/>
            <w:vAlign w:val="top"/>
          </w:tcPr>
          <w:p w14:paraId="47CCAC1F">
            <w:pPr>
              <w:pStyle w:val="48"/>
              <w:spacing w:before="143" w:line="222" w:lineRule="auto"/>
              <w:ind w:left="120"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按磋商文件要求提供授权委托书。</w:t>
            </w:r>
          </w:p>
        </w:tc>
        <w:tc>
          <w:tcPr>
            <w:tcW w:w="2983" w:type="dxa"/>
            <w:vAlign w:val="center"/>
          </w:tcPr>
          <w:p w14:paraId="02B3C1ED">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1B21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980" w:type="dxa"/>
            <w:vMerge w:val="continue"/>
            <w:vAlign w:val="center"/>
          </w:tcPr>
          <w:p w14:paraId="7545C61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p>
        </w:tc>
        <w:tc>
          <w:tcPr>
            <w:tcW w:w="730" w:type="dxa"/>
            <w:vMerge w:val="continue"/>
            <w:vAlign w:val="center"/>
          </w:tcPr>
          <w:p w14:paraId="2A9966B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15CAD6EA">
            <w:pPr>
              <w:pStyle w:val="48"/>
              <w:spacing w:before="126" w:line="220" w:lineRule="auto"/>
              <w:ind w:left="311"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投标完整性</w:t>
            </w:r>
          </w:p>
        </w:tc>
        <w:tc>
          <w:tcPr>
            <w:tcW w:w="3794" w:type="dxa"/>
            <w:vAlign w:val="top"/>
          </w:tcPr>
          <w:p w14:paraId="6C70FBB7">
            <w:pPr>
              <w:pStyle w:val="48"/>
              <w:spacing w:before="125" w:line="222" w:lineRule="auto"/>
              <w:ind w:left="122"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未将一个采购包中的内容拆分投标。</w:t>
            </w:r>
          </w:p>
        </w:tc>
        <w:tc>
          <w:tcPr>
            <w:tcW w:w="2983" w:type="dxa"/>
            <w:vAlign w:val="center"/>
          </w:tcPr>
          <w:p w14:paraId="47E0BFA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4B32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80" w:type="dxa"/>
            <w:vMerge w:val="continue"/>
            <w:vAlign w:val="center"/>
          </w:tcPr>
          <w:p w14:paraId="6C3CB9CE">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p>
        </w:tc>
        <w:tc>
          <w:tcPr>
            <w:tcW w:w="730" w:type="dxa"/>
            <w:vMerge w:val="continue"/>
            <w:vAlign w:val="center"/>
          </w:tcPr>
          <w:p w14:paraId="575FB1A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06863365">
            <w:pPr>
              <w:pStyle w:val="48"/>
              <w:spacing w:before="126" w:line="220" w:lineRule="auto"/>
              <w:ind w:left="311"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报  价</w:t>
            </w:r>
          </w:p>
        </w:tc>
        <w:tc>
          <w:tcPr>
            <w:tcW w:w="3794" w:type="dxa"/>
            <w:vAlign w:val="top"/>
          </w:tcPr>
          <w:p w14:paraId="201AE74E">
            <w:pPr>
              <w:pStyle w:val="48"/>
              <w:spacing w:before="125" w:line="222" w:lineRule="auto"/>
              <w:ind w:left="122"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未超过项目预算金额或者最高限价。</w:t>
            </w:r>
          </w:p>
        </w:tc>
        <w:tc>
          <w:tcPr>
            <w:tcW w:w="2983" w:type="dxa"/>
            <w:vAlign w:val="center"/>
          </w:tcPr>
          <w:p w14:paraId="5080B744">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0C8E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980" w:type="dxa"/>
            <w:vMerge w:val="continue"/>
            <w:vAlign w:val="center"/>
          </w:tcPr>
          <w:p w14:paraId="3649AB0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p>
        </w:tc>
        <w:tc>
          <w:tcPr>
            <w:tcW w:w="730" w:type="dxa"/>
            <w:vMerge w:val="continue"/>
            <w:vAlign w:val="center"/>
          </w:tcPr>
          <w:p w14:paraId="78F2D453">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774B3AE7">
            <w:pPr>
              <w:pStyle w:val="48"/>
              <w:spacing w:before="222" w:line="220" w:lineRule="auto"/>
              <w:ind w:left="311" w:left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报价唯一性</w:t>
            </w:r>
          </w:p>
        </w:tc>
        <w:tc>
          <w:tcPr>
            <w:tcW w:w="3794" w:type="dxa"/>
            <w:vAlign w:val="top"/>
          </w:tcPr>
          <w:p w14:paraId="34E70071">
            <w:pPr>
              <w:pStyle w:val="48"/>
              <w:spacing w:before="65" w:line="236" w:lineRule="auto"/>
              <w:ind w:left="133" w:leftChars="0" w:right="111" w:rightChars="0" w:hanging="14" w:firstLine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响应文件未出现可选择性或可调整的报价（磋商文件另有规定的除外）。</w:t>
            </w:r>
          </w:p>
        </w:tc>
        <w:tc>
          <w:tcPr>
            <w:tcW w:w="2983" w:type="dxa"/>
            <w:vAlign w:val="center"/>
          </w:tcPr>
          <w:p w14:paraId="4C02775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7FC1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80" w:type="dxa"/>
            <w:vMerge w:val="continue"/>
            <w:vAlign w:val="center"/>
          </w:tcPr>
          <w:p w14:paraId="6EB5EC00">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p>
        </w:tc>
        <w:tc>
          <w:tcPr>
            <w:tcW w:w="730" w:type="dxa"/>
            <w:vMerge w:val="continue"/>
            <w:vAlign w:val="center"/>
          </w:tcPr>
          <w:p w14:paraId="4333F02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6117FA1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
                <w:sz w:val="24"/>
                <w:szCs w:val="24"/>
              </w:rPr>
            </w:pPr>
            <w:r>
              <w:rPr>
                <w:rFonts w:hint="eastAsia" w:ascii="仿宋" w:hAnsi="仿宋" w:eastAsia="仿宋" w:cs="仿宋"/>
                <w:sz w:val="24"/>
                <w:szCs w:val="24"/>
                <w:lang w:eastAsia="zh-CN"/>
              </w:rPr>
              <w:t>响应有效期</w:t>
            </w:r>
          </w:p>
        </w:tc>
        <w:tc>
          <w:tcPr>
            <w:tcW w:w="3794" w:type="dxa"/>
            <w:vAlign w:val="center"/>
          </w:tcPr>
          <w:p w14:paraId="7D93C79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符合第二章“供应商须知”第12.1项规定。</w:t>
            </w:r>
          </w:p>
        </w:tc>
        <w:tc>
          <w:tcPr>
            <w:tcW w:w="2983" w:type="dxa"/>
            <w:vAlign w:val="center"/>
          </w:tcPr>
          <w:p w14:paraId="751E99E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r>
      <w:tr w14:paraId="16AB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980" w:type="dxa"/>
            <w:vMerge w:val="continue"/>
            <w:vAlign w:val="center"/>
          </w:tcPr>
          <w:p w14:paraId="5E622694">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b/>
                <w:sz w:val="24"/>
                <w:szCs w:val="24"/>
                <w:lang w:eastAsia="zh-CN"/>
              </w:rPr>
            </w:pPr>
          </w:p>
        </w:tc>
        <w:tc>
          <w:tcPr>
            <w:tcW w:w="730" w:type="dxa"/>
            <w:vMerge w:val="continue"/>
            <w:vAlign w:val="center"/>
          </w:tcPr>
          <w:p w14:paraId="39B8C08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shd w:val="clear" w:color="auto" w:fill="auto"/>
            <w:vAlign w:val="top"/>
          </w:tcPr>
          <w:p w14:paraId="41F29CF6">
            <w:pPr>
              <w:pStyle w:val="48"/>
              <w:spacing w:before="65" w:line="236" w:lineRule="auto"/>
              <w:ind w:left="133" w:leftChars="0" w:right="111" w:rightChars="0" w:hanging="14" w:firstLine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实质性格式</w:t>
            </w:r>
          </w:p>
        </w:tc>
        <w:tc>
          <w:tcPr>
            <w:tcW w:w="3794" w:type="dxa"/>
            <w:shd w:val="clear" w:color="auto" w:fill="auto"/>
            <w:vAlign w:val="top"/>
          </w:tcPr>
          <w:p w14:paraId="6A4BEB9E">
            <w:pPr>
              <w:pStyle w:val="48"/>
              <w:spacing w:before="65" w:line="236" w:lineRule="auto"/>
              <w:ind w:left="133" w:leftChars="0" w:right="111" w:rightChars="0" w:hanging="14" w:firstLineChars="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标记为“实质性格式 ”的文件均按采购文件要求提供且签署、盖章的。</w:t>
            </w:r>
          </w:p>
        </w:tc>
        <w:tc>
          <w:tcPr>
            <w:tcW w:w="2983" w:type="dxa"/>
            <w:vAlign w:val="top"/>
          </w:tcPr>
          <w:p w14:paraId="5D938594">
            <w:pPr>
              <w:pStyle w:val="48"/>
              <w:spacing w:before="119" w:line="221" w:lineRule="auto"/>
              <w:ind w:left="311" w:leftChars="0"/>
              <w:rPr>
                <w:rFonts w:hint="eastAsia" w:ascii="仿宋" w:hAnsi="仿宋" w:eastAsia="仿宋" w:cs="仿宋"/>
                <w:sz w:val="24"/>
                <w:szCs w:val="24"/>
                <w:lang w:eastAsia="zh-CN"/>
              </w:rPr>
            </w:pPr>
          </w:p>
        </w:tc>
      </w:tr>
      <w:tr w14:paraId="0BAD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80" w:type="dxa"/>
            <w:vMerge w:val="continue"/>
            <w:vAlign w:val="center"/>
          </w:tcPr>
          <w:p w14:paraId="1AB8AAEC">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730" w:type="dxa"/>
            <w:vMerge w:val="continue"/>
            <w:vAlign w:val="center"/>
          </w:tcPr>
          <w:p w14:paraId="55E4A23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4DFF5AA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附加条件</w:t>
            </w:r>
          </w:p>
        </w:tc>
        <w:tc>
          <w:tcPr>
            <w:tcW w:w="3794" w:type="dxa"/>
            <w:vAlign w:val="center"/>
          </w:tcPr>
          <w:p w14:paraId="6903388F">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响应文件未含有采购人不能接受的附加条件</w:t>
            </w:r>
            <w:r>
              <w:rPr>
                <w:rFonts w:hint="eastAsia" w:ascii="仿宋" w:hAnsi="仿宋" w:eastAsia="仿宋" w:cs="仿宋"/>
                <w:color w:val="auto"/>
                <w:sz w:val="24"/>
                <w:szCs w:val="24"/>
                <w:highlight w:val="none"/>
                <w:lang w:eastAsia="zh-CN"/>
              </w:rPr>
              <w:t>，并提供书面承诺</w:t>
            </w:r>
            <w:r>
              <w:rPr>
                <w:rFonts w:hint="eastAsia" w:ascii="仿宋" w:hAnsi="仿宋" w:eastAsia="仿宋" w:cs="仿宋"/>
                <w:sz w:val="24"/>
                <w:szCs w:val="24"/>
                <w:lang w:eastAsia="zh-CN"/>
              </w:rPr>
              <w:t>。</w:t>
            </w:r>
          </w:p>
        </w:tc>
        <w:tc>
          <w:tcPr>
            <w:tcW w:w="2983" w:type="dxa"/>
            <w:vAlign w:val="center"/>
          </w:tcPr>
          <w:p w14:paraId="6D911381">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lang w:eastAsia="zh-CN"/>
              </w:rPr>
              <w:t>提供书面承诺</w:t>
            </w:r>
          </w:p>
        </w:tc>
      </w:tr>
      <w:tr w14:paraId="6CCB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980" w:type="dxa"/>
            <w:vMerge w:val="continue"/>
            <w:vAlign w:val="center"/>
          </w:tcPr>
          <w:p w14:paraId="32311FD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730" w:type="dxa"/>
            <w:vMerge w:val="continue"/>
            <w:vAlign w:val="center"/>
          </w:tcPr>
          <w:p w14:paraId="48DC7BDF">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center"/>
          </w:tcPr>
          <w:p w14:paraId="027BF017">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其他无效情形</w:t>
            </w:r>
          </w:p>
        </w:tc>
        <w:tc>
          <w:tcPr>
            <w:tcW w:w="3794" w:type="dxa"/>
            <w:vAlign w:val="center"/>
          </w:tcPr>
          <w:p w14:paraId="7B3DDCEE">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供应商、响应文件不存在不符合法律、法规和采购文件规定的其它无效情形</w:t>
            </w:r>
            <w:r>
              <w:rPr>
                <w:rFonts w:hint="eastAsia" w:ascii="仿宋" w:hAnsi="仿宋" w:eastAsia="仿宋" w:cs="仿宋"/>
                <w:color w:val="auto"/>
                <w:sz w:val="24"/>
                <w:szCs w:val="24"/>
                <w:highlight w:val="none"/>
                <w:lang w:eastAsia="zh-CN"/>
              </w:rPr>
              <w:t>，并提供书面承诺。</w:t>
            </w:r>
          </w:p>
        </w:tc>
        <w:tc>
          <w:tcPr>
            <w:tcW w:w="2983" w:type="dxa"/>
            <w:vAlign w:val="center"/>
          </w:tcPr>
          <w:p w14:paraId="4E974372">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lang w:eastAsia="zh-CN"/>
              </w:rPr>
              <w:t>提供书面承诺</w:t>
            </w:r>
          </w:p>
        </w:tc>
      </w:tr>
      <w:tr w14:paraId="0592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980" w:type="dxa"/>
            <w:vAlign w:val="center"/>
          </w:tcPr>
          <w:p w14:paraId="679FE895">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730" w:type="dxa"/>
            <w:vMerge w:val="continue"/>
            <w:vAlign w:val="center"/>
          </w:tcPr>
          <w:p w14:paraId="7FA4B49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31FED80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4330FEB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报价合理性</w:t>
            </w:r>
          </w:p>
        </w:tc>
        <w:tc>
          <w:tcPr>
            <w:tcW w:w="3794" w:type="dxa"/>
            <w:vAlign w:val="top"/>
          </w:tcPr>
          <w:p w14:paraId="299E16E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报价合理，或供应商的报价明显低于其他通过符合性审查供应商的报价，有可能影响产品质量或者不能诚信履约的，能够应评标委员会要求在规定时间内证明其报价合理性的；并提供书面承诺。</w:t>
            </w:r>
          </w:p>
        </w:tc>
        <w:tc>
          <w:tcPr>
            <w:tcW w:w="2983" w:type="dxa"/>
            <w:vAlign w:val="top"/>
          </w:tcPr>
          <w:p w14:paraId="76B8D5D3">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290EB893">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720" w:firstLineChars="3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提供书面承诺</w:t>
            </w:r>
          </w:p>
        </w:tc>
      </w:tr>
      <w:tr w14:paraId="22D0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980" w:type="dxa"/>
            <w:vAlign w:val="center"/>
          </w:tcPr>
          <w:p w14:paraId="0F88CF5A">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730" w:type="dxa"/>
            <w:vAlign w:val="center"/>
          </w:tcPr>
          <w:p w14:paraId="2D7C3B79">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2F30C580">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62F2490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公平竞争</w:t>
            </w:r>
          </w:p>
        </w:tc>
        <w:tc>
          <w:tcPr>
            <w:tcW w:w="3794" w:type="dxa"/>
            <w:vAlign w:val="top"/>
          </w:tcPr>
          <w:p w14:paraId="283AD23F">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投标</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遵循公平竞争的原则，不存在恶意串通，妨碍其他投标</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的竞争行为，不存在损害采购人或者其他投标</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的合法权益情形的；并提供书面承诺。</w:t>
            </w:r>
          </w:p>
        </w:tc>
        <w:tc>
          <w:tcPr>
            <w:tcW w:w="2983" w:type="dxa"/>
            <w:vAlign w:val="top"/>
          </w:tcPr>
          <w:p w14:paraId="09859B60">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104DC50F">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并提供书面承诺</w:t>
            </w:r>
          </w:p>
        </w:tc>
      </w:tr>
      <w:tr w14:paraId="2BDB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980" w:type="dxa"/>
            <w:vAlign w:val="center"/>
          </w:tcPr>
          <w:p w14:paraId="5FBAB08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730" w:type="dxa"/>
            <w:vAlign w:val="center"/>
          </w:tcPr>
          <w:p w14:paraId="5F506FE7">
            <w:pPr>
              <w:keepNext w:val="0"/>
              <w:keepLines w:val="0"/>
              <w:pageBreakBefore w:val="0"/>
              <w:kinsoku/>
              <w:wordWrap/>
              <w:overflowPunct/>
              <w:topLinePunct w:val="0"/>
              <w:bidi w:val="0"/>
              <w:adjustRightInd/>
              <w:snapToGrid/>
              <w:spacing w:beforeAutospacing="0" w:afterAutospacing="0" w:line="440" w:lineRule="exact"/>
              <w:jc w:val="center"/>
              <w:textAlignment w:val="auto"/>
              <w:rPr>
                <w:rFonts w:hint="eastAsia" w:ascii="仿宋" w:hAnsi="仿宋" w:eastAsia="仿宋" w:cs="仿宋"/>
                <w:sz w:val="24"/>
                <w:szCs w:val="24"/>
                <w:lang w:eastAsia="zh-CN"/>
              </w:rPr>
            </w:pPr>
          </w:p>
        </w:tc>
        <w:tc>
          <w:tcPr>
            <w:tcW w:w="1827" w:type="dxa"/>
            <w:vAlign w:val="top"/>
          </w:tcPr>
          <w:p w14:paraId="20D601B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4DE0ACC4">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1A47348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串通投标</w:t>
            </w:r>
          </w:p>
        </w:tc>
        <w:tc>
          <w:tcPr>
            <w:tcW w:w="3794" w:type="dxa"/>
            <w:vAlign w:val="top"/>
          </w:tcPr>
          <w:p w14:paraId="181CC93B">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 四）不同投标人的投标文件异常一致或者投标报价呈规律 性差异；（五）不同投标人的投标文件相互混装；（六）不同投标人的投标保证金从同一单位或者个人的账户转出；并提供书面承诺。</w:t>
            </w:r>
          </w:p>
        </w:tc>
        <w:tc>
          <w:tcPr>
            <w:tcW w:w="2983" w:type="dxa"/>
            <w:vAlign w:val="top"/>
          </w:tcPr>
          <w:p w14:paraId="0944B52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73A42911">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eastAsia="zh-CN"/>
              </w:rPr>
            </w:pPr>
          </w:p>
          <w:p w14:paraId="7A21DFF5">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并提供书面承诺</w:t>
            </w:r>
          </w:p>
        </w:tc>
      </w:tr>
    </w:tbl>
    <w:p w14:paraId="7577FAB2">
      <w:pPr>
        <w:tabs>
          <w:tab w:val="left" w:pos="900"/>
          <w:tab w:val="left" w:pos="1080"/>
          <w:tab w:val="left" w:pos="1589"/>
        </w:tabs>
        <w:snapToGrid w:val="0"/>
        <w:spacing w:line="360" w:lineRule="auto"/>
        <w:ind w:leftChars="-170" w:hanging="355" w:hangingChars="148"/>
        <w:jc w:val="center"/>
        <w:rPr>
          <w:rFonts w:hint="eastAsia" w:ascii="仿宋" w:hAnsi="仿宋" w:eastAsia="仿宋" w:cs="仿宋"/>
          <w:b/>
          <w:bCs w:val="0"/>
          <w:color w:val="auto"/>
          <w:sz w:val="28"/>
          <w:szCs w:val="28"/>
          <w:highlight w:val="none"/>
          <w:lang w:val="en-US"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b/>
          <w:color w:val="auto"/>
          <w:sz w:val="24"/>
          <w:highlight w:val="none"/>
          <w:lang w:val="en-US" w:eastAsia="zh-CN"/>
        </w:rPr>
        <w:t>报价符合性审查</w:t>
      </w:r>
    </w:p>
    <w:tbl>
      <w:tblPr>
        <w:tblStyle w:val="25"/>
        <w:tblW w:w="9540"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112"/>
        <w:gridCol w:w="6588"/>
      </w:tblGrid>
      <w:tr w14:paraId="63CBE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40" w:type="dxa"/>
            <w:noWrap w:val="0"/>
            <w:vAlign w:val="center"/>
          </w:tcPr>
          <w:p w14:paraId="050FED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vertAlign w:val="baseline"/>
                <w:lang w:val="en-US" w:eastAsia="zh-CN"/>
              </w:rPr>
              <w:t>序号</w:t>
            </w:r>
          </w:p>
        </w:tc>
        <w:tc>
          <w:tcPr>
            <w:tcW w:w="2112" w:type="dxa"/>
            <w:noWrap w:val="0"/>
            <w:vAlign w:val="center"/>
          </w:tcPr>
          <w:p w14:paraId="06442E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vertAlign w:val="baseline"/>
                <w:lang w:val="en-US" w:eastAsia="zh-CN"/>
              </w:rPr>
              <w:t>评审因素</w:t>
            </w:r>
          </w:p>
        </w:tc>
        <w:tc>
          <w:tcPr>
            <w:tcW w:w="6588" w:type="dxa"/>
            <w:noWrap w:val="0"/>
            <w:vAlign w:val="center"/>
          </w:tcPr>
          <w:p w14:paraId="17AEFC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vertAlign w:val="baseline"/>
                <w:lang w:val="en-US" w:eastAsia="zh-CN"/>
              </w:rPr>
              <w:t>评审标准</w:t>
            </w:r>
          </w:p>
        </w:tc>
      </w:tr>
      <w:tr w14:paraId="63F5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840" w:type="dxa"/>
            <w:noWrap w:val="0"/>
            <w:vAlign w:val="center"/>
          </w:tcPr>
          <w:p w14:paraId="1B78D1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Cs/>
                <w:color w:val="auto"/>
                <w:sz w:val="24"/>
                <w:szCs w:val="24"/>
                <w:highlight w:val="none"/>
                <w:vertAlign w:val="baseline"/>
                <w:lang w:val="en-US" w:eastAsia="zh-CN"/>
              </w:rPr>
              <w:t>1</w:t>
            </w:r>
          </w:p>
        </w:tc>
        <w:tc>
          <w:tcPr>
            <w:tcW w:w="2112" w:type="dxa"/>
            <w:noWrap w:val="0"/>
            <w:vAlign w:val="center"/>
          </w:tcPr>
          <w:p w14:paraId="0A1E2A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Cs/>
                <w:color w:val="auto"/>
                <w:sz w:val="24"/>
                <w:szCs w:val="24"/>
                <w:highlight w:val="none"/>
                <w:vertAlign w:val="baseline"/>
                <w:lang w:val="en-US" w:eastAsia="zh-CN"/>
              </w:rPr>
              <w:t>有效报价</w:t>
            </w:r>
          </w:p>
        </w:tc>
        <w:tc>
          <w:tcPr>
            <w:tcW w:w="6588" w:type="dxa"/>
            <w:noWrap w:val="0"/>
            <w:vAlign w:val="center"/>
          </w:tcPr>
          <w:p w14:paraId="123DAA7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Cs/>
                <w:color w:val="auto"/>
                <w:sz w:val="24"/>
                <w:szCs w:val="24"/>
                <w:highlight w:val="none"/>
              </w:rPr>
              <w:t>报价符合</w:t>
            </w:r>
            <w:r>
              <w:rPr>
                <w:rFonts w:hint="eastAsia" w:ascii="仿宋" w:hAnsi="仿宋" w:eastAsia="仿宋" w:cs="仿宋"/>
                <w:bCs/>
                <w:color w:val="auto"/>
                <w:sz w:val="24"/>
                <w:szCs w:val="24"/>
                <w:highlight w:val="none"/>
                <w:lang w:val="en-US" w:eastAsia="zh-CN"/>
              </w:rPr>
              <w:t>采购文件</w:t>
            </w:r>
            <w:r>
              <w:rPr>
                <w:rFonts w:hint="eastAsia" w:ascii="仿宋" w:hAnsi="仿宋" w:eastAsia="仿宋" w:cs="仿宋"/>
                <w:bCs/>
                <w:color w:val="auto"/>
                <w:sz w:val="24"/>
                <w:szCs w:val="24"/>
                <w:highlight w:val="none"/>
              </w:rPr>
              <w:t>第二章“</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须知”的要求。</w:t>
            </w:r>
          </w:p>
        </w:tc>
      </w:tr>
      <w:tr w14:paraId="09DC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center"/>
          </w:tcPr>
          <w:p w14:paraId="599F61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Cs/>
                <w:color w:val="auto"/>
                <w:sz w:val="24"/>
                <w:szCs w:val="24"/>
                <w:highlight w:val="none"/>
                <w:vertAlign w:val="baseline"/>
                <w:lang w:val="en-US" w:eastAsia="zh-CN"/>
              </w:rPr>
              <w:t>2</w:t>
            </w:r>
          </w:p>
        </w:tc>
        <w:tc>
          <w:tcPr>
            <w:tcW w:w="2112" w:type="dxa"/>
            <w:noWrap w:val="0"/>
            <w:vAlign w:val="center"/>
          </w:tcPr>
          <w:p w14:paraId="7CE264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Cs/>
                <w:color w:val="auto"/>
                <w:sz w:val="24"/>
                <w:szCs w:val="24"/>
                <w:highlight w:val="none"/>
                <w:vertAlign w:val="baseline"/>
                <w:lang w:val="en-US" w:eastAsia="zh-CN"/>
              </w:rPr>
              <w:t>异常低价投标评审</w:t>
            </w:r>
          </w:p>
        </w:tc>
        <w:tc>
          <w:tcPr>
            <w:tcW w:w="6588" w:type="dxa"/>
            <w:noWrap w:val="0"/>
            <w:vAlign w:val="center"/>
          </w:tcPr>
          <w:p w14:paraId="553795C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ascii="仿宋" w:hAnsi="仿宋" w:eastAsia="仿宋" w:cs="仿宋"/>
                <w:b w:val="0"/>
                <w:bCs w:val="0"/>
                <w:i w:val="0"/>
                <w:iCs w:val="0"/>
                <w:color w:val="auto"/>
                <w:spacing w:val="0"/>
                <w:w w:val="100"/>
                <w:sz w:val="24"/>
                <w:szCs w:val="24"/>
                <w:highlight w:val="none"/>
                <w:vertAlign w:val="baseline"/>
              </w:rPr>
              <w:t>政府采购评审中出现下列情形之一的，评标委员会应当启动异常低价投标审查程序：</w:t>
            </w:r>
          </w:p>
          <w:p w14:paraId="4782D41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hint="eastAsia" w:ascii="仿宋" w:hAnsi="仿宋" w:eastAsia="仿宋" w:cs="仿宋"/>
                <w:b w:val="0"/>
                <w:bCs w:val="0"/>
                <w:i w:val="0"/>
                <w:iCs w:val="0"/>
                <w:color w:val="auto"/>
                <w:spacing w:val="0"/>
                <w:w w:val="100"/>
                <w:sz w:val="24"/>
                <w:szCs w:val="24"/>
                <w:highlight w:val="none"/>
                <w:vertAlign w:val="baseline"/>
              </w:rPr>
              <w:t>（1）投标报价低于全部通过符合性审查供应商投标报价平均值50%的，即投标报价＜全部通过符合性审查供应商投标报价平均值×50%；</w:t>
            </w:r>
          </w:p>
          <w:p w14:paraId="52E78CF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hint="eastAsia" w:ascii="仿宋" w:hAnsi="仿宋" w:eastAsia="仿宋" w:cs="仿宋"/>
                <w:b w:val="0"/>
                <w:bCs w:val="0"/>
                <w:i w:val="0"/>
                <w:iCs w:val="0"/>
                <w:color w:val="auto"/>
                <w:spacing w:val="0"/>
                <w:w w:val="100"/>
                <w:sz w:val="24"/>
                <w:szCs w:val="24"/>
                <w:highlight w:val="none"/>
                <w:vertAlign w:val="baseline"/>
              </w:rPr>
              <w:t>（2）投标报价低于通过符合性审查的次低报价供应商投标报价50%的，即投标报价＜通过符合性审查的次低报价供应商投标报价×50%；</w:t>
            </w:r>
          </w:p>
          <w:p w14:paraId="1E00B57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hint="eastAsia" w:ascii="仿宋" w:hAnsi="仿宋" w:eastAsia="仿宋" w:cs="仿宋"/>
                <w:b w:val="0"/>
                <w:bCs w:val="0"/>
                <w:i w:val="0"/>
                <w:iCs w:val="0"/>
                <w:color w:val="auto"/>
                <w:spacing w:val="0"/>
                <w:w w:val="100"/>
                <w:sz w:val="24"/>
                <w:szCs w:val="24"/>
                <w:highlight w:val="none"/>
                <w:vertAlign w:val="baseline"/>
              </w:rPr>
              <w:t>（3）投标报价低于采购项目最高限价45%的，即投标报价＜采购项目最高限价×45%；</w:t>
            </w:r>
          </w:p>
          <w:p w14:paraId="70A11A6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hint="eastAsia" w:ascii="仿宋" w:hAnsi="仿宋" w:eastAsia="仿宋" w:cs="仿宋"/>
                <w:b w:val="0"/>
                <w:bCs w:val="0"/>
                <w:i w:val="0"/>
                <w:iCs w:val="0"/>
                <w:color w:val="auto"/>
                <w:spacing w:val="0"/>
                <w:w w:val="100"/>
                <w:sz w:val="24"/>
                <w:szCs w:val="24"/>
                <w:highlight w:val="none"/>
                <w:vertAlign w:val="baseline"/>
              </w:rPr>
              <w:t>（4）评标委员会基于专业判断，认为供应商报价过低，有可能影响产品质量或者不能诚信履约的其他情形。</w:t>
            </w:r>
          </w:p>
          <w:p w14:paraId="3468231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color w:val="auto"/>
                <w:sz w:val="24"/>
                <w:szCs w:val="24"/>
                <w:highlight w:val="none"/>
              </w:rPr>
            </w:pPr>
            <w:r>
              <w:rPr>
                <w:rFonts w:hint="eastAsia" w:ascii="仿宋" w:hAnsi="仿宋" w:eastAsia="仿宋" w:cs="仿宋"/>
                <w:b w:val="0"/>
                <w:bCs w:val="0"/>
                <w:i w:val="0"/>
                <w:iCs w:val="0"/>
                <w:color w:val="auto"/>
                <w:spacing w:val="0"/>
                <w:w w:val="100"/>
                <w:sz w:val="24"/>
                <w:szCs w:val="24"/>
                <w:highlight w:val="none"/>
                <w:vertAlign w:val="baseline"/>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仿宋" w:hAnsi="仿宋" w:eastAsia="仿宋" w:cs="仿宋"/>
                <w:b/>
                <w:bCs/>
                <w:i w:val="0"/>
                <w:iCs w:val="0"/>
                <w:color w:val="auto"/>
                <w:spacing w:val="0"/>
                <w:w w:val="100"/>
                <w:sz w:val="24"/>
                <w:szCs w:val="24"/>
                <w:highlight w:val="none"/>
                <w:u w:val="single"/>
                <w:vertAlign w:val="baseline"/>
              </w:rPr>
              <w:t>给予相关供应商的合理时间为30分钟</w:t>
            </w:r>
            <w:r>
              <w:rPr>
                <w:rFonts w:hint="eastAsia" w:ascii="仿宋" w:hAnsi="仿宋" w:eastAsia="仿宋" w:cs="仿宋"/>
                <w:b w:val="0"/>
                <w:bCs w:val="0"/>
                <w:i w:val="0"/>
                <w:iCs w:val="0"/>
                <w:color w:val="auto"/>
                <w:spacing w:val="0"/>
                <w:w w:val="100"/>
                <w:sz w:val="24"/>
                <w:szCs w:val="24"/>
                <w:highlight w:val="none"/>
                <w:vertAlign w:val="baseline"/>
              </w:rPr>
              <w:t>。其中，属于第（3）项情形，供应商已随投标文件一并提交相关书面说明及必要的证明材料的，在评审现场可不再重复提交。</w:t>
            </w:r>
          </w:p>
          <w:p w14:paraId="1E08080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rFonts w:hint="default" w:ascii="仿宋" w:hAnsi="仿宋" w:eastAsia="仿宋" w:cs="仿宋"/>
                <w:bCs/>
                <w:color w:val="auto"/>
                <w:sz w:val="24"/>
                <w:szCs w:val="24"/>
                <w:highlight w:val="none"/>
                <w:vertAlign w:val="baseline"/>
                <w:lang w:val="en-US" w:eastAsia="zh-CN"/>
              </w:rPr>
            </w:pPr>
            <w:r>
              <w:rPr>
                <w:rFonts w:hint="eastAsia" w:ascii="仿宋" w:hAnsi="仿宋" w:eastAsia="仿宋" w:cs="仿宋"/>
                <w:b w:val="0"/>
                <w:bCs w:val="0"/>
                <w:i w:val="0"/>
                <w:iCs w:val="0"/>
                <w:color w:val="auto"/>
                <w:spacing w:val="0"/>
                <w:w w:val="100"/>
                <w:sz w:val="24"/>
                <w:szCs w:val="24"/>
                <w:highlight w:val="none"/>
                <w:vertAlign w:val="baseline"/>
              </w:rPr>
              <w:t>评标委员会依据专业经验，参考同类项目中标（成交）价格、类似项目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投标处理。</w:t>
            </w:r>
          </w:p>
        </w:tc>
      </w:tr>
    </w:tbl>
    <w:p w14:paraId="3F4056F7">
      <w:pPr>
        <w:shd w:val="clear" w:color="auto" w:fill="auto"/>
        <w:wordWrap w:val="0"/>
        <w:spacing w:after="156" w:afterLines="50" w:line="500" w:lineRule="exact"/>
        <w:ind w:firstLine="480" w:firstLineChars="200"/>
        <w:jc w:val="left"/>
        <w:outlineLvl w:val="9"/>
        <w:rPr>
          <w:rFonts w:hint="eastAsia" w:ascii="仿宋" w:hAnsi="仿宋" w:eastAsia="仿宋" w:cs="仿宋"/>
          <w:color w:val="auto"/>
          <w:sz w:val="24"/>
          <w:szCs w:val="24"/>
          <w:highlight w:val="none"/>
          <w:lang w:eastAsia="zh-CN"/>
        </w:rPr>
      </w:pPr>
    </w:p>
    <w:tbl>
      <w:tblPr>
        <w:tblStyle w:val="24"/>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972"/>
        <w:gridCol w:w="1563"/>
        <w:gridCol w:w="6422"/>
        <w:gridCol w:w="942"/>
      </w:tblGrid>
      <w:tr w14:paraId="19B4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8" w:hRule="atLeast"/>
          <w:jc w:val="center"/>
        </w:trPr>
        <w:tc>
          <w:tcPr>
            <w:tcW w:w="2535" w:type="dxa"/>
            <w:gridSpan w:val="2"/>
            <w:tcBorders>
              <w:bottom w:val="single" w:color="auto" w:sz="4" w:space="0"/>
            </w:tcBorders>
            <w:noWrap w:val="0"/>
            <w:vAlign w:val="center"/>
          </w:tcPr>
          <w:p w14:paraId="06A0C122">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条款内容</w:t>
            </w:r>
          </w:p>
        </w:tc>
        <w:tc>
          <w:tcPr>
            <w:tcW w:w="7364" w:type="dxa"/>
            <w:gridSpan w:val="2"/>
            <w:tcBorders>
              <w:bottom w:val="single" w:color="auto" w:sz="4" w:space="0"/>
            </w:tcBorders>
            <w:noWrap w:val="0"/>
            <w:vAlign w:val="center"/>
          </w:tcPr>
          <w:p w14:paraId="7E559270">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编列内容</w:t>
            </w:r>
          </w:p>
        </w:tc>
      </w:tr>
      <w:tr w14:paraId="0CD0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2535" w:type="dxa"/>
            <w:gridSpan w:val="2"/>
            <w:vMerge w:val="restart"/>
            <w:noWrap w:val="0"/>
            <w:vAlign w:val="center"/>
          </w:tcPr>
          <w:p w14:paraId="4BF3E990">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分值构成</w:t>
            </w:r>
          </w:p>
          <w:p w14:paraId="60C993AB">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（满分100分）</w:t>
            </w:r>
          </w:p>
        </w:tc>
        <w:tc>
          <w:tcPr>
            <w:tcW w:w="7364" w:type="dxa"/>
            <w:gridSpan w:val="2"/>
            <w:tcBorders>
              <w:bottom w:val="single" w:color="auto" w:sz="4" w:space="0"/>
            </w:tcBorders>
            <w:noWrap w:val="0"/>
            <w:vAlign w:val="center"/>
          </w:tcPr>
          <w:p w14:paraId="563ECA6E">
            <w:pPr>
              <w:keepNext w:val="0"/>
              <w:keepLines w:val="0"/>
              <w:pageBreakBefore w:val="0"/>
              <w:widowControl w:val="0"/>
              <w:kinsoku/>
              <w:wordWrap w:val="0"/>
              <w:overflowPunct/>
              <w:topLinePunct w:val="0"/>
              <w:autoSpaceDE/>
              <w:autoSpaceDN/>
              <w:bidi w:val="0"/>
              <w:adjustRightInd/>
              <w:spacing w:line="340" w:lineRule="exact"/>
              <w:ind w:left="0" w:right="0" w:rightChars="0"/>
              <w:textAlignment w:val="auto"/>
              <w:outlineLvl w:val="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供应商的评审总得分分别为技术部分、商务部分、报价部分3项评分因素的汇总得分；分值保留小数点后两位，第三位四舍五入。</w:t>
            </w:r>
          </w:p>
        </w:tc>
      </w:tr>
      <w:tr w14:paraId="6064B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5" w:hRule="atLeast"/>
          <w:jc w:val="center"/>
        </w:trPr>
        <w:tc>
          <w:tcPr>
            <w:tcW w:w="2535" w:type="dxa"/>
            <w:gridSpan w:val="2"/>
            <w:vMerge w:val="continue"/>
            <w:tcBorders>
              <w:bottom w:val="single" w:color="auto" w:sz="4" w:space="0"/>
            </w:tcBorders>
            <w:noWrap w:val="0"/>
            <w:vAlign w:val="center"/>
          </w:tcPr>
          <w:p w14:paraId="153E6C98">
            <w:pPr>
              <w:keepNext w:val="0"/>
              <w:keepLines w:val="0"/>
              <w:pageBreakBefore w:val="0"/>
              <w:widowControl w:val="0"/>
              <w:kinsoku/>
              <w:wordWrap w:val="0"/>
              <w:overflowPunct/>
              <w:topLinePunct w:val="0"/>
              <w:autoSpaceDE/>
              <w:autoSpaceDN/>
              <w:bidi w:val="0"/>
              <w:adjustRightInd/>
              <w:spacing w:line="340" w:lineRule="exact"/>
              <w:ind w:left="0" w:right="0" w:rightChars="0"/>
              <w:textAlignment w:val="auto"/>
              <w:outlineLvl w:val="9"/>
              <w:rPr>
                <w:rFonts w:hint="eastAsia" w:ascii="仿宋" w:hAnsi="仿宋" w:eastAsia="仿宋" w:cs="仿宋"/>
                <w:color w:val="000000"/>
                <w:sz w:val="24"/>
                <w:szCs w:val="24"/>
                <w:highlight w:val="none"/>
                <w:lang w:val="zh-CN"/>
              </w:rPr>
            </w:pPr>
          </w:p>
        </w:tc>
        <w:tc>
          <w:tcPr>
            <w:tcW w:w="7364" w:type="dxa"/>
            <w:gridSpan w:val="2"/>
            <w:tcBorders>
              <w:bottom w:val="single" w:color="auto" w:sz="4" w:space="0"/>
            </w:tcBorders>
            <w:noWrap w:val="0"/>
            <w:vAlign w:val="center"/>
          </w:tcPr>
          <w:p w14:paraId="3D99A980">
            <w:pPr>
              <w:keepNext w:val="0"/>
              <w:keepLines w:val="0"/>
              <w:pageBreakBefore w:val="0"/>
              <w:widowControl w:val="0"/>
              <w:kinsoku/>
              <w:wordWrap w:val="0"/>
              <w:overflowPunct/>
              <w:topLinePunct w:val="0"/>
              <w:autoSpaceDE/>
              <w:autoSpaceDN/>
              <w:bidi w:val="0"/>
              <w:adjustRightInd/>
              <w:spacing w:line="340" w:lineRule="exact"/>
              <w:ind w:left="0" w:right="0" w:rightChars="0"/>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技术部分：</w:t>
            </w:r>
            <w:r>
              <w:rPr>
                <w:rFonts w:hint="eastAsia" w:ascii="仿宋" w:hAnsi="仿宋" w:eastAsia="仿宋" w:cs="仿宋"/>
                <w:color w:val="000000"/>
                <w:sz w:val="24"/>
                <w:szCs w:val="24"/>
                <w:highlight w:val="none"/>
                <w:lang w:val="en-US" w:eastAsia="zh-CN"/>
              </w:rPr>
              <w:t>74</w:t>
            </w:r>
            <w:r>
              <w:rPr>
                <w:rFonts w:hint="eastAsia" w:ascii="仿宋" w:hAnsi="仿宋" w:eastAsia="仿宋" w:cs="仿宋"/>
                <w:color w:val="000000"/>
                <w:sz w:val="24"/>
                <w:szCs w:val="24"/>
                <w:highlight w:val="none"/>
              </w:rPr>
              <w:t>分。</w:t>
            </w:r>
          </w:p>
          <w:p w14:paraId="7916EE26">
            <w:pPr>
              <w:keepNext w:val="0"/>
              <w:keepLines w:val="0"/>
              <w:pageBreakBefore w:val="0"/>
              <w:widowControl w:val="0"/>
              <w:kinsoku/>
              <w:wordWrap w:val="0"/>
              <w:overflowPunct/>
              <w:topLinePunct w:val="0"/>
              <w:autoSpaceDE/>
              <w:autoSpaceDN/>
              <w:bidi w:val="0"/>
              <w:adjustRightInd/>
              <w:spacing w:line="340" w:lineRule="exact"/>
              <w:ind w:left="0" w:right="0" w:rightChars="0"/>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商务部分：</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分。</w:t>
            </w:r>
          </w:p>
          <w:p w14:paraId="2B6B4BFA">
            <w:pPr>
              <w:keepNext w:val="0"/>
              <w:keepLines w:val="0"/>
              <w:pageBreakBefore w:val="0"/>
              <w:widowControl w:val="0"/>
              <w:kinsoku/>
              <w:wordWrap w:val="0"/>
              <w:overflowPunct/>
              <w:topLinePunct w:val="0"/>
              <w:autoSpaceDE/>
              <w:autoSpaceDN/>
              <w:bidi w:val="0"/>
              <w:adjustRightInd/>
              <w:spacing w:line="340" w:lineRule="exact"/>
              <w:ind w:left="0" w:right="0" w:rightChars="0"/>
              <w:textAlignment w:val="auto"/>
              <w:outlineLvl w:val="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报价部分：</w:t>
            </w:r>
            <w:r>
              <w:rPr>
                <w:rFonts w:hint="eastAsia" w:ascii="仿宋" w:hAnsi="仿宋" w:eastAsia="仿宋" w:cs="仿宋"/>
                <w:color w:val="000000"/>
                <w:sz w:val="24"/>
                <w:szCs w:val="24"/>
                <w:highlight w:val="none"/>
                <w:lang w:val="en-US" w:eastAsia="zh-CN"/>
              </w:rPr>
              <w:t>20</w:t>
            </w:r>
            <w:r>
              <w:rPr>
                <w:rFonts w:hint="eastAsia" w:ascii="仿宋" w:hAnsi="仿宋" w:eastAsia="仿宋" w:cs="仿宋"/>
                <w:color w:val="000000"/>
                <w:sz w:val="24"/>
                <w:szCs w:val="24"/>
                <w:highlight w:val="none"/>
              </w:rPr>
              <w:t>分。</w:t>
            </w:r>
          </w:p>
        </w:tc>
      </w:tr>
      <w:tr w14:paraId="1A50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 w:hRule="atLeast"/>
          <w:jc w:val="center"/>
        </w:trPr>
        <w:tc>
          <w:tcPr>
            <w:tcW w:w="2535" w:type="dxa"/>
            <w:gridSpan w:val="2"/>
            <w:tcBorders>
              <w:top w:val="single" w:color="auto" w:sz="4" w:space="0"/>
              <w:left w:val="single" w:color="auto" w:sz="4" w:space="0"/>
              <w:bottom w:val="single" w:color="auto" w:sz="4" w:space="0"/>
              <w:right w:val="single" w:color="auto" w:sz="4" w:space="0"/>
            </w:tcBorders>
            <w:noWrap w:val="0"/>
            <w:vAlign w:val="center"/>
          </w:tcPr>
          <w:p w14:paraId="60F69196">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评</w:t>
            </w:r>
            <w:r>
              <w:rPr>
                <w:rFonts w:hint="eastAsia" w:ascii="仿宋" w:hAnsi="仿宋" w:eastAsia="仿宋" w:cs="仿宋"/>
                <w:b/>
                <w:bCs/>
                <w:color w:val="000000"/>
                <w:sz w:val="24"/>
                <w:szCs w:val="24"/>
                <w:highlight w:val="none"/>
                <w:lang w:val="en-US" w:eastAsia="zh-CN"/>
              </w:rPr>
              <w:t>审</w:t>
            </w:r>
            <w:r>
              <w:rPr>
                <w:rFonts w:hint="eastAsia" w:ascii="仿宋" w:hAnsi="仿宋" w:eastAsia="仿宋" w:cs="仿宋"/>
                <w:b/>
                <w:bCs/>
                <w:color w:val="000000"/>
                <w:sz w:val="24"/>
                <w:szCs w:val="24"/>
                <w:highlight w:val="none"/>
              </w:rPr>
              <w:t>因素</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3021600D">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评</w:t>
            </w:r>
            <w:r>
              <w:rPr>
                <w:rFonts w:hint="eastAsia" w:ascii="仿宋" w:hAnsi="仿宋" w:eastAsia="仿宋" w:cs="仿宋"/>
                <w:b/>
                <w:bCs/>
                <w:color w:val="000000"/>
                <w:sz w:val="24"/>
                <w:szCs w:val="24"/>
                <w:highlight w:val="none"/>
                <w:lang w:val="en-US" w:eastAsia="zh-CN"/>
              </w:rPr>
              <w:t>审</w:t>
            </w:r>
            <w:r>
              <w:rPr>
                <w:rFonts w:hint="eastAsia" w:ascii="仿宋" w:hAnsi="仿宋" w:eastAsia="仿宋" w:cs="仿宋"/>
                <w:b/>
                <w:bCs/>
                <w:color w:val="000000"/>
                <w:sz w:val="24"/>
                <w:szCs w:val="24"/>
                <w:highlight w:val="none"/>
              </w:rPr>
              <w:t>标准</w:t>
            </w:r>
          </w:p>
        </w:tc>
        <w:tc>
          <w:tcPr>
            <w:tcW w:w="942" w:type="dxa"/>
            <w:tcBorders>
              <w:top w:val="single" w:color="auto" w:sz="4" w:space="0"/>
              <w:left w:val="single" w:color="auto" w:sz="4" w:space="0"/>
              <w:right w:val="single" w:color="auto" w:sz="4" w:space="0"/>
            </w:tcBorders>
            <w:noWrap w:val="0"/>
            <w:vAlign w:val="center"/>
          </w:tcPr>
          <w:p w14:paraId="22B62BEC">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得分</w:t>
            </w:r>
          </w:p>
          <w:p w14:paraId="0F6321A3">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标准</w:t>
            </w:r>
          </w:p>
        </w:tc>
      </w:tr>
      <w:tr w14:paraId="68C6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40" w:hRule="atLeast"/>
          <w:jc w:val="center"/>
        </w:trPr>
        <w:tc>
          <w:tcPr>
            <w:tcW w:w="972" w:type="dxa"/>
            <w:vMerge w:val="restart"/>
            <w:tcBorders>
              <w:left w:val="single" w:color="auto" w:sz="4" w:space="0"/>
              <w:right w:val="single" w:color="auto" w:sz="4" w:space="0"/>
            </w:tcBorders>
            <w:noWrap w:val="0"/>
            <w:vAlign w:val="center"/>
          </w:tcPr>
          <w:p w14:paraId="16B2A2EF">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技术</w:t>
            </w:r>
          </w:p>
          <w:p w14:paraId="0805723E">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部分</w:t>
            </w:r>
          </w:p>
          <w:p w14:paraId="1C4F1FE3">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(74分)</w:t>
            </w:r>
          </w:p>
        </w:tc>
        <w:tc>
          <w:tcPr>
            <w:tcW w:w="1563" w:type="dxa"/>
            <w:tcBorders>
              <w:top w:val="single" w:color="auto" w:sz="4" w:space="0"/>
              <w:left w:val="single" w:color="auto" w:sz="4" w:space="0"/>
              <w:right w:val="single" w:color="auto" w:sz="4" w:space="0"/>
            </w:tcBorders>
            <w:noWrap w:val="0"/>
            <w:vAlign w:val="center"/>
          </w:tcPr>
          <w:p w14:paraId="075B628F">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施工方案与技术措施</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1664D9A9">
            <w:pPr>
              <w:pStyle w:val="48"/>
              <w:spacing w:before="82" w:line="222" w:lineRule="auto"/>
              <w:ind w:left="120"/>
            </w:pPr>
            <w:r>
              <w:rPr>
                <w:b/>
                <w:bCs/>
                <w:spacing w:val="-5"/>
              </w:rPr>
              <w:t>施工方案与技术措施（3</w:t>
            </w:r>
            <w:r>
              <w:rPr>
                <w:rFonts w:hint="eastAsia"/>
                <w:b/>
                <w:bCs/>
                <w:spacing w:val="-5"/>
                <w:lang w:val="en-US" w:eastAsia="zh-CN"/>
              </w:rPr>
              <w:t>0</w:t>
            </w:r>
            <w:r>
              <w:rPr>
                <w:spacing w:val="-30"/>
              </w:rPr>
              <w:t xml:space="preserve"> </w:t>
            </w:r>
            <w:r>
              <w:rPr>
                <w:b/>
                <w:bCs/>
                <w:spacing w:val="-5"/>
              </w:rPr>
              <w:t>分）</w:t>
            </w:r>
          </w:p>
          <w:p w14:paraId="139F8650">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包括以下内容：①项目总体概况；②施工技术准备；③整体施工部署；④主要施工措施；⑤</w:t>
            </w:r>
            <w:r>
              <w:rPr>
                <w:rFonts w:hint="eastAsia" w:ascii="仿宋" w:hAnsi="仿宋" w:eastAsia="仿宋" w:cs="仿宋"/>
                <w:color w:val="auto"/>
                <w:kern w:val="0"/>
                <w:sz w:val="24"/>
                <w:szCs w:val="24"/>
                <w:highlight w:val="none"/>
                <w:lang w:val="en-US" w:eastAsia="zh-CN"/>
              </w:rPr>
              <w:t>重点、难点分析及解决方案</w:t>
            </w:r>
            <w:r>
              <w:rPr>
                <w:rFonts w:hint="eastAsia" w:ascii="仿宋" w:hAnsi="仿宋" w:eastAsia="仿宋" w:cs="仿宋"/>
                <w:snapToGrid w:val="0"/>
                <w:color w:val="auto"/>
                <w:kern w:val="0"/>
                <w:sz w:val="24"/>
                <w:szCs w:val="24"/>
                <w:highlight w:val="none"/>
                <w:lang w:val="en-US" w:eastAsia="zh-CN" w:bidi="ar-SA"/>
              </w:rPr>
              <w:t>。</w:t>
            </w:r>
            <w:r>
              <w:rPr>
                <w:rFonts w:hint="default" w:ascii="仿宋" w:hAnsi="仿宋" w:eastAsia="仿宋" w:cs="仿宋"/>
                <w:color w:val="auto"/>
                <w:sz w:val="24"/>
                <w:szCs w:val="24"/>
                <w:highlight w:val="none"/>
                <w:lang w:val="en-US" w:eastAsia="zh-CN"/>
              </w:rPr>
              <w:t>以上</w:t>
            </w:r>
            <w:r>
              <w:rPr>
                <w:rFonts w:hint="eastAsia" w:ascii="仿宋" w:hAnsi="仿宋" w:eastAsia="仿宋" w:cs="仿宋"/>
                <w:color w:val="auto"/>
                <w:sz w:val="24"/>
                <w:szCs w:val="24"/>
                <w:highlight w:val="none"/>
                <w:lang w:val="en-US" w:eastAsia="zh-CN"/>
              </w:rPr>
              <w:t>五</w:t>
            </w:r>
            <w:r>
              <w:rPr>
                <w:rFonts w:hint="default" w:ascii="仿宋" w:hAnsi="仿宋" w:eastAsia="仿宋" w:cs="仿宋"/>
                <w:color w:val="auto"/>
                <w:sz w:val="24"/>
                <w:szCs w:val="24"/>
                <w:highlight w:val="none"/>
                <w:lang w:val="en-US" w:eastAsia="zh-CN"/>
              </w:rPr>
              <w:t>项内容均阐述完整、具体、没有问题，且满足本项目实际需求的得</w:t>
            </w:r>
            <w:r>
              <w:rPr>
                <w:rFonts w:hint="eastAsia" w:ascii="仿宋" w:hAnsi="仿宋" w:eastAsia="仿宋" w:cs="仿宋"/>
                <w:color w:val="auto"/>
                <w:sz w:val="24"/>
                <w:szCs w:val="24"/>
                <w:highlight w:val="none"/>
                <w:lang w:val="en-US" w:eastAsia="zh-CN"/>
              </w:rPr>
              <w:t>30</w:t>
            </w:r>
            <w:r>
              <w:rPr>
                <w:rFonts w:hint="default" w:ascii="仿宋" w:hAnsi="仿宋" w:eastAsia="仿宋" w:cs="仿宋"/>
                <w:color w:val="auto"/>
                <w:sz w:val="24"/>
                <w:szCs w:val="24"/>
                <w:highlight w:val="none"/>
                <w:lang w:val="en-US" w:eastAsia="zh-CN"/>
              </w:rPr>
              <w:t>分；存在以下问题的，按对应分值进行扣分：</w:t>
            </w:r>
          </w:p>
          <w:p w14:paraId="52F15022">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eastAsia="zh-CN"/>
              </w:rPr>
              <w:t>五</w:t>
            </w:r>
            <w:r>
              <w:rPr>
                <w:rFonts w:hint="default" w:ascii="仿宋" w:hAnsi="仿宋" w:eastAsia="仿宋" w:cs="仿宋"/>
                <w:color w:val="auto"/>
                <w:sz w:val="24"/>
                <w:szCs w:val="24"/>
                <w:highlight w:val="none"/>
                <w:lang w:val="en-US" w:eastAsia="zh-CN"/>
              </w:rPr>
              <w:t>项内容中，内容有明显错误或逻辑混乱或不具体的，每有一处扣1分；</w:t>
            </w:r>
          </w:p>
          <w:p w14:paraId="2014F0B4">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en-US" w:eastAsia="zh-CN"/>
              </w:rPr>
              <w:t>五</w:t>
            </w:r>
            <w:r>
              <w:rPr>
                <w:rFonts w:hint="default" w:ascii="仿宋" w:hAnsi="仿宋" w:eastAsia="仿宋" w:cs="仿宋"/>
                <w:color w:val="auto"/>
                <w:sz w:val="24"/>
                <w:szCs w:val="24"/>
                <w:highlight w:val="none"/>
                <w:lang w:val="en-US" w:eastAsia="zh-CN"/>
              </w:rPr>
              <w:t>项内容中，每有一项内容非专门针对本项目或不适用本项目特征或套用其他项目内容的，</w:t>
            </w:r>
            <w:r>
              <w:rPr>
                <w:rFonts w:hint="eastAsia" w:ascii="仿宋" w:hAnsi="仿宋" w:eastAsia="仿宋" w:cs="仿宋"/>
                <w:color w:val="auto"/>
                <w:sz w:val="24"/>
                <w:szCs w:val="24"/>
                <w:highlight w:val="none"/>
                <w:lang w:val="en-US" w:eastAsia="zh-CN"/>
              </w:rPr>
              <w:t>每有一处</w:t>
            </w:r>
            <w:r>
              <w:rPr>
                <w:rFonts w:hint="default" w:ascii="仿宋" w:hAnsi="仿宋" w:eastAsia="仿宋" w:cs="仿宋"/>
                <w:color w:val="auto"/>
                <w:sz w:val="24"/>
                <w:szCs w:val="24"/>
                <w:highlight w:val="none"/>
                <w:lang w:val="en-US" w:eastAsia="zh-CN"/>
              </w:rPr>
              <w:t>扣2分；</w:t>
            </w:r>
          </w:p>
          <w:p w14:paraId="3B3DB4A9">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eastAsia="zh-CN"/>
              </w:rPr>
              <w:t>五</w:t>
            </w:r>
            <w:r>
              <w:rPr>
                <w:rFonts w:hint="default" w:ascii="仿宋" w:hAnsi="仿宋" w:eastAsia="仿宋" w:cs="仿宋"/>
                <w:color w:val="auto"/>
                <w:sz w:val="24"/>
                <w:szCs w:val="24"/>
                <w:highlight w:val="none"/>
                <w:lang w:val="en-US" w:eastAsia="zh-CN"/>
              </w:rPr>
              <w:t>项内容中，每有一项内容不能满足本项目实际需求或不利于本项目目标实现的，</w:t>
            </w:r>
            <w:r>
              <w:rPr>
                <w:rFonts w:hint="eastAsia" w:ascii="仿宋" w:hAnsi="仿宋" w:eastAsia="仿宋" w:cs="仿宋"/>
                <w:color w:val="auto"/>
                <w:sz w:val="24"/>
                <w:szCs w:val="24"/>
                <w:highlight w:val="none"/>
                <w:lang w:val="en-US" w:eastAsia="zh-CN"/>
              </w:rPr>
              <w:t>每有一处</w:t>
            </w:r>
            <w:r>
              <w:rPr>
                <w:rFonts w:hint="default" w:ascii="仿宋" w:hAnsi="仿宋" w:eastAsia="仿宋" w:cs="仿宋"/>
                <w:color w:val="auto"/>
                <w:sz w:val="24"/>
                <w:szCs w:val="24"/>
                <w:highlight w:val="none"/>
                <w:lang w:val="en-US" w:eastAsia="zh-CN"/>
              </w:rPr>
              <w:t>扣</w:t>
            </w:r>
            <w:r>
              <w:rPr>
                <w:rFonts w:hint="eastAsia" w:ascii="仿宋" w:hAnsi="仿宋" w:eastAsia="仿宋" w:cs="仿宋"/>
                <w:color w:val="auto"/>
                <w:sz w:val="24"/>
                <w:szCs w:val="24"/>
                <w:highlight w:val="none"/>
                <w:lang w:val="en-US" w:eastAsia="zh-CN"/>
              </w:rPr>
              <w:t>2</w:t>
            </w:r>
            <w:r>
              <w:rPr>
                <w:rFonts w:hint="default" w:ascii="仿宋" w:hAnsi="仿宋" w:eastAsia="仿宋" w:cs="仿宋"/>
                <w:color w:val="auto"/>
                <w:sz w:val="24"/>
                <w:szCs w:val="24"/>
                <w:highlight w:val="none"/>
                <w:lang w:val="en-US" w:eastAsia="zh-CN"/>
              </w:rPr>
              <w:t>分；</w:t>
            </w:r>
          </w:p>
          <w:p w14:paraId="2EE0B918">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default" w:ascii="仿宋" w:hAnsi="仿宋" w:eastAsia="仿宋" w:cs="仿宋"/>
                <w:color w:val="auto"/>
                <w:sz w:val="24"/>
                <w:szCs w:val="24"/>
                <w:highlight w:val="none"/>
                <w:lang w:val="en-US" w:eastAsia="zh-CN"/>
              </w:rPr>
              <w:t>4）未提供施工方案与技术措施（共</w:t>
            </w:r>
            <w:r>
              <w:rPr>
                <w:rFonts w:hint="eastAsia" w:ascii="仿宋" w:hAnsi="仿宋" w:eastAsia="仿宋" w:cs="仿宋"/>
                <w:color w:val="auto"/>
                <w:sz w:val="24"/>
                <w:szCs w:val="24"/>
                <w:highlight w:val="none"/>
                <w:lang w:val="en-US" w:eastAsia="zh-CN"/>
              </w:rPr>
              <w:t>五</w:t>
            </w:r>
            <w:r>
              <w:rPr>
                <w:rFonts w:hint="default" w:ascii="仿宋" w:hAnsi="仿宋" w:eastAsia="仿宋" w:cs="仿宋"/>
                <w:color w:val="auto"/>
                <w:sz w:val="24"/>
                <w:szCs w:val="24"/>
                <w:highlight w:val="none"/>
                <w:lang w:val="en-US" w:eastAsia="zh-CN"/>
              </w:rPr>
              <w:t>项内容）中任意一项内容的，扣</w:t>
            </w:r>
            <w:r>
              <w:rPr>
                <w:rFonts w:hint="eastAsia" w:ascii="仿宋" w:hAnsi="仿宋" w:eastAsia="仿宋" w:cs="仿宋"/>
                <w:color w:val="auto"/>
                <w:sz w:val="24"/>
                <w:szCs w:val="24"/>
                <w:highlight w:val="none"/>
                <w:lang w:val="en-US" w:eastAsia="zh-CN"/>
              </w:rPr>
              <w:t>6</w:t>
            </w:r>
            <w:r>
              <w:rPr>
                <w:rFonts w:hint="default" w:ascii="仿宋" w:hAnsi="仿宋" w:eastAsia="仿宋" w:cs="仿宋"/>
                <w:color w:val="auto"/>
                <w:sz w:val="24"/>
                <w:szCs w:val="24"/>
                <w:highlight w:val="none"/>
                <w:lang w:val="en-US" w:eastAsia="zh-CN"/>
              </w:rPr>
              <w:t>分</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4CFE6D27">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0-30分</w:t>
            </w:r>
          </w:p>
        </w:tc>
      </w:tr>
      <w:tr w14:paraId="0544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0" w:hRule="atLeast"/>
          <w:jc w:val="center"/>
        </w:trPr>
        <w:tc>
          <w:tcPr>
            <w:tcW w:w="972" w:type="dxa"/>
            <w:vMerge w:val="continue"/>
            <w:tcBorders>
              <w:left w:val="single" w:color="auto" w:sz="4" w:space="0"/>
              <w:right w:val="single" w:color="auto" w:sz="4" w:space="0"/>
            </w:tcBorders>
            <w:noWrap w:val="0"/>
            <w:vAlign w:val="center"/>
          </w:tcPr>
          <w:p w14:paraId="3875BC05">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00"/>
                <w:kern w:val="0"/>
                <w:sz w:val="24"/>
                <w:szCs w:val="24"/>
                <w:highlight w:val="none"/>
                <w:lang w:val="zh-CN" w:eastAsia="zh-CN"/>
              </w:rPr>
            </w:pPr>
          </w:p>
        </w:tc>
        <w:tc>
          <w:tcPr>
            <w:tcW w:w="1563" w:type="dxa"/>
            <w:tcBorders>
              <w:top w:val="single" w:color="auto" w:sz="4" w:space="0"/>
              <w:left w:val="single" w:color="auto" w:sz="4" w:space="0"/>
              <w:right w:val="single" w:color="auto" w:sz="4" w:space="0"/>
            </w:tcBorders>
            <w:noWrap w:val="0"/>
            <w:vAlign w:val="center"/>
          </w:tcPr>
          <w:p w14:paraId="431A6BD3">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工程进度计划与保证措施</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1194AABB">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工程进度计划与保证措施</w:t>
            </w:r>
            <w:r>
              <w:rPr>
                <w:b/>
                <w:bCs/>
                <w:spacing w:val="-5"/>
              </w:rPr>
              <w:t>（</w:t>
            </w:r>
            <w:r>
              <w:rPr>
                <w:rFonts w:hint="eastAsia"/>
                <w:b/>
                <w:bCs/>
                <w:spacing w:val="-5"/>
                <w:lang w:val="en-US" w:eastAsia="zh-CN"/>
              </w:rPr>
              <w:t>10</w:t>
            </w:r>
            <w:r>
              <w:rPr>
                <w:b/>
                <w:bCs/>
                <w:spacing w:val="-30"/>
              </w:rPr>
              <w:t xml:space="preserve"> </w:t>
            </w:r>
            <w:r>
              <w:rPr>
                <w:b/>
                <w:bCs/>
                <w:spacing w:val="-5"/>
              </w:rPr>
              <w:t>分）</w:t>
            </w:r>
          </w:p>
          <w:p w14:paraId="10D70848">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包括以下内容：①工期保证措施；②施工进度计划及施工进度网络图（说明施工的各个关键日期）。以上内容阐述完整、具体、没有问题，且满足本项目实际需求的，得满分10分；存在以下问题的，按对应分值进行扣分，分数扣完为止：</w:t>
            </w:r>
          </w:p>
          <w:p w14:paraId="220F4467">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1）内容有明显错误或逻辑混乱或不具体的，每有一处扣1分；</w:t>
            </w:r>
          </w:p>
          <w:p w14:paraId="5D37B0D1">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2）二项内容中，每有一项内容非专门针对本项目或不适用本项目特征或套用其他项目内容或不能满足本项目实际需求或不利于本项目目标实现的，扣1分；</w:t>
            </w:r>
          </w:p>
          <w:p w14:paraId="2D8CCF9D">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kern w:val="0"/>
                <w:sz w:val="24"/>
                <w:szCs w:val="24"/>
                <w:highlight w:val="none"/>
                <w:lang w:val="en-US" w:eastAsia="zh-CN"/>
              </w:rPr>
              <w:t>3）未提供工程进度计划与保证措施（共二项内容）中任意一项内容的，扣5分。</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384E8631">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0-10分</w:t>
            </w:r>
          </w:p>
        </w:tc>
      </w:tr>
      <w:tr w14:paraId="1E9F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25" w:hRule="atLeast"/>
          <w:jc w:val="center"/>
        </w:trPr>
        <w:tc>
          <w:tcPr>
            <w:tcW w:w="972" w:type="dxa"/>
            <w:vMerge w:val="continue"/>
            <w:tcBorders>
              <w:left w:val="single" w:color="auto" w:sz="4" w:space="0"/>
              <w:right w:val="single" w:color="auto" w:sz="4" w:space="0"/>
            </w:tcBorders>
            <w:noWrap w:val="0"/>
            <w:vAlign w:val="center"/>
          </w:tcPr>
          <w:p w14:paraId="5694758A">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00"/>
                <w:kern w:val="0"/>
                <w:sz w:val="24"/>
                <w:szCs w:val="24"/>
                <w:highlight w:val="none"/>
                <w:lang w:val="zh-CN" w:eastAsia="zh-CN"/>
              </w:rPr>
            </w:pPr>
          </w:p>
        </w:tc>
        <w:tc>
          <w:tcPr>
            <w:tcW w:w="1563" w:type="dxa"/>
            <w:tcBorders>
              <w:top w:val="single" w:color="auto" w:sz="4" w:space="0"/>
              <w:left w:val="single" w:color="auto" w:sz="4" w:space="0"/>
              <w:right w:val="single" w:color="auto" w:sz="4" w:space="0"/>
            </w:tcBorders>
            <w:noWrap w:val="0"/>
            <w:vAlign w:val="center"/>
          </w:tcPr>
          <w:p w14:paraId="60079870">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质量管理体系与措施</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47857755">
            <w:pPr>
              <w:keepNext w:val="0"/>
              <w:keepLines w:val="0"/>
              <w:pageBreakBefore w:val="0"/>
              <w:widowControl w:val="0"/>
              <w:kinsoku/>
              <w:wordWrap w:val="0"/>
              <w:overflowPunct/>
              <w:topLinePunct w:val="0"/>
              <w:bidi w:val="0"/>
              <w:spacing w:line="340" w:lineRule="exact"/>
              <w:ind w:left="0"/>
              <w:jc w:val="left"/>
              <w:textAlignment w:val="auto"/>
              <w:outlineLvl w:val="9"/>
              <w:rPr>
                <w:b/>
                <w:bCs/>
                <w:spacing w:val="-5"/>
              </w:rPr>
            </w:pPr>
            <w:r>
              <w:rPr>
                <w:rFonts w:hint="eastAsia" w:ascii="仿宋" w:hAnsi="仿宋" w:eastAsia="仿宋" w:cs="仿宋"/>
                <w:b/>
                <w:bCs/>
                <w:color w:val="auto"/>
                <w:kern w:val="0"/>
                <w:sz w:val="24"/>
                <w:szCs w:val="24"/>
                <w:highlight w:val="none"/>
                <w:lang w:val="en-US" w:eastAsia="zh-CN"/>
              </w:rPr>
              <w:t>质量管理体系与措施</w:t>
            </w:r>
            <w:r>
              <w:rPr>
                <w:b/>
                <w:bCs/>
                <w:spacing w:val="-5"/>
              </w:rPr>
              <w:t>（</w:t>
            </w:r>
            <w:r>
              <w:rPr>
                <w:rFonts w:hint="eastAsia"/>
                <w:b/>
                <w:bCs/>
                <w:spacing w:val="-5"/>
                <w:lang w:val="en-US" w:eastAsia="zh-CN"/>
              </w:rPr>
              <w:t>10</w:t>
            </w:r>
            <w:r>
              <w:rPr>
                <w:b/>
                <w:bCs/>
                <w:spacing w:val="-30"/>
              </w:rPr>
              <w:t xml:space="preserve"> </w:t>
            </w:r>
            <w:r>
              <w:rPr>
                <w:b/>
                <w:bCs/>
                <w:spacing w:val="-5"/>
              </w:rPr>
              <w:t>分）</w:t>
            </w:r>
          </w:p>
          <w:p w14:paraId="640A5E6C">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包括以下内容：①质量保证措施；②质量违约责任承诺；③质量管理机构（含职责分工阐述）；④管理制度。以上内容阐述完整、具体、没有问题，且满足本项目实际需求的，得满分10分；存在以下问题的，按对应分值进行扣分，分数扣完为止：</w:t>
            </w:r>
          </w:p>
          <w:p w14:paraId="31206F24">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1）内容有明显错误或逻辑混乱或不具体的，每有一处扣0.5分；</w:t>
            </w:r>
          </w:p>
          <w:p w14:paraId="39AE9CA3">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2）四项内容中，每有一项内容非专门针对本项目或不适用本项目特征或套用其他项目内容或不能满足本项目实际需求或不利于本项目目标实现的，扣1.5分；</w:t>
            </w:r>
          </w:p>
          <w:p w14:paraId="46766B2E">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3）未提供质量管理体系与措施（共四项内容）中任意一项内容的，扣2.5分。</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33FA28D3">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0-10分</w:t>
            </w:r>
          </w:p>
        </w:tc>
      </w:tr>
      <w:tr w14:paraId="518A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30" w:hRule="atLeast"/>
          <w:jc w:val="center"/>
        </w:trPr>
        <w:tc>
          <w:tcPr>
            <w:tcW w:w="972" w:type="dxa"/>
            <w:vMerge w:val="continue"/>
            <w:tcBorders>
              <w:left w:val="single" w:color="auto" w:sz="4" w:space="0"/>
              <w:right w:val="single" w:color="auto" w:sz="4" w:space="0"/>
            </w:tcBorders>
            <w:noWrap w:val="0"/>
            <w:vAlign w:val="center"/>
          </w:tcPr>
          <w:p w14:paraId="213CC03E">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00"/>
                <w:kern w:val="0"/>
                <w:sz w:val="24"/>
                <w:szCs w:val="24"/>
                <w:highlight w:val="none"/>
                <w:lang w:val="zh-CN" w:eastAsia="zh-CN"/>
              </w:rPr>
            </w:pPr>
          </w:p>
        </w:tc>
        <w:tc>
          <w:tcPr>
            <w:tcW w:w="1563" w:type="dxa"/>
            <w:tcBorders>
              <w:top w:val="single" w:color="auto" w:sz="4" w:space="0"/>
              <w:left w:val="single" w:color="auto" w:sz="4" w:space="0"/>
              <w:right w:val="single" w:color="auto" w:sz="4" w:space="0"/>
            </w:tcBorders>
            <w:noWrap w:val="0"/>
            <w:vAlign w:val="center"/>
          </w:tcPr>
          <w:p w14:paraId="0A29297D">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安全管理体系与措施</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2B0EF62E">
            <w:pPr>
              <w:keepNext w:val="0"/>
              <w:keepLines w:val="0"/>
              <w:pageBreakBefore w:val="0"/>
              <w:widowControl w:val="0"/>
              <w:kinsoku/>
              <w:wordWrap w:val="0"/>
              <w:overflowPunct/>
              <w:topLinePunct w:val="0"/>
              <w:bidi w:val="0"/>
              <w:spacing w:line="340" w:lineRule="exact"/>
              <w:ind w:left="0"/>
              <w:jc w:val="left"/>
              <w:textAlignment w:val="auto"/>
              <w:outlineLvl w:val="9"/>
              <w:rPr>
                <w:b/>
                <w:bCs/>
                <w:spacing w:val="-5"/>
              </w:rPr>
            </w:pPr>
            <w:r>
              <w:rPr>
                <w:rFonts w:hint="eastAsia" w:ascii="仿宋" w:hAnsi="仿宋" w:eastAsia="仿宋" w:cs="仿宋"/>
                <w:b/>
                <w:bCs/>
                <w:color w:val="auto"/>
                <w:kern w:val="0"/>
                <w:sz w:val="24"/>
                <w:szCs w:val="24"/>
                <w:highlight w:val="none"/>
                <w:lang w:val="en-US" w:eastAsia="zh-CN"/>
              </w:rPr>
              <w:t>安全管理体系与措施</w:t>
            </w:r>
            <w:r>
              <w:rPr>
                <w:b/>
                <w:bCs/>
                <w:spacing w:val="-5"/>
              </w:rPr>
              <w:t>（</w:t>
            </w:r>
            <w:r>
              <w:rPr>
                <w:rFonts w:hint="eastAsia"/>
                <w:b/>
                <w:bCs/>
                <w:spacing w:val="-5"/>
                <w:lang w:val="en-US" w:eastAsia="zh-CN"/>
              </w:rPr>
              <w:t>10</w:t>
            </w:r>
            <w:r>
              <w:rPr>
                <w:b/>
                <w:bCs/>
                <w:spacing w:val="-30"/>
              </w:rPr>
              <w:t xml:space="preserve"> </w:t>
            </w:r>
            <w:r>
              <w:rPr>
                <w:b/>
                <w:bCs/>
                <w:spacing w:val="-5"/>
              </w:rPr>
              <w:t>分）</w:t>
            </w:r>
          </w:p>
          <w:p w14:paraId="18FAEB97">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包括以下内容：①实施与监控措施；②安全生产责任制度和安全生产教育培训制度；③安全管理机构（含职责分工阐述）；④管理制度。以上内容阐述完整、具体、没有问题，且满足本项目实际需求的，得满分10分；存在以下问题的，按对应分值进行扣分，分数扣完为止：</w:t>
            </w:r>
          </w:p>
          <w:p w14:paraId="7088C12B">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1）内容有明显错误或逻辑混乱或不具体的，每有一处扣0.5分；</w:t>
            </w:r>
          </w:p>
          <w:p w14:paraId="3F229806">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2）四项内容中，每有一项内容非专门针对本项目或不适用本项目特征或套用其他项目内容或不能满足本项目实际需求或不利于本项目目标实现的，扣1.5分；</w:t>
            </w:r>
          </w:p>
          <w:p w14:paraId="516162CF">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3）未提供安全管理体系与措施（共四项内容）中任意一项内容的，扣2.5分。</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463BD0F0">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0-10分</w:t>
            </w:r>
          </w:p>
        </w:tc>
      </w:tr>
      <w:tr w14:paraId="1612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15" w:hRule="atLeast"/>
          <w:jc w:val="center"/>
        </w:trPr>
        <w:tc>
          <w:tcPr>
            <w:tcW w:w="972" w:type="dxa"/>
            <w:vMerge w:val="continue"/>
            <w:tcBorders>
              <w:left w:val="single" w:color="auto" w:sz="4" w:space="0"/>
              <w:right w:val="single" w:color="auto" w:sz="4" w:space="0"/>
            </w:tcBorders>
            <w:noWrap w:val="0"/>
            <w:vAlign w:val="center"/>
          </w:tcPr>
          <w:p w14:paraId="49273152">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FF"/>
                <w:kern w:val="0"/>
                <w:sz w:val="24"/>
                <w:szCs w:val="24"/>
                <w:highlight w:val="none"/>
                <w:lang w:val="zh-CN" w:eastAsia="zh-CN"/>
              </w:rPr>
            </w:pPr>
          </w:p>
        </w:tc>
        <w:tc>
          <w:tcPr>
            <w:tcW w:w="1563" w:type="dxa"/>
            <w:tcBorders>
              <w:top w:val="single" w:color="auto" w:sz="4" w:space="0"/>
              <w:left w:val="single" w:color="auto" w:sz="4" w:space="0"/>
              <w:right w:val="single" w:color="auto" w:sz="4" w:space="0"/>
            </w:tcBorders>
            <w:noWrap w:val="0"/>
            <w:vAlign w:val="center"/>
          </w:tcPr>
          <w:p w14:paraId="22E2F983">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zh-CN" w:eastAsia="zh-CN"/>
              </w:rPr>
              <w:t>资源配备计划</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3241EDF0">
            <w:pPr>
              <w:keepNext w:val="0"/>
              <w:keepLines w:val="0"/>
              <w:pageBreakBefore w:val="0"/>
              <w:widowControl w:val="0"/>
              <w:kinsoku/>
              <w:wordWrap w:val="0"/>
              <w:overflowPunct/>
              <w:topLinePunct w:val="0"/>
              <w:bidi w:val="0"/>
              <w:spacing w:line="340" w:lineRule="exact"/>
              <w:ind w:left="0"/>
              <w:jc w:val="left"/>
              <w:textAlignment w:val="auto"/>
              <w:outlineLvl w:val="9"/>
              <w:rPr>
                <w:b/>
                <w:bCs/>
                <w:spacing w:val="-5"/>
              </w:rPr>
            </w:pPr>
            <w:r>
              <w:rPr>
                <w:rFonts w:hint="eastAsia" w:ascii="仿宋" w:hAnsi="仿宋" w:eastAsia="仿宋" w:cs="仿宋"/>
                <w:color w:val="auto"/>
                <w:kern w:val="0"/>
                <w:sz w:val="24"/>
                <w:szCs w:val="24"/>
                <w:highlight w:val="none"/>
                <w:lang w:val="zh-CN" w:eastAsia="zh-CN"/>
              </w:rPr>
              <w:t>资源配备计划</w:t>
            </w:r>
            <w:r>
              <w:rPr>
                <w:b/>
                <w:bCs/>
                <w:spacing w:val="-5"/>
              </w:rPr>
              <w:t>（</w:t>
            </w:r>
            <w:r>
              <w:rPr>
                <w:rFonts w:hint="eastAsia"/>
                <w:b/>
                <w:bCs/>
                <w:spacing w:val="-5"/>
                <w:lang w:val="en-US" w:eastAsia="zh-CN"/>
              </w:rPr>
              <w:t>8</w:t>
            </w:r>
            <w:r>
              <w:rPr>
                <w:b/>
                <w:bCs/>
                <w:spacing w:val="-5"/>
              </w:rPr>
              <w:t>分）</w:t>
            </w:r>
          </w:p>
          <w:p w14:paraId="17E4A28E">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包括以下内容：①劳动力计划；②</w:t>
            </w:r>
            <w:r>
              <w:rPr>
                <w:rFonts w:hint="eastAsia" w:ascii="仿宋" w:hAnsi="仿宋" w:eastAsia="仿宋" w:cs="仿宋"/>
                <w:b w:val="0"/>
                <w:bCs w:val="0"/>
                <w:color w:val="auto"/>
                <w:sz w:val="24"/>
                <w:szCs w:val="24"/>
                <w:highlight w:val="none"/>
              </w:rPr>
              <w:t>主要材料用量计划</w:t>
            </w:r>
            <w:r>
              <w:rPr>
                <w:rFonts w:hint="eastAsia" w:ascii="仿宋" w:hAnsi="仿宋" w:eastAsia="仿宋" w:cs="仿宋"/>
                <w:color w:val="auto"/>
                <w:kern w:val="0"/>
                <w:sz w:val="24"/>
                <w:szCs w:val="24"/>
                <w:highlight w:val="none"/>
                <w:lang w:val="en-US" w:eastAsia="zh-CN"/>
              </w:rPr>
              <w:t>；③施工机械使用计划；④</w:t>
            </w:r>
            <w:r>
              <w:rPr>
                <w:rFonts w:hint="eastAsia" w:ascii="仿宋" w:hAnsi="仿宋" w:eastAsia="仿宋" w:cs="仿宋"/>
                <w:b w:val="0"/>
                <w:bCs w:val="0"/>
                <w:color w:val="auto"/>
                <w:sz w:val="24"/>
                <w:szCs w:val="24"/>
                <w:highlight w:val="none"/>
              </w:rPr>
              <w:t>资金使用计划</w:t>
            </w:r>
            <w:r>
              <w:rPr>
                <w:rFonts w:hint="eastAsia" w:ascii="仿宋" w:hAnsi="仿宋" w:eastAsia="仿宋" w:cs="仿宋"/>
                <w:color w:val="auto"/>
                <w:kern w:val="0"/>
                <w:sz w:val="24"/>
                <w:szCs w:val="24"/>
                <w:highlight w:val="none"/>
                <w:lang w:val="en-US" w:eastAsia="zh-CN"/>
              </w:rPr>
              <w:t>。以上内容阐述完整、具体、没有问题，且满足本项目实际需求的，得满分8分；存在以下问题的，按对应分值进行扣分，分数扣完为止：</w:t>
            </w:r>
          </w:p>
          <w:p w14:paraId="0CB98AC4">
            <w:pPr>
              <w:keepNext w:val="0"/>
              <w:keepLines w:val="0"/>
              <w:pageBreakBefore w:val="0"/>
              <w:widowControl w:val="0"/>
              <w:numPr>
                <w:ilvl w:val="0"/>
                <w:numId w:val="6"/>
              </w:numPr>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内容有明显错误或逻辑混乱或不具体的，每有一处扣0.5分；</w:t>
            </w:r>
          </w:p>
          <w:p w14:paraId="5986C0D6">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2）四项内容中，每有一项内容非专门针对本项目或不适用本项目特征或套用其他项目内容或不能满足本项目实际需求或不利于本项目目标实现的，扣1分；</w:t>
            </w:r>
          </w:p>
          <w:p w14:paraId="227FBD23">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3）未提供资源配备计划（共四项内容）中任意一项内容的，扣2分。</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509867DD">
            <w:pPr>
              <w:keepNext w:val="0"/>
              <w:keepLines w:val="0"/>
              <w:pageBreakBefore w:val="0"/>
              <w:widowControl w:val="0"/>
              <w:kinsoku/>
              <w:wordWrap w:val="0"/>
              <w:overflowPunct/>
              <w:topLinePunct w:val="0"/>
              <w:bidi w:val="0"/>
              <w:spacing w:line="340" w:lineRule="exact"/>
              <w:ind w:left="0"/>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0-8分</w:t>
            </w:r>
          </w:p>
        </w:tc>
      </w:tr>
      <w:tr w14:paraId="380B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69" w:hRule="atLeast"/>
          <w:jc w:val="center"/>
        </w:trPr>
        <w:tc>
          <w:tcPr>
            <w:tcW w:w="972" w:type="dxa"/>
            <w:vMerge w:val="continue"/>
            <w:tcBorders>
              <w:left w:val="single" w:color="auto" w:sz="4" w:space="0"/>
              <w:right w:val="single" w:color="auto" w:sz="4" w:space="0"/>
            </w:tcBorders>
            <w:noWrap w:val="0"/>
            <w:vAlign w:val="center"/>
          </w:tcPr>
          <w:p w14:paraId="2B351DDC">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00"/>
                <w:kern w:val="0"/>
                <w:sz w:val="24"/>
                <w:szCs w:val="24"/>
                <w:highlight w:val="none"/>
                <w:lang w:val="zh-CN" w:eastAsia="zh-CN"/>
              </w:rPr>
            </w:pPr>
          </w:p>
        </w:tc>
        <w:tc>
          <w:tcPr>
            <w:tcW w:w="1563" w:type="dxa"/>
            <w:tcBorders>
              <w:top w:val="single" w:color="auto" w:sz="4" w:space="0"/>
              <w:left w:val="single" w:color="auto" w:sz="4" w:space="0"/>
              <w:right w:val="single" w:color="auto" w:sz="4" w:space="0"/>
            </w:tcBorders>
            <w:noWrap w:val="0"/>
            <w:vAlign w:val="center"/>
          </w:tcPr>
          <w:p w14:paraId="358CE7DD">
            <w:pPr>
              <w:keepNext w:val="0"/>
              <w:keepLines w:val="0"/>
              <w:pageBreakBefore w:val="0"/>
              <w:widowControl w:val="0"/>
              <w:kinsoku/>
              <w:wordWrap w:val="0"/>
              <w:overflowPunct/>
              <w:topLinePunct w:val="0"/>
              <w:bidi w:val="0"/>
              <w:spacing w:line="340" w:lineRule="exact"/>
              <w:ind w:left="0" w:leftChars="0"/>
              <w:jc w:val="center"/>
              <w:textAlignment w:val="auto"/>
              <w:outlineLvl w:val="9"/>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kern w:val="0"/>
                <w:sz w:val="24"/>
                <w:szCs w:val="24"/>
                <w:highlight w:val="none"/>
                <w:lang w:val="en-US" w:eastAsia="zh-CN"/>
              </w:rPr>
              <w:t>人员配备情况</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5E2BD51E">
            <w:pPr>
              <w:keepNext w:val="0"/>
              <w:keepLines w:val="0"/>
              <w:pageBreakBefore w:val="0"/>
              <w:widowControl w:val="0"/>
              <w:kinsoku/>
              <w:wordWrap w:val="0"/>
              <w:overflowPunct/>
              <w:topLinePunct w:val="0"/>
              <w:bidi w:val="0"/>
              <w:spacing w:line="340" w:lineRule="exact"/>
              <w:jc w:val="both"/>
              <w:textAlignment w:val="auto"/>
              <w:outlineLvl w:val="9"/>
              <w:rPr>
                <w:rFonts w:hint="eastAsia" w:ascii="仿宋" w:hAnsi="仿宋" w:eastAsia="仿宋" w:cs="仿宋"/>
                <w:b/>
                <w:bCs/>
                <w:snapToGrid w:val="0"/>
                <w:color w:val="000000"/>
                <w:spacing w:val="-5"/>
                <w:kern w:val="0"/>
                <w:sz w:val="24"/>
                <w:szCs w:val="24"/>
                <w:lang w:val="en-US" w:eastAsia="zh-CN" w:bidi="ar-SA"/>
              </w:rPr>
            </w:pPr>
            <w:r>
              <w:rPr>
                <w:rFonts w:hint="eastAsia" w:ascii="仿宋" w:hAnsi="仿宋" w:eastAsia="仿宋" w:cs="仿宋"/>
                <w:b/>
                <w:bCs/>
                <w:snapToGrid w:val="0"/>
                <w:color w:val="000000"/>
                <w:spacing w:val="-5"/>
                <w:kern w:val="0"/>
                <w:sz w:val="24"/>
                <w:szCs w:val="24"/>
                <w:lang w:val="en-US" w:eastAsia="zh-CN" w:bidi="ar-SA"/>
              </w:rPr>
              <w:t>人员配备情况</w:t>
            </w:r>
            <w:r>
              <w:rPr>
                <w:rFonts w:hint="eastAsia" w:ascii="仿宋" w:hAnsi="仿宋" w:eastAsia="仿宋" w:cs="仿宋"/>
                <w:b/>
                <w:bCs/>
                <w:snapToGrid w:val="0"/>
                <w:color w:val="000000"/>
                <w:spacing w:val="-5"/>
                <w:kern w:val="0"/>
                <w:sz w:val="24"/>
                <w:szCs w:val="24"/>
                <w:lang w:val="en-US" w:eastAsia="en-US" w:bidi="ar-SA"/>
              </w:rPr>
              <w:t>（</w:t>
            </w:r>
            <w:r>
              <w:rPr>
                <w:rFonts w:hint="eastAsia" w:ascii="仿宋" w:hAnsi="仿宋" w:eastAsia="仿宋" w:cs="仿宋"/>
                <w:b/>
                <w:bCs/>
                <w:snapToGrid w:val="0"/>
                <w:color w:val="000000"/>
                <w:spacing w:val="-5"/>
                <w:kern w:val="0"/>
                <w:sz w:val="24"/>
                <w:szCs w:val="24"/>
                <w:lang w:val="en-US" w:eastAsia="zh-CN" w:bidi="ar-SA"/>
              </w:rPr>
              <w:t>6</w:t>
            </w:r>
            <w:r>
              <w:rPr>
                <w:rFonts w:hint="eastAsia" w:ascii="仿宋" w:hAnsi="仿宋" w:eastAsia="仿宋" w:cs="仿宋"/>
                <w:b/>
                <w:bCs/>
                <w:snapToGrid w:val="0"/>
                <w:color w:val="000000"/>
                <w:spacing w:val="-5"/>
                <w:kern w:val="0"/>
                <w:sz w:val="24"/>
                <w:szCs w:val="24"/>
                <w:lang w:val="en-US" w:eastAsia="en-US" w:bidi="ar-SA"/>
              </w:rPr>
              <w:t xml:space="preserve"> 分）</w:t>
            </w:r>
          </w:p>
          <w:p w14:paraId="1193A09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1.项目管理人员针对工程实际配置且合理，能满足工程管理</w:t>
            </w:r>
          </w:p>
          <w:p w14:paraId="031457D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需要且有针对性，项目主要管理人员持证上岗，得</w:t>
            </w:r>
            <w:r>
              <w:rPr>
                <w:rFonts w:hint="eastAsia" w:ascii="仿宋" w:hAnsi="仿宋" w:eastAsia="仿宋" w:cs="仿宋"/>
                <w:bCs/>
                <w:snapToGrid/>
                <w:color w:val="auto"/>
                <w:kern w:val="2"/>
                <w:sz w:val="24"/>
                <w:szCs w:val="24"/>
                <w:highlight w:val="none"/>
                <w:lang w:val="en-US" w:eastAsia="zh-CN"/>
              </w:rPr>
              <w:t>6</w:t>
            </w:r>
            <w:r>
              <w:rPr>
                <w:rFonts w:hint="eastAsia" w:ascii="仿宋" w:hAnsi="仿宋" w:eastAsia="仿宋" w:cs="仿宋"/>
                <w:bCs/>
                <w:snapToGrid/>
                <w:color w:val="auto"/>
                <w:kern w:val="2"/>
                <w:sz w:val="24"/>
                <w:szCs w:val="24"/>
                <w:highlight w:val="none"/>
                <w:lang w:eastAsia="zh-CN"/>
              </w:rPr>
              <w:t>分。</w:t>
            </w:r>
          </w:p>
          <w:p w14:paraId="42A7154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2.项目管理人员配置合理，能满足工程管理需要，但专业配</w:t>
            </w:r>
          </w:p>
          <w:p w14:paraId="791DF86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置针对性一般，项目主要管理人员持证上岗，得</w:t>
            </w:r>
            <w:r>
              <w:rPr>
                <w:rFonts w:hint="eastAsia" w:ascii="仿宋" w:hAnsi="仿宋" w:eastAsia="仿宋" w:cs="仿宋"/>
                <w:bCs/>
                <w:snapToGrid/>
                <w:color w:val="auto"/>
                <w:kern w:val="2"/>
                <w:sz w:val="24"/>
                <w:szCs w:val="24"/>
                <w:highlight w:val="none"/>
                <w:lang w:val="en-US" w:eastAsia="zh-CN"/>
              </w:rPr>
              <w:t>4</w:t>
            </w:r>
            <w:r>
              <w:rPr>
                <w:rFonts w:hint="eastAsia" w:ascii="仿宋" w:hAnsi="仿宋" w:eastAsia="仿宋" w:cs="仿宋"/>
                <w:bCs/>
                <w:snapToGrid/>
                <w:color w:val="auto"/>
                <w:kern w:val="2"/>
                <w:sz w:val="24"/>
                <w:szCs w:val="24"/>
                <w:highlight w:val="none"/>
                <w:lang w:eastAsia="zh-CN"/>
              </w:rPr>
              <w:t>分。</w:t>
            </w:r>
          </w:p>
          <w:p w14:paraId="236C578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3.项目管理人员配置基本满足工程管理需要，专业配置缺乏</w:t>
            </w:r>
          </w:p>
          <w:p w14:paraId="4B1D2D0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针对性，项目主要管理人员持证上岗，得</w:t>
            </w:r>
            <w:r>
              <w:rPr>
                <w:rFonts w:hint="eastAsia" w:ascii="仿宋" w:hAnsi="仿宋" w:eastAsia="仿宋" w:cs="仿宋"/>
                <w:bCs/>
                <w:snapToGrid/>
                <w:color w:val="auto"/>
                <w:kern w:val="2"/>
                <w:sz w:val="24"/>
                <w:szCs w:val="24"/>
                <w:highlight w:val="none"/>
                <w:lang w:val="en-US" w:eastAsia="zh-CN"/>
              </w:rPr>
              <w:t>2</w:t>
            </w:r>
            <w:r>
              <w:rPr>
                <w:rFonts w:hint="eastAsia" w:ascii="仿宋" w:hAnsi="仿宋" w:eastAsia="仿宋" w:cs="仿宋"/>
                <w:bCs/>
                <w:snapToGrid/>
                <w:color w:val="auto"/>
                <w:kern w:val="2"/>
                <w:sz w:val="24"/>
                <w:szCs w:val="24"/>
                <w:highlight w:val="none"/>
                <w:lang w:eastAsia="zh-CN"/>
              </w:rPr>
              <w:t>分。</w:t>
            </w:r>
          </w:p>
          <w:p w14:paraId="0491B20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4.未提供项目管理机构配置、对项目管理人员说明、能按项</w:t>
            </w:r>
          </w:p>
          <w:p w14:paraId="5E9DDFD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目进度提供充足的项目管理人员书面承诺，得0分。</w:t>
            </w:r>
          </w:p>
          <w:p w14:paraId="6855F76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注：项目管理人员配置情况应符合《建筑与市政基础设施工</w:t>
            </w:r>
          </w:p>
          <w:p w14:paraId="68409E68">
            <w:pPr>
              <w:keepNext w:val="0"/>
              <w:keepLines w:val="0"/>
              <w:pageBreakBefore w:val="0"/>
              <w:widowControl w:val="0"/>
              <w:numPr>
                <w:ilvl w:val="0"/>
                <w:numId w:val="0"/>
              </w:numPr>
              <w:kinsoku/>
              <w:wordWrap w:val="0"/>
              <w:overflowPunct/>
              <w:topLinePunct w:val="0"/>
              <w:bidi w:val="0"/>
              <w:spacing w:line="340" w:lineRule="exact"/>
              <w:ind w:left="0" w:leftChars="0" w:firstLine="0" w:firstLineChars="0"/>
              <w:jc w:val="left"/>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程施工现场专业（管理）人员配置标准》 (DBJ53/T-69)</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55E8844E">
            <w:pPr>
              <w:keepNext w:val="0"/>
              <w:keepLines w:val="0"/>
              <w:pageBreakBefore w:val="0"/>
              <w:widowControl w:val="0"/>
              <w:kinsoku/>
              <w:wordWrap w:val="0"/>
              <w:overflowPunct/>
              <w:topLinePunct w:val="0"/>
              <w:bidi w:val="0"/>
              <w:spacing w:line="340" w:lineRule="exact"/>
              <w:ind w:left="0" w:leftChars="0"/>
              <w:jc w:val="center"/>
              <w:textAlignment w:val="auto"/>
              <w:outlineLvl w:val="9"/>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0-6分</w:t>
            </w:r>
          </w:p>
        </w:tc>
      </w:tr>
      <w:tr w14:paraId="3CD9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3"/>
          <w:wAfter w:w="8927" w:type="dxa"/>
          <w:trHeight w:val="312" w:hRule="atLeast"/>
          <w:jc w:val="center"/>
        </w:trPr>
        <w:tc>
          <w:tcPr>
            <w:tcW w:w="972" w:type="dxa"/>
            <w:vMerge w:val="continue"/>
            <w:tcBorders>
              <w:left w:val="single" w:color="auto" w:sz="4" w:space="0"/>
              <w:right w:val="single" w:color="auto" w:sz="4" w:space="0"/>
            </w:tcBorders>
            <w:noWrap w:val="0"/>
            <w:vAlign w:val="center"/>
          </w:tcPr>
          <w:p w14:paraId="3B097A74">
            <w:pPr>
              <w:keepNext w:val="0"/>
              <w:keepLines w:val="0"/>
              <w:pageBreakBefore w:val="0"/>
              <w:widowControl w:val="0"/>
              <w:kinsoku/>
              <w:wordWrap w:val="0"/>
              <w:overflowPunct/>
              <w:topLinePunct w:val="0"/>
              <w:bidi w:val="0"/>
              <w:spacing w:line="340" w:lineRule="exact"/>
              <w:ind w:left="0"/>
              <w:jc w:val="left"/>
              <w:textAlignment w:val="auto"/>
              <w:outlineLvl w:val="9"/>
              <w:rPr>
                <w:rFonts w:hint="eastAsia" w:ascii="仿宋" w:hAnsi="仿宋" w:eastAsia="仿宋" w:cs="仿宋"/>
                <w:color w:val="000000"/>
                <w:kern w:val="0"/>
                <w:sz w:val="24"/>
                <w:szCs w:val="24"/>
                <w:highlight w:val="none"/>
                <w:lang w:val="zh-CN" w:eastAsia="zh-CN"/>
              </w:rPr>
            </w:pPr>
          </w:p>
        </w:tc>
      </w:tr>
      <w:tr w14:paraId="16B8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85" w:hRule="atLeast"/>
          <w:jc w:val="center"/>
        </w:trPr>
        <w:tc>
          <w:tcPr>
            <w:tcW w:w="972" w:type="dxa"/>
            <w:tcBorders>
              <w:left w:val="single" w:color="auto" w:sz="4" w:space="0"/>
              <w:right w:val="single" w:color="auto" w:sz="4" w:space="0"/>
            </w:tcBorders>
            <w:noWrap w:val="0"/>
            <w:vAlign w:val="center"/>
          </w:tcPr>
          <w:p w14:paraId="58B145D1">
            <w:pPr>
              <w:keepNext w:val="0"/>
              <w:keepLines w:val="0"/>
              <w:pageBreakBefore w:val="0"/>
              <w:widowControl w:val="0"/>
              <w:tabs>
                <w:tab w:val="center" w:pos="4153"/>
                <w:tab w:val="right" w:pos="8306"/>
              </w:tabs>
              <w:kinsoku/>
              <w:wordWrap w:val="0"/>
              <w:overflowPunct/>
              <w:topLinePunct w:val="0"/>
              <w:autoSpaceDE/>
              <w:autoSpaceDN/>
              <w:bidi w:val="0"/>
              <w:adjustRightInd/>
              <w:snapToGrid w:val="0"/>
              <w:spacing w:line="340" w:lineRule="exact"/>
              <w:ind w:left="0" w:right="0" w:right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商务</w:t>
            </w:r>
          </w:p>
          <w:p w14:paraId="2325B419">
            <w:pPr>
              <w:keepNext w:val="0"/>
              <w:keepLines w:val="0"/>
              <w:pageBreakBefore w:val="0"/>
              <w:widowControl w:val="0"/>
              <w:tabs>
                <w:tab w:val="center" w:pos="4153"/>
                <w:tab w:val="right" w:pos="8306"/>
              </w:tabs>
              <w:kinsoku/>
              <w:wordWrap w:val="0"/>
              <w:overflowPunct/>
              <w:topLinePunct w:val="0"/>
              <w:autoSpaceDE/>
              <w:autoSpaceDN/>
              <w:bidi w:val="0"/>
              <w:adjustRightInd/>
              <w:snapToGrid w:val="0"/>
              <w:spacing w:line="340" w:lineRule="exact"/>
              <w:ind w:left="0" w:right="0" w:right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部分</w:t>
            </w:r>
          </w:p>
          <w:p w14:paraId="2D9B99FB">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lang w:val="zh-CN"/>
              </w:rPr>
              <w:t>分</w:t>
            </w:r>
            <w:r>
              <w:rPr>
                <w:rFonts w:hint="eastAsia" w:ascii="仿宋" w:hAnsi="仿宋" w:eastAsia="仿宋" w:cs="仿宋"/>
                <w:color w:val="000000"/>
                <w:sz w:val="24"/>
                <w:szCs w:val="24"/>
                <w:highlight w:val="none"/>
                <w:lang w:val="en-US" w:eastAsia="zh-CN"/>
              </w:rPr>
              <w:t>)</w:t>
            </w:r>
          </w:p>
        </w:tc>
        <w:tc>
          <w:tcPr>
            <w:tcW w:w="1563" w:type="dxa"/>
            <w:tcBorders>
              <w:top w:val="single" w:color="auto" w:sz="4" w:space="0"/>
              <w:left w:val="single" w:color="auto" w:sz="4" w:space="0"/>
              <w:right w:val="single" w:color="auto" w:sz="4" w:space="0"/>
            </w:tcBorders>
            <w:noWrap w:val="0"/>
            <w:vAlign w:val="center"/>
          </w:tcPr>
          <w:p w14:paraId="3858452D">
            <w:pPr>
              <w:keepNext w:val="0"/>
              <w:keepLines w:val="0"/>
              <w:pageBreakBefore w:val="0"/>
              <w:widowControl w:val="0"/>
              <w:kinsoku/>
              <w:wordWrap w:val="0"/>
              <w:overflowPunct/>
              <w:topLinePunct w:val="0"/>
              <w:bidi w:val="0"/>
              <w:spacing w:line="340" w:lineRule="exact"/>
              <w:jc w:val="center"/>
              <w:textAlignment w:val="auto"/>
              <w:outlineLvl w:val="9"/>
              <w:rPr>
                <w:rFonts w:hint="eastAsia" w:ascii="仿宋" w:hAnsi="仿宋" w:eastAsia="仿宋" w:cs="仿宋"/>
                <w:color w:val="000000"/>
                <w:kern w:val="2"/>
                <w:sz w:val="24"/>
                <w:szCs w:val="24"/>
                <w:highlight w:val="none"/>
                <w:lang w:val="zh-CN" w:eastAsia="zh-CN" w:bidi="ar-SA"/>
              </w:rPr>
            </w:pPr>
            <w:r>
              <w:rPr>
                <w:rFonts w:hint="eastAsia" w:ascii="仿宋" w:hAnsi="仿宋" w:eastAsia="仿宋" w:cs="仿宋"/>
                <w:color w:val="000000"/>
                <w:sz w:val="24"/>
                <w:szCs w:val="24"/>
                <w:highlight w:val="none"/>
                <w:lang w:val="zh-CN"/>
              </w:rPr>
              <w:t>类似项目业绩</w:t>
            </w:r>
          </w:p>
        </w:tc>
        <w:tc>
          <w:tcPr>
            <w:tcW w:w="6422" w:type="dxa"/>
            <w:tcBorders>
              <w:top w:val="single" w:color="auto" w:sz="4" w:space="0"/>
              <w:left w:val="single" w:color="auto" w:sz="4" w:space="0"/>
              <w:bottom w:val="single" w:color="auto" w:sz="4" w:space="0"/>
              <w:right w:val="single" w:color="auto" w:sz="4" w:space="0"/>
            </w:tcBorders>
            <w:noWrap w:val="0"/>
            <w:vAlign w:val="center"/>
          </w:tcPr>
          <w:p w14:paraId="46E72548">
            <w:pPr>
              <w:keepNext w:val="0"/>
              <w:keepLines w:val="0"/>
              <w:pageBreakBefore w:val="0"/>
              <w:widowControl w:val="0"/>
              <w:kinsoku/>
              <w:wordWrap w:val="0"/>
              <w:overflowPunct/>
              <w:topLinePunct w:val="0"/>
              <w:bidi w:val="0"/>
              <w:spacing w:line="340" w:lineRule="exact"/>
              <w:jc w:val="both"/>
              <w:textAlignment w:val="auto"/>
              <w:outlineLvl w:val="9"/>
              <w:rPr>
                <w:rFonts w:hint="eastAsia" w:ascii="仿宋" w:hAnsi="仿宋" w:eastAsia="仿宋" w:cs="仿宋"/>
                <w:color w:val="000000"/>
                <w:sz w:val="24"/>
                <w:szCs w:val="24"/>
                <w:highlight w:val="none"/>
                <w:lang w:val="zh-CN"/>
              </w:rPr>
            </w:pPr>
            <w:r>
              <w:rPr>
                <w:rFonts w:hint="eastAsia" w:ascii="仿宋" w:hAnsi="仿宋" w:eastAsia="仿宋" w:cs="仿宋"/>
                <w:b/>
                <w:bCs/>
                <w:snapToGrid w:val="0"/>
                <w:color w:val="000000"/>
                <w:spacing w:val="-5"/>
                <w:kern w:val="0"/>
                <w:sz w:val="24"/>
                <w:szCs w:val="24"/>
                <w:lang w:val="zh-CN" w:eastAsia="zh-CN" w:bidi="ar-SA"/>
              </w:rPr>
              <w:t>类似项目业绩</w:t>
            </w:r>
            <w:r>
              <w:rPr>
                <w:rFonts w:hint="eastAsia" w:ascii="仿宋" w:hAnsi="仿宋" w:eastAsia="仿宋" w:cs="仿宋"/>
                <w:b/>
                <w:bCs/>
                <w:snapToGrid w:val="0"/>
                <w:color w:val="000000"/>
                <w:spacing w:val="-5"/>
                <w:kern w:val="0"/>
                <w:sz w:val="24"/>
                <w:szCs w:val="24"/>
                <w:lang w:val="en-US" w:eastAsia="en-US" w:bidi="ar-SA"/>
              </w:rPr>
              <w:t>（</w:t>
            </w:r>
            <w:r>
              <w:rPr>
                <w:rFonts w:hint="eastAsia" w:ascii="仿宋" w:hAnsi="仿宋" w:eastAsia="仿宋" w:cs="仿宋"/>
                <w:b/>
                <w:bCs/>
                <w:snapToGrid w:val="0"/>
                <w:color w:val="000000"/>
                <w:spacing w:val="-5"/>
                <w:kern w:val="0"/>
                <w:sz w:val="24"/>
                <w:szCs w:val="24"/>
                <w:lang w:val="en-US" w:eastAsia="zh-CN" w:bidi="ar-SA"/>
              </w:rPr>
              <w:t>6</w:t>
            </w:r>
            <w:r>
              <w:rPr>
                <w:rFonts w:hint="eastAsia" w:ascii="仿宋" w:hAnsi="仿宋" w:eastAsia="仿宋" w:cs="仿宋"/>
                <w:b/>
                <w:bCs/>
                <w:snapToGrid w:val="0"/>
                <w:color w:val="000000"/>
                <w:spacing w:val="-5"/>
                <w:kern w:val="0"/>
                <w:sz w:val="24"/>
                <w:szCs w:val="24"/>
                <w:lang w:val="en-US" w:eastAsia="en-US" w:bidi="ar-SA"/>
              </w:rPr>
              <w:t xml:space="preserve"> 分）</w:t>
            </w:r>
          </w:p>
          <w:p w14:paraId="60EBB40D">
            <w:pPr>
              <w:keepNext w:val="0"/>
              <w:keepLines w:val="0"/>
              <w:pageBreakBefore w:val="0"/>
              <w:widowControl w:val="0"/>
              <w:kinsoku/>
              <w:wordWrap w:val="0"/>
              <w:overflowPunct/>
              <w:topLinePunct w:val="0"/>
              <w:bidi w:val="0"/>
              <w:spacing w:line="340" w:lineRule="exact"/>
              <w:jc w:val="both"/>
              <w:textAlignment w:val="auto"/>
              <w:outlineLvl w:val="9"/>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供应商</w:t>
            </w:r>
            <w:r>
              <w:rPr>
                <w:rFonts w:hint="eastAsia" w:ascii="仿宋" w:hAnsi="仿宋" w:eastAsia="仿宋" w:cs="仿宋"/>
                <w:color w:val="000000"/>
                <w:sz w:val="24"/>
                <w:szCs w:val="24"/>
                <w:highlight w:val="none"/>
                <w:lang w:val="en-US" w:eastAsia="zh-CN"/>
              </w:rPr>
              <w:t>近三年（</w:t>
            </w:r>
            <w:r>
              <w:rPr>
                <w:rFonts w:hint="eastAsia" w:ascii="仿宋" w:hAnsi="仿宋" w:eastAsia="仿宋" w:cs="仿宋"/>
                <w:color w:val="000000"/>
                <w:sz w:val="24"/>
                <w:szCs w:val="24"/>
                <w:highlight w:val="none"/>
                <w:lang w:val="zh-CN"/>
              </w:rPr>
              <w:t>202</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val="zh-CN"/>
              </w:rPr>
              <w:t>年</w:t>
            </w:r>
            <w:r>
              <w:rPr>
                <w:rFonts w:hint="eastAsia" w:ascii="仿宋" w:hAnsi="仿宋" w:eastAsia="仿宋" w:cs="仿宋"/>
                <w:color w:val="000000"/>
                <w:sz w:val="24"/>
                <w:szCs w:val="24"/>
                <w:highlight w:val="none"/>
                <w:lang w:val="en-US" w:eastAsia="zh-CN"/>
              </w:rPr>
              <w:t>08</w:t>
            </w:r>
            <w:r>
              <w:rPr>
                <w:rFonts w:hint="eastAsia" w:ascii="仿宋" w:hAnsi="仿宋" w:eastAsia="仿宋" w:cs="仿宋"/>
                <w:color w:val="000000"/>
                <w:sz w:val="24"/>
                <w:szCs w:val="24"/>
                <w:highlight w:val="none"/>
                <w:lang w:val="zh-CN"/>
              </w:rPr>
              <w:t>月至今</w:t>
            </w:r>
            <w:r>
              <w:rPr>
                <w:rFonts w:hint="eastAsia" w:ascii="仿宋" w:hAnsi="仿宋" w:eastAsia="仿宋" w:cs="仿宋"/>
                <w:color w:val="000000"/>
                <w:sz w:val="24"/>
                <w:szCs w:val="24"/>
                <w:highlight w:val="none"/>
                <w:lang w:val="zh-CN" w:eastAsia="zh-CN"/>
              </w:rPr>
              <w:t>）</w:t>
            </w:r>
            <w:r>
              <w:rPr>
                <w:rFonts w:hint="eastAsia" w:ascii="仿宋" w:hAnsi="仿宋" w:eastAsia="仿宋" w:cs="仿宋"/>
                <w:color w:val="000000"/>
                <w:sz w:val="24"/>
                <w:szCs w:val="24"/>
                <w:highlight w:val="none"/>
              </w:rPr>
              <w:t>每</w:t>
            </w:r>
            <w:r>
              <w:rPr>
                <w:rFonts w:hint="eastAsia" w:ascii="仿宋" w:hAnsi="仿宋" w:eastAsia="仿宋" w:cs="仿宋"/>
                <w:color w:val="000000"/>
                <w:sz w:val="24"/>
                <w:szCs w:val="24"/>
                <w:highlight w:val="none"/>
                <w:lang w:val="en-US" w:eastAsia="zh-CN"/>
              </w:rPr>
              <w:t>完成</w:t>
            </w:r>
            <w:r>
              <w:rPr>
                <w:rFonts w:hint="eastAsia" w:ascii="仿宋" w:hAnsi="仿宋" w:eastAsia="仿宋" w:cs="仿宋"/>
                <w:color w:val="000000"/>
                <w:sz w:val="24"/>
                <w:szCs w:val="24"/>
                <w:highlight w:val="none"/>
                <w:lang w:val="zh-CN"/>
              </w:rPr>
              <w:t>过</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个</w:t>
            </w:r>
            <w:r>
              <w:rPr>
                <w:rFonts w:hint="eastAsia" w:ascii="仿宋" w:hAnsi="仿宋" w:eastAsia="仿宋" w:cs="仿宋"/>
                <w:color w:val="000000"/>
                <w:sz w:val="24"/>
                <w:szCs w:val="24"/>
                <w:highlight w:val="none"/>
                <w:lang w:val="zh-CN"/>
              </w:rPr>
              <w:t>类似项目</w:t>
            </w:r>
            <w:r>
              <w:rPr>
                <w:rFonts w:hint="eastAsia" w:ascii="仿宋" w:hAnsi="仿宋" w:eastAsia="仿宋" w:cs="仿宋"/>
                <w:color w:val="000000"/>
                <w:sz w:val="24"/>
                <w:szCs w:val="24"/>
                <w:highlight w:val="none"/>
                <w:lang w:val="en-US" w:eastAsia="zh-CN"/>
              </w:rPr>
              <w:t>业绩</w:t>
            </w:r>
            <w:r>
              <w:rPr>
                <w:rFonts w:hint="eastAsia" w:ascii="仿宋" w:hAnsi="仿宋" w:eastAsia="仿宋" w:cs="仿宋"/>
                <w:color w:val="000000"/>
                <w:sz w:val="24"/>
                <w:szCs w:val="24"/>
                <w:highlight w:val="none"/>
              </w:rPr>
              <w:t>得</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分，满分</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分。</w:t>
            </w:r>
          </w:p>
          <w:p w14:paraId="77F96427">
            <w:pPr>
              <w:keepNext w:val="0"/>
              <w:keepLines w:val="0"/>
              <w:pageBreakBefore w:val="0"/>
              <w:widowControl w:val="0"/>
              <w:kinsoku/>
              <w:wordWrap w:val="0"/>
              <w:overflowPunct/>
              <w:topLinePunct w:val="0"/>
              <w:bidi w:val="0"/>
              <w:spacing w:line="340" w:lineRule="exact"/>
              <w:jc w:val="left"/>
              <w:textAlignment w:val="auto"/>
              <w:outlineLvl w:val="9"/>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供应商</w:t>
            </w:r>
            <w:r>
              <w:rPr>
                <w:rFonts w:hint="eastAsia" w:ascii="仿宋" w:hAnsi="仿宋" w:eastAsia="仿宋" w:cs="仿宋"/>
                <w:color w:val="000000"/>
                <w:sz w:val="24"/>
                <w:szCs w:val="24"/>
                <w:highlight w:val="none"/>
                <w:lang w:val="en-US" w:eastAsia="zh-CN"/>
              </w:rPr>
              <w:t>须</w:t>
            </w:r>
            <w:r>
              <w:rPr>
                <w:rFonts w:hint="eastAsia" w:ascii="仿宋" w:hAnsi="仿宋" w:eastAsia="仿宋" w:cs="仿宋"/>
                <w:color w:val="000000"/>
                <w:sz w:val="24"/>
                <w:szCs w:val="24"/>
                <w:highlight w:val="none"/>
                <w:lang w:val="zh-CN"/>
              </w:rPr>
              <w:t>提供</w:t>
            </w:r>
            <w:r>
              <w:rPr>
                <w:rFonts w:hint="eastAsia" w:ascii="仿宋" w:hAnsi="仿宋" w:eastAsia="仿宋" w:cs="仿宋"/>
                <w:color w:val="000000"/>
                <w:sz w:val="24"/>
                <w:szCs w:val="24"/>
                <w:highlight w:val="none"/>
                <w:lang w:val="en-US" w:eastAsia="zh-CN"/>
              </w:rPr>
              <w:t>中标通知书（成交通知书）或</w:t>
            </w:r>
            <w:r>
              <w:rPr>
                <w:rFonts w:hint="eastAsia" w:ascii="仿宋" w:hAnsi="仿宋" w:eastAsia="仿宋" w:cs="仿宋"/>
                <w:color w:val="000000"/>
                <w:sz w:val="24"/>
                <w:szCs w:val="24"/>
                <w:highlight w:val="none"/>
                <w:lang w:val="zh-CN"/>
              </w:rPr>
              <w:t>合同协议书的</w:t>
            </w:r>
            <w:r>
              <w:rPr>
                <w:rFonts w:hint="eastAsia" w:ascii="仿宋" w:hAnsi="仿宋" w:eastAsia="仿宋" w:cs="仿宋"/>
                <w:color w:val="000000"/>
                <w:sz w:val="24"/>
                <w:szCs w:val="24"/>
                <w:highlight w:val="none"/>
                <w:lang w:val="en-US" w:eastAsia="zh-CN"/>
              </w:rPr>
              <w:t>扫描件</w:t>
            </w:r>
            <w:r>
              <w:rPr>
                <w:rFonts w:hint="eastAsia" w:ascii="仿宋" w:hAnsi="仿宋" w:eastAsia="仿宋" w:cs="仿宋"/>
                <w:color w:val="000000"/>
                <w:sz w:val="24"/>
                <w:szCs w:val="24"/>
                <w:highlight w:val="none"/>
                <w:lang w:val="zh-CN"/>
              </w:rPr>
              <w:t>方可计分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类似项目业绩认定时间以合同签订时间为准</w:t>
            </w:r>
            <w:r>
              <w:rPr>
                <w:rFonts w:hint="eastAsia" w:ascii="仿宋" w:hAnsi="仿宋" w:eastAsia="仿宋" w:cs="仿宋"/>
                <w:color w:val="000000"/>
                <w:sz w:val="24"/>
                <w:highlight w:val="none"/>
              </w:rPr>
              <w:t>。</w:t>
            </w:r>
            <w:r>
              <w:rPr>
                <w:rFonts w:hint="eastAsia" w:ascii="仿宋" w:hAnsi="仿宋" w:eastAsia="仿宋" w:cs="仿宋"/>
                <w:color w:val="000000"/>
                <w:sz w:val="24"/>
                <w:szCs w:val="24"/>
                <w:highlight w:val="none"/>
                <w:lang w:val="zh-CN"/>
              </w:rPr>
              <w:t>扫描件</w:t>
            </w:r>
            <w:r>
              <w:rPr>
                <w:rFonts w:hint="eastAsia" w:ascii="仿宋" w:hAnsi="仿宋" w:eastAsia="仿宋" w:cs="仿宋"/>
                <w:color w:val="000000"/>
                <w:sz w:val="24"/>
                <w:szCs w:val="24"/>
                <w:highlight w:val="none"/>
                <w:lang w:val="zh-CN" w:eastAsia="zh-CN"/>
              </w:rPr>
              <w:t>须</w:t>
            </w:r>
            <w:r>
              <w:rPr>
                <w:rFonts w:hint="eastAsia" w:ascii="仿宋" w:hAnsi="仿宋" w:eastAsia="仿宋" w:cs="仿宋"/>
                <w:color w:val="000000"/>
                <w:sz w:val="24"/>
                <w:szCs w:val="24"/>
                <w:highlight w:val="none"/>
                <w:lang w:val="zh-CN"/>
              </w:rPr>
              <w:t>清晰可辨，否则视为未提供。</w:t>
            </w:r>
          </w:p>
        </w:tc>
        <w:tc>
          <w:tcPr>
            <w:tcW w:w="942" w:type="dxa"/>
            <w:tcBorders>
              <w:top w:val="single" w:color="auto" w:sz="4" w:space="0"/>
              <w:left w:val="single" w:color="auto" w:sz="4" w:space="0"/>
              <w:bottom w:val="single" w:color="auto" w:sz="4" w:space="0"/>
              <w:right w:val="single" w:color="auto" w:sz="4" w:space="0"/>
            </w:tcBorders>
            <w:noWrap w:val="0"/>
            <w:vAlign w:val="center"/>
          </w:tcPr>
          <w:p w14:paraId="2CBBEABF">
            <w:pPr>
              <w:keepNext w:val="0"/>
              <w:keepLines w:val="0"/>
              <w:pageBreakBefore w:val="0"/>
              <w:widowControl w:val="0"/>
              <w:kinsoku/>
              <w:wordWrap w:val="0"/>
              <w:overflowPunct/>
              <w:topLinePunct w:val="0"/>
              <w:autoSpaceDE/>
              <w:autoSpaceDN/>
              <w:bidi w:val="0"/>
              <w:adjustRightInd/>
              <w:snapToGrid/>
              <w:spacing w:line="340" w:lineRule="exact"/>
              <w:ind w:left="0" w:leftChars="0"/>
              <w:jc w:val="center"/>
              <w:textAlignment w:val="auto"/>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rPr>
              <w:t>0-</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分</w:t>
            </w:r>
          </w:p>
        </w:tc>
      </w:tr>
      <w:tr w14:paraId="5821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25" w:hRule="atLeast"/>
          <w:jc w:val="center"/>
        </w:trPr>
        <w:tc>
          <w:tcPr>
            <w:tcW w:w="972" w:type="dxa"/>
            <w:tcBorders>
              <w:left w:val="single" w:color="auto" w:sz="4" w:space="0"/>
              <w:right w:val="single" w:color="auto" w:sz="4" w:space="0"/>
            </w:tcBorders>
            <w:noWrap w:val="0"/>
            <w:vAlign w:val="center"/>
          </w:tcPr>
          <w:p w14:paraId="4068DC5A">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报价</w:t>
            </w:r>
          </w:p>
          <w:p w14:paraId="0E693F2E">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部分</w:t>
            </w:r>
          </w:p>
          <w:p w14:paraId="69DC70E4">
            <w:pPr>
              <w:keepNext w:val="0"/>
              <w:keepLines w:val="0"/>
              <w:pageBreakBefore w:val="0"/>
              <w:widowControl w:val="0"/>
              <w:kinsoku/>
              <w:wordWrap w:val="0"/>
              <w:overflowPunct/>
              <w:topLinePunct w:val="0"/>
              <w:autoSpaceDE/>
              <w:autoSpaceDN/>
              <w:bidi w:val="0"/>
              <w:adjustRightInd/>
              <w:spacing w:line="340" w:lineRule="exact"/>
              <w:ind w:left="0" w:right="0" w:rightChars="0"/>
              <w:jc w:val="center"/>
              <w:textAlignment w:val="auto"/>
              <w:outlineLvl w:val="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20</w:t>
            </w:r>
            <w:r>
              <w:rPr>
                <w:rFonts w:hint="eastAsia" w:ascii="仿宋" w:hAnsi="仿宋" w:eastAsia="仿宋" w:cs="仿宋"/>
                <w:color w:val="000000"/>
                <w:sz w:val="24"/>
                <w:szCs w:val="24"/>
                <w:highlight w:val="none"/>
              </w:rPr>
              <w:t>分)</w:t>
            </w:r>
          </w:p>
        </w:tc>
        <w:tc>
          <w:tcPr>
            <w:tcW w:w="8927" w:type="dxa"/>
            <w:gridSpan w:val="3"/>
            <w:tcBorders>
              <w:top w:val="single" w:color="auto" w:sz="4" w:space="0"/>
              <w:left w:val="single" w:color="auto" w:sz="4" w:space="0"/>
              <w:right w:val="single" w:color="auto" w:sz="4" w:space="0"/>
            </w:tcBorders>
            <w:noWrap w:val="0"/>
            <w:vAlign w:val="center"/>
          </w:tcPr>
          <w:p w14:paraId="12BC1566">
            <w:pPr>
              <w:keepNext w:val="0"/>
              <w:keepLines w:val="0"/>
              <w:pageBreakBefore w:val="0"/>
              <w:widowControl w:val="0"/>
              <w:kinsoku/>
              <w:wordWrap w:val="0"/>
              <w:overflowPunct/>
              <w:topLinePunct w:val="0"/>
              <w:autoSpaceDE/>
              <w:autoSpaceDN/>
              <w:bidi w:val="0"/>
              <w:adjustRightInd/>
              <w:snapToGrid/>
              <w:spacing w:before="157" w:beforeLines="50" w:line="340" w:lineRule="exact"/>
              <w:ind w:right="0" w:rightChars="0"/>
              <w:jc w:val="left"/>
              <w:textAlignment w:val="auto"/>
              <w:outlineLvl w:val="9"/>
              <w:rPr>
                <w:rFonts w:hint="eastAsia" w:ascii="仿宋" w:hAnsi="仿宋" w:eastAsia="仿宋" w:cs="仿宋"/>
                <w:b w:val="0"/>
                <w:bCs w:val="0"/>
                <w:color w:val="000000"/>
                <w:w w:val="100"/>
                <w:sz w:val="24"/>
                <w:szCs w:val="24"/>
                <w:highlight w:val="none"/>
                <w:lang w:val="en-US" w:eastAsia="zh-CN"/>
              </w:rPr>
            </w:pPr>
            <w:r>
              <w:rPr>
                <w:rFonts w:hint="eastAsia" w:ascii="仿宋" w:hAnsi="仿宋" w:eastAsia="仿宋" w:cs="仿宋"/>
                <w:b w:val="0"/>
                <w:bCs w:val="0"/>
                <w:color w:val="000000"/>
                <w:w w:val="100"/>
                <w:sz w:val="24"/>
                <w:szCs w:val="24"/>
                <w:highlight w:val="none"/>
                <w:lang w:val="en-US" w:eastAsia="zh-CN"/>
              </w:rPr>
              <w:t>满足竞争性磋商文件要求且最后报价最低供应商的价格为磋商基准价，其价格分为满分20分。其他供应商的价格分统一按照下列公式计算：</w:t>
            </w:r>
          </w:p>
          <w:p w14:paraId="7CFC01C6">
            <w:pPr>
              <w:keepNext w:val="0"/>
              <w:keepLines w:val="0"/>
              <w:pageBreakBefore w:val="0"/>
              <w:widowControl w:val="0"/>
              <w:kinsoku/>
              <w:wordWrap w:val="0"/>
              <w:overflowPunct/>
              <w:topLinePunct w:val="0"/>
              <w:autoSpaceDE/>
              <w:autoSpaceDN/>
              <w:bidi w:val="0"/>
              <w:adjustRightInd/>
              <w:snapToGrid/>
              <w:spacing w:line="340" w:lineRule="exact"/>
              <w:ind w:right="0" w:rightChars="0"/>
              <w:jc w:val="left"/>
              <w:textAlignment w:val="auto"/>
              <w:outlineLvl w:val="9"/>
              <w:rPr>
                <w:rFonts w:hint="default" w:ascii="仿宋" w:hAnsi="仿宋" w:eastAsia="仿宋" w:cs="仿宋"/>
                <w:color w:val="000000"/>
                <w:w w:val="100"/>
                <w:sz w:val="24"/>
                <w:szCs w:val="24"/>
                <w:highlight w:val="none"/>
                <w:lang w:val="en-US" w:eastAsia="zh-CN"/>
              </w:rPr>
            </w:pPr>
            <w:r>
              <w:rPr>
                <w:rFonts w:hint="eastAsia" w:ascii="仿宋" w:hAnsi="仿宋" w:eastAsia="仿宋" w:cs="仿宋"/>
                <w:b/>
                <w:bCs/>
                <w:color w:val="000000"/>
                <w:w w:val="100"/>
                <w:sz w:val="24"/>
                <w:szCs w:val="24"/>
                <w:highlight w:val="none"/>
                <w:lang w:val="en-US" w:eastAsia="zh-CN"/>
              </w:rPr>
              <w:t>磋商报价得分=（磋商基准价/最后磋商总价）×20</w:t>
            </w:r>
          </w:p>
          <w:p w14:paraId="0D5A95F2">
            <w:pPr>
              <w:keepNext w:val="0"/>
              <w:keepLines w:val="0"/>
              <w:pageBreakBefore w:val="0"/>
              <w:widowControl w:val="0"/>
              <w:kinsoku/>
              <w:wordWrap/>
              <w:overflowPunct/>
              <w:topLinePunct w:val="0"/>
              <w:bidi w:val="0"/>
              <w:spacing w:line="340" w:lineRule="exact"/>
              <w:ind w:right="0" w:right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w w:val="100"/>
                <w:sz w:val="24"/>
                <w:szCs w:val="24"/>
                <w:highlight w:val="none"/>
                <w:lang w:val="en-US" w:eastAsia="zh-CN"/>
              </w:rPr>
              <w:t>计算结果保留小数点后两位，第三位四舍五入。</w:t>
            </w:r>
          </w:p>
        </w:tc>
      </w:tr>
    </w:tbl>
    <w:p w14:paraId="1F018819">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14:paraId="78AF5F7C">
      <w:pPr>
        <w:pStyle w:val="3"/>
        <w:keepNext/>
        <w:keepLines/>
        <w:pageBreakBefore w:val="0"/>
        <w:widowControl w:val="0"/>
        <w:kinsoku/>
        <w:wordWrap/>
        <w:overflowPunct/>
        <w:topLinePunct w:val="0"/>
        <w:autoSpaceDE/>
        <w:autoSpaceDN/>
        <w:bidi w:val="0"/>
        <w:adjustRightInd/>
        <w:snapToGrid/>
        <w:spacing w:before="0" w:after="157" w:afterLines="50" w:line="520" w:lineRule="exact"/>
        <w:jc w:val="center"/>
        <w:textAlignment w:val="auto"/>
        <w:rPr>
          <w:rFonts w:hint="eastAsia" w:ascii="仿宋" w:hAnsi="仿宋" w:eastAsia="仿宋" w:cs="仿宋"/>
          <w:color w:val="auto"/>
        </w:rPr>
      </w:pP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lang w:val="en-US" w:eastAsia="zh-CN"/>
        </w:rPr>
        <w:t>方法</w:t>
      </w:r>
      <w:r>
        <w:rPr>
          <w:rFonts w:hint="eastAsia" w:ascii="仿宋" w:hAnsi="仿宋" w:eastAsia="仿宋" w:cs="仿宋"/>
          <w:color w:val="auto"/>
          <w:sz w:val="24"/>
          <w:szCs w:val="24"/>
          <w:highlight w:val="none"/>
        </w:rPr>
        <w:t>前附表</w:t>
      </w:r>
      <w:bookmarkEnd w:id="82"/>
      <w:bookmarkEnd w:id="83"/>
      <w:bookmarkEnd w:id="84"/>
      <w:bookmarkEnd w:id="85"/>
    </w:p>
    <w:p w14:paraId="1557AEF6">
      <w:pPr>
        <w:jc w:val="center"/>
        <w:rPr>
          <w:rFonts w:hint="eastAsia" w:ascii="仿宋" w:hAnsi="仿宋" w:eastAsia="仿宋" w:cs="仿宋"/>
          <w:color w:val="auto"/>
        </w:rPr>
      </w:pPr>
    </w:p>
    <w:p w14:paraId="202AC948">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w:t>
      </w:r>
      <w:r>
        <w:rPr>
          <w:rFonts w:hint="eastAsia" w:ascii="仿宋" w:hAnsi="仿宋" w:eastAsia="仿宋" w:cs="仿宋"/>
          <w:spacing w:val="0"/>
          <w:w w:val="100"/>
          <w:sz w:val="24"/>
          <w:szCs w:val="24"/>
          <w:lang w:eastAsia="zh-CN"/>
        </w:rPr>
        <w:t>响应文件的资格审查和符合性审查（实质性要求）</w:t>
      </w:r>
    </w:p>
    <w:p w14:paraId="32370D45">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1.1</w:t>
      </w:r>
      <w:r>
        <w:rPr>
          <w:rFonts w:hint="eastAsia" w:ascii="仿宋" w:hAnsi="仿宋" w:eastAsia="仿宋" w:cs="仿宋"/>
          <w:spacing w:val="0"/>
          <w:w w:val="100"/>
          <w:sz w:val="24"/>
          <w:szCs w:val="24"/>
          <w:lang w:eastAsia="zh-CN"/>
        </w:rPr>
        <w:t>磋商小组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3F1AC6E6">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color w:val="000000" w:themeColor="text1"/>
          <w:spacing w:val="0"/>
          <w:w w:val="100"/>
          <w:sz w:val="24"/>
          <w:szCs w:val="24"/>
          <w:lang w:eastAsia="zh-CN"/>
          <w14:textFill>
            <w14:solidFill>
              <w14:schemeClr w14:val="tx1"/>
            </w14:solidFill>
          </w14:textFill>
        </w:rPr>
      </w:pPr>
      <w:r>
        <w:rPr>
          <w:rFonts w:hint="eastAsia" w:ascii="仿宋" w:hAnsi="仿宋" w:eastAsia="仿宋" w:cs="仿宋"/>
          <w:spacing w:val="0"/>
          <w:w w:val="100"/>
          <w:sz w:val="24"/>
          <w:szCs w:val="24"/>
          <w:lang w:val="en-US" w:eastAsia="zh-CN"/>
        </w:rPr>
        <w:t>1.2</w:t>
      </w:r>
      <w:r>
        <w:rPr>
          <w:rFonts w:hint="eastAsia" w:ascii="仿宋" w:hAnsi="仿宋" w:eastAsia="仿宋" w:cs="仿宋"/>
          <w:spacing w:val="0"/>
          <w:w w:val="100"/>
          <w:sz w:val="24"/>
          <w:szCs w:val="24"/>
          <w:lang w:eastAsia="zh-CN"/>
        </w:rPr>
        <w:t>磋商小组将根据《评审方法前附表》中的符合性审查要求中规定的内容，对供应商进行检查，并形成检查结果。供应商《响应文件》有任何一项不符合对应要求的，视为未实质性响应磋商文件。未实质性响应磋商文件的响应文</w:t>
      </w:r>
      <w:r>
        <w:rPr>
          <w:rFonts w:hint="eastAsia" w:ascii="仿宋" w:hAnsi="仿宋" w:eastAsia="仿宋" w:cs="仿宋"/>
          <w:color w:val="000000" w:themeColor="text1"/>
          <w:spacing w:val="0"/>
          <w:w w:val="100"/>
          <w:sz w:val="24"/>
          <w:szCs w:val="24"/>
          <w:lang w:eastAsia="zh-CN"/>
          <w14:textFill>
            <w14:solidFill>
              <w14:schemeClr w14:val="tx1"/>
            </w14:solidFill>
          </w14:textFill>
        </w:rPr>
        <w:t>件按无效响应处理，磋商小组应当告知提交响应文件的供应商。</w:t>
      </w:r>
    </w:p>
    <w:p w14:paraId="753BF926">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color w:val="000000" w:themeColor="text1"/>
          <w:spacing w:val="0"/>
          <w:w w:val="100"/>
          <w:sz w:val="24"/>
          <w:szCs w:val="24"/>
          <w:lang w:eastAsia="zh-CN"/>
          <w14:textFill>
            <w14:solidFill>
              <w14:schemeClr w14:val="tx1"/>
            </w14:solidFill>
          </w14:textFill>
        </w:rPr>
      </w:pPr>
      <w:r>
        <w:rPr>
          <w:rFonts w:hint="eastAsia" w:ascii="仿宋" w:hAnsi="仿宋" w:eastAsia="仿宋" w:cs="仿宋"/>
          <w:color w:val="000000" w:themeColor="text1"/>
          <w:spacing w:val="0"/>
          <w:w w:val="100"/>
          <w:sz w:val="24"/>
          <w:szCs w:val="24"/>
          <w:lang w:val="en-US" w:eastAsia="zh-CN"/>
          <w14:textFill>
            <w14:solidFill>
              <w14:schemeClr w14:val="tx1"/>
            </w14:solidFill>
          </w14:textFill>
        </w:rPr>
        <w:t>1.3</w:t>
      </w:r>
      <w:r>
        <w:rPr>
          <w:rFonts w:hint="eastAsia" w:ascii="仿宋" w:hAnsi="仿宋" w:eastAsia="仿宋" w:cs="仿宋"/>
          <w:color w:val="000000" w:themeColor="text1"/>
          <w:spacing w:val="0"/>
          <w:w w:val="100"/>
          <w:sz w:val="24"/>
          <w:szCs w:val="24"/>
          <w:lang w:eastAsia="zh-CN"/>
          <w14:textFill>
            <w14:solidFill>
              <w14:schemeClr w14:val="tx1"/>
            </w14:solidFill>
          </w14:textFill>
        </w:rPr>
        <w:t>磋商小组将根据《评</w:t>
      </w:r>
      <w:r>
        <w:rPr>
          <w:rFonts w:hint="eastAsia" w:ascii="仿宋" w:hAnsi="仿宋" w:eastAsia="仿宋" w:cs="仿宋"/>
          <w:spacing w:val="0"/>
          <w:w w:val="100"/>
          <w:sz w:val="24"/>
          <w:szCs w:val="24"/>
          <w:lang w:eastAsia="zh-CN"/>
        </w:rPr>
        <w:t>审方法</w:t>
      </w:r>
      <w:r>
        <w:rPr>
          <w:rFonts w:hint="eastAsia" w:ascii="仿宋" w:hAnsi="仿宋" w:eastAsia="仿宋" w:cs="仿宋"/>
          <w:color w:val="000000" w:themeColor="text1"/>
          <w:spacing w:val="0"/>
          <w:w w:val="100"/>
          <w:sz w:val="24"/>
          <w:szCs w:val="24"/>
          <w:lang w:eastAsia="zh-CN"/>
          <w14:textFill>
            <w14:solidFill>
              <w14:schemeClr w14:val="tx1"/>
            </w14:solidFill>
          </w14:textFill>
        </w:rPr>
        <w:t>前附表》中的要求对供应商进行资格审查和符合性审查，只有通过资格审查的供应商才能进入下一步符合性审查；只有通过符合性审查的供应商才能进行磋商。</w:t>
      </w:r>
    </w:p>
    <w:p w14:paraId="56715A10">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1.4</w:t>
      </w:r>
      <w:r>
        <w:rPr>
          <w:rFonts w:hint="eastAsia" w:ascii="仿宋" w:hAnsi="仿宋" w:eastAsia="仿宋" w:cs="仿宋"/>
          <w:spacing w:val="0"/>
          <w:w w:val="100"/>
          <w:sz w:val="24"/>
          <w:szCs w:val="24"/>
          <w:lang w:eastAsia="zh-CN"/>
        </w:rPr>
        <w:t>资格审查要求和符合性审查要求中的评审内容及标准要求不能进行任何形式的澄清、说明或者更正。</w:t>
      </w:r>
    </w:p>
    <w:p w14:paraId="5F656016">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color w:val="auto"/>
          <w:spacing w:val="0"/>
          <w:w w:val="100"/>
          <w:sz w:val="24"/>
          <w:szCs w:val="24"/>
          <w:lang w:eastAsia="zh-CN"/>
        </w:rPr>
      </w:pPr>
      <w:r>
        <w:rPr>
          <w:rFonts w:hint="eastAsia" w:ascii="仿宋" w:hAnsi="仿宋" w:eastAsia="仿宋" w:cs="仿宋"/>
          <w:spacing w:val="0"/>
          <w:w w:val="100"/>
          <w:sz w:val="24"/>
          <w:szCs w:val="24"/>
          <w:lang w:val="en-US" w:eastAsia="zh-CN"/>
        </w:rPr>
        <w:t>2、</w:t>
      </w:r>
      <w:r>
        <w:rPr>
          <w:rFonts w:hint="eastAsia" w:ascii="仿宋" w:hAnsi="仿宋" w:eastAsia="仿宋" w:cs="仿宋"/>
          <w:color w:val="auto"/>
          <w:spacing w:val="0"/>
          <w:w w:val="100"/>
          <w:sz w:val="24"/>
          <w:szCs w:val="24"/>
          <w:lang w:eastAsia="zh-CN"/>
        </w:rPr>
        <w:t>磋商、响应文件有关事项的澄清、说明或者更正和最后报价</w:t>
      </w:r>
    </w:p>
    <w:p w14:paraId="4A00B08A">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color w:val="auto"/>
          <w:spacing w:val="0"/>
          <w:w w:val="100"/>
          <w:sz w:val="24"/>
          <w:szCs w:val="24"/>
          <w:lang w:eastAsia="zh-CN"/>
        </w:rPr>
      </w:pPr>
      <w:r>
        <w:rPr>
          <w:rFonts w:hint="eastAsia" w:ascii="仿宋" w:hAnsi="仿宋" w:eastAsia="仿宋" w:cs="仿宋"/>
          <w:color w:val="auto"/>
          <w:spacing w:val="0"/>
          <w:w w:val="100"/>
          <w:sz w:val="24"/>
          <w:szCs w:val="24"/>
          <w:lang w:val="en-US" w:eastAsia="zh-CN"/>
        </w:rPr>
        <w:t>2.1</w:t>
      </w:r>
      <w:r>
        <w:rPr>
          <w:rFonts w:hint="eastAsia" w:ascii="仿宋" w:hAnsi="仿宋" w:eastAsia="仿宋" w:cs="仿宋"/>
          <w:color w:val="auto"/>
          <w:spacing w:val="0"/>
          <w:w w:val="100"/>
          <w:sz w:val="24"/>
          <w:szCs w:val="24"/>
          <w:lang w:eastAsia="zh-CN"/>
        </w:rPr>
        <w:t>磋商小组所有成员将集中与单一供应商分别进行磋商，并给予所有参加磋商的供应商平等的磋商机会；逐家磋商一次为一个轮次，本次磋商轮次为</w:t>
      </w:r>
      <w:r>
        <w:rPr>
          <w:rFonts w:hint="eastAsia" w:ascii="仿宋" w:hAnsi="仿宋" w:eastAsia="仿宋" w:cs="仿宋"/>
          <w:color w:val="auto"/>
          <w:spacing w:val="0"/>
          <w:w w:val="100"/>
          <w:sz w:val="24"/>
          <w:szCs w:val="24"/>
          <w:u w:val="single"/>
          <w:lang w:eastAsia="zh-CN"/>
        </w:rPr>
        <w:t xml:space="preserve"> </w:t>
      </w:r>
      <w:r>
        <w:rPr>
          <w:rFonts w:hint="eastAsia" w:ascii="仿宋" w:hAnsi="仿宋" w:eastAsia="仿宋" w:cs="仿宋"/>
          <w:color w:val="auto"/>
          <w:spacing w:val="0"/>
          <w:w w:val="100"/>
          <w:sz w:val="24"/>
          <w:szCs w:val="24"/>
          <w:u w:val="single"/>
          <w:lang w:val="en-US" w:eastAsia="zh-CN"/>
        </w:rPr>
        <w:t>1</w:t>
      </w:r>
      <w:r>
        <w:rPr>
          <w:rFonts w:hint="eastAsia" w:ascii="仿宋" w:hAnsi="仿宋" w:eastAsia="仿宋" w:cs="仿宋"/>
          <w:color w:val="auto"/>
          <w:spacing w:val="0"/>
          <w:w w:val="100"/>
          <w:sz w:val="24"/>
          <w:szCs w:val="24"/>
          <w:u w:val="single"/>
          <w:lang w:eastAsia="zh-CN"/>
        </w:rPr>
        <w:t xml:space="preserve"> </w:t>
      </w:r>
      <w:r>
        <w:rPr>
          <w:rFonts w:hint="eastAsia" w:ascii="仿宋" w:hAnsi="仿宋" w:eastAsia="仿宋" w:cs="仿宋"/>
          <w:color w:val="auto"/>
          <w:spacing w:val="0"/>
          <w:w w:val="100"/>
          <w:sz w:val="24"/>
          <w:szCs w:val="24"/>
          <w:lang w:eastAsia="zh-CN"/>
        </w:rPr>
        <w:t>次，最后一轮磋商后要求供应商进行的报价为最后报价。</w:t>
      </w:r>
    </w:p>
    <w:p w14:paraId="3314284E">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2.2</w:t>
      </w:r>
      <w:r>
        <w:rPr>
          <w:rFonts w:hint="eastAsia" w:ascii="仿宋" w:hAnsi="仿宋" w:eastAsia="仿宋" w:cs="仿宋"/>
          <w:spacing w:val="0"/>
          <w:w w:val="100"/>
          <w:sz w:val="24"/>
          <w:szCs w:val="24"/>
          <w:lang w:eastAsia="zh-CN"/>
        </w:rPr>
        <w:t>在磋商过程中，磋商小组可以根据磋商文件和磋商情况实质性变动采购需求中的技术、服务要求以及合同条款及格式，但不得变动磋商文件中的其他内容。实质性变动的内容，须经采购人代表确认。</w:t>
      </w:r>
    </w:p>
    <w:p w14:paraId="0CC493E1">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2.3</w:t>
      </w:r>
      <w:r>
        <w:rPr>
          <w:rFonts w:hint="eastAsia" w:ascii="仿宋" w:hAnsi="仿宋" w:eastAsia="仿宋" w:cs="仿宋"/>
          <w:spacing w:val="0"/>
          <w:w w:val="100"/>
          <w:sz w:val="24"/>
          <w:szCs w:val="24"/>
          <w:lang w:eastAsia="zh-CN"/>
        </w:rPr>
        <w:t>对磋商文件作出本章2.2条的实质性变动是磋商文件的有效组成部分，磋商小组应当及时以书面形式同时通知所有参加磋商的供应商。</w:t>
      </w:r>
    </w:p>
    <w:p w14:paraId="1A09C109">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2.4</w:t>
      </w:r>
      <w:r>
        <w:rPr>
          <w:rFonts w:hint="eastAsia" w:ascii="仿宋" w:hAnsi="仿宋" w:eastAsia="仿宋" w:cs="仿宋"/>
          <w:spacing w:val="0"/>
          <w:w w:val="100"/>
          <w:sz w:val="24"/>
          <w:szCs w:val="24"/>
          <w:lang w:eastAsia="zh-CN"/>
        </w:rPr>
        <w:t>供应商应当按照磋商文件的变动情况和磋商小组的要求重新提交响应文件， 并由其法定代表人（若供应商为事业单位或其他组织或分支机构，可为单位负责人）或授权代表签字或者加盖公章。由授权代表签字的，应当附授权委托书。供应商为自然人的，应当由本人签字并附身份证明。</w:t>
      </w:r>
    </w:p>
    <w:p w14:paraId="0F70990F">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2.5</w:t>
      </w:r>
      <w:r>
        <w:rPr>
          <w:rFonts w:hint="eastAsia" w:ascii="仿宋" w:hAnsi="仿宋" w:eastAsia="仿宋" w:cs="仿宋"/>
          <w:spacing w:val="0"/>
          <w:w w:val="100"/>
          <w:sz w:val="24"/>
          <w:szCs w:val="24"/>
          <w:lang w:eastAsia="zh-CN"/>
        </w:rPr>
        <w:t>响应文件的澄清、说明或者更正：</w:t>
      </w:r>
    </w:p>
    <w:p w14:paraId="004357FE">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2.5.1</w:t>
      </w:r>
      <w:r>
        <w:rPr>
          <w:rFonts w:hint="eastAsia" w:ascii="仿宋" w:hAnsi="仿宋" w:eastAsia="仿宋" w:cs="仿宋"/>
          <w:spacing w:val="0"/>
          <w:w w:val="100"/>
          <w:sz w:val="24"/>
          <w:szCs w:val="24"/>
          <w:lang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2DA1573B">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2.5.2</w:t>
      </w:r>
      <w:r>
        <w:rPr>
          <w:rFonts w:hint="eastAsia" w:ascii="仿宋" w:hAnsi="仿宋" w:eastAsia="仿宋" w:cs="仿宋"/>
          <w:spacing w:val="0"/>
          <w:w w:val="100"/>
          <w:sz w:val="24"/>
          <w:szCs w:val="24"/>
          <w:lang w:eastAsia="zh-CN"/>
        </w:rPr>
        <w:t>磋商小组对响应文件进行审查时，可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p>
    <w:p w14:paraId="35F05904">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2.5.3</w:t>
      </w:r>
      <w:r>
        <w:rPr>
          <w:rFonts w:hint="eastAsia" w:ascii="仿宋" w:hAnsi="仿宋" w:eastAsia="仿宋" w:cs="仿宋"/>
          <w:spacing w:val="0"/>
          <w:w w:val="100"/>
          <w:sz w:val="24"/>
          <w:szCs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 或其授权代表签字或者加盖公章。由授权代表签字的，应当附授权委托书。供应商为自然人的，应当由本人签字并附身份证明。澄清、说明或者更正文件将作为响应文件内容的一部分。</w:t>
      </w:r>
    </w:p>
    <w:p w14:paraId="2D4F7CF1">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2.6</w:t>
      </w:r>
      <w:r>
        <w:rPr>
          <w:rFonts w:hint="eastAsia" w:ascii="仿宋" w:hAnsi="仿宋" w:eastAsia="仿宋" w:cs="仿宋"/>
          <w:spacing w:val="0"/>
          <w:w w:val="100"/>
          <w:sz w:val="24"/>
          <w:szCs w:val="24"/>
          <w:lang w:eastAsia="zh-CN"/>
        </w:rPr>
        <w:t>磋商结束后，磋商小组将要求所有实质性响应的供应商在规定时间内提交最后报价。最后报价时间为磋商小组指定的时间，具体时间根据磋商进度另行通知。</w:t>
      </w:r>
    </w:p>
    <w:p w14:paraId="538D16F9">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2.7</w:t>
      </w:r>
      <w:r>
        <w:rPr>
          <w:rFonts w:hint="eastAsia" w:ascii="仿宋" w:hAnsi="仿宋" w:eastAsia="仿宋" w:cs="仿宋"/>
          <w:spacing w:val="0"/>
          <w:w w:val="100"/>
          <w:sz w:val="24"/>
          <w:szCs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D1885F9">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2.8</w:t>
      </w:r>
      <w:r>
        <w:rPr>
          <w:rFonts w:hint="eastAsia" w:ascii="仿宋" w:hAnsi="仿宋" w:eastAsia="仿宋" w:cs="仿宋"/>
          <w:spacing w:val="0"/>
          <w:w w:val="100"/>
          <w:sz w:val="24"/>
          <w:szCs w:val="24"/>
          <w:lang w:eastAsia="zh-CN"/>
        </w:rPr>
        <w:t>最后报价是供应商响应文件的有效组成部分。</w:t>
      </w:r>
    </w:p>
    <w:p w14:paraId="10B26DBF">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2.9</w:t>
      </w:r>
      <w:r>
        <w:rPr>
          <w:rFonts w:hint="eastAsia" w:ascii="仿宋" w:hAnsi="仿宋" w:eastAsia="仿宋" w:cs="仿宋"/>
          <w:spacing w:val="0"/>
          <w:w w:val="100"/>
          <w:sz w:val="24"/>
          <w:szCs w:val="24"/>
          <w:lang w:eastAsia="zh-CN"/>
        </w:rPr>
        <w:t>已提交响应文件的供应商，在提交最后报价之前，可以根据磋商情况退出磋商。</w:t>
      </w:r>
    </w:p>
    <w:p w14:paraId="4275FF58">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w:t>
      </w:r>
      <w:r>
        <w:rPr>
          <w:rFonts w:hint="eastAsia" w:ascii="仿宋" w:hAnsi="仿宋" w:eastAsia="仿宋" w:cs="仿宋"/>
          <w:spacing w:val="0"/>
          <w:w w:val="100"/>
          <w:sz w:val="24"/>
          <w:szCs w:val="24"/>
          <w:lang w:eastAsia="zh-CN"/>
        </w:rPr>
        <w:t>最后报价的算术修正及政策调整</w:t>
      </w:r>
    </w:p>
    <w:p w14:paraId="7479EAF5">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3.1</w:t>
      </w:r>
      <w:r>
        <w:rPr>
          <w:rFonts w:hint="eastAsia" w:ascii="仿宋" w:hAnsi="仿宋" w:eastAsia="仿宋" w:cs="仿宋"/>
          <w:spacing w:val="0"/>
          <w:w w:val="100"/>
          <w:sz w:val="24"/>
          <w:szCs w:val="24"/>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4CF04A8B">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w:t>
      </w:r>
      <w:r>
        <w:rPr>
          <w:rFonts w:hint="eastAsia" w:ascii="仿宋" w:hAnsi="仿宋" w:eastAsia="仿宋" w:cs="仿宋"/>
          <w:spacing w:val="0"/>
          <w:w w:val="100"/>
          <w:sz w:val="24"/>
          <w:szCs w:val="24"/>
          <w:lang w:eastAsia="zh-CN"/>
        </w:rPr>
        <w:t>最后报价出现前后不一致的，按照下列规定修正：</w:t>
      </w:r>
    </w:p>
    <w:p w14:paraId="62E853F3">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3.2.1</w:t>
      </w:r>
      <w:r>
        <w:rPr>
          <w:rFonts w:hint="eastAsia" w:ascii="仿宋" w:hAnsi="仿宋" w:eastAsia="仿宋" w:cs="仿宋"/>
          <w:spacing w:val="0"/>
          <w:w w:val="100"/>
          <w:sz w:val="24"/>
          <w:szCs w:val="24"/>
          <w:lang w:eastAsia="zh-CN"/>
        </w:rPr>
        <w:t>竞争性磋商文件对于报价修正是否另有规定：</w:t>
      </w:r>
    </w:p>
    <w:p w14:paraId="3EAE9228">
      <w:pPr>
        <w:pStyle w:val="12"/>
        <w:keepNext w:val="0"/>
        <w:keepLines w:val="0"/>
        <w:pageBreakBefore w:val="0"/>
        <w:widowControl w:val="0"/>
        <w:tabs>
          <w:tab w:val="left" w:pos="6095"/>
        </w:tabs>
        <w:kinsoku/>
        <w:wordWrap/>
        <w:overflowPunct/>
        <w:topLinePunct w:val="0"/>
        <w:autoSpaceDE/>
        <w:autoSpaceDN/>
        <w:bidi w:val="0"/>
        <w:snapToGrid/>
        <w:spacing w:line="480" w:lineRule="exact"/>
        <w:ind w:firstLine="1200" w:firstLineChars="500"/>
        <w:textAlignment w:val="auto"/>
        <w:rPr>
          <w:rFonts w:hint="default"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□有，具体规定为：</w:t>
      </w:r>
      <w:r>
        <w:rPr>
          <w:rFonts w:hint="eastAsia" w:ascii="仿宋" w:hAnsi="仿宋" w:eastAsia="仿宋" w:cs="仿宋"/>
          <w:spacing w:val="0"/>
          <w:w w:val="100"/>
          <w:sz w:val="24"/>
          <w:szCs w:val="24"/>
          <w:u w:val="single"/>
          <w:lang w:val="en-US" w:eastAsia="zh-CN"/>
        </w:rPr>
        <w:t xml:space="preserve">     /     </w:t>
      </w:r>
    </w:p>
    <w:p w14:paraId="0C44E741">
      <w:pPr>
        <w:pStyle w:val="12"/>
        <w:keepNext w:val="0"/>
        <w:keepLines w:val="0"/>
        <w:pageBreakBefore w:val="0"/>
        <w:widowControl w:val="0"/>
        <w:kinsoku/>
        <w:wordWrap/>
        <w:overflowPunct/>
        <w:topLinePunct w:val="0"/>
        <w:autoSpaceDE/>
        <w:autoSpaceDN/>
        <w:bidi w:val="0"/>
        <w:snapToGrid/>
        <w:spacing w:line="480" w:lineRule="exact"/>
        <w:ind w:firstLine="1200" w:firstLineChars="5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☑无，按下述</w:t>
      </w:r>
      <w:r>
        <w:rPr>
          <w:rFonts w:hint="eastAsia" w:ascii="仿宋" w:hAnsi="仿宋" w:eastAsia="仿宋" w:cs="仿宋"/>
          <w:spacing w:val="0"/>
          <w:w w:val="100"/>
          <w:sz w:val="24"/>
          <w:szCs w:val="24"/>
          <w:lang w:val="en-US" w:eastAsia="zh-CN"/>
        </w:rPr>
        <w:t>3.2.2</w:t>
      </w: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3.2.5</w:t>
      </w:r>
      <w:r>
        <w:rPr>
          <w:rFonts w:hint="eastAsia" w:ascii="仿宋" w:hAnsi="仿宋" w:eastAsia="仿宋" w:cs="仿宋"/>
          <w:spacing w:val="0"/>
          <w:w w:val="100"/>
          <w:sz w:val="24"/>
          <w:szCs w:val="24"/>
          <w:lang w:eastAsia="zh-CN"/>
        </w:rPr>
        <w:t>项规定修正。</w:t>
      </w:r>
    </w:p>
    <w:p w14:paraId="42D1B295">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3.2.2</w:t>
      </w:r>
      <w:r>
        <w:rPr>
          <w:rFonts w:hint="eastAsia" w:ascii="仿宋" w:hAnsi="仿宋" w:eastAsia="仿宋" w:cs="仿宋"/>
          <w:spacing w:val="0"/>
          <w:w w:val="100"/>
          <w:sz w:val="24"/>
          <w:szCs w:val="24"/>
          <w:lang w:eastAsia="zh-CN"/>
        </w:rPr>
        <w:t>大写金额和小写金额不一致的，以大写金额为准；</w:t>
      </w:r>
    </w:p>
    <w:p w14:paraId="10D4B0F9">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3.2.3</w:t>
      </w:r>
      <w:r>
        <w:rPr>
          <w:rFonts w:hint="eastAsia" w:ascii="仿宋" w:hAnsi="仿宋" w:eastAsia="仿宋" w:cs="仿宋"/>
          <w:spacing w:val="0"/>
          <w:w w:val="100"/>
          <w:sz w:val="24"/>
          <w:szCs w:val="24"/>
          <w:lang w:eastAsia="zh-CN"/>
        </w:rPr>
        <w:t>单价金额小数点或者百分比有明显错位的，以总价为准，并修改单价；</w:t>
      </w:r>
    </w:p>
    <w:p w14:paraId="61DA8E99">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3.2.4</w:t>
      </w:r>
      <w:r>
        <w:rPr>
          <w:rFonts w:hint="eastAsia" w:ascii="仿宋" w:hAnsi="仿宋" w:eastAsia="仿宋" w:cs="仿宋"/>
          <w:spacing w:val="0"/>
          <w:w w:val="100"/>
          <w:sz w:val="24"/>
          <w:szCs w:val="24"/>
          <w:lang w:eastAsia="zh-CN"/>
        </w:rPr>
        <w:t>总价金额与按单价汇总金额不一致的，以单价金额计算结果为准。</w:t>
      </w:r>
    </w:p>
    <w:p w14:paraId="253B6F9D">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3.2.5</w:t>
      </w:r>
      <w:r>
        <w:rPr>
          <w:rFonts w:hint="eastAsia" w:ascii="仿宋" w:hAnsi="仿宋" w:eastAsia="仿宋" w:cs="仿宋"/>
          <w:spacing w:val="0"/>
          <w:w w:val="100"/>
          <w:sz w:val="24"/>
          <w:szCs w:val="24"/>
          <w:lang w:eastAsia="zh-CN"/>
        </w:rPr>
        <w:t>同时出现两种以上不一致的，按照前款规定的顺序修正。修正后的报价经供应商书面确认后产生约束力，供应商不确认的，其响应无效。</w:t>
      </w:r>
    </w:p>
    <w:p w14:paraId="19E0A38A">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3.3</w:t>
      </w:r>
      <w:r>
        <w:rPr>
          <w:rFonts w:hint="eastAsia" w:ascii="仿宋" w:hAnsi="仿宋" w:eastAsia="仿宋" w:cs="仿宋"/>
          <w:spacing w:val="0"/>
          <w:w w:val="100"/>
          <w:sz w:val="24"/>
          <w:szCs w:val="24"/>
          <w:lang w:eastAsia="zh-CN"/>
        </w:rPr>
        <w:t>落实政府采购政策的价格调整：只有符合第二章《供应商须知》4.2条规定情形的，可以享受中小企业扶持政策，用扣除后的价格参加评审；否则，评审时价格不予扣除。</w:t>
      </w:r>
    </w:p>
    <w:p w14:paraId="4BA0E467">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3.3.1</w:t>
      </w:r>
      <w:r>
        <w:rPr>
          <w:rFonts w:hint="eastAsia" w:ascii="仿宋" w:hAnsi="仿宋" w:eastAsia="仿宋" w:cs="仿宋"/>
          <w:spacing w:val="0"/>
          <w:w w:val="100"/>
          <w:sz w:val="24"/>
          <w:szCs w:val="24"/>
          <w:lang w:eastAsia="zh-CN"/>
        </w:rPr>
        <w:t>对于未预留份额专门面向中小企业采购的采购项目，以及预留份额项目中的非预留部分采购包，对小微企业报价给予</w:t>
      </w:r>
      <w:r>
        <w:rPr>
          <w:rFonts w:hint="eastAsia" w:ascii="仿宋" w:hAnsi="仿宋" w:eastAsia="仿宋" w:cs="仿宋"/>
          <w:spacing w:val="0"/>
          <w:w w:val="100"/>
          <w:sz w:val="24"/>
          <w:szCs w:val="24"/>
          <w:u w:val="single"/>
          <w:lang w:eastAsia="zh-CN"/>
        </w:rPr>
        <w:t xml:space="preserve">  </w:t>
      </w:r>
      <w:r>
        <w:rPr>
          <w:rFonts w:hint="eastAsia" w:ascii="仿宋" w:hAnsi="仿宋" w:eastAsia="仿宋" w:cs="仿宋"/>
          <w:spacing w:val="0"/>
          <w:w w:val="100"/>
          <w:sz w:val="24"/>
          <w:szCs w:val="24"/>
          <w:u w:val="single"/>
          <w:lang w:val="en-US" w:eastAsia="zh-CN"/>
        </w:rPr>
        <w:t>/</w:t>
      </w:r>
      <w:r>
        <w:rPr>
          <w:rFonts w:hint="eastAsia" w:ascii="仿宋" w:hAnsi="仿宋" w:eastAsia="仿宋" w:cs="仿宋"/>
          <w:spacing w:val="0"/>
          <w:w w:val="100"/>
          <w:sz w:val="24"/>
          <w:szCs w:val="24"/>
          <w:u w:val="single"/>
          <w:lang w:eastAsia="zh-CN"/>
        </w:rPr>
        <w:t xml:space="preserve">  </w:t>
      </w:r>
      <w:r>
        <w:rPr>
          <w:rFonts w:hint="eastAsia" w:ascii="仿宋" w:hAnsi="仿宋" w:eastAsia="仿宋" w:cs="仿宋"/>
          <w:spacing w:val="0"/>
          <w:w w:val="100"/>
          <w:sz w:val="24"/>
          <w:szCs w:val="24"/>
          <w:lang w:eastAsia="zh-CN"/>
        </w:rPr>
        <w:t>%的扣除，用扣除后的价格参加评审。</w:t>
      </w:r>
    </w:p>
    <w:p w14:paraId="281F4CE9">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3.3.2</w:t>
      </w:r>
      <w:r>
        <w:rPr>
          <w:rFonts w:hint="eastAsia" w:ascii="仿宋" w:hAnsi="仿宋" w:eastAsia="仿宋" w:cs="仿宋"/>
          <w:spacing w:val="0"/>
          <w:w w:val="100"/>
          <w:sz w:val="24"/>
          <w:szCs w:val="24"/>
          <w:lang w:eastAsia="zh-CN"/>
        </w:rPr>
        <w:t>对于未预留份额专门面向中小企业采购的采购项目，以及预留份额</w:t>
      </w:r>
      <w:r>
        <w:rPr>
          <w:rFonts w:hint="eastAsia" w:ascii="仿宋" w:hAnsi="仿宋" w:eastAsia="仿宋" w:cs="仿宋"/>
          <w:strike w:val="0"/>
          <w:dstrike w:val="0"/>
          <w:spacing w:val="0"/>
          <w:w w:val="100"/>
          <w:sz w:val="24"/>
          <w:szCs w:val="24"/>
          <w:lang w:eastAsia="zh-CN"/>
        </w:rPr>
        <w:t>项目中的</w:t>
      </w:r>
      <w:r>
        <w:rPr>
          <w:rFonts w:hint="eastAsia" w:ascii="仿宋" w:hAnsi="仿宋" w:eastAsia="仿宋" w:cs="仿宋"/>
          <w:spacing w:val="0"/>
          <w:w w:val="100"/>
          <w:sz w:val="24"/>
          <w:szCs w:val="24"/>
          <w:lang w:eastAsia="zh-CN"/>
        </w:rPr>
        <w:t>非预留部分采购包，且接受大中型企业与小微企业组成联合体或者允许大中型企业向一家或者多家小微企业分包的采购项目， 对于联合协议或者分包意向协议约定小微企业的合同份额占到合同总金额30%以上的联合体或者大中型企业的报价给予</w:t>
      </w:r>
      <w:r>
        <w:rPr>
          <w:rFonts w:hint="eastAsia" w:ascii="仿宋" w:hAnsi="仿宋" w:eastAsia="仿宋" w:cs="仿宋"/>
          <w:spacing w:val="0"/>
          <w:w w:val="100"/>
          <w:sz w:val="24"/>
          <w:szCs w:val="24"/>
          <w:u w:val="single"/>
          <w:lang w:eastAsia="zh-CN"/>
        </w:rPr>
        <w:t xml:space="preserve">  </w:t>
      </w:r>
      <w:r>
        <w:rPr>
          <w:rFonts w:hint="eastAsia" w:ascii="仿宋" w:hAnsi="仿宋" w:eastAsia="仿宋" w:cs="仿宋"/>
          <w:spacing w:val="0"/>
          <w:w w:val="100"/>
          <w:sz w:val="24"/>
          <w:szCs w:val="24"/>
          <w:u w:val="single"/>
          <w:lang w:val="en-US" w:eastAsia="zh-CN"/>
        </w:rPr>
        <w:t>/</w:t>
      </w:r>
      <w:r>
        <w:rPr>
          <w:rFonts w:hint="eastAsia" w:ascii="仿宋" w:hAnsi="仿宋" w:eastAsia="仿宋" w:cs="仿宋"/>
          <w:spacing w:val="0"/>
          <w:w w:val="100"/>
          <w:sz w:val="24"/>
          <w:szCs w:val="24"/>
          <w:u w:val="single"/>
          <w:lang w:eastAsia="zh-CN"/>
        </w:rPr>
        <w:t xml:space="preserve">  </w:t>
      </w:r>
      <w:r>
        <w:rPr>
          <w:rFonts w:hint="eastAsia" w:ascii="仿宋" w:hAnsi="仿宋" w:eastAsia="仿宋" w:cs="仿宋"/>
          <w:spacing w:val="0"/>
          <w:w w:val="100"/>
          <w:sz w:val="24"/>
          <w:szCs w:val="24"/>
          <w:lang w:eastAsia="zh-CN"/>
        </w:rPr>
        <w:t>%的扣除，用扣除后的价格参加评审。</w:t>
      </w:r>
    </w:p>
    <w:p w14:paraId="02565057">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szCs w:val="24"/>
          <w:lang w:val="en-US" w:eastAsia="zh-CN"/>
        </w:rPr>
        <w:t>3.3.3</w:t>
      </w:r>
      <w:r>
        <w:rPr>
          <w:rFonts w:hint="eastAsia" w:ascii="仿宋" w:hAnsi="仿宋" w:eastAsia="仿宋" w:cs="仿宋"/>
          <w:spacing w:val="0"/>
          <w:w w:val="100"/>
          <w:sz w:val="24"/>
          <w:lang w:eastAsia="zh-CN"/>
        </w:rPr>
        <w:t>组成联合体或者接受分包的小微企业与联合体内其他企业、分包企业之间存在直接控股、管理关系的，不享受价格扣除优惠政策。</w:t>
      </w:r>
    </w:p>
    <w:p w14:paraId="7E86381A">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3.3.4</w:t>
      </w:r>
      <w:r>
        <w:rPr>
          <w:rFonts w:hint="eastAsia" w:ascii="仿宋" w:hAnsi="仿宋" w:eastAsia="仿宋" w:cs="仿宋"/>
          <w:spacing w:val="0"/>
          <w:w w:val="100"/>
          <w:sz w:val="24"/>
          <w:lang w:eastAsia="zh-CN"/>
        </w:rPr>
        <w:t>价格扣除比例对小型企业和微型企业同等对待，不作区分。</w:t>
      </w:r>
    </w:p>
    <w:p w14:paraId="6551383E">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3.3.5</w:t>
      </w:r>
      <w:r>
        <w:rPr>
          <w:rFonts w:hint="eastAsia" w:ascii="仿宋" w:hAnsi="仿宋" w:eastAsia="仿宋" w:cs="仿宋"/>
          <w:spacing w:val="0"/>
          <w:w w:val="100"/>
          <w:sz w:val="24"/>
          <w:lang w:eastAsia="zh-CN"/>
        </w:rPr>
        <w:t>中小企业参加政府采购活动，应当按照竞争性磋商文件给定的格式出具《中小企业声明函》，否则不得享受相关中小企业扶持政策。</w:t>
      </w:r>
    </w:p>
    <w:p w14:paraId="0D871A4C">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3.3.6</w:t>
      </w:r>
      <w:r>
        <w:rPr>
          <w:rFonts w:hint="eastAsia" w:ascii="仿宋" w:hAnsi="仿宋" w:eastAsia="仿宋" w:cs="仿宋"/>
          <w:spacing w:val="0"/>
          <w:w w:val="100"/>
          <w:sz w:val="24"/>
          <w:lang w:eastAsia="zh-CN"/>
        </w:rPr>
        <w:t>监狱企业提供了由省级以上监狱管理局、戒毒管理局（含新疆生产建设兵团）出具的属于监狱企业的证明文件的，视同小微企业。</w:t>
      </w:r>
    </w:p>
    <w:p w14:paraId="34BD82D6">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3.3.7</w:t>
      </w:r>
      <w:r>
        <w:rPr>
          <w:rFonts w:hint="eastAsia" w:ascii="仿宋" w:hAnsi="仿宋" w:eastAsia="仿宋" w:cs="仿宋"/>
          <w:spacing w:val="0"/>
          <w:w w:val="100"/>
          <w:sz w:val="24"/>
          <w:lang w:eastAsia="zh-CN"/>
        </w:rPr>
        <w:t>残疾人福利性单位按竞争性磋商文件要求提供了《残疾人福利性单位声明函》的，视同小微企业。</w:t>
      </w:r>
    </w:p>
    <w:p w14:paraId="3029FBDA">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3.3.8</w:t>
      </w:r>
      <w:r>
        <w:rPr>
          <w:rFonts w:hint="eastAsia" w:ascii="仿宋" w:hAnsi="仿宋" w:eastAsia="仿宋" w:cs="仿宋"/>
          <w:spacing w:val="0"/>
          <w:w w:val="100"/>
          <w:sz w:val="24"/>
          <w:lang w:eastAsia="zh-CN"/>
        </w:rPr>
        <w:t>若供应商同时属于小型或微型企业、监狱企业、残疾人福利性单位中的两种及以上，将不重复享受小微企业价格扣减的优惠政策。</w:t>
      </w:r>
    </w:p>
    <w:p w14:paraId="476180E9">
      <w:pPr>
        <w:pStyle w:val="40"/>
        <w:keepNext w:val="0"/>
        <w:keepLines w:val="0"/>
        <w:pageBreakBefore w:val="0"/>
        <w:widowControl w:val="0"/>
        <w:numPr>
          <w:ilvl w:val="0"/>
          <w:numId w:val="0"/>
        </w:numPr>
        <w:tabs>
          <w:tab w:val="left" w:pos="2521"/>
          <w:tab w:val="left" w:pos="252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3.3.9</w:t>
      </w:r>
      <w:r>
        <w:rPr>
          <w:rFonts w:hint="eastAsia" w:ascii="仿宋" w:hAnsi="仿宋" w:eastAsia="仿宋" w:cs="仿宋"/>
          <w:spacing w:val="0"/>
          <w:w w:val="100"/>
          <w:sz w:val="24"/>
          <w:lang w:eastAsia="zh-CN"/>
        </w:rPr>
        <w:t>其他为落实政府采购政策实施的优先采购：</w:t>
      </w:r>
      <w:r>
        <w:rPr>
          <w:rFonts w:hint="eastAsia" w:ascii="仿宋" w:hAnsi="仿宋" w:eastAsia="仿宋" w:cs="仿宋"/>
          <w:spacing w:val="0"/>
          <w:w w:val="100"/>
          <w:sz w:val="24"/>
          <w:u w:val="single"/>
          <w:lang w:eastAsia="zh-CN"/>
        </w:rPr>
        <w:t xml:space="preserve"> </w:t>
      </w:r>
      <w:r>
        <w:rPr>
          <w:rFonts w:hint="eastAsia" w:ascii="仿宋" w:hAnsi="仿宋" w:eastAsia="仿宋" w:cs="仿宋"/>
          <w:spacing w:val="0"/>
          <w:w w:val="100"/>
          <w:sz w:val="24"/>
          <w:u w:val="single"/>
          <w:lang w:eastAsia="zh-CN"/>
        </w:rPr>
        <w:tab/>
      </w:r>
      <w:r>
        <w:rPr>
          <w:rFonts w:hint="eastAsia" w:ascii="仿宋" w:hAnsi="仿宋" w:eastAsia="仿宋" w:cs="仿宋"/>
          <w:spacing w:val="0"/>
          <w:w w:val="100"/>
          <w:sz w:val="24"/>
          <w:u w:val="single"/>
          <w:lang w:val="en-US" w:eastAsia="zh-CN"/>
        </w:rPr>
        <w:t xml:space="preserve">  /   </w:t>
      </w:r>
      <w:r>
        <w:rPr>
          <w:rFonts w:hint="eastAsia" w:ascii="仿宋" w:hAnsi="仿宋" w:eastAsia="仿宋" w:cs="仿宋"/>
          <w:spacing w:val="0"/>
          <w:w w:val="100"/>
          <w:sz w:val="24"/>
          <w:lang w:eastAsia="zh-CN"/>
        </w:rPr>
        <w:t>。</w:t>
      </w:r>
    </w:p>
    <w:p w14:paraId="5E89B440">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w:t>
      </w:r>
      <w:r>
        <w:rPr>
          <w:rFonts w:hint="eastAsia" w:ascii="仿宋" w:hAnsi="仿宋" w:eastAsia="仿宋" w:cs="仿宋"/>
          <w:spacing w:val="0"/>
          <w:w w:val="100"/>
          <w:sz w:val="24"/>
          <w:lang w:eastAsia="zh-CN"/>
        </w:rPr>
        <w:t>磋商环节及提交最后报价后如出现以下情况的，供应商的响应文件无效：</w:t>
      </w:r>
    </w:p>
    <w:p w14:paraId="06D7BBA8">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4.1</w:t>
      </w:r>
      <w:r>
        <w:rPr>
          <w:rFonts w:hint="eastAsia" w:ascii="仿宋" w:hAnsi="仿宋" w:eastAsia="仿宋" w:cs="仿宋"/>
          <w:spacing w:val="0"/>
          <w:w w:val="100"/>
          <w:sz w:val="24"/>
          <w:lang w:eastAsia="zh-CN"/>
        </w:rPr>
        <w:t>供应商未对采购需求实质性变动的技术、服务要求以及合同条款及格式内容进行响应的；</w:t>
      </w:r>
    </w:p>
    <w:p w14:paraId="5CCEF1BF">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4.2</w:t>
      </w:r>
      <w:r>
        <w:rPr>
          <w:rFonts w:hint="eastAsia" w:ascii="仿宋" w:hAnsi="仿宋" w:eastAsia="仿宋" w:cs="仿宋"/>
          <w:spacing w:val="0"/>
          <w:w w:val="100"/>
          <w:sz w:val="24"/>
          <w:lang w:eastAsia="zh-CN"/>
        </w:rPr>
        <w:t>不满足磋商文件★号条款或磋商文件技术指标超出磋商文件《采购需求》中主要技术参数允许偏差的最大范围的（如有）；</w:t>
      </w:r>
    </w:p>
    <w:p w14:paraId="3DDA426E">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4.3</w:t>
      </w:r>
      <w:r>
        <w:rPr>
          <w:rFonts w:hint="eastAsia" w:ascii="仿宋" w:hAnsi="仿宋" w:eastAsia="仿宋" w:cs="仿宋"/>
          <w:spacing w:val="0"/>
          <w:w w:val="100"/>
          <w:sz w:val="24"/>
          <w:lang w:eastAsia="zh-CN"/>
        </w:rPr>
        <w:t>未按照磋商小组规定的时间、逾期提交最后报价的；</w:t>
      </w:r>
    </w:p>
    <w:p w14:paraId="7B0B3672">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4.4</w:t>
      </w:r>
      <w:r>
        <w:rPr>
          <w:rFonts w:hint="eastAsia" w:ascii="仿宋" w:hAnsi="仿宋" w:eastAsia="仿宋" w:cs="仿宋"/>
          <w:spacing w:val="0"/>
          <w:w w:val="100"/>
          <w:sz w:val="24"/>
          <w:lang w:eastAsia="zh-CN"/>
        </w:rPr>
        <w:t>如供应商的最后报价超过竞争性磋商文件中规定的项目/采购包预算金额或者项目/采购包最高限价的；</w:t>
      </w:r>
    </w:p>
    <w:p w14:paraId="68B7062A">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4.5</w:t>
      </w:r>
      <w:r>
        <w:rPr>
          <w:rFonts w:hint="eastAsia" w:ascii="仿宋" w:hAnsi="仿宋" w:eastAsia="仿宋" w:cs="仿宋"/>
          <w:spacing w:val="0"/>
          <w:w w:val="100"/>
          <w:sz w:val="24"/>
          <w:lang w:eastAsia="zh-CN"/>
        </w:rPr>
        <w:t>响应文件中出现可选择性或可调整的报价的（竞争性磋商文件另有规定的除外）；</w:t>
      </w:r>
    </w:p>
    <w:p w14:paraId="21C2E4B8">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lang w:eastAsia="zh-CN"/>
        </w:rPr>
      </w:pPr>
      <w:r>
        <w:rPr>
          <w:rFonts w:hint="eastAsia" w:ascii="仿宋" w:hAnsi="仿宋" w:eastAsia="仿宋" w:cs="仿宋"/>
          <w:spacing w:val="0"/>
          <w:w w:val="100"/>
          <w:sz w:val="24"/>
          <w:lang w:val="en-US" w:eastAsia="zh-CN"/>
        </w:rPr>
        <w:t>4.6</w:t>
      </w:r>
      <w:r>
        <w:rPr>
          <w:rFonts w:hint="eastAsia" w:ascii="仿宋" w:hAnsi="仿宋" w:eastAsia="仿宋" w:cs="仿宋"/>
          <w:spacing w:val="0"/>
          <w:w w:val="100"/>
          <w:sz w:val="24"/>
          <w:lang w:eastAsia="zh-CN"/>
        </w:rPr>
        <w:t>最后报价出现前后不一致，供应商对修正后的报价不予确认的；</w:t>
      </w:r>
    </w:p>
    <w:p w14:paraId="293BB3F3">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w w:val="100"/>
          <w:sz w:val="24"/>
        </w:rPr>
      </w:pPr>
      <w:r>
        <w:rPr>
          <w:rFonts w:hint="eastAsia" w:ascii="仿宋" w:hAnsi="仿宋" w:eastAsia="仿宋" w:cs="仿宋"/>
          <w:spacing w:val="0"/>
          <w:w w:val="100"/>
          <w:sz w:val="24"/>
          <w:lang w:val="en-US" w:eastAsia="zh-CN"/>
        </w:rPr>
        <w:t>4.7</w:t>
      </w:r>
      <w:r>
        <w:rPr>
          <w:rFonts w:hint="eastAsia" w:ascii="仿宋" w:hAnsi="仿宋" w:eastAsia="仿宋" w:cs="仿宋"/>
          <w:spacing w:val="0"/>
          <w:w w:val="100"/>
          <w:sz w:val="24"/>
        </w:rPr>
        <w:t>其他：</w:t>
      </w:r>
      <w:r>
        <w:rPr>
          <w:rFonts w:hint="eastAsia" w:ascii="仿宋" w:hAnsi="仿宋" w:eastAsia="仿宋" w:cs="仿宋"/>
          <w:spacing w:val="0"/>
          <w:w w:val="100"/>
          <w:sz w:val="24"/>
          <w:u w:val="single"/>
        </w:rPr>
        <w:t xml:space="preserve"> </w:t>
      </w:r>
      <w:r>
        <w:rPr>
          <w:rFonts w:hint="eastAsia" w:ascii="仿宋" w:hAnsi="仿宋" w:eastAsia="仿宋" w:cs="仿宋"/>
          <w:spacing w:val="0"/>
          <w:w w:val="100"/>
          <w:sz w:val="24"/>
          <w:u w:val="single"/>
        </w:rPr>
        <w:tab/>
      </w:r>
      <w:r>
        <w:rPr>
          <w:rFonts w:hint="eastAsia" w:ascii="仿宋" w:hAnsi="仿宋" w:eastAsia="仿宋" w:cs="仿宋"/>
          <w:spacing w:val="0"/>
          <w:w w:val="100"/>
          <w:sz w:val="24"/>
          <w:u w:val="single"/>
          <w:lang w:val="en-US" w:eastAsia="zh-CN"/>
        </w:rPr>
        <w:t>/</w:t>
      </w:r>
      <w:r>
        <w:rPr>
          <w:rFonts w:hint="eastAsia" w:ascii="仿宋" w:hAnsi="仿宋" w:eastAsia="仿宋" w:cs="仿宋"/>
          <w:spacing w:val="0"/>
          <w:w w:val="100"/>
          <w:sz w:val="24"/>
          <w:u w:val="single"/>
        </w:rPr>
        <w:tab/>
      </w:r>
      <w:r>
        <w:rPr>
          <w:rFonts w:hint="eastAsia" w:ascii="仿宋" w:hAnsi="仿宋" w:eastAsia="仿宋" w:cs="仿宋"/>
          <w:spacing w:val="0"/>
          <w:w w:val="100"/>
          <w:sz w:val="24"/>
        </w:rPr>
        <w:t>。</w:t>
      </w:r>
    </w:p>
    <w:p w14:paraId="7CA1A19B">
      <w:pPr>
        <w:pStyle w:val="40"/>
        <w:keepNext w:val="0"/>
        <w:keepLines w:val="0"/>
        <w:pageBreakBefore w:val="0"/>
        <w:widowControl w:val="0"/>
        <w:numPr>
          <w:ilvl w:val="0"/>
          <w:numId w:val="0"/>
        </w:numPr>
        <w:tabs>
          <w:tab w:val="left" w:pos="902"/>
        </w:tabs>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spacing w:val="0"/>
          <w:sz w:val="24"/>
        </w:rPr>
      </w:pPr>
      <w:r>
        <w:rPr>
          <w:rFonts w:hint="eastAsia" w:ascii="仿宋" w:hAnsi="仿宋" w:eastAsia="仿宋" w:cs="仿宋"/>
          <w:spacing w:val="0"/>
          <w:w w:val="100"/>
          <w:sz w:val="24"/>
          <w:lang w:val="en-US" w:eastAsia="zh-CN"/>
        </w:rPr>
        <w:t>5、</w:t>
      </w:r>
      <w:r>
        <w:rPr>
          <w:rFonts w:hint="eastAsia" w:ascii="仿宋" w:hAnsi="仿宋" w:eastAsia="仿宋" w:cs="仿宋"/>
          <w:spacing w:val="0"/>
          <w:sz w:val="24"/>
        </w:rPr>
        <w:t>评审方法和评审标准</w:t>
      </w:r>
    </w:p>
    <w:p w14:paraId="0A6C3EA3">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5.1</w:t>
      </w:r>
      <w:r>
        <w:rPr>
          <w:rFonts w:hint="eastAsia" w:ascii="仿宋" w:hAnsi="仿宋" w:eastAsia="仿宋" w:cs="仿宋"/>
          <w:spacing w:val="0"/>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3901A229">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5.2</w:t>
      </w:r>
      <w:r>
        <w:rPr>
          <w:rFonts w:hint="eastAsia" w:ascii="仿宋" w:hAnsi="仿宋" w:eastAsia="仿宋" w:cs="仿宋"/>
          <w:spacing w:val="0"/>
          <w:sz w:val="24"/>
          <w:lang w:eastAsia="zh-CN"/>
        </w:rPr>
        <w:t>竞争性磋商文件中没有规定的评审标准不得作为评审依据。</w:t>
      </w:r>
    </w:p>
    <w:p w14:paraId="387C5E37">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5.3</w:t>
      </w:r>
      <w:r>
        <w:rPr>
          <w:rFonts w:hint="eastAsia" w:ascii="仿宋" w:hAnsi="仿宋" w:eastAsia="仿宋" w:cs="仿宋"/>
          <w:spacing w:val="0"/>
          <w:sz w:val="24"/>
          <w:lang w:eastAsia="zh-CN"/>
        </w:rPr>
        <w:t>非政府强制采购的节能产品或环境标志产品，依据品目清单和认证证书实施政府优先采购。优先采购的具体规定（如涉及）</w:t>
      </w:r>
      <w:r>
        <w:rPr>
          <w:rFonts w:hint="eastAsia" w:ascii="仿宋" w:hAnsi="仿宋" w:eastAsia="仿宋" w:cs="仿宋"/>
          <w:spacing w:val="0"/>
          <w:sz w:val="24"/>
          <w:u w:val="single"/>
          <w:lang w:eastAsia="zh-CN"/>
        </w:rPr>
        <w:t xml:space="preserve">   </w:t>
      </w:r>
      <w:r>
        <w:rPr>
          <w:rFonts w:hint="eastAsia" w:ascii="仿宋" w:hAnsi="仿宋" w:eastAsia="仿宋" w:cs="仿宋"/>
          <w:spacing w:val="0"/>
          <w:w w:val="100"/>
          <w:sz w:val="24"/>
          <w:u w:val="single"/>
          <w:lang w:val="en-US" w:eastAsia="zh-CN"/>
        </w:rPr>
        <w:t>/</w:t>
      </w:r>
      <w:r>
        <w:rPr>
          <w:rFonts w:hint="eastAsia" w:ascii="仿宋" w:hAnsi="仿宋" w:eastAsia="仿宋" w:cs="仿宋"/>
          <w:spacing w:val="0"/>
          <w:sz w:val="24"/>
          <w:u w:val="single"/>
          <w:lang w:eastAsia="zh-CN"/>
        </w:rPr>
        <w:tab/>
      </w:r>
      <w:r>
        <w:rPr>
          <w:rFonts w:hint="eastAsia" w:ascii="仿宋" w:hAnsi="仿宋" w:eastAsia="仿宋" w:cs="仿宋"/>
          <w:spacing w:val="0"/>
          <w:sz w:val="24"/>
          <w:lang w:eastAsia="zh-CN"/>
        </w:rPr>
        <w:t>。</w:t>
      </w:r>
    </w:p>
    <w:p w14:paraId="5F1A4F45">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5.4</w:t>
      </w:r>
      <w:r>
        <w:rPr>
          <w:rFonts w:hint="eastAsia" w:ascii="仿宋" w:hAnsi="仿宋" w:eastAsia="仿宋" w:cs="仿宋"/>
          <w:spacing w:val="0"/>
          <w:sz w:val="24"/>
          <w:lang w:eastAsia="zh-CN"/>
        </w:rPr>
        <w:t>关于无线局域网认证产品政府采购清单中的产品，优先采购的具体规定（如涉及）</w:t>
      </w:r>
      <w:r>
        <w:rPr>
          <w:rFonts w:hint="eastAsia" w:ascii="仿宋" w:hAnsi="仿宋" w:eastAsia="仿宋" w:cs="仿宋"/>
          <w:spacing w:val="0"/>
          <w:sz w:val="24"/>
          <w:u w:val="single"/>
          <w:lang w:eastAsia="zh-CN"/>
        </w:rPr>
        <w:t xml:space="preserve"> </w:t>
      </w:r>
      <w:r>
        <w:rPr>
          <w:rFonts w:hint="eastAsia" w:ascii="仿宋" w:hAnsi="仿宋" w:eastAsia="仿宋" w:cs="仿宋"/>
          <w:spacing w:val="0"/>
          <w:sz w:val="24"/>
          <w:u w:val="single"/>
          <w:lang w:val="en-US" w:eastAsia="zh-CN"/>
        </w:rPr>
        <w:t xml:space="preserve"> </w:t>
      </w:r>
      <w:r>
        <w:rPr>
          <w:rFonts w:hint="eastAsia" w:ascii="仿宋" w:hAnsi="仿宋" w:eastAsia="仿宋" w:cs="仿宋"/>
          <w:spacing w:val="0"/>
          <w:w w:val="100"/>
          <w:sz w:val="24"/>
          <w:u w:val="single"/>
          <w:lang w:val="en-US" w:eastAsia="zh-CN"/>
        </w:rPr>
        <w:t xml:space="preserve">/ </w:t>
      </w:r>
      <w:r>
        <w:rPr>
          <w:rFonts w:hint="eastAsia" w:ascii="仿宋" w:hAnsi="仿宋" w:eastAsia="仿宋" w:cs="仿宋"/>
          <w:spacing w:val="0"/>
          <w:sz w:val="24"/>
          <w:u w:val="single"/>
          <w:lang w:val="en-US" w:eastAsia="zh-CN"/>
        </w:rPr>
        <w:t xml:space="preserve"> </w:t>
      </w:r>
      <w:r>
        <w:rPr>
          <w:rFonts w:hint="eastAsia" w:ascii="仿宋" w:hAnsi="仿宋" w:eastAsia="仿宋" w:cs="仿宋"/>
          <w:spacing w:val="0"/>
          <w:sz w:val="24"/>
          <w:lang w:eastAsia="zh-CN"/>
        </w:rPr>
        <w:t>。</w:t>
      </w:r>
    </w:p>
    <w:p w14:paraId="08CA9493">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2" w:firstLineChars="200"/>
        <w:jc w:val="both"/>
        <w:textAlignment w:val="auto"/>
        <w:rPr>
          <w:rFonts w:hint="eastAsia" w:ascii="仿宋" w:hAnsi="仿宋" w:eastAsia="仿宋" w:cs="仿宋"/>
          <w:b/>
          <w:bCs/>
          <w:color w:val="auto"/>
          <w:spacing w:val="0"/>
          <w:sz w:val="24"/>
          <w:highlight w:val="none"/>
          <w:lang w:val="en-US" w:eastAsia="zh-CN"/>
        </w:rPr>
      </w:pPr>
      <w:r>
        <w:rPr>
          <w:rFonts w:hint="eastAsia" w:ascii="仿宋" w:hAnsi="仿宋" w:eastAsia="仿宋" w:cs="仿宋"/>
          <w:b/>
          <w:bCs/>
          <w:color w:val="auto"/>
          <w:spacing w:val="0"/>
          <w:sz w:val="24"/>
          <w:highlight w:val="none"/>
          <w:lang w:val="en-US" w:eastAsia="zh-CN"/>
        </w:rPr>
        <w:t>5.5强化政府采购异常低价审查，评审中出现下列情形之一的，评审委员会应当启动异常低价投标（响应）审查程序：</w:t>
      </w:r>
    </w:p>
    <w:p w14:paraId="43DA7E1A">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2" w:firstLineChars="200"/>
        <w:jc w:val="both"/>
        <w:textAlignment w:val="auto"/>
        <w:rPr>
          <w:rFonts w:hint="eastAsia" w:ascii="仿宋" w:hAnsi="仿宋" w:eastAsia="仿宋" w:cs="仿宋"/>
          <w:b/>
          <w:bCs/>
          <w:color w:val="auto"/>
          <w:spacing w:val="0"/>
          <w:sz w:val="24"/>
          <w:highlight w:val="none"/>
          <w:lang w:val="en-US" w:eastAsia="zh-CN"/>
        </w:rPr>
      </w:pPr>
      <w:r>
        <w:rPr>
          <w:rFonts w:hint="eastAsia" w:ascii="仿宋" w:hAnsi="仿宋" w:eastAsia="仿宋" w:cs="仿宋"/>
          <w:b/>
          <w:bCs/>
          <w:color w:val="auto"/>
          <w:spacing w:val="0"/>
          <w:sz w:val="24"/>
          <w:highlight w:val="none"/>
          <w:lang w:val="en-US" w:eastAsia="zh-CN"/>
        </w:rPr>
        <w:t>1.投标（响应）报价低于全部通过符合性审查供应商投标（响应）报价平均值50%的，即投标（响应）报价&lt;全部通过符合性审查供应商投标（响应）报价平均值×50%；</w:t>
      </w:r>
    </w:p>
    <w:p w14:paraId="57A5BCB0">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2" w:firstLineChars="200"/>
        <w:jc w:val="both"/>
        <w:textAlignment w:val="auto"/>
        <w:rPr>
          <w:rFonts w:hint="eastAsia" w:ascii="仿宋" w:hAnsi="仿宋" w:eastAsia="仿宋" w:cs="仿宋"/>
          <w:b/>
          <w:bCs/>
          <w:color w:val="auto"/>
          <w:spacing w:val="0"/>
          <w:sz w:val="24"/>
          <w:highlight w:val="none"/>
          <w:lang w:val="en-US" w:eastAsia="zh-CN"/>
        </w:rPr>
      </w:pPr>
      <w:r>
        <w:rPr>
          <w:rFonts w:hint="eastAsia" w:ascii="仿宋" w:hAnsi="仿宋" w:eastAsia="仿宋" w:cs="仿宋"/>
          <w:b/>
          <w:bCs/>
          <w:color w:val="auto"/>
          <w:spacing w:val="0"/>
          <w:sz w:val="24"/>
          <w:highlight w:val="none"/>
          <w:lang w:val="en-US" w:eastAsia="zh-CN"/>
        </w:rPr>
        <w:t>2.投标（响应）报价低于通过符合性审查的次低报价供应商投标（响应）报价50%的，即投标（响应）报价&lt;通过符合性审查的次低报价供应商投标（响应）报价×50%；</w:t>
      </w:r>
    </w:p>
    <w:p w14:paraId="119A3712">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2" w:firstLineChars="200"/>
        <w:jc w:val="both"/>
        <w:textAlignment w:val="auto"/>
        <w:rPr>
          <w:rFonts w:hint="eastAsia" w:ascii="仿宋" w:hAnsi="仿宋" w:eastAsia="仿宋" w:cs="仿宋"/>
          <w:b/>
          <w:bCs/>
          <w:color w:val="auto"/>
          <w:spacing w:val="0"/>
          <w:sz w:val="24"/>
          <w:highlight w:val="none"/>
          <w:lang w:val="en-US" w:eastAsia="zh-CN"/>
        </w:rPr>
      </w:pPr>
      <w:r>
        <w:rPr>
          <w:rFonts w:hint="eastAsia" w:ascii="仿宋" w:hAnsi="仿宋" w:eastAsia="仿宋" w:cs="仿宋"/>
          <w:b/>
          <w:bCs/>
          <w:color w:val="auto"/>
          <w:spacing w:val="0"/>
          <w:sz w:val="24"/>
          <w:highlight w:val="none"/>
          <w:lang w:val="en-US" w:eastAsia="zh-CN"/>
        </w:rPr>
        <w:t>3.投标（响应）报价低于采购项目最高限价45%的，即投标（响应）报价&lt;采购项目最高限价×45%；</w:t>
      </w:r>
    </w:p>
    <w:p w14:paraId="41E09BB7">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2" w:firstLineChars="200"/>
        <w:jc w:val="both"/>
        <w:textAlignment w:val="auto"/>
        <w:rPr>
          <w:rFonts w:hint="eastAsia" w:ascii="仿宋" w:hAnsi="仿宋" w:eastAsia="仿宋" w:cs="仿宋"/>
          <w:spacing w:val="0"/>
          <w:sz w:val="24"/>
          <w:lang w:eastAsia="zh-CN"/>
        </w:rPr>
      </w:pPr>
      <w:r>
        <w:rPr>
          <w:rFonts w:hint="eastAsia" w:ascii="仿宋" w:hAnsi="仿宋" w:eastAsia="仿宋" w:cs="仿宋"/>
          <w:b/>
          <w:bCs/>
          <w:color w:val="auto"/>
          <w:spacing w:val="0"/>
          <w:sz w:val="24"/>
          <w:highlight w:val="none"/>
          <w:lang w:val="en-US" w:eastAsia="zh-CN"/>
        </w:rPr>
        <w:t>4.评审委员会基于专业判断，认为供应商报价过低，有可能影响产品质量或者不能诚信履约的其他情形。</w:t>
      </w:r>
    </w:p>
    <w:p w14:paraId="60CC4FE4">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rPr>
      </w:pPr>
      <w:r>
        <w:rPr>
          <w:rFonts w:hint="eastAsia" w:ascii="仿宋" w:hAnsi="仿宋" w:eastAsia="仿宋" w:cs="仿宋"/>
          <w:spacing w:val="0"/>
          <w:sz w:val="24"/>
          <w:lang w:val="en-US" w:eastAsia="zh-CN"/>
        </w:rPr>
        <w:t>6、</w:t>
      </w:r>
      <w:r>
        <w:rPr>
          <w:rFonts w:hint="eastAsia" w:ascii="仿宋" w:hAnsi="仿宋" w:eastAsia="仿宋" w:cs="仿宋"/>
          <w:spacing w:val="0"/>
          <w:sz w:val="24"/>
        </w:rPr>
        <w:t>确定成交候选人名单</w:t>
      </w:r>
    </w:p>
    <w:p w14:paraId="11FE5F27">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6.1</w:t>
      </w:r>
      <w:r>
        <w:rPr>
          <w:rFonts w:hint="eastAsia" w:ascii="仿宋" w:hAnsi="仿宋" w:eastAsia="仿宋" w:cs="仿宋"/>
          <w:spacing w:val="0"/>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w:t>
      </w:r>
      <w:r>
        <w:rPr>
          <w:rFonts w:hint="eastAsia" w:ascii="仿宋" w:hAnsi="仿宋" w:eastAsia="仿宋" w:cs="仿宋"/>
          <w:spacing w:val="0"/>
          <w:sz w:val="24"/>
          <w:u w:val="single"/>
          <w:lang w:eastAsia="zh-CN"/>
        </w:rPr>
        <w:tab/>
      </w:r>
      <w:r>
        <w:rPr>
          <w:rFonts w:hint="eastAsia" w:ascii="仿宋" w:hAnsi="仿宋" w:eastAsia="仿宋" w:cs="仿宋"/>
          <w:spacing w:val="0"/>
          <w:w w:val="100"/>
          <w:sz w:val="24"/>
          <w:u w:val="single"/>
          <w:lang w:val="en-US" w:eastAsia="zh-CN"/>
        </w:rPr>
        <w:t xml:space="preserve">/ </w:t>
      </w:r>
      <w:r>
        <w:rPr>
          <w:rFonts w:hint="eastAsia" w:ascii="仿宋" w:hAnsi="仿宋" w:eastAsia="仿宋" w:cs="仿宋"/>
          <w:spacing w:val="0"/>
          <w:sz w:val="24"/>
          <w:u w:val="single"/>
          <w:lang w:eastAsia="zh-CN"/>
        </w:rPr>
        <w:t xml:space="preserve"> </w:t>
      </w:r>
      <w:r>
        <w:rPr>
          <w:rFonts w:hint="eastAsia" w:ascii="仿宋" w:hAnsi="仿宋" w:eastAsia="仿宋" w:cs="仿宋"/>
          <w:spacing w:val="0"/>
          <w:sz w:val="24"/>
          <w:lang w:eastAsia="zh-CN"/>
        </w:rPr>
        <w:t>评审得分最高的供应商为排名第一的成交候选人。评分分值计算保留小数点后两位，第三位四舍五入。</w:t>
      </w:r>
    </w:p>
    <w:p w14:paraId="0E5C54D7">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6.2</w:t>
      </w:r>
      <w:r>
        <w:rPr>
          <w:rFonts w:hint="eastAsia" w:ascii="仿宋" w:hAnsi="仿宋" w:eastAsia="仿宋" w:cs="仿宋"/>
          <w:spacing w:val="0"/>
          <w:sz w:val="24"/>
          <w:lang w:eastAsia="zh-CN"/>
        </w:rPr>
        <w:t>磋商小组根据上述供应商排序，依次推荐排序前</w:t>
      </w:r>
      <w:r>
        <w:rPr>
          <w:rFonts w:hint="eastAsia" w:ascii="仿宋" w:hAnsi="仿宋" w:eastAsia="仿宋" w:cs="仿宋"/>
          <w:spacing w:val="0"/>
          <w:sz w:val="24"/>
          <w:u w:val="single"/>
          <w:lang w:eastAsia="zh-CN"/>
        </w:rPr>
        <w:t xml:space="preserve"> </w:t>
      </w:r>
      <w:r>
        <w:rPr>
          <w:rFonts w:hint="eastAsia" w:ascii="仿宋" w:hAnsi="仿宋" w:eastAsia="仿宋" w:cs="仿宋"/>
          <w:spacing w:val="0"/>
          <w:sz w:val="24"/>
          <w:u w:val="single"/>
          <w:lang w:val="en-US" w:eastAsia="zh-CN"/>
        </w:rPr>
        <w:t xml:space="preserve"> 三  </w:t>
      </w:r>
      <w:r>
        <w:rPr>
          <w:rFonts w:hint="eastAsia" w:ascii="仿宋" w:hAnsi="仿宋" w:eastAsia="仿宋" w:cs="仿宋"/>
          <w:spacing w:val="0"/>
          <w:sz w:val="24"/>
          <w:lang w:eastAsia="zh-CN"/>
        </w:rPr>
        <w:t>名的供应商为成交候选供应商（若在磋商文件允许的情形下提交最后报价的供应商为二家，则依次推荐二名供应商为成交候选供应商），并编写评审报告。</w:t>
      </w:r>
    </w:p>
    <w:p w14:paraId="03DEE412">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6.3</w:t>
      </w:r>
      <w:r>
        <w:rPr>
          <w:rFonts w:hint="eastAsia" w:ascii="仿宋" w:hAnsi="仿宋" w:eastAsia="仿宋" w:cs="仿宋"/>
          <w:spacing w:val="0"/>
          <w:sz w:val="24"/>
          <w:lang w:eastAsia="zh-CN"/>
        </w:rPr>
        <w:t>磋商小组要对评分汇总情况进行复核，特别是对排名第一的、报价最低的、响应文件被认定为无效的情形进行重点复核。</w:t>
      </w:r>
    </w:p>
    <w:p w14:paraId="4324B6B3">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6.4</w:t>
      </w:r>
      <w:r>
        <w:rPr>
          <w:rFonts w:hint="eastAsia" w:ascii="仿宋" w:hAnsi="仿宋" w:eastAsia="仿宋" w:cs="仿宋"/>
          <w:spacing w:val="0"/>
          <w:sz w:val="24"/>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5E9564D">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rPr>
      </w:pPr>
      <w:r>
        <w:rPr>
          <w:rFonts w:hint="eastAsia" w:ascii="仿宋" w:hAnsi="仿宋" w:eastAsia="仿宋" w:cs="仿宋"/>
          <w:spacing w:val="0"/>
          <w:sz w:val="24"/>
          <w:lang w:val="en-US" w:eastAsia="zh-CN"/>
        </w:rPr>
        <w:t>7、</w:t>
      </w:r>
      <w:r>
        <w:rPr>
          <w:rFonts w:hint="eastAsia" w:ascii="仿宋" w:hAnsi="仿宋" w:eastAsia="仿宋" w:cs="仿宋"/>
          <w:spacing w:val="0"/>
          <w:sz w:val="24"/>
        </w:rPr>
        <w:t>报告违法行为</w:t>
      </w:r>
    </w:p>
    <w:p w14:paraId="2A074CB2">
      <w:pPr>
        <w:pStyle w:val="40"/>
        <w:keepNext w:val="0"/>
        <w:keepLines w:val="0"/>
        <w:pageBreakBefore w:val="0"/>
        <w:widowControl w:val="0"/>
        <w:numPr>
          <w:ilvl w:val="0"/>
          <w:numId w:val="0"/>
        </w:numPr>
        <w:tabs>
          <w:tab w:val="left" w:pos="902"/>
        </w:tabs>
        <w:kinsoku/>
        <w:wordWrap/>
        <w:overflowPunct/>
        <w:topLinePunct w:val="0"/>
        <w:autoSpaceDE/>
        <w:autoSpaceDN/>
        <w:bidi w:val="0"/>
        <w:snapToGrid/>
        <w:spacing w:line="480" w:lineRule="exact"/>
        <w:ind w:firstLine="480" w:firstLineChars="200"/>
        <w:jc w:val="both"/>
        <w:textAlignment w:val="auto"/>
        <w:rPr>
          <w:rFonts w:hint="eastAsia" w:ascii="仿宋" w:hAnsi="仿宋" w:eastAsia="仿宋" w:cs="仿宋"/>
          <w:spacing w:val="0"/>
          <w:sz w:val="24"/>
          <w:lang w:eastAsia="zh-CN"/>
        </w:rPr>
      </w:pPr>
      <w:r>
        <w:rPr>
          <w:rFonts w:hint="eastAsia" w:ascii="仿宋" w:hAnsi="仿宋" w:eastAsia="仿宋" w:cs="仿宋"/>
          <w:spacing w:val="0"/>
          <w:sz w:val="24"/>
          <w:lang w:val="en-US" w:eastAsia="zh-CN"/>
        </w:rPr>
        <w:t>7.1</w:t>
      </w:r>
      <w:r>
        <w:rPr>
          <w:rFonts w:hint="eastAsia" w:ascii="仿宋" w:hAnsi="仿宋" w:eastAsia="仿宋" w:cs="仿宋"/>
          <w:spacing w:val="0"/>
          <w:sz w:val="24"/>
          <w:lang w:eastAsia="zh-CN"/>
        </w:rPr>
        <w:t>磋商小组在评审过程中发现供应商有行贿、提供虚假材料或者串通等违法行为时，有向采购人、采购代理机构或者有关部门报告的职责。</w:t>
      </w:r>
    </w:p>
    <w:p w14:paraId="3A76A579">
      <w:pPr>
        <w:rPr>
          <w:rFonts w:hint="eastAsia" w:ascii="仿宋" w:hAnsi="仿宋" w:eastAsia="仿宋" w:cs="仿宋"/>
          <w:b/>
          <w:bCs/>
          <w:color w:val="auto"/>
          <w:sz w:val="28"/>
          <w:szCs w:val="28"/>
          <w:highlight w:val="none"/>
        </w:rPr>
      </w:pPr>
      <w:r>
        <w:rPr>
          <w:rFonts w:hint="eastAsia" w:ascii="仿宋" w:hAnsi="仿宋" w:eastAsia="仿宋" w:cs="仿宋"/>
          <w:color w:val="auto"/>
        </w:rPr>
        <w:br w:type="page"/>
      </w:r>
      <w:bookmarkEnd w:id="86"/>
      <w:bookmarkEnd w:id="87"/>
      <w:bookmarkEnd w:id="88"/>
      <w:bookmarkEnd w:id="89"/>
      <w:bookmarkEnd w:id="90"/>
      <w:bookmarkEnd w:id="91"/>
      <w:bookmarkEnd w:id="92"/>
      <w:bookmarkEnd w:id="93"/>
      <w:bookmarkEnd w:id="94"/>
      <w:bookmarkEnd w:id="95"/>
      <w:bookmarkEnd w:id="96"/>
    </w:p>
    <w:p w14:paraId="6583563E">
      <w:pPr>
        <w:numPr>
          <w:ilvl w:val="0"/>
          <w:numId w:val="7"/>
        </w:numPr>
        <w:jc w:val="center"/>
        <w:outlineLvl w:val="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bookmarkStart w:id="97" w:name="_Toc3329"/>
      <w:bookmarkStart w:id="98" w:name="_Toc22958"/>
      <w:r>
        <w:rPr>
          <w:rFonts w:hint="eastAsia" w:ascii="仿宋" w:hAnsi="仿宋" w:eastAsia="仿宋" w:cs="仿宋"/>
          <w:b/>
          <w:bCs/>
          <w:color w:val="auto"/>
          <w:sz w:val="28"/>
          <w:szCs w:val="28"/>
          <w:highlight w:val="none"/>
        </w:rPr>
        <w:t>采购需求</w:t>
      </w:r>
      <w:bookmarkEnd w:id="97"/>
      <w:bookmarkEnd w:id="98"/>
    </w:p>
    <w:p w14:paraId="79003D9A">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一、项目概况</w:t>
      </w:r>
    </w:p>
    <w:p w14:paraId="3DCCA426">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jc w:val="left"/>
        <w:textAlignment w:val="auto"/>
        <w:rPr>
          <w:rFonts w:hint="eastAsia" w:ascii="仿宋" w:hAnsi="仿宋" w:eastAsia="仿宋" w:cs="仿宋"/>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纳竜坝村小组茶产业及人居环境综合整治提升项目</w:t>
      </w:r>
      <w:r>
        <w:rPr>
          <w:rFonts w:hint="eastAsia" w:ascii="仿宋" w:hAnsi="仿宋" w:eastAsia="仿宋" w:cs="仿宋"/>
          <w:b w:val="0"/>
          <w:bCs w:val="0"/>
          <w:color w:val="000000"/>
          <w:sz w:val="24"/>
          <w:szCs w:val="24"/>
          <w:highlight w:val="none"/>
        </w:rPr>
        <w:t>采购需求：</w:t>
      </w:r>
      <w:r>
        <w:rPr>
          <w:rFonts w:hint="eastAsia" w:ascii="仿宋" w:hAnsi="仿宋" w:eastAsia="仿宋" w:cs="仿宋"/>
          <w:b w:val="0"/>
          <w:bCs w:val="0"/>
          <w:color w:val="000000"/>
          <w:sz w:val="24"/>
          <w:szCs w:val="24"/>
          <w:highlight w:val="none"/>
          <w:lang w:val="en-US" w:eastAsia="zh-CN"/>
        </w:rPr>
        <w:t>1.新建标准化钢架结构茶叶加工厂 1 座，长 15 米、宽6 米，地面硬化 90 平方米框架，辐射带动洪水河片区茶农，统一开展茶叶收购、精深加工、产销对接服务；2.村内道路硬化工程 1000 米，路面平均宽度 3 米；3.修建排水渠 500 米，包含三面光、四面光防渗沟渠；4.民族陀螺文化活动场地长 26 米，宽 17 米，地面硬化442 平方米（围墙砌筑高 1.2 米，长 30 米，做护壁），修建钢架结构顶大棚 1 个面积 550 平方米；5.安装乡村亮化路灯 10 盏（具体以发布的工程量清单及图纸为准）。</w:t>
      </w:r>
    </w:p>
    <w:p w14:paraId="739957C9">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二、工程内容</w:t>
      </w:r>
    </w:p>
    <w:p w14:paraId="6842D76F">
      <w:pPr>
        <w:pStyle w:val="2"/>
        <w:pageBreakBefore w:val="0"/>
        <w:widowControl w:val="0"/>
        <w:kinsoku/>
        <w:wordWrap/>
        <w:overflowPunct/>
        <w:topLinePunct w:val="0"/>
        <w:autoSpaceDE/>
        <w:autoSpaceDN/>
        <w:bidi w:val="0"/>
        <w:adjustRightInd/>
        <w:snapToGrid/>
        <w:spacing w:before="0" w:beforeLines="0" w:after="0" w:afterLines="0" w:line="480" w:lineRule="exact"/>
        <w:jc w:val="left"/>
        <w:textAlignment w:val="auto"/>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1.工程名称：</w:t>
      </w:r>
    </w:p>
    <w:p w14:paraId="36BA2B31">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纳竜坝村小组茶产业及人居环境综合整治提升项目</w:t>
      </w:r>
    </w:p>
    <w:p w14:paraId="1C422A71">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2.现场条件：</w:t>
      </w:r>
    </w:p>
    <w:p w14:paraId="79790328">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已具备施工条件</w:t>
      </w:r>
    </w:p>
    <w:p w14:paraId="1C70491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jc w:val="left"/>
        <w:textAlignment w:val="auto"/>
        <w:rPr>
          <w:rFonts w:hint="default" w:ascii="仿宋" w:hAnsi="仿宋" w:eastAsia="仿宋" w:cs="仿宋"/>
          <w:color w:val="auto"/>
          <w:sz w:val="24"/>
          <w:szCs w:val="24"/>
          <w:highlight w:val="none"/>
          <w:lang w:val="en-US" w:eastAsia="zh-CN"/>
        </w:rPr>
      </w:pPr>
      <w:r>
        <w:rPr>
          <w:rFonts w:hint="eastAsia" w:cs="Times New Roman" w:asciiTheme="minorEastAsia" w:hAnsiTheme="minorEastAsia" w:eastAsiaTheme="minorEastAsia"/>
          <w:color w:val="auto"/>
          <w:sz w:val="24"/>
          <w:szCs w:val="24"/>
          <w:lang w:eastAsia="zh-CN"/>
        </w:rPr>
        <w:t>★</w:t>
      </w:r>
      <w:r>
        <w:rPr>
          <w:rFonts w:hint="eastAsia" w:ascii="仿宋" w:hAnsi="仿宋" w:eastAsia="仿宋" w:cs="仿宋"/>
          <w:b w:val="0"/>
          <w:bCs w:val="0"/>
          <w:color w:val="auto"/>
          <w:spacing w:val="0"/>
          <w:kern w:val="2"/>
          <w:sz w:val="24"/>
          <w:szCs w:val="24"/>
          <w:highlight w:val="none"/>
          <w:lang w:val="en-US" w:eastAsia="zh-CN" w:bidi="ar-SA"/>
        </w:rPr>
        <w:t>3</w:t>
      </w: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w:t>
      </w:r>
      <w:r>
        <w:rPr>
          <w:rFonts w:hint="eastAsia" w:ascii="仿宋" w:hAnsi="仿宋" w:eastAsia="仿宋" w:cs="仿宋"/>
          <w:b w:val="0"/>
          <w:bCs w:val="0"/>
          <w:color w:val="auto"/>
          <w:spacing w:val="0"/>
          <w:kern w:val="2"/>
          <w:sz w:val="24"/>
          <w:szCs w:val="24"/>
          <w:highlight w:val="none"/>
          <w:lang w:val="en-US" w:eastAsia="zh-CN" w:bidi="ar-SA"/>
        </w:rPr>
        <w:t>工程承包范围：</w:t>
      </w:r>
      <w:r>
        <w:rPr>
          <w:rFonts w:hint="eastAsia" w:ascii="仿宋" w:hAnsi="仿宋" w:eastAsia="仿宋" w:cs="仿宋"/>
          <w:b w:val="0"/>
          <w:bCs w:val="0"/>
          <w:color w:val="000000"/>
          <w:sz w:val="24"/>
          <w:szCs w:val="24"/>
          <w:highlight w:val="none"/>
          <w:lang w:val="en-US" w:eastAsia="zh-CN"/>
        </w:rPr>
        <w:t>1.新建标准化钢架结构茶叶加工厂 1 座，长 15 米、宽6 米，地面硬化 90 平方米框架，辐射带动洪水河片区茶农，统一开展茶叶收购、精深加工、产销对接服务；2.村内道路硬化工程 1000 米，路面平均宽度 3 米；3.修建排水渠 500 米，包含三面光、四面光防渗沟渠；4.民族陀螺文化活动场地长 26 米，宽 17 米，地面硬化442 平方米（围墙砌筑高 1.2 米，长 30 米，做护壁），修建钢架结构顶大棚 1 个面积 550 平方米；5.安装乡村亮化路灯 10 盏（具体以发布的工程量清单及图纸为准）。</w:t>
      </w:r>
    </w:p>
    <w:p w14:paraId="2CC44CFE">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cs="Times New Roman" w:asciiTheme="minorEastAsia" w:hAnsiTheme="minorEastAsia" w:eastAsiaTheme="minorEastAsia"/>
          <w:color w:val="auto"/>
          <w:sz w:val="24"/>
          <w:szCs w:val="24"/>
          <w:lang w:eastAsia="zh-CN"/>
        </w:rPr>
        <w:t>★</w:t>
      </w: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4.工程质量标准：</w:t>
      </w:r>
    </w:p>
    <w:p w14:paraId="778A2A75">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按国家及相关行业质量验收</w:t>
      </w:r>
      <w:bookmarkStart w:id="99" w:name="OLE_LINK4"/>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标</w:t>
      </w:r>
      <w:bookmarkEnd w:id="99"/>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准，一次性验收合格。</w:t>
      </w:r>
    </w:p>
    <w:p w14:paraId="4AE20D66">
      <w:pPr>
        <w:pStyle w:val="2"/>
        <w:pageBreakBefore w:val="0"/>
        <w:kinsoku/>
        <w:wordWrap/>
        <w:overflowPunct/>
        <w:topLinePunct w:val="0"/>
        <w:autoSpaceDE/>
        <w:autoSpaceDN/>
        <w:bidi w:val="0"/>
        <w:adjustRightInd/>
        <w:snapToGrid/>
        <w:spacing w:before="0" w:beforeLines="0" w:after="0" w:afterLines="0" w:line="480" w:lineRule="exact"/>
        <w:jc w:val="left"/>
        <w:textAlignment w:val="auto"/>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t>三、商务要求</w:t>
      </w:r>
    </w:p>
    <w:p w14:paraId="325C3745">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★1.合同履行期限：自采购人与成交供应商签订的合同生效之日起，工期90日历天。</w:t>
      </w:r>
    </w:p>
    <w:p w14:paraId="18EA1B74">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outlineLvl w:val="9"/>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★2.工程地点：勐腊县象明彝族乡蛮砖村委会纳竜坝村小组。</w:t>
      </w:r>
    </w:p>
    <w:p w14:paraId="6C1DDF26">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outlineLvl w:val="9"/>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rPr>
        <w:t>3.付款条件（</w:t>
      </w:r>
      <w:r>
        <w:rPr>
          <w:rFonts w:hint="eastAsia" w:ascii="仿宋" w:hAnsi="仿宋" w:eastAsia="仿宋" w:cs="仿宋"/>
          <w:b w:val="0"/>
          <w:bCs w:val="0"/>
          <w:color w:val="auto"/>
          <w:spacing w:val="0"/>
          <w:kern w:val="2"/>
          <w:sz w:val="24"/>
          <w:szCs w:val="24"/>
          <w:highlight w:val="none"/>
          <w:lang w:val="en-US" w:eastAsia="zh-CN" w:bidi="ar-SA"/>
        </w:rPr>
        <w:t>进度和方式）</w:t>
      </w:r>
    </w:p>
    <w:p w14:paraId="41FDDA73">
      <w:pPr>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auto"/>
          <w:spacing w:val="0"/>
          <w:kern w:val="2"/>
          <w:sz w:val="24"/>
          <w:szCs w:val="24"/>
          <w:highlight w:val="none"/>
          <w:lang w:val="en-US" w:eastAsia="zh-CN" w:bidi="ar-SA"/>
        </w:rPr>
        <w:t>（1）</w:t>
      </w:r>
      <w:r>
        <w:rPr>
          <w:rFonts w:hint="default" w:ascii="仿宋" w:hAnsi="仿宋" w:eastAsia="仿宋" w:cs="仿宋"/>
          <w:b w:val="0"/>
          <w:bCs w:val="0"/>
          <w:color w:val="auto"/>
          <w:spacing w:val="0"/>
          <w:kern w:val="2"/>
          <w:sz w:val="24"/>
          <w:szCs w:val="24"/>
          <w:highlight w:val="none"/>
          <w:lang w:val="en-US" w:eastAsia="zh-CN" w:bidi="ar-SA"/>
        </w:rPr>
        <w:t>预付</w:t>
      </w:r>
      <w:r>
        <w:rPr>
          <w:rFonts w:hint="default" w:ascii="仿宋" w:hAnsi="仿宋" w:eastAsia="仿宋" w:cs="仿宋"/>
          <w:b w:val="0"/>
          <w:bCs w:val="0"/>
          <w:color w:val="000000"/>
          <w:sz w:val="24"/>
          <w:szCs w:val="24"/>
          <w:highlight w:val="none"/>
          <w:lang w:val="en-US" w:eastAsia="zh-CN"/>
        </w:rPr>
        <w:t>款</w:t>
      </w:r>
      <w:r>
        <w:rPr>
          <w:rFonts w:hint="eastAsia" w:ascii="仿宋" w:hAnsi="仿宋" w:eastAsia="仿宋" w:cs="仿宋"/>
          <w:b w:val="0"/>
          <w:bCs w:val="0"/>
          <w:color w:val="000000"/>
          <w:sz w:val="24"/>
          <w:szCs w:val="24"/>
          <w:highlight w:val="none"/>
          <w:lang w:val="en-US" w:eastAsia="zh-CN"/>
        </w:rPr>
        <w:t>：</w:t>
      </w:r>
      <w:r>
        <w:rPr>
          <w:rFonts w:hint="default" w:ascii="仿宋" w:hAnsi="仿宋" w:eastAsia="仿宋" w:cs="仿宋"/>
          <w:b w:val="0"/>
          <w:bCs w:val="0"/>
          <w:color w:val="000000"/>
          <w:sz w:val="24"/>
          <w:szCs w:val="24"/>
          <w:highlight w:val="none"/>
          <w:lang w:val="en-US" w:eastAsia="zh-CN"/>
        </w:rPr>
        <w:t>合同金额的</w:t>
      </w:r>
      <w:r>
        <w:rPr>
          <w:rFonts w:hint="eastAsia" w:ascii="仿宋" w:hAnsi="仿宋" w:eastAsia="仿宋" w:cs="仿宋"/>
          <w:b w:val="0"/>
          <w:bCs w:val="0"/>
          <w:color w:val="000000"/>
          <w:sz w:val="24"/>
          <w:szCs w:val="24"/>
          <w:highlight w:val="none"/>
          <w:lang w:val="en-US" w:eastAsia="zh-CN"/>
        </w:rPr>
        <w:t>30</w:t>
      </w:r>
      <w:r>
        <w:rPr>
          <w:rFonts w:hint="default" w:ascii="仿宋" w:hAnsi="仿宋" w:eastAsia="仿宋" w:cs="仿宋"/>
          <w:b w:val="0"/>
          <w:bCs w:val="0"/>
          <w:color w:val="000000"/>
          <w:sz w:val="24"/>
          <w:szCs w:val="24"/>
          <w:highlight w:val="none"/>
          <w:lang w:val="en-US" w:eastAsia="zh-CN"/>
        </w:rPr>
        <w:t>%</w:t>
      </w:r>
      <w:r>
        <w:rPr>
          <w:rFonts w:hint="eastAsia" w:ascii="仿宋" w:hAnsi="仿宋" w:eastAsia="仿宋" w:cs="仿宋"/>
          <w:b w:val="0"/>
          <w:bCs w:val="0"/>
          <w:color w:val="000000"/>
          <w:sz w:val="24"/>
          <w:szCs w:val="24"/>
          <w:highlight w:val="none"/>
          <w:lang w:val="en-US" w:eastAsia="zh-CN"/>
        </w:rPr>
        <w:t xml:space="preserve"> 。</w:t>
      </w:r>
    </w:p>
    <w:p w14:paraId="209C5E73">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（2）进度款支付时间：工程完工后承包人上报工程进度款申请表，发包人按审定造价的进度向承包人拨付工程进度款至合同金额60%。</w:t>
      </w:r>
    </w:p>
    <w:p w14:paraId="249DD054">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（3）竣工款：工程</w:t>
      </w:r>
      <w:r>
        <w:rPr>
          <w:rFonts w:hint="eastAsia" w:ascii="仿宋" w:hAnsi="仿宋" w:eastAsia="仿宋" w:cs="仿宋"/>
          <w:b w:val="0"/>
          <w:bCs w:val="0"/>
          <w:color w:val="auto"/>
          <w:spacing w:val="0"/>
          <w:kern w:val="2"/>
          <w:sz w:val="24"/>
          <w:szCs w:val="24"/>
          <w:highlight w:val="none"/>
          <w:u w:val="single"/>
          <w:lang w:val="en-US" w:eastAsia="zh-CN" w:bidi="ar-SA"/>
        </w:rPr>
        <w:t>竣工验收合格且结算审计完成后，支付至审计结算价的97%，剩余3%质量保修期满后拨付。</w:t>
      </w:r>
    </w:p>
    <w:p w14:paraId="12EF3C2C">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四、其他要求</w:t>
      </w:r>
    </w:p>
    <w:p w14:paraId="628A68CB">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cs="Times New Roman" w:asciiTheme="minorEastAsia" w:hAnsiTheme="minorEastAsia" w:eastAsiaTheme="minorEastAsia"/>
          <w:color w:val="auto"/>
          <w:sz w:val="24"/>
          <w:szCs w:val="24"/>
          <w:lang w:eastAsia="zh-CN"/>
        </w:rPr>
        <w:t>★</w:t>
      </w:r>
      <w:r>
        <w:rPr>
          <w:rFonts w:hint="eastAsia" w:ascii="仿宋" w:hAnsi="仿宋" w:eastAsia="仿宋" w:cs="仿宋"/>
          <w:b w:val="0"/>
          <w:bCs w:val="0"/>
          <w:color w:val="auto"/>
          <w:spacing w:val="0"/>
          <w:kern w:val="2"/>
          <w:sz w:val="24"/>
          <w:szCs w:val="24"/>
          <w:highlight w:val="none"/>
          <w:lang w:val="en-US" w:eastAsia="zh-CN" w:bidi="ar-SA"/>
        </w:rPr>
        <w:t>1.质量保修期：根据国务院279号令规定执行。</w:t>
      </w:r>
    </w:p>
    <w:p w14:paraId="0F52ABCE">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cs="Times New Roman" w:asciiTheme="minorEastAsia" w:hAnsiTheme="minorEastAsia" w:eastAsiaTheme="minorEastAsia"/>
          <w:color w:val="auto"/>
          <w:sz w:val="24"/>
          <w:szCs w:val="24"/>
          <w:lang w:eastAsia="zh-CN"/>
        </w:rPr>
        <w:t>★</w:t>
      </w:r>
      <w:r>
        <w:rPr>
          <w:rFonts w:hint="eastAsia" w:ascii="仿宋" w:hAnsi="仿宋" w:eastAsia="仿宋" w:cs="仿宋"/>
          <w:b w:val="0"/>
          <w:bCs w:val="0"/>
          <w:color w:val="auto"/>
          <w:spacing w:val="0"/>
          <w:kern w:val="2"/>
          <w:sz w:val="24"/>
          <w:szCs w:val="24"/>
          <w:highlight w:val="none"/>
          <w:lang w:val="en-US" w:eastAsia="zh-CN" w:bidi="ar-SA"/>
        </w:rPr>
        <w:t>2.采购标的需执行的国家相关标准、行业标准：</w:t>
      </w:r>
    </w:p>
    <w:p w14:paraId="20825A9A">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（1）、云南省住房和城乡建设厅《关于云南省建设工程造价计价标准（2020版） 》</w:t>
      </w:r>
    </w:p>
    <w:p w14:paraId="4FD02D88">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发布实施的通知（云建科标［2021］ 15号）及2020年05月以前由建设行政主管部门发布的其相关配套的执行文件。</w:t>
      </w:r>
    </w:p>
    <w:p w14:paraId="38A9A40B">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（2）、《建设工程工程量清单计价标准》 (GB/T50500-2024) 、《 〈建设工程工程量清单计价标准(2024)〉 云南省过渡期实施规定的通知》（云建科〔2025〕 63号） 、《建设工程相关专业工程量计算标准云南省过渡期使用指南的通知》（云建科〔2025〕 72号）。</w:t>
      </w:r>
    </w:p>
    <w:p w14:paraId="710D11FB">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（3）、《云南省建设工程造价计价规则及机械仪器仪表台班费用定额》（DBJ53／T- 58-2020） 。</w:t>
      </w:r>
    </w:p>
    <w:p w14:paraId="74BAC55B">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（4）、《云南省市政工程计价标准》（DBJ53／T-59-2020） 。</w:t>
      </w:r>
    </w:p>
    <w:p w14:paraId="0D8F3012">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（5）、《云南省园林绿化工程计价标准》（DBJ53／T-60-2020）</w:t>
      </w:r>
    </w:p>
    <w:p w14:paraId="7BE75FE4">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（6）、《云南省建筑工程计价标准》（DBJ53／T-61-2020） 。</w:t>
      </w:r>
    </w:p>
    <w:p w14:paraId="71B1ACBC">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（7）、《云南省通用安装工程计价标准》（DBJ53／T-63-2020） 。</w:t>
      </w:r>
    </w:p>
    <w:p w14:paraId="5AC0234B">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（8） 、《云南省城市地下综合管廊工程计价标准》（DBJ53／T-111-2020)。</w:t>
      </w:r>
    </w:p>
    <w:p w14:paraId="4A279A59">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（9）、《云南省绿色建筑工程计价标准》（DBJ53／T-112-2020)。</w:t>
      </w:r>
    </w:p>
    <w:p w14:paraId="65314280">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（10） 、《云南省房屋建筑和市政基础设施工程招标评标补充规定》（云南省建设厅公告第3号） 。</w:t>
      </w:r>
    </w:p>
    <w:p w14:paraId="716CAD6A">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（11） 、《云南省建设厅关于将意外伤害保险期、安全防护文明施工费列入建安工程造价的通知》（云建标［2005］ 661号） 。</w:t>
      </w:r>
    </w:p>
    <w:p w14:paraId="20202A59">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（12）、《云南省住房和城乡建设厅关于重新调整云南省建设工程造价计价依据中税金综合税率的通知》（云建科函[2019]62号文） 。</w:t>
      </w:r>
    </w:p>
    <w:p w14:paraId="6A16F3BA">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（13）、《云南省住房和城乡建设厅关于云南省建设工程造价计价标准调整定额人工费的通知》（云建科〔2023〕 54号） 。</w:t>
      </w:r>
    </w:p>
    <w:p w14:paraId="277C8731">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（14）最高投标限价及工程量清单增值税按一般纳税人9%计取；</w:t>
      </w:r>
    </w:p>
    <w:p w14:paraId="50C00649">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（15）《纳竜坝村小组茶产业及人居环境综合整治提升项目竞争性磋商文件》；</w:t>
      </w:r>
    </w:p>
    <w:p w14:paraId="33D34FE6">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（16）材料价格参考《云南省工程建设材料与设备价格信息（西双版纳专版） 》2026年9月勐腊象明乡片区价格，并结合至工地材料运距综合考虑。</w:t>
      </w:r>
    </w:p>
    <w:p w14:paraId="625B8C70">
      <w:pPr>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3.其他要求：实际开工以甲方要求为准，施工方不得以任何理由拖延开工，开工后施工方不得以任何理由停工（甲方通知除外）。</w:t>
      </w:r>
    </w:p>
    <w:p w14:paraId="012793CF">
      <w:pPr>
        <w:pStyle w:val="2"/>
        <w:pageBreakBefore w:val="0"/>
        <w:kinsoku/>
        <w:wordWrap/>
        <w:overflowPunct/>
        <w:topLinePunct w:val="0"/>
        <w:autoSpaceDE/>
        <w:autoSpaceDN/>
        <w:bidi w:val="0"/>
        <w:adjustRightInd/>
        <w:snapToGrid/>
        <w:spacing w:before="0" w:beforeLines="0" w:after="0" w:afterLines="0" w:line="480" w:lineRule="exact"/>
        <w:jc w:val="both"/>
        <w:textAlignment w:val="auto"/>
        <w:rPr>
          <w:rFonts w:hint="default"/>
          <w:color w:val="auto"/>
          <w:lang w:val="en-US" w:eastAsia="zh-CN"/>
        </w:rPr>
      </w:pPr>
      <w:r>
        <w:rPr>
          <w:rFonts w:hint="eastAsia" w:ascii="仿宋" w:hAnsi="仿宋" w:eastAsia="仿宋" w:cs="仿宋"/>
          <w:b/>
          <w:bCs/>
          <w:color w:val="auto"/>
          <w:spacing w:val="0"/>
          <w:kern w:val="2"/>
          <w:sz w:val="24"/>
          <w:szCs w:val="24"/>
          <w:highlight w:val="none"/>
          <w:lang w:val="en-US" w:eastAsia="zh-CN" w:bidi="ar-SA"/>
        </w:rPr>
        <w:t xml:space="preserve">五、工程量清单    </w:t>
      </w:r>
      <w:r>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t>（另附）</w:t>
      </w:r>
    </w:p>
    <w:p w14:paraId="5DF7745D">
      <w:pPr>
        <w:pageBreakBefore w:val="0"/>
        <w:kinsoku/>
        <w:wordWrap/>
        <w:overflowPunct/>
        <w:topLinePunct w:val="0"/>
        <w:autoSpaceDE/>
        <w:autoSpaceDN/>
        <w:bidi w:val="0"/>
        <w:adjustRightInd/>
        <w:snapToGrid/>
        <w:spacing w:line="520" w:lineRule="exact"/>
        <w:jc w:val="center"/>
        <w:textAlignment w:val="auto"/>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供应商在政府采购云平台（https://www.zcygov.cn）自行下载电子版工程量清单。</w:t>
      </w:r>
    </w:p>
    <w:p w14:paraId="1BC038C2">
      <w:pPr>
        <w:pageBreakBefore w:val="0"/>
        <w:kinsoku/>
        <w:wordWrap/>
        <w:overflowPunct/>
        <w:topLinePunct w:val="0"/>
        <w:autoSpaceDE/>
        <w:autoSpaceDN/>
        <w:bidi w:val="0"/>
        <w:adjustRightInd/>
        <w:snapToGrid/>
        <w:spacing w:line="480" w:lineRule="exact"/>
        <w:textAlignment w:val="auto"/>
        <w:rPr>
          <w:rFonts w:hint="default"/>
          <w:color w:val="auto"/>
          <w:highlight w:val="none"/>
          <w:lang w:val="en-US" w:eastAsia="zh-CN"/>
        </w:rPr>
      </w:pPr>
      <w:r>
        <w:rPr>
          <w:rFonts w:hint="eastAsia" w:ascii="仿宋" w:hAnsi="仿宋" w:eastAsia="仿宋" w:cs="仿宋"/>
          <w:b/>
          <w:bCs/>
          <w:color w:val="auto"/>
          <w:spacing w:val="0"/>
          <w:kern w:val="2"/>
          <w:sz w:val="24"/>
          <w:szCs w:val="24"/>
          <w:highlight w:val="none"/>
          <w:lang w:val="en-US" w:eastAsia="zh-CN" w:bidi="ar-SA"/>
        </w:rPr>
        <w:t>六、图纸：（另附）</w:t>
      </w:r>
    </w:p>
    <w:p w14:paraId="5BBBC8F6">
      <w:pPr>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auto"/>
          <w:spacing w:val="0"/>
          <w:kern w:val="2"/>
          <w:sz w:val="24"/>
          <w:szCs w:val="24"/>
          <w:highlight w:val="none"/>
          <w:lang w:val="en-US" w:eastAsia="zh-CN" w:bidi="ar-SA"/>
        </w:rPr>
        <w:t>供应商在政府采购云平台（https://www.zcygov.cn）自行下载电子版图纸。</w:t>
      </w:r>
      <w:r>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br w:type="page"/>
      </w:r>
    </w:p>
    <w:p w14:paraId="29A6CF3C">
      <w:pPr>
        <w:jc w:val="center"/>
        <w:outlineLvl w:val="0"/>
        <w:rPr>
          <w:rFonts w:hint="eastAsia" w:ascii="仿宋" w:hAnsi="仿宋" w:eastAsia="仿宋" w:cs="仿宋"/>
          <w:b/>
          <w:bCs/>
          <w:color w:val="auto"/>
          <w:sz w:val="32"/>
          <w:szCs w:val="32"/>
          <w:highlight w:val="none"/>
        </w:rPr>
      </w:pPr>
      <w:bookmarkStart w:id="100" w:name="_Toc4091"/>
      <w:bookmarkStart w:id="101" w:name="_Toc28862"/>
      <w:bookmarkStart w:id="102" w:name="_Toc18010"/>
      <w:r>
        <w:rPr>
          <w:rFonts w:hint="eastAsia" w:ascii="仿宋" w:hAnsi="仿宋" w:eastAsia="仿宋" w:cs="仿宋"/>
          <w:b/>
          <w:bCs/>
          <w:color w:val="auto"/>
          <w:sz w:val="28"/>
          <w:szCs w:val="28"/>
          <w:highlight w:val="none"/>
          <w:lang w:eastAsia="zh-CN"/>
        </w:rPr>
        <w:t>第五章</w:t>
      </w:r>
      <w:r>
        <w:rPr>
          <w:rFonts w:hint="eastAsia" w:ascii="仿宋" w:hAnsi="仿宋" w:eastAsia="仿宋" w:cs="仿宋"/>
          <w:b/>
          <w:bCs/>
          <w:color w:val="auto"/>
          <w:sz w:val="28"/>
          <w:szCs w:val="28"/>
          <w:highlight w:val="none"/>
          <w:lang w:val="en-US" w:eastAsia="zh-CN"/>
        </w:rPr>
        <w:t xml:space="preserve"> </w:t>
      </w:r>
      <w:bookmarkEnd w:id="100"/>
      <w:bookmarkEnd w:id="101"/>
      <w:bookmarkEnd w:id="102"/>
      <w:r>
        <w:rPr>
          <w:rFonts w:hint="eastAsia" w:ascii="仿宋" w:hAnsi="仿宋" w:eastAsia="仿宋" w:cs="仿宋"/>
          <w:b/>
          <w:bCs/>
          <w:color w:val="auto"/>
          <w:sz w:val="28"/>
          <w:szCs w:val="28"/>
          <w:highlight w:val="none"/>
          <w:lang w:val="en-US" w:eastAsia="zh-CN"/>
        </w:rPr>
        <w:t>合同条款及格式</w:t>
      </w:r>
    </w:p>
    <w:p w14:paraId="4E702AC4">
      <w:pPr>
        <w:keepNext w:val="0"/>
        <w:keepLines w:val="0"/>
        <w:pageBreakBefore w:val="0"/>
        <w:widowControl w:val="0"/>
        <w:kinsoku/>
        <w:wordWrap/>
        <w:overflowPunct/>
        <w:topLinePunct w:val="0"/>
        <w:autoSpaceDE/>
        <w:autoSpaceDN/>
        <w:bidi w:val="0"/>
        <w:snapToGrid/>
        <w:spacing w:line="480" w:lineRule="exact"/>
        <w:jc w:val="center"/>
        <w:textAlignment w:val="auto"/>
        <w:rPr>
          <w:rFonts w:hint="eastAsia" w:ascii="仿宋" w:hAnsi="仿宋" w:eastAsia="仿宋" w:cs="仿宋"/>
          <w:b/>
          <w:bCs/>
          <w:color w:val="auto"/>
          <w:sz w:val="24"/>
          <w:szCs w:val="24"/>
          <w:highlight w:val="none"/>
        </w:rPr>
      </w:pPr>
    </w:p>
    <w:p w14:paraId="2915F20B">
      <w:pPr>
        <w:tabs>
          <w:tab w:val="left" w:pos="6780"/>
        </w:tabs>
        <w:spacing w:before="0" w:line="360" w:lineRule="auto"/>
        <w:ind w:right="0" w:rightChars="0" w:firstLine="480" w:firstLineChars="200"/>
        <w:jc w:val="left"/>
        <w:rPr>
          <w:rFonts w:hint="eastAsia" w:ascii="仿宋" w:hAnsi="仿宋" w:eastAsia="仿宋" w:cs="仿宋"/>
          <w:b w:val="0"/>
          <w:bCs w:val="0"/>
          <w:color w:val="auto"/>
          <w:sz w:val="24"/>
          <w:highlight w:val="none"/>
          <w:lang w:eastAsia="zh-CN"/>
        </w:rPr>
      </w:pPr>
      <w:bookmarkStart w:id="103" w:name="_Toc25708"/>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本章节合同条款及格式仅作为参考，合同协议部分的内容由甲乙双方自行协商</w:t>
      </w:r>
      <w:r>
        <w:rPr>
          <w:rFonts w:hint="eastAsia" w:ascii="仿宋" w:hAnsi="仿宋" w:eastAsia="仿宋" w:cs="仿宋"/>
          <w:b w:val="0"/>
          <w:bCs w:val="0"/>
          <w:color w:val="auto"/>
          <w:sz w:val="24"/>
          <w:highlight w:val="none"/>
          <w:lang w:eastAsia="zh-CN"/>
        </w:rPr>
        <w:t>）</w:t>
      </w:r>
    </w:p>
    <w:p w14:paraId="180091F4">
      <w:pPr>
        <w:tabs>
          <w:tab w:val="left" w:pos="6780"/>
        </w:tabs>
        <w:spacing w:before="0" w:line="360" w:lineRule="auto"/>
        <w:ind w:left="808" w:leftChars="0" w:right="0" w:rightChars="0" w:hanging="808" w:firstLineChars="0"/>
        <w:jc w:val="left"/>
        <w:rPr>
          <w:rFonts w:hint="eastAsia" w:ascii="仿宋" w:hAnsi="仿宋" w:eastAsia="仿宋" w:cs="仿宋"/>
          <w:b/>
          <w:bCs/>
          <w:color w:val="auto"/>
          <w:sz w:val="24"/>
          <w:highlight w:val="none"/>
        </w:rPr>
      </w:pPr>
    </w:p>
    <w:p w14:paraId="789893E4">
      <w:pPr>
        <w:pStyle w:val="23"/>
        <w:numPr>
          <w:ilvl w:val="0"/>
          <w:numId w:val="0"/>
        </w:numPr>
        <w:spacing w:before="0" w:beforeAutospacing="0" w:after="0" w:afterAutospacing="0" w:line="400" w:lineRule="exact"/>
        <w:jc w:val="center"/>
        <w:outlineLvl w:val="0"/>
        <w:rPr>
          <w:rFonts w:hint="eastAsia" w:ascii="仿宋" w:hAnsi="仿宋" w:eastAsia="仿宋" w:cs="仿宋"/>
          <w:b/>
          <w:bCs w:val="0"/>
          <w:color w:val="auto"/>
          <w:sz w:val="28"/>
          <w:szCs w:val="21"/>
          <w:highlight w:val="none"/>
        </w:rPr>
      </w:pPr>
    </w:p>
    <w:p w14:paraId="64A466CD">
      <w:pPr>
        <w:pStyle w:val="23"/>
        <w:numPr>
          <w:ilvl w:val="0"/>
          <w:numId w:val="0"/>
        </w:numPr>
        <w:spacing w:before="0" w:beforeAutospacing="0" w:after="0" w:afterAutospacing="0" w:line="400" w:lineRule="exact"/>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1D8137A6">
      <w:pPr>
        <w:widowControl/>
        <w:shd w:val="clear" w:color="auto" w:fill="auto"/>
        <w:wordWrap/>
        <w:topLinePunct w:val="0"/>
        <w:adjustRightInd w:val="0"/>
        <w:snapToGrid w:val="0"/>
        <w:spacing w:after="120" w:afterLines="50" w:line="360" w:lineRule="auto"/>
        <w:ind w:firstLine="0" w:firstLineChars="0"/>
        <w:jc w:val="center"/>
        <w:outlineLvl w:val="9"/>
        <w:rPr>
          <w:rFonts w:hint="eastAsia" w:ascii="仿宋" w:hAnsi="仿宋" w:eastAsia="仿宋" w:cs="仿宋"/>
          <w:b/>
          <w:bCs/>
          <w:color w:val="000000"/>
          <w:kern w:val="0"/>
          <w:sz w:val="36"/>
          <w:szCs w:val="24"/>
          <w:highlight w:val="none"/>
        </w:rPr>
      </w:pPr>
      <w:r>
        <w:rPr>
          <w:rFonts w:hint="eastAsia" w:ascii="仿宋" w:hAnsi="仿宋" w:eastAsia="仿宋" w:cs="仿宋"/>
          <w:b/>
          <w:bCs/>
          <w:color w:val="000000"/>
          <w:kern w:val="0"/>
          <w:sz w:val="32"/>
          <w:szCs w:val="22"/>
          <w:highlight w:val="none"/>
          <w:lang w:eastAsia="zh-CN"/>
        </w:rPr>
        <w:t>纳竜坝村小组茶产业及人居环境综合整治提升项目</w:t>
      </w:r>
    </w:p>
    <w:p w14:paraId="4E771941">
      <w:pPr>
        <w:tabs>
          <w:tab w:val="left" w:pos="6780"/>
        </w:tabs>
        <w:spacing w:before="0" w:line="360" w:lineRule="auto"/>
        <w:ind w:right="0" w:rightChars="0" w:firstLine="480" w:firstLineChars="200"/>
        <w:jc w:val="lef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本章节合同条款及格式仅作为参考，合同协议部分的内容由甲乙双方自行协商</w:t>
      </w:r>
      <w:r>
        <w:rPr>
          <w:rFonts w:hint="eastAsia" w:ascii="仿宋" w:hAnsi="仿宋" w:eastAsia="仿宋" w:cs="仿宋"/>
          <w:b w:val="0"/>
          <w:bCs w:val="0"/>
          <w:color w:val="auto"/>
          <w:sz w:val="24"/>
          <w:highlight w:val="none"/>
          <w:lang w:eastAsia="zh-CN"/>
        </w:rPr>
        <w:t>）</w:t>
      </w:r>
    </w:p>
    <w:p w14:paraId="297D558A">
      <w:pPr>
        <w:widowControl/>
        <w:shd w:val="clear" w:color="auto" w:fill="auto"/>
        <w:wordWrap/>
        <w:topLinePunct w:val="0"/>
        <w:adjustRightInd w:val="0"/>
        <w:snapToGrid w:val="0"/>
        <w:spacing w:after="120" w:afterLines="50" w:line="360" w:lineRule="auto"/>
        <w:ind w:firstLine="480" w:firstLineChars="200"/>
        <w:outlineLvl w:val="9"/>
        <w:rPr>
          <w:rFonts w:hint="eastAsia" w:ascii="仿宋" w:hAnsi="仿宋" w:eastAsia="仿宋" w:cs="仿宋"/>
          <w:color w:val="000000"/>
          <w:kern w:val="0"/>
          <w:sz w:val="24"/>
          <w:szCs w:val="20"/>
          <w:highlight w:val="none"/>
        </w:rPr>
      </w:pPr>
    </w:p>
    <w:p w14:paraId="30B74377">
      <w:pPr>
        <w:widowControl/>
        <w:shd w:val="clear" w:color="auto" w:fill="auto"/>
        <w:wordWrap w:val="0"/>
        <w:topLinePunct/>
        <w:adjustRightInd w:val="0"/>
        <w:snapToGrid w:val="0"/>
        <w:spacing w:after="120" w:afterLines="50" w:line="360" w:lineRule="auto"/>
        <w:ind w:left="0" w:leftChars="0" w:firstLine="0" w:firstLineChars="0"/>
        <w:jc w:val="center"/>
        <w:outlineLvl w:val="9"/>
        <w:rPr>
          <w:rFonts w:hint="eastAsia" w:ascii="仿宋" w:hAnsi="仿宋" w:eastAsia="仿宋" w:cs="仿宋"/>
          <w:b/>
          <w:bCs w:val="0"/>
          <w:color w:val="000000"/>
          <w:kern w:val="2"/>
          <w:sz w:val="72"/>
          <w:szCs w:val="72"/>
          <w:highlight w:val="none"/>
          <w:lang w:val="zh-CN" w:eastAsia="zh-CN" w:bidi="ar-SA"/>
        </w:rPr>
      </w:pPr>
    </w:p>
    <w:p w14:paraId="3A299C14">
      <w:pPr>
        <w:widowControl/>
        <w:shd w:val="clear" w:color="auto" w:fill="auto"/>
        <w:wordWrap w:val="0"/>
        <w:topLinePunct/>
        <w:adjustRightInd w:val="0"/>
        <w:snapToGrid w:val="0"/>
        <w:spacing w:after="120" w:afterLines="50" w:line="360" w:lineRule="auto"/>
        <w:ind w:left="0" w:leftChars="0" w:firstLine="0" w:firstLineChars="0"/>
        <w:jc w:val="center"/>
        <w:outlineLvl w:val="9"/>
        <w:rPr>
          <w:rFonts w:hint="eastAsia" w:ascii="仿宋" w:hAnsi="仿宋" w:eastAsia="仿宋" w:cs="仿宋"/>
          <w:b/>
          <w:bCs w:val="0"/>
          <w:color w:val="000000"/>
          <w:kern w:val="2"/>
          <w:sz w:val="52"/>
          <w:szCs w:val="52"/>
          <w:highlight w:val="none"/>
          <w:lang w:val="zh-CN" w:eastAsia="zh-CN" w:bidi="ar-SA"/>
        </w:rPr>
      </w:pPr>
      <w:r>
        <w:rPr>
          <w:rFonts w:hint="eastAsia" w:ascii="仿宋" w:hAnsi="仿宋" w:eastAsia="仿宋" w:cs="仿宋"/>
          <w:b/>
          <w:bCs w:val="0"/>
          <w:color w:val="000000"/>
          <w:kern w:val="2"/>
          <w:sz w:val="96"/>
          <w:szCs w:val="96"/>
          <w:highlight w:val="none"/>
          <w:lang w:val="en-US" w:eastAsia="zh-CN" w:bidi="ar-SA"/>
        </w:rPr>
        <w:t>建设工程施工</w:t>
      </w:r>
      <w:r>
        <w:rPr>
          <w:rFonts w:hint="eastAsia" w:ascii="仿宋" w:hAnsi="仿宋" w:eastAsia="仿宋" w:cs="仿宋"/>
          <w:b/>
          <w:bCs w:val="0"/>
          <w:color w:val="000000"/>
          <w:kern w:val="2"/>
          <w:sz w:val="96"/>
          <w:szCs w:val="96"/>
          <w:highlight w:val="none"/>
          <w:lang w:val="zh-CN" w:eastAsia="zh-CN" w:bidi="ar-SA"/>
        </w:rPr>
        <w:t>合同</w:t>
      </w:r>
    </w:p>
    <w:p w14:paraId="428FCA60">
      <w:pPr>
        <w:widowControl/>
        <w:shd w:val="clear" w:color="auto" w:fill="auto"/>
        <w:wordWrap w:val="0"/>
        <w:topLinePunct/>
        <w:adjustRightInd w:val="0"/>
        <w:snapToGrid w:val="0"/>
        <w:spacing w:after="120" w:afterLines="50" w:line="360" w:lineRule="auto"/>
        <w:ind w:firstLine="803" w:firstLineChars="200"/>
        <w:jc w:val="center"/>
        <w:outlineLvl w:val="9"/>
        <w:rPr>
          <w:rFonts w:hint="eastAsia" w:ascii="仿宋" w:hAnsi="仿宋" w:eastAsia="仿宋" w:cs="仿宋"/>
          <w:b/>
          <w:color w:val="000000"/>
          <w:kern w:val="2"/>
          <w:sz w:val="40"/>
          <w:szCs w:val="40"/>
          <w:highlight w:val="none"/>
          <w:lang w:val="zh-CN" w:eastAsia="zh-CN" w:bidi="ar-SA"/>
        </w:rPr>
      </w:pPr>
    </w:p>
    <w:p w14:paraId="4FFD51C4">
      <w:pPr>
        <w:widowControl/>
        <w:shd w:val="clear" w:color="auto" w:fill="auto"/>
        <w:wordWrap w:val="0"/>
        <w:topLinePunct/>
        <w:adjustRightInd w:val="0"/>
        <w:snapToGrid w:val="0"/>
        <w:spacing w:after="120" w:afterLines="50" w:line="360" w:lineRule="auto"/>
        <w:ind w:firstLine="480" w:firstLineChars="200"/>
        <w:outlineLvl w:val="9"/>
        <w:rPr>
          <w:rFonts w:hint="eastAsia" w:ascii="仿宋" w:hAnsi="仿宋" w:eastAsia="仿宋" w:cs="仿宋"/>
          <w:color w:val="000000"/>
          <w:kern w:val="0"/>
          <w:sz w:val="24"/>
          <w:szCs w:val="20"/>
          <w:highlight w:val="none"/>
        </w:rPr>
      </w:pPr>
    </w:p>
    <w:p w14:paraId="2263A6A2">
      <w:pPr>
        <w:widowControl/>
        <w:shd w:val="clear" w:color="auto" w:fill="auto"/>
        <w:wordWrap w:val="0"/>
        <w:topLinePunct/>
        <w:adjustRightInd w:val="0"/>
        <w:snapToGrid w:val="0"/>
        <w:spacing w:after="120" w:afterLines="50" w:line="360" w:lineRule="auto"/>
        <w:ind w:firstLine="803" w:firstLineChars="200"/>
        <w:jc w:val="center"/>
        <w:outlineLvl w:val="9"/>
        <w:rPr>
          <w:rFonts w:hint="eastAsia" w:ascii="仿宋" w:hAnsi="仿宋" w:eastAsia="仿宋" w:cs="仿宋"/>
          <w:b/>
          <w:color w:val="000000"/>
          <w:kern w:val="2"/>
          <w:sz w:val="40"/>
          <w:szCs w:val="40"/>
          <w:highlight w:val="none"/>
          <w:lang w:val="zh-CN" w:eastAsia="zh-CN" w:bidi="ar-SA"/>
        </w:rPr>
      </w:pPr>
    </w:p>
    <w:p w14:paraId="7E1CCB42">
      <w:pPr>
        <w:widowControl/>
        <w:shd w:val="clear" w:color="auto" w:fill="auto"/>
        <w:wordWrap w:val="0"/>
        <w:topLinePunct/>
        <w:adjustRightInd w:val="0"/>
        <w:snapToGrid w:val="0"/>
        <w:spacing w:after="120" w:afterLines="50" w:line="360" w:lineRule="auto"/>
        <w:ind w:firstLine="480" w:firstLineChars="200"/>
        <w:outlineLvl w:val="9"/>
        <w:rPr>
          <w:rFonts w:hint="eastAsia" w:ascii="仿宋" w:hAnsi="仿宋" w:eastAsia="仿宋" w:cs="仿宋"/>
          <w:color w:val="000000"/>
          <w:kern w:val="0"/>
          <w:sz w:val="24"/>
          <w:szCs w:val="20"/>
          <w:highlight w:val="none"/>
        </w:rPr>
      </w:pPr>
    </w:p>
    <w:p w14:paraId="4CB699F3">
      <w:pPr>
        <w:widowControl/>
        <w:shd w:val="clear" w:color="auto" w:fill="auto"/>
        <w:wordWrap w:val="0"/>
        <w:topLinePunct/>
        <w:adjustRightInd w:val="0"/>
        <w:snapToGrid w:val="0"/>
        <w:spacing w:after="120" w:afterLines="50" w:line="360" w:lineRule="auto"/>
        <w:ind w:firstLine="480" w:firstLineChars="200"/>
        <w:jc w:val="both"/>
        <w:outlineLvl w:val="9"/>
        <w:rPr>
          <w:rFonts w:hint="eastAsia" w:ascii="仿宋" w:hAnsi="仿宋" w:eastAsia="仿宋" w:cs="仿宋"/>
          <w:color w:val="000000"/>
          <w:kern w:val="0"/>
          <w:sz w:val="24"/>
          <w:szCs w:val="20"/>
          <w:highlight w:val="none"/>
          <w:lang w:val="en-US" w:eastAsia="zh-CN" w:bidi="ar-SA"/>
        </w:rPr>
      </w:pPr>
    </w:p>
    <w:p w14:paraId="04A1B14C">
      <w:pPr>
        <w:widowControl/>
        <w:shd w:val="clear" w:color="auto" w:fill="auto"/>
        <w:wordWrap w:val="0"/>
        <w:topLinePunct/>
        <w:adjustRightInd w:val="0"/>
        <w:snapToGrid w:val="0"/>
        <w:spacing w:after="120" w:afterLines="50" w:line="360" w:lineRule="auto"/>
        <w:ind w:firstLine="480" w:firstLineChars="200"/>
        <w:jc w:val="both"/>
        <w:outlineLvl w:val="9"/>
        <w:rPr>
          <w:rFonts w:hint="eastAsia" w:ascii="仿宋" w:hAnsi="仿宋" w:eastAsia="仿宋" w:cs="仿宋"/>
          <w:color w:val="000000"/>
          <w:kern w:val="0"/>
          <w:sz w:val="24"/>
          <w:szCs w:val="20"/>
          <w:highlight w:val="none"/>
          <w:lang w:val="en-US" w:eastAsia="zh-CN" w:bidi="ar-SA"/>
        </w:rPr>
      </w:pPr>
    </w:p>
    <w:p w14:paraId="4DEA311A">
      <w:pPr>
        <w:widowControl/>
        <w:shd w:val="clear" w:color="auto" w:fill="auto"/>
        <w:wordWrap w:val="0"/>
        <w:topLinePunct/>
        <w:adjustRightInd w:val="0"/>
        <w:snapToGrid w:val="0"/>
        <w:spacing w:after="120" w:afterLines="50" w:line="360" w:lineRule="auto"/>
        <w:ind w:firstLine="480" w:firstLineChars="200"/>
        <w:jc w:val="both"/>
        <w:outlineLvl w:val="9"/>
        <w:rPr>
          <w:rFonts w:hint="eastAsia" w:ascii="仿宋" w:hAnsi="仿宋" w:eastAsia="仿宋" w:cs="仿宋"/>
          <w:color w:val="000000"/>
          <w:kern w:val="0"/>
          <w:sz w:val="24"/>
          <w:szCs w:val="20"/>
          <w:highlight w:val="none"/>
          <w:lang w:val="en-US" w:eastAsia="zh-CN" w:bidi="ar-SA"/>
        </w:rPr>
      </w:pPr>
    </w:p>
    <w:p w14:paraId="4D8E37EC">
      <w:pPr>
        <w:widowControl/>
        <w:shd w:val="clear" w:color="auto" w:fill="auto"/>
        <w:wordWrap w:val="0"/>
        <w:topLinePunct/>
        <w:adjustRightInd w:val="0"/>
        <w:snapToGrid w:val="0"/>
        <w:spacing w:after="120" w:afterLines="50" w:line="360" w:lineRule="auto"/>
        <w:ind w:firstLine="480" w:firstLineChars="200"/>
        <w:jc w:val="both"/>
        <w:outlineLvl w:val="9"/>
        <w:rPr>
          <w:rFonts w:hint="eastAsia" w:ascii="仿宋" w:hAnsi="仿宋" w:eastAsia="仿宋" w:cs="仿宋"/>
          <w:color w:val="000000"/>
          <w:kern w:val="0"/>
          <w:sz w:val="24"/>
          <w:szCs w:val="20"/>
          <w:highlight w:val="none"/>
          <w:lang w:val="en-US" w:eastAsia="zh-CN" w:bidi="ar-SA"/>
        </w:rPr>
      </w:pPr>
    </w:p>
    <w:p w14:paraId="5F5913F5">
      <w:pPr>
        <w:widowControl/>
        <w:shd w:val="clear" w:color="auto" w:fill="auto"/>
        <w:wordWrap w:val="0"/>
        <w:topLinePunct/>
        <w:adjustRightInd w:val="0"/>
        <w:snapToGrid w:val="0"/>
        <w:spacing w:after="120" w:afterLines="50" w:line="360" w:lineRule="auto"/>
        <w:ind w:firstLine="560" w:firstLineChars="200"/>
        <w:jc w:val="both"/>
        <w:outlineLvl w:val="9"/>
        <w:rPr>
          <w:rFonts w:hint="eastAsia" w:ascii="仿宋" w:hAnsi="仿宋" w:eastAsia="仿宋" w:cs="仿宋"/>
          <w:color w:val="000000"/>
          <w:kern w:val="0"/>
          <w:sz w:val="28"/>
          <w:szCs w:val="28"/>
          <w:highlight w:val="none"/>
          <w:lang w:val="en-US" w:eastAsia="zh-CN" w:bidi="ar-SA"/>
        </w:rPr>
      </w:pPr>
    </w:p>
    <w:p w14:paraId="488A8F0D">
      <w:pPr>
        <w:widowControl/>
        <w:shd w:val="clear" w:color="auto" w:fill="auto"/>
        <w:wordWrap w:val="0"/>
        <w:topLinePunct/>
        <w:adjustRightInd w:val="0"/>
        <w:snapToGrid w:val="0"/>
        <w:spacing w:after="120" w:afterLines="50" w:line="360" w:lineRule="auto"/>
        <w:ind w:firstLine="2240" w:firstLineChars="800"/>
        <w:jc w:val="both"/>
        <w:outlineLvl w:val="9"/>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合同签订地点：</w:t>
      </w:r>
    </w:p>
    <w:p w14:paraId="5D55AAC7">
      <w:pPr>
        <w:widowControl/>
        <w:shd w:val="clear" w:color="auto" w:fill="auto"/>
        <w:wordWrap w:val="0"/>
        <w:topLinePunct/>
        <w:adjustRightInd w:val="0"/>
        <w:snapToGrid w:val="0"/>
        <w:spacing w:after="120" w:afterLines="50" w:line="360" w:lineRule="auto"/>
        <w:ind w:firstLine="2240" w:firstLineChars="800"/>
        <w:jc w:val="both"/>
        <w:outlineLvl w:val="9"/>
        <w:rPr>
          <w:rFonts w:hint="eastAsia" w:ascii="仿宋" w:hAnsi="仿宋" w:eastAsia="仿宋" w:cs="仿宋"/>
          <w:b/>
          <w:color w:val="000000"/>
          <w:kern w:val="2"/>
          <w:sz w:val="28"/>
          <w:szCs w:val="28"/>
          <w:highlight w:val="none"/>
          <w:lang w:val="zh-CN" w:eastAsia="zh-CN" w:bidi="ar-SA"/>
        </w:rPr>
      </w:pPr>
      <w:r>
        <w:rPr>
          <w:rFonts w:hint="eastAsia" w:ascii="仿宋" w:hAnsi="仿宋" w:eastAsia="仿宋" w:cs="仿宋"/>
          <w:color w:val="000000"/>
          <w:sz w:val="28"/>
          <w:szCs w:val="28"/>
          <w:highlight w:val="none"/>
          <w:lang w:val="en-US" w:eastAsia="zh-CN"/>
        </w:rPr>
        <w:t>合同签订日期：</w:t>
      </w:r>
    </w:p>
    <w:p w14:paraId="0AF020DF">
      <w:pPr>
        <w:keepNext w:val="0"/>
        <w:keepLines w:val="0"/>
        <w:pageBreakBefore w:val="0"/>
        <w:widowControl w:val="0"/>
        <w:shd w:val="clear" w:color="auto" w:fill="auto"/>
        <w:kinsoku/>
        <w:wordWrap/>
        <w:overflowPunct/>
        <w:topLinePunct w:val="0"/>
        <w:autoSpaceDE/>
        <w:autoSpaceDN/>
        <w:bidi w:val="0"/>
        <w:adjustRightInd w:val="0"/>
        <w:snapToGrid w:val="0"/>
        <w:spacing w:before="0" w:after="164" w:afterLines="50" w:line="500" w:lineRule="exact"/>
        <w:ind w:firstLine="964" w:firstLineChars="300"/>
        <w:jc w:val="both"/>
        <w:textAlignment w:val="auto"/>
        <w:outlineLvl w:val="9"/>
        <w:rPr>
          <w:rFonts w:hint="eastAsia" w:ascii="仿宋" w:hAnsi="仿宋" w:eastAsia="仿宋" w:cs="仿宋"/>
          <w:b/>
          <w:bCs/>
          <w:color w:val="000000"/>
          <w:kern w:val="44"/>
          <w:sz w:val="32"/>
          <w:szCs w:val="32"/>
          <w:highlight w:val="none"/>
          <w:lang w:val="zh-CN" w:eastAsia="zh-CN" w:bidi="ar-SA"/>
        </w:rPr>
      </w:pPr>
    </w:p>
    <w:p w14:paraId="452D4DA6">
      <w:pPr>
        <w:keepNext w:val="0"/>
        <w:keepLines w:val="0"/>
        <w:pageBreakBefore w:val="0"/>
        <w:shd w:val="clear" w:color="auto" w:fill="auto"/>
        <w:kinsoku/>
        <w:wordWrap w:val="0"/>
        <w:overflowPunct/>
        <w:autoSpaceDE w:val="0"/>
        <w:autoSpaceDN w:val="0"/>
        <w:bidi w:val="0"/>
        <w:adjustRightInd/>
        <w:snapToGrid/>
        <w:spacing w:line="440" w:lineRule="exact"/>
        <w:ind w:firstLine="480"/>
        <w:jc w:val="center"/>
        <w:textAlignment w:val="auto"/>
        <w:outlineLvl w:val="9"/>
        <w:rPr>
          <w:rFonts w:hint="eastAsia" w:ascii="仿宋" w:hAnsi="仿宋" w:eastAsia="仿宋" w:cs="仿宋"/>
          <w:b/>
          <w:bCs/>
          <w:color w:val="000000"/>
          <w:kern w:val="0"/>
          <w:sz w:val="28"/>
          <w:szCs w:val="28"/>
          <w:highlight w:val="none"/>
        </w:rPr>
      </w:pPr>
      <w:r>
        <w:rPr>
          <w:rFonts w:hint="eastAsia" w:ascii="仿宋" w:hAnsi="仿宋" w:eastAsia="仿宋" w:cs="仿宋"/>
          <w:color w:val="000000"/>
          <w:kern w:val="0"/>
          <w:sz w:val="28"/>
          <w:szCs w:val="28"/>
          <w:highlight w:val="none"/>
        </w:rPr>
        <w:br w:type="page"/>
      </w:r>
      <w:r>
        <w:rPr>
          <w:rFonts w:hint="eastAsia" w:ascii="仿宋" w:hAnsi="仿宋" w:eastAsia="仿宋" w:cs="仿宋"/>
          <w:b/>
          <w:bCs/>
          <w:color w:val="000000"/>
          <w:kern w:val="0"/>
          <w:sz w:val="28"/>
          <w:szCs w:val="28"/>
          <w:highlight w:val="none"/>
        </w:rPr>
        <w:t>第一部分 合同协议书</w:t>
      </w:r>
    </w:p>
    <w:p w14:paraId="59EF29B7">
      <w:pPr>
        <w:keepNext w:val="0"/>
        <w:keepLines w:val="0"/>
        <w:pageBreakBefore w:val="0"/>
        <w:kinsoku/>
        <w:wordWrap/>
        <w:overflowPunct/>
        <w:bidi w:val="0"/>
        <w:spacing w:line="500" w:lineRule="exact"/>
        <w:textAlignment w:val="auto"/>
        <w:outlineLvl w:val="9"/>
        <w:rPr>
          <w:rFonts w:hint="eastAsia" w:ascii="仿宋" w:hAnsi="仿宋" w:eastAsia="仿宋" w:cs="仿宋"/>
          <w:b/>
          <w:color w:val="000000"/>
          <w:sz w:val="28"/>
          <w:szCs w:val="28"/>
          <w:highlight w:val="none"/>
          <w:u w:val="single"/>
          <w:lang w:val="en-US" w:eastAsia="zh-CN"/>
        </w:rPr>
      </w:pPr>
      <w:r>
        <w:rPr>
          <w:rFonts w:hint="eastAsia" w:ascii="仿宋" w:hAnsi="仿宋" w:eastAsia="仿宋" w:cs="仿宋"/>
          <w:b/>
          <w:color w:val="000000"/>
          <w:sz w:val="28"/>
          <w:szCs w:val="28"/>
          <w:highlight w:val="none"/>
        </w:rPr>
        <w:t>发包人（全称）：</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input658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
          <w:color w:val="000000"/>
          <w:sz w:val="28"/>
          <w:szCs w:val="28"/>
          <w:highlight w:val="none"/>
          <w:u w:val="single"/>
          <w:lang w:val="en-US" w:eastAsia="zh-CN"/>
        </w:rPr>
        <w:t xml:space="preserve">                </w:t>
      </w:r>
    </w:p>
    <w:p w14:paraId="2FD98151">
      <w:pPr>
        <w:keepNext w:val="0"/>
        <w:keepLines w:val="0"/>
        <w:pageBreakBefore w:val="0"/>
        <w:kinsoku/>
        <w:wordWrap/>
        <w:overflowPunct/>
        <w:bidi w:val="0"/>
        <w:spacing w:line="500" w:lineRule="exact"/>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rPr>
        <w:t>承包人（全称）：</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input659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p>
    <w:p w14:paraId="43C55A2B">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根据《中华人民共和国</w:t>
      </w:r>
      <w:r>
        <w:rPr>
          <w:rFonts w:hint="eastAsia" w:ascii="仿宋" w:hAnsi="仿宋" w:eastAsia="仿宋" w:cs="仿宋"/>
          <w:color w:val="000000"/>
          <w:sz w:val="28"/>
          <w:szCs w:val="28"/>
          <w:highlight w:val="none"/>
          <w:lang w:eastAsia="zh-CN"/>
        </w:rPr>
        <w:t>民法典</w:t>
      </w:r>
      <w:r>
        <w:rPr>
          <w:rFonts w:hint="eastAsia" w:ascii="仿宋" w:hAnsi="仿宋" w:eastAsia="仿宋" w:cs="仿宋"/>
          <w:color w:val="000000"/>
          <w:sz w:val="28"/>
          <w:szCs w:val="28"/>
          <w:highlight w:val="none"/>
        </w:rPr>
        <w:t>》《中华人民共和国建筑法》及有关法律规定，遵循平等、自愿、公平和诚实信用的原则，双方就本建设工程施工及有关事项协商一致，共同达成如下协议：</w:t>
      </w:r>
    </w:p>
    <w:p w14:paraId="5140F589">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一、工程概况</w:t>
      </w:r>
    </w:p>
    <w:p w14:paraId="56BB9961">
      <w:pPr>
        <w:keepNext w:val="0"/>
        <w:keepLines w:val="0"/>
        <w:pageBreakBefore w:val="0"/>
        <w:kinsoku/>
        <w:wordWrap/>
        <w:overflowPunct/>
        <w:bidi w:val="0"/>
        <w:spacing w:line="500" w:lineRule="exact"/>
        <w:ind w:firstLine="548" w:firstLineChars="196"/>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bCs/>
          <w:color w:val="000000"/>
          <w:sz w:val="28"/>
          <w:szCs w:val="28"/>
          <w:highlight w:val="none"/>
        </w:rPr>
        <w:t>1.工程名称</w:t>
      </w:r>
      <w:r>
        <w:rPr>
          <w:rFonts w:hint="eastAsia" w:ascii="仿宋" w:hAnsi="仿宋" w:eastAsia="仿宋" w:cs="仿宋"/>
          <w:color w:val="000000"/>
          <w:sz w:val="28"/>
          <w:szCs w:val="28"/>
          <w:highlight w:val="none"/>
        </w:rPr>
        <w:t>：</w:t>
      </w:r>
      <w:r>
        <w:rPr>
          <w:rFonts w:hint="eastAsia" w:ascii="仿宋" w:hAnsi="仿宋" w:eastAsia="仿宋" w:cs="仿宋"/>
          <w:b/>
          <w:bCs/>
          <w:color w:val="000000"/>
          <w:sz w:val="28"/>
          <w:szCs w:val="28"/>
          <w:highlight w:val="none"/>
          <w:u w:val="single"/>
          <w:lang w:eastAsia="zh-CN"/>
        </w:rPr>
        <w:t>纳竜坝村小组茶产业及人居环境综合整治提升项目</w:t>
      </w:r>
      <w:r>
        <w:rPr>
          <w:rFonts w:hint="eastAsia" w:ascii="仿宋" w:hAnsi="仿宋" w:eastAsia="仿宋" w:cs="仿宋"/>
          <w:color w:val="000000"/>
          <w:sz w:val="28"/>
          <w:szCs w:val="28"/>
          <w:highlight w:val="none"/>
        </w:rPr>
        <w:t>。</w:t>
      </w:r>
    </w:p>
    <w:p w14:paraId="070D31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仿宋" w:hAnsi="仿宋" w:eastAsia="仿宋" w:cs="仿宋"/>
          <w:b/>
          <w:bCs/>
          <w:color w:val="000000"/>
          <w:sz w:val="28"/>
          <w:szCs w:val="28"/>
          <w:highlight w:val="none"/>
          <w:u w:val="single"/>
          <w:lang w:val="en-US" w:eastAsia="zh-CN"/>
        </w:rPr>
      </w:pPr>
      <w:r>
        <w:rPr>
          <w:rFonts w:hint="eastAsia" w:ascii="仿宋" w:hAnsi="仿宋" w:eastAsia="仿宋" w:cs="仿宋"/>
          <w:bCs/>
          <w:color w:val="000000"/>
          <w:sz w:val="28"/>
          <w:szCs w:val="28"/>
          <w:highlight w:val="none"/>
        </w:rPr>
        <w:t>2.工程地点：</w:t>
      </w:r>
      <w:r>
        <w:rPr>
          <w:rFonts w:hint="eastAsia" w:ascii="仿宋" w:hAnsi="仿宋" w:eastAsia="仿宋" w:cs="仿宋"/>
          <w:b/>
          <w:bCs/>
          <w:color w:val="000000"/>
          <w:sz w:val="28"/>
          <w:szCs w:val="28"/>
          <w:highlight w:val="none"/>
          <w:u w:val="single"/>
          <w:lang w:val="en-US" w:eastAsia="zh-CN"/>
        </w:rPr>
        <w:t>勐腊县象明彝族乡蛮砖村委会纳竜坝村小组</w:t>
      </w:r>
    </w:p>
    <w:p w14:paraId="259A3B45">
      <w:pPr>
        <w:keepNext w:val="0"/>
        <w:keepLines w:val="0"/>
        <w:pageBreakBefore w:val="0"/>
        <w:kinsoku/>
        <w:wordWrap/>
        <w:overflowPunct/>
        <w:bidi w:val="0"/>
        <w:spacing w:line="500" w:lineRule="exact"/>
        <w:ind w:firstLine="548" w:firstLineChars="196"/>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3.工程立项批准文号：</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input663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Cs/>
          <w:color w:val="000000"/>
          <w:sz w:val="28"/>
          <w:szCs w:val="28"/>
          <w:highlight w:val="none"/>
        </w:rPr>
        <w:t>。</w:t>
      </w:r>
    </w:p>
    <w:p w14:paraId="3F0D4FF0">
      <w:pPr>
        <w:keepNext w:val="0"/>
        <w:keepLines w:val="0"/>
        <w:pageBreakBefore w:val="0"/>
        <w:kinsoku/>
        <w:wordWrap/>
        <w:overflowPunct/>
        <w:bidi w:val="0"/>
        <w:spacing w:line="500" w:lineRule="exact"/>
        <w:ind w:firstLine="548" w:firstLineChars="196"/>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4.资金来源：</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input664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Cs/>
          <w:color w:val="000000"/>
          <w:sz w:val="28"/>
          <w:szCs w:val="28"/>
          <w:highlight w:val="none"/>
        </w:rPr>
        <w:t>。</w:t>
      </w:r>
    </w:p>
    <w:p w14:paraId="609A2B1F">
      <w:pPr>
        <w:keepNext w:val="0"/>
        <w:keepLines w:val="0"/>
        <w:pageBreakBefore w:val="0"/>
        <w:kinsoku/>
        <w:wordWrap/>
        <w:overflowPunct/>
        <w:bidi w:val="0"/>
        <w:spacing w:line="500" w:lineRule="exact"/>
        <w:ind w:firstLine="548" w:firstLineChars="196"/>
        <w:textAlignment w:val="auto"/>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5.工程内容：</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input664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
          <w:bCs w:val="0"/>
          <w:color w:val="000000"/>
          <w:kern w:val="0"/>
          <w:sz w:val="28"/>
          <w:szCs w:val="28"/>
          <w:highlight w:val="none"/>
          <w:u w:val="none"/>
          <w:lang w:eastAsia="zh-CN"/>
        </w:rPr>
        <w:t>。</w:t>
      </w:r>
    </w:p>
    <w:p w14:paraId="6E3C3E01">
      <w:pPr>
        <w:keepNext w:val="0"/>
        <w:keepLines w:val="0"/>
        <w:pageBreakBefore w:val="0"/>
        <w:kinsoku/>
        <w:wordWrap/>
        <w:overflowPunct/>
        <w:bidi w:val="0"/>
        <w:spacing w:line="500" w:lineRule="exact"/>
        <w:ind w:firstLine="548" w:firstLineChars="196"/>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群体工程应附《承包人承揽工程项目一览表》（附件1）。</w:t>
      </w:r>
    </w:p>
    <w:p w14:paraId="05875348">
      <w:pPr>
        <w:keepNext w:val="0"/>
        <w:keepLines w:val="0"/>
        <w:pageBreakBefore w:val="0"/>
        <w:numPr>
          <w:ilvl w:val="0"/>
          <w:numId w:val="8"/>
        </w:numPr>
        <w:kinsoku/>
        <w:wordWrap/>
        <w:overflowPunct/>
        <w:bidi w:val="0"/>
        <w:spacing w:line="500" w:lineRule="exact"/>
        <w:ind w:firstLine="548" w:firstLineChars="196"/>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工程承包范围：</w:t>
      </w:r>
    </w:p>
    <w:p w14:paraId="3B6931E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1.新建标准化钢架结构茶叶加工厂 1 座，长 15 米、宽6 米，地面硬化 90 平方米框架，辐射带动洪水河片区茶农，统一开展茶叶收购、精深加工、产销对接服务；2.村内道路硬化工程 1000 米，路面平均宽度 3 米；3.修建排水渠 500 米，包含三面光、四面光防渗沟渠；4.民族陀螺文化活动场地长 26 米，宽 17 米，地面硬化442 平方米（围墙砌筑高 1.2 米，长 30 米，做护壁），修建钢架结构顶大棚 1 个面积 550 平方米；5.安装乡村亮化路灯 10 盏（具体以发布的工程量清单及图纸为准）。</w:t>
      </w:r>
    </w:p>
    <w:p w14:paraId="53F2C6F1">
      <w:pPr>
        <w:keepNext w:val="0"/>
        <w:keepLines w:val="0"/>
        <w:pageBreakBefore w:val="0"/>
        <w:kinsoku/>
        <w:wordWrap/>
        <w:overflowPunct/>
        <w:bidi w:val="0"/>
        <w:spacing w:line="500" w:lineRule="exact"/>
        <w:ind w:firstLine="551" w:firstLineChars="196"/>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二、合同工期</w:t>
      </w:r>
    </w:p>
    <w:p w14:paraId="7D0A3F36">
      <w:pPr>
        <w:keepNext w:val="0"/>
        <w:keepLines w:val="0"/>
        <w:pageBreakBefore w:val="0"/>
        <w:kinsoku/>
        <w:wordWrap/>
        <w:overflowPunct/>
        <w:bidi w:val="0"/>
        <w:spacing w:line="500" w:lineRule="exact"/>
        <w:ind w:firstLine="459"/>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计划开工日期：</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p>
    <w:p w14:paraId="5D0BA573">
      <w:pPr>
        <w:keepNext w:val="0"/>
        <w:keepLines w:val="0"/>
        <w:pageBreakBefore w:val="0"/>
        <w:kinsoku/>
        <w:wordWrap/>
        <w:overflowPunct/>
        <w:bidi w:val="0"/>
        <w:spacing w:line="500" w:lineRule="exact"/>
        <w:ind w:firstLine="459"/>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计划竣工日期：</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input668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p>
    <w:p w14:paraId="796AFA5A">
      <w:pPr>
        <w:keepNext w:val="0"/>
        <w:keepLines w:val="0"/>
        <w:pageBreakBefore w:val="0"/>
        <w:kinsoku/>
        <w:wordWrap/>
        <w:overflowPunct/>
        <w:bidi w:val="0"/>
        <w:spacing w:line="500" w:lineRule="exact"/>
        <w:ind w:firstLine="459"/>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工期总日历天数：</w:t>
      </w:r>
      <w:r>
        <w:rPr>
          <w:rFonts w:hint="eastAsia" w:ascii="仿宋" w:hAnsi="仿宋" w:eastAsia="仿宋" w:cs="仿宋"/>
          <w:b/>
          <w:color w:val="000000"/>
          <w:sz w:val="28"/>
          <w:szCs w:val="28"/>
          <w:highlight w:val="none"/>
          <w:u w:val="single"/>
          <w:lang w:val="en-US" w:eastAsia="zh-CN"/>
        </w:rPr>
        <w:t>90日历</w:t>
      </w:r>
      <w:r>
        <w:rPr>
          <w:rFonts w:hint="eastAsia" w:ascii="仿宋" w:hAnsi="仿宋" w:eastAsia="仿宋" w:cs="仿宋"/>
          <w:color w:val="000000"/>
          <w:sz w:val="28"/>
          <w:szCs w:val="28"/>
          <w:highlight w:val="none"/>
        </w:rPr>
        <w:t>天。工期总日历天数与根据前述计划开竣工日期计算的工期天数不一致的，以工期总日历天数为准。</w:t>
      </w:r>
    </w:p>
    <w:p w14:paraId="5852D45D">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三、质量标准</w:t>
      </w:r>
    </w:p>
    <w:p w14:paraId="082C6891">
      <w:pPr>
        <w:keepNext w:val="0"/>
        <w:keepLines w:val="0"/>
        <w:pageBreakBefore w:val="0"/>
        <w:kinsoku/>
        <w:wordWrap/>
        <w:overflowPunct/>
        <w:bidi w:val="0"/>
        <w:spacing w:line="500" w:lineRule="exact"/>
        <w:ind w:firstLine="459"/>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工程质量符合</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lang w:val="en-US" w:eastAsia="zh-CN"/>
        </w:rPr>
        <w:t xml:space="preserve">符合国家、行业及地方现行相关标准及规范，一次性验收合格 </w:t>
      </w:r>
      <w:r>
        <w:rPr>
          <w:rFonts w:hint="eastAsia" w:ascii="仿宋" w:hAnsi="仿宋" w:eastAsia="仿宋" w:cs="仿宋"/>
          <w:color w:val="000000"/>
          <w:sz w:val="28"/>
          <w:szCs w:val="28"/>
          <w:highlight w:val="none"/>
        </w:rPr>
        <w:t>标准。</w:t>
      </w:r>
    </w:p>
    <w:p w14:paraId="5A63C443">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   四、签约合同价与合同价格形式</w:t>
      </w:r>
      <w:r>
        <w:rPr>
          <w:rFonts w:hint="eastAsia" w:ascii="仿宋" w:hAnsi="仿宋" w:eastAsia="仿宋" w:cs="仿宋"/>
          <w:b/>
          <w:color w:val="000000"/>
          <w:sz w:val="28"/>
          <w:szCs w:val="28"/>
          <w:highlight w:val="none"/>
        </w:rPr>
        <w:tab/>
      </w:r>
    </w:p>
    <w:p w14:paraId="7EE46BB2">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1.签约合同价为：</w:t>
      </w:r>
    </w:p>
    <w:p w14:paraId="1FE55630">
      <w:pPr>
        <w:keepNext w:val="0"/>
        <w:keepLines w:val="0"/>
        <w:pageBreakBefore w:val="0"/>
        <w:widowControl w:val="0"/>
        <w:kinsoku/>
        <w:wordWrap/>
        <w:overflowPunct/>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合同价款金额</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成交价</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元（大写</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人民币</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，承包人完成本项目约定范围内的工作不再计取其他任何费用。</w:t>
      </w:r>
      <w:r>
        <w:rPr>
          <w:rFonts w:hint="eastAsia" w:ascii="仿宋" w:hAnsi="仿宋" w:eastAsia="仿宋" w:cs="仿宋"/>
          <w:color w:val="000000"/>
          <w:sz w:val="28"/>
          <w:szCs w:val="28"/>
          <w:highlight w:val="none"/>
          <w:lang w:val="en-US" w:eastAsia="zh-CN"/>
        </w:rPr>
        <w:t>包含国家规定的增值税税金，并按照发包人的要求提供增值税发票。</w:t>
      </w:r>
    </w:p>
    <w:p w14:paraId="2FB1DA0F">
      <w:pPr>
        <w:keepNext w:val="0"/>
        <w:keepLines w:val="0"/>
        <w:pageBreakBefore w:val="0"/>
        <w:widowControl w:val="0"/>
        <w:kinsoku/>
        <w:wordWrap/>
        <w:overflowPunct/>
        <w:bidi w:val="0"/>
        <w:spacing w:line="500" w:lineRule="exact"/>
        <w:ind w:firstLine="560" w:firstLineChars="200"/>
        <w:textAlignment w:val="auto"/>
        <w:outlineLvl w:val="9"/>
        <w:rPr>
          <w:rStyle w:val="26"/>
          <w:rFonts w:hint="eastAsia" w:ascii="仿宋" w:hAnsi="仿宋" w:eastAsia="仿宋" w:cs="仿宋"/>
          <w:b/>
          <w:bCs/>
          <w:color w:val="000000"/>
          <w:kern w:val="2"/>
          <w:sz w:val="28"/>
          <w:szCs w:val="28"/>
          <w:highlight w:val="none"/>
          <w:u w:val="single"/>
          <w:lang w:val="en-US" w:eastAsia="zh-CN" w:bidi="ar-SA"/>
        </w:rPr>
      </w:pPr>
      <w:r>
        <w:rPr>
          <w:rFonts w:hint="eastAsia" w:ascii="仿宋" w:hAnsi="仿宋" w:eastAsia="仿宋" w:cs="仿宋"/>
          <w:color w:val="000000"/>
          <w:sz w:val="28"/>
          <w:szCs w:val="28"/>
          <w:highlight w:val="none"/>
        </w:rPr>
        <w:t>2.合同价格形式：</w:t>
      </w:r>
      <w:r>
        <w:rPr>
          <w:rStyle w:val="26"/>
          <w:rFonts w:hint="eastAsia" w:ascii="仿宋" w:hAnsi="仿宋" w:eastAsia="仿宋" w:cs="仿宋"/>
          <w:b/>
          <w:bCs/>
          <w:color w:val="000000"/>
          <w:kern w:val="2"/>
          <w:sz w:val="28"/>
          <w:szCs w:val="28"/>
          <w:highlight w:val="none"/>
          <w:u w:val="single"/>
          <w:lang w:val="en-US" w:eastAsia="zh-CN" w:bidi="ar-SA"/>
        </w:rPr>
        <w:t>单价合同。</w:t>
      </w:r>
    </w:p>
    <w:p w14:paraId="6442689D">
      <w:pPr>
        <w:keepNext w:val="0"/>
        <w:keepLines w:val="0"/>
        <w:pageBreakBefore w:val="0"/>
        <w:kinsoku/>
        <w:wordWrap/>
        <w:overflowPunct/>
        <w:bidi w:val="0"/>
        <w:adjustRightInd/>
        <w:snapToGrid/>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五、项目经理</w:t>
      </w:r>
    </w:p>
    <w:p w14:paraId="628090B7">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承包人项目经理：</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input682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color w:val="000000"/>
          <w:sz w:val="28"/>
          <w:szCs w:val="28"/>
          <w:highlight w:val="none"/>
        </w:rPr>
        <w:t>。</w:t>
      </w:r>
    </w:p>
    <w:p w14:paraId="60294D6A">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六、合同文件构成</w:t>
      </w:r>
    </w:p>
    <w:p w14:paraId="11ABBD9B">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本协议书与下列文件一起构成合同文件：</w:t>
      </w:r>
    </w:p>
    <w:p w14:paraId="567502CC">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）项目实施期间签订的补充合同、补充协议、会议纪要；</w:t>
      </w:r>
    </w:p>
    <w:p w14:paraId="73F1B535">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成交通知书</w:t>
      </w:r>
      <w:r>
        <w:rPr>
          <w:rFonts w:hint="eastAsia" w:ascii="仿宋" w:hAnsi="仿宋" w:eastAsia="仿宋" w:cs="仿宋"/>
          <w:color w:val="000000"/>
          <w:kern w:val="0"/>
          <w:sz w:val="28"/>
          <w:szCs w:val="28"/>
          <w:highlight w:val="none"/>
        </w:rPr>
        <w:t>（如果有）</w:t>
      </w:r>
      <w:r>
        <w:rPr>
          <w:rFonts w:hint="eastAsia" w:ascii="仿宋" w:hAnsi="仿宋" w:eastAsia="仿宋" w:cs="仿宋"/>
          <w:color w:val="000000"/>
          <w:sz w:val="28"/>
          <w:szCs w:val="28"/>
          <w:highlight w:val="none"/>
        </w:rPr>
        <w:t>；</w:t>
      </w:r>
    </w:p>
    <w:p w14:paraId="142B31D0">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w:t>
      </w:r>
      <w:r>
        <w:rPr>
          <w:rFonts w:hint="eastAsia" w:ascii="仿宋" w:hAnsi="仿宋" w:eastAsia="仿宋" w:cs="仿宋"/>
          <w:color w:val="000000"/>
          <w:kern w:val="0"/>
          <w:sz w:val="28"/>
          <w:szCs w:val="28"/>
          <w:highlight w:val="none"/>
          <w:lang w:eastAsia="zh-CN"/>
        </w:rPr>
        <w:t>磋商函</w:t>
      </w:r>
      <w:r>
        <w:rPr>
          <w:rFonts w:hint="eastAsia" w:ascii="仿宋" w:hAnsi="仿宋" w:eastAsia="仿宋" w:cs="仿宋"/>
          <w:color w:val="000000"/>
          <w:kern w:val="0"/>
          <w:sz w:val="28"/>
          <w:szCs w:val="28"/>
          <w:highlight w:val="none"/>
        </w:rPr>
        <w:t>（如果有）</w:t>
      </w:r>
      <w:r>
        <w:rPr>
          <w:rFonts w:hint="eastAsia" w:ascii="仿宋" w:hAnsi="仿宋" w:eastAsia="仿宋" w:cs="仿宋"/>
          <w:color w:val="000000"/>
          <w:sz w:val="28"/>
          <w:szCs w:val="28"/>
          <w:highlight w:val="none"/>
        </w:rPr>
        <w:t xml:space="preserve">； </w:t>
      </w:r>
    </w:p>
    <w:p w14:paraId="4291F837">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）专用合同条款及其附件；</w:t>
      </w:r>
    </w:p>
    <w:p w14:paraId="27D1FD1B">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5</w:t>
      </w:r>
      <w:r>
        <w:rPr>
          <w:rFonts w:hint="eastAsia" w:ascii="仿宋" w:hAnsi="仿宋" w:eastAsia="仿宋" w:cs="仿宋"/>
          <w:color w:val="000000"/>
          <w:sz w:val="28"/>
          <w:szCs w:val="28"/>
          <w:highlight w:val="none"/>
        </w:rPr>
        <w:t>）通用合同条款；</w:t>
      </w:r>
    </w:p>
    <w:p w14:paraId="65A76ACD">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）技术标准和要求</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如果有</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w:t>
      </w:r>
    </w:p>
    <w:p w14:paraId="4B6D13A7">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7</w:t>
      </w:r>
      <w:r>
        <w:rPr>
          <w:rFonts w:hint="eastAsia" w:ascii="仿宋" w:hAnsi="仿宋" w:eastAsia="仿宋" w:cs="仿宋"/>
          <w:color w:val="000000"/>
          <w:sz w:val="28"/>
          <w:szCs w:val="28"/>
          <w:highlight w:val="none"/>
        </w:rPr>
        <w:t>）图纸</w:t>
      </w:r>
      <w:r>
        <w:rPr>
          <w:rFonts w:hint="eastAsia" w:ascii="仿宋" w:hAnsi="仿宋" w:eastAsia="仿宋" w:cs="仿宋"/>
          <w:color w:val="000000"/>
          <w:sz w:val="28"/>
          <w:szCs w:val="28"/>
          <w:highlight w:val="none"/>
          <w:lang w:val="en-US" w:eastAsia="zh-CN"/>
        </w:rPr>
        <w:t>(如果有）；</w:t>
      </w:r>
    </w:p>
    <w:p w14:paraId="105C8CD4">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8</w:t>
      </w:r>
      <w:r>
        <w:rPr>
          <w:rFonts w:hint="eastAsia" w:ascii="仿宋" w:hAnsi="仿宋" w:eastAsia="仿宋" w:cs="仿宋"/>
          <w:color w:val="000000"/>
          <w:sz w:val="28"/>
          <w:szCs w:val="28"/>
          <w:highlight w:val="none"/>
        </w:rPr>
        <w:t>）已标价工程量清单或预算书；</w:t>
      </w:r>
    </w:p>
    <w:p w14:paraId="2412C923">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9</w:t>
      </w:r>
      <w:r>
        <w:rPr>
          <w:rFonts w:hint="eastAsia" w:ascii="仿宋" w:hAnsi="仿宋" w:eastAsia="仿宋" w:cs="仿宋"/>
          <w:color w:val="000000"/>
          <w:sz w:val="28"/>
          <w:szCs w:val="28"/>
          <w:highlight w:val="none"/>
        </w:rPr>
        <w:t>）其他合同文件。</w:t>
      </w:r>
    </w:p>
    <w:p w14:paraId="0D4D73F8">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在合同订立及履行过程中形成的与合同有关的文件均构成合同文件组成部分。</w:t>
      </w:r>
    </w:p>
    <w:p w14:paraId="37FD3730">
      <w:pPr>
        <w:keepNext w:val="0"/>
        <w:keepLines w:val="0"/>
        <w:pageBreakBefore w:val="0"/>
        <w:kinsoku/>
        <w:wordWrap/>
        <w:overflowPunct/>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66F95F22">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
          <w:bCs/>
          <w:color w:val="000000"/>
          <w:sz w:val="28"/>
          <w:szCs w:val="28"/>
          <w:highlight w:val="none"/>
        </w:rPr>
      </w:pPr>
      <w:r>
        <w:rPr>
          <w:rFonts w:hint="eastAsia" w:ascii="仿宋" w:hAnsi="仿宋" w:eastAsia="仿宋" w:cs="仿宋"/>
          <w:b/>
          <w:color w:val="000000"/>
          <w:sz w:val="28"/>
          <w:szCs w:val="28"/>
          <w:highlight w:val="none"/>
        </w:rPr>
        <w:t xml:space="preserve">    七、承诺</w:t>
      </w:r>
    </w:p>
    <w:p w14:paraId="5552B243">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1.发包人承诺按照法律规定履行项目审批手续、筹集工程建设资金并按照合同约定的期限和方式支付合同价款。</w:t>
      </w:r>
    </w:p>
    <w:p w14:paraId="06544926">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2.承包人承诺按照法律规定及合同约定组织完成工程施工，确保工程质量和安全，不进行转包及违法分包，并在缺陷责任期及保修期内承担相应的工程维修责任。</w:t>
      </w:r>
    </w:p>
    <w:p w14:paraId="0C473762">
      <w:pPr>
        <w:keepNext w:val="0"/>
        <w:keepLines w:val="0"/>
        <w:pageBreakBefore w:val="0"/>
        <w:kinsoku/>
        <w:wordWrap/>
        <w:overflowPunct/>
        <w:bidi w:val="0"/>
        <w:spacing w:line="500" w:lineRule="exac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八、词语含义</w:t>
      </w:r>
    </w:p>
    <w:p w14:paraId="305E424E">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本协议书中词语含义与第二部分通用合同条款中赋予的含义相同。</w:t>
      </w:r>
    </w:p>
    <w:p w14:paraId="455E5E7E">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九、签订时间</w:t>
      </w:r>
    </w:p>
    <w:p w14:paraId="42ED7E50">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本合同于</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input683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Cs/>
          <w:color w:val="000000"/>
          <w:sz w:val="28"/>
          <w:szCs w:val="28"/>
          <w:highlight w:val="none"/>
        </w:rPr>
        <w:t>签订。</w:t>
      </w:r>
    </w:p>
    <w:p w14:paraId="0C5DDA10">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十、签订地点</w:t>
      </w:r>
    </w:p>
    <w:p w14:paraId="370BD8AC">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本合同在</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input684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Cs/>
          <w:color w:val="000000"/>
          <w:sz w:val="28"/>
          <w:szCs w:val="28"/>
          <w:highlight w:val="none"/>
        </w:rPr>
        <w:t>签订。</w:t>
      </w:r>
    </w:p>
    <w:p w14:paraId="1ED59EA2">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十一、补充协议</w:t>
      </w:r>
    </w:p>
    <w:p w14:paraId="28CDEB39">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
          <w:bCs/>
          <w:color w:val="000000"/>
          <w:sz w:val="28"/>
          <w:szCs w:val="28"/>
          <w:highlight w:val="none"/>
        </w:rPr>
      </w:pPr>
      <w:r>
        <w:rPr>
          <w:rFonts w:hint="eastAsia" w:ascii="仿宋" w:hAnsi="仿宋" w:eastAsia="仿宋" w:cs="仿宋"/>
          <w:bCs/>
          <w:color w:val="000000"/>
          <w:sz w:val="28"/>
          <w:szCs w:val="28"/>
          <w:highlight w:val="none"/>
        </w:rPr>
        <w:t>合同未尽事宜，合同当事人另行签订补充协议，补充协议是合同的组成部分。</w:t>
      </w:r>
    </w:p>
    <w:p w14:paraId="2C10D6AE">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十二、合同生效</w:t>
      </w:r>
    </w:p>
    <w:p w14:paraId="3810937A">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本合同自</w:t>
      </w:r>
      <w:r>
        <w:rPr>
          <w:rFonts w:hint="eastAsia" w:ascii="仿宋" w:hAnsi="仿宋" w:eastAsia="仿宋" w:cs="仿宋"/>
          <w:b/>
          <w:color w:val="000000"/>
          <w:sz w:val="28"/>
          <w:szCs w:val="28"/>
          <w:highlight w:val="none"/>
          <w:u w:val="single"/>
        </w:rPr>
        <w:fldChar w:fldCharType="begin"/>
      </w:r>
      <w:r>
        <w:rPr>
          <w:rFonts w:hint="eastAsia" w:ascii="仿宋" w:hAnsi="仿宋" w:eastAsia="仿宋" w:cs="仿宋"/>
          <w:b/>
          <w:color w:val="000000"/>
          <w:sz w:val="28"/>
          <w:szCs w:val="28"/>
          <w:highlight w:val="none"/>
          <w:u w:val="single"/>
        </w:rPr>
        <w:instrText xml:space="preserve"> AUTOTEXT  input685 \* MERGEFORMAT </w:instrText>
      </w:r>
      <w:r>
        <w:rPr>
          <w:rFonts w:hint="eastAsia" w:ascii="仿宋" w:hAnsi="仿宋" w:eastAsia="仿宋" w:cs="仿宋"/>
          <w:b/>
          <w:color w:val="000000"/>
          <w:sz w:val="28"/>
          <w:szCs w:val="28"/>
          <w:highlight w:val="none"/>
          <w:u w:val="single"/>
        </w:rPr>
        <w:fldChar w:fldCharType="separate"/>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fldChar w:fldCharType="end"/>
      </w:r>
      <w:r>
        <w:rPr>
          <w:rFonts w:hint="eastAsia" w:ascii="仿宋" w:hAnsi="仿宋" w:eastAsia="仿宋" w:cs="仿宋"/>
          <w:bCs/>
          <w:color w:val="000000"/>
          <w:sz w:val="28"/>
          <w:szCs w:val="28"/>
          <w:highlight w:val="none"/>
        </w:rPr>
        <w:t>生效。</w:t>
      </w:r>
    </w:p>
    <w:p w14:paraId="153E2728">
      <w:pPr>
        <w:keepNext w:val="0"/>
        <w:keepLines w:val="0"/>
        <w:pageBreakBefore w:val="0"/>
        <w:kinsoku/>
        <w:wordWrap/>
        <w:overflowPunct/>
        <w:bidi w:val="0"/>
        <w:adjustRightInd w:val="0"/>
        <w:snapToGrid w:val="0"/>
        <w:spacing w:line="500" w:lineRule="exact"/>
        <w:jc w:val="left"/>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
          <w:color w:val="000000"/>
          <w:sz w:val="28"/>
          <w:szCs w:val="28"/>
          <w:highlight w:val="none"/>
        </w:rPr>
        <w:t xml:space="preserve">    十三、合同份数</w:t>
      </w:r>
    </w:p>
    <w:p w14:paraId="1359CCCD">
      <w:pPr>
        <w:keepNext w:val="0"/>
        <w:keepLines w:val="0"/>
        <w:pageBreakBefore w:val="0"/>
        <w:kinsoku/>
        <w:wordWrap/>
        <w:overflowPunct/>
        <w:bidi w:val="0"/>
        <w:spacing w:line="500" w:lineRule="exact"/>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本合同一式</w:t>
      </w:r>
      <w:r>
        <w:rPr>
          <w:rFonts w:hint="eastAsia" w:ascii="仿宋" w:hAnsi="仿宋" w:eastAsia="仿宋" w:cs="仿宋"/>
          <w:color w:val="000000"/>
          <w:sz w:val="28"/>
          <w:szCs w:val="28"/>
          <w:highlight w:val="none"/>
          <w:u w:val="single"/>
        </w:rPr>
        <w:fldChar w:fldCharType="begin"/>
      </w:r>
      <w:r>
        <w:rPr>
          <w:rFonts w:hint="eastAsia" w:ascii="仿宋" w:hAnsi="仿宋" w:eastAsia="仿宋" w:cs="仿宋"/>
          <w:color w:val="000000"/>
          <w:sz w:val="28"/>
          <w:szCs w:val="28"/>
          <w:highlight w:val="none"/>
          <w:u w:val="single"/>
        </w:rPr>
        <w:instrText xml:space="preserve"> AUTOTEXT  input686 \* MERGEFORMAT </w:instrText>
      </w:r>
      <w:r>
        <w:rPr>
          <w:rFonts w:hint="eastAsia" w:ascii="仿宋" w:hAnsi="仿宋" w:eastAsia="仿宋" w:cs="仿宋"/>
          <w:color w:val="000000"/>
          <w:sz w:val="28"/>
          <w:szCs w:val="28"/>
          <w:highlight w:val="none"/>
          <w:u w:val="single"/>
        </w:rPr>
        <w:fldChar w:fldCharType="separate"/>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fldChar w:fldCharType="end"/>
      </w:r>
      <w:r>
        <w:rPr>
          <w:rFonts w:hint="eastAsia" w:ascii="仿宋" w:hAnsi="仿宋" w:eastAsia="仿宋" w:cs="仿宋"/>
          <w:bCs/>
          <w:color w:val="000000"/>
          <w:sz w:val="28"/>
          <w:szCs w:val="28"/>
          <w:highlight w:val="none"/>
        </w:rPr>
        <w:t>份，均具有同等法律效力，发包人执</w:t>
      </w:r>
      <w:r>
        <w:rPr>
          <w:rFonts w:hint="eastAsia" w:ascii="仿宋" w:hAnsi="仿宋" w:eastAsia="仿宋" w:cs="仿宋"/>
          <w:color w:val="000000"/>
          <w:sz w:val="28"/>
          <w:szCs w:val="28"/>
          <w:highlight w:val="none"/>
          <w:u w:val="single"/>
        </w:rPr>
        <w:fldChar w:fldCharType="begin"/>
      </w:r>
      <w:r>
        <w:rPr>
          <w:rFonts w:hint="eastAsia" w:ascii="仿宋" w:hAnsi="仿宋" w:eastAsia="仿宋" w:cs="仿宋"/>
          <w:color w:val="000000"/>
          <w:sz w:val="28"/>
          <w:szCs w:val="28"/>
          <w:highlight w:val="none"/>
          <w:u w:val="single"/>
        </w:rPr>
        <w:instrText xml:space="preserve"> AUTOTEXT  input687 \* MERGEFORMAT </w:instrText>
      </w:r>
      <w:r>
        <w:rPr>
          <w:rFonts w:hint="eastAsia" w:ascii="仿宋" w:hAnsi="仿宋" w:eastAsia="仿宋" w:cs="仿宋"/>
          <w:color w:val="000000"/>
          <w:sz w:val="28"/>
          <w:szCs w:val="28"/>
          <w:highlight w:val="none"/>
          <w:u w:val="single"/>
        </w:rPr>
        <w:fldChar w:fldCharType="separate"/>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fldChar w:fldCharType="end"/>
      </w:r>
      <w:r>
        <w:rPr>
          <w:rFonts w:hint="eastAsia" w:ascii="仿宋" w:hAnsi="仿宋" w:eastAsia="仿宋" w:cs="仿宋"/>
          <w:bCs/>
          <w:color w:val="000000"/>
          <w:sz w:val="28"/>
          <w:szCs w:val="28"/>
          <w:highlight w:val="none"/>
        </w:rPr>
        <w:t>份，承包人执</w:t>
      </w:r>
      <w:r>
        <w:rPr>
          <w:rFonts w:hint="eastAsia" w:ascii="仿宋" w:hAnsi="仿宋" w:eastAsia="仿宋" w:cs="仿宋"/>
          <w:color w:val="000000"/>
          <w:sz w:val="28"/>
          <w:szCs w:val="28"/>
          <w:highlight w:val="none"/>
          <w:u w:val="single"/>
        </w:rPr>
        <w:fldChar w:fldCharType="begin"/>
      </w:r>
      <w:r>
        <w:rPr>
          <w:rFonts w:hint="eastAsia" w:ascii="仿宋" w:hAnsi="仿宋" w:eastAsia="仿宋" w:cs="仿宋"/>
          <w:color w:val="000000"/>
          <w:sz w:val="28"/>
          <w:szCs w:val="28"/>
          <w:highlight w:val="none"/>
          <w:u w:val="single"/>
        </w:rPr>
        <w:instrText xml:space="preserve"> AUTOTEXT  input688 \* MERGEFORMAT </w:instrText>
      </w:r>
      <w:r>
        <w:rPr>
          <w:rFonts w:hint="eastAsia" w:ascii="仿宋" w:hAnsi="仿宋" w:eastAsia="仿宋" w:cs="仿宋"/>
          <w:color w:val="000000"/>
          <w:sz w:val="28"/>
          <w:szCs w:val="28"/>
          <w:highlight w:val="none"/>
          <w:u w:val="single"/>
        </w:rPr>
        <w:fldChar w:fldCharType="separate"/>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fldChar w:fldCharType="end"/>
      </w:r>
      <w:r>
        <w:rPr>
          <w:rFonts w:hint="eastAsia" w:ascii="仿宋" w:hAnsi="仿宋" w:eastAsia="仿宋" w:cs="仿宋"/>
          <w:bCs/>
          <w:color w:val="000000"/>
          <w:sz w:val="28"/>
          <w:szCs w:val="28"/>
          <w:highlight w:val="none"/>
        </w:rPr>
        <w:t>份。</w:t>
      </w:r>
    </w:p>
    <w:p w14:paraId="096E0C21">
      <w:pPr>
        <w:keepNext w:val="0"/>
        <w:keepLines w:val="0"/>
        <w:pageBreakBefore w:val="0"/>
        <w:kinsoku/>
        <w:wordWrap/>
        <w:overflowPunct/>
        <w:bidi w:val="0"/>
        <w:spacing w:line="500" w:lineRule="exact"/>
        <w:textAlignment w:val="auto"/>
        <w:outlineLvl w:val="9"/>
        <w:rPr>
          <w:rFonts w:hint="eastAsia" w:ascii="仿宋" w:hAnsi="仿宋" w:eastAsia="仿宋" w:cs="仿宋"/>
          <w:bCs/>
          <w:color w:val="000000"/>
          <w:sz w:val="28"/>
          <w:szCs w:val="28"/>
          <w:highlight w:val="none"/>
        </w:rPr>
      </w:pPr>
    </w:p>
    <w:tbl>
      <w:tblPr>
        <w:tblStyle w:val="24"/>
        <w:tblW w:w="0" w:type="auto"/>
        <w:jc w:val="center"/>
        <w:tblLayout w:type="fixed"/>
        <w:tblCellMar>
          <w:top w:w="0" w:type="dxa"/>
          <w:left w:w="108" w:type="dxa"/>
          <w:bottom w:w="0" w:type="dxa"/>
          <w:right w:w="108" w:type="dxa"/>
        </w:tblCellMar>
      </w:tblPr>
      <w:tblGrid>
        <w:gridCol w:w="2269"/>
        <w:gridCol w:w="2118"/>
        <w:gridCol w:w="2073"/>
        <w:gridCol w:w="2826"/>
      </w:tblGrid>
      <w:tr w14:paraId="565CEF36">
        <w:tblPrEx>
          <w:tblCellMar>
            <w:top w:w="0" w:type="dxa"/>
            <w:left w:w="108" w:type="dxa"/>
            <w:bottom w:w="0" w:type="dxa"/>
            <w:right w:w="108" w:type="dxa"/>
          </w:tblCellMar>
        </w:tblPrEx>
        <w:trPr>
          <w:cantSplit/>
          <w:jc w:val="center"/>
        </w:trPr>
        <w:tc>
          <w:tcPr>
            <w:tcW w:w="2269" w:type="dxa"/>
            <w:noWrap w:val="0"/>
            <w:vAlign w:val="center"/>
          </w:tcPr>
          <w:p w14:paraId="78FA6FF1">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发包人:</w:t>
            </w:r>
          </w:p>
        </w:tc>
        <w:tc>
          <w:tcPr>
            <w:tcW w:w="2118" w:type="dxa"/>
            <w:noWrap w:val="0"/>
            <w:vAlign w:val="center"/>
          </w:tcPr>
          <w:p w14:paraId="608106C5">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input689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r>
              <w:rPr>
                <w:rFonts w:hint="eastAsia" w:ascii="仿宋" w:hAnsi="仿宋" w:eastAsia="仿宋" w:cs="仿宋"/>
                <w:color w:val="000000"/>
                <w:kern w:val="0"/>
                <w:sz w:val="28"/>
                <w:szCs w:val="28"/>
                <w:highlight w:val="none"/>
              </w:rPr>
              <w:t>(公章)</w:t>
            </w:r>
          </w:p>
        </w:tc>
        <w:tc>
          <w:tcPr>
            <w:tcW w:w="2073" w:type="dxa"/>
            <w:noWrap w:val="0"/>
            <w:vAlign w:val="center"/>
          </w:tcPr>
          <w:p w14:paraId="206D4E96">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承包人：</w:t>
            </w:r>
          </w:p>
        </w:tc>
        <w:tc>
          <w:tcPr>
            <w:tcW w:w="2826" w:type="dxa"/>
            <w:noWrap w:val="0"/>
            <w:vAlign w:val="center"/>
          </w:tcPr>
          <w:p w14:paraId="78F180CE">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input690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r>
              <w:rPr>
                <w:rFonts w:hint="eastAsia" w:ascii="仿宋" w:hAnsi="仿宋" w:eastAsia="仿宋" w:cs="仿宋"/>
                <w:color w:val="000000"/>
                <w:kern w:val="0"/>
                <w:sz w:val="28"/>
                <w:szCs w:val="28"/>
                <w:highlight w:val="none"/>
              </w:rPr>
              <w:t>(公章)</w:t>
            </w:r>
          </w:p>
        </w:tc>
      </w:tr>
      <w:tr w14:paraId="00C1B45A">
        <w:tblPrEx>
          <w:tblCellMar>
            <w:top w:w="0" w:type="dxa"/>
            <w:left w:w="108" w:type="dxa"/>
            <w:bottom w:w="0" w:type="dxa"/>
            <w:right w:w="108" w:type="dxa"/>
          </w:tblCellMar>
        </w:tblPrEx>
        <w:trPr>
          <w:cantSplit/>
          <w:jc w:val="center"/>
        </w:trPr>
        <w:tc>
          <w:tcPr>
            <w:tcW w:w="2269" w:type="dxa"/>
            <w:noWrap w:val="0"/>
            <w:vAlign w:val="center"/>
          </w:tcPr>
          <w:p w14:paraId="582CFD77">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法定代表人或其委托代理人：</w:t>
            </w:r>
          </w:p>
        </w:tc>
        <w:tc>
          <w:tcPr>
            <w:tcW w:w="2118" w:type="dxa"/>
            <w:noWrap w:val="0"/>
            <w:vAlign w:val="center"/>
          </w:tcPr>
          <w:p w14:paraId="198C9A18">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input691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r>
              <w:rPr>
                <w:rFonts w:hint="eastAsia" w:ascii="仿宋" w:hAnsi="仿宋" w:eastAsia="仿宋" w:cs="仿宋"/>
                <w:color w:val="000000"/>
                <w:kern w:val="0"/>
                <w:sz w:val="28"/>
                <w:szCs w:val="28"/>
                <w:highlight w:val="none"/>
              </w:rPr>
              <w:t>（签字）</w:t>
            </w:r>
          </w:p>
        </w:tc>
        <w:tc>
          <w:tcPr>
            <w:tcW w:w="2073" w:type="dxa"/>
            <w:noWrap w:val="0"/>
            <w:vAlign w:val="center"/>
          </w:tcPr>
          <w:p w14:paraId="3FCFC68E">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法定代表人或其委托代理人：</w:t>
            </w:r>
          </w:p>
        </w:tc>
        <w:tc>
          <w:tcPr>
            <w:tcW w:w="2826" w:type="dxa"/>
            <w:noWrap w:val="0"/>
            <w:vAlign w:val="center"/>
          </w:tcPr>
          <w:p w14:paraId="7A74EDF3">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input692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r>
              <w:rPr>
                <w:rFonts w:hint="eastAsia" w:ascii="仿宋" w:hAnsi="仿宋" w:eastAsia="仿宋" w:cs="仿宋"/>
                <w:color w:val="000000"/>
                <w:kern w:val="0"/>
                <w:sz w:val="28"/>
                <w:szCs w:val="28"/>
                <w:highlight w:val="none"/>
              </w:rPr>
              <w:t>（签字）</w:t>
            </w:r>
          </w:p>
        </w:tc>
      </w:tr>
      <w:tr w14:paraId="12157E98">
        <w:tblPrEx>
          <w:tblCellMar>
            <w:top w:w="0" w:type="dxa"/>
            <w:left w:w="108" w:type="dxa"/>
            <w:bottom w:w="0" w:type="dxa"/>
            <w:right w:w="108" w:type="dxa"/>
          </w:tblCellMar>
        </w:tblPrEx>
        <w:trPr>
          <w:cantSplit/>
          <w:jc w:val="center"/>
        </w:trPr>
        <w:tc>
          <w:tcPr>
            <w:tcW w:w="2269" w:type="dxa"/>
            <w:noWrap w:val="0"/>
            <w:vAlign w:val="center"/>
          </w:tcPr>
          <w:p w14:paraId="2EFB3547">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统一社会信用代码</w:t>
            </w:r>
            <w:r>
              <w:rPr>
                <w:rFonts w:hint="eastAsia" w:ascii="仿宋" w:hAnsi="仿宋" w:eastAsia="仿宋" w:cs="仿宋"/>
                <w:color w:val="000000"/>
                <w:kern w:val="0"/>
                <w:sz w:val="28"/>
                <w:szCs w:val="28"/>
                <w:highlight w:val="none"/>
              </w:rPr>
              <w:t>：</w:t>
            </w:r>
          </w:p>
        </w:tc>
        <w:tc>
          <w:tcPr>
            <w:tcW w:w="2118" w:type="dxa"/>
            <w:noWrap w:val="0"/>
            <w:vAlign w:val="center"/>
          </w:tcPr>
          <w:p w14:paraId="74492A25">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input693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798440F9">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统一社会信用代码</w:t>
            </w:r>
            <w:r>
              <w:rPr>
                <w:rFonts w:hint="eastAsia" w:ascii="仿宋" w:hAnsi="仿宋" w:eastAsia="仿宋" w:cs="仿宋"/>
                <w:color w:val="000000"/>
                <w:kern w:val="0"/>
                <w:sz w:val="28"/>
                <w:szCs w:val="28"/>
                <w:highlight w:val="none"/>
              </w:rPr>
              <w:t>：</w:t>
            </w:r>
          </w:p>
        </w:tc>
        <w:tc>
          <w:tcPr>
            <w:tcW w:w="2826" w:type="dxa"/>
            <w:noWrap w:val="0"/>
            <w:vAlign w:val="center"/>
          </w:tcPr>
          <w:p w14:paraId="3057A65B">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input694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5D117020">
        <w:tblPrEx>
          <w:tblCellMar>
            <w:top w:w="0" w:type="dxa"/>
            <w:left w:w="108" w:type="dxa"/>
            <w:bottom w:w="0" w:type="dxa"/>
            <w:right w:w="108" w:type="dxa"/>
          </w:tblCellMar>
        </w:tblPrEx>
        <w:trPr>
          <w:cantSplit/>
          <w:jc w:val="center"/>
        </w:trPr>
        <w:tc>
          <w:tcPr>
            <w:tcW w:w="2269" w:type="dxa"/>
            <w:noWrap w:val="0"/>
            <w:vAlign w:val="center"/>
          </w:tcPr>
          <w:p w14:paraId="6F0791FF">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    址：</w:t>
            </w:r>
          </w:p>
        </w:tc>
        <w:tc>
          <w:tcPr>
            <w:tcW w:w="2118" w:type="dxa"/>
            <w:noWrap w:val="0"/>
            <w:vAlign w:val="center"/>
          </w:tcPr>
          <w:p w14:paraId="790BDE5D">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input695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02FF5369">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    址：</w:t>
            </w:r>
          </w:p>
        </w:tc>
        <w:tc>
          <w:tcPr>
            <w:tcW w:w="2826" w:type="dxa"/>
            <w:noWrap w:val="0"/>
            <w:vAlign w:val="center"/>
          </w:tcPr>
          <w:p w14:paraId="7DFEFAA0">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input696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213241DF">
        <w:tblPrEx>
          <w:tblCellMar>
            <w:top w:w="0" w:type="dxa"/>
            <w:left w:w="108" w:type="dxa"/>
            <w:bottom w:w="0" w:type="dxa"/>
            <w:right w:w="108" w:type="dxa"/>
          </w:tblCellMar>
        </w:tblPrEx>
        <w:trPr>
          <w:cantSplit/>
          <w:jc w:val="center"/>
        </w:trPr>
        <w:tc>
          <w:tcPr>
            <w:tcW w:w="2269" w:type="dxa"/>
            <w:noWrap w:val="0"/>
            <w:vAlign w:val="center"/>
          </w:tcPr>
          <w:p w14:paraId="4ACC899A">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kern w:val="0"/>
                <w:sz w:val="28"/>
                <w:szCs w:val="28"/>
                <w:highlight w:val="none"/>
              </w:rPr>
              <w:t>：</w:t>
            </w:r>
          </w:p>
        </w:tc>
        <w:tc>
          <w:tcPr>
            <w:tcW w:w="2118" w:type="dxa"/>
            <w:noWrap w:val="0"/>
            <w:vAlign w:val="center"/>
          </w:tcPr>
          <w:p w14:paraId="6D3330AE">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input697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40F8FAD6">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kern w:val="0"/>
                <w:sz w:val="28"/>
                <w:szCs w:val="28"/>
                <w:highlight w:val="none"/>
              </w:rPr>
              <w:t>：</w:t>
            </w:r>
          </w:p>
        </w:tc>
        <w:tc>
          <w:tcPr>
            <w:tcW w:w="2826" w:type="dxa"/>
            <w:noWrap w:val="0"/>
            <w:vAlign w:val="center"/>
          </w:tcPr>
          <w:p w14:paraId="7CD67FF4">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input698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4456D5B3">
        <w:tblPrEx>
          <w:tblCellMar>
            <w:top w:w="0" w:type="dxa"/>
            <w:left w:w="108" w:type="dxa"/>
            <w:bottom w:w="0" w:type="dxa"/>
            <w:right w:w="108" w:type="dxa"/>
          </w:tblCellMar>
        </w:tblPrEx>
        <w:trPr>
          <w:cantSplit/>
          <w:jc w:val="center"/>
        </w:trPr>
        <w:tc>
          <w:tcPr>
            <w:tcW w:w="2269" w:type="dxa"/>
            <w:noWrap w:val="0"/>
            <w:vAlign w:val="center"/>
          </w:tcPr>
          <w:p w14:paraId="086567AC">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kern w:val="0"/>
                <w:sz w:val="28"/>
                <w:szCs w:val="28"/>
                <w:highlight w:val="none"/>
              </w:rPr>
              <w:t>：</w:t>
            </w:r>
          </w:p>
        </w:tc>
        <w:tc>
          <w:tcPr>
            <w:tcW w:w="2118" w:type="dxa"/>
            <w:noWrap w:val="0"/>
            <w:vAlign w:val="center"/>
          </w:tcPr>
          <w:p w14:paraId="50FBC75A">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input699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2799BD66">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kern w:val="0"/>
                <w:sz w:val="28"/>
                <w:szCs w:val="28"/>
                <w:highlight w:val="none"/>
              </w:rPr>
              <w:t>：</w:t>
            </w:r>
          </w:p>
        </w:tc>
        <w:tc>
          <w:tcPr>
            <w:tcW w:w="2826" w:type="dxa"/>
            <w:noWrap w:val="0"/>
            <w:vAlign w:val="center"/>
          </w:tcPr>
          <w:p w14:paraId="36195044">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input700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699786D5">
        <w:tblPrEx>
          <w:tblCellMar>
            <w:top w:w="0" w:type="dxa"/>
            <w:left w:w="108" w:type="dxa"/>
            <w:bottom w:w="0" w:type="dxa"/>
            <w:right w:w="108" w:type="dxa"/>
          </w:tblCellMar>
        </w:tblPrEx>
        <w:trPr>
          <w:cantSplit/>
          <w:jc w:val="center"/>
        </w:trPr>
        <w:tc>
          <w:tcPr>
            <w:tcW w:w="2269" w:type="dxa"/>
            <w:noWrap w:val="0"/>
            <w:vAlign w:val="center"/>
          </w:tcPr>
          <w:p w14:paraId="445E222F">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委托代理人：</w:t>
            </w:r>
          </w:p>
        </w:tc>
        <w:tc>
          <w:tcPr>
            <w:tcW w:w="2118" w:type="dxa"/>
            <w:noWrap w:val="0"/>
            <w:vAlign w:val="center"/>
          </w:tcPr>
          <w:p w14:paraId="3034EFC6">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input701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3EAE95F3">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委托代理人：</w:t>
            </w:r>
          </w:p>
        </w:tc>
        <w:tc>
          <w:tcPr>
            <w:tcW w:w="2826" w:type="dxa"/>
            <w:noWrap w:val="0"/>
            <w:vAlign w:val="center"/>
          </w:tcPr>
          <w:p w14:paraId="1B3392C2">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input702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0A9F5FB3">
        <w:tblPrEx>
          <w:tblCellMar>
            <w:top w:w="0" w:type="dxa"/>
            <w:left w:w="108" w:type="dxa"/>
            <w:bottom w:w="0" w:type="dxa"/>
            <w:right w:w="108" w:type="dxa"/>
          </w:tblCellMar>
        </w:tblPrEx>
        <w:trPr>
          <w:cantSplit/>
          <w:jc w:val="center"/>
        </w:trPr>
        <w:tc>
          <w:tcPr>
            <w:tcW w:w="2269" w:type="dxa"/>
            <w:noWrap w:val="0"/>
            <w:vAlign w:val="center"/>
          </w:tcPr>
          <w:p w14:paraId="1229A31F">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电    话：</w:t>
            </w:r>
          </w:p>
        </w:tc>
        <w:tc>
          <w:tcPr>
            <w:tcW w:w="2118" w:type="dxa"/>
            <w:noWrap w:val="0"/>
            <w:vAlign w:val="center"/>
          </w:tcPr>
          <w:p w14:paraId="34E8D28C">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input703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7925E476">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电    话：</w:t>
            </w:r>
          </w:p>
        </w:tc>
        <w:tc>
          <w:tcPr>
            <w:tcW w:w="2826" w:type="dxa"/>
            <w:noWrap w:val="0"/>
            <w:vAlign w:val="center"/>
          </w:tcPr>
          <w:p w14:paraId="0FF18000">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input704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6C021243">
        <w:tblPrEx>
          <w:tblCellMar>
            <w:top w:w="0" w:type="dxa"/>
            <w:left w:w="108" w:type="dxa"/>
            <w:bottom w:w="0" w:type="dxa"/>
            <w:right w:w="108" w:type="dxa"/>
          </w:tblCellMar>
        </w:tblPrEx>
        <w:trPr>
          <w:cantSplit/>
          <w:jc w:val="center"/>
        </w:trPr>
        <w:tc>
          <w:tcPr>
            <w:tcW w:w="2269" w:type="dxa"/>
            <w:noWrap w:val="0"/>
            <w:vAlign w:val="center"/>
          </w:tcPr>
          <w:p w14:paraId="2CDD6AA1">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传    真：</w:t>
            </w:r>
          </w:p>
        </w:tc>
        <w:tc>
          <w:tcPr>
            <w:tcW w:w="2118" w:type="dxa"/>
            <w:noWrap w:val="0"/>
            <w:vAlign w:val="center"/>
          </w:tcPr>
          <w:p w14:paraId="242FB96B">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input705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5757469E">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传    真：</w:t>
            </w:r>
          </w:p>
        </w:tc>
        <w:tc>
          <w:tcPr>
            <w:tcW w:w="2826" w:type="dxa"/>
            <w:noWrap w:val="0"/>
            <w:vAlign w:val="center"/>
          </w:tcPr>
          <w:p w14:paraId="1CA1F251">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input706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7E91CE92">
        <w:tblPrEx>
          <w:tblCellMar>
            <w:top w:w="0" w:type="dxa"/>
            <w:left w:w="108" w:type="dxa"/>
            <w:bottom w:w="0" w:type="dxa"/>
            <w:right w:w="108" w:type="dxa"/>
          </w:tblCellMar>
        </w:tblPrEx>
        <w:trPr>
          <w:cantSplit/>
          <w:jc w:val="center"/>
        </w:trPr>
        <w:tc>
          <w:tcPr>
            <w:tcW w:w="2269" w:type="dxa"/>
            <w:noWrap w:val="0"/>
            <w:vAlign w:val="center"/>
          </w:tcPr>
          <w:p w14:paraId="38D43652">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电子信箱：</w:t>
            </w:r>
          </w:p>
        </w:tc>
        <w:tc>
          <w:tcPr>
            <w:tcW w:w="2118" w:type="dxa"/>
            <w:noWrap w:val="0"/>
            <w:vAlign w:val="center"/>
          </w:tcPr>
          <w:p w14:paraId="62C68CA0">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input707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3D3C9D4F">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电子信箱：</w:t>
            </w:r>
          </w:p>
        </w:tc>
        <w:tc>
          <w:tcPr>
            <w:tcW w:w="2826" w:type="dxa"/>
            <w:noWrap w:val="0"/>
            <w:vAlign w:val="center"/>
          </w:tcPr>
          <w:p w14:paraId="22D840D1">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input708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718D6D17">
        <w:tblPrEx>
          <w:tblCellMar>
            <w:top w:w="0" w:type="dxa"/>
            <w:left w:w="108" w:type="dxa"/>
            <w:bottom w:w="0" w:type="dxa"/>
            <w:right w:w="108" w:type="dxa"/>
          </w:tblCellMar>
        </w:tblPrEx>
        <w:trPr>
          <w:cantSplit/>
          <w:jc w:val="center"/>
        </w:trPr>
        <w:tc>
          <w:tcPr>
            <w:tcW w:w="2269" w:type="dxa"/>
            <w:noWrap w:val="0"/>
            <w:vAlign w:val="center"/>
          </w:tcPr>
          <w:p w14:paraId="0107B9FB">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开户银行：</w:t>
            </w:r>
          </w:p>
        </w:tc>
        <w:tc>
          <w:tcPr>
            <w:tcW w:w="2118" w:type="dxa"/>
            <w:noWrap w:val="0"/>
            <w:vAlign w:val="center"/>
          </w:tcPr>
          <w:p w14:paraId="1413AF08">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input709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58C44702">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开户银行：</w:t>
            </w:r>
          </w:p>
        </w:tc>
        <w:tc>
          <w:tcPr>
            <w:tcW w:w="2826" w:type="dxa"/>
            <w:noWrap w:val="0"/>
            <w:vAlign w:val="center"/>
          </w:tcPr>
          <w:p w14:paraId="265C483E">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input710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r w14:paraId="4E543F1B">
        <w:tblPrEx>
          <w:tblCellMar>
            <w:top w:w="0" w:type="dxa"/>
            <w:left w:w="108" w:type="dxa"/>
            <w:bottom w:w="0" w:type="dxa"/>
            <w:right w:w="108" w:type="dxa"/>
          </w:tblCellMar>
        </w:tblPrEx>
        <w:trPr>
          <w:cantSplit/>
          <w:jc w:val="center"/>
        </w:trPr>
        <w:tc>
          <w:tcPr>
            <w:tcW w:w="2269" w:type="dxa"/>
            <w:noWrap w:val="0"/>
            <w:vAlign w:val="center"/>
          </w:tcPr>
          <w:p w14:paraId="168CEA59">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账    号：</w:t>
            </w:r>
          </w:p>
        </w:tc>
        <w:tc>
          <w:tcPr>
            <w:tcW w:w="2118" w:type="dxa"/>
            <w:noWrap w:val="0"/>
            <w:vAlign w:val="center"/>
          </w:tcPr>
          <w:p w14:paraId="1A2FC8C2">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input711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c>
          <w:tcPr>
            <w:tcW w:w="2073" w:type="dxa"/>
            <w:noWrap w:val="0"/>
            <w:vAlign w:val="center"/>
          </w:tcPr>
          <w:p w14:paraId="1B173DFF">
            <w:pPr>
              <w:keepNext w:val="0"/>
              <w:keepLines w:val="0"/>
              <w:pageBreakBefore w:val="0"/>
              <w:kinsoku/>
              <w:wordWrap/>
              <w:overflowPunct/>
              <w:topLinePunct/>
              <w:bidi w:val="0"/>
              <w:adjustRightInd w:val="0"/>
              <w:snapToGrid w:val="0"/>
              <w:spacing w:line="500" w:lineRule="exact"/>
              <w:jc w:val="righ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账    号：</w:t>
            </w:r>
          </w:p>
        </w:tc>
        <w:tc>
          <w:tcPr>
            <w:tcW w:w="2826" w:type="dxa"/>
            <w:noWrap w:val="0"/>
            <w:vAlign w:val="center"/>
          </w:tcPr>
          <w:p w14:paraId="2F2CC7DE">
            <w:pPr>
              <w:keepNext w:val="0"/>
              <w:keepLines w:val="0"/>
              <w:pageBreakBefore w:val="0"/>
              <w:kinsoku/>
              <w:wordWrap/>
              <w:overflowPunct/>
              <w:topLinePunct/>
              <w:bidi w:val="0"/>
              <w:adjustRightInd w:val="0"/>
              <w:snapToGrid w:val="0"/>
              <w:spacing w:line="500" w:lineRule="exact"/>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u w:val="single"/>
              </w:rPr>
              <w:fldChar w:fldCharType="begin"/>
            </w:r>
            <w:r>
              <w:rPr>
                <w:rFonts w:hint="eastAsia" w:ascii="仿宋" w:hAnsi="仿宋" w:eastAsia="仿宋" w:cs="仿宋"/>
                <w:color w:val="000000"/>
                <w:kern w:val="0"/>
                <w:sz w:val="28"/>
                <w:szCs w:val="28"/>
                <w:highlight w:val="none"/>
                <w:u w:val="single"/>
              </w:rPr>
              <w:instrText xml:space="preserve"> AUTOTEXT  input719 \* MERGEFORMAT </w:instrText>
            </w:r>
            <w:r>
              <w:rPr>
                <w:rFonts w:hint="eastAsia" w:ascii="仿宋" w:hAnsi="仿宋" w:eastAsia="仿宋" w:cs="仿宋"/>
                <w:color w:val="000000"/>
                <w:kern w:val="0"/>
                <w:sz w:val="28"/>
                <w:szCs w:val="28"/>
                <w:highlight w:val="none"/>
                <w:u w:val="single"/>
              </w:rPr>
              <w:fldChar w:fldCharType="separate"/>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fldChar w:fldCharType="end"/>
            </w:r>
          </w:p>
        </w:tc>
      </w:tr>
    </w:tbl>
    <w:p w14:paraId="58914AB5">
      <w:pPr>
        <w:keepNext w:val="0"/>
        <w:keepLines w:val="0"/>
        <w:pageBreakBefore w:val="0"/>
        <w:widowControl/>
        <w:kinsoku/>
        <w:wordWrap/>
        <w:overflowPunct/>
        <w:topLinePunct w:val="0"/>
        <w:bidi w:val="0"/>
        <w:spacing w:line="500" w:lineRule="exact"/>
        <w:jc w:val="center"/>
        <w:textAlignment w:val="auto"/>
        <w:outlineLvl w:val="9"/>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br w:type="page"/>
      </w:r>
      <w:r>
        <w:rPr>
          <w:rFonts w:hint="eastAsia" w:ascii="仿宋" w:hAnsi="仿宋" w:eastAsia="仿宋" w:cs="仿宋"/>
          <w:b/>
          <w:bCs/>
          <w:color w:val="000000"/>
          <w:kern w:val="0"/>
          <w:sz w:val="28"/>
          <w:szCs w:val="28"/>
          <w:highlight w:val="none"/>
        </w:rPr>
        <w:t>第二部分 通用合同条款</w:t>
      </w:r>
    </w:p>
    <w:p w14:paraId="0D8C8579">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 一般约定</w:t>
      </w:r>
    </w:p>
    <w:p w14:paraId="51AFA8D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1.1词语定义与解释</w:t>
      </w:r>
    </w:p>
    <w:p w14:paraId="592CAFD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合同协议书、通用合同条款、专用合同条款中的下列词语具有本款所赋予的含义：</w:t>
      </w:r>
    </w:p>
    <w:p w14:paraId="2002B4C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 合同</w:t>
      </w:r>
    </w:p>
    <w:p w14:paraId="7426787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1.1.1.1 合同：是指根据法律规定和合同当事人约定具有约束力的文件，构成合同的文件包括合同协议书、</w:t>
      </w:r>
      <w:r>
        <w:rPr>
          <w:rFonts w:hint="eastAsia" w:ascii="仿宋" w:hAnsi="仿宋" w:eastAsia="仿宋" w:cs="仿宋"/>
          <w:color w:val="000000"/>
          <w:kern w:val="0"/>
          <w:sz w:val="28"/>
          <w:szCs w:val="28"/>
          <w:highlight w:val="none"/>
          <w:lang w:eastAsia="zh-CN"/>
        </w:rPr>
        <w:t>成交通知书</w:t>
      </w:r>
      <w:r>
        <w:rPr>
          <w:rFonts w:hint="eastAsia" w:ascii="仿宋" w:hAnsi="仿宋" w:eastAsia="仿宋" w:cs="仿宋"/>
          <w:color w:val="000000"/>
          <w:kern w:val="0"/>
          <w:sz w:val="28"/>
          <w:szCs w:val="28"/>
          <w:highlight w:val="none"/>
        </w:rPr>
        <w:t>（如果有）、</w:t>
      </w:r>
      <w:r>
        <w:rPr>
          <w:rFonts w:hint="eastAsia" w:ascii="仿宋" w:hAnsi="仿宋" w:eastAsia="仿宋" w:cs="仿宋"/>
          <w:color w:val="000000"/>
          <w:kern w:val="0"/>
          <w:sz w:val="28"/>
          <w:szCs w:val="28"/>
          <w:highlight w:val="none"/>
          <w:lang w:val="en-US" w:eastAsia="zh-CN"/>
        </w:rPr>
        <w:t>磋商函</w:t>
      </w:r>
      <w:r>
        <w:rPr>
          <w:rFonts w:hint="eastAsia" w:ascii="仿宋" w:hAnsi="仿宋" w:eastAsia="仿宋" w:cs="仿宋"/>
          <w:color w:val="000000"/>
          <w:kern w:val="0"/>
          <w:sz w:val="28"/>
          <w:szCs w:val="28"/>
          <w:highlight w:val="none"/>
        </w:rPr>
        <w:t>（如果有）、专用合同条款及其附件、通用合同条款、技术标准和要求（如果有）、图纸、已标价工程量清单或预算书以及其他合同文件。</w:t>
      </w:r>
    </w:p>
    <w:p w14:paraId="7A006F3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1.1.1.2 合同协议书：是指构成合同的由发包人和承包人共同签署的称为“合同协议书”的书面文件。</w:t>
      </w:r>
    </w:p>
    <w:p w14:paraId="35A974D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1.1.1.3 </w:t>
      </w:r>
      <w:r>
        <w:rPr>
          <w:rFonts w:hint="eastAsia" w:ascii="仿宋" w:hAnsi="仿宋" w:eastAsia="仿宋" w:cs="仿宋"/>
          <w:color w:val="000000"/>
          <w:kern w:val="0"/>
          <w:sz w:val="28"/>
          <w:szCs w:val="28"/>
          <w:highlight w:val="none"/>
          <w:lang w:eastAsia="zh-CN"/>
        </w:rPr>
        <w:t>成交通知书</w:t>
      </w:r>
      <w:r>
        <w:rPr>
          <w:rFonts w:hint="eastAsia" w:ascii="仿宋" w:hAnsi="仿宋" w:eastAsia="仿宋" w:cs="仿宋"/>
          <w:color w:val="000000"/>
          <w:kern w:val="0"/>
          <w:sz w:val="28"/>
          <w:szCs w:val="28"/>
          <w:highlight w:val="none"/>
        </w:rPr>
        <w:t>：是指构成合同的由发包人通知承包人</w:t>
      </w:r>
      <w:r>
        <w:rPr>
          <w:rFonts w:hint="eastAsia" w:ascii="仿宋" w:hAnsi="仿宋" w:eastAsia="仿宋" w:cs="仿宋"/>
          <w:color w:val="000000"/>
          <w:kern w:val="0"/>
          <w:sz w:val="28"/>
          <w:szCs w:val="28"/>
          <w:highlight w:val="none"/>
          <w:lang w:val="en-US" w:eastAsia="zh-CN"/>
        </w:rPr>
        <w:t>成交</w:t>
      </w:r>
      <w:r>
        <w:rPr>
          <w:rFonts w:hint="eastAsia" w:ascii="仿宋" w:hAnsi="仿宋" w:eastAsia="仿宋" w:cs="仿宋"/>
          <w:color w:val="000000"/>
          <w:kern w:val="0"/>
          <w:sz w:val="28"/>
          <w:szCs w:val="28"/>
          <w:highlight w:val="none"/>
        </w:rPr>
        <w:t>的书面文件。</w:t>
      </w:r>
    </w:p>
    <w:p w14:paraId="5C8017E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1.1.1.4 </w:t>
      </w:r>
      <w:r>
        <w:rPr>
          <w:rFonts w:hint="eastAsia" w:ascii="仿宋" w:hAnsi="仿宋" w:eastAsia="仿宋" w:cs="仿宋"/>
          <w:color w:val="000000"/>
          <w:kern w:val="0"/>
          <w:sz w:val="28"/>
          <w:szCs w:val="28"/>
          <w:highlight w:val="none"/>
          <w:lang w:val="en-US" w:eastAsia="zh-CN"/>
        </w:rPr>
        <w:t>磋商</w:t>
      </w:r>
      <w:r>
        <w:rPr>
          <w:rFonts w:hint="eastAsia" w:ascii="仿宋" w:hAnsi="仿宋" w:eastAsia="仿宋" w:cs="仿宋"/>
          <w:color w:val="000000"/>
          <w:kern w:val="0"/>
          <w:sz w:val="28"/>
          <w:szCs w:val="28"/>
          <w:highlight w:val="none"/>
          <w:lang w:eastAsia="zh-CN"/>
        </w:rPr>
        <w:t>函</w:t>
      </w:r>
      <w:r>
        <w:rPr>
          <w:rFonts w:hint="eastAsia" w:ascii="仿宋" w:hAnsi="仿宋" w:eastAsia="仿宋" w:cs="仿宋"/>
          <w:color w:val="000000"/>
          <w:kern w:val="0"/>
          <w:sz w:val="28"/>
          <w:szCs w:val="28"/>
          <w:highlight w:val="none"/>
        </w:rPr>
        <w:t>：是指构成合同的由承包人填写并签署的用于</w:t>
      </w:r>
      <w:r>
        <w:rPr>
          <w:rFonts w:hint="eastAsia" w:ascii="仿宋" w:hAnsi="仿宋" w:eastAsia="仿宋" w:cs="仿宋"/>
          <w:color w:val="000000"/>
          <w:kern w:val="0"/>
          <w:sz w:val="28"/>
          <w:szCs w:val="28"/>
          <w:highlight w:val="none"/>
          <w:lang w:val="en-US" w:eastAsia="zh-CN"/>
        </w:rPr>
        <w:t>参加采购活动</w:t>
      </w:r>
      <w:r>
        <w:rPr>
          <w:rFonts w:hint="eastAsia" w:ascii="仿宋" w:hAnsi="仿宋" w:eastAsia="仿宋" w:cs="仿宋"/>
          <w:color w:val="000000"/>
          <w:kern w:val="0"/>
          <w:sz w:val="28"/>
          <w:szCs w:val="28"/>
          <w:highlight w:val="none"/>
        </w:rPr>
        <w:t>的称为“</w:t>
      </w:r>
      <w:r>
        <w:rPr>
          <w:rFonts w:hint="eastAsia" w:ascii="仿宋" w:hAnsi="仿宋" w:eastAsia="仿宋" w:cs="仿宋"/>
          <w:color w:val="000000"/>
          <w:kern w:val="0"/>
          <w:sz w:val="28"/>
          <w:szCs w:val="28"/>
          <w:highlight w:val="none"/>
          <w:lang w:val="en-US" w:eastAsia="zh-CN"/>
        </w:rPr>
        <w:t>磋商</w:t>
      </w:r>
      <w:r>
        <w:rPr>
          <w:rFonts w:hint="eastAsia" w:ascii="仿宋" w:hAnsi="仿宋" w:eastAsia="仿宋" w:cs="仿宋"/>
          <w:color w:val="000000"/>
          <w:kern w:val="0"/>
          <w:sz w:val="28"/>
          <w:szCs w:val="28"/>
          <w:highlight w:val="none"/>
          <w:lang w:eastAsia="zh-CN"/>
        </w:rPr>
        <w:t>函</w:t>
      </w:r>
      <w:r>
        <w:rPr>
          <w:rFonts w:hint="eastAsia" w:ascii="仿宋" w:hAnsi="仿宋" w:eastAsia="仿宋" w:cs="仿宋"/>
          <w:color w:val="000000"/>
          <w:kern w:val="0"/>
          <w:sz w:val="28"/>
          <w:szCs w:val="28"/>
          <w:highlight w:val="none"/>
        </w:rPr>
        <w:t>”的文件。</w:t>
      </w:r>
    </w:p>
    <w:p w14:paraId="5571E7D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w:t>
      </w:r>
      <w:r>
        <w:rPr>
          <w:rFonts w:hint="eastAsia" w:ascii="仿宋" w:hAnsi="仿宋" w:eastAsia="仿宋" w:cs="仿宋"/>
          <w:color w:val="000000"/>
          <w:kern w:val="0"/>
          <w:sz w:val="28"/>
          <w:szCs w:val="28"/>
          <w:highlight w:val="none"/>
          <w:lang w:val="en-US" w:eastAsia="zh-CN"/>
        </w:rPr>
        <w:t>5</w:t>
      </w:r>
      <w:r>
        <w:rPr>
          <w:rFonts w:hint="eastAsia" w:ascii="仿宋" w:hAnsi="仿宋" w:eastAsia="仿宋" w:cs="仿宋"/>
          <w:color w:val="000000"/>
          <w:kern w:val="0"/>
          <w:sz w:val="28"/>
          <w:szCs w:val="28"/>
          <w:highlight w:val="none"/>
        </w:rPr>
        <w:t xml:space="preserve"> 技术标准和要求：是指构成合同的施工应当遵守的或指导施工的国家、行业或地方的技术标准和要求，以及合同约定的技术标准和要求。</w:t>
      </w:r>
    </w:p>
    <w:p w14:paraId="5E8E401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w:t>
      </w:r>
      <w:r>
        <w:rPr>
          <w:rFonts w:hint="eastAsia" w:ascii="仿宋" w:hAnsi="仿宋" w:eastAsia="仿宋" w:cs="仿宋"/>
          <w:color w:val="000000"/>
          <w:kern w:val="0"/>
          <w:sz w:val="28"/>
          <w:szCs w:val="28"/>
          <w:highlight w:val="none"/>
          <w:lang w:val="en-US" w:eastAsia="zh-CN"/>
        </w:rPr>
        <w:t>6</w:t>
      </w:r>
      <w:r>
        <w:rPr>
          <w:rFonts w:hint="eastAsia" w:ascii="仿宋" w:hAnsi="仿宋" w:eastAsia="仿宋" w:cs="仿宋"/>
          <w:color w:val="000000"/>
          <w:kern w:val="0"/>
          <w:sz w:val="28"/>
          <w:szCs w:val="28"/>
          <w:highlight w:val="none"/>
        </w:rPr>
        <w:t xml:space="preserve"> 图纸：是指构成合同的图纸，包括由发包人按照合同约定提供或经发包人批准的设计文件、施工图、鸟瞰图及模型等，以及在合同履行过程中形成的图纸文件。图纸应当按照法律规定审查合格。</w:t>
      </w:r>
    </w:p>
    <w:p w14:paraId="7FF7BCA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w:t>
      </w:r>
      <w:r>
        <w:rPr>
          <w:rFonts w:hint="eastAsia" w:ascii="仿宋" w:hAnsi="仿宋" w:eastAsia="仿宋" w:cs="仿宋"/>
          <w:color w:val="000000"/>
          <w:kern w:val="0"/>
          <w:sz w:val="28"/>
          <w:szCs w:val="28"/>
          <w:highlight w:val="none"/>
          <w:lang w:val="en-US" w:eastAsia="zh-CN"/>
        </w:rPr>
        <w:t>7</w:t>
      </w:r>
      <w:r>
        <w:rPr>
          <w:rFonts w:hint="eastAsia" w:ascii="仿宋" w:hAnsi="仿宋" w:eastAsia="仿宋" w:cs="仿宋"/>
          <w:color w:val="000000"/>
          <w:kern w:val="0"/>
          <w:sz w:val="28"/>
          <w:szCs w:val="28"/>
          <w:highlight w:val="none"/>
        </w:rPr>
        <w:t xml:space="preserve"> 已标价工程量清单：是指构成合同的由承包人按照规定的格式和要求填写并标明价格的工程量清单，包括说明和表格。</w:t>
      </w:r>
    </w:p>
    <w:p w14:paraId="42763AE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w:t>
      </w:r>
      <w:r>
        <w:rPr>
          <w:rFonts w:hint="eastAsia" w:ascii="仿宋" w:hAnsi="仿宋" w:eastAsia="仿宋" w:cs="仿宋"/>
          <w:color w:val="000000"/>
          <w:kern w:val="0"/>
          <w:sz w:val="28"/>
          <w:szCs w:val="28"/>
          <w:highlight w:val="none"/>
          <w:lang w:val="en-US" w:eastAsia="zh-CN"/>
        </w:rPr>
        <w:t>8</w:t>
      </w:r>
      <w:r>
        <w:rPr>
          <w:rFonts w:hint="eastAsia" w:ascii="仿宋" w:hAnsi="仿宋" w:eastAsia="仿宋" w:cs="仿宋"/>
          <w:color w:val="000000"/>
          <w:kern w:val="0"/>
          <w:sz w:val="28"/>
          <w:szCs w:val="28"/>
          <w:highlight w:val="none"/>
        </w:rPr>
        <w:t xml:space="preserve"> 预算书：是指构成合同的由承包人按照发包人规定的格式和要求编制的工程预算文件。</w:t>
      </w:r>
    </w:p>
    <w:p w14:paraId="271875C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w:t>
      </w:r>
      <w:r>
        <w:rPr>
          <w:rFonts w:hint="eastAsia" w:ascii="仿宋" w:hAnsi="仿宋" w:eastAsia="仿宋" w:cs="仿宋"/>
          <w:color w:val="000000"/>
          <w:kern w:val="0"/>
          <w:sz w:val="28"/>
          <w:szCs w:val="28"/>
          <w:highlight w:val="none"/>
          <w:lang w:val="en-US" w:eastAsia="zh-CN"/>
        </w:rPr>
        <w:t>9</w:t>
      </w:r>
      <w:r>
        <w:rPr>
          <w:rFonts w:hint="eastAsia" w:ascii="仿宋" w:hAnsi="仿宋" w:eastAsia="仿宋" w:cs="仿宋"/>
          <w:color w:val="000000"/>
          <w:kern w:val="0"/>
          <w:sz w:val="28"/>
          <w:szCs w:val="28"/>
          <w:highlight w:val="none"/>
        </w:rPr>
        <w:t xml:space="preserve"> 其他合同文件：是指经合同当事人约定的与工程施工有关的具有合同约束力的文件或书面协议。合同当事人可以在专用合同条款中进行约定。</w:t>
      </w:r>
    </w:p>
    <w:p w14:paraId="1DC253C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 合同当事人及其他相关方</w:t>
      </w:r>
    </w:p>
    <w:p w14:paraId="345F6DA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1.1.2.1 合同当事人：是指发包人和（或）承包人。</w:t>
      </w:r>
    </w:p>
    <w:p w14:paraId="35F7255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1.1.2.2 发包人：是指与承包人签订合同协议书的当事人及取得该当事人资格的合法继承人。</w:t>
      </w:r>
    </w:p>
    <w:p w14:paraId="09BC22D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1.1.2.3 承包人：是指与发包人签订合同协议书的，具有相应工程施工承包资质的当事人及取得该当事人资格的合法继承人。</w:t>
      </w:r>
    </w:p>
    <w:p w14:paraId="44C4090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1.1.2.4 监理人：是指在专用合同条款中指明的，受发包人委托按照法律规定进行工程监督管理的法人或其他组织。</w:t>
      </w:r>
    </w:p>
    <w:p w14:paraId="466765B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1.1.2.5 设计人：是指在专用合同条款中指明的，受发包人委托负责工程设计并具备相应工程设计资质的法人或其他组织。</w:t>
      </w:r>
    </w:p>
    <w:p w14:paraId="25B0C2C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1.1.2.6 分包人：是指按照法律规定和合同约定，分包部分工程或工作，并与承包人签订分包合同的具有相应资质的法人。</w:t>
      </w:r>
    </w:p>
    <w:p w14:paraId="32F513A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1.1.2.7 发包人代表：是指由发包人任命并派驻施工现场在发包人授权范围内行使发包人权利的人。</w:t>
      </w:r>
    </w:p>
    <w:p w14:paraId="5776D7F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1.1.2.8 项目经理：是指由承包人任命并派驻施工现场，在承包人授权范围内负责合同履行，且按照法律规定具有相应资格的</w:t>
      </w:r>
      <w:r>
        <w:rPr>
          <w:rFonts w:hint="eastAsia" w:ascii="仿宋" w:hAnsi="仿宋" w:eastAsia="仿宋" w:cs="仿宋"/>
          <w:color w:val="000000"/>
          <w:kern w:val="0"/>
          <w:sz w:val="28"/>
          <w:szCs w:val="28"/>
          <w:highlight w:val="none"/>
          <w:lang w:eastAsia="zh-CN"/>
        </w:rPr>
        <w:t>项目</w:t>
      </w:r>
      <w:r>
        <w:rPr>
          <w:rFonts w:hint="eastAsia" w:ascii="仿宋" w:hAnsi="仿宋" w:eastAsia="仿宋" w:cs="仿宋"/>
          <w:color w:val="000000"/>
          <w:kern w:val="0"/>
          <w:sz w:val="28"/>
          <w:szCs w:val="28"/>
          <w:highlight w:val="none"/>
          <w:lang w:val="en-US" w:eastAsia="zh-CN"/>
        </w:rPr>
        <w:t>负责人</w:t>
      </w:r>
      <w:r>
        <w:rPr>
          <w:rFonts w:hint="eastAsia" w:ascii="仿宋" w:hAnsi="仿宋" w:eastAsia="仿宋" w:cs="仿宋"/>
          <w:color w:val="000000"/>
          <w:kern w:val="0"/>
          <w:sz w:val="28"/>
          <w:szCs w:val="28"/>
          <w:highlight w:val="none"/>
        </w:rPr>
        <w:t>。</w:t>
      </w:r>
    </w:p>
    <w:p w14:paraId="1216E84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1.1.2.9 总监理工程师：是指由监理人任命并派驻施工现场进行工程监理的总负责人。</w:t>
      </w:r>
    </w:p>
    <w:p w14:paraId="48B647B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 工程和设备</w:t>
      </w:r>
    </w:p>
    <w:p w14:paraId="1A0C974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1.1.3.1 工程：是指与合同协议书中工程承包范围对应的永久工程和（或）临时工程。</w:t>
      </w:r>
    </w:p>
    <w:p w14:paraId="622D2DE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1.1.3.2 永久工程：是指按合同约定建造并移交给发包人的工程，包括工程设备。</w:t>
      </w:r>
    </w:p>
    <w:p w14:paraId="6DAC053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1.1.3.3 临时工程：是指为完成合同约定的永久工程所修建的各类临时性工程，不包括施工设备。</w:t>
      </w:r>
    </w:p>
    <w:p w14:paraId="7FB5236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1.1.3.4 单位工程：是指在合同协议书中指明的，具备独立施工条件并能形成独立使用功能的永久工程。</w:t>
      </w:r>
    </w:p>
    <w:p w14:paraId="6C3A2FD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1.1.3.5 工程设备：是指构成永久工程的机电设备、金属结构设备、仪器及其他类似的设备和装置。</w:t>
      </w:r>
    </w:p>
    <w:p w14:paraId="3CCDD29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1.1.3.6 施工设备：是指为完成合同约定的各项工作所需的设备、器具和其他物品，但不包括工程设备、临时工程和材料。</w:t>
      </w:r>
    </w:p>
    <w:p w14:paraId="49E275B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1.1.3.7 施工现场：是指用于工程施工的场所，以及在专用合同条款中指明作为施工场所组成部分的其他场所，包括永久占地和临时占地。</w:t>
      </w:r>
    </w:p>
    <w:p w14:paraId="3730823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1.1.3.8临时设施：是指为完成合同约定的各项工作所服务的临时性生产和生活设施。</w:t>
      </w:r>
    </w:p>
    <w:p w14:paraId="5C1218C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1.1.3.9 永久占地：是指专用合同条款中指明为实施工程需永久占用的土地。</w:t>
      </w:r>
    </w:p>
    <w:p w14:paraId="50246CF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1.1.3.10 临时占地：是指专用合同条款中指明为实施工程需要临时占用的土地。</w:t>
      </w:r>
    </w:p>
    <w:p w14:paraId="1D0B7D9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 日期和期限</w:t>
      </w:r>
    </w:p>
    <w:p w14:paraId="7808173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799FD14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1.1.4.2 竣工日期：包括计划竣工日期和实际竣工日期。计划竣工日期是指合同协议书约定的竣工日期；实际竣工日期按照第13.2.3项〔竣工日期〕的约定确定。 </w:t>
      </w:r>
    </w:p>
    <w:p w14:paraId="61D8A2DB">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1.1.4.3 工期：是指在合同协议书约定的承包人完成工程所需的期限，包括按照合同约定所作的期限变更。</w:t>
      </w:r>
    </w:p>
    <w:p w14:paraId="40A1873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1.1.4.4 缺陷责任期：是指承包人按照合同约定承担缺陷修复义务，且发包人预留质量保证金（已缴纳履约保证金的除外）的期限，自工程实际竣工日期起计算。</w:t>
      </w:r>
    </w:p>
    <w:p w14:paraId="53728F5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1.1.4.5 保修期：是指承包人按照合同约定对工程承担保修责任的期限，从工程竣工验收合格之日起计算。</w:t>
      </w:r>
    </w:p>
    <w:p w14:paraId="047779E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1.1.4.6 基准日期：</w:t>
      </w:r>
      <w:r>
        <w:rPr>
          <w:rFonts w:hint="eastAsia" w:ascii="仿宋" w:hAnsi="仿宋" w:eastAsia="仿宋" w:cs="仿宋"/>
          <w:color w:val="000000"/>
          <w:kern w:val="0"/>
          <w:sz w:val="28"/>
          <w:szCs w:val="28"/>
          <w:highlight w:val="none"/>
          <w:lang w:val="en-US" w:eastAsia="zh-CN"/>
        </w:rPr>
        <w:t>采购</w:t>
      </w:r>
      <w:r>
        <w:rPr>
          <w:rFonts w:hint="eastAsia" w:ascii="仿宋" w:hAnsi="仿宋" w:eastAsia="仿宋" w:cs="仿宋"/>
          <w:color w:val="000000"/>
          <w:kern w:val="0"/>
          <w:sz w:val="28"/>
          <w:szCs w:val="28"/>
          <w:highlight w:val="none"/>
        </w:rPr>
        <w:t>发包的工程以</w:t>
      </w:r>
      <w:r>
        <w:rPr>
          <w:rFonts w:hint="eastAsia" w:ascii="仿宋" w:hAnsi="仿宋" w:eastAsia="仿宋" w:cs="仿宋"/>
          <w:color w:val="000000"/>
          <w:kern w:val="0"/>
          <w:sz w:val="28"/>
          <w:szCs w:val="28"/>
          <w:highlight w:val="none"/>
          <w:lang w:val="en-US" w:eastAsia="zh-CN"/>
        </w:rPr>
        <w:t>响应文件提交截止时间</w:t>
      </w:r>
      <w:r>
        <w:rPr>
          <w:rFonts w:hint="eastAsia" w:ascii="仿宋" w:hAnsi="仿宋" w:eastAsia="仿宋" w:cs="仿宋"/>
          <w:color w:val="000000"/>
          <w:kern w:val="0"/>
          <w:sz w:val="28"/>
          <w:szCs w:val="28"/>
          <w:highlight w:val="none"/>
        </w:rPr>
        <w:t>前28天的日期为基准日期，直接发包的工程以合同签订日前28天的日期为基准日期。</w:t>
      </w:r>
    </w:p>
    <w:p w14:paraId="7683831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1.1.4.7 天：除特别指明外，均指日历天。合同中按天计算时间的，开始当天不计入，从次日开始计算，期限最后一天的截止时间为当天24:00时。</w:t>
      </w:r>
    </w:p>
    <w:p w14:paraId="27877AE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 合同价格和费用</w:t>
      </w:r>
    </w:p>
    <w:p w14:paraId="75EAA73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1.1.5.1 签约合同价：是指发包人和承包人在合同协议书中确定的总金额，包括安全文明施工费、暂估价及暂列金额等。</w:t>
      </w:r>
    </w:p>
    <w:p w14:paraId="2B3FE69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1.1.5.2 合同价格：是指发包人用于支付承包人按照合同约定完成承包范围内全部工作的金额，包括合同履行过程中按合同约定发生的价格变化。</w:t>
      </w:r>
    </w:p>
    <w:p w14:paraId="62AE864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1.1.5.3 费用：是指为履行合同所发生的或将要发生的所有必需的开支，包括管理费和应分摊的其他费用，但不包括利润。</w:t>
      </w:r>
    </w:p>
    <w:p w14:paraId="505C2E8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1.1.5.4 暂估价：是指发包人在工程量清单或预算书中提供的用于支付必然发生但暂时不能确定价格的材料、工程设备的单价、专业工程以及服务工作的金额。</w:t>
      </w:r>
    </w:p>
    <w:p w14:paraId="03D1731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41817CA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1.1.5.6 计日工：是指合同履行过程中，承包人完成发包人提出的零星工作或需要采用计日工计价的变更工作时，按合同中约定的单价计价的一种方式。</w:t>
      </w:r>
    </w:p>
    <w:p w14:paraId="3F3D5E4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1.1.5.7 质量保证金：是指按照第15.3款〔质量保证金〕约定承包人用于保证其在缺陷责任期内履行缺陷修补义务的担保。</w:t>
      </w:r>
    </w:p>
    <w:p w14:paraId="7C8E258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1.1.5.8 总价项目：是指在现行国家、行业以及地方的计量规则中无工程量计算规则，在已标价工程量清单或预算书中以总价或以费率形式计算的项目。</w:t>
      </w:r>
    </w:p>
    <w:p w14:paraId="65EF42D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1.1.6 其他</w:t>
      </w:r>
    </w:p>
    <w:p w14:paraId="2534BE0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1.1.6.1 书面形式：是指合同文件、信函、电报、传真等可以有形地表现所载内容的形式。</w:t>
      </w:r>
    </w:p>
    <w:p w14:paraId="4550446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1.2语言文字</w:t>
      </w:r>
    </w:p>
    <w:p w14:paraId="6C25872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合同以中国的汉语简体文字编写、解释和说明。合同当事人在专用合同条款中约定使用两种以上语言时，汉语为优先解释和说明合同的语言。</w:t>
      </w:r>
    </w:p>
    <w:p w14:paraId="6FAC567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1.3法律</w:t>
      </w:r>
    </w:p>
    <w:p w14:paraId="2FB81C9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合同所称法律是指中华人民共和国法律、行政法规、部门规章，以及工程所在地的地方性法规、自治条例、单行条例和地方政府规章等。</w:t>
      </w:r>
    </w:p>
    <w:p w14:paraId="65910A3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合同当事人可以在专用合同条款中约定合同适用的其他规范性文件。</w:t>
      </w:r>
    </w:p>
    <w:p w14:paraId="70789FD9">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1.4 标准和规范</w:t>
      </w:r>
    </w:p>
    <w:p w14:paraId="6F197C8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1.4.1 适用于工程的国家标准、行业标准、工程所在地的地方性标准，以及相应的规范、规程等，合同当事人有特别要求的，应在专用合同条款中约定。</w:t>
      </w:r>
    </w:p>
    <w:p w14:paraId="4BB1DBB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1.4.2 发包人要求使用国外标准、规范的，发包人负责提供原文版本和中文译本，并在专用合同条款中约定提供标准规范的名称、份数和时间。</w:t>
      </w:r>
    </w:p>
    <w:p w14:paraId="377B6F2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F78B744">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1.5 合同文件的优先顺序</w:t>
      </w:r>
    </w:p>
    <w:p w14:paraId="2AC274C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组成合同的各项文件应互相解释，互为说明。除专用合同条款另有约定外，解释合同文件的优先顺序如下：</w:t>
      </w:r>
    </w:p>
    <w:p w14:paraId="7B1C935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（1）合同协议书；</w:t>
      </w:r>
    </w:p>
    <w:p w14:paraId="49EF2AC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w:t>
      </w:r>
      <w:r>
        <w:rPr>
          <w:rFonts w:hint="eastAsia" w:ascii="仿宋" w:hAnsi="仿宋" w:eastAsia="仿宋" w:cs="仿宋"/>
          <w:color w:val="000000"/>
          <w:kern w:val="0"/>
          <w:sz w:val="28"/>
          <w:szCs w:val="28"/>
          <w:highlight w:val="none"/>
          <w:lang w:eastAsia="zh-CN"/>
        </w:rPr>
        <w:t>成交通知书</w:t>
      </w:r>
      <w:r>
        <w:rPr>
          <w:rFonts w:hint="eastAsia" w:ascii="仿宋" w:hAnsi="仿宋" w:eastAsia="仿宋" w:cs="仿宋"/>
          <w:color w:val="000000"/>
          <w:kern w:val="0"/>
          <w:sz w:val="28"/>
          <w:szCs w:val="28"/>
          <w:highlight w:val="none"/>
        </w:rPr>
        <w:t>（如果有）；</w:t>
      </w:r>
    </w:p>
    <w:p w14:paraId="6228E83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w:t>
      </w:r>
      <w:r>
        <w:rPr>
          <w:rFonts w:hint="eastAsia" w:ascii="仿宋" w:hAnsi="仿宋" w:eastAsia="仿宋" w:cs="仿宋"/>
          <w:color w:val="000000"/>
          <w:kern w:val="0"/>
          <w:sz w:val="28"/>
          <w:szCs w:val="28"/>
          <w:highlight w:val="none"/>
          <w:lang w:eastAsia="zh-CN"/>
        </w:rPr>
        <w:t>磋商函（如果有）</w:t>
      </w:r>
      <w:r>
        <w:rPr>
          <w:rFonts w:hint="eastAsia" w:ascii="仿宋" w:hAnsi="仿宋" w:eastAsia="仿宋" w:cs="仿宋"/>
          <w:color w:val="000000"/>
          <w:kern w:val="0"/>
          <w:sz w:val="28"/>
          <w:szCs w:val="28"/>
          <w:highlight w:val="none"/>
        </w:rPr>
        <w:t>；</w:t>
      </w:r>
    </w:p>
    <w:p w14:paraId="718BCAF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（4）专用合同条款及其附件；</w:t>
      </w:r>
    </w:p>
    <w:p w14:paraId="1CA7702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（5）通用合同条款；</w:t>
      </w:r>
    </w:p>
    <w:p w14:paraId="7E79EFE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（6）技术标准和要求（如果有）；</w:t>
      </w:r>
    </w:p>
    <w:p w14:paraId="76CADF5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w:t>
      </w:r>
      <w:r>
        <w:rPr>
          <w:rFonts w:hint="eastAsia" w:ascii="仿宋" w:hAnsi="仿宋" w:eastAsia="仿宋" w:cs="仿宋"/>
          <w:color w:val="000000"/>
          <w:kern w:val="0"/>
          <w:sz w:val="28"/>
          <w:szCs w:val="28"/>
          <w:highlight w:val="none"/>
          <w:lang w:val="en-US" w:eastAsia="zh-CN"/>
        </w:rPr>
        <w:t>7</w:t>
      </w:r>
      <w:r>
        <w:rPr>
          <w:rFonts w:hint="eastAsia" w:ascii="仿宋" w:hAnsi="仿宋" w:eastAsia="仿宋" w:cs="仿宋"/>
          <w:color w:val="000000"/>
          <w:kern w:val="0"/>
          <w:sz w:val="28"/>
          <w:szCs w:val="28"/>
          <w:highlight w:val="none"/>
        </w:rPr>
        <w:t>）已标价工程量清单或预算书；</w:t>
      </w:r>
    </w:p>
    <w:p w14:paraId="255167C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w:t>
      </w:r>
      <w:r>
        <w:rPr>
          <w:rFonts w:hint="eastAsia" w:ascii="仿宋" w:hAnsi="仿宋" w:eastAsia="仿宋" w:cs="仿宋"/>
          <w:color w:val="000000"/>
          <w:kern w:val="0"/>
          <w:sz w:val="28"/>
          <w:szCs w:val="28"/>
          <w:highlight w:val="none"/>
          <w:lang w:val="en-US" w:eastAsia="zh-CN"/>
        </w:rPr>
        <w:t>8</w:t>
      </w:r>
      <w:r>
        <w:rPr>
          <w:rFonts w:hint="eastAsia" w:ascii="仿宋" w:hAnsi="仿宋" w:eastAsia="仿宋" w:cs="仿宋"/>
          <w:color w:val="000000"/>
          <w:kern w:val="0"/>
          <w:sz w:val="28"/>
          <w:szCs w:val="28"/>
          <w:highlight w:val="none"/>
        </w:rPr>
        <w:t>）其他合同文件。</w:t>
      </w:r>
    </w:p>
    <w:p w14:paraId="2CF402BB">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上述各项合同文件包括合同当事人就该项合同文件所作出的补充和修改，属于同一类内容的文件，应以最新签署的为准。</w:t>
      </w:r>
    </w:p>
    <w:p w14:paraId="4D538BEA">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在合同订立及履行过程中形成的与合同有关的文件均构成合同文件组成部分，并根据其性质确定优先解释顺序。</w:t>
      </w:r>
    </w:p>
    <w:p w14:paraId="3FD82638">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1.6图纸和承包人文件</w:t>
      </w:r>
    </w:p>
    <w:p w14:paraId="07399F3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1.6.1 图纸的提供和交底</w:t>
      </w:r>
    </w:p>
    <w:p w14:paraId="4EF993F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5A5099A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因发包人未按合同约定提供图纸导致承包人费用增加和（或）工期延误的，按照第7.5.1项〔因发包人原因导致工期延误〕约定办理。</w:t>
      </w:r>
    </w:p>
    <w:p w14:paraId="78D94CE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 图纸的错误</w:t>
      </w:r>
    </w:p>
    <w:p w14:paraId="5E574B0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AB2BE8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1.6.3 图纸的修改和补充</w:t>
      </w:r>
    </w:p>
    <w:p w14:paraId="4CDC19B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1613D8E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1.6.4 承包人文件</w:t>
      </w:r>
    </w:p>
    <w:p w14:paraId="0D3FDE7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承包人应按照专用合同条款的约定提供应当由其编制的与工程施工有关的文件，并按照专用合同条款约定的期限、数量和形式提交监理人，并由监理人报送发包人。</w:t>
      </w:r>
    </w:p>
    <w:p w14:paraId="44870AA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7DF2F3A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1.6.5 图纸和承包人文件的保管</w:t>
      </w:r>
    </w:p>
    <w:p w14:paraId="17D248C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除专用合同条款另有约定外，承包人应在施工现场另外保存一套完整的图纸和承包人文件，供发包人、监理人及有关人员进行工程检查时使用。</w:t>
      </w:r>
    </w:p>
    <w:p w14:paraId="6519E6B2">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1.7联络</w:t>
      </w:r>
    </w:p>
    <w:p w14:paraId="0AF8667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1.7.1 与合同有关的通知、批准、证明、证书、指示、指令、要求、请求、同意、意见、确定和决定等，均应采用书面形式，并应在合同约定的期限内送达接收人和送达地点。</w:t>
      </w:r>
    </w:p>
    <w:p w14:paraId="4ADAF51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1.7.2 发包人和承包人应在专用合同条款中约定各自的送达接收人和送达地点。任何一方合同当事人指定的接收人或送达地点发生变动的，应提前3天以书面形式通知对方。</w:t>
      </w:r>
    </w:p>
    <w:p w14:paraId="3B510C2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1.7.3 发包人和承包人应当及时签收另一方送达至送达地点和指定接收人的来往信函。拒不签收的，由此增加的费用和（或）延误的工期由拒绝接收一方承担。</w:t>
      </w:r>
    </w:p>
    <w:p w14:paraId="4CAC51A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1.8严禁贿赂</w:t>
      </w:r>
    </w:p>
    <w:p w14:paraId="1ECCC2D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合同当事人不得以贿赂或变相贿赂的方式，谋取非法利益或损害对方权益。因一方合同当事人的贿赂造成对方损失的，应赔偿损失，并承担相应的法律责任。</w:t>
      </w:r>
    </w:p>
    <w:p w14:paraId="0A1D59E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30E9C5B0">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1.9化石、文物</w:t>
      </w:r>
    </w:p>
    <w:p w14:paraId="78C27F6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EC35A8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发包人、监理人和承包人应按有关政府行政管理部门要求采取妥善的保护措施，由此增加的费用和（或）延误的工期由发包人承担。</w:t>
      </w:r>
    </w:p>
    <w:p w14:paraId="11E8DAC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承包人发现文物后不及时报告或隐瞒不报，致使文物丢失或损坏的，应赔偿损失，并承担相应的法律责任。</w:t>
      </w:r>
    </w:p>
    <w:p w14:paraId="61D62B81">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1.10交通运输</w:t>
      </w:r>
    </w:p>
    <w:p w14:paraId="2DFE928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1.10.1 出入现场的权利</w:t>
      </w:r>
    </w:p>
    <w:p w14:paraId="1B65201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4C13049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2EC281D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1.10.2 场外交通</w:t>
      </w:r>
    </w:p>
    <w:p w14:paraId="2E10B86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3E45729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1.10.3场内交通</w:t>
      </w:r>
    </w:p>
    <w:p w14:paraId="0B22F1E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30C9B1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CBF577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场外交通和场内交通的边界由合同当事人在专用合同条款中约定。</w:t>
      </w:r>
    </w:p>
    <w:p w14:paraId="022E518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1.10.4 超大件和超重件的运输</w:t>
      </w:r>
    </w:p>
    <w:p w14:paraId="3974F58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D973EC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1.10.5 道路和桥梁的损坏责任</w:t>
      </w:r>
    </w:p>
    <w:p w14:paraId="055A33C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因承包人运输造成施工场地内外公共道路和桥梁损坏的，由承包人承担修复损坏的全部费用和可能引起的赔偿。</w:t>
      </w:r>
    </w:p>
    <w:p w14:paraId="54FB225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1.10.6 水路和航空运输</w:t>
      </w:r>
    </w:p>
    <w:p w14:paraId="7B5EDA5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本款前述各项的内容适用于水路运输和航空运输，其中“道路”一词的涵义包括河道、航线、船闸、机场、码头、堤防以及水路或航空运输中其他相似结构物；“车辆”一词的涵义包括船舶和飞机等。</w:t>
      </w:r>
    </w:p>
    <w:p w14:paraId="19203E9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1.11知识产权 </w:t>
      </w:r>
    </w:p>
    <w:p w14:paraId="3EB5A0F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4A7EC9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6AE2D1C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33585ED">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 xml:space="preserve">1.11.4 </w:t>
      </w:r>
      <w:r>
        <w:rPr>
          <w:rFonts w:hint="eastAsia" w:ascii="仿宋" w:hAnsi="仿宋" w:eastAsia="仿宋" w:cs="仿宋"/>
          <w:color w:val="000000"/>
          <w:sz w:val="28"/>
          <w:szCs w:val="28"/>
          <w:highlight w:val="none"/>
        </w:rPr>
        <w:t>除专用合同条款另有约定外，承包人在合同签订前和签订时已确定采用的专利、专有技术、技术秘密的使用费已包含在签约合同价中。</w:t>
      </w:r>
    </w:p>
    <w:p w14:paraId="6CFE3D40">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1.12保密</w:t>
      </w:r>
    </w:p>
    <w:p w14:paraId="0605B60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除法律规定或合同另有约定外，未经发包人同意，承包人不得将发包人提供的图纸、文件以及声明需要保密的资料信息等商业秘密泄露给第三方。</w:t>
      </w:r>
    </w:p>
    <w:p w14:paraId="0B9EABE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除法律规定或合同另有约定外，未经承包人同意，发包人不得将承包人提供的技术秘密及声明需要保密的资料信息等商业秘密泄露给第三方。</w:t>
      </w:r>
    </w:p>
    <w:p w14:paraId="67380C84">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1.13工程量清单错误的修正</w:t>
      </w:r>
    </w:p>
    <w:p w14:paraId="3DE4B0D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除专用合同条款另有约定外，发包人提供的工程量清单，应被认为是准确的和完整的。出现下列情形之一时，发包人应予以修正，并相应调整合同价格：</w:t>
      </w:r>
    </w:p>
    <w:p w14:paraId="60E8B54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（1）工程量清单存在缺项、漏项的；</w:t>
      </w:r>
    </w:p>
    <w:p w14:paraId="4616F36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（2）工程量清单偏差超出专用合同条款约定的工程量偏差范围的；</w:t>
      </w:r>
    </w:p>
    <w:p w14:paraId="003D54F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（3）未按照国家现行计量规范强制性规定计量的。</w:t>
      </w:r>
    </w:p>
    <w:p w14:paraId="0AAF2436">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2. 发包人</w:t>
      </w:r>
    </w:p>
    <w:p w14:paraId="5A9AE5C1">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2.1 许可或批准</w:t>
      </w:r>
    </w:p>
    <w:p w14:paraId="4A54F8F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59E83E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因发包人原因未能及时办理完毕前述许可、批准或备案，由发包人承担由此增加的费用和（或）延误的工期，并支付承包人合理的利润。</w:t>
      </w:r>
    </w:p>
    <w:p w14:paraId="4BAC04E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2.2 发包人代表</w:t>
      </w:r>
    </w:p>
    <w:p w14:paraId="33089F3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612F8F6C">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发包人代表不能按照合同约定履行其职责及义务，并导致合同无法继续正常履行的，承包人可以要求发包人撤换发包人代表。</w:t>
      </w:r>
    </w:p>
    <w:p w14:paraId="0F9B84D1">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不属于法定必须监理的工程，监理人的职权可以由发包人代表或发包人指定的其他人员行使。</w:t>
      </w:r>
    </w:p>
    <w:p w14:paraId="673D040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2.3 发包人人员</w:t>
      </w:r>
    </w:p>
    <w:p w14:paraId="127B82A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发包人应要求在施工现场的发包人人员遵守法律及有关安全、质量、环境保护、文明施工等规定，并保障承包人免于承受因发包人人员未遵守上述要求给承包人造成的损失和责任。</w:t>
      </w:r>
    </w:p>
    <w:p w14:paraId="25C131A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发包人人员包括发包人代表及其他由发包人派驻施工现场的人员。</w:t>
      </w:r>
    </w:p>
    <w:p w14:paraId="5A5F3437">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2.4 施工现场、施工条件和基础资料的提供  </w:t>
      </w:r>
    </w:p>
    <w:p w14:paraId="00FF760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2.4.1 提供施工现场</w:t>
      </w:r>
    </w:p>
    <w:p w14:paraId="3751A06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除专用合同条款另有约定外，发包人应最迟于开工日期7天前向承包人移交施工现场。</w:t>
      </w:r>
    </w:p>
    <w:p w14:paraId="2B877B1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2.4.2 提供施工条件</w:t>
      </w:r>
    </w:p>
    <w:p w14:paraId="6174625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除专用合同条款另有约定外，发包人应负责提供施工所需要的条件，包括：</w:t>
      </w:r>
    </w:p>
    <w:p w14:paraId="34DC3B9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（1）将施工用水、电力、通讯线路等施工所必需的条件接至施工现场内；</w:t>
      </w:r>
    </w:p>
    <w:p w14:paraId="570193C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（2）保证向承包人提供正常施工所需要的进入施工现场的交通条件；</w:t>
      </w:r>
    </w:p>
    <w:p w14:paraId="0FD2B8D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（3）协调处理施工现场周围地下管线和邻近建筑物、构筑物、古树名木的保护工作，并承担相关费用；</w:t>
      </w:r>
    </w:p>
    <w:p w14:paraId="2CAC199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（4）按照专用合同条款约定应提供的其他设施和条件。</w:t>
      </w:r>
    </w:p>
    <w:p w14:paraId="357D7BD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2.4.3 提供基础资料</w:t>
      </w:r>
    </w:p>
    <w:p w14:paraId="19A2FB6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249DE23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按照法律规定确需在开工后方能提供的基础资料，发包人应尽其努力及时地在相应工程施工前的合理期限内提供，合理期限应以不影响承包人的正常施工为限。</w:t>
      </w:r>
    </w:p>
    <w:p w14:paraId="0151178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2.4.4 逾期提供的责任</w:t>
      </w:r>
    </w:p>
    <w:p w14:paraId="461D2A2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因发包人原因未能按合同约定及时向承包人提供施工现场、施工条件、基础资料的，由发包人承担由此增加的费用和（或）延误的工期。</w:t>
      </w:r>
    </w:p>
    <w:p w14:paraId="2BBA596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2.5 资金来源证明及支付担保</w:t>
      </w:r>
    </w:p>
    <w:p w14:paraId="68EB080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除专用合同条款另有约定外，发包人应在收到承包人要求提供资金来源证明的书面通知后28天内，向承包人提供能够按照合同约定支付合同价款的相应资金来源证明。</w:t>
      </w:r>
    </w:p>
    <w:p w14:paraId="3F8BBDD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12657A7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2.6 支付合同价款</w:t>
      </w:r>
    </w:p>
    <w:p w14:paraId="30465DD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发包人应按合同约定向承包人及时支付合同价款。</w:t>
      </w:r>
    </w:p>
    <w:p w14:paraId="26B99DD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2.7 组织竣工验收</w:t>
      </w:r>
    </w:p>
    <w:p w14:paraId="4DB89B1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发包人应按合同约定及时组织竣工验收。</w:t>
      </w:r>
    </w:p>
    <w:p w14:paraId="7F54C38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2.8 现场统一管理协议</w:t>
      </w:r>
    </w:p>
    <w:p w14:paraId="393A38E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发包人应与承包人、由发包人直接发包的专业工程的承包人签订施工现场统一管理协议，明确各方的权利义务。施工现场统一管理协议作为专用合同条款的附件。</w:t>
      </w:r>
    </w:p>
    <w:p w14:paraId="2B2FF4DD">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3. 承包人</w:t>
      </w:r>
    </w:p>
    <w:p w14:paraId="605D89C1">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3.1 承包人的一般义务</w:t>
      </w:r>
    </w:p>
    <w:p w14:paraId="697AAF5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承包人在履行合同过程中应遵守法律和工程建设标准规范，并履行以下义务：</w:t>
      </w:r>
    </w:p>
    <w:p w14:paraId="7CC3F780">
      <w:pPr>
        <w:keepNext w:val="0"/>
        <w:keepLines w:val="0"/>
        <w:pageBreakBefore w:val="0"/>
        <w:widowControl w:val="0"/>
        <w:numPr>
          <w:ilvl w:val="0"/>
          <w:numId w:val="9"/>
        </w:numPr>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办理法律规定应由承包人办理的许可和批准，并将办理结果书面报送发包人留存；</w:t>
      </w:r>
    </w:p>
    <w:p w14:paraId="0960D69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（2）按法律规定和合同约定完成工程，并在保修期内承担保修义务；</w:t>
      </w:r>
    </w:p>
    <w:p w14:paraId="394D24B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（3）按法律规定和合同约定采取施工安全和环境保护措施，办理工伤保险，确保工程及人员、材料、设备和设施的安全；</w:t>
      </w:r>
    </w:p>
    <w:p w14:paraId="14D8C9B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（4）按合同约定的工作内容和施工进度要求，编制施工组织设计和施工措施计划，并对所有施工作业和施工方法的完备性和安全可靠性负责；</w:t>
      </w:r>
    </w:p>
    <w:p w14:paraId="1162288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7C3A0B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（6）按照第6.3款〔环境保护〕约定负责施工场地及其周边环境与生态的保护工作；</w:t>
      </w:r>
    </w:p>
    <w:p w14:paraId="4868994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（7）按第6.1款〔安全文明施工〕约定采取施工安全措施，确保工程及其人员、材料、设备和设施的安全，防止因工程施工造成的人身伤害和财产损失；</w:t>
      </w:r>
    </w:p>
    <w:p w14:paraId="04B5B9A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（8）将发包人按合同约定支付的各项价款专用于合同工程，且应及时支付其雇用人员工资，并及时向分包人支付合同价款；</w:t>
      </w:r>
    </w:p>
    <w:p w14:paraId="3A5D819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（9）按照法律规定和合同约定编制竣工资料，完成竣工资料立卷及归档，并按专用合同条款约定的竣工资料的套数、内容、时间等要求移交发包人；</w:t>
      </w:r>
    </w:p>
    <w:p w14:paraId="3EFDEB8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（10）应履行的其他义务。</w:t>
      </w:r>
    </w:p>
    <w:p w14:paraId="3586B7B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3.2 项目经理</w:t>
      </w:r>
    </w:p>
    <w:p w14:paraId="31CAA0E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370E513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w:t>
      </w:r>
      <w:r>
        <w:rPr>
          <w:rFonts w:hint="eastAsia" w:ascii="仿宋" w:hAnsi="仿宋" w:eastAsia="仿宋" w:cs="仿宋"/>
          <w:color w:val="000000"/>
          <w:kern w:val="0"/>
          <w:sz w:val="28"/>
          <w:szCs w:val="28"/>
          <w:highlight w:val="none"/>
          <w:lang w:eastAsia="zh-CN"/>
        </w:rPr>
        <w:t>须具备</w:t>
      </w:r>
      <w:r>
        <w:rPr>
          <w:rFonts w:hint="eastAsia" w:ascii="仿宋" w:hAnsi="仿宋" w:eastAsia="仿宋" w:cs="仿宋"/>
          <w:color w:val="000000"/>
          <w:kern w:val="0"/>
          <w:sz w:val="28"/>
          <w:szCs w:val="28"/>
          <w:highlight w:val="none"/>
        </w:rPr>
        <w:t>履行相应职责的能力。</w:t>
      </w:r>
    </w:p>
    <w:p w14:paraId="2229E3F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承包人违反上述约定的，应按照专用合同条款的约定，承担违约责任。</w:t>
      </w:r>
    </w:p>
    <w:p w14:paraId="6783E03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D4385E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23406A7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673C53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3.2.5 项目经理因特殊情况授权其下属人员履行其某项工作职责的，该下属人员</w:t>
      </w:r>
      <w:r>
        <w:rPr>
          <w:rFonts w:hint="eastAsia" w:ascii="仿宋" w:hAnsi="仿宋" w:eastAsia="仿宋" w:cs="仿宋"/>
          <w:color w:val="000000"/>
          <w:kern w:val="0"/>
          <w:sz w:val="28"/>
          <w:szCs w:val="28"/>
          <w:highlight w:val="none"/>
          <w:lang w:eastAsia="zh-CN"/>
        </w:rPr>
        <w:t>须具备</w:t>
      </w:r>
      <w:r>
        <w:rPr>
          <w:rFonts w:hint="eastAsia" w:ascii="仿宋" w:hAnsi="仿宋" w:eastAsia="仿宋" w:cs="仿宋"/>
          <w:color w:val="000000"/>
          <w:kern w:val="0"/>
          <w:sz w:val="28"/>
          <w:szCs w:val="28"/>
          <w:highlight w:val="none"/>
        </w:rPr>
        <w:t>履行相应职责的能力，并应提前7天将上述人员的姓名和授权范围书面通知监理人，并征得发包人书面同意。</w:t>
      </w:r>
    </w:p>
    <w:p w14:paraId="172B2F8B">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3.3 承包人人员</w:t>
      </w:r>
    </w:p>
    <w:p w14:paraId="4C7A89D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D596ED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1C34628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特殊工种作业人员均应持有相应的资格证明，监理人可以随时检查。</w:t>
      </w:r>
    </w:p>
    <w:p w14:paraId="1B68312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488AB9D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w:t>
      </w:r>
      <w:r>
        <w:rPr>
          <w:rFonts w:hint="eastAsia" w:ascii="仿宋" w:hAnsi="仿宋" w:eastAsia="仿宋" w:cs="仿宋"/>
          <w:color w:val="000000"/>
          <w:kern w:val="0"/>
          <w:sz w:val="28"/>
          <w:szCs w:val="28"/>
          <w:highlight w:val="none"/>
          <w:lang w:eastAsia="zh-CN"/>
        </w:rPr>
        <w:t>须具备</w:t>
      </w:r>
      <w:r>
        <w:rPr>
          <w:rFonts w:hint="eastAsia" w:ascii="仿宋" w:hAnsi="仿宋" w:eastAsia="仿宋" w:cs="仿宋"/>
          <w:color w:val="000000"/>
          <w:kern w:val="0"/>
          <w:sz w:val="28"/>
          <w:szCs w:val="28"/>
          <w:highlight w:val="none"/>
        </w:rPr>
        <w:t>履行相应职责的资格和能力，且应征得监理人或发包人的同意。</w:t>
      </w:r>
    </w:p>
    <w:p w14:paraId="11077A9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3.3.5 承包人擅自更换主要施工管理人员，或前述人员未经监理人或发包人同意擅自离开施工现场的，应按照专用合同条款约定承担违约责任。</w:t>
      </w:r>
    </w:p>
    <w:p w14:paraId="0318CFD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3.4 承包人现场查勘</w:t>
      </w:r>
    </w:p>
    <w:p w14:paraId="1DF8825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承包人应对基于发包人按照第2.4.3项〔提供基础资料〕提交的基础资料所做出的解释和推断负责，但因基础资料存在错误、遗漏导致承包人解释或推断失实的，由发包人承担责任。</w:t>
      </w:r>
    </w:p>
    <w:p w14:paraId="4B8EC55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6C4D35D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3.5 分包</w:t>
      </w:r>
    </w:p>
    <w:p w14:paraId="09A07B9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3.5.1 分包的一般约定</w:t>
      </w:r>
    </w:p>
    <w:p w14:paraId="73EC7C0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4C4F358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承包人不得以劳务分包的名义转包或违法分包工程。</w:t>
      </w:r>
    </w:p>
    <w:p w14:paraId="2B33E21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3.5.2 分包的确定</w:t>
      </w:r>
    </w:p>
    <w:p w14:paraId="79B500C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1F73924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3.5.3 分包管理</w:t>
      </w:r>
    </w:p>
    <w:p w14:paraId="5C0E4CD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承包人应向监理人提交分包人的主要施工管理人员表，并对分包人的施工人员进行实名制管理，包括但不限于进出场管理、登记造册以及各种证照的办理。</w:t>
      </w:r>
    </w:p>
    <w:p w14:paraId="35A90E9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3.5.4 分包合同价款</w:t>
      </w:r>
    </w:p>
    <w:p w14:paraId="28B4FD3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（1）除本项第（2）目约定的情况或专用合同条款另有约定外，分包合同价款由承包人与分包人结算，未经承包人同意，发包人不得向分包人支付分包工程价款；</w:t>
      </w:r>
    </w:p>
    <w:p w14:paraId="4968E08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（2）生效法律文书要求发包人向分包人支付分包合同价款的，发包人有权从应付承包人工程款中扣除该部分款项。</w:t>
      </w:r>
    </w:p>
    <w:p w14:paraId="01FABC6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3.5.5 分包合同权益的转让</w:t>
      </w:r>
    </w:p>
    <w:p w14:paraId="23B87E4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570589A8">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3.6 工程照管与成品、半成品保护</w:t>
      </w:r>
    </w:p>
    <w:p w14:paraId="6CE2490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（1）除专用合同条款另有约定外，自发包人向承包人移交施工现场之日起，承包人应负责照管工程及工程相关的材料、工程设备，直到颁发工程接收证书之日止。</w:t>
      </w:r>
    </w:p>
    <w:p w14:paraId="5D1A1C5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（2）在承包人负责照管期间，因承包人原因造成工程、材料、工程设备损坏的，由承包人负责修复或更换，并承担由此增加的费用和（或）延误的工期。</w:t>
      </w:r>
    </w:p>
    <w:p w14:paraId="30437C1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3430FF1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3.7 履约担保</w:t>
      </w:r>
    </w:p>
    <w:p w14:paraId="07291B9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1B30A1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因承包人原因导致工期延长的，继续提供履约担保所增加的费用由承包人承担；非因承包人原因导致工期延长的，继续提供履约担保所增加的费用由发包人承担。</w:t>
      </w:r>
    </w:p>
    <w:p w14:paraId="2FE0F02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3.8 联合体</w:t>
      </w:r>
    </w:p>
    <w:p w14:paraId="5CECD7A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3.8.1 联合体各方应共同与发包人签订合同协议书。联合体各方应为履行合同向发包人承担连带责任。</w:t>
      </w:r>
    </w:p>
    <w:p w14:paraId="4E40281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3.8.2 联合体协议经发包人确认后作为合同附件。在履行合同过程中，未经发包人同意，不得修改联合体协议。</w:t>
      </w:r>
    </w:p>
    <w:p w14:paraId="2E4A799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3.8.3 联合体牵头人负责与发包人和监理人联系，并接受指示，负责组织联合体各成员全面履行合同。</w:t>
      </w:r>
    </w:p>
    <w:p w14:paraId="25ADAABD">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4. 监理人</w:t>
      </w:r>
    </w:p>
    <w:p w14:paraId="3B29A0D5">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4.1监理人的一般规定</w:t>
      </w:r>
    </w:p>
    <w:p w14:paraId="7896F05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9226B4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除专用合同条款另有约定外，监理人在施工现场的办公场所、生活场所由承包人提供，所发生的费用由发包人承担。</w:t>
      </w:r>
    </w:p>
    <w:p w14:paraId="75BC9DD9">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4.2监理人员</w:t>
      </w:r>
    </w:p>
    <w:p w14:paraId="1DE8AE8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0A5687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4.3监理人的指示</w:t>
      </w:r>
    </w:p>
    <w:p w14:paraId="24CFE6D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6A946C8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D61C0B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承包人对监理人发出的指示有疑问的，应向监理人提出书面异议，监理人应在48小时内对该指示予以确认、更改或撤销，监理人逾期未回复的，承包人有权拒绝执行上述指示。</w:t>
      </w:r>
    </w:p>
    <w:p w14:paraId="30B2C18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12DC50C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4.4 商定或确定</w:t>
      </w:r>
    </w:p>
    <w:p w14:paraId="08A1376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合同当事人进行商定或确定时，总监理工程师应当会同合同当事人尽量通过协商达成一致，不能达成一致的，由总监理工程师按照合同约定审慎做出公正的确定。</w:t>
      </w:r>
    </w:p>
    <w:p w14:paraId="70D2A00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40BCA26">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5. 工程质量</w:t>
      </w:r>
    </w:p>
    <w:p w14:paraId="7FE1BBB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5.1质量要求</w:t>
      </w:r>
    </w:p>
    <w:p w14:paraId="2ECFDEA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5.1.1 工程质量标准必须符合现行国家有关工程施工质量验收规范和标准的要求。有关工程质量的特殊标准或要求由合同当事人在专用合同条款中约定。</w:t>
      </w:r>
    </w:p>
    <w:p w14:paraId="0E798F8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5.1.2 因发包人原因造成工程质量未达到合同约定标准的，由发包人承担由此增加的费用和（或）延误的工期，并支付承包人合理的利润。</w:t>
      </w:r>
    </w:p>
    <w:p w14:paraId="2E7FB54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5.1.3 因承包人原因造成工程质量未达到合同约定标准的，发包人有权要求承包人返工直至工程质量达到合同约定的标准为止，并由承包人承担由此增加的费用和（或）延误的工期。</w:t>
      </w:r>
    </w:p>
    <w:p w14:paraId="0F1587D0">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5.2质量保证措施</w:t>
      </w:r>
    </w:p>
    <w:p w14:paraId="2476F6C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5.2.1 发包人的质量管理</w:t>
      </w:r>
    </w:p>
    <w:p w14:paraId="135DEE3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发包人应按照法律规定及合同约定完成与工程质量有关的各项工作。</w:t>
      </w:r>
    </w:p>
    <w:p w14:paraId="1E3F6EC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5.2.2 承包人的质量管理</w:t>
      </w:r>
    </w:p>
    <w:p w14:paraId="0766AFF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C57376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承包人应对施工人员进行质量教育和技术培训，定期考核施工人员的劳动技能，严格执行施工规范和操作规程。</w:t>
      </w:r>
    </w:p>
    <w:p w14:paraId="7513C30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3294D7C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5.2.3 监理人的质量检查和检验</w:t>
      </w:r>
    </w:p>
    <w:p w14:paraId="0984A80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0570579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B7D2D71">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5.3 隐蔽工程检查</w:t>
      </w:r>
    </w:p>
    <w:p w14:paraId="253D003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5.3.1承包人自检</w:t>
      </w:r>
    </w:p>
    <w:p w14:paraId="54FD90E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承包人应当对工程隐蔽部位进行自检，并经自检确认是否具备覆盖条件。</w:t>
      </w:r>
    </w:p>
    <w:p w14:paraId="64B5184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5.3.2检查程序</w:t>
      </w:r>
    </w:p>
    <w:p w14:paraId="7EA1A19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1B50B2C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4B2467F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0BFC5EF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5.3.3 重新检查</w:t>
      </w:r>
    </w:p>
    <w:p w14:paraId="46C1381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A3E17C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5.3.4 承包人私自覆盖</w:t>
      </w:r>
    </w:p>
    <w:p w14:paraId="3A21C63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617BC409">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5.4不合格工程的处理</w:t>
      </w:r>
    </w:p>
    <w:p w14:paraId="2370403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079C399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5.4.2 因发包人原因造成工程不合格的，由此增加的费用和（或）延误的工期由发包人承担，并支付承包人合理的利润。</w:t>
      </w:r>
    </w:p>
    <w:p w14:paraId="5F43BFD2">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5.5 质量争议检测</w:t>
      </w:r>
    </w:p>
    <w:p w14:paraId="2BB84B0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合同当事人对工程质量有争议的，由双方协商确定的工程质量检测机构鉴定，由此产生的费用及因此造成的损失，由责任方承担。</w:t>
      </w:r>
    </w:p>
    <w:p w14:paraId="71920A8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合同当事人均有责任的，由双方根据其责任分别承担。合同当事人无法达成一致的，按照第4.4款〔商定或确定〕执行。</w:t>
      </w:r>
    </w:p>
    <w:p w14:paraId="5BD864A6">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6. 安全文明施工与环境保护</w:t>
      </w:r>
    </w:p>
    <w:p w14:paraId="3CAB67C2">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6.1安全文明施工</w:t>
      </w:r>
    </w:p>
    <w:p w14:paraId="2AB0984F">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6.1.1安全生产要求</w:t>
      </w:r>
    </w:p>
    <w:p w14:paraId="66FA6CBA">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7F2FE589">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在施工过程中，如遇到突发的地质变动、事先未知的地下施工障碍等影响施工安全的紧急情况，承包人应及时报告监理人和发包人，发包人应当及时下令停工并报</w:t>
      </w:r>
      <w:r>
        <w:rPr>
          <w:rFonts w:hint="eastAsia" w:ascii="仿宋" w:hAnsi="仿宋" w:eastAsia="仿宋" w:cs="仿宋"/>
          <w:color w:val="000000"/>
          <w:kern w:val="0"/>
          <w:sz w:val="28"/>
          <w:szCs w:val="28"/>
          <w:highlight w:val="none"/>
        </w:rPr>
        <w:t>政府有关行政管理部门采取应急措施。</w:t>
      </w:r>
    </w:p>
    <w:p w14:paraId="59F2BD8D">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因安全生产需要暂停施工的，按照第7.8款〔暂停施工〕的约定执行。</w:t>
      </w:r>
    </w:p>
    <w:p w14:paraId="5EE260C4">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6.1.2 安全生产保证措施</w:t>
      </w:r>
    </w:p>
    <w:p w14:paraId="601EC11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承包人应当按照有关</w:t>
      </w:r>
      <w:r>
        <w:rPr>
          <w:rFonts w:hint="eastAsia" w:ascii="仿宋" w:hAnsi="仿宋" w:eastAsia="仿宋" w:cs="仿宋"/>
          <w:color w:val="000000"/>
          <w:kern w:val="0"/>
          <w:sz w:val="28"/>
          <w:szCs w:val="28"/>
          <w:highlight w:val="none"/>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722BF6E7">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6.1.3特别安全生产事项</w:t>
      </w:r>
    </w:p>
    <w:p w14:paraId="573E7765">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5BBFB3B">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5DA03A62">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2770C2C9">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需单独编制危险性较大分部分项专项工程施工方案的，及要求进行专家论证的超过一定规模的危险性较大的分部分项工程，承包人应及时编制和组织论证。</w:t>
      </w:r>
    </w:p>
    <w:p w14:paraId="2DADECFA">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6.1.4 治安保卫</w:t>
      </w:r>
    </w:p>
    <w:p w14:paraId="4C61C26A">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除专用合同条款另有约定外，发包人应与当地公安部门协商，在现场建立治安管理机构或联防组织，统一管理施工场地的治安保卫事项，履行合同工程的治安保卫职责。</w:t>
      </w:r>
    </w:p>
    <w:p w14:paraId="2A6702B7">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发包人和承包人除应协助现场治安管理机构或联防组织维护施工场地的社会治安外，还应做好包括生活区在内的各自管辖区的治安保卫工作。</w:t>
      </w:r>
    </w:p>
    <w:p w14:paraId="2D82E440">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3D5B82D2">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6.1.5 文明施工</w:t>
      </w:r>
    </w:p>
    <w:p w14:paraId="0F2EC36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37BAC3F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80222B0">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6.1.6 安全文明施工费</w:t>
      </w:r>
    </w:p>
    <w:p w14:paraId="7C7E90B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安全文明施工费由发包人承担，发包人不得以任何形式扣减该部分费用。因基准日期后合同所适用的法律或政府有关规定发生变化，增加的安全文明施工费由发包人承担。</w:t>
      </w:r>
    </w:p>
    <w:p w14:paraId="25C4F7F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CDD0B0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CC55FA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5F330BE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6.1.7 紧急情况处理</w:t>
      </w:r>
    </w:p>
    <w:p w14:paraId="59841AC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1C4AEF3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6.1.8 事故处理</w:t>
      </w:r>
    </w:p>
    <w:p w14:paraId="4F86216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F753B0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6.1.9 安全生产责任</w:t>
      </w:r>
    </w:p>
    <w:p w14:paraId="230C598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6.1.9.1 发包人的安全责任</w:t>
      </w:r>
    </w:p>
    <w:p w14:paraId="5E8D09A8">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发包人应负责赔偿以下各种情况造成的损失：</w:t>
      </w:r>
    </w:p>
    <w:p w14:paraId="7CBAF9CF">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（1）工程或工程的任何部分对土地的占用所造成的第三者财产损失；</w:t>
      </w:r>
    </w:p>
    <w:p w14:paraId="001E0271">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（2）由于发包人原因在施工场地及其毗邻地带造成的第三者人身伤亡和财产损失；</w:t>
      </w:r>
    </w:p>
    <w:p w14:paraId="41B399B5">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（3）由于发包人原因对承包人、监理人造成的人员人身伤亡和财产损失；</w:t>
      </w:r>
    </w:p>
    <w:p w14:paraId="0FEAA283">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（4）由于发包人原因造成的发包人自身人员的人身伤害以及财产损失。</w:t>
      </w:r>
    </w:p>
    <w:p w14:paraId="5A960CB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6.1.9.2 承包人的安全责任</w:t>
      </w:r>
    </w:p>
    <w:p w14:paraId="33A7B4A7">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由于承包人原因在施工场地内及其毗邻地带造成的发包人、监理人以及第三者人员伤亡和财产损失，由承包人负责赔偿。</w:t>
      </w:r>
    </w:p>
    <w:p w14:paraId="245FD65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6.2 职业健康</w:t>
      </w:r>
    </w:p>
    <w:p w14:paraId="294957B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6.2.1 劳动保护</w:t>
      </w:r>
    </w:p>
    <w:p w14:paraId="7753A35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1492EB2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55F79D6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72D06C5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6.2.2 生活条件</w:t>
      </w:r>
    </w:p>
    <w:p w14:paraId="7F06BD8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F068A1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6.3 环境保护</w:t>
      </w:r>
    </w:p>
    <w:p w14:paraId="550A8CD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B27F0B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承包人应当承担因其原因引起的环境污染侵权损害赔偿责任，因上述环境污染引起纠纷而导致暂停施工的，由此增加的费用和（或）延误的工期由承包人承担。</w:t>
      </w:r>
    </w:p>
    <w:p w14:paraId="27C1ABB4">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7. 工期和进度</w:t>
      </w:r>
    </w:p>
    <w:p w14:paraId="6AF7EFD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7.1施工组织设计</w:t>
      </w:r>
    </w:p>
    <w:p w14:paraId="73B19F2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 xml:space="preserve">7.1.1 </w:t>
      </w:r>
      <w:r>
        <w:rPr>
          <w:rFonts w:hint="eastAsia" w:ascii="仿宋" w:hAnsi="仿宋" w:eastAsia="仿宋" w:cs="仿宋"/>
          <w:color w:val="000000"/>
          <w:kern w:val="0"/>
          <w:sz w:val="28"/>
          <w:szCs w:val="28"/>
          <w:highlight w:val="none"/>
        </w:rPr>
        <w:t>施工组织设计的内容</w:t>
      </w:r>
    </w:p>
    <w:p w14:paraId="42F8ADF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施工组织设计应包含以下内容：</w:t>
      </w:r>
    </w:p>
    <w:p w14:paraId="7680DD7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（1）施工方案； </w:t>
      </w:r>
    </w:p>
    <w:p w14:paraId="11DE9B9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（2）施工现场平面布置图；</w:t>
      </w:r>
    </w:p>
    <w:p w14:paraId="40D8D20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（3）施工进度计划和保证措施； </w:t>
      </w:r>
    </w:p>
    <w:p w14:paraId="2CA5A12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（4）劳动力及材料供应计划；</w:t>
      </w:r>
    </w:p>
    <w:p w14:paraId="450D094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（5）施工机械设备的选用；</w:t>
      </w:r>
    </w:p>
    <w:p w14:paraId="381C6F0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（6）质量保证体系及措施；</w:t>
      </w:r>
    </w:p>
    <w:p w14:paraId="3AB2622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（7）安全生产、文明施工措施；</w:t>
      </w:r>
    </w:p>
    <w:p w14:paraId="6128462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（8）环境保护、成本控制措施；</w:t>
      </w:r>
    </w:p>
    <w:p w14:paraId="492A860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（9）合同当事人约定的其他内容。</w:t>
      </w:r>
    </w:p>
    <w:p w14:paraId="3D37993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 xml:space="preserve">7.1.2 </w:t>
      </w:r>
      <w:r>
        <w:rPr>
          <w:rFonts w:hint="eastAsia" w:ascii="仿宋" w:hAnsi="仿宋" w:eastAsia="仿宋" w:cs="仿宋"/>
          <w:color w:val="000000"/>
          <w:kern w:val="0"/>
          <w:sz w:val="28"/>
          <w:szCs w:val="28"/>
          <w:highlight w:val="none"/>
        </w:rPr>
        <w:t>施工组织设计的提交和修改</w:t>
      </w:r>
    </w:p>
    <w:p w14:paraId="40B43BB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5944901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施工进度计划的编制和修改按照第7.2款〔施工进度计划〕执行。</w:t>
      </w:r>
    </w:p>
    <w:p w14:paraId="1846AE1D">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7.2 施工进度计划</w:t>
      </w:r>
    </w:p>
    <w:p w14:paraId="1DD2466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7.2.1 施工进度计划的编制</w:t>
      </w:r>
    </w:p>
    <w:p w14:paraId="491B4E7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59A3C69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7.2.2 施工进度计划的修订</w:t>
      </w:r>
    </w:p>
    <w:p w14:paraId="03B155D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4B3C48E9">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7.3 开工</w:t>
      </w:r>
    </w:p>
    <w:p w14:paraId="2ECF9350">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7.3.1 开工准备</w:t>
      </w:r>
    </w:p>
    <w:p w14:paraId="3039DC3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1AEA174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除专用合同条款另有约定外，合同当事人应按约定完成开工准备工作。</w:t>
      </w:r>
    </w:p>
    <w:p w14:paraId="2C78B51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7.3.2 开工通知</w:t>
      </w:r>
    </w:p>
    <w:p w14:paraId="5140E97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EE1B8F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1207EF6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7.4测量放线</w:t>
      </w:r>
    </w:p>
    <w:p w14:paraId="42BF885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8F9D37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2BF3EAB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6A348B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施工过程中对施工现场内水准点等测量标志物的保护工作由承包人负责。</w:t>
      </w:r>
    </w:p>
    <w:p w14:paraId="0EC788E8">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7.5 工期延误</w:t>
      </w:r>
    </w:p>
    <w:p w14:paraId="3910093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7.5.1 因发包人原因导致工期延误</w:t>
      </w:r>
    </w:p>
    <w:p w14:paraId="2BC03A6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在合同履行过程中，因下列情况导致工期延误和（或）费用增加的，由发包人承担由此延误的工期和（或）增加的费用，且发包人应支付承包人合理的利润： </w:t>
      </w:r>
    </w:p>
    <w:p w14:paraId="1161E48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（1）发包人未能按合同约定提供图纸或所提供图纸不符合合同约定的；</w:t>
      </w:r>
    </w:p>
    <w:p w14:paraId="3DE6AD9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（2）发包人未能按合同约定提供施工现场、施工条件、基础资料、许可、批准等开工条件的；</w:t>
      </w:r>
    </w:p>
    <w:p w14:paraId="414865F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（3）发包人提供的测量基准点、基准线和水准点及其书面资料存在错误或疏漏的；</w:t>
      </w:r>
    </w:p>
    <w:p w14:paraId="25EADB9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（4）发包人未能在计划开工日期之日起7天内同意下达开工通知的；</w:t>
      </w:r>
    </w:p>
    <w:p w14:paraId="454AA99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（5）发包人未能按合同约定日期支付工程预付款、进度款或竣工结算款的；</w:t>
      </w:r>
    </w:p>
    <w:p w14:paraId="3CE971E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（6）监理人未按合同约定发出指示、批准等文件的；</w:t>
      </w:r>
    </w:p>
    <w:p w14:paraId="67D8B7D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（7）专用合同条款中约定的其他情形。</w:t>
      </w:r>
    </w:p>
    <w:p w14:paraId="1421F3D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70B18E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7.5.2 因承包人原因导致工期延误</w:t>
      </w:r>
    </w:p>
    <w:p w14:paraId="47DB4BB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因承包人原因造成工期延误的，可以在专用合同条款中约定逾期竣工违约金的计算方法和逾期竣工违约金的上限。承包人支付逾期竣工违约金后，不免除承包人继续完成工程及修补缺陷的义务。</w:t>
      </w:r>
    </w:p>
    <w:p w14:paraId="427DA20B">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7.6 不利物质条件</w:t>
      </w:r>
    </w:p>
    <w:p w14:paraId="3F56099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3CB177C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FF7260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7.7 异常恶劣的气候条件</w:t>
      </w:r>
    </w:p>
    <w:p w14:paraId="042F968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83FA2D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31AF7918">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7.8 暂停施工</w:t>
      </w:r>
    </w:p>
    <w:p w14:paraId="11B90A0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7.8.1发包人原因引起的暂停施工</w:t>
      </w:r>
    </w:p>
    <w:p w14:paraId="017EC95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因发包人原因引起暂停施工的，监理人经发包人同意后，应及时下达暂停施工指示。情况紧急且监理人未及时下达暂停施工指示的，按照第7.8.4项〔紧急情况下的暂停施工〕执行。</w:t>
      </w:r>
    </w:p>
    <w:p w14:paraId="68D1774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因发包人原因引起的暂停施工，发包人应承担由此增加的费用和（或）延误的工期，并支付承包人合理的利润。</w:t>
      </w:r>
    </w:p>
    <w:p w14:paraId="251E026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7.8.2 承包人原因引起的暂停施工</w:t>
      </w:r>
    </w:p>
    <w:p w14:paraId="739C495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52DB344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7.8.3 指示暂停施工</w:t>
      </w:r>
    </w:p>
    <w:p w14:paraId="01E8A17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监理人认为有必要时，并经发包人批准后，可向承包人作出暂停施工的指示，承包人应按监理人指示暂停施工。</w:t>
      </w:r>
    </w:p>
    <w:p w14:paraId="33FB1D6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7.8.4 紧急情况下的暂停施工</w:t>
      </w:r>
    </w:p>
    <w:p w14:paraId="05F06B4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58A2AF8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7.8.5 暂停施工后的复工</w:t>
      </w:r>
    </w:p>
    <w:p w14:paraId="49A65EB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F53D476">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承包人无故拖延和拒绝复工的，承包人承担由此增加的费用和（或）延误的工期；因发包人原因无法按时复工的，按照第7.5.1项〔因发包人原因导致工期延误〕约定办理。</w:t>
      </w:r>
    </w:p>
    <w:p w14:paraId="6A929B8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7.8.6 暂停施工持续56天以上</w:t>
      </w:r>
    </w:p>
    <w:p w14:paraId="3C18EC9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55FC6E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1389DA0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7.8.7 暂停施工期间的工程照管</w:t>
      </w:r>
    </w:p>
    <w:p w14:paraId="7CDDE2C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暂停施工期间，承包人应负责妥善照管工程并提供安全保障，由此增加的费用由责任方承担。</w:t>
      </w:r>
    </w:p>
    <w:p w14:paraId="2B225CA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7.8.8 暂停施工的措施</w:t>
      </w:r>
    </w:p>
    <w:p w14:paraId="048CBE0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暂停施工期间，发包人和承包人均应采取必要的措施确保工程质量及安全，防止因暂停施工扩大损失。</w:t>
      </w:r>
    </w:p>
    <w:p w14:paraId="2D926B12">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7.9提前竣工</w:t>
      </w:r>
    </w:p>
    <w:p w14:paraId="73370B1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F58D71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7.9.2 发包人要求承包人提前竣工，或承包人提出提前竣工的建议能够给发包人带来效益的，合同当事人可以在专用合同条款中约定提前竣工的奖励。</w:t>
      </w:r>
    </w:p>
    <w:p w14:paraId="28A9324D">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8. 材料与设备</w:t>
      </w:r>
    </w:p>
    <w:p w14:paraId="667C9E1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8.1发包人供应材料与工程设备</w:t>
      </w:r>
    </w:p>
    <w:p w14:paraId="6292AB1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发包人自行供应材料、工程设备的，应在签订合同时在专用合同条款的附件《发包人供应材料设备一览表》中明确材料、工程设备的品种、规格、型号、数量、单价、质量等级和送达地点。</w:t>
      </w:r>
    </w:p>
    <w:p w14:paraId="40A8239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BC04F75">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val="0"/>
          <w:color w:val="000000"/>
          <w:sz w:val="28"/>
          <w:szCs w:val="28"/>
          <w:highlight w:val="none"/>
        </w:rPr>
        <w:t>8.2承包人采购材料与工程设备</w:t>
      </w:r>
    </w:p>
    <w:p w14:paraId="164B60E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D378A7B">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8.3材料与工程设备的接收与拒收</w:t>
      </w:r>
    </w:p>
    <w:p w14:paraId="143C0F6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C1B584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发包人提供的材料和工程设备的规格、数量或质量不符合合同约定的，或因发包人原因导致交货日期延误或交货地点变更等情况的，按照第16.1款〔发包人违约〕约定办理。</w:t>
      </w:r>
    </w:p>
    <w:p w14:paraId="384D8F2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6A566F3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0C93E93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8.4材料与工程设备的保管与使用</w:t>
      </w:r>
    </w:p>
    <w:p w14:paraId="3FFC69F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8.4.1 发包人供应材料与工程设备的保管与使用</w:t>
      </w:r>
    </w:p>
    <w:p w14:paraId="34B86D0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6F61DDF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发包人供应的材料和工程设备使用前，由承包人负责检验，检验费用由发包人承担，不合格的不得使用。</w:t>
      </w:r>
    </w:p>
    <w:p w14:paraId="3D01AE1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8.4.2 承包人采购材料与工程设备的保管与使用</w:t>
      </w:r>
    </w:p>
    <w:p w14:paraId="7E682A7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BA88B7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发包人或监理人发现承包人使用不符合设计或有关标准要求的材料和工程设备时，有权要求承包人进行修复、拆除或重新采购，由此增加的费用和（或）延误的工期，由承包人承担。</w:t>
      </w:r>
    </w:p>
    <w:p w14:paraId="2960D4D4">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8.5禁止使用不合格的材料和工程设备</w:t>
      </w:r>
    </w:p>
    <w:p w14:paraId="68071FC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8.5.1 监理人有权拒绝承包人提供的不合格材料或工程设备，并要求承包人立即进行更换。监理人应在更换后再次进行检查和检验，由此增加的费用和（或）延误的工期由承包人承担。</w:t>
      </w:r>
    </w:p>
    <w:p w14:paraId="41AD6D7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8.5.2 监理人发现承包人使用了不合格的材料和工程设备，承包人应按照监理人的指示立即改正，并禁止在工程中继续使用不合格的材料和工程设备。</w:t>
      </w:r>
    </w:p>
    <w:p w14:paraId="55CB6CA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8.5.3 发包人提供的材料或工程设备不符合合同要求的，承包人有权拒绝，并可要求发包人更换，由此增加的费用和（或）延误的工期由发包人承担，并支付承包人合理的利润。</w:t>
      </w:r>
    </w:p>
    <w:p w14:paraId="4483CE2C">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8.6 样品</w:t>
      </w:r>
    </w:p>
    <w:p w14:paraId="7905BCB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8.6.1</w:t>
      </w:r>
      <w:r>
        <w:rPr>
          <w:rFonts w:hint="eastAsia" w:ascii="仿宋" w:hAnsi="仿宋" w:eastAsia="仿宋" w:cs="仿宋"/>
          <w:color w:val="000000"/>
          <w:kern w:val="0"/>
          <w:sz w:val="28"/>
          <w:szCs w:val="28"/>
          <w:highlight w:val="none"/>
          <w:lang w:val="en-US" w:eastAsia="zh-CN"/>
        </w:rPr>
        <w:t xml:space="preserve"> </w:t>
      </w:r>
      <w:r>
        <w:rPr>
          <w:rFonts w:hint="eastAsia" w:ascii="仿宋" w:hAnsi="仿宋" w:eastAsia="仿宋" w:cs="仿宋"/>
          <w:color w:val="000000"/>
          <w:kern w:val="0"/>
          <w:sz w:val="28"/>
          <w:szCs w:val="28"/>
          <w:highlight w:val="none"/>
        </w:rPr>
        <w:t>样品的报送与封存</w:t>
      </w:r>
    </w:p>
    <w:p w14:paraId="3950F4E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需要承包人报送样品的材料或工程设备，样品的种类、名称、规格、数量等要求均应在专用合同条款中约定。样品的报送程序如下：</w:t>
      </w:r>
    </w:p>
    <w:p w14:paraId="3CA4D64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382C0A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6D1A8DC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（3）经发包人和监理人审批确认的样品应按约定的方法封样，封存的样品作为检验工程相关部分的标准之一。承包人在施工过程中不得使用与样品不符的材料或工程设备。</w:t>
      </w:r>
    </w:p>
    <w:p w14:paraId="6F42E85A">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35521A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8.6.2 样品的保管</w:t>
      </w:r>
    </w:p>
    <w:p w14:paraId="1CA7D82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经批准的样品应由监理人负责封存于现场，承包人应在现场为保存样品提供适当和固定的场所并保持适当和良好的存储环境条件。</w:t>
      </w:r>
    </w:p>
    <w:p w14:paraId="55287D3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8.7材料与工程设备的替代</w:t>
      </w:r>
    </w:p>
    <w:p w14:paraId="788130E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8.7.1 出现下列情况需要使用替代材料和工程设备的，承包人应按照第8.7.2项约定的程序执行：</w:t>
      </w:r>
    </w:p>
    <w:p w14:paraId="73A8C51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（1）基准日期后生效的法律规定禁止使用的；</w:t>
      </w:r>
    </w:p>
    <w:p w14:paraId="429E926F">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（2）发包人要求使用替代品的；</w:t>
      </w:r>
    </w:p>
    <w:p w14:paraId="2112B9D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（3）因其他原因必须使用替代品的。</w:t>
      </w:r>
    </w:p>
    <w:p w14:paraId="34B3CFB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8.7.2 承包人应在使用替代材料和工程设备28天前书面通知监理人，并附下列文件：</w:t>
      </w:r>
    </w:p>
    <w:p w14:paraId="53C6D23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（1）被替代的材料和工程设备的名称、数量、规格、型号、品牌、性能、价格及其他相关资料；</w:t>
      </w:r>
    </w:p>
    <w:p w14:paraId="5C2EFA1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（2）替代品的名称、数量、规格、型号、品牌、性能、价格及其他相关资料；</w:t>
      </w:r>
    </w:p>
    <w:p w14:paraId="3A1258A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（3）替代品与被替代产品之间的差异以及使用替代品可能对工程产生的影响；</w:t>
      </w:r>
    </w:p>
    <w:p w14:paraId="0DD1504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（4）替代品与被替代产品的价格差异；</w:t>
      </w:r>
    </w:p>
    <w:p w14:paraId="20A6E3A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（5）使用替代品的理由和原因说明；</w:t>
      </w:r>
    </w:p>
    <w:p w14:paraId="5537CF4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（6）监理人要求的其他文件。</w:t>
      </w:r>
    </w:p>
    <w:p w14:paraId="60E6684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监理人应在收到通知后14天内向承包人发出经发包人签认的书面指示；监理人逾期发出书面指示的，视为发包人和监理人同意使用替代品。</w:t>
      </w:r>
    </w:p>
    <w:p w14:paraId="5D7CEB6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0A97AD1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8.8施工设备和临时设施</w:t>
      </w:r>
    </w:p>
    <w:p w14:paraId="078AA42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8.8.1 承包人提供的施工设备和临时设施</w:t>
      </w:r>
    </w:p>
    <w:p w14:paraId="375BD714">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7322EB7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除专用合同条款另有约定外，承包人应自行承担修建临时设施的费用，需要临时占地的，应由发包人办理申请手续并承担相应费用。</w:t>
      </w:r>
    </w:p>
    <w:p w14:paraId="78B75DD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8.8.2发包人提供的施工设备和临时设施</w:t>
      </w:r>
    </w:p>
    <w:p w14:paraId="4FC7439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发包人提供的施工设备或临时设施在专用合同条款中约定。</w:t>
      </w:r>
    </w:p>
    <w:p w14:paraId="5B82C76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8.8.3要求承包人增加或更换施工设备</w:t>
      </w:r>
    </w:p>
    <w:p w14:paraId="26A9C36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7AD6319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8.9材料与设备专用要求</w:t>
      </w:r>
    </w:p>
    <w:p w14:paraId="7CF3CCA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1C464EB">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9. 试验与检验</w:t>
      </w:r>
    </w:p>
    <w:p w14:paraId="721E6194">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9.1试验设备与试验人员</w:t>
      </w:r>
    </w:p>
    <w:p w14:paraId="4BAF038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7C81CF3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9.1.2 承包人应按专用合同条款的约定提供试验设备、取样装置、试验场所和试验条件，并向监理人提交相应进场计划表。</w:t>
      </w:r>
    </w:p>
    <w:p w14:paraId="766B4C89">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承包人配置的试验设备要符合相应试验规程的要求并经过具有资质的检测单位检测，且在正式使用该试验设备前，需要经过监理人与承包人共同校定。</w:t>
      </w:r>
    </w:p>
    <w:p w14:paraId="47CF099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9.1.3 承包人应向监理人提交试验人员的名单及其岗位、资格等证明资料，试验人员必须能够熟练进行相应的检测试验，承包人对试验人员的试验程序和试验结果的正确性负责。</w:t>
      </w:r>
    </w:p>
    <w:p w14:paraId="410EE3AB">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9.2取样</w:t>
      </w:r>
    </w:p>
    <w:p w14:paraId="0B4D6DE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试验属于自检性质的，承包人可以单独取样。试验属于监理人抽检性质的，可由监理人取样，也可由承包人的试验人员在监理人的监督下取样。</w:t>
      </w:r>
    </w:p>
    <w:p w14:paraId="1CA412FE">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9.3材料、工程设备和工程的试验和检验</w:t>
      </w:r>
    </w:p>
    <w:p w14:paraId="76A0E88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5FC583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7035822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51C5E54">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9.4现场工艺试验</w:t>
      </w:r>
    </w:p>
    <w:p w14:paraId="6CC6871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承包人应按合同约定或监理人指示进行现场工艺试验。对大型的现场工艺试验，监理人认为必要时，承包人应根据监理人提出的工艺试验要求，编制工艺试验措施计划，报送监理人审查。</w:t>
      </w:r>
    </w:p>
    <w:p w14:paraId="04F986AE">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10. 变更</w:t>
      </w:r>
    </w:p>
    <w:p w14:paraId="01D71151">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10.1变更的范围</w:t>
      </w:r>
    </w:p>
    <w:p w14:paraId="3EC9561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除专用合同条款另有约定外，合同履行过程中发生以下情形的，应按照本条约定进行变更：</w:t>
      </w:r>
    </w:p>
    <w:p w14:paraId="1A6AD3D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（1）增加或减少合同中任何工作，或追加额外的工作；</w:t>
      </w:r>
    </w:p>
    <w:p w14:paraId="31821BC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（2）取消合同中任何工作，但转由他人实施的工作除外；</w:t>
      </w:r>
    </w:p>
    <w:p w14:paraId="0B13663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（3）改变合同中任何工作的质量标准或其他特性；</w:t>
      </w:r>
    </w:p>
    <w:p w14:paraId="33B62F8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（4）改变工程的基线、标高、位置和尺寸；</w:t>
      </w:r>
    </w:p>
    <w:p w14:paraId="7DB999B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（5）改变工程的时间安排或实施顺序。</w:t>
      </w:r>
    </w:p>
    <w:p w14:paraId="41AD20DF">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10.2变更权</w:t>
      </w:r>
    </w:p>
    <w:p w14:paraId="2E56431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041CE38">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涉及设计变更的，应由设计人提供变更后的图纸和说明。如变更超过原设计标准或批准的建设规模时，发包人应及时办理规划、设计变更等审批手续。</w:t>
      </w:r>
    </w:p>
    <w:p w14:paraId="3DBE8E2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10.3变更程序</w:t>
      </w:r>
    </w:p>
    <w:p w14:paraId="113D35B3">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10</w:t>
      </w:r>
      <w:r>
        <w:rPr>
          <w:rFonts w:hint="eastAsia" w:ascii="仿宋" w:hAnsi="仿宋" w:eastAsia="仿宋" w:cs="仿宋"/>
          <w:color w:val="000000"/>
          <w:kern w:val="0"/>
          <w:sz w:val="28"/>
          <w:szCs w:val="28"/>
          <w:highlight w:val="none"/>
        </w:rPr>
        <w:t>.3.1 发包人提出变更</w:t>
      </w:r>
    </w:p>
    <w:p w14:paraId="70C46E8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发包人提出变更的，应通过监理人向承包人发出变更指示，变更指示应说明计划变更的工程范围和变更的内容。</w:t>
      </w:r>
    </w:p>
    <w:p w14:paraId="4277DF0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10</w:t>
      </w:r>
      <w:r>
        <w:rPr>
          <w:rFonts w:hint="eastAsia" w:ascii="仿宋" w:hAnsi="仿宋" w:eastAsia="仿宋" w:cs="仿宋"/>
          <w:color w:val="000000"/>
          <w:kern w:val="0"/>
          <w:sz w:val="28"/>
          <w:szCs w:val="28"/>
          <w:highlight w:val="none"/>
        </w:rPr>
        <w:t>.3.2 监理人提出变更建议</w:t>
      </w:r>
    </w:p>
    <w:p w14:paraId="00CE9892">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22C0437">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10.3.3 变更执行</w:t>
      </w:r>
    </w:p>
    <w:p w14:paraId="25580D7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9AB2AF0">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10.4变更估价</w:t>
      </w:r>
    </w:p>
    <w:p w14:paraId="4DB6DBE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10.4.1 变更估价原则</w:t>
      </w:r>
    </w:p>
    <w:p w14:paraId="161DFBA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除专用合同条款另有约定外，变更估价按照本款约定处理：</w:t>
      </w:r>
    </w:p>
    <w:p w14:paraId="11BC19B6">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（1）已标价工程量清单或预算书有相同项目的，按照相同项目单价认定；</w:t>
      </w:r>
    </w:p>
    <w:p w14:paraId="388C51D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（2）已标价工程量清单或预算书中无相同项目，但有类似项目的，参照类似项目的单价认定；</w:t>
      </w:r>
    </w:p>
    <w:p w14:paraId="40F25400">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75FA6D9">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10.4.2 变更估价程序</w:t>
      </w:r>
    </w:p>
    <w:p w14:paraId="6CEBE2D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DD1493D">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因变更引起的价格调整应计入最近一期的进度款中支付。</w:t>
      </w:r>
    </w:p>
    <w:p w14:paraId="78FF1DE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10.5承包人的合理化建议</w:t>
      </w:r>
    </w:p>
    <w:p w14:paraId="53C853E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承包人提出合理化建议的，应向监理人提交合理化建议说明，说明建议的内容和理由，以及实施该建议对合同价格和工期的影响。</w:t>
      </w:r>
    </w:p>
    <w:p w14:paraId="4D954AD5">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3EB8A7F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合理化建议降低了合同价格或者提高了工程经济效益的，发包人可对承包人给予奖励，奖励的方法和金额在专用合同条款中约定。</w:t>
      </w:r>
    </w:p>
    <w:p w14:paraId="141E4D17">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val="0"/>
          <w:color w:val="000000"/>
          <w:sz w:val="28"/>
          <w:szCs w:val="28"/>
          <w:highlight w:val="none"/>
        </w:rPr>
        <w:t xml:space="preserve">10.6变更引起的工期调整  </w:t>
      </w:r>
      <w:r>
        <w:rPr>
          <w:rFonts w:hint="eastAsia" w:ascii="仿宋" w:hAnsi="仿宋" w:eastAsia="仿宋" w:cs="仿宋"/>
          <w:color w:val="000000"/>
          <w:sz w:val="28"/>
          <w:szCs w:val="28"/>
          <w:highlight w:val="none"/>
        </w:rPr>
        <w:t xml:space="preserve"> </w:t>
      </w:r>
    </w:p>
    <w:p w14:paraId="39FB621B">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因变更引起工期变化的，合同当事人均可要求调整合同工期，由合同当事人按照第4.4款〔商定或确定〕并参考工程所在地的工期定额标准确定增减工期天数。</w:t>
      </w:r>
    </w:p>
    <w:p w14:paraId="417DB48D">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10.7暂估价</w:t>
      </w:r>
    </w:p>
    <w:p w14:paraId="2D8BC0EC">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暂估价专业分包工程、服务、材料和工程设备的明细由合同当事人在专用合同条款中约定。</w:t>
      </w:r>
    </w:p>
    <w:p w14:paraId="13B7991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10.7.1 依法必须招标的暂估价项目</w:t>
      </w:r>
    </w:p>
    <w:p w14:paraId="2F4B22F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对于依法必须招标的暂估价项目，采取以下第1种方式确定。合同当事人也可以在专用合同条款中选择其他招标方式。</w:t>
      </w:r>
    </w:p>
    <w:p w14:paraId="7ABBCAB5">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第1种方式：对于依法必须招标的暂估价项目，由承包人招标，对该暂估价项目的确认和批准按照以下约定执行：</w:t>
      </w:r>
    </w:p>
    <w:p w14:paraId="3F062E70">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0E787B8">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（2）承包人应当根据施工进度计划，提前14天将</w:t>
      </w:r>
      <w:r>
        <w:rPr>
          <w:rFonts w:hint="eastAsia" w:ascii="仿宋" w:hAnsi="仿宋" w:eastAsia="仿宋" w:cs="仿宋"/>
          <w:color w:val="000000"/>
          <w:sz w:val="28"/>
          <w:szCs w:val="28"/>
          <w:highlight w:val="none"/>
          <w:lang w:val="en-US" w:eastAsia="zh-CN"/>
        </w:rPr>
        <w:t>采购文件</w:t>
      </w:r>
      <w:r>
        <w:rPr>
          <w:rFonts w:hint="eastAsia" w:ascii="仿宋" w:hAnsi="仿宋" w:eastAsia="仿宋" w:cs="仿宋"/>
          <w:color w:val="000000"/>
          <w:sz w:val="28"/>
          <w:szCs w:val="28"/>
          <w:highlight w:val="none"/>
        </w:rPr>
        <w:t>通过监理人报送发包人审批，发包人应当在收到承包人报送的相关文件后7天内完成审批或提出修改意见；发包人有权确定招标控制价并按照法律规定参加评标；</w:t>
      </w:r>
    </w:p>
    <w:p w14:paraId="0E19615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（3）承包人与供应商、分包人在签订暂估价合同前，应当提前7天将确定的</w:t>
      </w:r>
      <w:r>
        <w:rPr>
          <w:rFonts w:hint="eastAsia" w:ascii="仿宋" w:hAnsi="仿宋" w:eastAsia="仿宋" w:cs="仿宋"/>
          <w:color w:val="000000"/>
          <w:sz w:val="28"/>
          <w:szCs w:val="28"/>
          <w:highlight w:val="none"/>
          <w:lang w:val="en-US" w:eastAsia="zh-CN"/>
        </w:rPr>
        <w:t>中标</w:t>
      </w:r>
      <w:r>
        <w:rPr>
          <w:rFonts w:hint="eastAsia" w:ascii="仿宋" w:hAnsi="仿宋" w:eastAsia="仿宋" w:cs="仿宋"/>
          <w:color w:val="000000"/>
          <w:sz w:val="28"/>
          <w:szCs w:val="28"/>
          <w:highlight w:val="none"/>
        </w:rPr>
        <w:t>候选</w:t>
      </w:r>
      <w:r>
        <w:rPr>
          <w:rFonts w:hint="eastAsia" w:ascii="仿宋" w:hAnsi="仿宋" w:eastAsia="仿宋" w:cs="仿宋"/>
          <w:color w:val="000000"/>
          <w:sz w:val="28"/>
          <w:szCs w:val="28"/>
          <w:highlight w:val="none"/>
          <w:lang w:val="en-US" w:eastAsia="zh-CN"/>
        </w:rPr>
        <w:t>人</w:t>
      </w:r>
      <w:r>
        <w:rPr>
          <w:rFonts w:hint="eastAsia" w:ascii="仿宋" w:hAnsi="仿宋" w:eastAsia="仿宋" w:cs="仿宋"/>
          <w:color w:val="000000"/>
          <w:sz w:val="28"/>
          <w:szCs w:val="28"/>
          <w:highlight w:val="none"/>
        </w:rPr>
        <w:t>或</w:t>
      </w:r>
      <w:r>
        <w:rPr>
          <w:rFonts w:hint="eastAsia" w:ascii="仿宋" w:hAnsi="仿宋" w:eastAsia="仿宋" w:cs="仿宋"/>
          <w:color w:val="000000"/>
          <w:sz w:val="28"/>
          <w:szCs w:val="28"/>
          <w:highlight w:val="none"/>
          <w:lang w:val="en-US" w:eastAsia="zh-CN"/>
        </w:rPr>
        <w:t>中标</w:t>
      </w:r>
      <w:r>
        <w:rPr>
          <w:rFonts w:hint="eastAsia" w:ascii="仿宋" w:hAnsi="仿宋" w:eastAsia="仿宋" w:cs="仿宋"/>
          <w:color w:val="000000"/>
          <w:sz w:val="28"/>
          <w:szCs w:val="28"/>
          <w:highlight w:val="none"/>
        </w:rPr>
        <w:t>候选分包人的资料报送发包人，发包人应在收到资料后3天内与承包人共同确定</w:t>
      </w:r>
      <w:r>
        <w:rPr>
          <w:rFonts w:hint="eastAsia" w:ascii="仿宋" w:hAnsi="仿宋" w:eastAsia="仿宋" w:cs="仿宋"/>
          <w:color w:val="000000"/>
          <w:sz w:val="28"/>
          <w:szCs w:val="28"/>
          <w:highlight w:val="none"/>
          <w:lang w:val="en-US" w:eastAsia="zh-CN"/>
        </w:rPr>
        <w:t>中标</w:t>
      </w:r>
      <w:r>
        <w:rPr>
          <w:rFonts w:hint="eastAsia" w:ascii="仿宋" w:hAnsi="仿宋" w:eastAsia="仿宋" w:cs="仿宋"/>
          <w:color w:val="000000"/>
          <w:sz w:val="28"/>
          <w:szCs w:val="28"/>
          <w:highlight w:val="none"/>
          <w:lang w:eastAsia="zh-CN"/>
        </w:rPr>
        <w:t>人</w:t>
      </w:r>
      <w:r>
        <w:rPr>
          <w:rFonts w:hint="eastAsia" w:ascii="仿宋" w:hAnsi="仿宋" w:eastAsia="仿宋" w:cs="仿宋"/>
          <w:color w:val="000000"/>
          <w:sz w:val="28"/>
          <w:szCs w:val="28"/>
          <w:highlight w:val="none"/>
        </w:rPr>
        <w:t>；承包人应当在签订合同后7天内，将暂估价合同副本报送发包人留存。</w:t>
      </w:r>
    </w:p>
    <w:p w14:paraId="7E7BD83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Fonts w:hint="eastAsia" w:ascii="仿宋" w:hAnsi="仿宋" w:eastAsia="仿宋" w:cs="仿宋"/>
          <w:color w:val="000000"/>
          <w:sz w:val="28"/>
          <w:szCs w:val="28"/>
          <w:highlight w:val="none"/>
          <w:lang w:val="en-US" w:eastAsia="zh-CN"/>
        </w:rPr>
        <w:t>中标</w:t>
      </w:r>
      <w:r>
        <w:rPr>
          <w:rFonts w:hint="eastAsia" w:ascii="仿宋" w:hAnsi="仿宋" w:eastAsia="仿宋" w:cs="仿宋"/>
          <w:color w:val="000000"/>
          <w:sz w:val="28"/>
          <w:szCs w:val="28"/>
          <w:highlight w:val="none"/>
          <w:lang w:eastAsia="zh-CN"/>
        </w:rPr>
        <w:t>人</w:t>
      </w:r>
      <w:r>
        <w:rPr>
          <w:rFonts w:hint="eastAsia" w:ascii="仿宋" w:hAnsi="仿宋" w:eastAsia="仿宋" w:cs="仿宋"/>
          <w:color w:val="000000"/>
          <w:sz w:val="28"/>
          <w:szCs w:val="28"/>
          <w:highlight w:val="none"/>
        </w:rPr>
        <w:t>后，由发包人、承包人与</w:t>
      </w:r>
      <w:r>
        <w:rPr>
          <w:rFonts w:hint="eastAsia" w:ascii="仿宋" w:hAnsi="仿宋" w:eastAsia="仿宋" w:cs="仿宋"/>
          <w:color w:val="000000"/>
          <w:sz w:val="28"/>
          <w:szCs w:val="28"/>
          <w:highlight w:val="none"/>
          <w:lang w:val="en-US" w:eastAsia="zh-CN"/>
        </w:rPr>
        <w:t>中标</w:t>
      </w:r>
      <w:r>
        <w:rPr>
          <w:rFonts w:hint="eastAsia" w:ascii="仿宋" w:hAnsi="仿宋" w:eastAsia="仿宋" w:cs="仿宋"/>
          <w:color w:val="000000"/>
          <w:sz w:val="28"/>
          <w:szCs w:val="28"/>
          <w:highlight w:val="none"/>
          <w:lang w:eastAsia="zh-CN"/>
        </w:rPr>
        <w:t>人</w:t>
      </w:r>
      <w:r>
        <w:rPr>
          <w:rFonts w:hint="eastAsia" w:ascii="仿宋" w:hAnsi="仿宋" w:eastAsia="仿宋" w:cs="仿宋"/>
          <w:color w:val="000000"/>
          <w:sz w:val="28"/>
          <w:szCs w:val="28"/>
          <w:highlight w:val="none"/>
        </w:rPr>
        <w:t>共同签订暂估价合同。</w:t>
      </w:r>
    </w:p>
    <w:p w14:paraId="0A8106F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10.7.2</w:t>
      </w:r>
      <w:r>
        <w:rPr>
          <w:rFonts w:hint="eastAsia" w:ascii="仿宋" w:hAnsi="仿宋" w:eastAsia="仿宋" w:cs="仿宋"/>
          <w:color w:val="000000"/>
          <w:kern w:val="0"/>
          <w:sz w:val="28"/>
          <w:szCs w:val="28"/>
          <w:highlight w:val="none"/>
        </w:rPr>
        <w:t>不属于依法必须招标的暂估价项目</w:t>
      </w:r>
    </w:p>
    <w:p w14:paraId="22507BD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除专用合同条款另有约定外，对于不属于依法必须招标的暂估价项目，采取以下第1种方式确定： </w:t>
      </w:r>
    </w:p>
    <w:p w14:paraId="05ED65C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第1种方式：对于不属于依法必须招标的暂估价项目，按本项约定确认和批准：</w:t>
      </w:r>
    </w:p>
    <w:p w14:paraId="76116DF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CBAD4C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（2）发包人认为承包人确定的供应商、分包人无法满足工程质量或合同要求的，发包人可以要求承包人重新确定暂估价项目的供应商、分包人;</w:t>
      </w:r>
    </w:p>
    <w:p w14:paraId="262A552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（3）承包人应当在签订暂估价合同后7天内，将暂估价合同副本报送发包人留存。</w:t>
      </w:r>
    </w:p>
    <w:p w14:paraId="1A10659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第2种方式：承包人按照第10.7.1项〔依法必须招标的暂估价项目〕约定的第1种方式确定暂估价项目。</w:t>
      </w:r>
    </w:p>
    <w:p w14:paraId="5FF56D7F">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第3种方式：</w:t>
      </w:r>
      <w:r>
        <w:rPr>
          <w:rFonts w:hint="eastAsia" w:ascii="仿宋" w:hAnsi="仿宋" w:eastAsia="仿宋" w:cs="仿宋"/>
          <w:color w:val="000000"/>
          <w:kern w:val="0"/>
          <w:sz w:val="28"/>
          <w:szCs w:val="28"/>
          <w:highlight w:val="none"/>
        </w:rPr>
        <w:t>承包人直接实施的暂估价项目</w:t>
      </w:r>
    </w:p>
    <w:p w14:paraId="7263A641">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承包人具备实施暂估价项目的资格和条件的，经发包人和承包人协商一致后，可由承包人自行实施暂估价项目，合同当事人可以在专用合同条款约定具体事项。</w:t>
      </w:r>
    </w:p>
    <w:p w14:paraId="20E3CC4A">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47D068A">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10.8暂列金额</w:t>
      </w:r>
    </w:p>
    <w:p w14:paraId="0EF22D71">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暂列金额应按照发包人的要求使用，发包人的要求应通过监理人发出。合同当事人可以在专用合同条款中协商确定有关事项。</w:t>
      </w:r>
    </w:p>
    <w:p w14:paraId="6D8ED163">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10.9计日工 </w:t>
      </w:r>
    </w:p>
    <w:p w14:paraId="0E56914E">
      <w:pPr>
        <w:keepNext w:val="0"/>
        <w:keepLines w:val="0"/>
        <w:pageBreakBefore w:val="0"/>
        <w:widowControl w:val="0"/>
        <w:kinsoku/>
        <w:wordWrap/>
        <w:overflowPunct/>
        <w:topLinePunct w:val="0"/>
        <w:autoSpaceDE w:val="0"/>
        <w:autoSpaceDN w:val="0"/>
        <w:bidi w:val="0"/>
        <w:adjustRightInd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69F86237">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采用计日工计价的任何一项工作，承包人应在该项工作实施过程中，每天提交以下报表和有关凭证报送监理人审查：</w:t>
      </w:r>
    </w:p>
    <w:p w14:paraId="77E90FF4">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（1）工作名称、内容和数量；</w:t>
      </w:r>
    </w:p>
    <w:p w14:paraId="712B2CFE">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（2）投入该工作的所有人员的姓名、专业、工种、级别和耗用工时；</w:t>
      </w:r>
    </w:p>
    <w:p w14:paraId="20C7E2B3">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（3）投入该工作的材料类别和数量；</w:t>
      </w:r>
    </w:p>
    <w:p w14:paraId="39642DA2">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（4）投入该工作的施工设备型号、台数和耗用台时；</w:t>
      </w:r>
    </w:p>
    <w:p w14:paraId="259187CB">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（5）其他有关资料和凭证。</w:t>
      </w:r>
    </w:p>
    <w:p w14:paraId="61C600ED">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计日工由承包人汇总后，列入最近一期进度付款申请单，由监理人审查并经发包人批准后列入进度付款。</w:t>
      </w:r>
    </w:p>
    <w:p w14:paraId="5542B0FB">
      <w:pPr>
        <w:keepNext w:val="0"/>
        <w:keepLines w:val="0"/>
        <w:pageBreakBefore w:val="0"/>
        <w:widowControl w:val="0"/>
        <w:kinsoku/>
        <w:wordWrap/>
        <w:overflowPunct/>
        <w:topLinePunct w:val="0"/>
        <w:bidi w:val="0"/>
        <w:adjustRightInd w:val="0"/>
        <w:snapToGrid w:val="0"/>
        <w:spacing w:line="500" w:lineRule="exact"/>
        <w:ind w:left="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11. 价格调整</w:t>
      </w:r>
    </w:p>
    <w:p w14:paraId="23E24936">
      <w:pPr>
        <w:keepNext w:val="0"/>
        <w:keepLines w:val="0"/>
        <w:pageBreakBefore w:val="0"/>
        <w:widowControl w:val="0"/>
        <w:kinsoku/>
        <w:wordWrap/>
        <w:overflowPunct/>
        <w:topLinePunct w:val="0"/>
        <w:bidi w:val="0"/>
        <w:spacing w:before="0" w:beforeLines="0" w:after="0" w:afterLines="0" w:line="500" w:lineRule="exact"/>
        <w:ind w:left="0"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11.1市场价格波动引起的调整</w:t>
      </w:r>
    </w:p>
    <w:p w14:paraId="35B662DC">
      <w:pPr>
        <w:keepNext w:val="0"/>
        <w:keepLines w:val="0"/>
        <w:pageBreakBefore w:val="0"/>
        <w:widowControl w:val="0"/>
        <w:kinsoku/>
        <w:wordWrap/>
        <w:overflowPunct/>
        <w:topLinePunct w:val="0"/>
        <w:bidi w:val="0"/>
        <w:spacing w:line="500" w:lineRule="exact"/>
        <w:ind w:left="0"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除专用合同条款另有约定外，市场价格波动超过合同当事人约定的范围，合同价格应当调整。合同当事人可以在专用合同条款中约定选择以下一种方式对合同价格进行调整：</w:t>
      </w:r>
    </w:p>
    <w:p w14:paraId="1B5BFBED">
      <w:pPr>
        <w:keepNext w:val="0"/>
        <w:keepLines w:val="0"/>
        <w:pageBreakBefore w:val="0"/>
        <w:widowControl w:val="0"/>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第1种方式：采用价格指数进行价格调整。</w:t>
      </w:r>
    </w:p>
    <w:p w14:paraId="72224DF9">
      <w:pPr>
        <w:keepNext w:val="0"/>
        <w:keepLines w:val="0"/>
        <w:pageBreakBefore w:val="0"/>
        <w:widowControl w:val="0"/>
        <w:tabs>
          <w:tab w:val="left" w:pos="0"/>
          <w:tab w:val="left" w:pos="360"/>
          <w:tab w:val="left" w:pos="540"/>
        </w:tabs>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（1）价格调整公式</w:t>
      </w:r>
    </w:p>
    <w:p w14:paraId="0118A937">
      <w:pPr>
        <w:keepNext w:val="0"/>
        <w:keepLines w:val="0"/>
        <w:pageBreakBefore w:val="0"/>
        <w:widowControl w:val="0"/>
        <w:tabs>
          <w:tab w:val="left" w:pos="0"/>
          <w:tab w:val="left" w:pos="360"/>
          <w:tab w:val="left" w:pos="540"/>
        </w:tabs>
        <w:kinsoku/>
        <w:wordWrap/>
        <w:overflowPunct/>
        <w:topLinePunct w:val="0"/>
        <w:bidi w:val="0"/>
        <w:spacing w:line="500" w:lineRule="exact"/>
        <w:ind w:left="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因人工、材料和设备等价格波动影响合同价格时，根据专用合同条款中约定的数据，按以下公式计算差额并调整合同价格：</w:t>
      </w:r>
    </w:p>
    <w:p w14:paraId="4B6D18B6">
      <w:pPr>
        <w:keepNext w:val="0"/>
        <w:keepLines w:val="0"/>
        <w:pageBreakBefore w:val="0"/>
        <w:tabs>
          <w:tab w:val="left" w:pos="0"/>
          <w:tab w:val="left" w:pos="360"/>
          <w:tab w:val="left" w:pos="540"/>
        </w:tabs>
        <w:kinsoku/>
        <w:wordWrap/>
        <w:overflowPunct/>
        <w:topLinePunct w:val="0"/>
        <w:bidi w:val="0"/>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position w:val="-30"/>
          <w:sz w:val="28"/>
          <w:szCs w:val="28"/>
          <w:highlight w:val="none"/>
        </w:rPr>
        <w:object>
          <v:shape id="_x0000_i1025" o:spt="75" type="#_x0000_t75" style="height:43.45pt;width:360pt;" o:ole="t" filled="f" o:preferrelative="t" stroked="f" coordsize="21600,21600">
            <v:path/>
            <v:fill on="f" focussize="0,0"/>
            <v:stroke on="f"/>
            <v:imagedata r:id="rId13" o:title=""/>
            <o:lock v:ext="edit" grouping="f" rotation="f" text="f" aspectratio="t"/>
            <w10:wrap type="none"/>
            <w10:anchorlock/>
          </v:shape>
          <o:OLEObject Type="Embed" ProgID="Equation.3" ShapeID="_x0000_i1025" DrawAspect="Content" ObjectID="_1468075725" r:id="rId12">
            <o:LockedField>false</o:LockedField>
          </o:OLEObject>
        </w:object>
      </w:r>
    </w:p>
    <w:p w14:paraId="7C307346">
      <w:pPr>
        <w:keepNext w:val="0"/>
        <w:keepLines w:val="0"/>
        <w:pageBreakBefore w:val="0"/>
        <w:tabs>
          <w:tab w:val="left" w:pos="0"/>
          <w:tab w:val="left" w:pos="360"/>
          <w:tab w:val="left" w:pos="540"/>
        </w:tabs>
        <w:kinsoku/>
        <w:wordWrap/>
        <w:overflowPunct/>
        <w:topLinePunct w:val="0"/>
        <w:bidi w:val="0"/>
        <w:spacing w:line="500" w:lineRule="exact"/>
        <w:ind w:firstLine="64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公式中：ΔP——需调整的价格差额；</w:t>
      </w:r>
    </w:p>
    <w:p w14:paraId="506B76CA">
      <w:pPr>
        <w:keepNext w:val="0"/>
        <w:keepLines w:val="0"/>
        <w:pageBreakBefore w:val="0"/>
        <w:tabs>
          <w:tab w:val="left" w:pos="0"/>
          <w:tab w:val="left" w:pos="360"/>
          <w:tab w:val="left" w:pos="540"/>
        </w:tabs>
        <w:kinsoku/>
        <w:wordWrap/>
        <w:overflowPunct/>
        <w:topLinePunct w:val="0"/>
        <w:bidi w:val="0"/>
        <w:spacing w:line="500" w:lineRule="exact"/>
        <w:ind w:firstLine="1680" w:firstLineChars="6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position w:val="-6"/>
          <w:sz w:val="28"/>
          <w:szCs w:val="28"/>
          <w:highlight w:val="none"/>
        </w:rPr>
        <w:object>
          <v:shape id="_x0000_i1026" o:spt="75" type="#_x0000_t75" style="height:14.25pt;width:14.25pt;" o:ole="t" filled="f" o:preferrelative="t" stroked="f" coordsize="21600,21600">
            <v:path/>
            <v:fill on="f" focussize="0,0"/>
            <v:stroke on="f"/>
            <v:imagedata r:id="rId15" o:title=""/>
            <o:lock v:ext="edit" grouping="f" rotation="f" text="f" aspectratio="t"/>
            <w10:wrap type="none"/>
            <w10:anchorlock/>
          </v:shape>
          <o:OLEObject Type="Embed" ProgID="Equation.3" ShapeID="_x0000_i1026" DrawAspect="Content" ObjectID="_1468075726" r:id="rId14">
            <o:LockedField>false</o:LockedField>
          </o:OLEObject>
        </w:object>
      </w:r>
      <w:r>
        <w:rPr>
          <w:rFonts w:hint="eastAsia" w:ascii="仿宋" w:hAnsi="仿宋" w:eastAsia="仿宋" w:cs="仿宋"/>
          <w:color w:val="000000"/>
          <w:sz w:val="28"/>
          <w:szCs w:val="28"/>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107ABF73">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A——定值权重（即不调部分的权重）；</w:t>
      </w:r>
    </w:p>
    <w:p w14:paraId="16DB5F6F">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position w:val="-10"/>
          <w:sz w:val="28"/>
          <w:szCs w:val="28"/>
          <w:highlight w:val="none"/>
        </w:rPr>
        <w:object>
          <v:shape id="_x0000_i1027" o:spt="75" type="#_x0000_t75" style="height:21.75pt;width:100.6pt;" o:ole="t" filled="f" o:preferrelative="t" stroked="f" coordsize="21600,21600">
            <v:path/>
            <v:fill on="f" focussize="0,0"/>
            <v:stroke on="f"/>
            <v:imagedata r:id="rId17" o:title=""/>
            <o:lock v:ext="edit" grouping="f" rotation="f" text="f" aspectratio="t"/>
            <w10:wrap type="none"/>
            <w10:anchorlock/>
          </v:shape>
          <o:OLEObject Type="Embed" ProgID="Equation.3" ShapeID="_x0000_i1027" DrawAspect="Content" ObjectID="_1468075727" r:id="rId16">
            <o:LockedField>false</o:LockedField>
          </o:OLEObject>
        </w:object>
      </w:r>
      <w:r>
        <w:rPr>
          <w:rFonts w:hint="eastAsia" w:ascii="仿宋" w:hAnsi="仿宋" w:eastAsia="仿宋" w:cs="仿宋"/>
          <w:color w:val="000000"/>
          <w:sz w:val="28"/>
          <w:szCs w:val="28"/>
          <w:highlight w:val="none"/>
        </w:rPr>
        <w:t>——各可调因子的变值权重（即可调部分的权重），为各可调因子在签约合同价中所占的比例；</w:t>
      </w:r>
    </w:p>
    <w:p w14:paraId="2A5422D3">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position w:val="-10"/>
          <w:sz w:val="28"/>
          <w:szCs w:val="28"/>
          <w:highlight w:val="none"/>
        </w:rPr>
        <w:object>
          <v:shape id="_x0000_i1028" o:spt="75" type="#_x0000_t75" style="height:21.75pt;width:100.5pt;" o:ole="t" filled="f" o:preferrelative="t" stroked="f" coordsize="21600,21600">
            <v:path/>
            <v:fill on="f" focussize="0,0"/>
            <v:stroke on="f"/>
            <v:imagedata r:id="rId19" o:title=""/>
            <o:lock v:ext="edit" grouping="f" rotation="f" text="f" aspectratio="t"/>
            <w10:wrap type="none"/>
            <w10:anchorlock/>
          </v:shape>
          <o:OLEObject Type="Embed" ProgID="Equation.3" ShapeID="_x0000_i1028" DrawAspect="Content" ObjectID="_1468075728" r:id="rId18">
            <o:LockedField>false</o:LockedField>
          </o:OLEObject>
        </w:object>
      </w:r>
      <w:r>
        <w:rPr>
          <w:rFonts w:hint="eastAsia" w:ascii="仿宋" w:hAnsi="仿宋" w:eastAsia="仿宋" w:cs="仿宋"/>
          <w:color w:val="000000"/>
          <w:sz w:val="28"/>
          <w:szCs w:val="28"/>
          <w:highlight w:val="none"/>
        </w:rPr>
        <w:t>——各可调因子的现行价格指数，指约定的付款证书相关周期最后一天的前42天的各可调因子的价格指数；</w:t>
      </w:r>
    </w:p>
    <w:p w14:paraId="2761CADB">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position w:val="-10"/>
          <w:sz w:val="28"/>
          <w:szCs w:val="28"/>
          <w:highlight w:val="none"/>
        </w:rPr>
        <w:object>
          <v:shape id="_x0000_i1029" o:spt="75" type="#_x0000_t75" style="height:21.75pt;width:108pt;" o:ole="t" filled="f" o:preferrelative="t" stroked="f" coordsize="21600,21600">
            <v:path/>
            <v:fill on="f" focussize="0,0"/>
            <v:stroke on="f"/>
            <v:imagedata r:id="rId21" o:title=""/>
            <o:lock v:ext="edit" grouping="f" rotation="f" text="f" aspectratio="t"/>
            <w10:wrap type="none"/>
            <w10:anchorlock/>
          </v:shape>
          <o:OLEObject Type="Embed" ProgID="Equation.3" ShapeID="_x0000_i1029" DrawAspect="Content" ObjectID="_1468075729" r:id="rId20">
            <o:LockedField>false</o:LockedField>
          </o:OLEObject>
        </w:object>
      </w:r>
      <w:r>
        <w:rPr>
          <w:rFonts w:hint="eastAsia" w:ascii="仿宋" w:hAnsi="仿宋" w:eastAsia="仿宋" w:cs="仿宋"/>
          <w:color w:val="000000"/>
          <w:sz w:val="28"/>
          <w:szCs w:val="28"/>
          <w:highlight w:val="none"/>
        </w:rPr>
        <w:t>——各可调因子的基本价格指数，指基准日期的各可调因子的价格指数。</w:t>
      </w:r>
    </w:p>
    <w:p w14:paraId="28B3E1B4">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以上价格调整公式中的各可调因子、定值和变值权重，以及基本价格指数及其来源在价格指数和权重表中约定，非招标订立的合同，由合同当事人在专用合同条款中约定。价格指数应首先采用工程造价管理机构发布的价格指数，无前述价格指数时，可采用工程造价管理机构发布的价格代替。</w:t>
      </w:r>
    </w:p>
    <w:p w14:paraId="1EFB7F99">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（2）暂时确定调整差额</w:t>
      </w:r>
    </w:p>
    <w:p w14:paraId="58E45118">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在计算调整差额时无现行价格指数的，合同当事人同意暂用前次价格指数计算。实际价格指数有调整的，合同当事人进行相应调整。</w:t>
      </w:r>
    </w:p>
    <w:p w14:paraId="07EAAF66">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（3）权重的调整</w:t>
      </w:r>
    </w:p>
    <w:p w14:paraId="5AF0DEAC">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因变更导致合同约定的权重不合理时，按照第4.4款〔商定或确定〕执行。</w:t>
      </w:r>
    </w:p>
    <w:p w14:paraId="7E31BC88">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（4）因承包人原因工期延误后的价格调整</w:t>
      </w:r>
    </w:p>
    <w:p w14:paraId="0B240BE9">
      <w:pPr>
        <w:keepNext w:val="0"/>
        <w:keepLines w:val="0"/>
        <w:pageBreakBefore w:val="0"/>
        <w:widowControl w:val="0"/>
        <w:tabs>
          <w:tab w:val="left" w:pos="0"/>
          <w:tab w:val="left" w:pos="360"/>
          <w:tab w:val="left" w:pos="540"/>
        </w:tabs>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11C89D01">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第2种方式：采用造价信息进行价格调整。</w:t>
      </w:r>
    </w:p>
    <w:p w14:paraId="2F9EE3AE">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72620A54">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40B5DD4">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（2）材料、工程设备价格变化的价款调整按照发包人提供的基准价格，按以下风险范围规定执行:</w:t>
      </w:r>
    </w:p>
    <w:p w14:paraId="209C44FD">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89ECE3B">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B2ECECA">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③承包人在已标价工程量清单或预算书中载明材料单价等于基准价格的：除专用合同条款另有约定外，合同履行期间材料单价涨跌幅以基准价格为基础超过±5%时，其超过部分据实调整。</w:t>
      </w:r>
    </w:p>
    <w:p w14:paraId="5D719B3B">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F3AC17B">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前述基准价格是指由发包人在</w:t>
      </w:r>
      <w:r>
        <w:rPr>
          <w:rFonts w:hint="eastAsia" w:ascii="仿宋" w:hAnsi="仿宋" w:eastAsia="仿宋" w:cs="仿宋"/>
          <w:color w:val="000000"/>
          <w:sz w:val="28"/>
          <w:szCs w:val="28"/>
          <w:highlight w:val="none"/>
          <w:lang w:eastAsia="zh-CN"/>
        </w:rPr>
        <w:t>竞争性磋商文件</w:t>
      </w:r>
      <w:r>
        <w:rPr>
          <w:rFonts w:hint="eastAsia" w:ascii="仿宋" w:hAnsi="仿宋" w:eastAsia="仿宋" w:cs="仿宋"/>
          <w:color w:val="000000"/>
          <w:sz w:val="28"/>
          <w:szCs w:val="28"/>
          <w:highlight w:val="none"/>
        </w:rPr>
        <w:t>或专用合同条款中给定的材料、工程设备的价格，该价格原则上应当按照省级或行业建设主管部门或其授权的工程造价管理机构发布的信息价编制。</w:t>
      </w:r>
    </w:p>
    <w:p w14:paraId="3F97A4BF">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（3）施工机械台班单价或施工机械使用费发生变化超过省级或行业建设主管部门或其授权的工程造价管理机构规定的范围时，按规定调整合同价格。</w:t>
      </w:r>
    </w:p>
    <w:p w14:paraId="11B0D8F0">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第3种方式：专用合同条款约定的其他方式。</w:t>
      </w:r>
    </w:p>
    <w:p w14:paraId="192488D5">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11.2法律变化引起的调整</w:t>
      </w:r>
    </w:p>
    <w:p w14:paraId="7340B86B">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6F60CBD8">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因法律变化引起的合同价格和工期调整，合同当事人无法达成一致的，由总监理工程师按第4.4款〔商定或确定〕的约定处理。</w:t>
      </w:r>
    </w:p>
    <w:p w14:paraId="31C7509A">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因承包人原因造成工期延误，在工期延误期间出现法律变化的，由此增加的费用和（或）延误的工期由承包人承担。</w:t>
      </w:r>
    </w:p>
    <w:p w14:paraId="6F1C2A2B">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12. 合同价格、计量与支付</w:t>
      </w:r>
    </w:p>
    <w:p w14:paraId="35AE9B4A">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12.1 合同价格形式</w:t>
      </w:r>
    </w:p>
    <w:p w14:paraId="1060FBC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发包人和承包人应在合同协议书中选择下列一种合同价格形式： </w:t>
      </w:r>
    </w:p>
    <w:p w14:paraId="6F60558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1.单价合同</w:t>
      </w:r>
    </w:p>
    <w:p w14:paraId="51C6271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单价合同是指合同当事人约定以工程量清单及其综合单价进行合同价格计算、调整和确认的建设工程施工合同，</w:t>
      </w:r>
      <w:r>
        <w:rPr>
          <w:rFonts w:hint="eastAsia" w:ascii="仿宋" w:hAnsi="仿宋" w:eastAsia="仿宋" w:cs="仿宋"/>
          <w:color w:val="000000"/>
          <w:sz w:val="28"/>
          <w:szCs w:val="28"/>
          <w:highlight w:val="none"/>
        </w:rPr>
        <w:t>在约定的范围内合同单价不作调整</w:t>
      </w:r>
      <w:r>
        <w:rPr>
          <w:rFonts w:hint="eastAsia" w:ascii="仿宋" w:hAnsi="仿宋" w:eastAsia="仿宋" w:cs="仿宋"/>
          <w:color w:val="000000"/>
          <w:kern w:val="0"/>
          <w:sz w:val="28"/>
          <w:szCs w:val="28"/>
          <w:highlight w:val="none"/>
        </w:rPr>
        <w:t>。合同当事人应在专用合同条款中约定综合单价包含的风险范围和风险费用的计算方法</w:t>
      </w:r>
      <w:r>
        <w:rPr>
          <w:rFonts w:hint="eastAsia" w:ascii="仿宋" w:hAnsi="仿宋" w:eastAsia="仿宋" w:cs="仿宋"/>
          <w:color w:val="000000"/>
          <w:sz w:val="28"/>
          <w:szCs w:val="28"/>
          <w:highlight w:val="none"/>
        </w:rPr>
        <w:t>，</w:t>
      </w:r>
      <w:r>
        <w:rPr>
          <w:rFonts w:hint="eastAsia" w:ascii="仿宋" w:hAnsi="仿宋" w:eastAsia="仿宋" w:cs="仿宋"/>
          <w:color w:val="000000"/>
          <w:kern w:val="0"/>
          <w:sz w:val="28"/>
          <w:szCs w:val="28"/>
          <w:highlight w:val="none"/>
        </w:rPr>
        <w:t>并约定风险范围以外的合同价格的调整方法，其中因市场价格波动引起的调整按第11.1款〔市场价格波动引起的调整〕约定执行。</w:t>
      </w:r>
    </w:p>
    <w:p w14:paraId="1681050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2.总价合同</w:t>
      </w:r>
    </w:p>
    <w:p w14:paraId="772B4E3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总价合同是指合同当事人约定以施工图、已标价工程量清单或预算书及有关条件进行合同价格计算、调整和确认的建设工程施工合同，</w:t>
      </w:r>
      <w:r>
        <w:rPr>
          <w:rFonts w:hint="eastAsia" w:ascii="仿宋" w:hAnsi="仿宋" w:eastAsia="仿宋" w:cs="仿宋"/>
          <w:color w:val="000000"/>
          <w:sz w:val="28"/>
          <w:szCs w:val="28"/>
          <w:highlight w:val="none"/>
        </w:rPr>
        <w:t>在约定的范围内合同总价不作调整</w:t>
      </w:r>
      <w:r>
        <w:rPr>
          <w:rFonts w:hint="eastAsia" w:ascii="仿宋" w:hAnsi="仿宋" w:eastAsia="仿宋" w:cs="仿宋"/>
          <w:color w:val="000000"/>
          <w:kern w:val="0"/>
          <w:sz w:val="28"/>
          <w:szCs w:val="28"/>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301D38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3.其它价格形式</w:t>
      </w:r>
    </w:p>
    <w:p w14:paraId="0B59694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合同当事人可在专用合同条款中约定其他合同价格形式。</w:t>
      </w:r>
    </w:p>
    <w:p w14:paraId="5B464BDC">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12.2预付款</w:t>
      </w:r>
    </w:p>
    <w:p w14:paraId="7A58BC4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12.2.</w:t>
      </w:r>
      <w:r>
        <w:rPr>
          <w:rFonts w:hint="eastAsia" w:ascii="仿宋" w:hAnsi="仿宋" w:eastAsia="仿宋" w:cs="仿宋"/>
          <w:color w:val="000000"/>
          <w:kern w:val="0"/>
          <w:sz w:val="28"/>
          <w:szCs w:val="28"/>
          <w:highlight w:val="none"/>
        </w:rPr>
        <w:t>1预付款的支付</w:t>
      </w:r>
    </w:p>
    <w:p w14:paraId="757A89E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预付款的支付按照专用合同条款约定执行，但至迟应在开工通知载明的开工日期7天前支付。预付款应当用于材料、工程设备、施工设备的采购及修建临时工程、组织施工队伍进场等。</w:t>
      </w:r>
    </w:p>
    <w:p w14:paraId="31F1E61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除专用合同条款另有约定外，预付款在进度付款中同比例扣回。在颁发工程接收证书前，提前解除合同的，尚未扣完的预付款应与合同价款一并结算。</w:t>
      </w:r>
    </w:p>
    <w:p w14:paraId="6DCAEC8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发包人逾期支付预付款超过7天的，承包人有权向发包人发出要求预付的催告通知，发包人收到通知后7天内仍未支付的，承包人有权暂停施工，并按第16.1.1项〔发包人违约的情形〕执行。</w:t>
      </w:r>
    </w:p>
    <w:p w14:paraId="6811D0E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12.2.2 预付款担保</w:t>
      </w:r>
    </w:p>
    <w:p w14:paraId="7584214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4BC72C5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发包人在工程款中逐期扣回预付款后，预付款担保额度应相应减少，但剩余的预付款担保金额不得低于未被扣回的预付款金额。</w:t>
      </w:r>
    </w:p>
    <w:p w14:paraId="73922F83">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12.3计量</w:t>
      </w:r>
    </w:p>
    <w:p w14:paraId="29A3D29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12.3.1 计量原则</w:t>
      </w:r>
    </w:p>
    <w:p w14:paraId="1A612E8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工程量计量按照合同约定的工程量计算规则、图纸及变更指示等进行计量。工程量计算规则应以相关的国家标准、行业标准等为依据，由合同当事人在专用合同条款中约定。</w:t>
      </w:r>
    </w:p>
    <w:p w14:paraId="2F3A9A2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12.3.2 计量周期</w:t>
      </w:r>
    </w:p>
    <w:p w14:paraId="426EB29E">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除专用合同条款另有约定外，工程量的计量按月进行。</w:t>
      </w:r>
    </w:p>
    <w:p w14:paraId="4BCBE70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12.3.3 单价合同的计量</w:t>
      </w:r>
    </w:p>
    <w:p w14:paraId="22C2D3B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除专用合同条款另有约定外，单价合同的计量按照本项约定执行：</w:t>
      </w:r>
    </w:p>
    <w:p w14:paraId="2724FF1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（1）承包人应于每月25日向监理人报送上月20日至当月19日已完成的工程量报告，并附具进度付款申请单、已完成工程量报表和有关资料。</w:t>
      </w:r>
    </w:p>
    <w:p w14:paraId="558DAA9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FE426C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（3）监理人未在收到承包人提交的工程量报表后的7天内完成审核的，承包人报送的工程量报告中的工程量视为承包人实际完成的工程量，据此计算工程价款。</w:t>
      </w:r>
    </w:p>
    <w:p w14:paraId="048E725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12.3.4 总价合同的计量</w:t>
      </w:r>
    </w:p>
    <w:p w14:paraId="7F0303A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除专用合同条款另有约定外，按月计量支付的总价合同，按照本项约定执行：</w:t>
      </w:r>
    </w:p>
    <w:p w14:paraId="4984214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（1）承包人应于每月25日向监理人报送上月20日至当月19日已完成的工程量报告，并附具进度付款申请单、已完成工程量报表和有关资料。</w:t>
      </w:r>
    </w:p>
    <w:p w14:paraId="76CE22E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FCC8F9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（3）监理人未在收到承包人提交的工程量报表后的7天内完成复核的，承包人提交的工程量报告中的工程量视为承包人实际完成的工程量。</w:t>
      </w:r>
    </w:p>
    <w:p w14:paraId="2A647F0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12.3.5 总价合同采用支付分解表计量支付的，可以按照第12.3.4项〔总价合同的计量〕约定进行计量，但合同价款按照支付分解表进行支付。</w:t>
      </w:r>
    </w:p>
    <w:p w14:paraId="4140E2E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12.3.6 其他价格形式合同的计量</w:t>
      </w:r>
    </w:p>
    <w:p w14:paraId="0985A22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合同当事人可在专用合同条款中约定其他价格形式合同的计量方式和程序。</w:t>
      </w:r>
    </w:p>
    <w:p w14:paraId="2F50244C">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12.4工程进度款支付</w:t>
      </w:r>
    </w:p>
    <w:p w14:paraId="788F966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12.4.1 付款周期</w:t>
      </w:r>
    </w:p>
    <w:p w14:paraId="41A5446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除专用合同条款另有约定外，付款周期应按照第12.3.2项〔计量周期〕的约定与计量周期保持一致。</w:t>
      </w:r>
    </w:p>
    <w:p w14:paraId="10920F7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12.4</w:t>
      </w:r>
      <w:r>
        <w:rPr>
          <w:rFonts w:hint="eastAsia" w:ascii="仿宋" w:hAnsi="仿宋" w:eastAsia="仿宋" w:cs="仿宋"/>
          <w:color w:val="000000"/>
          <w:kern w:val="0"/>
          <w:sz w:val="28"/>
          <w:szCs w:val="28"/>
          <w:highlight w:val="none"/>
        </w:rPr>
        <w:t>.2 进度付款申请单的编制</w:t>
      </w:r>
    </w:p>
    <w:p w14:paraId="15E16E9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除专用合同条款另有约定外，进度付款申请单应包括下列内容：</w:t>
      </w:r>
    </w:p>
    <w:p w14:paraId="3B1B336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（1）截至本次付款周期已完成工作对应的金额；</w:t>
      </w:r>
    </w:p>
    <w:p w14:paraId="59B40C8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（2）根据第10条〔变更〕应增加和扣减的变更金额；</w:t>
      </w:r>
    </w:p>
    <w:p w14:paraId="28768CC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（3）根据第12.2款〔预付款〕约定应支付的预付款和扣减的返还预付款；</w:t>
      </w:r>
    </w:p>
    <w:p w14:paraId="5C9BF51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（4）根据第15.3款〔质量保证金〕约定应扣减的质量保证金；</w:t>
      </w:r>
    </w:p>
    <w:p w14:paraId="0FED1A7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（5）根据第19条〔索赔〕应增加和扣减的索赔金额；</w:t>
      </w:r>
    </w:p>
    <w:p w14:paraId="41E1CA4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（6）对已签发的进度款支付证书中出现错误的修正，应在本次进度付款中支付或扣除的金额；</w:t>
      </w:r>
    </w:p>
    <w:p w14:paraId="4641D62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（7）根据合同约定应增加和扣减的其他金额。</w:t>
      </w:r>
    </w:p>
    <w:p w14:paraId="5884E09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12.4.3 进度付款申请单的提交</w:t>
      </w:r>
    </w:p>
    <w:p w14:paraId="27FA7C6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（1）单价合同进度付款申请单的提交</w:t>
      </w:r>
    </w:p>
    <w:p w14:paraId="1E0B9F2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0B9ED6A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（2）总价合同进度付款申请单的提交</w:t>
      </w:r>
    </w:p>
    <w:p w14:paraId="7CB898C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总价合同按月计量支付的，承包人按照第12.3.4项〔总价合同的计量〕约定的时间按月向监理人提交进度付款申请单，并附上已完成工程量报表和有关资料。</w:t>
      </w:r>
    </w:p>
    <w:p w14:paraId="180B386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总价合同按支付分解表支付的，承包人应按照第12.4.6项〔支付分解表〕及第12.4.2项〔进度付款申请单的编制〕的约定向监理人提交进度付款申请单。</w:t>
      </w:r>
    </w:p>
    <w:p w14:paraId="1324779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（3）其他价格形式合同的进度付款申请单的提交</w:t>
      </w:r>
    </w:p>
    <w:p w14:paraId="04DB75D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合同当事人可在专用合同条款中约定其他价格形式合同的进度付款申请单的编制和提交程序。</w:t>
      </w:r>
    </w:p>
    <w:p w14:paraId="3B3D176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12.4</w:t>
      </w:r>
      <w:r>
        <w:rPr>
          <w:rFonts w:hint="eastAsia" w:ascii="仿宋" w:hAnsi="仿宋" w:eastAsia="仿宋" w:cs="仿宋"/>
          <w:color w:val="000000"/>
          <w:kern w:val="0"/>
          <w:sz w:val="28"/>
          <w:szCs w:val="28"/>
          <w:highlight w:val="none"/>
        </w:rPr>
        <w:t>.4 进度款审核和支付</w:t>
      </w:r>
    </w:p>
    <w:p w14:paraId="7F7C877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57A2DA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521299D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3C6833C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（3）发包人签发进度款支付证书或临时进度款支付证书，不表明发包人已同意、批准或接受了承包人完成的相应部分的工作。</w:t>
      </w:r>
    </w:p>
    <w:p w14:paraId="49F4B81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12.4.5 进度付款的修正</w:t>
      </w:r>
    </w:p>
    <w:p w14:paraId="141D694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在对已签发的进度款支付证书进行阶段汇总和复核中发现错误、遗漏或重复的，发包人和承包人均有权提出修正申请。经发包人和承包人同意的修正，应在下期进度付款中支付或扣除。</w:t>
      </w:r>
    </w:p>
    <w:p w14:paraId="0FB8A13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12.4.6 支付分解表</w:t>
      </w:r>
    </w:p>
    <w:p w14:paraId="6EEBF50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1.支付分解表的编制要求</w:t>
      </w:r>
    </w:p>
    <w:p w14:paraId="3DBEE92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（1）支付分解表中所列的每期付款金额，应为第12.4.2项〔进度付款申请单的编制〕第（1）目的估算金额；</w:t>
      </w:r>
    </w:p>
    <w:p w14:paraId="6FC0CCA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（2）实际进度与施工进度计划不一致的，合同当事人可按照第4.4款〔商定或确定〕修改支付分解表；</w:t>
      </w:r>
    </w:p>
    <w:p w14:paraId="22DC5E6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（3）不采用支付分解表的，承包人应向发包人和监理人提交按季度编制的支付估算分解表，用于支付参考。</w:t>
      </w:r>
    </w:p>
    <w:p w14:paraId="676A8A2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2.总价合同支付分解表的编制与审批</w:t>
      </w:r>
    </w:p>
    <w:p w14:paraId="51BEE55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77A651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（2）监理人应在收到支付分解表后7天内完成审核并报送发包人。发包人应在收到经监理人审核的支付分解表后7天内完成审批，经发包人批准的支付分解表为有约束力的支付分解表。</w:t>
      </w:r>
    </w:p>
    <w:p w14:paraId="7CE2BE4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（3）发包人逾期未完成支付分解表审批的，也未及时要求承包人进行修正和提供补充资料的，则承包人提交的支付分解表视为已经获得发包人批准。</w:t>
      </w:r>
    </w:p>
    <w:p w14:paraId="1CE97F8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3.单价合同的总价项目支付分解表的编制与审批</w:t>
      </w:r>
    </w:p>
    <w:p w14:paraId="6852A98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1AD2BC58">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12.5支付账户</w:t>
      </w:r>
    </w:p>
    <w:p w14:paraId="1015F60E">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发包人应将合同价款支付至合同协议书中约定的承包人账户。</w:t>
      </w:r>
    </w:p>
    <w:p w14:paraId="13E4A689">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13. 验收和工程试车</w:t>
      </w:r>
    </w:p>
    <w:p w14:paraId="259513CE">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13.1分部分项工程验收</w:t>
      </w:r>
    </w:p>
    <w:p w14:paraId="484F4DEF">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13.1.1 分部分项工程质量应符合国家有关工程施工验收规范、标准及合同约定，承包人应按照施工组织设计的要求完成分部分项工程施工。</w:t>
      </w:r>
    </w:p>
    <w:p w14:paraId="0D323D1A">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13.1.2 除专用合同条款另有约定外，分部分项工程经承包人自检合格并具备验收条件的，承包人应提前48小时通知监理人进行验收。</w:t>
      </w:r>
      <w:r>
        <w:rPr>
          <w:rFonts w:hint="eastAsia" w:ascii="仿宋" w:hAnsi="仿宋" w:eastAsia="仿宋" w:cs="仿宋"/>
          <w:color w:val="000000"/>
          <w:kern w:val="0"/>
          <w:sz w:val="28"/>
          <w:szCs w:val="28"/>
          <w:highlight w:val="none"/>
        </w:rPr>
        <w:t>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67D9EF4E">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分部分项工程的验收资料应当作为竣工资料的组成部分。</w:t>
      </w:r>
    </w:p>
    <w:p w14:paraId="3F67C6C2">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13.2竣工验收</w:t>
      </w:r>
    </w:p>
    <w:p w14:paraId="3C566B3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13.2.1竣工验收条件</w:t>
      </w:r>
    </w:p>
    <w:p w14:paraId="141A1D8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工程具备以下条件的，承包人可以申请竣工验收：</w:t>
      </w:r>
    </w:p>
    <w:p w14:paraId="20E96A8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（1）除发包人同意的甩项工作和缺陷修补工作外，合同范围内的全部工程以及有关工作，包括合同要求的试验、试运行以及检验均已完成，并符合合同要求；</w:t>
      </w:r>
    </w:p>
    <w:p w14:paraId="7899AD6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（2）已按合同约定编制了甩项工作和缺陷修补工作清单以及相应的施工计划；</w:t>
      </w:r>
    </w:p>
    <w:p w14:paraId="4D012F3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（3）已按合同约定的内容和份数备齐竣工资料。</w:t>
      </w:r>
    </w:p>
    <w:p w14:paraId="65F250B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13.2.2竣工验收程序</w:t>
      </w:r>
    </w:p>
    <w:p w14:paraId="617E371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除专用合同条款另有约定外，承包人申请竣工验收的，应当按照以下程序进行：</w:t>
      </w:r>
    </w:p>
    <w:p w14:paraId="1374436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A76908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0A4C442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（3）竣工验收合格的，发包人应在验收合格后14天内向承包人签发工程接收证书。发包人无正当理由逾期不颁发工程接收证书的，自验收合格后第15天起视为已颁发工程接收证书。</w:t>
      </w:r>
    </w:p>
    <w:p w14:paraId="10E4253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C254A4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7092FFB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4B3A73E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13.2.3竣工日期</w:t>
      </w:r>
    </w:p>
    <w:p w14:paraId="1BF7DEE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0758801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13.2.4 拒绝接收全部或部分工程</w:t>
      </w:r>
    </w:p>
    <w:p w14:paraId="7EADFF2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8464AE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13.2.5 移交、接收全部与部分工程</w:t>
      </w:r>
    </w:p>
    <w:p w14:paraId="6E98318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除专用合同条款另有约定外，合同当事人应当在颁发工程接收证书后7天内完成工程的移交。</w:t>
      </w:r>
    </w:p>
    <w:p w14:paraId="5B1BBB4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1BEF8BA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1C4FD070">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13.3工程试车</w:t>
      </w:r>
    </w:p>
    <w:p w14:paraId="5CEB377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13.3.1试车程序</w:t>
      </w:r>
    </w:p>
    <w:p w14:paraId="1395B17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工程需要试车的，除专用合同条款另有约定外，试车内容应与承包人承包范围相一致，试车费用由承包人承担。工程试车应按如下程序进行：</w:t>
      </w:r>
    </w:p>
    <w:p w14:paraId="53FCB82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B67824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237CE05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DD31B5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13.3.2 试车中的责任</w:t>
      </w:r>
    </w:p>
    <w:p w14:paraId="5410EC6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6D8D7D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735ACA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13.3.3 投料试车</w:t>
      </w:r>
    </w:p>
    <w:p w14:paraId="7658597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如需进行投料试车的，发包人应在工程竣工验收后组织投料试车。发包人要求在工程竣工验收前进行或需要承包人配合时，应征得承包人同意，并在专用合同条款中约定有关事项。</w:t>
      </w:r>
    </w:p>
    <w:p w14:paraId="1393439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1660CA28">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13.4提前交付单位工程的验收</w:t>
      </w:r>
    </w:p>
    <w:p w14:paraId="2DBBE32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13.4.1 发包人需要在工程竣工前使用单位工程的，或承包人提出提前交付已经竣工的单位工程且经发包人同意的，可进行单位工程验收，验收的程序按照第13.2款〔竣工验收〕的约定进行。</w:t>
      </w:r>
    </w:p>
    <w:p w14:paraId="46823A7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43CD4D1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13.4.2 发包人要求在工程竣工前交付单位工程，由此导致承包人费用增加和（或）工期延误的，由发包人承担由此增加的费用和（或）延误的工期，并支付承包人合理的利润。</w:t>
      </w:r>
    </w:p>
    <w:p w14:paraId="3211E823">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13.5 施工期运行</w:t>
      </w:r>
    </w:p>
    <w:p w14:paraId="01F082D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3FADE5D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13.5.2 在施工期运行中发现工程或工程设备损坏或存在缺陷的，由承包人按第15.2款〔缺陷责任期〕约定进行修复。</w:t>
      </w:r>
    </w:p>
    <w:p w14:paraId="45201D1E">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13.6 竣工退场</w:t>
      </w:r>
    </w:p>
    <w:p w14:paraId="6ABE7AE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13.6.1 竣工退场</w:t>
      </w:r>
    </w:p>
    <w:p w14:paraId="7915AC2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颁发工程接收证书后，承包人应按以下要求对施工现场进行清理：</w:t>
      </w:r>
    </w:p>
    <w:p w14:paraId="76A667C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（1）施工现场内残留的垃圾已全部清除出场；</w:t>
      </w:r>
    </w:p>
    <w:p w14:paraId="61C251E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（2）临时工程已拆除，场地已进行清理、平整或复原；</w:t>
      </w:r>
    </w:p>
    <w:p w14:paraId="661B3DD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（3）按合同约定应撤离的人员、承包人施工设备和剩余的材料，包括废弃的施工设备和材料，已按计划撤离施工现场；</w:t>
      </w:r>
    </w:p>
    <w:p w14:paraId="681FDA0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（4）施工现场周边及其附近道路、河道的施工堆积物，已全部清理；</w:t>
      </w:r>
    </w:p>
    <w:p w14:paraId="20AE52B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（5）施工现场其他场地清理工作已全部完成。</w:t>
      </w:r>
    </w:p>
    <w:p w14:paraId="5F451AB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3F5EF4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13.6.2 地表还原</w:t>
      </w:r>
    </w:p>
    <w:p w14:paraId="305A75A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38B72CD2">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14. 竣工结算</w:t>
      </w:r>
    </w:p>
    <w:p w14:paraId="42D5964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14.1 竣工结算申请</w:t>
      </w:r>
    </w:p>
    <w:p w14:paraId="39207B5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除专用合同条款另有约定外，承包人应在工程竣工验收合格后</w:t>
      </w:r>
      <w:r>
        <w:rPr>
          <w:rFonts w:hint="eastAsia" w:ascii="仿宋" w:hAnsi="仿宋" w:eastAsia="仿宋" w:cs="仿宋"/>
          <w:color w:val="000000"/>
          <w:sz w:val="28"/>
          <w:szCs w:val="28"/>
          <w:highlight w:val="none"/>
        </w:rPr>
        <w:t>28天内向发包人和监理人提交竣工结算申请单，并提交完整的结算资料，有关竣工结算申请单的资料清单和份数等要求由合同当事人在专用合同条款中约定。</w:t>
      </w:r>
    </w:p>
    <w:p w14:paraId="42D66A1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除专用合同条款另有约定外，竣工结算申请单应包括以下内容：</w:t>
      </w:r>
    </w:p>
    <w:p w14:paraId="4813468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（1）竣工结算合同价格；</w:t>
      </w:r>
    </w:p>
    <w:p w14:paraId="13D0B9D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（2）发包人已支付承包人的款项；</w:t>
      </w:r>
    </w:p>
    <w:p w14:paraId="5D6B5FD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（3）应扣留的质量保证金。已缴纳履约保证金的或提供其他工程质量担保方式的除外； </w:t>
      </w:r>
    </w:p>
    <w:p w14:paraId="6266874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（4）发包人应支付承包人的合同价款。</w:t>
      </w:r>
    </w:p>
    <w:p w14:paraId="205789AB">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14.2 竣工结算审核</w:t>
      </w:r>
    </w:p>
    <w:p w14:paraId="6751488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3DC75C4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6355FF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1793922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30037AEB">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14.3 甩项竣工协议</w:t>
      </w:r>
    </w:p>
    <w:p w14:paraId="5505B8B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4D59F44C">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14.4 最终结清</w:t>
      </w:r>
    </w:p>
    <w:p w14:paraId="50F678A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14.4.1 最终结清申请单</w:t>
      </w:r>
    </w:p>
    <w:p w14:paraId="1053D96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（1）除专用合同条款另有约定外，承包人应在缺陷责任期终止证书颁发后7天内，按专用合同条款约定的份数向发包人提交最终结清申请单，并提供相关证明材料。</w:t>
      </w:r>
    </w:p>
    <w:p w14:paraId="498B82F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w:t>
      </w:r>
      <w:r>
        <w:rPr>
          <w:rFonts w:hint="eastAsia" w:ascii="仿宋" w:hAnsi="仿宋" w:eastAsia="仿宋" w:cs="仿宋"/>
          <w:color w:val="000000"/>
          <w:kern w:val="0"/>
          <w:sz w:val="28"/>
          <w:szCs w:val="28"/>
          <w:highlight w:val="none"/>
        </w:rPr>
        <w:t>最终结清申请单应列明质量保证金、应扣除的质量保证金、缺陷责任期内发生的增减费用。</w:t>
      </w:r>
    </w:p>
    <w:p w14:paraId="4FC5D09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（2）发包人对最终结清申请单内容有异议的，有权要求承包人进行修正和提供补充资料，承包人应向发包人提交修正后的最终结清申请单。</w:t>
      </w:r>
    </w:p>
    <w:p w14:paraId="7AF1285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14.4.2 最终结清证书和支付</w:t>
      </w:r>
    </w:p>
    <w:p w14:paraId="3C15EBC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595DF2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5DD77C8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（3）承包人对发包人颁发的最终结清证书有异议的，按第20条〔争议解决〕的约定办理。</w:t>
      </w:r>
    </w:p>
    <w:p w14:paraId="33178C99">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15. 缺陷责任与保修</w:t>
      </w:r>
    </w:p>
    <w:p w14:paraId="3DC44D3B">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15.1 工程保修的原则</w:t>
      </w:r>
    </w:p>
    <w:p w14:paraId="5C0B875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在工程移交发包人后，因承包人原因产生的质量缺陷，承包人应承担质量缺陷责任和保修义务。缺陷责任期届满，承包人仍应按合同约定的工程各部位保修年限承担保修义务。</w:t>
      </w:r>
    </w:p>
    <w:p w14:paraId="1954F5C1">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15.2 缺陷责任期</w:t>
      </w:r>
    </w:p>
    <w:p w14:paraId="00F4207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15.2.1 缺陷责任期从工程通过竣工验收之日起计算，合同当事人应在专用合同条款约定缺陷责任期的具体期限，但该期限最长不超过24个月。</w:t>
      </w:r>
    </w:p>
    <w:p w14:paraId="58C35D1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58FD9F4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仿宋" w:hAnsi="仿宋" w:eastAsia="仿宋" w:cs="仿宋"/>
          <w:bCs/>
          <w:color w:val="000000"/>
          <w:kern w:val="0"/>
          <w:sz w:val="28"/>
          <w:szCs w:val="28"/>
          <w:highlight w:val="none"/>
        </w:rPr>
        <w:t>包人延长缺陷责任期，</w:t>
      </w:r>
      <w:r>
        <w:rPr>
          <w:rFonts w:hint="eastAsia" w:ascii="仿宋" w:hAnsi="仿宋" w:eastAsia="仿宋" w:cs="仿宋"/>
          <w:color w:val="000000"/>
          <w:kern w:val="0"/>
          <w:sz w:val="28"/>
          <w:szCs w:val="28"/>
          <w:highlight w:val="none"/>
        </w:rPr>
        <w:t>并应在原缺陷责任期届满前发出延长通知。</w:t>
      </w:r>
      <w:r>
        <w:rPr>
          <w:rFonts w:hint="eastAsia" w:ascii="仿宋" w:hAnsi="仿宋" w:eastAsia="仿宋" w:cs="仿宋"/>
          <w:bCs/>
          <w:color w:val="000000"/>
          <w:kern w:val="0"/>
          <w:sz w:val="28"/>
          <w:szCs w:val="28"/>
          <w:highlight w:val="none"/>
        </w:rPr>
        <w:t>但缺陷责任期（含延长部分）最长</w:t>
      </w:r>
      <w:r>
        <w:rPr>
          <w:rFonts w:hint="eastAsia" w:ascii="仿宋" w:hAnsi="仿宋" w:eastAsia="仿宋" w:cs="仿宋"/>
          <w:color w:val="000000"/>
          <w:kern w:val="0"/>
          <w:sz w:val="28"/>
          <w:szCs w:val="28"/>
          <w:highlight w:val="none"/>
        </w:rPr>
        <w:t>不能超过24个月。</w:t>
      </w:r>
    </w:p>
    <w:p w14:paraId="632625E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由他人原因造成的缺陷，发包人负责组织维修，承包人不承担费用，且发包人不得从保证金中扣除费用。</w:t>
      </w:r>
    </w:p>
    <w:p w14:paraId="7BECF69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15.2.3 任何一项缺陷或损坏修复后，经检查证明其影响了工程或工程设备的使用性能，承包人应重新进行合同约定的试验和试运行，试验和试运行的全部费用应由责任方承担。</w:t>
      </w:r>
    </w:p>
    <w:p w14:paraId="5DBAF8E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0A6225E1">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15.3 质量保证金</w:t>
      </w:r>
    </w:p>
    <w:p w14:paraId="2DE3525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经合同当事人协商一致扣留质量保证金的，应在专用合同条款中予以明确。</w:t>
      </w:r>
    </w:p>
    <w:p w14:paraId="02C4915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在工程项目竣工前，承包人已经提供履约担保的，发包人不得同时预留工程质量保证金。</w:t>
      </w:r>
    </w:p>
    <w:p w14:paraId="1DF81DA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15.3.1 承包人提供质量保证金的方式</w:t>
      </w:r>
    </w:p>
    <w:p w14:paraId="633018D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承包人提供质量保证金有以下三种方式：</w:t>
      </w:r>
    </w:p>
    <w:p w14:paraId="6C28D6D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（1）质量保证金保函； </w:t>
      </w:r>
    </w:p>
    <w:p w14:paraId="52D30F9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（2）相应比例的工程款；</w:t>
      </w:r>
    </w:p>
    <w:p w14:paraId="4EFBE15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（3）双方约定的其他方式。</w:t>
      </w:r>
    </w:p>
    <w:p w14:paraId="458615F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除专用合同条款另有约定外，质量保证金原则上采用上述第（1）种方式。</w:t>
      </w:r>
    </w:p>
    <w:p w14:paraId="51D83A4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15.3.2 质量保证金的扣留</w:t>
      </w:r>
    </w:p>
    <w:p w14:paraId="52A3E4C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质量保证金的扣留有以下三种方式：</w:t>
      </w:r>
    </w:p>
    <w:p w14:paraId="0053796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（1）在支付工程进度款时逐次扣留，在此情形下，质量保证金的计算基数不包括预付款的支付、扣回以及价格调整的金额；</w:t>
      </w:r>
    </w:p>
    <w:p w14:paraId="0FCF1EB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（2）工程竣工结算时一次性扣留质量保证金；</w:t>
      </w:r>
    </w:p>
    <w:p w14:paraId="4E55B53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（3）双方约定的其他扣留方式。</w:t>
      </w:r>
    </w:p>
    <w:p w14:paraId="5ACFC27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除专用合同条款另有约定外，质量保证金的扣留原则上采用上述第（1）种方式。</w:t>
      </w:r>
    </w:p>
    <w:p w14:paraId="5210916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发包人累计扣留的质量保证金不得超过</w:t>
      </w:r>
      <w:r>
        <w:rPr>
          <w:rFonts w:hint="eastAsia" w:ascii="仿宋" w:hAnsi="仿宋" w:eastAsia="仿宋" w:cs="仿宋"/>
          <w:color w:val="000000"/>
          <w:kern w:val="0"/>
          <w:sz w:val="28"/>
          <w:szCs w:val="28"/>
          <w:highlight w:val="none"/>
          <w:lang w:eastAsia="zh-CN"/>
        </w:rPr>
        <w:t>最终建安工程费</w:t>
      </w:r>
      <w:r>
        <w:rPr>
          <w:rFonts w:hint="eastAsia" w:ascii="仿宋" w:hAnsi="仿宋" w:eastAsia="仿宋" w:cs="仿宋"/>
          <w:color w:val="000000"/>
          <w:kern w:val="0"/>
          <w:sz w:val="28"/>
          <w:szCs w:val="28"/>
          <w:highlight w:val="none"/>
        </w:rPr>
        <w:t>的3%。如承包人在发包人签发竣工付款证书后28天内提交质量保证金保函，发包人应同时退还扣留的作为质量保证金的工程价款；保函金额不得超过</w:t>
      </w:r>
      <w:r>
        <w:rPr>
          <w:rFonts w:hint="eastAsia" w:ascii="仿宋" w:hAnsi="仿宋" w:eastAsia="仿宋" w:cs="仿宋"/>
          <w:color w:val="000000"/>
          <w:kern w:val="0"/>
          <w:sz w:val="28"/>
          <w:szCs w:val="28"/>
          <w:highlight w:val="none"/>
          <w:lang w:eastAsia="zh-CN"/>
        </w:rPr>
        <w:t>最终建安工程费</w:t>
      </w:r>
      <w:r>
        <w:rPr>
          <w:rFonts w:hint="eastAsia" w:ascii="仿宋" w:hAnsi="仿宋" w:eastAsia="仿宋" w:cs="仿宋"/>
          <w:color w:val="000000"/>
          <w:kern w:val="0"/>
          <w:sz w:val="28"/>
          <w:szCs w:val="28"/>
          <w:highlight w:val="none"/>
        </w:rPr>
        <w:t>的3%。</w:t>
      </w:r>
    </w:p>
    <w:p w14:paraId="1396330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发包人在退还质量保证金的同时按照中国人民银行发布的同期同类贷款基准利率支付利息。</w:t>
      </w:r>
    </w:p>
    <w:p w14:paraId="00F3053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15.3.3 </w:t>
      </w:r>
      <w:r>
        <w:rPr>
          <w:rFonts w:hint="eastAsia" w:ascii="仿宋" w:hAnsi="仿宋" w:eastAsia="仿宋" w:cs="仿宋"/>
          <w:color w:val="000000"/>
          <w:sz w:val="28"/>
          <w:szCs w:val="28"/>
          <w:highlight w:val="none"/>
        </w:rPr>
        <w:t>质量保证金</w:t>
      </w:r>
      <w:r>
        <w:rPr>
          <w:rFonts w:hint="eastAsia" w:ascii="仿宋" w:hAnsi="仿宋" w:eastAsia="仿宋" w:cs="仿宋"/>
          <w:color w:val="000000"/>
          <w:kern w:val="0"/>
          <w:sz w:val="28"/>
          <w:szCs w:val="28"/>
          <w:highlight w:val="none"/>
        </w:rPr>
        <w:t>的退还</w:t>
      </w:r>
    </w:p>
    <w:p w14:paraId="718411D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缺陷责任期内，承包人认真履行合同约定的责任，到期后，承包人可向发包人申请返还保证金。</w:t>
      </w:r>
    </w:p>
    <w:p w14:paraId="00225FE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6BD4484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发包人和承包人对保证金预留、返还以及工程维修质量、费用有争议的，按本合同第20条约定的争议和纠纷解决程序处理。</w:t>
      </w:r>
    </w:p>
    <w:p w14:paraId="4369D7A6">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15.4 保修</w:t>
      </w:r>
    </w:p>
    <w:p w14:paraId="1266D2C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15.4.1保修责任</w:t>
      </w:r>
    </w:p>
    <w:p w14:paraId="07CD6BB8">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88CAA7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发包人未经竣工验收擅自使用工程的，保修期自</w:t>
      </w:r>
      <w:r>
        <w:rPr>
          <w:rFonts w:hint="eastAsia" w:ascii="仿宋" w:hAnsi="仿宋" w:eastAsia="仿宋" w:cs="仿宋"/>
          <w:color w:val="000000"/>
          <w:kern w:val="0"/>
          <w:sz w:val="28"/>
          <w:szCs w:val="28"/>
          <w:highlight w:val="none"/>
        </w:rPr>
        <w:t>转移占有之日起算。</w:t>
      </w:r>
    </w:p>
    <w:p w14:paraId="257EFD6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15.4.2 修复费用</w:t>
      </w:r>
    </w:p>
    <w:p w14:paraId="3600140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保修期内，修复的费用按照以下约定处理：</w:t>
      </w:r>
    </w:p>
    <w:p w14:paraId="259C518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（1）保修期内，因承包人原因造成工程的缺陷、损坏，承包人应负责修复，并承担修复的费用以及因工程的缺陷、损坏造成的人身伤害和财产损失；</w:t>
      </w:r>
    </w:p>
    <w:p w14:paraId="24CB32C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（2）保修期内，因发包人使用不当造成工程的缺陷、损坏，可以委托承包人修复，但发包人应承担修复的费用，并支付承包人合理利润；</w:t>
      </w:r>
    </w:p>
    <w:p w14:paraId="5583731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（3）因其他原因造成工程的缺陷、损坏，可以委托承包人修复，发包人应承担修复的费用，并支付承包人合理的利润，因工程的缺陷、损坏造成的人身伤害和财产损失由责任方承担。</w:t>
      </w:r>
    </w:p>
    <w:p w14:paraId="6989913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15.4.3 修复通知</w:t>
      </w:r>
    </w:p>
    <w:p w14:paraId="1AF2C12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8E52B74">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15.4.4 未能修复</w:t>
      </w:r>
    </w:p>
    <w:p w14:paraId="5AA6A23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ED3514E">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15.4.5 承包人出入权</w:t>
      </w:r>
    </w:p>
    <w:p w14:paraId="602DBF5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4AFFDD0">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16. 违约</w:t>
      </w:r>
    </w:p>
    <w:p w14:paraId="6A632EBB">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16.1 发包人违约</w:t>
      </w:r>
    </w:p>
    <w:p w14:paraId="17B1BA4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16.1.1 发包人违约的情形</w:t>
      </w:r>
    </w:p>
    <w:p w14:paraId="042D985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在合同履行过程中发生的下列情形，属于发包人违约：</w:t>
      </w:r>
    </w:p>
    <w:p w14:paraId="00D9CDE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（1）因发包人原因未能在计划开工日期前7天内下达开工通知的；</w:t>
      </w:r>
    </w:p>
    <w:p w14:paraId="1B59F71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（2）因发包人原因未能按合同约定支付合同价款的；</w:t>
      </w:r>
    </w:p>
    <w:p w14:paraId="39279CD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（3）发包人违反第10.1款〔变更的范围〕第（2）项约定，自行实施被取消的工作或转由他人实施的；</w:t>
      </w:r>
    </w:p>
    <w:p w14:paraId="780766E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（4）发包人提供的材料、工程设备的规格、数量或质量不符合合同约定，或因发包人原因导致交货日期延误或交货地点变更等情况的；</w:t>
      </w:r>
    </w:p>
    <w:p w14:paraId="20B0CE3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（5）因发包人违反合同约定造成暂停施工的；</w:t>
      </w:r>
    </w:p>
    <w:p w14:paraId="0E20C1F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（6）发包人无正当理由没有在约定期限内发出复工指示，导致承包人无法复工的；</w:t>
      </w:r>
    </w:p>
    <w:p w14:paraId="6BF8E96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（7）发包人明确表示或者以其行为表明不履行合同主要义务的；</w:t>
      </w:r>
    </w:p>
    <w:p w14:paraId="50BEDD6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（8）发包人未能按照合同约定履行其他义务的。</w:t>
      </w:r>
    </w:p>
    <w:p w14:paraId="50B16E9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2A1483E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16.1.2 发包人违约的责任</w:t>
      </w:r>
    </w:p>
    <w:p w14:paraId="61572F9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发包人应承担因其违约给承包人增加的费用和（或）延误的工期，并支付承包人合理的利润。此外，合同当事人可在专用合同条款中另行约定发包人违约责任的承担方式和计算方法。</w:t>
      </w:r>
    </w:p>
    <w:p w14:paraId="45C5514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16.1.3 因发包人违约解除合同</w:t>
      </w:r>
    </w:p>
    <w:p w14:paraId="4CE8036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24424E0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16.1.4 因发包人违约解除合同后的付款</w:t>
      </w:r>
    </w:p>
    <w:p w14:paraId="6E781FC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承包人按照本款约定解除合同的，发包人应在解除合同后28天内支付下列款项，并解除履约担保：</w:t>
      </w:r>
    </w:p>
    <w:p w14:paraId="628BAE81">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（1）合同解除前所完成工作的价款；</w:t>
      </w:r>
    </w:p>
    <w:p w14:paraId="169EFA7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（2）承包人为工程施工订购并已付款的材料、工程设备和其他物品的价款；</w:t>
      </w:r>
    </w:p>
    <w:p w14:paraId="5A0B5C2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（3）承包人撤离施工现场以及遣散承包人人员的款项；</w:t>
      </w:r>
    </w:p>
    <w:p w14:paraId="45E08BB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（4）按照合同约定在合同解除前应支付的违约金；</w:t>
      </w:r>
    </w:p>
    <w:p w14:paraId="4ED28C9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（5）按照合同约定应当支付给承包人的其他款项；</w:t>
      </w:r>
    </w:p>
    <w:p w14:paraId="0F41C04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（6）按照合同约定应退还的质量保证金；</w:t>
      </w:r>
    </w:p>
    <w:p w14:paraId="07A7B6C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（7）因解除合同给承包人造成的损失。</w:t>
      </w:r>
    </w:p>
    <w:p w14:paraId="48B7B8D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合同当事人未能就解除合同后的结清达成一致的，按照第20条〔争议解决〕的约定处理。</w:t>
      </w:r>
    </w:p>
    <w:p w14:paraId="718DBC7E">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承包人应妥善做好已完工程和与工程有关的已购材料、工程设备的保护和移交工作，并将施工设备和人员撤出施工现场，发包人应为承包人撤出提供必要条件。</w:t>
      </w:r>
    </w:p>
    <w:p w14:paraId="14DD03B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16.2 承包人违约</w:t>
      </w:r>
    </w:p>
    <w:p w14:paraId="22DD555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16.2.1 承包人违约的情形</w:t>
      </w:r>
    </w:p>
    <w:p w14:paraId="539F0E6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在合同履行过程中发生的下列情形，属于承包人违约：</w:t>
      </w:r>
    </w:p>
    <w:p w14:paraId="4A76AA7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（1）承包人违反合同约定进行转包或违法分包的；</w:t>
      </w:r>
    </w:p>
    <w:p w14:paraId="12D5B2B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（2）承包人违反合同约定采购和使用不合格的材料和工程设备的；</w:t>
      </w:r>
    </w:p>
    <w:p w14:paraId="5C65E69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（3）因承包人原因导致工程质量不符合合同要求的； </w:t>
      </w:r>
    </w:p>
    <w:p w14:paraId="581F70D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（4）承包人违反第8.9款〔材料与设备专用要求〕的约定，未经批准，私自将已按照合同约定进入施工现场的材料或设备撤离施工现场的；</w:t>
      </w:r>
    </w:p>
    <w:p w14:paraId="6FBBABFA">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（5）承包人未能按施工进度计划及时完成合同约定的工作，造成工期延误的；</w:t>
      </w:r>
    </w:p>
    <w:p w14:paraId="7A6DE40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（6）承包人在缺陷责任期及保修期内，未能在合理期限对工程缺陷进行修复，或拒绝按发包人要求进行修复的；</w:t>
      </w:r>
    </w:p>
    <w:p w14:paraId="62E2375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（7）承包人明确表示或者以其行为表明不履行合同主要义务的；</w:t>
      </w:r>
    </w:p>
    <w:p w14:paraId="60701C5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（8）承包人未能按照合同约定履行其他义务的。</w:t>
      </w:r>
    </w:p>
    <w:p w14:paraId="2728FE4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承包人发生除本项第（7）目约定以外的其他违约情况时，监理人可向承包人发出整改通知，要求其在指定的期限内改正。</w:t>
      </w:r>
    </w:p>
    <w:p w14:paraId="4DFFAA0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16.2.2 承包人违约的责任</w:t>
      </w:r>
    </w:p>
    <w:p w14:paraId="35AA3F1B">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承包人应承担因其违约行为而增加的费用和（或）延误的工期。此外，合同当事人可在专用合同条款中另行约定承包人违约责任的承担方式和计算方法。</w:t>
      </w:r>
    </w:p>
    <w:p w14:paraId="1280940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16.2.3 因承包人违约解除合同</w:t>
      </w:r>
    </w:p>
    <w:p w14:paraId="483C24C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7292B5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16.2.4因承包人违约解除合同后的处理</w:t>
      </w:r>
    </w:p>
    <w:p w14:paraId="41CCC22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因承包人原因导致合同解除的，则合同当事人应在合同解除后28天内完成估价、付款和清算，并按以下约定执行：</w:t>
      </w:r>
    </w:p>
    <w:p w14:paraId="0C7CE4CB">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（1）合同解除后，按第4.4款〔商定或确定〕商定或确定承包人实际完成工作对应的合同价款，以及承包人已提供的材料、工程设备、施工设备和临时工程等的价值；</w:t>
      </w:r>
    </w:p>
    <w:p w14:paraId="35137CD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（2）合同解除后，承包人应支付的违约金；</w:t>
      </w:r>
    </w:p>
    <w:p w14:paraId="6460F8C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（3）合同解除后，因解除合同给发包人造成的损失；</w:t>
      </w:r>
    </w:p>
    <w:p w14:paraId="6D7B9DE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（4）合同解除后，承包人应按照发包人要求和监理人的指示完成现场的清理和撤离；</w:t>
      </w:r>
    </w:p>
    <w:p w14:paraId="67E1737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（5）发包人和承包人应在合同解除后进行清算，出具最终结清付款证书，结清全部款项。</w:t>
      </w:r>
    </w:p>
    <w:p w14:paraId="4C1F411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0AFD6CC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16.2.5采购合同权益转让</w:t>
      </w:r>
    </w:p>
    <w:p w14:paraId="067552D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FFE4C9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16.3 第三人造成的违约</w:t>
      </w:r>
    </w:p>
    <w:p w14:paraId="4F07109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在履行合同过程中，一方当事人因第三人的原因造成违约的，应当向对方当事人承担违约责任。一方当事人和第三人之间的纠纷，依照法律规定或者按照约定解决。</w:t>
      </w:r>
    </w:p>
    <w:p w14:paraId="0C87CCE9">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17. 不可抗力 </w:t>
      </w:r>
    </w:p>
    <w:p w14:paraId="4E5091B4">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17.1 不可抗力的确认</w:t>
      </w:r>
    </w:p>
    <w:p w14:paraId="1717370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7042DA2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73A771A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17.2 不可抗力的通知</w:t>
      </w:r>
    </w:p>
    <w:p w14:paraId="6E63B07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合同一方当事人遇到不可抗力事件，使其履行合同义务受到阻碍时，应立即通知合同另一方当事人和监理人，书面说明不可抗力和受阻碍的详细情况，并提供必要的证明。</w:t>
      </w:r>
    </w:p>
    <w:p w14:paraId="7AFD67C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344DFF35">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17.3 不可抗力后果的承担</w:t>
      </w:r>
    </w:p>
    <w:p w14:paraId="0EFCC3E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17.3.1 不可抗力引起的后果及造成的损失由合同当事人按照法律规定及合同约定各自承担。不可抗力发生前已完成的工程应当按照合同约定进行计量支付。</w:t>
      </w:r>
    </w:p>
    <w:p w14:paraId="2FAE076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17.3.2 不可抗力导致的人员伤亡、财产损失、费用增加和（或）工期延误等后果，由合同当事人按以下原则承担：</w:t>
      </w:r>
    </w:p>
    <w:p w14:paraId="32B22C3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（1）永久工程、已运至施工现场的材料和工程设备的损坏，以及因工程损坏造成的第三人人员伤亡和财产损失由发包人承担；</w:t>
      </w:r>
    </w:p>
    <w:p w14:paraId="5E4894F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（2）承包人施工设备的损坏由承包人承担；</w:t>
      </w:r>
    </w:p>
    <w:p w14:paraId="5CB833C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（3）发包人和承包人承担各自人员伤亡和财产的损失；</w:t>
      </w:r>
    </w:p>
    <w:p w14:paraId="3976A54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1C86B3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（5）因不可抗力引起或将引起工期延误，发包人要求赶工的，由此增加的赶工费用由发包人承担；</w:t>
      </w:r>
    </w:p>
    <w:p w14:paraId="1510E21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（6）承包人在停工期间按照发包人要求照管、清理和修复工程的费用由发包人承担。</w:t>
      </w:r>
    </w:p>
    <w:p w14:paraId="5469FAD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不可抗力发生后，合同当事人均应采取措施尽量避免和减少损失的扩大，任何一方当事人没有采取有效措施导致损失扩大的，应对扩大的损失承担责任。</w:t>
      </w:r>
    </w:p>
    <w:p w14:paraId="76430CF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因合同一方迟延履行合同义务，在迟延履行期间遭遇不可抗力的，不免除其违约责任。</w:t>
      </w:r>
    </w:p>
    <w:p w14:paraId="0CA24A54">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17.4 因不可抗力解除合同</w:t>
      </w:r>
    </w:p>
    <w:p w14:paraId="53EB008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64108D2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（1）合同解除前承包人已完成工作的价款；</w:t>
      </w:r>
    </w:p>
    <w:p w14:paraId="09B08519">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（2）承包人为工程订购的并已交付给承包人，或承包人有责任接受交付的材料、工程设备和其他物品的价款；</w:t>
      </w:r>
    </w:p>
    <w:p w14:paraId="12F7D1C6">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（3）发包人要求承包人退货或解除订货合同而产生的费用，或因不能退货或解除合同而产生的损失；</w:t>
      </w:r>
    </w:p>
    <w:p w14:paraId="1F9E5947">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（4）承包人撤离施工现场以及遣散承包人人员的费用；</w:t>
      </w:r>
    </w:p>
    <w:p w14:paraId="6A0F646A">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（5）按照合同约定在合同解除前应支付给承包人的其他款项；</w:t>
      </w:r>
    </w:p>
    <w:p w14:paraId="2712DBB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（6）扣减承包人按照合同约定应向发包人支付的款项；</w:t>
      </w:r>
    </w:p>
    <w:p w14:paraId="126E4CB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（7）双方商定或确定的其他款项。</w:t>
      </w:r>
    </w:p>
    <w:p w14:paraId="19ED5D3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除专用合同条款另有约定外，合同解除后，发包人应在商定或确定上述款项后28天内完成上述款项的支付。</w:t>
      </w:r>
    </w:p>
    <w:p w14:paraId="2C0A2D00">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18. 保险</w:t>
      </w:r>
    </w:p>
    <w:p w14:paraId="407927A9">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18.1 工程保险</w:t>
      </w:r>
    </w:p>
    <w:p w14:paraId="3F6CD07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除专用合同条款另有约定外，发包人应投保建筑工程一切险或安装工程一切险；发包人委托承包人投保的，因投保产生的保险费和其他相关费用由发包人承担。</w:t>
      </w:r>
    </w:p>
    <w:p w14:paraId="0983AA24">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18.2 工伤保险</w:t>
      </w:r>
    </w:p>
    <w:p w14:paraId="092FA97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18.2.1 发包人应依照法律规定参加工伤保险，并为在施工现场的全部员工办理工伤保险，缴纳工伤保险费，并要求监理人及由发包人为履行合同聘请的第三方依法参加工伤保险。</w:t>
      </w:r>
    </w:p>
    <w:p w14:paraId="6C66C3D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18.2.2 承包人应依照法律规定参加工伤保险，并为其履行合同的全部员工办理工伤保险，缴纳工伤保险费，并要求分包人及由承包人为履行合同聘请的第三方依法参加工伤保险。</w:t>
      </w:r>
    </w:p>
    <w:p w14:paraId="2294643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18.3其他保险</w:t>
      </w:r>
    </w:p>
    <w:p w14:paraId="3784FBA3">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发包人和承包人可以为其施工现场的全部人员办理意外伤害保险并支付保险费，包括其员工及为履行合同聘请的第三方的人员，具体事项由合同当事人在专用合同条款约定。</w:t>
      </w:r>
    </w:p>
    <w:p w14:paraId="56BE3E40">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除专用合同条款另有约定外，承包人应为其施工设备等办理财产保险。</w:t>
      </w:r>
    </w:p>
    <w:p w14:paraId="3EC44DB6">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18.4持续保险</w:t>
      </w:r>
    </w:p>
    <w:p w14:paraId="3CCED40C">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合同当事人应与保险人保持联系，使保险人能够随时了解工程实施中的变动，并确保按保险合同条款要求持续保险。</w:t>
      </w:r>
    </w:p>
    <w:p w14:paraId="7900E7E0">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18.5 保险凭证</w:t>
      </w:r>
    </w:p>
    <w:p w14:paraId="61DD1C4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合同当事人应及时向另一方当事人提交其已投保的各项保险的凭证和保险单</w:t>
      </w:r>
      <w:r>
        <w:rPr>
          <w:rFonts w:hint="eastAsia" w:ascii="仿宋" w:hAnsi="仿宋" w:eastAsia="仿宋" w:cs="仿宋"/>
          <w:color w:val="000000"/>
          <w:sz w:val="28"/>
          <w:szCs w:val="28"/>
          <w:highlight w:val="none"/>
          <w:lang w:eastAsia="zh-CN"/>
        </w:rPr>
        <w:t>扫描件</w:t>
      </w:r>
      <w:r>
        <w:rPr>
          <w:rFonts w:hint="eastAsia" w:ascii="仿宋" w:hAnsi="仿宋" w:eastAsia="仿宋" w:cs="仿宋"/>
          <w:color w:val="000000"/>
          <w:sz w:val="28"/>
          <w:szCs w:val="28"/>
          <w:highlight w:val="none"/>
        </w:rPr>
        <w:t>。</w:t>
      </w:r>
    </w:p>
    <w:p w14:paraId="6EAE3878">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18.6 未按约定投保的补救</w:t>
      </w:r>
    </w:p>
    <w:p w14:paraId="1558B8C5">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18.6.1发包人未按合同约定办理保险，或未能使保险持续有效的，则承包人可代为办理，所需费用由发包人承担。发包人未按合同约定办理保险，导致未能得到足额赔偿的，由发包人负责补足。</w:t>
      </w:r>
    </w:p>
    <w:p w14:paraId="284FE7EF">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18.6.2承包人未按合同约定办理保险，或未能使保险持续有效的，则发包人可代为办理，所需费用由承包人承担。承包人未按合同约定办理保险，导致未能得到足额赔偿的，由承包人负责补足。</w:t>
      </w:r>
    </w:p>
    <w:p w14:paraId="7BFA8504">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18.7 通知义务</w:t>
      </w:r>
    </w:p>
    <w:p w14:paraId="0CBBBE4D">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634D0802">
      <w:pPr>
        <w:keepNext w:val="0"/>
        <w:keepLines w:val="0"/>
        <w:pageBreakBefore w:val="0"/>
        <w:widowControl w:val="0"/>
        <w:kinsoku/>
        <w:wordWrap/>
        <w:overflowPunct/>
        <w:topLinePunct w:val="0"/>
        <w:bidi w:val="0"/>
        <w:spacing w:line="5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保险事故发生时，投保人应按照保险合同规定的条件和期限及时向保险人报告。发包人和承包人应当在知道保险事故发生后及时通知对方。</w:t>
      </w:r>
    </w:p>
    <w:p w14:paraId="7D8A14A1">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19. 索赔</w:t>
      </w:r>
    </w:p>
    <w:p w14:paraId="6788796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19.1承包人的索赔</w:t>
      </w:r>
    </w:p>
    <w:p w14:paraId="5FA6C5E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根据合同约定，承包人认为有权得到追加付款和（或）延长工期的，应按以下程序向发包人提出索赔：</w:t>
      </w:r>
    </w:p>
    <w:p w14:paraId="138059D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0210DAC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（2）承包人应在发出索赔意向通知书后28天内，向监理人正式递交索赔报告；索赔报告应详细说明索赔理由以及要求追加的付款金额和（或）延长的工期，并附必要的记录和证明材料；</w:t>
      </w:r>
    </w:p>
    <w:p w14:paraId="1A62361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（3）索赔事件具有持续影响的，承包人应按合理时间间隔继续递交延续索赔通知，说明持续影响的实际情况和记录，列出累计的追加付款金额和（或）工期延长天数；</w:t>
      </w:r>
    </w:p>
    <w:p w14:paraId="241221C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（4）在索赔事件影响结束后28天内，承包人应向监理人递交最终索赔报告，说明最终要求索赔的追加付款金额和（或）延长的工期，并附必要的记录和证明材料。</w:t>
      </w:r>
    </w:p>
    <w:p w14:paraId="6D937E56">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19.2 对承包人索赔的处理</w:t>
      </w:r>
    </w:p>
    <w:p w14:paraId="2E0DB1D3">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对承包人索赔的处理如下：</w:t>
      </w:r>
    </w:p>
    <w:p w14:paraId="3B1DFA2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（1）监理人应在收到索赔报告后14天内完成审查并报送发包人。监理人对索赔报告存在异议的，有权要求承包人提交全部原始记录副本；</w:t>
      </w:r>
    </w:p>
    <w:p w14:paraId="4B1B77C5">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（2）发包人应在监理人收到索赔报告或有关索赔的进一步证明材料后的28天内，由监理人向承包人出具经发包人签认的索赔处理结果。发包人逾期答复的，则视为认可承包人的索赔要求；</w:t>
      </w:r>
    </w:p>
    <w:p w14:paraId="0E99A12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（3）承包人接受索赔处理结果的，索赔款项在当期进度款中进行支付；承包人不接受索赔处理结果的，按照第20条〔争议解决〕约定处理。</w:t>
      </w:r>
    </w:p>
    <w:p w14:paraId="0B7449DC">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19.3发包人的索赔</w:t>
      </w:r>
    </w:p>
    <w:p w14:paraId="0A92830F">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根据合同约定，发包人认为有权得到赔付金额和（或）延长缺陷责任期的，监理人应向承包人发出通知并附有详细的证明。</w:t>
      </w:r>
    </w:p>
    <w:p w14:paraId="29D16D3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6D97D9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19.4 对发包人索赔的处理</w:t>
      </w:r>
    </w:p>
    <w:p w14:paraId="041BF77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对发包人索赔的处理如下：</w:t>
      </w:r>
    </w:p>
    <w:p w14:paraId="4E0DEB8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（1）承包人收到发包人提交的索赔报告后，应及时审查索赔报告的内容、查验发包人证明材料；</w:t>
      </w:r>
    </w:p>
    <w:p w14:paraId="1BAA155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（2）承包人应在收到索赔报告或有关索赔的进一步证明材料后28天内，将索赔处理结果答复发包人。如果承包人未在上述期限内作出答复的，则视为对发包人索赔要求的认可；</w:t>
      </w:r>
    </w:p>
    <w:p w14:paraId="2DABF856">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（3）承包人接受索赔处理结果的，发包人可从应支付给承包人的合同价款中扣除赔付的金额或延长缺陷责任期；发包人不接受索赔处理结果的，按第20条〔争议解决〕约定处理。</w:t>
      </w:r>
    </w:p>
    <w:p w14:paraId="25EFCF29">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19.5 提出索赔的期限</w:t>
      </w:r>
    </w:p>
    <w:p w14:paraId="7F5056DD">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（1）承包人按第14.2款〔竣工结算审核〕约定接收竣工付款证书后，应被视为已无权再提出在工程接收证书颁发前所发生的任何索赔。</w:t>
      </w:r>
    </w:p>
    <w:p w14:paraId="0B24F511">
      <w:pPr>
        <w:keepNext w:val="0"/>
        <w:keepLines w:val="0"/>
        <w:pageBreakBefore w:val="0"/>
        <w:widowControl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（2）承包人按第14.4款〔最终结清〕提交的最终结清申请单中，只限于提出工程接收证书颁发后发生的索赔。提出索赔的期限自接受最终结清证书时终止。</w:t>
      </w:r>
    </w:p>
    <w:p w14:paraId="58322353">
      <w:pPr>
        <w:keepNext w:val="0"/>
        <w:keepLines w:val="0"/>
        <w:pageBreakBefore w:val="0"/>
        <w:widowControl w:val="0"/>
        <w:kinsoku/>
        <w:wordWrap/>
        <w:overflowPunct/>
        <w:topLinePunct w:val="0"/>
        <w:bidi w:val="0"/>
        <w:adjustRightInd w:val="0"/>
        <w:snapToGrid w:val="0"/>
        <w:spacing w:line="500" w:lineRule="exact"/>
        <w:ind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20. 争议解决</w:t>
      </w:r>
    </w:p>
    <w:p w14:paraId="516E4F5E">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20.1和解</w:t>
      </w:r>
    </w:p>
    <w:p w14:paraId="542FC11C">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合同当事人可以就争议自行和解，自行和解达成协议的经双方签字并盖章后作为合同补充文件，双方均应遵照执行。</w:t>
      </w:r>
    </w:p>
    <w:p w14:paraId="0DB81AAD">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20.2调解</w:t>
      </w:r>
    </w:p>
    <w:p w14:paraId="32B55C17">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合同当事人可以就争议请求建设行政主管部门、行业协会或其他第三方进行调解，调解达成协议的，经双方签字并盖章后作为合同补充文件，双方均应遵照执行。</w:t>
      </w:r>
    </w:p>
    <w:p w14:paraId="60A74061">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20.3争议评审</w:t>
      </w:r>
    </w:p>
    <w:p w14:paraId="1531F5E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合同当事人在专用合同条款中约定采取争议评审方式解决争议以及评审规则，并按下列约定执行： </w:t>
      </w:r>
    </w:p>
    <w:p w14:paraId="7FB181E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20.3.1 争议评审小组的确定</w:t>
      </w:r>
    </w:p>
    <w:p w14:paraId="0E05EFA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合同当事人可以共同选择一名或三名争议评审员，组成争议评审小组。除专用合同条款另有约定外，合同当事人应当自合同签订后28天内，或者争议发生后14天内，选定争议评审员。</w:t>
      </w:r>
    </w:p>
    <w:p w14:paraId="715E86E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2E121ED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除专用合同条款另有约定外，评审员报酬由发包人和承包人各承担一半。</w:t>
      </w:r>
    </w:p>
    <w:p w14:paraId="1990B171">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20.3.2 争议评审小组的决定</w:t>
      </w:r>
    </w:p>
    <w:p w14:paraId="31357809">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D5B0D82">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20.3.3 争议评审小组决定的效力</w:t>
      </w:r>
    </w:p>
    <w:p w14:paraId="4DF06D80">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争议评审小组作出的书面决定经合同当事人签字确认后，对双方具有约束力，双方应遵照执行。</w:t>
      </w:r>
    </w:p>
    <w:p w14:paraId="0E833108">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任何一方当事人不接受争议评审小组决定或不履行争议评审小组决定的，双方可选择采用其他争议解决方式。</w:t>
      </w:r>
    </w:p>
    <w:p w14:paraId="0800D512">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20.4仲裁或诉讼</w:t>
      </w:r>
    </w:p>
    <w:p w14:paraId="024257F4">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因合同及合同有关事项产生的争议，合同当事人可以在专用合同条款中约定以下一种方式解决争议：</w:t>
      </w:r>
    </w:p>
    <w:p w14:paraId="3E2D92FE">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（1）向约定的仲裁委员会申请仲裁；</w:t>
      </w:r>
    </w:p>
    <w:p w14:paraId="08D31C6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（2）向有管辖权的人民法院起诉。</w:t>
      </w:r>
    </w:p>
    <w:p w14:paraId="4C2B370E">
      <w:pPr>
        <w:keepNext w:val="0"/>
        <w:keepLines w:val="0"/>
        <w:pageBreakBefore w:val="0"/>
        <w:widowControl w:val="0"/>
        <w:kinsoku/>
        <w:wordWrap/>
        <w:overflowPunct/>
        <w:topLinePunct w:val="0"/>
        <w:bidi w:val="0"/>
        <w:spacing w:before="0" w:beforeLines="0" w:after="0" w:afterLines="0" w:line="500" w:lineRule="exact"/>
        <w:ind w:firstLine="560" w:firstLineChars="200"/>
        <w:textAlignment w:val="auto"/>
        <w:outlineLvl w:val="9"/>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20.5争议解决条款效力</w:t>
      </w:r>
    </w:p>
    <w:p w14:paraId="60B7353D">
      <w:pPr>
        <w:keepNext w:val="0"/>
        <w:keepLines w:val="0"/>
        <w:pageBreakBefore w:val="0"/>
        <w:widowControl w:val="0"/>
        <w:kinsoku/>
        <w:wordWrap/>
        <w:overflowPunct/>
        <w:topLinePunct w:val="0"/>
        <w:autoSpaceDE w:val="0"/>
        <w:autoSpaceDN w:val="0"/>
        <w:bidi w:val="0"/>
        <w:adjustRightInd w:val="0"/>
        <w:spacing w:line="500" w:lineRule="exact"/>
        <w:ind w:firstLine="560" w:firstLineChars="200"/>
        <w:jc w:val="left"/>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合同有关争议解决的条款独立存在，合同的变更、解除、终止、无效或者被撤销均不影响其效力。 </w:t>
      </w:r>
    </w:p>
    <w:p w14:paraId="2E4131E3">
      <w:pPr>
        <w:keepNext w:val="0"/>
        <w:keepLines w:val="0"/>
        <w:pageBreakBefore w:val="0"/>
        <w:kinsoku/>
        <w:wordWrap/>
        <w:overflowPunct/>
        <w:topLinePunct w:val="0"/>
        <w:bidi w:val="0"/>
        <w:spacing w:before="0" w:beforeLines="0" w:beforeAutospacing="0" w:after="0" w:afterLines="0" w:afterAutospacing="0" w:line="500" w:lineRule="exact"/>
        <w:ind w:firstLine="562" w:firstLineChars="200"/>
        <w:jc w:val="center"/>
        <w:textAlignment w:val="auto"/>
        <w:outlineLvl w:val="9"/>
        <w:rPr>
          <w:rFonts w:hint="eastAsia" w:ascii="仿宋" w:hAnsi="仿宋" w:eastAsia="仿宋" w:cs="仿宋"/>
          <w:b/>
          <w:color w:val="000000"/>
          <w:sz w:val="28"/>
          <w:szCs w:val="28"/>
          <w:highlight w:val="none"/>
        </w:rPr>
      </w:pPr>
    </w:p>
    <w:p w14:paraId="374CF763">
      <w:pPr>
        <w:keepNext w:val="0"/>
        <w:keepLines w:val="0"/>
        <w:pageBreakBefore w:val="0"/>
        <w:kinsoku/>
        <w:wordWrap/>
        <w:overflowPunct/>
        <w:topLinePunct w:val="0"/>
        <w:bidi w:val="0"/>
        <w:spacing w:before="0" w:beforeLines="0" w:beforeAutospacing="0" w:after="0" w:afterLines="0" w:afterAutospacing="0" w:line="500" w:lineRule="exact"/>
        <w:ind w:firstLine="562" w:firstLineChars="200"/>
        <w:jc w:val="center"/>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br w:type="page"/>
      </w:r>
      <w:r>
        <w:rPr>
          <w:rFonts w:hint="eastAsia" w:ascii="仿宋" w:hAnsi="仿宋" w:eastAsia="仿宋" w:cs="仿宋"/>
          <w:b/>
          <w:color w:val="000000"/>
          <w:sz w:val="28"/>
          <w:szCs w:val="28"/>
          <w:highlight w:val="none"/>
        </w:rPr>
        <w:t>第三部分 专用合同条款</w:t>
      </w:r>
    </w:p>
    <w:p w14:paraId="44F9E40F">
      <w:pPr>
        <w:keepNext w:val="0"/>
        <w:keepLines w:val="0"/>
        <w:pageBreakBefore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专用合同条款与本合同通用合同条款不一致或相抵触的，按本合同专用合同条款执行。本工程专用合同条款编号与通用合同条款编号是一致的，如果两者的规定发生抵触，以专用合同条款的规定为准。专用合同条款中未做明确规定的条款执行通用合同条款。</w:t>
      </w:r>
    </w:p>
    <w:p w14:paraId="23EC60CC">
      <w:pPr>
        <w:keepNext w:val="0"/>
        <w:keepLines w:val="0"/>
        <w:pageBreakBefore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p>
    <w:p w14:paraId="332C07CD">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Start w:id="104" w:name="_Toc292559361"/>
      <w:bookmarkStart w:id="105" w:name="_Toc297048342"/>
      <w:bookmarkStart w:id="106" w:name="_Toc296890984"/>
      <w:bookmarkStart w:id="107" w:name="_Toc296503156"/>
      <w:bookmarkStart w:id="108" w:name="_Toc296944495"/>
      <w:bookmarkStart w:id="109" w:name="_Toc296891196"/>
      <w:bookmarkStart w:id="110" w:name="_Toc296346657"/>
      <w:bookmarkStart w:id="111" w:name="_Toc297120456"/>
      <w:bookmarkStart w:id="112" w:name="_Toc292559866"/>
      <w:bookmarkStart w:id="113" w:name="_Toc296347155"/>
      <w:r>
        <w:rPr>
          <w:rFonts w:hint="eastAsia" w:ascii="仿宋" w:hAnsi="仿宋" w:eastAsia="仿宋" w:cs="仿宋"/>
          <w:color w:val="000000"/>
          <w:sz w:val="28"/>
          <w:szCs w:val="28"/>
          <w:highlight w:val="none"/>
        </w:rPr>
        <w:t>. 一般约定</w:t>
      </w:r>
    </w:p>
    <w:bookmarkEnd w:id="104"/>
    <w:bookmarkEnd w:id="105"/>
    <w:bookmarkEnd w:id="106"/>
    <w:bookmarkEnd w:id="107"/>
    <w:bookmarkEnd w:id="108"/>
    <w:bookmarkEnd w:id="109"/>
    <w:bookmarkEnd w:id="110"/>
    <w:bookmarkEnd w:id="111"/>
    <w:bookmarkEnd w:id="112"/>
    <w:bookmarkEnd w:id="113"/>
    <w:p w14:paraId="668DC9D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 词语定义</w:t>
      </w:r>
    </w:p>
    <w:p w14:paraId="563FB3C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1.1.1合同</w:t>
      </w:r>
    </w:p>
    <w:p w14:paraId="1F5F212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rPr>
      </w:pPr>
      <w:r>
        <w:rPr>
          <w:rFonts w:hint="eastAsia" w:ascii="仿宋" w:hAnsi="仿宋" w:eastAsia="仿宋" w:cs="仿宋"/>
          <w:color w:val="000000"/>
          <w:kern w:val="0"/>
          <w:sz w:val="28"/>
          <w:szCs w:val="28"/>
          <w:highlight w:val="none"/>
        </w:rPr>
        <w:t>1.1.1.10其他合同文件包括：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履行合同过程中双方确认的对合同有影响的会议纪要、签证及设计变更等相关资料。</w:t>
      </w:r>
    </w:p>
    <w:p w14:paraId="1279810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 合同当事人及其他相关方</w:t>
      </w:r>
    </w:p>
    <w:p w14:paraId="0808562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1.1.2.4监理人：</w:t>
      </w:r>
    </w:p>
    <w:p w14:paraId="5D9E7EF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5AC408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资质类别和等级：</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54F8E1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8A7F6F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E82F39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FFA474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1.1.2.5 设计人：</w:t>
      </w:r>
    </w:p>
    <w:p w14:paraId="000FD19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F56A0E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资质类别和等级：</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8A91AD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998682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15313D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12AE88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1.1.2.10 造价咨询人：</w:t>
      </w:r>
    </w:p>
    <w:p w14:paraId="58C567F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143651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资质类别和等级：</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35747A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9576D7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C67F99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1E6E63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1.1.3 工程和设备</w:t>
      </w:r>
    </w:p>
    <w:p w14:paraId="230F05E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1.1.3.7 作为施工现场组成部分的其他场所包括：</w:t>
      </w:r>
      <w:r>
        <w:rPr>
          <w:rFonts w:hint="eastAsia" w:ascii="仿宋" w:hAnsi="仿宋" w:eastAsia="仿宋" w:cs="仿宋"/>
          <w:b/>
          <w:color w:val="000000"/>
          <w:sz w:val="28"/>
          <w:szCs w:val="28"/>
          <w:highlight w:val="none"/>
          <w:u w:val="single"/>
        </w:rPr>
        <w:t>现场临时办公及施工场地</w:t>
      </w:r>
      <w:r>
        <w:rPr>
          <w:rFonts w:hint="eastAsia" w:ascii="仿宋" w:hAnsi="仿宋" w:eastAsia="仿宋" w:cs="仿宋"/>
          <w:color w:val="000000"/>
          <w:sz w:val="28"/>
          <w:szCs w:val="28"/>
          <w:highlight w:val="none"/>
        </w:rPr>
        <w:t>。</w:t>
      </w:r>
    </w:p>
    <w:p w14:paraId="791A3F3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1.1.3.9 永久占地包括：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按照设计图纸确定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0B6A5F8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1.1.3.10 临时占地包括：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合同履行中确定 </w:t>
      </w:r>
      <w:r>
        <w:rPr>
          <w:rFonts w:hint="eastAsia" w:ascii="仿宋" w:hAnsi="仿宋" w:eastAsia="仿宋" w:cs="仿宋"/>
          <w:color w:val="000000"/>
          <w:kern w:val="0"/>
          <w:sz w:val="28"/>
          <w:szCs w:val="28"/>
          <w:highlight w:val="none"/>
        </w:rPr>
        <w:t>。</w:t>
      </w:r>
    </w:p>
    <w:p w14:paraId="2153EB3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1.3法律 </w:t>
      </w:r>
    </w:p>
    <w:p w14:paraId="3BDC4E16">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适用于合同的其他规范性文件：</w:t>
      </w:r>
      <w:r>
        <w:rPr>
          <w:rFonts w:hint="eastAsia" w:ascii="仿宋" w:hAnsi="仿宋" w:eastAsia="仿宋" w:cs="仿宋"/>
          <w:b/>
          <w:color w:val="000000"/>
          <w:sz w:val="28"/>
          <w:szCs w:val="28"/>
          <w:highlight w:val="none"/>
          <w:u w:val="single" w:color="000000"/>
        </w:rPr>
        <w:t>《中华人民共和国民法典》《中华人民共和国建筑法》《中华人民共和国</w:t>
      </w:r>
      <w:r>
        <w:rPr>
          <w:rFonts w:hint="eastAsia" w:ascii="仿宋" w:hAnsi="仿宋" w:eastAsia="仿宋" w:cs="仿宋"/>
          <w:b/>
          <w:color w:val="000000"/>
          <w:sz w:val="28"/>
          <w:szCs w:val="28"/>
          <w:highlight w:val="none"/>
          <w:u w:val="single" w:color="000000"/>
          <w:lang w:eastAsia="zh-CN"/>
        </w:rPr>
        <w:t>政府采购法</w:t>
      </w:r>
      <w:r>
        <w:rPr>
          <w:rFonts w:hint="eastAsia" w:ascii="仿宋" w:hAnsi="仿宋" w:eastAsia="仿宋" w:cs="仿宋"/>
          <w:b/>
          <w:color w:val="000000"/>
          <w:sz w:val="28"/>
          <w:szCs w:val="28"/>
          <w:highlight w:val="none"/>
          <w:u w:val="single" w:color="000000"/>
        </w:rPr>
        <w:t>》《中华人民共和国安全生产法》《建设工程质量管理条例》以及其他有关法律、法规。</w:t>
      </w:r>
    </w:p>
    <w:p w14:paraId="5B1F682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 标准和规范</w:t>
      </w:r>
    </w:p>
    <w:p w14:paraId="06DFF12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1.4.1适用于工程的标准规范包括：</w:t>
      </w:r>
      <w:r>
        <w:rPr>
          <w:rFonts w:hint="eastAsia" w:ascii="仿宋" w:hAnsi="仿宋" w:eastAsia="仿宋" w:cs="仿宋"/>
          <w:b/>
          <w:color w:val="000000"/>
          <w:sz w:val="28"/>
          <w:szCs w:val="28"/>
          <w:highlight w:val="none"/>
          <w:u w:val="single" w:color="000000"/>
        </w:rPr>
        <w:t>国家和地方现行的有关标准、规范、详细施工图</w:t>
      </w:r>
      <w:r>
        <w:rPr>
          <w:rFonts w:hint="eastAsia" w:ascii="仿宋" w:hAnsi="仿宋" w:eastAsia="仿宋" w:cs="仿宋"/>
          <w:color w:val="000000"/>
          <w:sz w:val="28"/>
          <w:szCs w:val="28"/>
          <w:highlight w:val="none"/>
          <w:u w:val="single" w:color="000000"/>
        </w:rPr>
        <w:t>。</w:t>
      </w:r>
    </w:p>
    <w:p w14:paraId="5649AAE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1.4.2 发包人提供国外标准、规范的名称：</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无</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1EF2659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发包人提供国外标准、规范的份数：</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无</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6DB4C16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发包人提供国外标准、规范的名称：</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无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5A097E4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1.4.3发包人对工程的技术标准和功能要求的特殊要求：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无  </w:t>
      </w:r>
      <w:r>
        <w:rPr>
          <w:rFonts w:hint="eastAsia" w:ascii="仿宋" w:hAnsi="仿宋" w:eastAsia="仿宋" w:cs="仿宋"/>
          <w:b/>
          <w:color w:val="000000"/>
          <w:sz w:val="28"/>
          <w:szCs w:val="28"/>
          <w:highlight w:val="none"/>
        </w:rPr>
        <w:t>。</w:t>
      </w:r>
    </w:p>
    <w:p w14:paraId="588EBDE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 合同文件的优先顺序</w:t>
      </w:r>
    </w:p>
    <w:p w14:paraId="12A6AE85">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合同文件组成及优先顺序为：</w:t>
      </w:r>
      <w:r>
        <w:rPr>
          <w:rFonts w:hint="eastAsia" w:ascii="仿宋" w:hAnsi="仿宋" w:eastAsia="仿宋" w:cs="仿宋"/>
          <w:b/>
          <w:bCs/>
          <w:color w:val="000000"/>
          <w:kern w:val="0"/>
          <w:sz w:val="28"/>
          <w:szCs w:val="28"/>
          <w:highlight w:val="none"/>
          <w:u w:val="single"/>
        </w:rPr>
        <w:t>（1）项目实施期间签订的补充合同、补充协议、会议纪要；（2）合同协议书；（3）</w:t>
      </w:r>
      <w:r>
        <w:rPr>
          <w:rFonts w:hint="eastAsia" w:ascii="仿宋" w:hAnsi="仿宋" w:eastAsia="仿宋" w:cs="仿宋"/>
          <w:b/>
          <w:bCs/>
          <w:color w:val="000000"/>
          <w:kern w:val="0"/>
          <w:sz w:val="28"/>
          <w:szCs w:val="28"/>
          <w:highlight w:val="none"/>
          <w:u w:val="single"/>
          <w:lang w:eastAsia="zh-CN"/>
        </w:rPr>
        <w:t>成交通知书</w:t>
      </w:r>
      <w:r>
        <w:rPr>
          <w:rFonts w:hint="eastAsia" w:ascii="仿宋" w:hAnsi="仿宋" w:eastAsia="仿宋" w:cs="仿宋"/>
          <w:b/>
          <w:bCs/>
          <w:color w:val="000000"/>
          <w:kern w:val="0"/>
          <w:sz w:val="28"/>
          <w:szCs w:val="28"/>
          <w:highlight w:val="none"/>
          <w:u w:val="single"/>
        </w:rPr>
        <w:t>；（4）</w:t>
      </w:r>
      <w:r>
        <w:rPr>
          <w:rFonts w:hint="eastAsia" w:ascii="仿宋" w:hAnsi="仿宋" w:eastAsia="仿宋" w:cs="仿宋"/>
          <w:b/>
          <w:bCs/>
          <w:color w:val="000000"/>
          <w:kern w:val="0"/>
          <w:sz w:val="28"/>
          <w:szCs w:val="28"/>
          <w:highlight w:val="none"/>
          <w:u w:val="single"/>
          <w:lang w:val="en-US" w:eastAsia="zh-CN"/>
        </w:rPr>
        <w:t>磋商函</w:t>
      </w:r>
      <w:r>
        <w:rPr>
          <w:rFonts w:hint="eastAsia" w:ascii="仿宋" w:hAnsi="仿宋" w:eastAsia="仿宋" w:cs="仿宋"/>
          <w:b/>
          <w:bCs/>
          <w:color w:val="000000"/>
          <w:kern w:val="0"/>
          <w:sz w:val="28"/>
          <w:szCs w:val="28"/>
          <w:highlight w:val="none"/>
          <w:u w:val="single"/>
        </w:rPr>
        <w:t>；（5）专用合同条款</w:t>
      </w:r>
      <w:r>
        <w:rPr>
          <w:rFonts w:hint="eastAsia" w:ascii="仿宋" w:hAnsi="仿宋" w:eastAsia="仿宋" w:cs="仿宋"/>
          <w:b/>
          <w:bCs/>
          <w:color w:val="000000"/>
          <w:sz w:val="28"/>
          <w:szCs w:val="28"/>
          <w:highlight w:val="none"/>
          <w:u w:val="single"/>
        </w:rPr>
        <w:t>及其附件</w:t>
      </w:r>
      <w:r>
        <w:rPr>
          <w:rFonts w:hint="eastAsia" w:ascii="仿宋" w:hAnsi="仿宋" w:eastAsia="仿宋" w:cs="仿宋"/>
          <w:b/>
          <w:bCs/>
          <w:color w:val="000000"/>
          <w:kern w:val="0"/>
          <w:sz w:val="28"/>
          <w:szCs w:val="28"/>
          <w:highlight w:val="none"/>
          <w:u w:val="single"/>
        </w:rPr>
        <w:t>；（6）通用合同条款；（7）技术标准和要求（如果有）；（8）图纸；（9）已标价工程量清单；（10）其他合同文件。</w:t>
      </w:r>
    </w:p>
    <w:p w14:paraId="0C30B94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 图纸和承包人文件</w:t>
      </w:r>
      <w:r>
        <w:rPr>
          <w:rFonts w:hint="eastAsia" w:ascii="仿宋" w:hAnsi="仿宋" w:eastAsia="仿宋" w:cs="仿宋"/>
          <w:color w:val="000000"/>
          <w:sz w:val="28"/>
          <w:szCs w:val="28"/>
          <w:highlight w:val="none"/>
        </w:rPr>
        <w:tab/>
      </w:r>
    </w:p>
    <w:p w14:paraId="228A651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 图纸的提供</w:t>
      </w:r>
    </w:p>
    <w:p w14:paraId="6E1F778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发包人向承包人提供图纸的期限：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u w:val="single"/>
        </w:rPr>
        <w:t>按发包人要求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3A9D514">
      <w:pPr>
        <w:keepNext w:val="0"/>
        <w:keepLines w:val="0"/>
        <w:pageBreakBefore w:val="0"/>
        <w:kinsoku/>
        <w:wordWrap/>
        <w:overflowPunct/>
        <w:topLinePunct w:val="0"/>
        <w:autoSpaceDE w:val="0"/>
        <w:autoSpaceDN w:val="0"/>
        <w:bidi w:val="0"/>
        <w:adjustRightInd w:val="0"/>
        <w:spacing w:line="500" w:lineRule="exact"/>
        <w:ind w:left="0" w:leftChars="0" w:right="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发包人向承包人提供图纸的数量：</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sz w:val="28"/>
          <w:szCs w:val="28"/>
          <w:highlight w:val="none"/>
          <w:u w:val="single"/>
        </w:rPr>
        <w:t>提供施工图4套</w:t>
      </w:r>
      <w:r>
        <w:rPr>
          <w:rFonts w:hint="eastAsia" w:ascii="仿宋" w:hAnsi="仿宋" w:eastAsia="仿宋" w:cs="仿宋"/>
          <w:color w:val="000000"/>
          <w:kern w:val="0"/>
          <w:sz w:val="28"/>
          <w:szCs w:val="28"/>
          <w:highlight w:val="none"/>
          <w:u w:val="single"/>
        </w:rPr>
        <w:t>；</w:t>
      </w:r>
    </w:p>
    <w:p w14:paraId="6EE8ABE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发包人向承包人提供图纸的内容：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全部施工图纸</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004955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1.6.4 承包人文件</w:t>
      </w:r>
    </w:p>
    <w:p w14:paraId="56C6DD3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需要由承包人提供的文件，包括：</w:t>
      </w:r>
      <w:r>
        <w:rPr>
          <w:rFonts w:hint="eastAsia" w:ascii="仿宋" w:hAnsi="仿宋" w:eastAsia="仿宋" w:cs="仿宋"/>
          <w:b/>
          <w:color w:val="000000"/>
          <w:sz w:val="28"/>
          <w:szCs w:val="28"/>
          <w:highlight w:val="none"/>
          <w:u w:val="single"/>
        </w:rPr>
        <w:t>实施性施工组织设计及方案</w:t>
      </w:r>
      <w:r>
        <w:rPr>
          <w:rFonts w:hint="eastAsia" w:ascii="仿宋" w:hAnsi="仿宋" w:eastAsia="仿宋" w:cs="仿宋"/>
          <w:color w:val="000000"/>
          <w:sz w:val="28"/>
          <w:szCs w:val="28"/>
          <w:highlight w:val="none"/>
        </w:rPr>
        <w:t>；</w:t>
      </w:r>
    </w:p>
    <w:p w14:paraId="7BA696F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承包人提供的文件的期限为：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开工前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3EAA8B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承包人提供的文件的数量为：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肆份</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4A7352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承包人提供的文件的形式为：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书面文件</w:t>
      </w:r>
      <w:r>
        <w:rPr>
          <w:rFonts w:hint="eastAsia" w:ascii="仿宋" w:hAnsi="仿宋" w:eastAsia="仿宋" w:cs="仿宋"/>
          <w:color w:val="000000"/>
          <w:sz w:val="28"/>
          <w:szCs w:val="28"/>
          <w:highlight w:val="none"/>
        </w:rPr>
        <w:t>；</w:t>
      </w:r>
    </w:p>
    <w:p w14:paraId="6A5027E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发包人审批承包人文件的期限：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收到文件后7天内审查完毕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F4B17F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1.6.5 现场图纸准备</w:t>
      </w:r>
    </w:p>
    <w:p w14:paraId="5D0A09D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关于现场图纸准备的约定：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u w:val="single"/>
        </w:rPr>
        <w:t>承包人应在施工现场另外保存一套完整的图纸和承包人文件，供发包人、监理人及有关人员进行工程检查时使用</w:t>
      </w:r>
      <w:r>
        <w:rPr>
          <w:rFonts w:hint="eastAsia" w:ascii="仿宋" w:hAnsi="仿宋" w:eastAsia="仿宋" w:cs="仿宋"/>
          <w:bCs/>
          <w:color w:val="000000"/>
          <w:kern w:val="0"/>
          <w:sz w:val="28"/>
          <w:szCs w:val="28"/>
          <w:highlight w:val="none"/>
        </w:rPr>
        <w:t>。</w:t>
      </w:r>
    </w:p>
    <w:p w14:paraId="7E364F2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1.7 联络</w:t>
      </w:r>
    </w:p>
    <w:p w14:paraId="1AEA9CA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1.7.1发包人和承包人应当在</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5</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天内将与合同有关的通知、批准、证明、证书、指示、指令、要求、请求、同意、意见、确定和决定等书面函件送达对方当事人。</w:t>
      </w:r>
    </w:p>
    <w:p w14:paraId="3B7C88D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1.7.2 发包人接收文件的地点：</w:t>
      </w:r>
      <w:r>
        <w:rPr>
          <w:rFonts w:hint="eastAsia" w:ascii="仿宋" w:hAnsi="仿宋" w:eastAsia="仿宋" w:cs="仿宋"/>
          <w:b/>
          <w:color w:val="000000"/>
          <w:sz w:val="28"/>
          <w:szCs w:val="28"/>
          <w:highlight w:val="none"/>
          <w:u w:val="single"/>
        </w:rPr>
        <w:t>发包人另行通知</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05AA34E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414C3CA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kern w:val="0"/>
          <w:sz w:val="28"/>
          <w:szCs w:val="28"/>
          <w:highlight w:val="none"/>
        </w:rPr>
        <w:t>承包人接收文件的地点：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现场项目部 </w:t>
      </w:r>
      <w:r>
        <w:rPr>
          <w:rFonts w:hint="eastAsia" w:ascii="仿宋" w:hAnsi="仿宋" w:eastAsia="仿宋" w:cs="仿宋"/>
          <w:b/>
          <w:color w:val="000000"/>
          <w:sz w:val="28"/>
          <w:szCs w:val="28"/>
          <w:highlight w:val="none"/>
        </w:rPr>
        <w:t>；</w:t>
      </w:r>
    </w:p>
    <w:p w14:paraId="46DD634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073C308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监理人接收文件的地点：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现场监理部 </w:t>
      </w:r>
      <w:r>
        <w:rPr>
          <w:rFonts w:hint="eastAsia" w:ascii="仿宋" w:hAnsi="仿宋" w:eastAsia="仿宋" w:cs="仿宋"/>
          <w:b/>
          <w:color w:val="000000"/>
          <w:sz w:val="28"/>
          <w:szCs w:val="28"/>
          <w:highlight w:val="none"/>
        </w:rPr>
        <w:t>；</w:t>
      </w:r>
    </w:p>
    <w:p w14:paraId="4E70405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485651A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1.10 交通运输</w:t>
      </w:r>
    </w:p>
    <w:p w14:paraId="33C96B3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Start w:id="114" w:name="_Toc303539100"/>
      <w:bookmarkStart w:id="115" w:name="_Toc318581155"/>
      <w:bookmarkStart w:id="116" w:name="_Toc312677986"/>
      <w:bookmarkStart w:id="117" w:name="_Toc304295521"/>
      <w:bookmarkStart w:id="118" w:name="_Toc300934943"/>
      <w:r>
        <w:rPr>
          <w:rFonts w:hint="eastAsia" w:ascii="仿宋" w:hAnsi="仿宋" w:eastAsia="仿宋" w:cs="仿宋"/>
          <w:color w:val="000000"/>
          <w:sz w:val="28"/>
          <w:szCs w:val="28"/>
          <w:highlight w:val="none"/>
        </w:rPr>
        <w:t>.10.1 出入现场的权利</w:t>
      </w:r>
    </w:p>
    <w:p w14:paraId="5A33E26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关于出入现场的权利的约定：</w:t>
      </w:r>
      <w:r>
        <w:rPr>
          <w:rFonts w:hint="eastAsia" w:ascii="仿宋" w:hAnsi="仿宋" w:eastAsia="仿宋" w:cs="仿宋"/>
          <w:b/>
          <w:color w:val="000000"/>
          <w:sz w:val="28"/>
          <w:szCs w:val="28"/>
          <w:highlight w:val="none"/>
          <w:u w:val="single"/>
        </w:rPr>
        <w:t>由承包人按照发包人要求</w:t>
      </w:r>
      <w:r>
        <w:rPr>
          <w:rFonts w:hint="eastAsia" w:ascii="仿宋" w:hAnsi="仿宋" w:eastAsia="仿宋" w:cs="仿宋"/>
          <w:b/>
          <w:color w:val="000000"/>
          <w:kern w:val="0"/>
          <w:sz w:val="28"/>
          <w:szCs w:val="28"/>
          <w:highlight w:val="none"/>
          <w:u w:val="single"/>
        </w:rPr>
        <w:t>负责取得出入施工现场所需的批准手续和全部权利</w:t>
      </w:r>
      <w:r>
        <w:rPr>
          <w:rFonts w:hint="eastAsia" w:ascii="仿宋" w:hAnsi="仿宋" w:eastAsia="仿宋" w:cs="仿宋"/>
          <w:bCs/>
          <w:color w:val="000000"/>
          <w:kern w:val="0"/>
          <w:sz w:val="28"/>
          <w:szCs w:val="28"/>
          <w:highlight w:val="none"/>
        </w:rPr>
        <w:t>。</w:t>
      </w:r>
    </w:p>
    <w:bookmarkEnd w:id="114"/>
    <w:bookmarkEnd w:id="115"/>
    <w:bookmarkEnd w:id="116"/>
    <w:bookmarkEnd w:id="117"/>
    <w:bookmarkEnd w:id="118"/>
    <w:p w14:paraId="5B13F68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Start w:id="119" w:name="_Toc304295522"/>
      <w:bookmarkStart w:id="120" w:name="_Toc303539101"/>
      <w:bookmarkStart w:id="121" w:name="_Toc300934944"/>
      <w:bookmarkStart w:id="122" w:name="_Toc318581156"/>
      <w:bookmarkStart w:id="123" w:name="_Toc312677987"/>
      <w:r>
        <w:rPr>
          <w:rFonts w:hint="eastAsia" w:ascii="仿宋" w:hAnsi="仿宋" w:eastAsia="仿宋" w:cs="仿宋"/>
          <w:color w:val="000000"/>
          <w:sz w:val="28"/>
          <w:szCs w:val="28"/>
          <w:highlight w:val="none"/>
        </w:rPr>
        <w:t>.10.3 场内交通</w:t>
      </w:r>
    </w:p>
    <w:p w14:paraId="7EC6E1D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关于场外交通和场内交通的边界的约定：</w:t>
      </w:r>
      <w:r>
        <w:rPr>
          <w:rFonts w:hint="eastAsia" w:ascii="仿宋" w:hAnsi="仿宋" w:eastAsia="仿宋" w:cs="仿宋"/>
          <w:b/>
          <w:color w:val="000000"/>
          <w:sz w:val="28"/>
          <w:szCs w:val="28"/>
          <w:highlight w:val="none"/>
          <w:u w:val="single"/>
        </w:rPr>
        <w:t>以现场实际施工条件为准</w:t>
      </w:r>
      <w:r>
        <w:rPr>
          <w:rFonts w:hint="eastAsia" w:ascii="仿宋" w:hAnsi="仿宋" w:eastAsia="仿宋" w:cs="仿宋"/>
          <w:color w:val="000000"/>
          <w:sz w:val="28"/>
          <w:szCs w:val="28"/>
          <w:highlight w:val="none"/>
        </w:rPr>
        <w:t>。</w:t>
      </w:r>
    </w:p>
    <w:p w14:paraId="32072AD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关于发包人向承包人免费提供满足工程施工需要的场内道路和交通设施的约定：</w:t>
      </w:r>
      <w:r>
        <w:rPr>
          <w:rFonts w:hint="eastAsia" w:ascii="仿宋" w:hAnsi="仿宋" w:eastAsia="仿宋" w:cs="仿宋"/>
          <w:b/>
          <w:color w:val="000000"/>
          <w:sz w:val="28"/>
          <w:szCs w:val="28"/>
          <w:highlight w:val="none"/>
          <w:u w:val="single"/>
        </w:rPr>
        <w:t>以现场实际施工条件为准</w:t>
      </w:r>
      <w:r>
        <w:rPr>
          <w:rFonts w:hint="eastAsia" w:ascii="仿宋" w:hAnsi="仿宋" w:eastAsia="仿宋" w:cs="仿宋"/>
          <w:color w:val="000000"/>
          <w:sz w:val="28"/>
          <w:szCs w:val="28"/>
          <w:highlight w:val="none"/>
        </w:rPr>
        <w:t>。</w:t>
      </w:r>
      <w:bookmarkEnd w:id="119"/>
      <w:bookmarkEnd w:id="120"/>
      <w:bookmarkEnd w:id="121"/>
      <w:bookmarkEnd w:id="122"/>
      <w:bookmarkEnd w:id="123"/>
      <w:r>
        <w:rPr>
          <w:rFonts w:hint="eastAsia" w:ascii="仿宋" w:hAnsi="仿宋" w:eastAsia="仿宋" w:cs="仿宋"/>
          <w:color w:val="000000"/>
          <w:sz w:val="28"/>
          <w:szCs w:val="28"/>
          <w:highlight w:val="none"/>
        </w:rPr>
        <w:t xml:space="preserve">  </w:t>
      </w:r>
      <w:bookmarkStart w:id="124" w:name="_Toc318581157"/>
    </w:p>
    <w:p w14:paraId="6E96117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1.10.4超大件和超重件的运输</w:t>
      </w:r>
    </w:p>
    <w:p w14:paraId="19066F8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运输超大件或超重件所需的道路和桥梁临时加固改造费用和其他有关费用由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承包人 </w:t>
      </w:r>
      <w:r>
        <w:rPr>
          <w:rFonts w:hint="eastAsia" w:ascii="仿宋" w:hAnsi="仿宋" w:eastAsia="仿宋" w:cs="仿宋"/>
          <w:color w:val="000000"/>
          <w:sz w:val="28"/>
          <w:szCs w:val="28"/>
          <w:highlight w:val="none"/>
        </w:rPr>
        <w:t>承担。</w:t>
      </w:r>
    </w:p>
    <w:bookmarkEnd w:id="124"/>
    <w:p w14:paraId="547E07A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 知识产权</w:t>
      </w:r>
    </w:p>
    <w:p w14:paraId="3A911D2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属于发包人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E9A1FB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关于发包人提供的上述文件的使用限制的要求：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8A0670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1.11.2 关于承包人为实施工程所编制文件的著作权的归属：</w:t>
      </w:r>
      <w:r>
        <w:rPr>
          <w:rFonts w:hint="eastAsia" w:ascii="仿宋" w:hAnsi="仿宋" w:eastAsia="仿宋" w:cs="仿宋"/>
          <w:b/>
          <w:color w:val="000000"/>
          <w:kern w:val="0"/>
          <w:sz w:val="28"/>
          <w:szCs w:val="28"/>
          <w:highlight w:val="none"/>
          <w:u w:val="single"/>
        </w:rPr>
        <w:t>除署名权以外的著作权属于发包人</w:t>
      </w:r>
      <w:r>
        <w:rPr>
          <w:rFonts w:hint="eastAsia" w:ascii="仿宋" w:hAnsi="仿宋" w:eastAsia="仿宋" w:cs="仿宋"/>
          <w:color w:val="000000"/>
          <w:sz w:val="28"/>
          <w:szCs w:val="28"/>
          <w:highlight w:val="none"/>
        </w:rPr>
        <w:t>。</w:t>
      </w:r>
    </w:p>
    <w:p w14:paraId="0333244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关于承包人提供的上述文件的使用限制的要求：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F00A15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1.11.4 承包人在施工过程中所采用的专利、专有技术、技术秘密的使用费的承担方式：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04DA29D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1.13工程量清单错误的修正</w:t>
      </w:r>
    </w:p>
    <w:p w14:paraId="7957239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出现工程量清单错误时，是否调整合同价格：</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lang w:val="en-US" w:eastAsia="zh-CN"/>
        </w:rPr>
        <w:t xml:space="preserve">是 </w:t>
      </w:r>
      <w:r>
        <w:rPr>
          <w:rFonts w:hint="eastAsia" w:ascii="仿宋" w:hAnsi="仿宋" w:eastAsia="仿宋" w:cs="仿宋"/>
          <w:color w:val="000000"/>
          <w:sz w:val="28"/>
          <w:szCs w:val="28"/>
          <w:highlight w:val="none"/>
        </w:rPr>
        <w:t>。</w:t>
      </w:r>
    </w:p>
    <w:p w14:paraId="21196A7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允许调整合同价格的工程量偏差范围：</w:t>
      </w:r>
      <w:r>
        <w:rPr>
          <w:rFonts w:hint="eastAsia" w:ascii="仿宋" w:hAnsi="仿宋" w:eastAsia="仿宋" w:cs="仿宋"/>
          <w:b/>
          <w:bCs/>
          <w:color w:val="000000"/>
          <w:sz w:val="28"/>
          <w:szCs w:val="28"/>
          <w:highlight w:val="none"/>
          <w:u w:val="single"/>
          <w:lang w:val="en-US" w:eastAsia="zh-CN"/>
        </w:rPr>
        <w:t>当因应予计算的实际工程量与招标工程量清单出现偏差，以及工程变更等原因导致工程量偏差超过15%时，可进行调整。当工程量增加15%以上（不含15%）时，增加部分的工程量的综合单价应予调低；当工程量减少15%以上时，减少后剩余部分的工程量的综合单价应予调高。当工程量出现上述变化，且该变化引起相关措施项目相应发生变化时，按系数或单一总价方式计价的，工程量增加的措施项目费调增，工程量减少的措施项目费调减</w:t>
      </w:r>
      <w:r>
        <w:rPr>
          <w:rFonts w:hint="eastAsia" w:ascii="仿宋" w:hAnsi="仿宋" w:eastAsia="仿宋" w:cs="仿宋"/>
          <w:color w:val="000000"/>
          <w:kern w:val="0"/>
          <w:sz w:val="28"/>
          <w:szCs w:val="28"/>
          <w:highlight w:val="none"/>
        </w:rPr>
        <w:t>。</w:t>
      </w:r>
    </w:p>
    <w:p w14:paraId="3D0B42E7">
      <w:pPr>
        <w:keepNext w:val="0"/>
        <w:keepLines w:val="0"/>
        <w:pageBreakBefore w:val="0"/>
        <w:numPr>
          <w:ilvl w:val="0"/>
          <w:numId w:val="10"/>
        </w:numPr>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125" w:name="_Toc351203634"/>
      <w:bookmarkStart w:id="126" w:name="_Toc296503157"/>
      <w:bookmarkStart w:id="127" w:name="_Toc296944496"/>
      <w:bookmarkStart w:id="128" w:name="_Toc296346658"/>
      <w:bookmarkStart w:id="129" w:name="_Toc296347156"/>
      <w:bookmarkStart w:id="130" w:name="_Toc297120457"/>
      <w:bookmarkStart w:id="131" w:name="_Toc292559867"/>
      <w:bookmarkStart w:id="132" w:name="_Toc297048343"/>
      <w:bookmarkStart w:id="133" w:name="_Toc292559362"/>
      <w:bookmarkStart w:id="134" w:name="_Toc296891197"/>
      <w:bookmarkStart w:id="135" w:name="_Toc296890985"/>
      <w:r>
        <w:rPr>
          <w:rFonts w:hint="eastAsia" w:ascii="仿宋" w:hAnsi="仿宋" w:eastAsia="仿宋" w:cs="仿宋"/>
          <w:color w:val="000000"/>
          <w:sz w:val="28"/>
          <w:szCs w:val="28"/>
          <w:highlight w:val="none"/>
        </w:rPr>
        <w:t>发包人</w:t>
      </w:r>
      <w:bookmarkEnd w:id="125"/>
    </w:p>
    <w:p w14:paraId="7FE76E4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许可或批准</w:t>
      </w:r>
    </w:p>
    <w:p w14:paraId="28C9B99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181FA6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因发包人原因未能及时办理完毕前述许可、批准或备案，由此增加的费用和（或）延误的工期，承包人自行考虑计入</w:t>
      </w:r>
      <w:r>
        <w:rPr>
          <w:rFonts w:hint="eastAsia" w:ascii="仿宋" w:hAnsi="仿宋" w:eastAsia="仿宋" w:cs="仿宋"/>
          <w:color w:val="000000"/>
          <w:sz w:val="28"/>
          <w:szCs w:val="28"/>
          <w:highlight w:val="none"/>
          <w:lang w:eastAsia="zh-CN"/>
        </w:rPr>
        <w:t>报价</w:t>
      </w:r>
      <w:r>
        <w:rPr>
          <w:rFonts w:hint="eastAsia" w:ascii="仿宋" w:hAnsi="仿宋" w:eastAsia="仿宋" w:cs="仿宋"/>
          <w:color w:val="000000"/>
          <w:sz w:val="28"/>
          <w:szCs w:val="28"/>
          <w:highlight w:val="none"/>
        </w:rPr>
        <w:t>中，发包人不再另行支付。</w:t>
      </w:r>
    </w:p>
    <w:bookmarkEnd w:id="126"/>
    <w:bookmarkEnd w:id="127"/>
    <w:bookmarkEnd w:id="128"/>
    <w:bookmarkEnd w:id="129"/>
    <w:bookmarkEnd w:id="130"/>
    <w:bookmarkEnd w:id="131"/>
    <w:bookmarkEnd w:id="132"/>
    <w:bookmarkEnd w:id="133"/>
    <w:bookmarkEnd w:id="134"/>
    <w:bookmarkEnd w:id="135"/>
    <w:p w14:paraId="3798CF2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 发包人代表</w:t>
      </w:r>
    </w:p>
    <w:p w14:paraId="718DCB3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发包人代表：</w:t>
      </w:r>
    </w:p>
    <w:p w14:paraId="2F33243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    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D80122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身份证号：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665250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职    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A00C6E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AA023E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2073F1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C8BBB0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发包人对发包人代表的授权范围如下：</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color="000000"/>
        </w:rPr>
        <w:t>(1)确认承包人提出的顺延工期的签证；(2)对发生的不可抗力造成工程无法施工的处置；(3)设计变更及施工条件变更等有关签证的确认；(4)工程竣工验收报告的确认；(5)工程预付款和进度款的审批；(6)处理和协调外部施工条件；(7)代表发包人行使本合同约定的其它权利和义务。</w:t>
      </w:r>
    </w:p>
    <w:p w14:paraId="751D739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 施工现场、施工条件和基础资料的提供</w:t>
      </w:r>
    </w:p>
    <w:p w14:paraId="48ED75A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2.4.1 提供施工现场</w:t>
      </w:r>
    </w:p>
    <w:p w14:paraId="1D0C474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关于发包人移交施工现场的期限要求：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开工前7天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6F2BC9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2.4.2 提供施工条件</w:t>
      </w:r>
    </w:p>
    <w:p w14:paraId="1A45DC03">
      <w:pPr>
        <w:keepNext w:val="0"/>
        <w:keepLines w:val="0"/>
        <w:pageBreakBefore w:val="0"/>
        <w:kinsoku/>
        <w:wordWrap/>
        <w:overflowPunct/>
        <w:topLinePunct w:val="0"/>
        <w:autoSpaceDE w:val="0"/>
        <w:autoSpaceDN w:val="0"/>
        <w:bidi w:val="0"/>
        <w:adjustRightInd w:val="0"/>
        <w:spacing w:line="500" w:lineRule="exact"/>
        <w:ind w:left="0" w:leftChars="0" w:right="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kern w:val="0"/>
          <w:sz w:val="28"/>
          <w:szCs w:val="28"/>
          <w:highlight w:val="none"/>
        </w:rPr>
        <w:t>关于发包人应负责提供施工所需要的条件，包括：</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sz w:val="28"/>
          <w:szCs w:val="28"/>
          <w:highlight w:val="none"/>
          <w:u w:val="singl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rPr>
        <w:t>。</w:t>
      </w:r>
    </w:p>
    <w:p w14:paraId="2776448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 资金来源证明及支付担保</w:t>
      </w:r>
    </w:p>
    <w:p w14:paraId="3AD3CE9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发包人提供资金来源证明的期限要求：</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3F5800F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发包人是否提供支付担保：</w:t>
      </w:r>
      <w:r>
        <w:rPr>
          <w:rFonts w:hint="eastAsia" w:ascii="仿宋" w:hAnsi="仿宋" w:eastAsia="仿宋" w:cs="仿宋"/>
          <w:color w:val="000000"/>
          <w:sz w:val="28"/>
          <w:szCs w:val="28"/>
          <w:highlight w:val="none"/>
          <w:u w:val="single"/>
        </w:rPr>
        <w:t>否</w:t>
      </w:r>
      <w:r>
        <w:rPr>
          <w:rFonts w:hint="eastAsia" w:ascii="仿宋" w:hAnsi="仿宋" w:eastAsia="仿宋" w:cs="仿宋"/>
          <w:color w:val="000000"/>
          <w:sz w:val="28"/>
          <w:szCs w:val="28"/>
          <w:highlight w:val="none"/>
        </w:rPr>
        <w:t>。</w:t>
      </w:r>
    </w:p>
    <w:p w14:paraId="29703FD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发包人提供支付担保的形式：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D489154">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136" w:name="_Toc351203635"/>
      <w:r>
        <w:rPr>
          <w:rFonts w:hint="eastAsia" w:ascii="仿宋" w:hAnsi="仿宋" w:eastAsia="仿宋" w:cs="仿宋"/>
          <w:color w:val="000000"/>
          <w:sz w:val="28"/>
          <w:szCs w:val="28"/>
          <w:highlight w:val="none"/>
        </w:rPr>
        <w:t>3</w:t>
      </w:r>
      <w:bookmarkStart w:id="137" w:name="_Toc296890986"/>
      <w:bookmarkStart w:id="138" w:name="_Toc292559868"/>
      <w:bookmarkStart w:id="139" w:name="_Toc296944497"/>
      <w:bookmarkStart w:id="140" w:name="_Toc296503158"/>
      <w:bookmarkStart w:id="141" w:name="_Toc292559363"/>
      <w:bookmarkStart w:id="142" w:name="_Toc296891198"/>
      <w:bookmarkStart w:id="143" w:name="_Toc296347157"/>
      <w:bookmarkStart w:id="144" w:name="_Toc297120458"/>
      <w:bookmarkStart w:id="145" w:name="_Toc296346659"/>
      <w:bookmarkStart w:id="146" w:name="_Toc297048344"/>
      <w:r>
        <w:rPr>
          <w:rFonts w:hint="eastAsia" w:ascii="仿宋" w:hAnsi="仿宋" w:eastAsia="仿宋" w:cs="仿宋"/>
          <w:color w:val="000000"/>
          <w:sz w:val="28"/>
          <w:szCs w:val="28"/>
          <w:highlight w:val="none"/>
        </w:rPr>
        <w:t>. 承包人</w:t>
      </w:r>
      <w:bookmarkEnd w:id="136"/>
    </w:p>
    <w:bookmarkEnd w:id="137"/>
    <w:bookmarkEnd w:id="138"/>
    <w:bookmarkEnd w:id="139"/>
    <w:bookmarkEnd w:id="140"/>
    <w:bookmarkEnd w:id="141"/>
    <w:bookmarkEnd w:id="142"/>
    <w:bookmarkEnd w:id="143"/>
    <w:bookmarkEnd w:id="144"/>
    <w:bookmarkEnd w:id="145"/>
    <w:bookmarkEnd w:id="146"/>
    <w:p w14:paraId="776990A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 承包人的一般义务</w:t>
      </w:r>
    </w:p>
    <w:p w14:paraId="3D6F82E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（9）</w:t>
      </w:r>
      <w:r>
        <w:rPr>
          <w:rFonts w:hint="eastAsia" w:ascii="仿宋" w:hAnsi="仿宋" w:eastAsia="仿宋" w:cs="仿宋"/>
          <w:color w:val="000000"/>
          <w:sz w:val="28"/>
          <w:szCs w:val="28"/>
          <w:highlight w:val="none"/>
        </w:rPr>
        <w:t>承包人提交的竣工资料的内容：</w:t>
      </w:r>
      <w:r>
        <w:rPr>
          <w:rFonts w:hint="eastAsia" w:ascii="仿宋" w:hAnsi="仿宋" w:eastAsia="仿宋" w:cs="仿宋"/>
          <w:b/>
          <w:color w:val="000000"/>
          <w:sz w:val="28"/>
          <w:szCs w:val="28"/>
          <w:highlight w:val="none"/>
          <w:u w:val="single" w:color="000000"/>
        </w:rPr>
        <w:t>提供符合城建档案部门和行政质检监督部门要求的竣工图及竣工资料</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6189A5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承包人需要提交的竣工资料套数：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color="000000"/>
        </w:rPr>
        <w:t>按发包人和城建档案馆要求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24907F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承包人提交的竣工资料的费用承担：</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承包人承担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0FDD9E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承包人提交的竣工资料移交时间：</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color="000000"/>
        </w:rPr>
        <w:t>本工程验收后28日内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CF6CC6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承包人提交的竣工资料形式要求：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书面及电子文档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49D8FA2">
      <w:pPr>
        <w:keepNext w:val="0"/>
        <w:keepLines w:val="0"/>
        <w:pageBreakBefore w:val="0"/>
        <w:kinsoku/>
        <w:wordWrap/>
        <w:overflowPunct/>
        <w:topLinePunct w:val="0"/>
        <w:autoSpaceDE w:val="0"/>
        <w:autoSpaceDN w:val="0"/>
        <w:bidi w:val="0"/>
        <w:adjustRightInd w:val="0"/>
        <w:spacing w:line="500" w:lineRule="exact"/>
        <w:ind w:left="0" w:leftChars="0" w:right="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（10）承包人应履行的其他义务：</w:t>
      </w:r>
    </w:p>
    <w:p w14:paraId="74FD3CED">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kern w:val="0"/>
          <w:sz w:val="28"/>
          <w:szCs w:val="28"/>
          <w:highlight w:val="none"/>
          <w:u w:val="single" w:color="000000"/>
        </w:rPr>
        <w:t>①承包人应按发包人的指令，完成发包人要求的对工程内容的任何增加和删减。</w:t>
      </w:r>
    </w:p>
    <w:p w14:paraId="72EF5A06">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b/>
          <w:color w:val="000000"/>
          <w:kern w:val="0"/>
          <w:sz w:val="28"/>
          <w:szCs w:val="28"/>
          <w:highlight w:val="none"/>
          <w:u w:val="single" w:color="000000"/>
        </w:rPr>
        <w:t>②承包人应积极主动核对</w:t>
      </w:r>
      <w:r>
        <w:rPr>
          <w:rFonts w:hint="eastAsia" w:ascii="仿宋" w:hAnsi="仿宋" w:eastAsia="仿宋" w:cs="仿宋"/>
          <w:b/>
          <w:color w:val="000000"/>
          <w:kern w:val="0"/>
          <w:sz w:val="28"/>
          <w:szCs w:val="28"/>
          <w:highlight w:val="none"/>
          <w:u w:val="single" w:color="000000"/>
          <w:lang w:eastAsia="zh-CN"/>
        </w:rPr>
        <w:t>图纸</w:t>
      </w:r>
      <w:r>
        <w:rPr>
          <w:rFonts w:hint="eastAsia" w:ascii="仿宋" w:hAnsi="仿宋" w:eastAsia="仿宋" w:cs="仿宋"/>
          <w:b/>
          <w:color w:val="000000"/>
          <w:kern w:val="0"/>
          <w:sz w:val="28"/>
          <w:szCs w:val="28"/>
          <w:highlight w:val="none"/>
          <w:u w:val="single" w:color="000000"/>
        </w:rPr>
        <w:t>中的标高、轴线等技术数据，充分理解设计意图。若由于明显的设计</w:t>
      </w:r>
      <w:r>
        <w:rPr>
          <w:rFonts w:hint="eastAsia" w:ascii="仿宋" w:hAnsi="仿宋" w:eastAsia="仿宋" w:cs="仿宋"/>
          <w:b/>
          <w:color w:val="000000"/>
          <w:kern w:val="0"/>
          <w:sz w:val="28"/>
          <w:szCs w:val="28"/>
          <w:highlight w:val="none"/>
          <w:u w:val="single" w:color="000000"/>
          <w:lang w:eastAsia="zh-CN"/>
        </w:rPr>
        <w:t>图纸</w:t>
      </w:r>
      <w:r>
        <w:rPr>
          <w:rFonts w:hint="eastAsia" w:ascii="仿宋" w:hAnsi="仿宋" w:eastAsia="仿宋" w:cs="仿宋"/>
          <w:b/>
          <w:color w:val="000000"/>
          <w:kern w:val="0"/>
          <w:sz w:val="28"/>
          <w:szCs w:val="28"/>
          <w:highlight w:val="none"/>
          <w:u w:val="single" w:color="000000"/>
        </w:rPr>
        <w:t>问题（例如尺寸标注不闭合、文字标识相互矛盾等）和发包人（包括监理）不正确的指令，承包人发现后有口头或书面告知义务，否则造成工程质量、安全、进度损失，也不能免除承包人的责任。</w:t>
      </w:r>
    </w:p>
    <w:p w14:paraId="1987B18D">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b/>
          <w:color w:val="000000"/>
          <w:kern w:val="0"/>
          <w:sz w:val="28"/>
          <w:szCs w:val="28"/>
          <w:highlight w:val="none"/>
          <w:u w:val="single" w:color="000000"/>
        </w:rPr>
        <w:t>③承包人使用的临时用水、临时用电等设施在合同执行期间，如发包人要求为其他承包人提供分表接口的，承包人应予无条件同意。</w:t>
      </w:r>
    </w:p>
    <w:p w14:paraId="2D139339">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b/>
          <w:color w:val="000000"/>
          <w:kern w:val="0"/>
          <w:sz w:val="28"/>
          <w:szCs w:val="28"/>
          <w:highlight w:val="none"/>
          <w:u w:val="single" w:color="000000"/>
        </w:rPr>
        <w:t>④</w:t>
      </w:r>
      <w:r>
        <w:rPr>
          <w:rFonts w:hint="eastAsia" w:ascii="仿宋" w:hAnsi="仿宋" w:eastAsia="仿宋" w:cs="仿宋"/>
          <w:b/>
          <w:color w:val="000000"/>
          <w:sz w:val="28"/>
          <w:szCs w:val="28"/>
          <w:highlight w:val="none"/>
          <w:u w:val="single"/>
        </w:rPr>
        <w:t>承包人应做好现场安全文明施工及已有成品保护工作。必须制定和执行有效的扬尘处理措施。现场运输材料、堆放材料等造成的路面的污染；现场施工及生活产生的垃圾应该每天有人清除。</w:t>
      </w:r>
    </w:p>
    <w:p w14:paraId="33546B0D">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u w:val="single"/>
        </w:rPr>
        <w:t>⑤必须遵守建设单位的相关制度</w:t>
      </w:r>
      <w:r>
        <w:rPr>
          <w:rFonts w:hint="eastAsia" w:ascii="仿宋" w:hAnsi="仿宋" w:eastAsia="仿宋" w:cs="仿宋"/>
          <w:b/>
          <w:color w:val="000000"/>
          <w:sz w:val="28"/>
          <w:szCs w:val="28"/>
          <w:highlight w:val="none"/>
          <w:u w:val="single"/>
          <w:lang w:eastAsia="zh-CN"/>
        </w:rPr>
        <w:t>，</w:t>
      </w:r>
      <w:r>
        <w:rPr>
          <w:rFonts w:hint="eastAsia" w:ascii="仿宋" w:hAnsi="仿宋" w:eastAsia="仿宋" w:cs="仿宋"/>
          <w:b/>
          <w:color w:val="000000"/>
          <w:sz w:val="28"/>
          <w:szCs w:val="28"/>
          <w:highlight w:val="none"/>
          <w:u w:val="single"/>
        </w:rPr>
        <w:t>服从管理。</w:t>
      </w:r>
    </w:p>
    <w:p w14:paraId="1B970A20">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sz w:val="28"/>
          <w:szCs w:val="28"/>
          <w:highlight w:val="none"/>
          <w:u w:val="single"/>
        </w:rPr>
        <w:t>⑥</w:t>
      </w:r>
      <w:r>
        <w:rPr>
          <w:rFonts w:hint="eastAsia" w:ascii="仿宋" w:hAnsi="仿宋" w:eastAsia="仿宋" w:cs="仿宋"/>
          <w:b/>
          <w:color w:val="000000"/>
          <w:kern w:val="0"/>
          <w:sz w:val="28"/>
          <w:szCs w:val="28"/>
          <w:highlight w:val="none"/>
          <w:u w:val="single" w:color="000000"/>
        </w:rPr>
        <w:t>承包人应在工地配备一定容量的备用电源，作为施工供电中断时的应急电源。</w:t>
      </w:r>
    </w:p>
    <w:p w14:paraId="0FC41315">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kern w:val="0"/>
          <w:sz w:val="28"/>
          <w:szCs w:val="28"/>
          <w:highlight w:val="none"/>
          <w:u w:val="single" w:color="000000"/>
        </w:rPr>
        <w:t>⑦</w:t>
      </w:r>
      <w:r>
        <w:rPr>
          <w:rFonts w:hint="eastAsia" w:ascii="仿宋" w:hAnsi="仿宋" w:eastAsia="仿宋" w:cs="仿宋"/>
          <w:b/>
          <w:color w:val="000000"/>
          <w:kern w:val="0"/>
          <w:sz w:val="28"/>
          <w:szCs w:val="28"/>
          <w:highlight w:val="none"/>
          <w:u w:val="single" w:color="000000"/>
          <w:lang w:val="en-US" w:eastAsia="zh-CN"/>
        </w:rPr>
        <w:t>承包人应按照政府相关规定，建立健全的雇员工资发放和劳动保障制度。</w:t>
      </w:r>
    </w:p>
    <w:p w14:paraId="0D6C0892">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lang w:val="en-US" w:eastAsia="zh-CN"/>
        </w:rPr>
        <w:t>⑧</w:t>
      </w:r>
      <w:r>
        <w:rPr>
          <w:rFonts w:hint="eastAsia" w:ascii="仿宋" w:hAnsi="仿宋" w:eastAsia="仿宋" w:cs="仿宋"/>
          <w:b/>
          <w:bCs/>
          <w:color w:val="000000"/>
          <w:sz w:val="28"/>
          <w:szCs w:val="28"/>
          <w:highlight w:val="none"/>
          <w:u w:val="single"/>
        </w:rPr>
        <w:t>承包人签订合同后，应</w:t>
      </w:r>
      <w:r>
        <w:rPr>
          <w:rFonts w:hint="eastAsia" w:ascii="仿宋" w:hAnsi="仿宋" w:eastAsia="仿宋" w:cs="仿宋"/>
          <w:b/>
          <w:bCs/>
          <w:color w:val="000000"/>
          <w:sz w:val="28"/>
          <w:szCs w:val="28"/>
          <w:highlight w:val="none"/>
          <w:u w:val="single"/>
          <w:shd w:val="clear" w:color="auto" w:fill="FFFFFF"/>
        </w:rPr>
        <w:t>按照有关规定</w:t>
      </w:r>
      <w:r>
        <w:rPr>
          <w:rFonts w:hint="eastAsia" w:ascii="仿宋" w:hAnsi="仿宋" w:eastAsia="仿宋" w:cs="仿宋"/>
          <w:b/>
          <w:bCs/>
          <w:color w:val="000000"/>
          <w:sz w:val="28"/>
          <w:szCs w:val="28"/>
          <w:highlight w:val="none"/>
          <w:u w:val="single"/>
        </w:rPr>
        <w:t>在项目所在地银行开设农民工工资专用账户，专项用于支付本项目农民工工资。承包人委托开户银行负责日常监管，并向开户银行书面承诺该账户资金只能用于支付农民工工资，不得挪作他用。发包人直接将人工费用拨付至农民工工资专用账户，并对承包人按时足额支付农民工工资进行监督。</w:t>
      </w:r>
    </w:p>
    <w:p w14:paraId="4362793F">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lang w:val="en-US" w:eastAsia="zh-CN"/>
        </w:rPr>
        <w:t>⑨</w:t>
      </w:r>
      <w:r>
        <w:rPr>
          <w:rFonts w:hint="eastAsia" w:ascii="仿宋" w:hAnsi="仿宋" w:eastAsia="仿宋" w:cs="仿宋"/>
          <w:b/>
          <w:bCs/>
          <w:color w:val="000000"/>
          <w:sz w:val="28"/>
          <w:szCs w:val="28"/>
          <w:highlight w:val="none"/>
          <w:u w:val="single"/>
        </w:rPr>
        <w:t>承包人应按照《云南省〈工程建设领域农民工工资保证金规定〉实施细则》的有关规定存储工资保证金，专项用于支付为所承包工程提供劳动的农民工被拖欠的工资。承包人应当对建设工程各环节的农民工工资支付情况履行监控义务，对所承包建设工程的农民工工资支付负总责，在工程项目竣工通过验收并已结清和足额支付农民工工资前不得支取农民工工资保证金。</w:t>
      </w:r>
    </w:p>
    <w:p w14:paraId="24B4ADF1">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lang w:val="en-US" w:eastAsia="zh-CN"/>
        </w:rPr>
        <w:t>⑩</w:t>
      </w:r>
      <w:r>
        <w:rPr>
          <w:rFonts w:hint="eastAsia" w:ascii="仿宋" w:hAnsi="仿宋" w:eastAsia="仿宋" w:cs="仿宋"/>
          <w:b/>
          <w:bCs/>
          <w:color w:val="000000"/>
          <w:sz w:val="28"/>
          <w:szCs w:val="28"/>
          <w:highlight w:val="none"/>
          <w:u w:val="single"/>
        </w:rPr>
        <w:t>承包人应按合同约定的工作内容和施工进度的要求，编制施工组织设计和施工措施计划，并对所有施工作业和施工方法的完备性和安全可靠性负责；施工组织设计虽经监理工程师审查确认，但不免除承包人的责任，承包人为满足施工而对施工组织设计和施工措施进行调整与修改所增加的费用不能作为追加合同价款的理由和依据。</w:t>
      </w:r>
    </w:p>
    <w:p w14:paraId="005C2C09">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rPr>
        <w:t>⑪承包人应从“对所有施工作业和施工方法的完备性和安全可靠性负责”的工程施工目标出发，认真对施工现场和周围环境进行实地踏勘，充分了解工地位置、情况、道路、储存空间、装卸限制及任何其他足以影响承包价的情况，并收集有关地质、水文、气象条件、交通条件、风俗习惯以及其他为完成合同工作有关的当地资料。承包人不能因为发包人在</w:t>
      </w:r>
      <w:r>
        <w:rPr>
          <w:rFonts w:hint="eastAsia" w:ascii="仿宋" w:hAnsi="仿宋" w:eastAsia="仿宋" w:cs="仿宋"/>
          <w:b/>
          <w:bCs/>
          <w:color w:val="000000"/>
          <w:sz w:val="28"/>
          <w:szCs w:val="28"/>
          <w:highlight w:val="none"/>
          <w:u w:val="single"/>
          <w:lang w:val="en-US" w:eastAsia="zh-CN"/>
        </w:rPr>
        <w:t>采购</w:t>
      </w:r>
      <w:r>
        <w:rPr>
          <w:rFonts w:hint="eastAsia" w:ascii="仿宋" w:hAnsi="仿宋" w:eastAsia="仿宋" w:cs="仿宋"/>
          <w:b/>
          <w:bCs/>
          <w:color w:val="000000"/>
          <w:sz w:val="28"/>
          <w:szCs w:val="28"/>
          <w:highlight w:val="none"/>
          <w:u w:val="single"/>
        </w:rPr>
        <w:t>阶段提供的相关资料的某些不足而推卸自己按本项约定应承担的责任和风险，要求推延工期和增加费用。在全部合同工作中，视为承包人已充分估计了应承担的责任和风险，任何因忽视或误解工地情况而导致的索赔或工期延长申请将不被批准。</w:t>
      </w:r>
    </w:p>
    <w:p w14:paraId="37A59672">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kern w:val="0"/>
          <w:sz w:val="28"/>
          <w:szCs w:val="28"/>
          <w:highlight w:val="none"/>
          <w:u w:val="single" w:color="000000"/>
        </w:rPr>
      </w:pPr>
      <w:r>
        <w:rPr>
          <w:rFonts w:hint="eastAsia" w:ascii="仿宋" w:hAnsi="仿宋" w:eastAsia="仿宋" w:cs="仿宋"/>
          <w:b/>
          <w:bCs/>
          <w:color w:val="000000"/>
          <w:sz w:val="28"/>
          <w:szCs w:val="28"/>
          <w:highlight w:val="none"/>
          <w:u w:val="single"/>
        </w:rPr>
        <w:t>⑫施工中若出现交叉作业，承包人应无条件服从发包人安排，影响的</w:t>
      </w:r>
      <w:r>
        <w:rPr>
          <w:rFonts w:hint="eastAsia" w:ascii="仿宋" w:hAnsi="仿宋" w:eastAsia="仿宋" w:cs="仿宋"/>
          <w:b/>
          <w:bCs/>
          <w:color w:val="000000"/>
          <w:kern w:val="0"/>
          <w:sz w:val="28"/>
          <w:szCs w:val="28"/>
          <w:highlight w:val="none"/>
          <w:u w:val="single"/>
        </w:rPr>
        <w:t>工期予以相应顺延，由此产生的误工费承包人自行承担。</w:t>
      </w:r>
    </w:p>
    <w:p w14:paraId="11140AA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3.2 </w:t>
      </w:r>
      <w:r>
        <w:rPr>
          <w:rFonts w:hint="eastAsia" w:ascii="仿宋" w:hAnsi="仿宋" w:eastAsia="仿宋" w:cs="仿宋"/>
          <w:color w:val="000000"/>
          <w:sz w:val="28"/>
          <w:szCs w:val="28"/>
          <w:highlight w:val="none"/>
          <w:lang w:eastAsia="zh-CN"/>
        </w:rPr>
        <w:t>项目经理</w:t>
      </w:r>
    </w:p>
    <w:p w14:paraId="742B3E9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 xml:space="preserve">3.2.1 </w:t>
      </w:r>
      <w:r>
        <w:rPr>
          <w:rFonts w:hint="eastAsia" w:ascii="仿宋" w:hAnsi="仿宋" w:eastAsia="仿宋" w:cs="仿宋"/>
          <w:color w:val="000000"/>
          <w:sz w:val="28"/>
          <w:szCs w:val="28"/>
          <w:highlight w:val="none"/>
          <w:lang w:eastAsia="zh-CN"/>
        </w:rPr>
        <w:t>项目经理</w:t>
      </w:r>
      <w:r>
        <w:rPr>
          <w:rFonts w:hint="eastAsia" w:ascii="仿宋" w:hAnsi="仿宋" w:eastAsia="仿宋" w:cs="仿宋"/>
          <w:color w:val="000000"/>
          <w:sz w:val="28"/>
          <w:szCs w:val="28"/>
          <w:highlight w:val="none"/>
        </w:rPr>
        <w:t>：</w:t>
      </w:r>
    </w:p>
    <w:p w14:paraId="084AB21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    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77CC3D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身份证号：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C0D210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建造师执业资格等级：</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1FD330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建造师注册证书号：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996C59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建造师执业印章号：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4C5E84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安全生产考核合格证书号：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7CB673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9F44FC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569203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2D0D89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承包人对</w:t>
      </w:r>
      <w:r>
        <w:rPr>
          <w:rFonts w:hint="eastAsia" w:ascii="仿宋" w:hAnsi="仿宋" w:eastAsia="仿宋" w:cs="仿宋"/>
          <w:color w:val="000000"/>
          <w:sz w:val="28"/>
          <w:szCs w:val="28"/>
          <w:highlight w:val="none"/>
          <w:lang w:eastAsia="zh-CN"/>
        </w:rPr>
        <w:t>项目经理</w:t>
      </w:r>
      <w:r>
        <w:rPr>
          <w:rFonts w:hint="eastAsia" w:ascii="仿宋" w:hAnsi="仿宋" w:eastAsia="仿宋" w:cs="仿宋"/>
          <w:color w:val="000000"/>
          <w:sz w:val="28"/>
          <w:szCs w:val="28"/>
          <w:highlight w:val="none"/>
        </w:rPr>
        <w:t>的授权范围如下：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全权处理本项目的一切事务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73A33E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w:t>
      </w:r>
      <w:r>
        <w:rPr>
          <w:rFonts w:hint="eastAsia" w:ascii="仿宋" w:hAnsi="仿宋" w:eastAsia="仿宋" w:cs="仿宋"/>
          <w:color w:val="000000"/>
          <w:kern w:val="0"/>
          <w:sz w:val="28"/>
          <w:szCs w:val="28"/>
          <w:highlight w:val="none"/>
          <w:lang w:eastAsia="zh-CN"/>
        </w:rPr>
        <w:t>项目经理</w:t>
      </w:r>
      <w:r>
        <w:rPr>
          <w:rFonts w:hint="eastAsia" w:ascii="仿宋" w:hAnsi="仿宋" w:eastAsia="仿宋" w:cs="仿宋"/>
          <w:color w:val="000000"/>
          <w:kern w:val="0"/>
          <w:sz w:val="28"/>
          <w:szCs w:val="28"/>
          <w:highlight w:val="none"/>
        </w:rPr>
        <w:t>每月在施工现场的时间要求：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color="000000"/>
        </w:rPr>
        <w:t>常驻工地。</w:t>
      </w:r>
    </w:p>
    <w:p w14:paraId="0D326B4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承包人未提交劳动合同，以及没有为</w:t>
      </w:r>
      <w:r>
        <w:rPr>
          <w:rFonts w:hint="eastAsia" w:ascii="仿宋" w:hAnsi="仿宋" w:eastAsia="仿宋" w:cs="仿宋"/>
          <w:color w:val="000000"/>
          <w:kern w:val="0"/>
          <w:sz w:val="28"/>
          <w:szCs w:val="28"/>
          <w:highlight w:val="none"/>
          <w:lang w:eastAsia="zh-CN"/>
        </w:rPr>
        <w:t>项目经理</w:t>
      </w:r>
      <w:r>
        <w:rPr>
          <w:rFonts w:hint="eastAsia" w:ascii="仿宋" w:hAnsi="仿宋" w:eastAsia="仿宋" w:cs="仿宋"/>
          <w:color w:val="000000"/>
          <w:kern w:val="0"/>
          <w:sz w:val="28"/>
          <w:szCs w:val="28"/>
          <w:highlight w:val="none"/>
        </w:rPr>
        <w:t>缴纳社会保险证明的违约责任：</w:t>
      </w:r>
      <w:r>
        <w:rPr>
          <w:rFonts w:hint="eastAsia" w:ascii="仿宋" w:hAnsi="仿宋" w:eastAsia="仿宋" w:cs="仿宋"/>
          <w:b/>
          <w:color w:val="000000"/>
          <w:sz w:val="28"/>
          <w:szCs w:val="28"/>
          <w:highlight w:val="none"/>
          <w:u w:val="single" w:color="000000"/>
        </w:rPr>
        <w:t xml:space="preserve">承包人无条件承担由此产生的风险、负责及经济损失，发包人有权无条件解除合同 </w:t>
      </w:r>
      <w:r>
        <w:rPr>
          <w:rFonts w:hint="eastAsia" w:ascii="仿宋" w:hAnsi="仿宋" w:eastAsia="仿宋" w:cs="仿宋"/>
          <w:color w:val="000000"/>
          <w:sz w:val="28"/>
          <w:szCs w:val="28"/>
          <w:highlight w:val="none"/>
        </w:rPr>
        <w:t>。</w:t>
      </w:r>
    </w:p>
    <w:p w14:paraId="1E2C3D1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color="000000"/>
        </w:rPr>
      </w:pPr>
      <w:r>
        <w:rPr>
          <w:rFonts w:hint="eastAsia" w:ascii="仿宋" w:hAnsi="仿宋" w:eastAsia="仿宋" w:cs="仿宋"/>
          <w:color w:val="000000"/>
          <w:kern w:val="0"/>
          <w:sz w:val="28"/>
          <w:szCs w:val="28"/>
          <w:highlight w:val="none"/>
          <w:lang w:eastAsia="zh-CN"/>
        </w:rPr>
        <w:t>项目经理</w:t>
      </w:r>
      <w:r>
        <w:rPr>
          <w:rFonts w:hint="eastAsia" w:ascii="仿宋" w:hAnsi="仿宋" w:eastAsia="仿宋" w:cs="仿宋"/>
          <w:color w:val="000000"/>
          <w:kern w:val="0"/>
          <w:sz w:val="28"/>
          <w:szCs w:val="28"/>
          <w:highlight w:val="none"/>
        </w:rPr>
        <w:t>未经批准，擅自离开施工现场的违约责任：</w:t>
      </w:r>
      <w:r>
        <w:rPr>
          <w:rFonts w:hint="eastAsia" w:ascii="仿宋" w:hAnsi="仿宋" w:eastAsia="仿宋" w:cs="仿宋"/>
          <w:b/>
          <w:color w:val="000000"/>
          <w:sz w:val="28"/>
          <w:szCs w:val="28"/>
          <w:highlight w:val="none"/>
          <w:u w:val="single" w:color="000000"/>
        </w:rPr>
        <w:t>承包人向发包人支付500元/天的违约金。</w:t>
      </w:r>
    </w:p>
    <w:p w14:paraId="4E817C2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3.2.3 承包人擅自更换</w:t>
      </w:r>
      <w:r>
        <w:rPr>
          <w:rFonts w:hint="eastAsia" w:ascii="仿宋" w:hAnsi="仿宋" w:eastAsia="仿宋" w:cs="仿宋"/>
          <w:color w:val="000000"/>
          <w:sz w:val="28"/>
          <w:szCs w:val="28"/>
          <w:highlight w:val="none"/>
          <w:lang w:eastAsia="zh-CN"/>
        </w:rPr>
        <w:t>项目经理</w:t>
      </w:r>
      <w:r>
        <w:rPr>
          <w:rFonts w:hint="eastAsia" w:ascii="仿宋" w:hAnsi="仿宋" w:eastAsia="仿宋" w:cs="仿宋"/>
          <w:color w:val="000000"/>
          <w:sz w:val="28"/>
          <w:szCs w:val="28"/>
          <w:highlight w:val="none"/>
        </w:rPr>
        <w:t>的违约责任：</w:t>
      </w:r>
      <w:r>
        <w:rPr>
          <w:rFonts w:hint="eastAsia" w:ascii="仿宋" w:hAnsi="仿宋" w:eastAsia="仿宋" w:cs="仿宋"/>
          <w:b/>
          <w:color w:val="000000"/>
          <w:sz w:val="28"/>
          <w:szCs w:val="28"/>
          <w:highlight w:val="none"/>
          <w:u w:val="single" w:color="000000"/>
        </w:rPr>
        <w:t>承包人向发包人支付违约金</w:t>
      </w:r>
      <w:r>
        <w:rPr>
          <w:rFonts w:hint="eastAsia" w:ascii="仿宋" w:hAnsi="仿宋" w:eastAsia="仿宋" w:cs="仿宋"/>
          <w:b/>
          <w:color w:val="000000"/>
          <w:sz w:val="28"/>
          <w:szCs w:val="28"/>
          <w:highlight w:val="none"/>
          <w:u w:val="single" w:color="000000"/>
          <w:lang w:val="en-US" w:eastAsia="zh-CN"/>
        </w:rPr>
        <w:t>20</w:t>
      </w:r>
      <w:r>
        <w:rPr>
          <w:rFonts w:hint="eastAsia" w:ascii="仿宋" w:hAnsi="仿宋" w:eastAsia="仿宋" w:cs="仿宋"/>
          <w:b/>
          <w:color w:val="000000"/>
          <w:sz w:val="28"/>
          <w:szCs w:val="28"/>
          <w:highlight w:val="none"/>
          <w:u w:val="single" w:color="000000"/>
        </w:rPr>
        <w:t>000元，并承担由此产生的一切经济风险、责任及经济损失。</w:t>
      </w:r>
    </w:p>
    <w:p w14:paraId="4AB5503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color="000000"/>
        </w:rPr>
      </w:pPr>
      <w:r>
        <w:rPr>
          <w:rFonts w:hint="eastAsia" w:ascii="仿宋" w:hAnsi="仿宋" w:eastAsia="仿宋" w:cs="仿宋"/>
          <w:color w:val="000000"/>
          <w:sz w:val="28"/>
          <w:szCs w:val="28"/>
          <w:highlight w:val="none"/>
        </w:rPr>
        <w:t>3.2.4 承包人无正当理由拒绝更换</w:t>
      </w:r>
      <w:r>
        <w:rPr>
          <w:rFonts w:hint="eastAsia" w:ascii="仿宋" w:hAnsi="仿宋" w:eastAsia="仿宋" w:cs="仿宋"/>
          <w:color w:val="000000"/>
          <w:sz w:val="28"/>
          <w:szCs w:val="28"/>
          <w:highlight w:val="none"/>
          <w:lang w:eastAsia="zh-CN"/>
        </w:rPr>
        <w:t>项目经理</w:t>
      </w:r>
      <w:r>
        <w:rPr>
          <w:rFonts w:hint="eastAsia" w:ascii="仿宋" w:hAnsi="仿宋" w:eastAsia="仿宋" w:cs="仿宋"/>
          <w:color w:val="000000"/>
          <w:sz w:val="28"/>
          <w:szCs w:val="28"/>
          <w:highlight w:val="none"/>
        </w:rPr>
        <w:t>的违约责任：</w:t>
      </w:r>
      <w:r>
        <w:rPr>
          <w:rFonts w:hint="eastAsia" w:ascii="仿宋" w:hAnsi="仿宋" w:eastAsia="仿宋" w:cs="仿宋"/>
          <w:b/>
          <w:color w:val="000000"/>
          <w:sz w:val="28"/>
          <w:szCs w:val="28"/>
          <w:highlight w:val="none"/>
          <w:u w:val="single" w:color="000000"/>
        </w:rPr>
        <w:t>承包人向发包人支付违约金</w:t>
      </w:r>
      <w:r>
        <w:rPr>
          <w:rFonts w:hint="eastAsia" w:ascii="仿宋" w:hAnsi="仿宋" w:eastAsia="仿宋" w:cs="仿宋"/>
          <w:b/>
          <w:color w:val="000000"/>
          <w:sz w:val="28"/>
          <w:szCs w:val="28"/>
          <w:highlight w:val="none"/>
          <w:u w:val="single" w:color="000000"/>
          <w:lang w:val="en-US" w:eastAsia="zh-CN"/>
        </w:rPr>
        <w:t>20</w:t>
      </w:r>
      <w:r>
        <w:rPr>
          <w:rFonts w:hint="eastAsia" w:ascii="仿宋" w:hAnsi="仿宋" w:eastAsia="仿宋" w:cs="仿宋"/>
          <w:b/>
          <w:color w:val="000000"/>
          <w:sz w:val="28"/>
          <w:szCs w:val="28"/>
          <w:highlight w:val="none"/>
          <w:u w:val="single" w:color="000000"/>
        </w:rPr>
        <w:t>000元，并承担由此产生的一切经济风险、责任及经济损失。</w:t>
      </w:r>
    </w:p>
    <w:p w14:paraId="118C6E4A">
      <w:pPr>
        <w:keepNext w:val="0"/>
        <w:keepLines w:val="0"/>
        <w:pageBreakBefore w:val="0"/>
        <w:kinsoku/>
        <w:wordWrap/>
        <w:overflowPunct/>
        <w:topLinePunct w:val="0"/>
        <w:bidi w:val="0"/>
        <w:spacing w:after="0" w:afterLines="0" w:afterAutospacing="0"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 承包人人员</w:t>
      </w:r>
    </w:p>
    <w:p w14:paraId="748428D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 承包人提交项目管理机构及施工现场管理人员安排报告的期限：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开工前2天内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5E3625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3.3.3 承包人无正当理由拒绝撤换主要施工管理人员的违约责任：</w:t>
      </w:r>
      <w:r>
        <w:rPr>
          <w:rFonts w:hint="eastAsia" w:ascii="仿宋" w:hAnsi="仿宋" w:eastAsia="仿宋" w:cs="仿宋"/>
          <w:b/>
          <w:bCs/>
          <w:color w:val="000000"/>
          <w:sz w:val="28"/>
          <w:szCs w:val="28"/>
          <w:highlight w:val="none"/>
          <w:u w:val="single"/>
        </w:rPr>
        <w:t>若项目主要施工管理人员不能胜任本项目工作，发包人有权要求更换，承包人应在2天内及时更换能力胜任的项目主要施工管理人员，承包人拒不更换的处以</w:t>
      </w:r>
      <w:r>
        <w:rPr>
          <w:rFonts w:hint="eastAsia" w:ascii="仿宋" w:hAnsi="仿宋" w:eastAsia="仿宋" w:cs="仿宋"/>
          <w:b/>
          <w:bCs/>
          <w:color w:val="000000"/>
          <w:sz w:val="28"/>
          <w:szCs w:val="28"/>
          <w:highlight w:val="none"/>
          <w:u w:val="single"/>
          <w:lang w:val="en-US" w:eastAsia="zh-CN"/>
        </w:rPr>
        <w:t>5</w:t>
      </w:r>
      <w:r>
        <w:rPr>
          <w:rFonts w:hint="eastAsia" w:ascii="仿宋" w:hAnsi="仿宋" w:eastAsia="仿宋" w:cs="仿宋"/>
          <w:b/>
          <w:bCs/>
          <w:color w:val="000000"/>
          <w:sz w:val="28"/>
          <w:szCs w:val="28"/>
          <w:highlight w:val="none"/>
          <w:u w:val="single"/>
        </w:rPr>
        <w:t>000元/次的罚款，并且需承担由于承包人未及时更换项目主要施工管理人员造成的一切经济损失</w:t>
      </w:r>
      <w:r>
        <w:rPr>
          <w:rFonts w:hint="eastAsia" w:ascii="仿宋" w:hAnsi="仿宋" w:eastAsia="仿宋" w:cs="仿宋"/>
          <w:color w:val="000000"/>
          <w:sz w:val="28"/>
          <w:szCs w:val="28"/>
          <w:highlight w:val="none"/>
        </w:rPr>
        <w:t>。</w:t>
      </w:r>
    </w:p>
    <w:p w14:paraId="2D726E8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3.3.4 承包人主要施工管理人员离开施工现场的批准要求：</w:t>
      </w:r>
      <w:r>
        <w:rPr>
          <w:rFonts w:hint="eastAsia" w:ascii="仿宋" w:hAnsi="仿宋" w:eastAsia="仿宋" w:cs="仿宋"/>
          <w:b/>
          <w:color w:val="000000"/>
          <w:sz w:val="28"/>
          <w:szCs w:val="28"/>
          <w:highlight w:val="none"/>
          <w:u w:val="single"/>
        </w:rPr>
        <w:t xml:space="preserve"> 由总监理工程师批准，发包人认可方可离开。</w:t>
      </w:r>
    </w:p>
    <w:p w14:paraId="4DD33D8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3.3.5承包人擅自更换主要施工管理人员的违约责任：</w:t>
      </w:r>
      <w:r>
        <w:rPr>
          <w:rFonts w:hint="eastAsia" w:ascii="仿宋" w:hAnsi="仿宋" w:eastAsia="仿宋" w:cs="仿宋"/>
          <w:b/>
          <w:color w:val="000000"/>
          <w:sz w:val="28"/>
          <w:szCs w:val="28"/>
          <w:highlight w:val="none"/>
          <w:u w:val="single" w:color="000000"/>
        </w:rPr>
        <w:t>承包人向发包人支付违约金</w:t>
      </w:r>
      <w:r>
        <w:rPr>
          <w:rFonts w:hint="eastAsia" w:ascii="仿宋" w:hAnsi="仿宋" w:eastAsia="仿宋" w:cs="仿宋"/>
          <w:b/>
          <w:color w:val="000000"/>
          <w:sz w:val="28"/>
          <w:szCs w:val="28"/>
          <w:highlight w:val="none"/>
          <w:u w:val="single" w:color="000000"/>
          <w:lang w:val="en-US" w:eastAsia="zh-CN"/>
        </w:rPr>
        <w:t>5</w:t>
      </w:r>
      <w:r>
        <w:rPr>
          <w:rFonts w:hint="eastAsia" w:ascii="仿宋" w:hAnsi="仿宋" w:eastAsia="仿宋" w:cs="仿宋"/>
          <w:b/>
          <w:color w:val="000000"/>
          <w:sz w:val="28"/>
          <w:szCs w:val="28"/>
          <w:highlight w:val="none"/>
          <w:u w:val="single" w:color="000000"/>
        </w:rPr>
        <w:t>000元/人</w:t>
      </w:r>
      <w:r>
        <w:rPr>
          <w:rFonts w:hint="eastAsia" w:ascii="仿宋" w:hAnsi="仿宋" w:eastAsia="仿宋" w:cs="仿宋"/>
          <w:color w:val="000000"/>
          <w:sz w:val="28"/>
          <w:szCs w:val="28"/>
          <w:highlight w:val="none"/>
        </w:rPr>
        <w:t>。</w:t>
      </w:r>
    </w:p>
    <w:p w14:paraId="4C542C1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承包人主要施工管理人员擅自离开施工现场的违约责任：</w:t>
      </w:r>
      <w:r>
        <w:rPr>
          <w:rFonts w:hint="eastAsia" w:ascii="仿宋" w:hAnsi="仿宋" w:eastAsia="仿宋" w:cs="仿宋"/>
          <w:b/>
          <w:color w:val="000000"/>
          <w:sz w:val="28"/>
          <w:szCs w:val="28"/>
          <w:highlight w:val="none"/>
          <w:u w:val="single" w:color="000000"/>
        </w:rPr>
        <w:t>承包人向发包人支付500元/人/天的违约金</w:t>
      </w:r>
      <w:r>
        <w:rPr>
          <w:rFonts w:hint="eastAsia" w:ascii="仿宋" w:hAnsi="仿宋" w:eastAsia="仿宋" w:cs="仿宋"/>
          <w:color w:val="000000"/>
          <w:sz w:val="28"/>
          <w:szCs w:val="28"/>
          <w:highlight w:val="none"/>
        </w:rPr>
        <w:t>。</w:t>
      </w:r>
    </w:p>
    <w:p w14:paraId="7CDF782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bookmarkStart w:id="147" w:name="_Toc297123492"/>
      <w:bookmarkStart w:id="148" w:name="_Toc303539102"/>
      <w:bookmarkStart w:id="149" w:name="_Toc296503159"/>
      <w:bookmarkStart w:id="150" w:name="_Toc296944498"/>
      <w:bookmarkStart w:id="151" w:name="_Toc292559869"/>
      <w:bookmarkStart w:id="152" w:name="_Toc297216151"/>
      <w:bookmarkStart w:id="153" w:name="_Toc300934945"/>
      <w:bookmarkStart w:id="154" w:name="_Toc297048345"/>
      <w:bookmarkStart w:id="155" w:name="_Toc296890987"/>
      <w:bookmarkStart w:id="156" w:name="_Toc297120459"/>
      <w:bookmarkStart w:id="157" w:name="_Toc296891199"/>
      <w:bookmarkStart w:id="158" w:name="_Toc312677988"/>
      <w:bookmarkStart w:id="159" w:name="_Toc296346660"/>
      <w:bookmarkStart w:id="160" w:name="_Toc292559364"/>
      <w:bookmarkStart w:id="161" w:name="_Toc304295523"/>
      <w:bookmarkStart w:id="162" w:name="_Toc296347158"/>
      <w:r>
        <w:rPr>
          <w:rFonts w:hint="eastAsia" w:ascii="仿宋" w:hAnsi="仿宋" w:eastAsia="仿宋" w:cs="仿宋"/>
          <w:color w:val="000000"/>
          <w:sz w:val="28"/>
          <w:szCs w:val="28"/>
          <w:highlight w:val="none"/>
        </w:rPr>
        <w:t>.5 分包</w:t>
      </w:r>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14:paraId="688992B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bookmarkStart w:id="163" w:name="_Toc296944499"/>
      <w:bookmarkStart w:id="164" w:name="_Toc304295524"/>
      <w:bookmarkStart w:id="165" w:name="_Toc296346661"/>
      <w:bookmarkStart w:id="166" w:name="_Toc296891200"/>
      <w:bookmarkStart w:id="167" w:name="_Toc312677989"/>
      <w:bookmarkStart w:id="168" w:name="_Toc292559870"/>
      <w:bookmarkStart w:id="169" w:name="_Toc303539103"/>
      <w:bookmarkStart w:id="170" w:name="_Toc296890988"/>
      <w:bookmarkStart w:id="171" w:name="_Toc300934946"/>
      <w:bookmarkStart w:id="172" w:name="_Toc296347159"/>
      <w:bookmarkStart w:id="173" w:name="_Toc297048346"/>
      <w:bookmarkStart w:id="174" w:name="_Toc297216152"/>
      <w:bookmarkStart w:id="175" w:name="_Toc292559365"/>
      <w:bookmarkStart w:id="176" w:name="_Toc297123493"/>
      <w:bookmarkStart w:id="177" w:name="_Toc318581158"/>
      <w:bookmarkStart w:id="178" w:name="_Toc297120460"/>
      <w:bookmarkStart w:id="179" w:name="_Toc296503160"/>
      <w:r>
        <w:rPr>
          <w:rFonts w:hint="eastAsia" w:ascii="仿宋" w:hAnsi="仿宋" w:eastAsia="仿宋" w:cs="仿宋"/>
          <w:color w:val="000000"/>
          <w:sz w:val="28"/>
          <w:szCs w:val="28"/>
          <w:highlight w:val="none"/>
        </w:rPr>
        <w:t>.5.1 分包的一般约定</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Start w:id="180" w:name="_Toc312677990"/>
      <w:bookmarkStart w:id="181" w:name="_Toc318581159"/>
      <w:r>
        <w:rPr>
          <w:rFonts w:hint="eastAsia" w:ascii="仿宋" w:hAnsi="仿宋" w:eastAsia="仿宋" w:cs="仿宋"/>
          <w:color w:val="000000"/>
          <w:sz w:val="28"/>
          <w:szCs w:val="28"/>
          <w:highlight w:val="none"/>
        </w:rPr>
        <w:t>：</w:t>
      </w:r>
      <w:r>
        <w:rPr>
          <w:rFonts w:hint="eastAsia" w:ascii="仿宋" w:hAnsi="仿宋" w:eastAsia="仿宋" w:cs="仿宋"/>
          <w:b/>
          <w:bCs/>
          <w:color w:val="000000"/>
          <w:sz w:val="28"/>
          <w:szCs w:val="28"/>
          <w:highlight w:val="none"/>
          <w:u w:val="single"/>
          <w:lang w:val="en-US" w:eastAsia="zh-CN"/>
        </w:rPr>
        <w:t>本项目不允许分包</w:t>
      </w:r>
      <w:r>
        <w:rPr>
          <w:rFonts w:hint="eastAsia" w:ascii="仿宋" w:hAnsi="仿宋" w:eastAsia="仿宋" w:cs="仿宋"/>
          <w:color w:val="000000"/>
          <w:kern w:val="0"/>
          <w:sz w:val="28"/>
          <w:szCs w:val="28"/>
          <w:highlight w:val="none"/>
        </w:rPr>
        <w:t>。</w:t>
      </w:r>
    </w:p>
    <w:p w14:paraId="215E2A1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3.5.2分包的确定</w:t>
      </w:r>
    </w:p>
    <w:p w14:paraId="382BF00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允许分包的专业工程包括：</w:t>
      </w:r>
      <w:r>
        <w:rPr>
          <w:rFonts w:hint="eastAsia" w:ascii="仿宋" w:hAnsi="仿宋" w:eastAsia="仿宋" w:cs="仿宋"/>
          <w:b/>
          <w:color w:val="000000"/>
          <w:sz w:val="28"/>
          <w:szCs w:val="28"/>
          <w:highlight w:val="none"/>
          <w:u w:val="single"/>
          <w:lang w:val="en-US" w:eastAsia="zh-CN"/>
        </w:rPr>
        <w:t>/</w:t>
      </w:r>
      <w:r>
        <w:rPr>
          <w:rFonts w:hint="eastAsia" w:ascii="仿宋" w:hAnsi="仿宋" w:eastAsia="仿宋" w:cs="仿宋"/>
          <w:color w:val="000000"/>
          <w:sz w:val="28"/>
          <w:szCs w:val="28"/>
          <w:highlight w:val="none"/>
        </w:rPr>
        <w:t>。</w:t>
      </w:r>
    </w:p>
    <w:p w14:paraId="4074CED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其他关于分包的约定：</w:t>
      </w:r>
      <w:r>
        <w:rPr>
          <w:rFonts w:hint="eastAsia" w:ascii="仿宋" w:hAnsi="仿宋" w:eastAsia="仿宋" w:cs="仿宋"/>
          <w:b/>
          <w:color w:val="000000"/>
          <w:sz w:val="28"/>
          <w:szCs w:val="28"/>
          <w:highlight w:val="none"/>
          <w:u w:val="single"/>
          <w:lang w:val="en-US" w:eastAsia="zh-CN"/>
        </w:rPr>
        <w:t>/</w:t>
      </w:r>
      <w:r>
        <w:rPr>
          <w:rFonts w:hint="eastAsia" w:ascii="仿宋" w:hAnsi="仿宋" w:eastAsia="仿宋" w:cs="仿宋"/>
          <w:color w:val="000000"/>
          <w:sz w:val="28"/>
          <w:szCs w:val="28"/>
          <w:highlight w:val="none"/>
        </w:rPr>
        <w:t>。</w:t>
      </w:r>
    </w:p>
    <w:p w14:paraId="63F080B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3.5.4 分包合同价款</w:t>
      </w:r>
    </w:p>
    <w:p w14:paraId="1C7DCDC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关于分包合同价款支付的约定：</w:t>
      </w:r>
      <w:r>
        <w:rPr>
          <w:rFonts w:hint="eastAsia" w:ascii="仿宋" w:hAnsi="仿宋" w:eastAsia="仿宋" w:cs="仿宋"/>
          <w:b/>
          <w:color w:val="000000"/>
          <w:sz w:val="28"/>
          <w:szCs w:val="28"/>
          <w:highlight w:val="none"/>
          <w:u w:val="single"/>
          <w:lang w:val="en-US" w:eastAsia="zh-CN"/>
        </w:rPr>
        <w:t>/</w:t>
      </w:r>
      <w:r>
        <w:rPr>
          <w:rFonts w:hint="eastAsia" w:ascii="仿宋" w:hAnsi="仿宋" w:eastAsia="仿宋" w:cs="仿宋"/>
          <w:color w:val="000000"/>
          <w:sz w:val="28"/>
          <w:szCs w:val="28"/>
          <w:highlight w:val="none"/>
        </w:rPr>
        <w:t>。</w:t>
      </w:r>
    </w:p>
    <w:bookmarkEnd w:id="180"/>
    <w:bookmarkEnd w:id="181"/>
    <w:p w14:paraId="57257E1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 工程照管与成品、半成品保护</w:t>
      </w:r>
    </w:p>
    <w:p w14:paraId="2F336D8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承包人负责照管工程及工程相关的材料、工程设备的起始时间：</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按通用合同条款执行</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7CDA3BD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3.7 履约担保</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本项目不收</w:t>
      </w:r>
      <w:r>
        <w:rPr>
          <w:rFonts w:hint="eastAsia" w:ascii="仿宋" w:hAnsi="仿宋" w:eastAsia="仿宋" w:cs="仿宋"/>
          <w:color w:val="000000"/>
          <w:sz w:val="28"/>
          <w:szCs w:val="28"/>
          <w:highlight w:val="none"/>
          <w:lang w:eastAsia="zh-CN"/>
        </w:rPr>
        <w:t>）</w:t>
      </w:r>
    </w:p>
    <w:p w14:paraId="1228A73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承包人是否提供履约担保：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lang w:val="en-US" w:eastAsia="zh-CN"/>
        </w:rPr>
        <w:t>否</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D5220D2">
      <w:pPr>
        <w:keepNext w:val="0"/>
        <w:keepLines w:val="0"/>
        <w:pageBreakBefore w:val="0"/>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承包人提供履约担保的形式、金额及期限的：</w:t>
      </w:r>
    </w:p>
    <w:p w14:paraId="27D4AE50">
      <w:pPr>
        <w:keepNext w:val="0"/>
        <w:keepLines w:val="0"/>
        <w:pageBreakBefore w:val="0"/>
        <w:kinsoku/>
        <w:wordWrap w:val="0"/>
        <w:overflowPunct/>
        <w:topLinePunct w:val="0"/>
        <w:bidi w:val="0"/>
        <w:spacing w:line="500" w:lineRule="exact"/>
        <w:ind w:firstLine="562" w:firstLineChars="200"/>
        <w:textAlignment w:val="auto"/>
        <w:outlineLvl w:val="9"/>
        <w:rPr>
          <w:rFonts w:hint="eastAsia" w:ascii="仿宋" w:hAnsi="仿宋" w:eastAsia="仿宋" w:cs="仿宋"/>
          <w:b/>
          <w:bCs/>
          <w:color w:val="000000"/>
          <w:kern w:val="0"/>
          <w:sz w:val="28"/>
          <w:szCs w:val="28"/>
          <w:highlight w:val="none"/>
          <w:u w:val="none"/>
          <w:lang w:val="zh-CN"/>
        </w:rPr>
      </w:pPr>
      <w:r>
        <w:rPr>
          <w:rFonts w:hint="eastAsia" w:ascii="仿宋" w:hAnsi="仿宋" w:eastAsia="仿宋" w:cs="仿宋"/>
          <w:b/>
          <w:bCs/>
          <w:color w:val="000000"/>
          <w:kern w:val="0"/>
          <w:sz w:val="28"/>
          <w:szCs w:val="28"/>
          <w:highlight w:val="none"/>
          <w:u w:val="none"/>
          <w:lang w:val="zh-CN"/>
        </w:rPr>
        <w:t>（</w:t>
      </w:r>
      <w:r>
        <w:rPr>
          <w:rFonts w:hint="eastAsia" w:ascii="仿宋" w:hAnsi="仿宋" w:eastAsia="仿宋" w:cs="仿宋"/>
          <w:b/>
          <w:bCs/>
          <w:color w:val="000000"/>
          <w:kern w:val="0"/>
          <w:sz w:val="28"/>
          <w:szCs w:val="28"/>
          <w:highlight w:val="none"/>
          <w:u w:val="none"/>
          <w:lang w:val="en-US" w:eastAsia="zh-CN"/>
        </w:rPr>
        <w:t>1</w:t>
      </w:r>
      <w:r>
        <w:rPr>
          <w:rFonts w:hint="eastAsia" w:ascii="仿宋" w:hAnsi="仿宋" w:eastAsia="仿宋" w:cs="仿宋"/>
          <w:b/>
          <w:bCs/>
          <w:color w:val="000000"/>
          <w:kern w:val="0"/>
          <w:sz w:val="28"/>
          <w:szCs w:val="28"/>
          <w:highlight w:val="none"/>
          <w:u w:val="none"/>
          <w:lang w:val="zh-CN"/>
        </w:rPr>
        <w:t>）履约保证金的形式：</w:t>
      </w:r>
      <w:r>
        <w:rPr>
          <w:rFonts w:hint="eastAsia" w:ascii="仿宋" w:hAnsi="仿宋" w:eastAsia="仿宋" w:cs="仿宋"/>
          <w:b/>
          <w:bCs/>
          <w:color w:val="000000"/>
          <w:kern w:val="0"/>
          <w:sz w:val="28"/>
          <w:szCs w:val="28"/>
          <w:highlight w:val="none"/>
          <w:u w:val="single"/>
          <w:lang w:val="en-US" w:eastAsia="zh-CN"/>
        </w:rPr>
        <w:t xml:space="preserve">   /  </w:t>
      </w:r>
      <w:r>
        <w:rPr>
          <w:rFonts w:hint="eastAsia" w:ascii="仿宋" w:hAnsi="仿宋" w:eastAsia="仿宋" w:cs="仿宋"/>
          <w:b/>
          <w:bCs/>
          <w:color w:val="000000"/>
          <w:kern w:val="0"/>
          <w:sz w:val="28"/>
          <w:szCs w:val="28"/>
          <w:highlight w:val="none"/>
          <w:u w:val="none"/>
          <w:lang w:val="zh-CN"/>
        </w:rPr>
        <w:t>（此处根据承包人实际提交履约保证金的形式选填，形式包括：支票、汇票、本票或者金融机构、担保机构出具的保函等非现金形式）。</w:t>
      </w:r>
    </w:p>
    <w:p w14:paraId="58A9984C">
      <w:pPr>
        <w:keepNext w:val="0"/>
        <w:keepLines w:val="0"/>
        <w:pageBreakBefore w:val="0"/>
        <w:kinsoku/>
        <w:wordWrap w:val="0"/>
        <w:overflowPunct/>
        <w:topLinePunct w:val="0"/>
        <w:bidi w:val="0"/>
        <w:spacing w:line="500" w:lineRule="exact"/>
        <w:ind w:firstLine="562" w:firstLineChars="200"/>
        <w:textAlignment w:val="auto"/>
        <w:outlineLvl w:val="9"/>
        <w:rPr>
          <w:rFonts w:hint="eastAsia" w:ascii="仿宋" w:hAnsi="仿宋" w:eastAsia="仿宋" w:cs="仿宋"/>
          <w:b/>
          <w:bCs/>
          <w:color w:val="000000"/>
          <w:kern w:val="0"/>
          <w:sz w:val="28"/>
          <w:szCs w:val="28"/>
          <w:highlight w:val="none"/>
          <w:u w:val="none"/>
          <w:lang w:val="en-US" w:eastAsia="zh-CN"/>
        </w:rPr>
      </w:pPr>
      <w:r>
        <w:rPr>
          <w:rFonts w:hint="eastAsia" w:ascii="仿宋" w:hAnsi="仿宋" w:eastAsia="仿宋" w:cs="仿宋"/>
          <w:b/>
          <w:bCs/>
          <w:color w:val="000000"/>
          <w:kern w:val="0"/>
          <w:sz w:val="28"/>
          <w:szCs w:val="28"/>
          <w:highlight w:val="none"/>
          <w:u w:val="none"/>
          <w:lang w:val="zh-CN"/>
        </w:rPr>
        <w:t>（</w:t>
      </w:r>
      <w:r>
        <w:rPr>
          <w:rFonts w:hint="eastAsia" w:ascii="仿宋" w:hAnsi="仿宋" w:eastAsia="仿宋" w:cs="仿宋"/>
          <w:b/>
          <w:bCs/>
          <w:color w:val="000000"/>
          <w:kern w:val="0"/>
          <w:sz w:val="28"/>
          <w:szCs w:val="28"/>
          <w:highlight w:val="none"/>
          <w:u w:val="none"/>
          <w:lang w:val="en-US" w:eastAsia="zh-CN"/>
        </w:rPr>
        <w:t>2</w:t>
      </w:r>
      <w:r>
        <w:rPr>
          <w:rFonts w:hint="eastAsia" w:ascii="仿宋" w:hAnsi="仿宋" w:eastAsia="仿宋" w:cs="仿宋"/>
          <w:b/>
          <w:bCs/>
          <w:color w:val="000000"/>
          <w:kern w:val="0"/>
          <w:sz w:val="28"/>
          <w:szCs w:val="28"/>
          <w:highlight w:val="none"/>
          <w:u w:val="none"/>
          <w:lang w:val="zh-CN"/>
        </w:rPr>
        <w:t>）履约保证金的金额：</w:t>
      </w:r>
      <w:r>
        <w:rPr>
          <w:rFonts w:hint="eastAsia" w:ascii="仿宋" w:hAnsi="仿宋" w:eastAsia="仿宋" w:cs="仿宋"/>
          <w:b/>
          <w:bCs/>
          <w:color w:val="000000"/>
          <w:kern w:val="0"/>
          <w:sz w:val="28"/>
          <w:szCs w:val="28"/>
          <w:highlight w:val="none"/>
          <w:u w:val="single"/>
          <w:lang w:val="en-US" w:eastAsia="zh-CN"/>
        </w:rPr>
        <w:t>不收取</w:t>
      </w:r>
      <w:r>
        <w:rPr>
          <w:rFonts w:hint="eastAsia" w:ascii="仿宋" w:hAnsi="仿宋" w:eastAsia="仿宋" w:cs="仿宋"/>
          <w:b/>
          <w:bCs/>
          <w:color w:val="000000"/>
          <w:kern w:val="0"/>
          <w:sz w:val="28"/>
          <w:szCs w:val="28"/>
          <w:highlight w:val="none"/>
          <w:u w:val="none"/>
          <w:lang w:val="zh-CN" w:eastAsia="zh-CN"/>
        </w:rPr>
        <w:t>。</w:t>
      </w:r>
    </w:p>
    <w:p w14:paraId="147BC154">
      <w:pPr>
        <w:keepNext w:val="0"/>
        <w:keepLines w:val="0"/>
        <w:pageBreakBefore w:val="0"/>
        <w:kinsoku/>
        <w:wordWrap w:val="0"/>
        <w:overflowPunct/>
        <w:topLinePunct w:val="0"/>
        <w:bidi w:val="0"/>
        <w:spacing w:line="500" w:lineRule="exact"/>
        <w:ind w:firstLine="562" w:firstLineChars="200"/>
        <w:textAlignment w:val="auto"/>
        <w:rPr>
          <w:rFonts w:hint="eastAsia" w:ascii="仿宋" w:hAnsi="仿宋" w:eastAsia="仿宋" w:cs="仿宋"/>
          <w:b/>
          <w:bCs/>
          <w:color w:val="000000"/>
          <w:kern w:val="0"/>
          <w:sz w:val="28"/>
          <w:szCs w:val="28"/>
          <w:highlight w:val="none"/>
          <w:u w:val="none"/>
          <w:lang w:val="zh-CN"/>
        </w:rPr>
      </w:pPr>
      <w:r>
        <w:rPr>
          <w:rFonts w:hint="eastAsia" w:ascii="仿宋" w:hAnsi="仿宋" w:eastAsia="仿宋" w:cs="仿宋"/>
          <w:b/>
          <w:bCs/>
          <w:color w:val="000000"/>
          <w:kern w:val="0"/>
          <w:sz w:val="28"/>
          <w:szCs w:val="28"/>
          <w:highlight w:val="none"/>
          <w:u w:val="none"/>
          <w:lang w:val="zh-CN"/>
        </w:rPr>
        <w:t>（</w:t>
      </w:r>
      <w:r>
        <w:rPr>
          <w:rFonts w:hint="eastAsia" w:ascii="仿宋" w:hAnsi="仿宋" w:eastAsia="仿宋" w:cs="仿宋"/>
          <w:b/>
          <w:bCs/>
          <w:color w:val="000000"/>
          <w:kern w:val="0"/>
          <w:sz w:val="28"/>
          <w:szCs w:val="28"/>
          <w:highlight w:val="none"/>
          <w:u w:val="none"/>
          <w:lang w:val="en-US" w:eastAsia="zh-CN"/>
        </w:rPr>
        <w:t>3</w:t>
      </w:r>
      <w:r>
        <w:rPr>
          <w:rFonts w:hint="eastAsia" w:ascii="仿宋" w:hAnsi="仿宋" w:eastAsia="仿宋" w:cs="仿宋"/>
          <w:b/>
          <w:bCs/>
          <w:color w:val="000000"/>
          <w:kern w:val="0"/>
          <w:sz w:val="28"/>
          <w:szCs w:val="28"/>
          <w:highlight w:val="none"/>
          <w:u w:val="none"/>
          <w:lang w:val="zh-CN"/>
        </w:rPr>
        <w:t>）期限：自发包人与承包人签订的合同生效之日起至发包人签发或应签发工程接收证书之日止。</w:t>
      </w:r>
    </w:p>
    <w:p w14:paraId="7908E17D">
      <w:pPr>
        <w:keepNext w:val="0"/>
        <w:keepLines w:val="0"/>
        <w:pageBreakBefore w:val="0"/>
        <w:kinsoku/>
        <w:wordWrap w:val="0"/>
        <w:overflowPunct/>
        <w:topLinePunct w:val="0"/>
        <w:bidi w:val="0"/>
        <w:spacing w:line="500" w:lineRule="exact"/>
        <w:ind w:firstLine="562" w:firstLineChars="200"/>
        <w:textAlignment w:val="auto"/>
        <w:rPr>
          <w:rFonts w:hint="eastAsia" w:ascii="仿宋" w:hAnsi="仿宋" w:eastAsia="仿宋" w:cs="仿宋"/>
          <w:b/>
          <w:bCs/>
          <w:color w:val="000000"/>
          <w:kern w:val="0"/>
          <w:sz w:val="28"/>
          <w:szCs w:val="28"/>
          <w:highlight w:val="none"/>
          <w:u w:val="none"/>
          <w:lang w:val="zh-CN"/>
        </w:rPr>
      </w:pPr>
      <w:r>
        <w:rPr>
          <w:rFonts w:hint="eastAsia" w:ascii="仿宋" w:hAnsi="仿宋" w:eastAsia="仿宋" w:cs="仿宋"/>
          <w:b/>
          <w:bCs/>
          <w:color w:val="000000"/>
          <w:kern w:val="0"/>
          <w:sz w:val="28"/>
          <w:szCs w:val="28"/>
          <w:highlight w:val="none"/>
          <w:u w:val="none"/>
          <w:lang w:val="zh-CN"/>
        </w:rPr>
        <w:t>（</w:t>
      </w:r>
      <w:r>
        <w:rPr>
          <w:rFonts w:hint="eastAsia" w:ascii="仿宋" w:hAnsi="仿宋" w:eastAsia="仿宋" w:cs="仿宋"/>
          <w:b/>
          <w:bCs/>
          <w:color w:val="000000"/>
          <w:kern w:val="0"/>
          <w:sz w:val="28"/>
          <w:szCs w:val="28"/>
          <w:highlight w:val="none"/>
          <w:u w:val="none"/>
          <w:lang w:val="en-US" w:eastAsia="zh-CN"/>
        </w:rPr>
        <w:t>4</w:t>
      </w:r>
      <w:r>
        <w:rPr>
          <w:rFonts w:hint="eastAsia" w:ascii="仿宋" w:hAnsi="仿宋" w:eastAsia="仿宋" w:cs="仿宋"/>
          <w:b/>
          <w:bCs/>
          <w:color w:val="000000"/>
          <w:kern w:val="0"/>
          <w:sz w:val="28"/>
          <w:szCs w:val="28"/>
          <w:highlight w:val="none"/>
          <w:u w:val="none"/>
          <w:lang w:val="zh-CN"/>
        </w:rPr>
        <w:t>）如果承包人不履行合同约定的义务或其履行不符合合同的约定，发包人有权扣划相应金额的履约保证金。采用银行转账的形式提交履约保证金的，履约保证金期满后发包人无息返还剩余部分履约保证金</w:t>
      </w:r>
      <w:r>
        <w:rPr>
          <w:rFonts w:hint="eastAsia" w:ascii="仿宋" w:hAnsi="仿宋" w:eastAsia="仿宋" w:cs="仿宋"/>
          <w:b/>
          <w:bCs/>
          <w:color w:val="000000"/>
          <w:kern w:val="0"/>
          <w:sz w:val="28"/>
          <w:szCs w:val="28"/>
          <w:highlight w:val="none"/>
          <w:u w:val="none"/>
          <w:lang w:val="en-US" w:eastAsia="zh-CN"/>
        </w:rPr>
        <w:t>。</w:t>
      </w:r>
    </w:p>
    <w:p w14:paraId="3ABB3A2B">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bCs/>
          <w:color w:val="000000"/>
          <w:sz w:val="28"/>
          <w:szCs w:val="28"/>
          <w:highlight w:val="none"/>
        </w:rPr>
      </w:pPr>
      <w:bookmarkStart w:id="182" w:name="_Toc351203636"/>
      <w:r>
        <w:rPr>
          <w:rFonts w:hint="eastAsia" w:ascii="仿宋" w:hAnsi="仿宋" w:eastAsia="仿宋" w:cs="仿宋"/>
          <w:bCs/>
          <w:color w:val="000000"/>
          <w:sz w:val="28"/>
          <w:szCs w:val="28"/>
          <w:highlight w:val="none"/>
        </w:rPr>
        <w:t>4</w:t>
      </w:r>
      <w:bookmarkStart w:id="183" w:name="_Toc296346663"/>
      <w:bookmarkStart w:id="184" w:name="_Toc292559366"/>
      <w:bookmarkStart w:id="185" w:name="_Toc296503162"/>
      <w:bookmarkStart w:id="186" w:name="_Toc296944501"/>
      <w:bookmarkStart w:id="187" w:name="_Toc267251413"/>
      <w:bookmarkStart w:id="188" w:name="_Toc297120462"/>
      <w:bookmarkStart w:id="189" w:name="_Toc296890990"/>
      <w:bookmarkStart w:id="190" w:name="_Toc292559871"/>
      <w:bookmarkStart w:id="191" w:name="_Toc296347161"/>
      <w:bookmarkStart w:id="192" w:name="_Toc296891202"/>
      <w:bookmarkStart w:id="193" w:name="_Toc297048348"/>
      <w:r>
        <w:rPr>
          <w:rFonts w:hint="eastAsia" w:ascii="仿宋" w:hAnsi="仿宋" w:eastAsia="仿宋" w:cs="仿宋"/>
          <w:bCs/>
          <w:color w:val="000000"/>
          <w:sz w:val="28"/>
          <w:szCs w:val="28"/>
          <w:highlight w:val="none"/>
        </w:rPr>
        <w:t>. 监</w:t>
      </w:r>
      <w:bookmarkEnd w:id="183"/>
      <w:bookmarkEnd w:id="184"/>
      <w:bookmarkEnd w:id="185"/>
      <w:bookmarkEnd w:id="186"/>
      <w:bookmarkEnd w:id="187"/>
      <w:bookmarkEnd w:id="188"/>
      <w:bookmarkEnd w:id="189"/>
      <w:bookmarkEnd w:id="190"/>
      <w:bookmarkEnd w:id="191"/>
      <w:bookmarkEnd w:id="192"/>
      <w:bookmarkEnd w:id="193"/>
      <w:r>
        <w:rPr>
          <w:rFonts w:hint="eastAsia" w:ascii="仿宋" w:hAnsi="仿宋" w:eastAsia="仿宋" w:cs="仿宋"/>
          <w:bCs/>
          <w:color w:val="000000"/>
          <w:sz w:val="28"/>
          <w:szCs w:val="28"/>
          <w:highlight w:val="none"/>
        </w:rPr>
        <w:t>理人</w:t>
      </w:r>
      <w:bookmarkEnd w:id="182"/>
    </w:p>
    <w:p w14:paraId="1A00389A">
      <w:pPr>
        <w:keepNext w:val="0"/>
        <w:keepLines w:val="0"/>
        <w:pageBreakBefore w:val="0"/>
        <w:kinsoku/>
        <w:wordWrap/>
        <w:overflowPunct/>
        <w:topLinePunct w:val="0"/>
        <w:bidi w:val="0"/>
        <w:spacing w:beforeAutospacing="0" w:afterAutospacing="0" w:line="500" w:lineRule="exact"/>
        <w:ind w:left="0" w:leftChars="0"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4.1监理人的一般规定</w:t>
      </w:r>
    </w:p>
    <w:p w14:paraId="056EDD6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关于监理人的监理内容：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见监理合同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35A89E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关于监理人的监理权限：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见监理合同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14:paraId="4BB7075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关于监理人在施工现场的办公场所、生活场所的提供和费用承担的约定：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由承包人承担。</w:t>
      </w:r>
    </w:p>
    <w:p w14:paraId="7839F3A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 监理人员</w:t>
      </w:r>
    </w:p>
    <w:p w14:paraId="69B860E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总监理工程师：</w:t>
      </w:r>
    </w:p>
    <w:p w14:paraId="6CF69AD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    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A53F2E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职    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DA5ED1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监理工程师执业资格证书号：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937E68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0A0F19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0B6E08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5EDEE8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关于监理人的其他约定：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357EAE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4.4 商定或确定</w:t>
      </w:r>
    </w:p>
    <w:p w14:paraId="77F56BE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194" w:name="_Toc267251418"/>
      <w:r>
        <w:rPr>
          <w:rFonts w:hint="eastAsia" w:ascii="仿宋" w:hAnsi="仿宋" w:eastAsia="仿宋" w:cs="仿宋"/>
          <w:color w:val="000000"/>
          <w:sz w:val="28"/>
          <w:szCs w:val="28"/>
          <w:highlight w:val="none"/>
        </w:rPr>
        <w:t>在发包人和承包人不能通过协商达成一致意见时，发包人授权监理人对以下事项进行确定：</w:t>
      </w:r>
    </w:p>
    <w:p w14:paraId="0D51523D">
      <w:pPr>
        <w:keepNext w:val="0"/>
        <w:keepLines w:val="0"/>
        <w:pageBreakBefore w:val="0"/>
        <w:kinsoku/>
        <w:wordWrap/>
        <w:overflowPunct/>
        <w:topLinePunct w:val="0"/>
        <w:autoSpaceDE w:val="0"/>
        <w:autoSpaceDN w:val="0"/>
        <w:bidi w:val="0"/>
        <w:adjustRightInd w:val="0"/>
        <w:spacing w:line="500" w:lineRule="exact"/>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DAE95D7">
      <w:pPr>
        <w:keepNext w:val="0"/>
        <w:keepLines w:val="0"/>
        <w:pageBreakBefore w:val="0"/>
        <w:kinsoku/>
        <w:wordWrap/>
        <w:overflowPunct/>
        <w:topLinePunct w:val="0"/>
        <w:autoSpaceDE w:val="0"/>
        <w:autoSpaceDN w:val="0"/>
        <w:bidi w:val="0"/>
        <w:adjustRightInd w:val="0"/>
        <w:spacing w:line="500" w:lineRule="exact"/>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A656411">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6FD5603">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195" w:name="_Toc351203637"/>
      <w:r>
        <w:rPr>
          <w:rFonts w:hint="eastAsia" w:ascii="仿宋" w:hAnsi="仿宋" w:eastAsia="仿宋" w:cs="仿宋"/>
          <w:color w:val="000000"/>
          <w:sz w:val="28"/>
          <w:szCs w:val="28"/>
          <w:highlight w:val="none"/>
        </w:rPr>
        <w:t>5</w:t>
      </w:r>
      <w:bookmarkEnd w:id="194"/>
      <w:bookmarkStart w:id="196" w:name="_Toc297048349"/>
      <w:bookmarkStart w:id="197" w:name="_Toc296346664"/>
      <w:bookmarkStart w:id="198" w:name="_Toc296503163"/>
      <w:bookmarkStart w:id="199" w:name="_Toc296891203"/>
      <w:bookmarkStart w:id="200" w:name="_Toc297120463"/>
      <w:bookmarkStart w:id="201" w:name="_Toc296347162"/>
      <w:bookmarkStart w:id="202" w:name="_Toc296890991"/>
      <w:bookmarkStart w:id="203" w:name="_Toc292559367"/>
      <w:bookmarkStart w:id="204" w:name="_Toc292559872"/>
      <w:bookmarkStart w:id="205" w:name="_Toc296944502"/>
      <w:r>
        <w:rPr>
          <w:rFonts w:hint="eastAsia" w:ascii="仿宋" w:hAnsi="仿宋" w:eastAsia="仿宋" w:cs="仿宋"/>
          <w:color w:val="000000"/>
          <w:sz w:val="28"/>
          <w:szCs w:val="28"/>
          <w:highlight w:val="none"/>
        </w:rPr>
        <w:t>. 工程质量</w:t>
      </w:r>
      <w:bookmarkEnd w:id="195"/>
    </w:p>
    <w:p w14:paraId="42D0417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 质量要求</w:t>
      </w:r>
    </w:p>
    <w:p w14:paraId="1022F2B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w:t>
      </w:r>
      <w:bookmarkStart w:id="206" w:name="_Toc303539106"/>
      <w:bookmarkStart w:id="207" w:name="_Toc297216155"/>
      <w:bookmarkStart w:id="208" w:name="_Toc297123496"/>
      <w:bookmarkStart w:id="209" w:name="_Toc300934949"/>
      <w:bookmarkStart w:id="210" w:name="_Toc312677997"/>
      <w:bookmarkStart w:id="211" w:name="_Toc318581164"/>
      <w:bookmarkStart w:id="212" w:name="_Toc304295527"/>
      <w:r>
        <w:rPr>
          <w:rFonts w:hint="eastAsia" w:ascii="仿宋" w:hAnsi="仿宋" w:eastAsia="仿宋" w:cs="仿宋"/>
          <w:color w:val="000000"/>
          <w:sz w:val="28"/>
          <w:szCs w:val="28"/>
          <w:highlight w:val="none"/>
        </w:rPr>
        <w:t>.1.1 特殊质量标准和要求：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合格   </w:t>
      </w:r>
      <w:r>
        <w:rPr>
          <w:rFonts w:hint="eastAsia" w:ascii="仿宋" w:hAnsi="仿宋" w:eastAsia="仿宋" w:cs="仿宋"/>
          <w:color w:val="000000"/>
          <w:sz w:val="28"/>
          <w:szCs w:val="28"/>
          <w:highlight w:val="none"/>
        </w:rPr>
        <w:t>。</w:t>
      </w:r>
    </w:p>
    <w:p w14:paraId="6659596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关于工程奖项的约定：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07CABB6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5.3 隐蔽工程检查</w:t>
      </w:r>
    </w:p>
    <w:p w14:paraId="5F08089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5.3.2承包人提前通知监理人隐蔽工程检查的期限的约定：</w:t>
      </w:r>
      <w:r>
        <w:rPr>
          <w:rFonts w:hint="eastAsia" w:ascii="仿宋" w:hAnsi="仿宋" w:eastAsia="仿宋" w:cs="仿宋"/>
          <w:b/>
          <w:color w:val="000000"/>
          <w:kern w:val="0"/>
          <w:sz w:val="28"/>
          <w:szCs w:val="28"/>
          <w:highlight w:val="none"/>
          <w:u w:val="single"/>
        </w:rPr>
        <w:t>共同检查前48小时书面通知监理人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CE66CC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监理人不能按时进行检查时，应提前</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12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小时提交书面延期要求。</w:t>
      </w:r>
    </w:p>
    <w:p w14:paraId="13645EF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关于延期最长不得超过：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24</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小时。</w:t>
      </w:r>
    </w:p>
    <w:p w14:paraId="262EF35F">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213" w:name="_Toc351203638"/>
      <w:r>
        <w:rPr>
          <w:rFonts w:hint="eastAsia" w:ascii="仿宋" w:hAnsi="仿宋" w:eastAsia="仿宋" w:cs="仿宋"/>
          <w:color w:val="000000"/>
          <w:sz w:val="28"/>
          <w:szCs w:val="28"/>
          <w:highlight w:val="none"/>
        </w:rPr>
        <w:t>6. 安全文明施工与环境保护</w:t>
      </w:r>
      <w:bookmarkEnd w:id="213"/>
    </w:p>
    <w:p w14:paraId="125DDF1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6.1安全文明施工</w:t>
      </w:r>
    </w:p>
    <w:p w14:paraId="10A4B3A8">
      <w:pPr>
        <w:keepNext w:val="0"/>
        <w:keepLines w:val="0"/>
        <w:pageBreakBefore w:val="0"/>
        <w:widowControl/>
        <w:suppressLineNumbers w:val="0"/>
        <w:kinsoku/>
        <w:wordWrap/>
        <w:overflowPunct/>
        <w:topLinePunct w:val="0"/>
        <w:bidi w:val="0"/>
        <w:spacing w:before="0" w:beforeLines="0" w:beforeAutospacing="0" w:after="0" w:afterLines="0" w:afterAutospacing="0" w:line="500" w:lineRule="exact"/>
        <w:ind w:left="0" w:leftChars="0" w:right="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kern w:val="0"/>
          <w:sz w:val="28"/>
          <w:szCs w:val="28"/>
          <w:highlight w:val="none"/>
        </w:rPr>
        <w:t>6.1.1 项目安全生产的达标目标及相应事项的约定：</w:t>
      </w:r>
      <w:r>
        <w:rPr>
          <w:rFonts w:hint="eastAsia" w:ascii="仿宋" w:hAnsi="仿宋" w:eastAsia="仿宋" w:cs="仿宋"/>
          <w:b/>
          <w:color w:val="000000"/>
          <w:kern w:val="0"/>
          <w:sz w:val="28"/>
          <w:szCs w:val="28"/>
          <w:highlight w:val="none"/>
          <w:u w:val="single" w:color="000000"/>
        </w:rPr>
        <w:t>承包人应遵守工程建设安全生产有关管理规定，严格按现行安全标准组织施工，并随时接受行业安全检查人员依法实施的监督检查，采取必要的安全防护措施，消除事故隐患。其安全文明施工费已经含在签约合同价内。</w:t>
      </w:r>
      <w:r>
        <w:rPr>
          <w:rFonts w:hint="eastAsia" w:ascii="仿宋" w:hAnsi="仿宋" w:eastAsia="仿宋" w:cs="仿宋"/>
          <w:b/>
          <w:color w:val="000000"/>
          <w:kern w:val="0"/>
          <w:sz w:val="28"/>
          <w:szCs w:val="28"/>
          <w:highlight w:val="none"/>
          <w:u w:val="single"/>
        </w:rPr>
        <w:t>本工程在整个施工期间杜绝一切人身伤亡和重大质量安全事故，如发生上述事故，应接受政府相关部门处罚并承担由此产生的一切经济和法律责任。</w:t>
      </w:r>
    </w:p>
    <w:p w14:paraId="367C0CD4">
      <w:pPr>
        <w:keepNext w:val="0"/>
        <w:keepLines w:val="0"/>
        <w:pageBreakBefore w:val="0"/>
        <w:kinsoku/>
        <w:wordWrap/>
        <w:overflowPunct/>
        <w:topLinePunct w:val="0"/>
        <w:autoSpaceDE w:val="0"/>
        <w:autoSpaceDN w:val="0"/>
        <w:bidi w:val="0"/>
        <w:adjustRightInd w:val="0"/>
        <w:spacing w:line="500" w:lineRule="exact"/>
        <w:ind w:left="0" w:leftChars="0" w:right="0" w:firstLine="560"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color w:val="000000"/>
          <w:kern w:val="0"/>
          <w:sz w:val="28"/>
          <w:szCs w:val="28"/>
          <w:highlight w:val="none"/>
        </w:rPr>
        <w:t>6.1.4 关于治安保卫的特别约定：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按通用合同条款执行</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45B092D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关于编制施工场地治安管理计划的约定：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开工前提供</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F7108F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6.1.5 文明施工</w:t>
      </w:r>
    </w:p>
    <w:p w14:paraId="0026616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合同当事人对文明施工的要求：</w:t>
      </w:r>
      <w:r>
        <w:rPr>
          <w:rFonts w:hint="eastAsia" w:ascii="仿宋" w:hAnsi="仿宋" w:eastAsia="仿宋" w:cs="仿宋"/>
          <w:b/>
          <w:color w:val="000000"/>
          <w:kern w:val="0"/>
          <w:sz w:val="28"/>
          <w:szCs w:val="28"/>
          <w:highlight w:val="none"/>
          <w:u w:val="single"/>
        </w:rPr>
        <w:t>按通用合同条款执行</w:t>
      </w:r>
      <w:r>
        <w:rPr>
          <w:rFonts w:hint="eastAsia" w:ascii="仿宋" w:hAnsi="仿宋" w:eastAsia="仿宋" w:cs="仿宋"/>
          <w:color w:val="000000"/>
          <w:sz w:val="28"/>
          <w:szCs w:val="28"/>
          <w:highlight w:val="none"/>
        </w:rPr>
        <w:t>。</w:t>
      </w:r>
    </w:p>
    <w:p w14:paraId="25CE54B5">
      <w:pPr>
        <w:keepNext w:val="0"/>
        <w:keepLines w:val="0"/>
        <w:pageBreakBefore w:val="0"/>
        <w:kinsoku/>
        <w:wordWrap/>
        <w:overflowPunct/>
        <w:topLinePunct w:val="0"/>
        <w:bidi w:val="0"/>
        <w:snapToGrid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6.1.6 关于安全文明施工费支付比例和支付期限的约定：</w:t>
      </w:r>
      <w:r>
        <w:rPr>
          <w:rFonts w:hint="eastAsia" w:ascii="仿宋" w:hAnsi="仿宋" w:eastAsia="仿宋" w:cs="仿宋"/>
          <w:b/>
          <w:bCs/>
          <w:color w:val="000000"/>
          <w:sz w:val="28"/>
          <w:szCs w:val="28"/>
          <w:highlight w:val="none"/>
          <w:u w:val="single"/>
        </w:rPr>
        <w:t>安全文明施工费</w:t>
      </w:r>
      <w:r>
        <w:rPr>
          <w:rFonts w:hint="eastAsia" w:ascii="仿宋" w:hAnsi="仿宋" w:eastAsia="仿宋" w:cs="仿宋"/>
          <w:b/>
          <w:color w:val="000000"/>
          <w:sz w:val="28"/>
          <w:szCs w:val="28"/>
          <w:highlight w:val="none"/>
          <w:u w:val="single"/>
        </w:rPr>
        <w:t>按工程进度款约定同期支付。</w:t>
      </w:r>
    </w:p>
    <w:bookmarkEnd w:id="206"/>
    <w:bookmarkEnd w:id="207"/>
    <w:bookmarkEnd w:id="208"/>
    <w:bookmarkEnd w:id="209"/>
    <w:bookmarkEnd w:id="210"/>
    <w:bookmarkEnd w:id="211"/>
    <w:bookmarkEnd w:id="212"/>
    <w:p w14:paraId="3670EB1F">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214" w:name="_Toc351203639"/>
      <w:r>
        <w:rPr>
          <w:rFonts w:hint="eastAsia" w:ascii="仿宋" w:hAnsi="仿宋" w:eastAsia="仿宋" w:cs="仿宋"/>
          <w:color w:val="000000"/>
          <w:sz w:val="28"/>
          <w:szCs w:val="28"/>
          <w:highlight w:val="none"/>
        </w:rPr>
        <w:t>7. 工期和进度</w:t>
      </w:r>
      <w:bookmarkEnd w:id="214"/>
    </w:p>
    <w:p w14:paraId="5080B20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7.1 施工组织设计</w:t>
      </w:r>
    </w:p>
    <w:p w14:paraId="3DEC2791">
      <w:pPr>
        <w:keepNext w:val="0"/>
        <w:keepLines w:val="0"/>
        <w:pageBreakBefore w:val="0"/>
        <w:kinsoku/>
        <w:wordWrap/>
        <w:overflowPunct/>
        <w:topLinePunct w:val="0"/>
        <w:bidi w:val="0"/>
        <w:snapToGrid w:val="0"/>
        <w:spacing w:line="500" w:lineRule="exact"/>
        <w:ind w:left="0" w:leftChars="0" w:firstLine="562"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u w:val="single"/>
        </w:rPr>
        <w:t>（9）合同签订、图纸会审</w:t>
      </w:r>
      <w:r>
        <w:rPr>
          <w:rFonts w:hint="eastAsia" w:ascii="仿宋" w:hAnsi="仿宋" w:eastAsia="仿宋" w:cs="仿宋"/>
          <w:b/>
          <w:color w:val="000000"/>
          <w:sz w:val="28"/>
          <w:szCs w:val="28"/>
          <w:highlight w:val="none"/>
          <w:u w:val="single"/>
          <w:lang w:eastAsia="zh-CN"/>
        </w:rPr>
        <w:t>（</w:t>
      </w:r>
      <w:r>
        <w:rPr>
          <w:rFonts w:hint="eastAsia" w:ascii="仿宋" w:hAnsi="仿宋" w:eastAsia="仿宋" w:cs="仿宋"/>
          <w:b/>
          <w:color w:val="000000"/>
          <w:sz w:val="28"/>
          <w:szCs w:val="28"/>
          <w:highlight w:val="none"/>
          <w:u w:val="single"/>
          <w:lang w:val="en-US" w:eastAsia="zh-CN"/>
        </w:rPr>
        <w:t>如有</w:t>
      </w:r>
      <w:r>
        <w:rPr>
          <w:rFonts w:hint="eastAsia" w:ascii="仿宋" w:hAnsi="仿宋" w:eastAsia="仿宋" w:cs="仿宋"/>
          <w:b/>
          <w:color w:val="000000"/>
          <w:sz w:val="28"/>
          <w:szCs w:val="28"/>
          <w:highlight w:val="none"/>
          <w:u w:val="single"/>
          <w:lang w:eastAsia="zh-CN"/>
        </w:rPr>
        <w:t>）</w:t>
      </w:r>
      <w:r>
        <w:rPr>
          <w:rFonts w:hint="eastAsia" w:ascii="仿宋" w:hAnsi="仿宋" w:eastAsia="仿宋" w:cs="仿宋"/>
          <w:b/>
          <w:color w:val="000000"/>
          <w:sz w:val="28"/>
          <w:szCs w:val="28"/>
          <w:highlight w:val="none"/>
          <w:u w:val="single"/>
        </w:rPr>
        <w:t xml:space="preserve">定案后7日内承包人向监理人提供施工组织设计书（含总体进度计划网络图）及施工专项方案各8份，并由监理人报送发包人。发包人和监理人应在监理人收到施工组织设计后7天内确认或提出修改意见，未经监理人批准，承包人不得擅自实施，同时监理人的批准并不免除承包人的合同责任。对发包人和监理人提出的合理意见和要求，承包人应自费修改完善。根据工程实际情况需要修改施工组织设计的，承包人应向发包人和监理人提交修改后的施工组织设计。 </w:t>
      </w:r>
    </w:p>
    <w:p w14:paraId="702A288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w:t>
      </w:r>
      <w:bookmarkStart w:id="215" w:name="_Toc300934966"/>
      <w:bookmarkStart w:id="216" w:name="_Toc297123514"/>
      <w:bookmarkStart w:id="217" w:name="_Toc303539123"/>
      <w:bookmarkStart w:id="218" w:name="_Toc304295541"/>
      <w:bookmarkStart w:id="219" w:name="_Toc297216173"/>
      <w:bookmarkStart w:id="220" w:name="_Toc312677479"/>
      <w:bookmarkStart w:id="221" w:name="_Toc312678005"/>
      <w:r>
        <w:rPr>
          <w:rFonts w:hint="eastAsia" w:ascii="仿宋" w:hAnsi="仿宋" w:eastAsia="仿宋" w:cs="仿宋"/>
          <w:color w:val="000000"/>
          <w:sz w:val="28"/>
          <w:szCs w:val="28"/>
          <w:highlight w:val="none"/>
        </w:rPr>
        <w:t>.2 施工进度计划</w:t>
      </w:r>
    </w:p>
    <w:p w14:paraId="62EEF12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7.2.2 施工进度计划的修订</w:t>
      </w:r>
    </w:p>
    <w:p w14:paraId="68D075C7">
      <w:pPr>
        <w:keepNext w:val="0"/>
        <w:keepLines w:val="0"/>
        <w:pageBreakBefore w:val="0"/>
        <w:kinsoku/>
        <w:wordWrap/>
        <w:overflowPunct/>
        <w:topLinePunct w:val="0"/>
        <w:bidi w:val="0"/>
        <w:snapToGrid w:val="0"/>
        <w:spacing w:line="500" w:lineRule="exact"/>
        <w:ind w:left="0" w:leftChars="0" w:firstLine="560"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color w:val="000000"/>
          <w:sz w:val="28"/>
          <w:szCs w:val="28"/>
          <w:highlight w:val="none"/>
        </w:rPr>
        <w:t>发包人和监理人在收到修订的施工进度计划后确认或提出修改意见的期限：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 xml:space="preserve">7天 </w:t>
      </w:r>
      <w:r>
        <w:rPr>
          <w:rFonts w:hint="eastAsia" w:ascii="仿宋" w:hAnsi="仿宋" w:eastAsia="仿宋" w:cs="仿宋"/>
          <w:color w:val="000000"/>
          <w:sz w:val="28"/>
          <w:szCs w:val="28"/>
          <w:highlight w:val="none"/>
        </w:rPr>
        <w:t>。</w:t>
      </w:r>
    </w:p>
    <w:p w14:paraId="56D84AF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7.2.3</w:t>
      </w:r>
      <w:r>
        <w:rPr>
          <w:rFonts w:hint="eastAsia" w:ascii="仿宋" w:hAnsi="仿宋" w:eastAsia="仿宋" w:cs="仿宋"/>
          <w:b/>
          <w:bCs/>
          <w:color w:val="000000"/>
          <w:sz w:val="28"/>
          <w:szCs w:val="28"/>
          <w:highlight w:val="none"/>
          <w:u w:val="single"/>
        </w:rPr>
        <w:t>承包人应在每月25日前提供次月施工进度计划表</w:t>
      </w:r>
      <w:r>
        <w:rPr>
          <w:rFonts w:hint="eastAsia" w:ascii="仿宋" w:hAnsi="仿宋" w:eastAsia="仿宋" w:cs="仿宋"/>
          <w:color w:val="000000"/>
          <w:sz w:val="28"/>
          <w:szCs w:val="28"/>
          <w:highlight w:val="none"/>
        </w:rPr>
        <w:t>。</w:t>
      </w:r>
    </w:p>
    <w:p w14:paraId="6D7245B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 开工</w:t>
      </w:r>
    </w:p>
    <w:p w14:paraId="0216CB7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7.3.1 开工准备</w:t>
      </w:r>
    </w:p>
    <w:p w14:paraId="6DCEF90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关于承包人提交</w:t>
      </w:r>
      <w:r>
        <w:rPr>
          <w:rFonts w:hint="eastAsia" w:ascii="仿宋" w:hAnsi="仿宋" w:eastAsia="仿宋" w:cs="仿宋"/>
          <w:color w:val="000000"/>
          <w:kern w:val="0"/>
          <w:sz w:val="28"/>
          <w:szCs w:val="28"/>
          <w:highlight w:val="none"/>
        </w:rPr>
        <w:t>工程开工报审表的期限：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开工前7天</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5D0CD2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关于发包人应完成的其他开工准备工作及期限：</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37277FD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关于承包人应完成的其他开工准备工作及期限：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1EFAF9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7.3.2开工通知</w:t>
      </w:r>
    </w:p>
    <w:p w14:paraId="3E37F38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因发包人原因造成监理人未能在计划开工日期之日起</w:t>
      </w:r>
      <w:r>
        <w:rPr>
          <w:rFonts w:hint="eastAsia" w:ascii="仿宋" w:hAnsi="仿宋" w:eastAsia="仿宋" w:cs="仿宋"/>
          <w:b/>
          <w:color w:val="000000"/>
          <w:sz w:val="28"/>
          <w:szCs w:val="28"/>
          <w:highlight w:val="none"/>
          <w:u w:val="single"/>
        </w:rPr>
        <w:t>180</w:t>
      </w:r>
      <w:r>
        <w:rPr>
          <w:rFonts w:hint="eastAsia" w:ascii="仿宋" w:hAnsi="仿宋" w:eastAsia="仿宋" w:cs="仿宋"/>
          <w:color w:val="000000"/>
          <w:sz w:val="28"/>
          <w:szCs w:val="28"/>
          <w:highlight w:val="none"/>
        </w:rPr>
        <w:t>天内发出开工通知的，承包人有权提出价格调整要求，或者解除合同。</w:t>
      </w:r>
    </w:p>
    <w:bookmarkEnd w:id="215"/>
    <w:bookmarkEnd w:id="216"/>
    <w:bookmarkEnd w:id="217"/>
    <w:bookmarkEnd w:id="218"/>
    <w:bookmarkEnd w:id="219"/>
    <w:bookmarkEnd w:id="220"/>
    <w:bookmarkEnd w:id="221"/>
    <w:p w14:paraId="34808FF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7.4 测量放线</w:t>
      </w:r>
    </w:p>
    <w:p w14:paraId="78F1D24B">
      <w:pPr>
        <w:keepNext w:val="0"/>
        <w:keepLines w:val="0"/>
        <w:pageBreakBefore w:val="0"/>
        <w:kinsoku/>
        <w:wordWrap/>
        <w:overflowPunct/>
        <w:topLinePunct w:val="0"/>
        <w:bidi w:val="0"/>
        <w:snapToGrid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bCs/>
          <w:color w:val="000000"/>
          <w:sz w:val="28"/>
          <w:szCs w:val="28"/>
          <w:highlight w:val="none"/>
        </w:rPr>
        <w:t>7.4.1</w:t>
      </w:r>
      <w:r>
        <w:rPr>
          <w:rFonts w:hint="eastAsia" w:ascii="仿宋" w:hAnsi="仿宋" w:eastAsia="仿宋" w:cs="仿宋"/>
          <w:b/>
          <w:color w:val="000000"/>
          <w:sz w:val="28"/>
          <w:szCs w:val="28"/>
          <w:highlight w:val="none"/>
          <w:u w:val="single"/>
        </w:rPr>
        <w:t>发包人在合同签订后的7天内，通过监理人向承包人提供测量基准点、基准线和水准点及其书面资料。承包人应根据国家测绘基准、测绘系统和工程测量技术规范，按上述基准点（线）以及合同工程精度要求，测设施工控制网，并在开工后14天内，将施工控制网资料报送监理人审批。</w:t>
      </w:r>
    </w:p>
    <w:p w14:paraId="0A901B6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w:t>
      </w:r>
      <w:bookmarkStart w:id="222" w:name="_Toc312677484"/>
      <w:bookmarkStart w:id="223" w:name="_Toc297216175"/>
      <w:bookmarkStart w:id="224" w:name="_Toc297123516"/>
      <w:bookmarkStart w:id="225" w:name="_Toc303539125"/>
      <w:bookmarkStart w:id="226" w:name="_Toc312678010"/>
      <w:bookmarkStart w:id="227" w:name="_Toc300934968"/>
      <w:bookmarkStart w:id="228" w:name="_Toc304295546"/>
      <w:r>
        <w:rPr>
          <w:rFonts w:hint="eastAsia" w:ascii="仿宋" w:hAnsi="仿宋" w:eastAsia="仿宋" w:cs="仿宋"/>
          <w:color w:val="000000"/>
          <w:sz w:val="28"/>
          <w:szCs w:val="28"/>
          <w:highlight w:val="none"/>
        </w:rPr>
        <w:t>.5 工期延误</w:t>
      </w:r>
    </w:p>
    <w:bookmarkEnd w:id="222"/>
    <w:bookmarkEnd w:id="223"/>
    <w:bookmarkEnd w:id="224"/>
    <w:bookmarkEnd w:id="225"/>
    <w:bookmarkEnd w:id="226"/>
    <w:bookmarkEnd w:id="227"/>
    <w:bookmarkEnd w:id="228"/>
    <w:p w14:paraId="1553FB7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7.5.1 因发包人原因导致工期延误</w:t>
      </w:r>
    </w:p>
    <w:p w14:paraId="4707E59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（7）因发包人原因导致工期延误的其他情形：</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Cs/>
          <w:color w:val="000000"/>
          <w:sz w:val="28"/>
          <w:szCs w:val="28"/>
          <w:highlight w:val="none"/>
        </w:rPr>
        <w:t>。</w:t>
      </w:r>
    </w:p>
    <w:p w14:paraId="6E25F6A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w:t>
      </w:r>
      <w:bookmarkStart w:id="229" w:name="_Toc304295548"/>
      <w:bookmarkStart w:id="230" w:name="_Toc300934970"/>
      <w:bookmarkStart w:id="231" w:name="_Toc303539127"/>
      <w:bookmarkStart w:id="232" w:name="_Toc312677486"/>
      <w:bookmarkStart w:id="233" w:name="_Toc297123518"/>
      <w:bookmarkStart w:id="234" w:name="_Toc318581169"/>
      <w:bookmarkStart w:id="235" w:name="_Toc297216177"/>
      <w:bookmarkStart w:id="236" w:name="_Toc312678012"/>
      <w:r>
        <w:rPr>
          <w:rFonts w:hint="eastAsia" w:ascii="仿宋" w:hAnsi="仿宋" w:eastAsia="仿宋" w:cs="仿宋"/>
          <w:color w:val="000000"/>
          <w:sz w:val="28"/>
          <w:szCs w:val="28"/>
          <w:highlight w:val="none"/>
        </w:rPr>
        <w:t>.5.2 因承包人原因造成工期延误，逾期竣工违约金的计算方法为：</w:t>
      </w:r>
      <w:r>
        <w:rPr>
          <w:rFonts w:hint="eastAsia" w:ascii="仿宋" w:hAnsi="仿宋" w:eastAsia="仿宋" w:cs="仿宋"/>
          <w:b/>
          <w:color w:val="000000"/>
          <w:sz w:val="28"/>
          <w:szCs w:val="28"/>
          <w:highlight w:val="none"/>
          <w:u w:val="single" w:color="000000"/>
        </w:rPr>
        <w:t>工期每延误一天扣罚5000元</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b/>
          <w:bCs/>
          <w:color w:val="000000"/>
          <w:sz w:val="28"/>
          <w:szCs w:val="28"/>
          <w:highlight w:val="none"/>
          <w:u w:val="single"/>
        </w:rPr>
        <w:t>累计计算</w:t>
      </w:r>
      <w:r>
        <w:rPr>
          <w:rFonts w:hint="eastAsia" w:ascii="仿宋" w:hAnsi="仿宋" w:eastAsia="仿宋" w:cs="仿宋"/>
          <w:color w:val="000000"/>
          <w:sz w:val="28"/>
          <w:szCs w:val="28"/>
          <w:highlight w:val="none"/>
        </w:rPr>
        <w:t>。</w:t>
      </w:r>
    </w:p>
    <w:p w14:paraId="2166CC1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因承包人原因造成工期延误，逾期竣工违约金的上限：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累计最高罚金不超过</w:t>
      </w:r>
      <w:r>
        <w:rPr>
          <w:rFonts w:hint="eastAsia" w:ascii="仿宋" w:hAnsi="仿宋" w:eastAsia="仿宋" w:cs="仿宋"/>
          <w:b/>
          <w:color w:val="000000"/>
          <w:sz w:val="28"/>
          <w:szCs w:val="28"/>
          <w:highlight w:val="none"/>
          <w:u w:val="single"/>
          <w:lang w:val="en-US" w:eastAsia="zh-CN"/>
        </w:rPr>
        <w:t>签约合同价的5%。</w:t>
      </w:r>
    </w:p>
    <w:bookmarkEnd w:id="229"/>
    <w:bookmarkEnd w:id="230"/>
    <w:bookmarkEnd w:id="231"/>
    <w:bookmarkEnd w:id="232"/>
    <w:bookmarkEnd w:id="233"/>
    <w:bookmarkEnd w:id="234"/>
    <w:bookmarkEnd w:id="235"/>
    <w:bookmarkEnd w:id="236"/>
    <w:p w14:paraId="529B44F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w:t>
      </w:r>
      <w:bookmarkStart w:id="237" w:name="_Toc304295549"/>
      <w:bookmarkStart w:id="238" w:name="_Toc312678015"/>
      <w:bookmarkStart w:id="239" w:name="_Toc297123519"/>
      <w:bookmarkStart w:id="240" w:name="_Toc300934971"/>
      <w:bookmarkStart w:id="241" w:name="_Toc297216178"/>
      <w:bookmarkStart w:id="242" w:name="_Toc303539128"/>
      <w:r>
        <w:rPr>
          <w:rFonts w:hint="eastAsia" w:ascii="仿宋" w:hAnsi="仿宋" w:eastAsia="仿宋" w:cs="仿宋"/>
          <w:color w:val="000000"/>
          <w:sz w:val="28"/>
          <w:szCs w:val="28"/>
          <w:highlight w:val="none"/>
        </w:rPr>
        <w:t>.6 不</w:t>
      </w:r>
      <w:bookmarkEnd w:id="237"/>
      <w:bookmarkEnd w:id="238"/>
      <w:bookmarkEnd w:id="239"/>
      <w:bookmarkEnd w:id="240"/>
      <w:bookmarkEnd w:id="241"/>
      <w:bookmarkEnd w:id="242"/>
      <w:r>
        <w:rPr>
          <w:rFonts w:hint="eastAsia" w:ascii="仿宋" w:hAnsi="仿宋" w:eastAsia="仿宋" w:cs="仿宋"/>
          <w:color w:val="000000"/>
          <w:sz w:val="28"/>
          <w:szCs w:val="28"/>
          <w:highlight w:val="none"/>
        </w:rPr>
        <w:t>利物质条件</w:t>
      </w:r>
    </w:p>
    <w:p w14:paraId="37D7112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bookmarkStart w:id="243" w:name="_Toc312678016"/>
      <w:bookmarkStart w:id="244" w:name="_Toc297123520"/>
      <w:bookmarkStart w:id="245" w:name="_Toc303539129"/>
      <w:bookmarkStart w:id="246" w:name="_Toc300934972"/>
      <w:bookmarkStart w:id="247" w:name="_Toc297216179"/>
      <w:bookmarkStart w:id="248" w:name="_Toc318581172"/>
      <w:bookmarkStart w:id="249" w:name="_Toc304295550"/>
      <w:r>
        <w:rPr>
          <w:rFonts w:hint="eastAsia" w:ascii="仿宋" w:hAnsi="仿宋" w:eastAsia="仿宋" w:cs="仿宋"/>
          <w:color w:val="000000"/>
          <w:sz w:val="28"/>
          <w:szCs w:val="28"/>
          <w:highlight w:val="none"/>
        </w:rPr>
        <w:t>不利物质条件的其他情形和有关约定：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243"/>
    <w:bookmarkEnd w:id="244"/>
    <w:bookmarkEnd w:id="245"/>
    <w:bookmarkEnd w:id="246"/>
    <w:bookmarkEnd w:id="247"/>
    <w:bookmarkEnd w:id="248"/>
    <w:bookmarkEnd w:id="249"/>
    <w:p w14:paraId="051A5BA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w:t>
      </w:r>
      <w:bookmarkStart w:id="250" w:name="_Toc297216180"/>
      <w:bookmarkStart w:id="251" w:name="_Toc312678017"/>
      <w:bookmarkStart w:id="252" w:name="_Toc297123521"/>
      <w:bookmarkStart w:id="253" w:name="_Toc304295551"/>
      <w:bookmarkStart w:id="254" w:name="_Toc300934973"/>
      <w:bookmarkStart w:id="255" w:name="_Toc303539130"/>
      <w:r>
        <w:rPr>
          <w:rFonts w:hint="eastAsia" w:ascii="仿宋" w:hAnsi="仿宋" w:eastAsia="仿宋" w:cs="仿宋"/>
          <w:color w:val="000000"/>
          <w:sz w:val="28"/>
          <w:szCs w:val="28"/>
          <w:highlight w:val="none"/>
        </w:rPr>
        <w:t>.7异常恶劣的气候条件</w:t>
      </w:r>
    </w:p>
    <w:bookmarkEnd w:id="250"/>
    <w:bookmarkEnd w:id="251"/>
    <w:bookmarkEnd w:id="252"/>
    <w:bookmarkEnd w:id="253"/>
    <w:bookmarkEnd w:id="254"/>
    <w:bookmarkEnd w:id="255"/>
    <w:p w14:paraId="6555AB9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发包人和承包人同意以下情形视为异常恶劣的气候条件：</w:t>
      </w:r>
    </w:p>
    <w:p w14:paraId="6EB74F94">
      <w:pPr>
        <w:keepNext w:val="0"/>
        <w:keepLines w:val="0"/>
        <w:pageBreakBefore w:val="0"/>
        <w:numPr>
          <w:ilvl w:val="0"/>
          <w:numId w:val="11"/>
        </w:numPr>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地震、水灾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0F70454">
      <w:pPr>
        <w:keepNext w:val="0"/>
        <w:keepLines w:val="0"/>
        <w:pageBreakBefore w:val="0"/>
        <w:numPr>
          <w:ilvl w:val="0"/>
          <w:numId w:val="11"/>
        </w:numPr>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ED976A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13C21F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7.8 暂停施工</w:t>
      </w:r>
    </w:p>
    <w:p w14:paraId="32C12B9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7.8.1发包人原因引起的暂停施工</w:t>
      </w:r>
    </w:p>
    <w:p w14:paraId="4C520BE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因发包人原因引起暂停施工的，监理人经发包人同意后，应及时下达暂停施工指示。情况紧急且监理人未及时下达暂停施工指示的，按照通用合同条款第7.8.4项〔紧急情况下的暂停施工〕执行。</w:t>
      </w:r>
    </w:p>
    <w:p w14:paraId="32EE2CC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由于发包人原因引起的暂停施工造成工期延误的，承包人有权要求发包人延长工期，但发包人不增加任何费用及补偿。</w:t>
      </w:r>
    </w:p>
    <w:p w14:paraId="571E207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7.8.5 暂停施工后的复工</w:t>
      </w:r>
    </w:p>
    <w:p w14:paraId="63ED22B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9C07DF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承包人无故拖延和拒绝复工的，由此增加的费用和工期延误损失由承包人承担；因发包人原因无法按时复工的，承包人有权要求发包人延长工期，但发包人不增加任何费用及补偿。</w:t>
      </w:r>
    </w:p>
    <w:p w14:paraId="343C920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7.9.2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提前竣工的奖励：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B1F8750">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256" w:name="_Toc351203640"/>
      <w:r>
        <w:rPr>
          <w:rFonts w:hint="eastAsia" w:ascii="仿宋" w:hAnsi="仿宋" w:eastAsia="仿宋" w:cs="仿宋"/>
          <w:color w:val="000000"/>
          <w:sz w:val="28"/>
          <w:szCs w:val="28"/>
          <w:highlight w:val="none"/>
        </w:rPr>
        <w:t>8. 材料与设备</w:t>
      </w:r>
      <w:bookmarkEnd w:id="256"/>
    </w:p>
    <w:bookmarkEnd w:id="196"/>
    <w:bookmarkEnd w:id="197"/>
    <w:bookmarkEnd w:id="198"/>
    <w:bookmarkEnd w:id="199"/>
    <w:bookmarkEnd w:id="200"/>
    <w:bookmarkEnd w:id="201"/>
    <w:bookmarkEnd w:id="202"/>
    <w:bookmarkEnd w:id="203"/>
    <w:bookmarkEnd w:id="204"/>
    <w:bookmarkEnd w:id="205"/>
    <w:p w14:paraId="6848D37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8.1发包人供应材料与工程设备</w:t>
      </w:r>
    </w:p>
    <w:p w14:paraId="7679DCEA">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u w:val="single"/>
        </w:rPr>
        <w:t>本工程发包人不提供任何材料和工程设备</w:t>
      </w:r>
      <w:r>
        <w:rPr>
          <w:rFonts w:hint="eastAsia" w:ascii="仿宋" w:hAnsi="仿宋" w:eastAsia="仿宋" w:cs="仿宋"/>
          <w:color w:val="000000"/>
          <w:sz w:val="28"/>
          <w:szCs w:val="28"/>
          <w:highlight w:val="none"/>
        </w:rPr>
        <w:t>。</w:t>
      </w:r>
    </w:p>
    <w:p w14:paraId="56C8A28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w:t>
      </w:r>
      <w:bookmarkStart w:id="257" w:name="_Toc280868654"/>
      <w:bookmarkStart w:id="258" w:name="_Toc296503167"/>
      <w:bookmarkStart w:id="259" w:name="_Toc300934979"/>
      <w:bookmarkStart w:id="260" w:name="_Toc296347166"/>
      <w:bookmarkStart w:id="261" w:name="_Toc297120467"/>
      <w:bookmarkStart w:id="262" w:name="_Toc292559372"/>
      <w:bookmarkStart w:id="263" w:name="_Toc296346668"/>
      <w:bookmarkStart w:id="264" w:name="_Toc303539136"/>
      <w:bookmarkStart w:id="265" w:name="_Toc296944506"/>
      <w:bookmarkStart w:id="266" w:name="_Toc297048353"/>
      <w:bookmarkStart w:id="267" w:name="_Toc296891207"/>
      <w:bookmarkStart w:id="268" w:name="_Toc296890995"/>
      <w:bookmarkStart w:id="269" w:name="_Toc297123527"/>
      <w:bookmarkStart w:id="270" w:name="_Toc312678019"/>
      <w:bookmarkStart w:id="271" w:name="_Toc312677493"/>
      <w:bookmarkStart w:id="272" w:name="_Toc304295556"/>
      <w:bookmarkStart w:id="273" w:name="_Toc297216186"/>
      <w:bookmarkStart w:id="274" w:name="_Toc292559877"/>
      <w:bookmarkStart w:id="275" w:name="_Toc280868656"/>
      <w:bookmarkStart w:id="276" w:name="_Toc267251424"/>
      <w:bookmarkStart w:id="277" w:name="_Toc280868655"/>
      <w:r>
        <w:rPr>
          <w:rFonts w:hint="eastAsia" w:ascii="仿宋" w:hAnsi="仿宋" w:eastAsia="仿宋" w:cs="仿宋"/>
          <w:color w:val="000000"/>
          <w:sz w:val="28"/>
          <w:szCs w:val="28"/>
          <w:highlight w:val="none"/>
        </w:rPr>
        <w:t>.4材料与工程设备的保管与使用</w:t>
      </w:r>
    </w:p>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14:paraId="00D8682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8</w:t>
      </w:r>
      <w:bookmarkStart w:id="278" w:name="_Toc292559373"/>
      <w:bookmarkStart w:id="279" w:name="_Toc292559878"/>
      <w:bookmarkStart w:id="280" w:name="_Toc297120468"/>
      <w:bookmarkStart w:id="281" w:name="_Toc296891208"/>
      <w:bookmarkStart w:id="282" w:name="_Toc312677494"/>
      <w:bookmarkStart w:id="283" w:name="_Toc297123528"/>
      <w:bookmarkStart w:id="284" w:name="_Toc296503168"/>
      <w:bookmarkStart w:id="285" w:name="_Toc296346669"/>
      <w:bookmarkStart w:id="286" w:name="_Toc297048354"/>
      <w:bookmarkStart w:id="287" w:name="_Toc300934980"/>
      <w:bookmarkStart w:id="288" w:name="_Toc296347167"/>
      <w:bookmarkStart w:id="289" w:name="_Toc296890996"/>
      <w:bookmarkStart w:id="290" w:name="_Toc296944507"/>
      <w:bookmarkStart w:id="291" w:name="_Toc312678020"/>
      <w:bookmarkStart w:id="292" w:name="_Toc304295557"/>
      <w:bookmarkStart w:id="293" w:name="_Toc318581173"/>
      <w:bookmarkStart w:id="294" w:name="_Toc303539137"/>
      <w:bookmarkStart w:id="295" w:name="_Toc297216187"/>
      <w:r>
        <w:rPr>
          <w:rFonts w:hint="eastAsia" w:ascii="仿宋" w:hAnsi="仿宋" w:eastAsia="仿宋" w:cs="仿宋"/>
          <w:color w:val="000000"/>
          <w:sz w:val="28"/>
          <w:szCs w:val="28"/>
          <w:highlight w:val="none"/>
        </w:rPr>
        <w:t>.4.1发包人供应的材料设备的保管费用的承担：</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rPr>
        <w:t>。</w:t>
      </w:r>
      <w:bookmarkEnd w:id="278"/>
      <w:bookmarkEnd w:id="279"/>
    </w:p>
    <w:p w14:paraId="24FBF6E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8.6 样品</w:t>
      </w:r>
    </w:p>
    <w:p w14:paraId="3DA48D79">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8.6.1 样品的报送与封存</w:t>
      </w:r>
    </w:p>
    <w:p w14:paraId="4F5E5298">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需要承包人报送样品的材料或工程设备，样品的种类、名称、规格、数量要求：</w:t>
      </w:r>
      <w:r>
        <w:rPr>
          <w:rFonts w:hint="eastAsia" w:ascii="仿宋" w:hAnsi="仿宋" w:eastAsia="仿宋" w:cs="仿宋"/>
          <w:b/>
          <w:color w:val="000000"/>
          <w:sz w:val="28"/>
          <w:szCs w:val="28"/>
          <w:highlight w:val="none"/>
          <w:u w:val="single"/>
        </w:rPr>
        <w:t xml:space="preserve">按管理部门及发包人要求确定 实行材料先行、样品封样，若实际施工材料与封样材料不一致，没查处一次承包方除了需及时更换为封样产品外，还需承担由此造成的一切经济和工期赔偿 </w:t>
      </w:r>
      <w:r>
        <w:rPr>
          <w:rFonts w:hint="eastAsia" w:ascii="仿宋" w:hAnsi="仿宋" w:eastAsia="仿宋" w:cs="仿宋"/>
          <w:b/>
          <w:color w:val="000000"/>
          <w:sz w:val="28"/>
          <w:szCs w:val="28"/>
          <w:highlight w:val="none"/>
        </w:rPr>
        <w:t>。</w:t>
      </w:r>
    </w:p>
    <w:p w14:paraId="40F3212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8.8 施工设备和临时设施</w:t>
      </w:r>
    </w:p>
    <w:p w14:paraId="06CF8866">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8.8.1 承包人提供的施工设备和临时设施</w:t>
      </w:r>
    </w:p>
    <w:p w14:paraId="17A13D38">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关于修建临时设施费用承担的约定：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由承包人承担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41046F9">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8.8.2 发包人不提供施工设备或临时设施。</w:t>
      </w:r>
    </w:p>
    <w:p w14:paraId="3E36620D">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关于修建临时设施费用承担的约定：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由承包人承担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14:paraId="3309C344">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296" w:name="_Toc351203641"/>
      <w:r>
        <w:rPr>
          <w:rFonts w:hint="eastAsia" w:ascii="仿宋" w:hAnsi="仿宋" w:eastAsia="仿宋" w:cs="仿宋"/>
          <w:color w:val="000000"/>
          <w:sz w:val="28"/>
          <w:szCs w:val="28"/>
          <w:highlight w:val="none"/>
        </w:rPr>
        <w:t>9</w:t>
      </w:r>
      <w:bookmarkEnd w:id="275"/>
      <w:bookmarkEnd w:id="276"/>
      <w:bookmarkEnd w:id="277"/>
      <w:bookmarkStart w:id="297" w:name="_Toc303539139"/>
      <w:bookmarkStart w:id="298" w:name="_Toc300934982"/>
      <w:bookmarkStart w:id="299" w:name="_Toc297123533"/>
      <w:bookmarkStart w:id="300" w:name="_Toc312678021"/>
      <w:bookmarkStart w:id="301" w:name="_Toc297216192"/>
      <w:bookmarkStart w:id="302" w:name="_Toc304295559"/>
      <w:bookmarkStart w:id="303" w:name="_Toc312677495"/>
      <w:bookmarkStart w:id="304" w:name="_Toc292559378"/>
      <w:bookmarkStart w:id="305" w:name="_Toc267251428"/>
      <w:bookmarkStart w:id="306" w:name="_Toc296944512"/>
      <w:bookmarkStart w:id="307" w:name="_Toc296891001"/>
      <w:bookmarkStart w:id="308" w:name="_Toc267251427"/>
      <w:bookmarkStart w:id="309" w:name="_Toc296891213"/>
      <w:bookmarkStart w:id="310" w:name="_Toc297120473"/>
      <w:bookmarkStart w:id="311" w:name="_Toc296347172"/>
      <w:bookmarkStart w:id="312" w:name="_Toc292559883"/>
      <w:bookmarkStart w:id="313" w:name="_Toc297048359"/>
      <w:bookmarkStart w:id="314" w:name="_Toc296503173"/>
      <w:bookmarkStart w:id="315" w:name="_Toc296346674"/>
      <w:r>
        <w:rPr>
          <w:rFonts w:hint="eastAsia" w:ascii="仿宋" w:hAnsi="仿宋" w:eastAsia="仿宋" w:cs="仿宋"/>
          <w:color w:val="000000"/>
          <w:sz w:val="28"/>
          <w:szCs w:val="28"/>
          <w:highlight w:val="none"/>
        </w:rPr>
        <w:t>. 试验与检验</w:t>
      </w:r>
      <w:bookmarkEnd w:id="296"/>
    </w:p>
    <w:bookmarkEnd w:id="297"/>
    <w:bookmarkEnd w:id="298"/>
    <w:bookmarkEnd w:id="299"/>
    <w:bookmarkEnd w:id="300"/>
    <w:bookmarkEnd w:id="301"/>
    <w:bookmarkEnd w:id="302"/>
    <w:bookmarkEnd w:id="303"/>
    <w:p w14:paraId="54C8EB2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w:t>
      </w:r>
      <w:bookmarkStart w:id="316" w:name="_Toc300934983"/>
      <w:bookmarkStart w:id="317" w:name="_Toc303539140"/>
      <w:bookmarkStart w:id="318" w:name="_Toc297123534"/>
      <w:bookmarkStart w:id="319" w:name="_Toc312678022"/>
      <w:bookmarkStart w:id="320" w:name="_Toc297216193"/>
      <w:bookmarkStart w:id="321" w:name="_Toc304295560"/>
      <w:bookmarkStart w:id="322" w:name="_Toc312677496"/>
      <w:r>
        <w:rPr>
          <w:rFonts w:hint="eastAsia" w:ascii="仿宋" w:hAnsi="仿宋" w:eastAsia="仿宋" w:cs="仿宋"/>
          <w:color w:val="000000"/>
          <w:sz w:val="28"/>
          <w:szCs w:val="28"/>
          <w:highlight w:val="none"/>
        </w:rPr>
        <w:t>.1试验设备与试验人员</w:t>
      </w:r>
    </w:p>
    <w:bookmarkEnd w:id="316"/>
    <w:bookmarkEnd w:id="317"/>
    <w:bookmarkEnd w:id="318"/>
    <w:bookmarkEnd w:id="319"/>
    <w:bookmarkEnd w:id="320"/>
    <w:bookmarkEnd w:id="321"/>
    <w:bookmarkEnd w:id="322"/>
    <w:p w14:paraId="28313EB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w:t>
      </w:r>
      <w:bookmarkStart w:id="323" w:name="_Toc312677497"/>
      <w:bookmarkStart w:id="324" w:name="_Toc297216194"/>
      <w:bookmarkStart w:id="325" w:name="_Toc300934984"/>
      <w:bookmarkStart w:id="326" w:name="_Toc304295561"/>
      <w:bookmarkStart w:id="327" w:name="_Toc312678023"/>
      <w:bookmarkStart w:id="328" w:name="_Toc303539141"/>
      <w:bookmarkStart w:id="329" w:name="_Toc297123535"/>
      <w:bookmarkStart w:id="330" w:name="_Toc318581174"/>
      <w:r>
        <w:rPr>
          <w:rFonts w:hint="eastAsia" w:ascii="仿宋" w:hAnsi="仿宋" w:eastAsia="仿宋" w:cs="仿宋"/>
          <w:color w:val="000000"/>
          <w:sz w:val="28"/>
          <w:szCs w:val="28"/>
          <w:highlight w:val="none"/>
        </w:rPr>
        <w:t>.1.2 试验设备</w:t>
      </w:r>
    </w:p>
    <w:p w14:paraId="749DD3C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施工现场需要配置的试验场所：</w:t>
      </w:r>
      <w:bookmarkEnd w:id="323"/>
      <w:bookmarkEnd w:id="324"/>
      <w:bookmarkEnd w:id="325"/>
      <w:bookmarkEnd w:id="326"/>
      <w:bookmarkEnd w:id="327"/>
      <w:bookmarkEnd w:id="328"/>
      <w:bookmarkEnd w:id="329"/>
      <w:bookmarkStart w:id="331" w:name="_Toc297123536"/>
      <w:bookmarkStart w:id="332" w:name="_Toc303539142"/>
      <w:bookmarkStart w:id="333" w:name="_Toc297216195"/>
      <w:bookmarkStart w:id="334" w:name="_Toc300934985"/>
      <w:bookmarkStart w:id="335" w:name="_Toc304295562"/>
      <w:bookmarkStart w:id="336" w:name="_Toc312678024"/>
      <w:bookmarkStart w:id="337" w:name="_Toc312677498"/>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按相关规定执行 </w:t>
      </w:r>
      <w:r>
        <w:rPr>
          <w:rFonts w:hint="eastAsia" w:ascii="仿宋" w:hAnsi="仿宋" w:eastAsia="仿宋" w:cs="仿宋"/>
          <w:color w:val="000000"/>
          <w:sz w:val="28"/>
          <w:szCs w:val="28"/>
          <w:highlight w:val="none"/>
        </w:rPr>
        <w:t xml:space="preserve">。 </w:t>
      </w:r>
    </w:p>
    <w:p w14:paraId="23024C2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施工现场需要配备的试验设备：</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按相关规定执行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0677EE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施工现场需要具备的其他试验条件：</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按相关规定行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54955D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9.4 现场工艺试验 </w:t>
      </w:r>
    </w:p>
    <w:p w14:paraId="0F83419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现场工艺试验的有关约定：</w:t>
      </w:r>
      <w:r>
        <w:rPr>
          <w:rFonts w:hint="eastAsia" w:ascii="仿宋" w:hAnsi="仿宋" w:eastAsia="仿宋" w:cs="仿宋"/>
          <w:b/>
          <w:color w:val="000000"/>
          <w:sz w:val="28"/>
          <w:szCs w:val="28"/>
          <w:highlight w:val="none"/>
          <w:u w:val="single"/>
        </w:rPr>
        <w:t xml:space="preserve"> 按通用合同条款执行 </w:t>
      </w:r>
      <w:r>
        <w:rPr>
          <w:rFonts w:hint="eastAsia" w:ascii="仿宋" w:hAnsi="仿宋" w:eastAsia="仿宋" w:cs="仿宋"/>
          <w:color w:val="000000"/>
          <w:sz w:val="28"/>
          <w:szCs w:val="28"/>
          <w:highlight w:val="none"/>
        </w:rPr>
        <w:t>。</w:t>
      </w:r>
    </w:p>
    <w:bookmarkEnd w:id="330"/>
    <w:bookmarkEnd w:id="331"/>
    <w:bookmarkEnd w:id="332"/>
    <w:bookmarkEnd w:id="333"/>
    <w:bookmarkEnd w:id="334"/>
    <w:bookmarkEnd w:id="335"/>
    <w:bookmarkEnd w:id="336"/>
    <w:bookmarkEnd w:id="337"/>
    <w:p w14:paraId="03C75348">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338" w:name="_Toc351203642"/>
      <w:r>
        <w:rPr>
          <w:rFonts w:hint="eastAsia" w:ascii="仿宋" w:hAnsi="仿宋" w:eastAsia="仿宋" w:cs="仿宋"/>
          <w:color w:val="000000"/>
          <w:sz w:val="28"/>
          <w:szCs w:val="28"/>
          <w:highlight w:val="none"/>
        </w:rPr>
        <w:t>1</w:t>
      </w:r>
      <w:bookmarkEnd w:id="304"/>
      <w:bookmarkEnd w:id="305"/>
      <w:bookmarkEnd w:id="306"/>
      <w:bookmarkEnd w:id="307"/>
      <w:bookmarkEnd w:id="308"/>
      <w:bookmarkEnd w:id="309"/>
      <w:bookmarkEnd w:id="310"/>
      <w:bookmarkEnd w:id="311"/>
      <w:bookmarkEnd w:id="312"/>
      <w:bookmarkEnd w:id="313"/>
      <w:bookmarkEnd w:id="314"/>
      <w:bookmarkEnd w:id="315"/>
      <w:bookmarkStart w:id="339" w:name="_Toc296891233"/>
      <w:bookmarkStart w:id="340" w:name="_Toc297123540"/>
      <w:bookmarkStart w:id="341" w:name="_Toc297048379"/>
      <w:bookmarkStart w:id="342" w:name="_Toc303539146"/>
      <w:bookmarkStart w:id="343" w:name="_Toc296347192"/>
      <w:bookmarkStart w:id="344" w:name="_Toc296891021"/>
      <w:bookmarkStart w:id="345" w:name="_Toc296503193"/>
      <w:bookmarkStart w:id="346" w:name="_Toc297216199"/>
      <w:bookmarkStart w:id="347" w:name="_Toc292559398"/>
      <w:bookmarkStart w:id="348" w:name="_Toc296944532"/>
      <w:bookmarkStart w:id="349" w:name="_Toc304295566"/>
      <w:bookmarkStart w:id="350" w:name="_Toc296346694"/>
      <w:bookmarkStart w:id="351" w:name="_Toc297120493"/>
      <w:bookmarkStart w:id="352" w:name="_Toc300934989"/>
      <w:bookmarkStart w:id="353" w:name="_Toc292559903"/>
      <w:bookmarkStart w:id="354" w:name="_Toc312677499"/>
      <w:bookmarkStart w:id="355" w:name="_Toc312678025"/>
      <w:bookmarkStart w:id="356" w:name="_Toc267251435"/>
      <w:bookmarkStart w:id="357" w:name="_Toc267251439"/>
      <w:bookmarkStart w:id="358" w:name="_Toc267251440"/>
      <w:bookmarkStart w:id="359" w:name="_Toc267251441"/>
      <w:bookmarkStart w:id="360" w:name="_Toc267251437"/>
      <w:bookmarkStart w:id="361" w:name="_Toc267251433"/>
      <w:bookmarkStart w:id="362" w:name="_Toc267251442"/>
      <w:r>
        <w:rPr>
          <w:rFonts w:hint="eastAsia" w:ascii="仿宋" w:hAnsi="仿宋" w:eastAsia="仿宋" w:cs="仿宋"/>
          <w:color w:val="000000"/>
          <w:sz w:val="28"/>
          <w:szCs w:val="28"/>
          <w:highlight w:val="none"/>
        </w:rPr>
        <w:t>0. 变更</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bookmarkEnd w:id="354"/>
    <w:bookmarkEnd w:id="355"/>
    <w:p w14:paraId="204558A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363" w:name="_Toc297048380"/>
      <w:bookmarkStart w:id="364" w:name="_Toc296891234"/>
      <w:bookmarkStart w:id="365" w:name="_Toc303539147"/>
      <w:bookmarkStart w:id="366" w:name="_Toc300934990"/>
      <w:bookmarkStart w:id="367" w:name="_Toc296503194"/>
      <w:bookmarkStart w:id="368" w:name="_Toc296891022"/>
      <w:bookmarkStart w:id="369" w:name="_Toc304295567"/>
      <w:bookmarkStart w:id="370" w:name="_Toc312677500"/>
      <w:bookmarkStart w:id="371" w:name="_Toc296346695"/>
      <w:bookmarkStart w:id="372" w:name="_Toc297216200"/>
      <w:bookmarkStart w:id="373" w:name="_Toc296347193"/>
      <w:bookmarkStart w:id="374" w:name="_Toc292559904"/>
      <w:bookmarkStart w:id="375" w:name="_Toc292559399"/>
      <w:bookmarkStart w:id="376" w:name="_Toc297123541"/>
      <w:bookmarkStart w:id="377" w:name="_Toc296944533"/>
      <w:bookmarkStart w:id="378" w:name="_Toc312678026"/>
      <w:bookmarkStart w:id="379" w:name="_Toc297120494"/>
      <w:r>
        <w:rPr>
          <w:rFonts w:hint="eastAsia" w:ascii="仿宋" w:hAnsi="仿宋" w:eastAsia="仿宋" w:cs="仿宋"/>
          <w:color w:val="000000"/>
          <w:sz w:val="28"/>
          <w:szCs w:val="28"/>
          <w:highlight w:val="none"/>
        </w:rPr>
        <w:t>10.4 变更估价</w:t>
      </w:r>
    </w:p>
    <w:p w14:paraId="58B3A12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10.4.1 变更估价原则</w:t>
      </w:r>
    </w:p>
    <w:p w14:paraId="613F8B5A">
      <w:pPr>
        <w:keepNext w:val="0"/>
        <w:keepLines w:val="0"/>
        <w:pageBreakBefore w:val="0"/>
        <w:kinsoku/>
        <w:wordWrap/>
        <w:overflowPunct/>
        <w:topLinePunct w:val="0"/>
        <w:autoSpaceDE w:val="0"/>
        <w:autoSpaceDN w:val="0"/>
        <w:bidi w:val="0"/>
        <w:adjustRightInd w:val="0"/>
        <w:spacing w:line="500" w:lineRule="exact"/>
        <w:ind w:left="0" w:leftChars="0" w:right="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关于变更估价的约定</w:t>
      </w:r>
      <w:r>
        <w:rPr>
          <w:rFonts w:hint="eastAsia" w:ascii="仿宋" w:hAnsi="仿宋" w:eastAsia="仿宋" w:cs="仿宋"/>
          <w:color w:val="000000"/>
          <w:kern w:val="0"/>
          <w:sz w:val="28"/>
          <w:szCs w:val="28"/>
          <w:highlight w:val="none"/>
          <w:lang w:eastAsia="zh-CN"/>
        </w:rPr>
        <w:t>：</w:t>
      </w:r>
      <w:r>
        <w:rPr>
          <w:rFonts w:hint="eastAsia" w:ascii="仿宋" w:hAnsi="仿宋" w:eastAsia="仿宋" w:cs="仿宋"/>
          <w:color w:val="000000"/>
          <w:kern w:val="0"/>
          <w:sz w:val="28"/>
          <w:szCs w:val="28"/>
          <w:highlight w:val="none"/>
        </w:rPr>
        <w:t xml:space="preserve"> </w:t>
      </w:r>
    </w:p>
    <w:p w14:paraId="350FD615">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kern w:val="0"/>
          <w:sz w:val="28"/>
          <w:szCs w:val="28"/>
          <w:highlight w:val="none"/>
          <w:u w:val="single" w:color="000000"/>
        </w:rPr>
        <w:t>（1）已标价工程量清单有相同项目的，按照相同项目单价认定；</w:t>
      </w:r>
    </w:p>
    <w:p w14:paraId="16726F05">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kern w:val="0"/>
          <w:sz w:val="28"/>
          <w:szCs w:val="28"/>
          <w:highlight w:val="none"/>
          <w:u w:val="single" w:color="000000"/>
        </w:rPr>
        <w:t>（2）已标价工程量清单中无相同项目，但有类似项目的，参照类似项目的单价认定；</w:t>
      </w:r>
    </w:p>
    <w:p w14:paraId="4A0008D6">
      <w:pPr>
        <w:keepNext w:val="0"/>
        <w:keepLines w:val="0"/>
        <w:pageBreakBefore w:val="0"/>
        <w:kinsoku/>
        <w:wordWrap/>
        <w:overflowPunct/>
        <w:topLinePunct w:val="0"/>
        <w:autoSpaceDE w:val="0"/>
        <w:autoSpaceDN w:val="0"/>
        <w:bidi w:val="0"/>
        <w:adjustRightInd w:val="0"/>
        <w:spacing w:line="500" w:lineRule="exact"/>
        <w:ind w:left="0" w:leftChars="0" w:right="0" w:firstLine="562" w:firstLineChars="200"/>
        <w:textAlignment w:val="auto"/>
        <w:outlineLvl w:val="9"/>
        <w:rPr>
          <w:rFonts w:hint="eastAsia" w:ascii="仿宋" w:hAnsi="仿宋" w:eastAsia="仿宋" w:cs="仿宋"/>
          <w:b/>
          <w:color w:val="000000"/>
          <w:kern w:val="0"/>
          <w:sz w:val="28"/>
          <w:szCs w:val="28"/>
          <w:highlight w:val="none"/>
          <w:u w:val="single" w:color="000000"/>
        </w:rPr>
      </w:pPr>
      <w:r>
        <w:rPr>
          <w:rFonts w:hint="eastAsia" w:ascii="仿宋" w:hAnsi="仿宋" w:eastAsia="仿宋" w:cs="仿宋"/>
          <w:b/>
          <w:color w:val="000000"/>
          <w:kern w:val="0"/>
          <w:sz w:val="28"/>
          <w:szCs w:val="28"/>
          <w:highlight w:val="none"/>
          <w:u w:val="single" w:color="000000"/>
        </w:rPr>
        <w:t>（3）变更导致实际完成的变更工程量与已标价工程量清单中列明的该项目工程量的变化幅度超过15%的，或已标价工程量清单中无相同项目及类似项目单价的，按照合理的成本与利润构成的原则，由合同当事人按照</w:t>
      </w:r>
      <w:r>
        <w:rPr>
          <w:rFonts w:hint="eastAsia" w:ascii="仿宋" w:hAnsi="仿宋" w:eastAsia="仿宋" w:cs="仿宋"/>
          <w:b/>
          <w:color w:val="000000"/>
          <w:kern w:val="0"/>
          <w:sz w:val="28"/>
          <w:szCs w:val="28"/>
          <w:highlight w:val="none"/>
          <w:u w:val="single" w:color="000000"/>
          <w:lang w:val="en-US" w:eastAsia="zh-CN"/>
        </w:rPr>
        <w:t>通用合同条款</w:t>
      </w:r>
      <w:r>
        <w:rPr>
          <w:rFonts w:hint="eastAsia" w:ascii="仿宋" w:hAnsi="仿宋" w:eastAsia="仿宋" w:cs="仿宋"/>
          <w:b/>
          <w:color w:val="000000"/>
          <w:kern w:val="0"/>
          <w:sz w:val="28"/>
          <w:szCs w:val="28"/>
          <w:highlight w:val="none"/>
          <w:u w:val="single" w:color="000000"/>
        </w:rPr>
        <w:t>第4.4款〔商定或确定〕确定变更工作的单价。</w:t>
      </w:r>
    </w:p>
    <w:p w14:paraId="47E2FE8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10.4.2变更估价程序</w:t>
      </w:r>
    </w:p>
    <w:p w14:paraId="58BF648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w:t>
      </w: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zh-CN"/>
        </w:rPr>
        <w:t>）承包人应在接到发包人指令单、设计变更单21天内或者签证事件完成之日</w:t>
      </w:r>
      <w:r>
        <w:rPr>
          <w:rFonts w:hint="eastAsia" w:ascii="仿宋" w:hAnsi="仿宋" w:eastAsia="仿宋" w:cs="仿宋"/>
          <w:color w:val="000000"/>
          <w:sz w:val="28"/>
          <w:szCs w:val="28"/>
          <w:highlight w:val="none"/>
        </w:rPr>
        <w:t>起</w:t>
      </w:r>
      <w:r>
        <w:rPr>
          <w:rFonts w:hint="eastAsia" w:ascii="仿宋" w:hAnsi="仿宋" w:eastAsia="仿宋" w:cs="仿宋"/>
          <w:color w:val="000000"/>
          <w:sz w:val="28"/>
          <w:szCs w:val="28"/>
          <w:highlight w:val="none"/>
          <w:lang w:val="zh-CN"/>
        </w:rPr>
        <w:t>21天内、并在隐蔽前（变更工程被隐蔽无法计量的，发包人、监理人有权拒绝签证）提交补充预算或报发包人、监理人、</w:t>
      </w:r>
      <w:r>
        <w:rPr>
          <w:rFonts w:hint="eastAsia" w:ascii="仿宋" w:hAnsi="仿宋" w:eastAsia="仿宋" w:cs="仿宋"/>
          <w:color w:val="000000"/>
          <w:sz w:val="28"/>
          <w:szCs w:val="28"/>
          <w:highlight w:val="none"/>
        </w:rPr>
        <w:t>造价咨询人</w:t>
      </w:r>
      <w:r>
        <w:rPr>
          <w:rFonts w:hint="eastAsia" w:ascii="仿宋" w:hAnsi="仿宋" w:eastAsia="仿宋" w:cs="仿宋"/>
          <w:color w:val="000000"/>
          <w:sz w:val="28"/>
          <w:szCs w:val="28"/>
          <w:highlight w:val="none"/>
          <w:lang w:val="zh-CN"/>
        </w:rPr>
        <w:t>签证确认工程量（承包人提交签证单的同时附图纸或图片或现场照片及其说明）。自签证事件完成之日起超过21天承包人仍未按约定申报的，则视为承包人放弃签证。承包人上报的签证超过签证事件完成之日</w:t>
      </w:r>
      <w:r>
        <w:rPr>
          <w:rFonts w:hint="eastAsia" w:ascii="仿宋" w:hAnsi="仿宋" w:eastAsia="仿宋" w:cs="仿宋"/>
          <w:color w:val="000000"/>
          <w:sz w:val="28"/>
          <w:szCs w:val="28"/>
          <w:highlight w:val="none"/>
        </w:rPr>
        <w:t>起</w:t>
      </w:r>
      <w:r>
        <w:rPr>
          <w:rFonts w:hint="eastAsia" w:ascii="仿宋" w:hAnsi="仿宋" w:eastAsia="仿宋" w:cs="仿宋"/>
          <w:color w:val="000000"/>
          <w:sz w:val="28"/>
          <w:szCs w:val="28"/>
          <w:highlight w:val="none"/>
          <w:lang w:val="zh-CN"/>
        </w:rPr>
        <w:t>21天的，属无效文件，不作为支付工程进度款或者竣工结算的依据。承包人坚持以超过合同约定期限的签证文件向发包人索赔或者要求补偿的，除该文件无效外，承包人须按该签证额向发包人支付等额违约金，在结算时一次性扣除。禁止事后补办，承包人不及时上报审批的，发包人有权不接收、不计算及不支付相关费用。</w:t>
      </w:r>
    </w:p>
    <w:p w14:paraId="27BFCB8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（2）对变更减少部分，承包人若未及时办理变更签证，发包人有权根据实际发生情况进行核查扣减。</w:t>
      </w:r>
    </w:p>
    <w:p w14:paraId="54587FD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（3）隐蔽工程的签证必须经承包人、监理人、造价咨询人、发包人四方共同签字确认方能进入结算依据。</w:t>
      </w:r>
    </w:p>
    <w:p w14:paraId="1BFB15B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安全文明施工费、临时设施费、冬、雨季施工增加费、生产工具用具使用费、工程定位复测、工程点交、场地清理费等费用按《云南省建设工程造价计价标准（2020版）》及其相关配套的计价文件计取相关费用，不再另行调整。</w:t>
      </w:r>
    </w:p>
    <w:p w14:paraId="26E7A5A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Start w:id="380" w:name="_Toc297048383"/>
      <w:bookmarkStart w:id="381" w:name="_Toc296347196"/>
      <w:bookmarkStart w:id="382" w:name="_Toc300934993"/>
      <w:bookmarkStart w:id="383" w:name="_Toc296944536"/>
      <w:bookmarkStart w:id="384" w:name="_Toc296891237"/>
      <w:bookmarkStart w:id="385" w:name="_Toc297123544"/>
      <w:bookmarkStart w:id="386" w:name="_Toc296503197"/>
      <w:bookmarkStart w:id="387" w:name="_Toc296891025"/>
      <w:bookmarkStart w:id="388" w:name="_Toc292559402"/>
      <w:bookmarkStart w:id="389" w:name="_Toc297216203"/>
      <w:bookmarkStart w:id="390" w:name="_Toc297120497"/>
      <w:bookmarkStart w:id="391" w:name="_Toc296346698"/>
      <w:bookmarkStart w:id="392" w:name="_Toc303539150"/>
      <w:bookmarkStart w:id="393" w:name="_Toc292559907"/>
      <w:bookmarkStart w:id="394" w:name="_Toc304295570"/>
      <w:bookmarkStart w:id="395" w:name="_Toc312677503"/>
      <w:bookmarkStart w:id="396" w:name="_Toc312678029"/>
      <w:r>
        <w:rPr>
          <w:rFonts w:hint="eastAsia" w:ascii="仿宋" w:hAnsi="仿宋" w:eastAsia="仿宋" w:cs="仿宋"/>
          <w:color w:val="000000"/>
          <w:sz w:val="28"/>
          <w:szCs w:val="28"/>
          <w:highlight w:val="none"/>
        </w:rPr>
        <w:t>0.5承</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Start w:id="397" w:name="_Toc297216204"/>
      <w:bookmarkStart w:id="398" w:name="_Toc296503203"/>
      <w:bookmarkStart w:id="399" w:name="_Toc292559913"/>
      <w:bookmarkStart w:id="400" w:name="_Toc292559408"/>
      <w:bookmarkStart w:id="401" w:name="_Toc303539151"/>
      <w:bookmarkStart w:id="402" w:name="_Toc297123545"/>
      <w:bookmarkStart w:id="403" w:name="_Toc296346704"/>
      <w:bookmarkStart w:id="404" w:name="_Toc296891243"/>
      <w:bookmarkStart w:id="405" w:name="_Toc297048389"/>
      <w:bookmarkStart w:id="406" w:name="_Toc296891031"/>
      <w:bookmarkStart w:id="407" w:name="_Toc296944542"/>
      <w:bookmarkStart w:id="408" w:name="_Toc300934994"/>
      <w:bookmarkStart w:id="409" w:name="_Toc296347202"/>
      <w:bookmarkStart w:id="410" w:name="_Toc297120503"/>
      <w:r>
        <w:rPr>
          <w:rFonts w:hint="eastAsia" w:ascii="仿宋" w:hAnsi="仿宋" w:eastAsia="仿宋" w:cs="仿宋"/>
          <w:color w:val="000000"/>
          <w:sz w:val="28"/>
          <w:szCs w:val="28"/>
          <w:highlight w:val="none"/>
        </w:rPr>
        <w:t>包人的合理化建议</w:t>
      </w:r>
    </w:p>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14:paraId="4FA790C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监理人审查承包人合理化建议的期限：</w:t>
      </w:r>
      <w:r>
        <w:rPr>
          <w:rFonts w:hint="eastAsia" w:ascii="仿宋" w:hAnsi="仿宋" w:eastAsia="仿宋" w:cs="仿宋"/>
          <w:b/>
          <w:color w:val="000000"/>
          <w:sz w:val="28"/>
          <w:szCs w:val="28"/>
          <w:highlight w:val="none"/>
          <w:u w:val="single"/>
        </w:rPr>
        <w:t xml:space="preserve"> 7天 </w:t>
      </w:r>
      <w:r>
        <w:rPr>
          <w:rFonts w:hint="eastAsia" w:ascii="仿宋" w:hAnsi="仿宋" w:eastAsia="仿宋" w:cs="仿宋"/>
          <w:color w:val="000000"/>
          <w:sz w:val="28"/>
          <w:szCs w:val="28"/>
          <w:highlight w:val="none"/>
        </w:rPr>
        <w:t>。</w:t>
      </w:r>
    </w:p>
    <w:p w14:paraId="325853E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发包人审批承包人合理化建议的期限：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7天    </w:t>
      </w:r>
      <w:r>
        <w:rPr>
          <w:rFonts w:hint="eastAsia" w:ascii="仿宋" w:hAnsi="仿宋" w:eastAsia="仿宋" w:cs="仿宋"/>
          <w:color w:val="000000"/>
          <w:sz w:val="28"/>
          <w:szCs w:val="28"/>
          <w:highlight w:val="none"/>
        </w:rPr>
        <w:t>。</w:t>
      </w:r>
    </w:p>
    <w:p w14:paraId="4E2466B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承</w:t>
      </w:r>
      <w:bookmarkStart w:id="411" w:name="_Toc292559914"/>
      <w:bookmarkStart w:id="412" w:name="_Toc296891244"/>
      <w:bookmarkStart w:id="413" w:name="_Toc292559409"/>
      <w:bookmarkStart w:id="414" w:name="_Toc303539152"/>
      <w:bookmarkStart w:id="415" w:name="_Toc296347203"/>
      <w:bookmarkStart w:id="416" w:name="_Toc297216205"/>
      <w:bookmarkStart w:id="417" w:name="_Toc297123546"/>
      <w:bookmarkStart w:id="418" w:name="_Toc296944543"/>
      <w:bookmarkStart w:id="419" w:name="_Toc300934995"/>
      <w:bookmarkStart w:id="420" w:name="_Toc297120504"/>
      <w:bookmarkStart w:id="421" w:name="_Toc312677504"/>
      <w:bookmarkStart w:id="422" w:name="_Toc296891032"/>
      <w:bookmarkStart w:id="423" w:name="_Toc318581175"/>
      <w:bookmarkStart w:id="424" w:name="_Toc312678030"/>
      <w:bookmarkStart w:id="425" w:name="_Toc297048390"/>
      <w:bookmarkStart w:id="426" w:name="_Toc296346705"/>
      <w:bookmarkStart w:id="427" w:name="_Toc296503204"/>
      <w:bookmarkStart w:id="428" w:name="_Toc304295571"/>
      <w:r>
        <w:rPr>
          <w:rFonts w:hint="eastAsia" w:ascii="仿宋" w:hAnsi="仿宋" w:eastAsia="仿宋" w:cs="仿宋"/>
          <w:color w:val="000000"/>
          <w:sz w:val="28"/>
          <w:szCs w:val="28"/>
          <w:highlight w:val="none"/>
        </w:rPr>
        <w:t>包人提出的合理化建议降低了合同价格或者提高了工程经济效益的奖励的方法和金额为：</w:t>
      </w:r>
      <w:r>
        <w:rPr>
          <w:rFonts w:hint="eastAsia" w:ascii="仿宋" w:hAnsi="仿宋" w:eastAsia="仿宋" w:cs="仿宋"/>
          <w:b/>
          <w:color w:val="000000"/>
          <w:kern w:val="0"/>
          <w:sz w:val="28"/>
          <w:szCs w:val="28"/>
          <w:highlight w:val="none"/>
          <w:u w:val="single"/>
        </w:rPr>
        <w:t>承包人提出的合理化建议降低了合同价格、缩短了工期或者提高了工程经济效益的，奖励措施由发包人另行确定</w:t>
      </w:r>
      <w:r>
        <w:rPr>
          <w:rFonts w:hint="eastAsia" w:ascii="仿宋" w:hAnsi="仿宋" w:eastAsia="仿宋" w:cs="仿宋"/>
          <w:color w:val="000000"/>
          <w:sz w:val="28"/>
          <w:szCs w:val="28"/>
          <w:highlight w:val="none"/>
        </w:rPr>
        <w:t>。</w:t>
      </w:r>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04AB80E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10.6变更引起的工期调整</w:t>
      </w:r>
    </w:p>
    <w:p w14:paraId="31364A4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无论变更引起何种变化，合同工期均不作调整。</w:t>
      </w:r>
    </w:p>
    <w:p w14:paraId="6401F54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Start w:id="429" w:name="_Toc292559404"/>
      <w:bookmarkStart w:id="430" w:name="_Toc296944538"/>
      <w:bookmarkStart w:id="431" w:name="_Toc303539154"/>
      <w:bookmarkStart w:id="432" w:name="_Toc296891027"/>
      <w:bookmarkStart w:id="433" w:name="_Toc312678033"/>
      <w:bookmarkStart w:id="434" w:name="_Toc297048385"/>
      <w:bookmarkStart w:id="435" w:name="_Toc304295574"/>
      <w:bookmarkStart w:id="436" w:name="_Toc312677507"/>
      <w:bookmarkStart w:id="437" w:name="_Toc296347198"/>
      <w:bookmarkStart w:id="438" w:name="_Toc300934997"/>
      <w:bookmarkStart w:id="439" w:name="_Toc292559909"/>
      <w:bookmarkStart w:id="440" w:name="_Toc297216207"/>
      <w:bookmarkStart w:id="441" w:name="_Toc296346700"/>
      <w:bookmarkStart w:id="442" w:name="_Toc297120499"/>
      <w:bookmarkStart w:id="443" w:name="_Toc296891239"/>
      <w:bookmarkStart w:id="444" w:name="_Toc297123548"/>
      <w:bookmarkStart w:id="445" w:name="_Toc296503199"/>
      <w:r>
        <w:rPr>
          <w:rFonts w:hint="eastAsia" w:ascii="仿宋" w:hAnsi="仿宋" w:eastAsia="仿宋" w:cs="仿宋"/>
          <w:color w:val="000000"/>
          <w:sz w:val="28"/>
          <w:szCs w:val="28"/>
          <w:highlight w:val="none"/>
        </w:rPr>
        <w:t>0.7 暂估价</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1D45380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暂</w:t>
      </w:r>
      <w:bookmarkStart w:id="446" w:name="_Toc312677508"/>
      <w:bookmarkStart w:id="447" w:name="_Toc312678034"/>
      <w:bookmarkStart w:id="448" w:name="_Toc318581176"/>
      <w:r>
        <w:rPr>
          <w:rFonts w:hint="eastAsia" w:ascii="仿宋" w:hAnsi="仿宋" w:eastAsia="仿宋" w:cs="仿宋"/>
          <w:color w:val="000000"/>
          <w:kern w:val="0"/>
          <w:sz w:val="28"/>
          <w:szCs w:val="28"/>
          <w:highlight w:val="none"/>
        </w:rPr>
        <w:t>估价材料和工程设备的明细详见附件11：《</w:t>
      </w:r>
      <w:r>
        <w:rPr>
          <w:rFonts w:hint="eastAsia" w:ascii="仿宋" w:hAnsi="仿宋" w:eastAsia="仿宋" w:cs="仿宋"/>
          <w:color w:val="000000"/>
          <w:sz w:val="28"/>
          <w:szCs w:val="28"/>
          <w:highlight w:val="none"/>
        </w:rPr>
        <w:t>暂估价一览表》</w:t>
      </w:r>
      <w:r>
        <w:rPr>
          <w:rFonts w:hint="eastAsia" w:ascii="仿宋" w:hAnsi="仿宋" w:eastAsia="仿宋" w:cs="仿宋"/>
          <w:color w:val="000000"/>
          <w:kern w:val="0"/>
          <w:sz w:val="28"/>
          <w:szCs w:val="28"/>
          <w:highlight w:val="none"/>
        </w:rPr>
        <w:t>。</w:t>
      </w:r>
    </w:p>
    <w:bookmarkEnd w:id="446"/>
    <w:bookmarkEnd w:id="447"/>
    <w:bookmarkEnd w:id="448"/>
    <w:p w14:paraId="1269BA8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Start w:id="449" w:name="_Toc312677509"/>
      <w:bookmarkStart w:id="450" w:name="_Toc312678035"/>
      <w:bookmarkStart w:id="451" w:name="_Toc318581177"/>
      <w:r>
        <w:rPr>
          <w:rFonts w:hint="eastAsia" w:ascii="仿宋" w:hAnsi="仿宋" w:eastAsia="仿宋" w:cs="仿宋"/>
          <w:color w:val="000000"/>
          <w:sz w:val="28"/>
          <w:szCs w:val="28"/>
          <w:highlight w:val="none"/>
        </w:rPr>
        <w:t>0.7.1 依法必须招标的暂估价项目</w:t>
      </w:r>
    </w:p>
    <w:bookmarkEnd w:id="449"/>
    <w:bookmarkEnd w:id="450"/>
    <w:bookmarkEnd w:id="451"/>
    <w:p w14:paraId="028F65C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对于依法必须招标的暂估价项目的确认和批准采取第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2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种方式确定。</w:t>
      </w:r>
    </w:p>
    <w:p w14:paraId="15C53A9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第2种方式：对于依法必须招标的暂估价项目，由发包人和承包人共同招标确定暂估价</w:t>
      </w:r>
      <w:r>
        <w:rPr>
          <w:rFonts w:hint="eastAsia" w:ascii="仿宋" w:hAnsi="仿宋" w:eastAsia="仿宋" w:cs="仿宋"/>
          <w:color w:val="000000"/>
          <w:kern w:val="0"/>
          <w:sz w:val="28"/>
          <w:szCs w:val="28"/>
          <w:highlight w:val="none"/>
          <w:lang w:val="en-US" w:eastAsia="zh-CN"/>
        </w:rPr>
        <w:t>供应商</w:t>
      </w:r>
      <w:r>
        <w:rPr>
          <w:rFonts w:hint="eastAsia" w:ascii="仿宋" w:hAnsi="仿宋" w:eastAsia="仿宋" w:cs="仿宋"/>
          <w:color w:val="000000"/>
          <w:kern w:val="0"/>
          <w:sz w:val="28"/>
          <w:szCs w:val="28"/>
          <w:highlight w:val="none"/>
        </w:rPr>
        <w:t>或分包人的，承包人应按照施工进度计划，在招标工作启动前14天通知发包人，并提交暂估价招标方案和工作分工。发包人应在收到后7天内确认。确定</w:t>
      </w:r>
      <w:r>
        <w:rPr>
          <w:rFonts w:hint="eastAsia" w:ascii="仿宋" w:hAnsi="仿宋" w:eastAsia="仿宋" w:cs="仿宋"/>
          <w:color w:val="000000"/>
          <w:kern w:val="0"/>
          <w:sz w:val="28"/>
          <w:szCs w:val="28"/>
          <w:highlight w:val="none"/>
          <w:lang w:val="en-US" w:eastAsia="zh-CN"/>
        </w:rPr>
        <w:t>成交人</w:t>
      </w:r>
      <w:r>
        <w:rPr>
          <w:rFonts w:hint="eastAsia" w:ascii="仿宋" w:hAnsi="仿宋" w:eastAsia="仿宋" w:cs="仿宋"/>
          <w:color w:val="000000"/>
          <w:kern w:val="0"/>
          <w:sz w:val="28"/>
          <w:szCs w:val="28"/>
          <w:highlight w:val="none"/>
        </w:rPr>
        <w:t>后，由发包人、承包人与</w:t>
      </w:r>
      <w:r>
        <w:rPr>
          <w:rFonts w:hint="eastAsia" w:ascii="仿宋" w:hAnsi="仿宋" w:eastAsia="仿宋" w:cs="仿宋"/>
          <w:color w:val="000000"/>
          <w:kern w:val="0"/>
          <w:sz w:val="28"/>
          <w:szCs w:val="28"/>
          <w:highlight w:val="none"/>
          <w:lang w:val="en-US" w:eastAsia="zh-CN"/>
        </w:rPr>
        <w:t>成交人</w:t>
      </w:r>
      <w:r>
        <w:rPr>
          <w:rFonts w:hint="eastAsia" w:ascii="仿宋" w:hAnsi="仿宋" w:eastAsia="仿宋" w:cs="仿宋"/>
          <w:color w:val="000000"/>
          <w:kern w:val="0"/>
          <w:sz w:val="28"/>
          <w:szCs w:val="28"/>
          <w:highlight w:val="none"/>
        </w:rPr>
        <w:t>共同签订暂估价合同。</w:t>
      </w:r>
    </w:p>
    <w:p w14:paraId="567A0C9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10.7.2 不属于依法必须招标的暂估价项目</w:t>
      </w:r>
    </w:p>
    <w:p w14:paraId="42BA00C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对于不属于依法必须招标的暂估价项目的确认和批准采取第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3  </w:t>
      </w:r>
      <w:r>
        <w:rPr>
          <w:rFonts w:hint="eastAsia" w:ascii="仿宋" w:hAnsi="仿宋" w:eastAsia="仿宋" w:cs="仿宋"/>
          <w:color w:val="000000"/>
          <w:sz w:val="28"/>
          <w:szCs w:val="28"/>
          <w:highlight w:val="none"/>
        </w:rPr>
        <w:t>种方式确定。</w:t>
      </w:r>
    </w:p>
    <w:p w14:paraId="5382262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第3种方式：</w:t>
      </w:r>
      <w:r>
        <w:rPr>
          <w:rFonts w:hint="eastAsia" w:ascii="仿宋" w:hAnsi="仿宋" w:eastAsia="仿宋" w:cs="仿宋"/>
          <w:color w:val="000000"/>
          <w:kern w:val="0"/>
          <w:sz w:val="28"/>
          <w:szCs w:val="28"/>
          <w:highlight w:val="none"/>
        </w:rPr>
        <w:t>承包人直接实施的暂估价项目</w:t>
      </w:r>
    </w:p>
    <w:p w14:paraId="3FC21E9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承包人直接实施的暂估价项目的约定：</w:t>
      </w:r>
      <w:r>
        <w:rPr>
          <w:rFonts w:hint="eastAsia" w:ascii="仿宋" w:hAnsi="仿宋" w:eastAsia="仿宋" w:cs="仿宋"/>
          <w:b/>
          <w:bCs/>
          <w:color w:val="000000"/>
          <w:sz w:val="28"/>
          <w:szCs w:val="28"/>
          <w:highlight w:val="none"/>
          <w:u w:val="single"/>
        </w:rPr>
        <w:t>应由承包人按合同约定采购，经发包人确认单价后取代暂估价，调整合同价款</w:t>
      </w:r>
      <w:r>
        <w:rPr>
          <w:rFonts w:hint="eastAsia" w:ascii="仿宋" w:hAnsi="仿宋" w:eastAsia="仿宋" w:cs="仿宋"/>
          <w:color w:val="000000"/>
          <w:sz w:val="28"/>
          <w:szCs w:val="28"/>
          <w:highlight w:val="none"/>
          <w:u w:val="single"/>
        </w:rPr>
        <w:t>。</w:t>
      </w:r>
    </w:p>
    <w:p w14:paraId="300140E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10.8 暂列金额</w:t>
      </w:r>
    </w:p>
    <w:p w14:paraId="6228557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合同当事人关于暂列金额使用的约定：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暂列金是</w:t>
      </w:r>
      <w:r>
        <w:rPr>
          <w:rFonts w:hint="eastAsia" w:ascii="仿宋" w:hAnsi="仿宋" w:eastAsia="仿宋" w:cs="仿宋"/>
          <w:b/>
          <w:bCs/>
          <w:color w:val="000000"/>
          <w:kern w:val="0"/>
          <w:sz w:val="28"/>
          <w:szCs w:val="28"/>
          <w:highlight w:val="none"/>
          <w:u w:val="single"/>
          <w:lang w:val="en-US" w:eastAsia="zh-CN"/>
        </w:rPr>
        <w:t>发包人</w:t>
      </w:r>
      <w:r>
        <w:rPr>
          <w:rFonts w:hint="eastAsia" w:ascii="仿宋" w:hAnsi="仿宋" w:eastAsia="仿宋" w:cs="仿宋"/>
          <w:b/>
          <w:bCs/>
          <w:color w:val="000000"/>
          <w:kern w:val="0"/>
          <w:sz w:val="28"/>
          <w:szCs w:val="28"/>
          <w:highlight w:val="none"/>
          <w:u w:val="single"/>
        </w:rPr>
        <w:t>自行确定设立的，承包人无权使用此笔费用。暂列金额在发包人提供的工程量清单中专项列出，并且只能按发包人、监理人的指示使用。只有按照合同约定实际发生后，按实际发生经发包人签证后确定全部使用、部分使用或不使用才能成为承包人的应得金额，纳入合同结算价款中。扣除实际发生金额后的暂列金额仍属于发包人所有</w:t>
      </w:r>
      <w:r>
        <w:rPr>
          <w:rFonts w:hint="eastAsia" w:ascii="仿宋" w:hAnsi="仿宋" w:eastAsia="仿宋" w:cs="仿宋"/>
          <w:color w:val="000000"/>
          <w:kern w:val="0"/>
          <w:sz w:val="28"/>
          <w:szCs w:val="28"/>
          <w:highlight w:val="none"/>
          <w:u w:val="single"/>
        </w:rPr>
        <w:t>。</w:t>
      </w:r>
    </w:p>
    <w:bookmarkEnd w:id="356"/>
    <w:bookmarkEnd w:id="357"/>
    <w:bookmarkEnd w:id="358"/>
    <w:bookmarkEnd w:id="359"/>
    <w:bookmarkEnd w:id="360"/>
    <w:bookmarkEnd w:id="361"/>
    <w:p w14:paraId="1D2EB39C">
      <w:pPr>
        <w:keepNext w:val="0"/>
        <w:keepLines w:val="0"/>
        <w:pageBreakBefore w:val="0"/>
        <w:numPr>
          <w:ilvl w:val="0"/>
          <w:numId w:val="12"/>
        </w:numPr>
        <w:kinsoku/>
        <w:wordWrap/>
        <w:overflowPunct/>
        <w:topLinePunct w:val="0"/>
        <w:bidi w:val="0"/>
        <w:spacing w:line="500" w:lineRule="exact"/>
        <w:ind w:firstLine="560" w:firstLineChars="200"/>
        <w:textAlignment w:val="auto"/>
        <w:outlineLvl w:val="9"/>
        <w:rPr>
          <w:rFonts w:hint="eastAsia" w:ascii="仿宋" w:hAnsi="仿宋" w:eastAsia="仿宋" w:cs="仿宋"/>
          <w:color w:val="000000"/>
          <w:sz w:val="28"/>
          <w:szCs w:val="28"/>
          <w:highlight w:val="none"/>
        </w:rPr>
      </w:pPr>
      <w:bookmarkStart w:id="452" w:name="_Toc351203643"/>
      <w:bookmarkStart w:id="453" w:name="_Toc292559410"/>
      <w:bookmarkStart w:id="454" w:name="_Toc296503205"/>
      <w:bookmarkStart w:id="455" w:name="_Toc297048391"/>
      <w:bookmarkStart w:id="456" w:name="_Toc296891245"/>
      <w:bookmarkStart w:id="457" w:name="_Toc296891033"/>
      <w:bookmarkStart w:id="458" w:name="_Toc296944544"/>
      <w:bookmarkStart w:id="459" w:name="_Toc296347204"/>
      <w:bookmarkStart w:id="460" w:name="_Toc296346706"/>
      <w:bookmarkStart w:id="461" w:name="_Toc292559915"/>
      <w:bookmarkStart w:id="462" w:name="_Toc297120505"/>
      <w:bookmarkStart w:id="463" w:name="_Toc351203644"/>
      <w:bookmarkStart w:id="464" w:name="_Toc303539159"/>
      <w:bookmarkStart w:id="465" w:name="_Toc297216211"/>
      <w:bookmarkStart w:id="466" w:name="_Toc297123552"/>
      <w:bookmarkStart w:id="467" w:name="_Toc300935002"/>
      <w:bookmarkStart w:id="468" w:name="_Toc304295579"/>
      <w:bookmarkStart w:id="469" w:name="_Toc312678040"/>
      <w:r>
        <w:rPr>
          <w:rFonts w:hint="eastAsia" w:ascii="仿宋" w:hAnsi="仿宋" w:eastAsia="仿宋" w:cs="仿宋"/>
          <w:color w:val="000000"/>
          <w:sz w:val="28"/>
          <w:szCs w:val="28"/>
          <w:highlight w:val="none"/>
        </w:rPr>
        <w:t>价格调整</w:t>
      </w:r>
      <w:bookmarkEnd w:id="452"/>
    </w:p>
    <w:p w14:paraId="689847F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470" w:name="_Toc292559911"/>
      <w:bookmarkStart w:id="471" w:name="_Toc296347200"/>
      <w:bookmarkStart w:id="472" w:name="_Toc292559406"/>
      <w:bookmarkStart w:id="473" w:name="_Toc297048387"/>
      <w:bookmarkStart w:id="474" w:name="_Toc296891029"/>
      <w:bookmarkStart w:id="475" w:name="_Toc300935000"/>
      <w:bookmarkStart w:id="476" w:name="_Toc297123550"/>
      <w:bookmarkStart w:id="477" w:name="_Toc303539157"/>
      <w:bookmarkStart w:id="478" w:name="_Toc304295577"/>
      <w:bookmarkStart w:id="479" w:name="_Toc296891241"/>
      <w:bookmarkStart w:id="480" w:name="_Toc297120501"/>
      <w:bookmarkStart w:id="481" w:name="_Toc296346702"/>
      <w:bookmarkStart w:id="482" w:name="_Toc296944540"/>
      <w:bookmarkStart w:id="483" w:name="_Toc297216209"/>
      <w:bookmarkStart w:id="484" w:name="_Toc296503201"/>
      <w:bookmarkStart w:id="485" w:name="_Toc312678039"/>
      <w:r>
        <w:rPr>
          <w:rFonts w:hint="eastAsia" w:ascii="仿宋" w:hAnsi="仿宋" w:eastAsia="仿宋" w:cs="仿宋"/>
          <w:color w:val="000000"/>
          <w:sz w:val="28"/>
          <w:szCs w:val="28"/>
          <w:highlight w:val="none"/>
        </w:rPr>
        <w:t>11.1 市场价格波动引起的调整</w:t>
      </w:r>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49ED766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市场价格波动是否调整合同价格的约定：</w:t>
      </w:r>
      <w:r>
        <w:rPr>
          <w:rFonts w:hint="eastAsia" w:ascii="仿宋" w:hAnsi="仿宋" w:eastAsia="仿宋" w:cs="仿宋"/>
          <w:b/>
          <w:bCs/>
          <w:color w:val="000000"/>
          <w:kern w:val="0"/>
          <w:sz w:val="28"/>
          <w:szCs w:val="28"/>
          <w:highlight w:val="none"/>
          <w:u w:val="single"/>
          <w:lang w:val="en-US" w:eastAsia="zh-CN"/>
        </w:rPr>
        <w:t>是</w:t>
      </w:r>
      <w:r>
        <w:rPr>
          <w:rFonts w:hint="eastAsia" w:ascii="仿宋" w:hAnsi="仿宋" w:eastAsia="仿宋" w:cs="仿宋"/>
          <w:color w:val="000000"/>
          <w:kern w:val="0"/>
          <w:sz w:val="28"/>
          <w:szCs w:val="28"/>
          <w:highlight w:val="none"/>
        </w:rPr>
        <w:t>。</w:t>
      </w:r>
    </w:p>
    <w:p w14:paraId="526C174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因市场价格波动调整合同价格，采用以下第</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2</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种方式对合同价格进行调整：</w:t>
      </w:r>
    </w:p>
    <w:p w14:paraId="347F9FB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第1种方式：采用价格指数进行价格调整。</w:t>
      </w:r>
    </w:p>
    <w:p w14:paraId="19BAE58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关于各可调因子、定值和变值权重，以及基本价格指数及其来源的约定：</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5FE29FF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第2种方式：采用造价信息进行价格调整。</w:t>
      </w:r>
    </w:p>
    <w:p w14:paraId="7073ECC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lang w:eastAsia="zh-CN"/>
        </w:rPr>
      </w:pPr>
      <w:r>
        <w:rPr>
          <w:rFonts w:hint="eastAsia" w:ascii="仿宋" w:hAnsi="仿宋" w:eastAsia="仿宋" w:cs="仿宋"/>
          <w:color w:val="000000"/>
          <w:kern w:val="0"/>
          <w:sz w:val="28"/>
          <w:szCs w:val="28"/>
          <w:highlight w:val="none"/>
        </w:rPr>
        <w:t>（2）关于基准价格的约定：</w:t>
      </w:r>
      <w:r>
        <w:rPr>
          <w:rFonts w:hint="eastAsia" w:ascii="仿宋" w:hAnsi="仿宋" w:eastAsia="仿宋" w:cs="仿宋"/>
          <w:b/>
          <w:bCs/>
          <w:color w:val="auto"/>
          <w:spacing w:val="0"/>
          <w:sz w:val="24"/>
          <w:szCs w:val="24"/>
          <w:u w:val="single" w:color="auto"/>
        </w:rPr>
        <w:t>主要材料价格上涨或下降幅度在10％以内的，其价差由承包人承担或受益；价格上涨或下降幅度在10%以外的，其价差（即超过</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b/>
          <w:bCs/>
          <w:color w:val="auto"/>
          <w:spacing w:val="0"/>
          <w:sz w:val="24"/>
          <w:szCs w:val="24"/>
          <w:u w:val="single" w:color="auto"/>
        </w:rPr>
        <w:t>10%的部分）由发包人承担或受益。主要材料差价计算按竞争性磋商文件规定编制报价采用的材料信息价与施工期材料信息价（按《西双版纳傣族自治州建设工程材料及设备价格信息》公布的主要材料价）的差额为依据。发生的价差只计取差价和税金，不计取其他费用</w:t>
      </w:r>
      <w:r>
        <w:rPr>
          <w:rFonts w:hint="eastAsia" w:ascii="仿宋" w:hAnsi="仿宋" w:eastAsia="仿宋" w:cs="仿宋"/>
          <w:b/>
          <w:bCs/>
          <w:color w:val="000000"/>
          <w:kern w:val="0"/>
          <w:sz w:val="28"/>
          <w:szCs w:val="28"/>
          <w:highlight w:val="none"/>
          <w:u w:val="single"/>
        </w:rPr>
        <w:t xml:space="preserve"> </w:t>
      </w:r>
      <w:r>
        <w:rPr>
          <w:rFonts w:hint="eastAsia" w:ascii="仿宋" w:hAnsi="仿宋" w:eastAsia="仿宋" w:cs="仿宋"/>
          <w:color w:val="000000"/>
          <w:kern w:val="0"/>
          <w:sz w:val="28"/>
          <w:szCs w:val="28"/>
          <w:highlight w:val="none"/>
          <w:lang w:eastAsia="zh-CN"/>
        </w:rPr>
        <w:t>。</w:t>
      </w:r>
    </w:p>
    <w:p w14:paraId="1D084CD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①承包人在已标价工程量清单或预算书中载明的材料单价低于基准价格的：专用合同条款合同履行期间材料单价涨幅以基准价格为基础超过</w:t>
      </w:r>
      <w:r>
        <w:rPr>
          <w:rFonts w:hint="eastAsia" w:ascii="仿宋" w:hAnsi="仿宋" w:eastAsia="仿宋" w:cs="仿宋"/>
          <w:b/>
          <w:bCs/>
          <w:color w:val="000000"/>
          <w:kern w:val="0"/>
          <w:sz w:val="28"/>
          <w:szCs w:val="28"/>
          <w:highlight w:val="none"/>
          <w:u w:val="single"/>
        </w:rPr>
        <w:t xml:space="preserve"> 10 </w:t>
      </w:r>
      <w:r>
        <w:rPr>
          <w:rFonts w:hint="eastAsia" w:ascii="仿宋" w:hAnsi="仿宋" w:eastAsia="仿宋" w:cs="仿宋"/>
          <w:color w:val="000000"/>
          <w:kern w:val="0"/>
          <w:sz w:val="28"/>
          <w:szCs w:val="28"/>
          <w:highlight w:val="none"/>
        </w:rPr>
        <w:t>%时，或材料单价跌幅以已标价工程量清单或预算书中载明材料单价为基础超过</w:t>
      </w:r>
      <w:r>
        <w:rPr>
          <w:rFonts w:hint="eastAsia" w:ascii="仿宋" w:hAnsi="仿宋" w:eastAsia="仿宋" w:cs="仿宋"/>
          <w:b/>
          <w:bCs/>
          <w:color w:val="000000"/>
          <w:kern w:val="0"/>
          <w:sz w:val="28"/>
          <w:szCs w:val="28"/>
          <w:highlight w:val="none"/>
          <w:u w:val="single"/>
        </w:rPr>
        <w:t xml:space="preserve"> 10 </w:t>
      </w:r>
      <w:r>
        <w:rPr>
          <w:rFonts w:hint="eastAsia" w:ascii="仿宋" w:hAnsi="仿宋" w:eastAsia="仿宋" w:cs="仿宋"/>
          <w:color w:val="000000"/>
          <w:kern w:val="0"/>
          <w:sz w:val="28"/>
          <w:szCs w:val="28"/>
          <w:highlight w:val="none"/>
        </w:rPr>
        <w:t>%时，其超过部分据实调整。</w:t>
      </w:r>
    </w:p>
    <w:p w14:paraId="670B93D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b/>
          <w:bCs/>
          <w:color w:val="000000"/>
          <w:kern w:val="0"/>
          <w:sz w:val="28"/>
          <w:szCs w:val="28"/>
          <w:highlight w:val="none"/>
          <w:u w:val="single"/>
        </w:rPr>
        <w:t xml:space="preserve"> 10 </w:t>
      </w:r>
      <w:r>
        <w:rPr>
          <w:rFonts w:hint="eastAsia" w:ascii="仿宋" w:hAnsi="仿宋" w:eastAsia="仿宋" w:cs="仿宋"/>
          <w:color w:val="000000"/>
          <w:kern w:val="0"/>
          <w:sz w:val="28"/>
          <w:szCs w:val="28"/>
          <w:highlight w:val="none"/>
        </w:rPr>
        <w:t>%时，材料单价涨幅以已标价工程量清单或预算书中载明材料单价为基础超过</w:t>
      </w:r>
      <w:r>
        <w:rPr>
          <w:rFonts w:hint="eastAsia" w:ascii="仿宋" w:hAnsi="仿宋" w:eastAsia="仿宋" w:cs="仿宋"/>
          <w:b/>
          <w:bCs/>
          <w:color w:val="000000"/>
          <w:kern w:val="0"/>
          <w:sz w:val="28"/>
          <w:szCs w:val="28"/>
          <w:highlight w:val="none"/>
          <w:u w:val="single"/>
        </w:rPr>
        <w:t xml:space="preserve"> 10 </w:t>
      </w:r>
      <w:r>
        <w:rPr>
          <w:rFonts w:hint="eastAsia" w:ascii="仿宋" w:hAnsi="仿宋" w:eastAsia="仿宋" w:cs="仿宋"/>
          <w:color w:val="000000"/>
          <w:kern w:val="0"/>
          <w:sz w:val="28"/>
          <w:szCs w:val="28"/>
          <w:highlight w:val="none"/>
        </w:rPr>
        <w:t>%时，其超过部分据实调整。</w:t>
      </w:r>
    </w:p>
    <w:p w14:paraId="5960616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b/>
          <w:bCs/>
          <w:color w:val="000000"/>
          <w:kern w:val="0"/>
          <w:sz w:val="28"/>
          <w:szCs w:val="28"/>
          <w:highlight w:val="none"/>
          <w:u w:val="single"/>
        </w:rPr>
        <w:t xml:space="preserve"> 10 </w:t>
      </w:r>
      <w:r>
        <w:rPr>
          <w:rFonts w:hint="eastAsia" w:ascii="仿宋" w:hAnsi="仿宋" w:eastAsia="仿宋" w:cs="仿宋"/>
          <w:color w:val="000000"/>
          <w:kern w:val="0"/>
          <w:sz w:val="28"/>
          <w:szCs w:val="28"/>
          <w:highlight w:val="none"/>
        </w:rPr>
        <w:t>%时，其超过部分据实调整。</w:t>
      </w:r>
    </w:p>
    <w:p w14:paraId="37951C5F">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第3种方式：其他价格调整方式：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9DAB75F">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w:t>
      </w:r>
      <w:bookmarkEnd w:id="453"/>
      <w:bookmarkEnd w:id="454"/>
      <w:bookmarkEnd w:id="455"/>
      <w:bookmarkEnd w:id="456"/>
      <w:bookmarkEnd w:id="457"/>
      <w:bookmarkEnd w:id="458"/>
      <w:bookmarkEnd w:id="459"/>
      <w:bookmarkEnd w:id="460"/>
      <w:bookmarkEnd w:id="461"/>
      <w:bookmarkEnd w:id="462"/>
      <w:r>
        <w:rPr>
          <w:rFonts w:hint="eastAsia" w:ascii="仿宋" w:hAnsi="仿宋" w:eastAsia="仿宋" w:cs="仿宋"/>
          <w:color w:val="000000"/>
          <w:sz w:val="28"/>
          <w:szCs w:val="28"/>
          <w:highlight w:val="none"/>
        </w:rPr>
        <w:t>合同价格、计量与支付</w:t>
      </w:r>
      <w:bookmarkEnd w:id="463"/>
    </w:p>
    <w:bookmarkEnd w:id="464"/>
    <w:bookmarkEnd w:id="465"/>
    <w:bookmarkEnd w:id="466"/>
    <w:bookmarkEnd w:id="467"/>
    <w:bookmarkEnd w:id="468"/>
    <w:bookmarkEnd w:id="469"/>
    <w:p w14:paraId="3F52197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486" w:name="_Toc292559916"/>
      <w:bookmarkStart w:id="487" w:name="_Toc267251461"/>
      <w:bookmarkStart w:id="488" w:name="_Toc292559411"/>
      <w:bookmarkStart w:id="489" w:name="_Toc296503206"/>
      <w:bookmarkStart w:id="490" w:name="_Toc297048392"/>
      <w:bookmarkStart w:id="491" w:name="_Toc296891034"/>
      <w:bookmarkStart w:id="492" w:name="_Toc296346707"/>
      <w:bookmarkStart w:id="493" w:name="_Toc296347205"/>
      <w:bookmarkStart w:id="494" w:name="_Toc296891246"/>
      <w:bookmarkStart w:id="495" w:name="_Toc297120506"/>
      <w:bookmarkStart w:id="496" w:name="_Toc296944545"/>
      <w:bookmarkStart w:id="497" w:name="_Toc297123553"/>
      <w:bookmarkStart w:id="498" w:name="_Toc303539160"/>
      <w:bookmarkStart w:id="499" w:name="_Toc312678041"/>
      <w:bookmarkStart w:id="500" w:name="_Toc300935003"/>
      <w:bookmarkStart w:id="501" w:name="_Toc297216212"/>
      <w:bookmarkStart w:id="502" w:name="_Toc304295580"/>
      <w:r>
        <w:rPr>
          <w:rFonts w:hint="eastAsia" w:ascii="仿宋" w:hAnsi="仿宋" w:eastAsia="仿宋" w:cs="仿宋"/>
          <w:color w:val="000000"/>
          <w:sz w:val="28"/>
          <w:szCs w:val="28"/>
          <w:highlight w:val="none"/>
        </w:rPr>
        <w:t>12.1 合</w:t>
      </w:r>
      <w:bookmarkEnd w:id="486"/>
      <w:bookmarkEnd w:id="487"/>
      <w:bookmarkEnd w:id="488"/>
      <w:r>
        <w:rPr>
          <w:rFonts w:hint="eastAsia" w:ascii="仿宋" w:hAnsi="仿宋" w:eastAsia="仿宋" w:cs="仿宋"/>
          <w:color w:val="000000"/>
          <w:sz w:val="28"/>
          <w:szCs w:val="28"/>
          <w:highlight w:val="none"/>
        </w:rPr>
        <w:t>同价</w:t>
      </w:r>
      <w:bookmarkEnd w:id="489"/>
      <w:bookmarkEnd w:id="490"/>
      <w:bookmarkEnd w:id="491"/>
      <w:bookmarkEnd w:id="492"/>
      <w:bookmarkEnd w:id="493"/>
      <w:bookmarkEnd w:id="494"/>
      <w:bookmarkEnd w:id="495"/>
      <w:bookmarkEnd w:id="496"/>
      <w:r>
        <w:rPr>
          <w:rFonts w:hint="eastAsia" w:ascii="仿宋" w:hAnsi="仿宋" w:eastAsia="仿宋" w:cs="仿宋"/>
          <w:color w:val="000000"/>
          <w:sz w:val="28"/>
          <w:szCs w:val="28"/>
          <w:highlight w:val="none"/>
        </w:rPr>
        <w:t>格形式</w:t>
      </w:r>
      <w:bookmarkEnd w:id="497"/>
      <w:bookmarkEnd w:id="498"/>
      <w:bookmarkEnd w:id="499"/>
      <w:bookmarkEnd w:id="500"/>
      <w:bookmarkEnd w:id="501"/>
      <w:bookmarkEnd w:id="502"/>
    </w:p>
    <w:p w14:paraId="1DB848A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1、单价合同。</w:t>
      </w:r>
    </w:p>
    <w:p w14:paraId="593075C7">
      <w:pPr>
        <w:pStyle w:val="12"/>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综合单价包含的风险范围：</w:t>
      </w:r>
      <w:r>
        <w:rPr>
          <w:rFonts w:hint="eastAsia" w:ascii="仿宋" w:hAnsi="仿宋" w:eastAsia="仿宋" w:cs="仿宋"/>
          <w:b/>
          <w:bCs/>
          <w:color w:val="auto"/>
          <w:spacing w:val="0"/>
          <w:sz w:val="24"/>
          <w:szCs w:val="24"/>
          <w:u w:val="single" w:color="auto"/>
        </w:rPr>
        <w:t>a.人工费、材料费、机械费、设备费、必须考虑的风险;b.合同中明示及隐含的风险及有经验的承包人可以或应该预见的，为完成整体工程内容所必须考虑的风险；c.分部分项工程量变更，综合单价将不予调整的风险；d.一周内非承包人原因停水、停电造成累计停工在八小时以内的风险。</w:t>
      </w:r>
    </w:p>
    <w:p w14:paraId="3D368242">
      <w:pPr>
        <w:pStyle w:val="12"/>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风险费用的计算方法：</w:t>
      </w:r>
      <w:r>
        <w:rPr>
          <w:rFonts w:hint="eastAsia" w:ascii="仿宋" w:hAnsi="仿宋" w:eastAsia="仿宋" w:cs="仿宋"/>
          <w:b/>
          <w:bCs/>
          <w:color w:val="auto"/>
          <w:spacing w:val="0"/>
          <w:sz w:val="24"/>
          <w:szCs w:val="24"/>
          <w:u w:val="single" w:color="auto"/>
        </w:rPr>
        <w:t>风险费用已包含在成交价中。</w:t>
      </w:r>
    </w:p>
    <w:p w14:paraId="4F74E7DC">
      <w:pPr>
        <w:pStyle w:val="12"/>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风险范围以外合同价格的调整方法：</w:t>
      </w:r>
      <w:r>
        <w:rPr>
          <w:rFonts w:hint="eastAsia" w:ascii="仿宋" w:hAnsi="仿宋" w:eastAsia="仿宋" w:cs="仿宋"/>
          <w:b/>
          <w:bCs/>
          <w:color w:val="auto"/>
          <w:spacing w:val="0"/>
          <w:sz w:val="24"/>
          <w:szCs w:val="24"/>
          <w:u w:val="single" w:color="auto"/>
        </w:rPr>
        <w:t>①工程量清单项目的项目特征与报价中项目相同的，按报价的综合单价计算。</w:t>
      </w:r>
    </w:p>
    <w:p w14:paraId="6780EA92">
      <w:pPr>
        <w:pStyle w:val="12"/>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u w:val="single" w:color="auto"/>
        </w:rPr>
        <w:t>②新增工程量清单项目的项目特征与报价中项目类似的，综合单价参照类似项目的单价进行结算。</w:t>
      </w:r>
    </w:p>
    <w:p w14:paraId="388B2561">
      <w:pPr>
        <w:pStyle w:val="12"/>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auto"/>
          <w:spacing w:val="0"/>
          <w:kern w:val="2"/>
          <w:sz w:val="24"/>
          <w:szCs w:val="24"/>
          <w:u w:val="single" w:color="auto"/>
          <w:lang w:val="en-US" w:eastAsia="zh-CN" w:bidi="ar-SA"/>
        </w:rPr>
      </w:pPr>
      <w:r>
        <w:rPr>
          <w:rFonts w:hint="eastAsia" w:ascii="仿宋" w:hAnsi="仿宋" w:eastAsia="仿宋" w:cs="仿宋"/>
          <w:b/>
          <w:bCs/>
          <w:color w:val="auto"/>
          <w:spacing w:val="0"/>
          <w:sz w:val="24"/>
          <w:szCs w:val="24"/>
          <w:u w:val="single" w:color="auto"/>
        </w:rPr>
        <w:t>③报价中没有综合单价的新的工程量清单项目，新增项目的综合单价由承包人提出，由发包人、监理单位确认后</w:t>
      </w:r>
      <w:r>
        <w:rPr>
          <w:rFonts w:hint="eastAsia" w:ascii="仿宋" w:hAnsi="仿宋" w:eastAsia="仿宋" w:cs="仿宋"/>
          <w:b/>
          <w:bCs/>
          <w:color w:val="auto"/>
          <w:spacing w:val="0"/>
          <w:kern w:val="2"/>
          <w:sz w:val="24"/>
          <w:szCs w:val="24"/>
          <w:u w:val="single" w:color="auto"/>
          <w:lang w:val="en-US" w:eastAsia="zh-CN" w:bidi="ar-SA"/>
        </w:rPr>
        <w:t>，并经中介机构审核通过后作为结算价。</w:t>
      </w:r>
    </w:p>
    <w:p w14:paraId="7B042F06">
      <w:pPr>
        <w:spacing w:line="360" w:lineRule="auto"/>
        <w:ind w:firstLine="482" w:firstLineChars="200"/>
        <w:rPr>
          <w:rFonts w:hint="default" w:ascii="仿宋" w:hAnsi="仿宋" w:eastAsia="仿宋" w:cs="仿宋"/>
          <w:color w:val="auto"/>
          <w:spacing w:val="0"/>
          <w:sz w:val="24"/>
          <w:szCs w:val="24"/>
          <w:lang w:val="en-US"/>
        </w:rPr>
      </w:pPr>
      <w:r>
        <w:rPr>
          <w:rFonts w:hint="eastAsia" w:ascii="仿宋" w:hAnsi="仿宋" w:eastAsia="仿宋" w:cs="仿宋"/>
          <w:b/>
          <w:bCs/>
          <w:color w:val="auto"/>
          <w:spacing w:val="0"/>
          <w:kern w:val="2"/>
          <w:sz w:val="24"/>
          <w:szCs w:val="24"/>
          <w:u w:val="single" w:color="auto"/>
          <w:lang w:val="en-US" w:eastAsia="zh-CN" w:bidi="ar-SA"/>
        </w:rPr>
        <w:t>④合同范围外调整计价原则：（1）《建设工程工程量清单计价标准》（GB/T50500—2024）；（2）云南省住房和城乡建设厅于2025年7月28日颁布的《云南省住房和城乡建设厅关于发布&lt;建设工程相关专业工程量计算标准云南省过渡期使用指南&gt;的通知》（云建科[2025]72号）文件；（3）云南省住房和城乡建设厅于2025年7月11日颁布的《云南省住房和城乡建设厅关于发布&lt;建设工程工程量清单计价标准(2024)&gt;云南省过渡期实施规定的通知》（云建科[2025]63号）文件；（4）云南省住房和城乡建设厅于2021年2月1日颁布的《云南省住房和城乡建设厅关于&lt;云南省建设工程造价计价标准（2020版）&gt;发布实施的通知》（云建科[2021]15号）文件；（5）云南省住房和城乡建设厅于2023年4月21日颁布的《云南省住房和城乡建设厅关于云南省建设工程造价计价标准调整定额人工费的通知》（云建科[2023]54号）；（6）最高投标限价及工程量清单增值税按一般纳税人9%计取；（7）《纳竜坝村小组茶产业及人居环境综合整治提升项目竞争性磋商文件》；（8）材料价格参考2026年9月《西双版纳傣族自治州建设工程材料及设备价格信息》并结合当地市场材料价格综合考虑。</w:t>
      </w:r>
    </w:p>
    <w:p w14:paraId="2BF381C2">
      <w:pPr>
        <w:pStyle w:val="12"/>
        <w:keepNext w:val="0"/>
        <w:keepLines w:val="0"/>
        <w:pageBreakBefore w:val="0"/>
        <w:widowControl w:val="0"/>
        <w:tabs>
          <w:tab w:val="left" w:pos="158"/>
        </w:tabs>
        <w:kinsoku/>
        <w:wordWrap/>
        <w:overflowPunct/>
        <w:topLinePunct w:val="0"/>
        <w:autoSpaceDE/>
        <w:autoSpaceDN/>
        <w:bidi w:val="0"/>
        <w:adjustRightInd/>
        <w:snapToGrid/>
        <w:spacing w:line="440" w:lineRule="exact"/>
        <w:ind w:left="0" w:right="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最终建安工程费的确定方法：</w:t>
      </w:r>
      <w:r>
        <w:rPr>
          <w:rFonts w:hint="eastAsia" w:ascii="仿宋" w:hAnsi="仿宋" w:eastAsia="仿宋" w:cs="仿宋"/>
          <w:b/>
          <w:bCs/>
          <w:color w:val="auto"/>
          <w:spacing w:val="0"/>
          <w:sz w:val="24"/>
          <w:szCs w:val="24"/>
          <w:u w:val="single" w:color="auto"/>
        </w:rPr>
        <w:t>整个工程先根据竞争性磋商文件和承包人的响应文件，采用单价合同形式进行结算，采购人按照经造价咨询单位审定的建安工程费结算价支付最终建安工程费，最终建安工程费</w:t>
      </w:r>
      <w:r>
        <w:rPr>
          <w:rFonts w:hint="eastAsia" w:ascii="仿宋" w:hAnsi="仿宋" w:eastAsia="仿宋" w:cs="仿宋"/>
          <w:b/>
          <w:bCs/>
          <w:color w:val="auto"/>
          <w:spacing w:val="0"/>
          <w:sz w:val="24"/>
          <w:szCs w:val="24"/>
          <w:u w:val="single" w:color="auto"/>
          <w:lang w:val="en-US" w:eastAsia="zh-CN"/>
        </w:rPr>
        <w:t>以</w:t>
      </w:r>
      <w:r>
        <w:rPr>
          <w:rFonts w:hint="eastAsia" w:ascii="仿宋" w:hAnsi="仿宋" w:eastAsia="仿宋" w:cs="仿宋"/>
          <w:b/>
          <w:bCs/>
          <w:color w:val="auto"/>
          <w:spacing w:val="0"/>
          <w:sz w:val="24"/>
          <w:szCs w:val="24"/>
          <w:u w:val="single" w:color="auto"/>
        </w:rPr>
        <w:t>经造价咨询单位（按规定的计价原则及施工图纸、工程联系单、工程签证等为依据）审定的建安工程费结算价。</w:t>
      </w:r>
    </w:p>
    <w:p w14:paraId="413BB46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2、总价合同。</w:t>
      </w:r>
    </w:p>
    <w:p w14:paraId="3502EA5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总价包含的风险范围：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lang w:eastAsia="zh-CN"/>
        </w:rPr>
        <w:t>。</w:t>
      </w:r>
    </w:p>
    <w:p w14:paraId="7D52F14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风险费用的计算方法：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lang w:eastAsia="zh-CN"/>
        </w:rPr>
        <w:t>。</w:t>
      </w:r>
    </w:p>
    <w:p w14:paraId="5270DD4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rPr>
        <w:t>风险范围以外合同价格的调整方法：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lang w:eastAsia="zh-CN"/>
        </w:rPr>
        <w:t>。</w:t>
      </w:r>
    </w:p>
    <w:p w14:paraId="27C0414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3、其他价格方式：</w:t>
      </w:r>
      <w:r>
        <w:rPr>
          <w:rFonts w:hint="eastAsia" w:ascii="仿宋" w:hAnsi="仿宋" w:eastAsia="仿宋" w:cs="仿宋"/>
          <w:color w:val="000000"/>
          <w:sz w:val="28"/>
          <w:szCs w:val="28"/>
          <w:highlight w:val="none"/>
          <w:u w:val="single"/>
          <w:lang w:val="en-US" w:eastAsia="zh-CN"/>
        </w:rPr>
        <w:t xml:space="preserve">  </w:t>
      </w:r>
      <w:r>
        <w:rPr>
          <w:rStyle w:val="26"/>
          <w:rFonts w:hint="eastAsia" w:ascii="仿宋" w:hAnsi="仿宋" w:eastAsia="仿宋" w:cs="仿宋"/>
          <w:b w:val="0"/>
          <w:bCs/>
          <w:color w:val="000000"/>
          <w:kern w:val="2"/>
          <w:sz w:val="28"/>
          <w:szCs w:val="28"/>
          <w:highlight w:val="none"/>
          <w:u w:val="single"/>
          <w:lang w:val="en-US" w:eastAsia="zh-CN" w:bidi="ar-SA"/>
        </w:rPr>
        <w:t xml:space="preserve">/  </w:t>
      </w:r>
      <w:r>
        <w:rPr>
          <w:rFonts w:hint="eastAsia" w:ascii="仿宋" w:hAnsi="仿宋" w:eastAsia="仿宋" w:cs="仿宋"/>
          <w:color w:val="000000"/>
          <w:sz w:val="28"/>
          <w:szCs w:val="28"/>
          <w:highlight w:val="none"/>
        </w:rPr>
        <w:t>。</w:t>
      </w:r>
    </w:p>
    <w:p w14:paraId="514BAD3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503" w:name="_Toc304295581"/>
      <w:bookmarkStart w:id="504" w:name="_Toc312678042"/>
      <w:bookmarkStart w:id="505" w:name="_Toc300935004"/>
      <w:bookmarkStart w:id="506" w:name="_Toc303539161"/>
      <w:bookmarkStart w:id="507" w:name="_Toc297123554"/>
      <w:bookmarkStart w:id="508" w:name="_Toc297216213"/>
      <w:bookmarkStart w:id="509" w:name="_Toc296891035"/>
      <w:bookmarkStart w:id="510" w:name="_Toc292559917"/>
      <w:bookmarkStart w:id="511" w:name="_Toc296347206"/>
      <w:bookmarkStart w:id="512" w:name="_Toc296891247"/>
      <w:bookmarkStart w:id="513" w:name="_Toc297120507"/>
      <w:bookmarkStart w:id="514" w:name="_Toc296944546"/>
      <w:bookmarkStart w:id="515" w:name="_Toc292559412"/>
      <w:bookmarkStart w:id="516" w:name="_Toc296346708"/>
      <w:bookmarkStart w:id="517" w:name="_Toc297048393"/>
      <w:bookmarkStart w:id="518" w:name="_Toc296503207"/>
      <w:r>
        <w:rPr>
          <w:rFonts w:hint="eastAsia" w:ascii="仿宋" w:hAnsi="仿宋" w:eastAsia="仿宋" w:cs="仿宋"/>
          <w:color w:val="000000"/>
          <w:sz w:val="28"/>
          <w:szCs w:val="28"/>
          <w:highlight w:val="none"/>
        </w:rPr>
        <w:t>12.2 预付款</w:t>
      </w:r>
    </w:p>
    <w:bookmarkEnd w:id="503"/>
    <w:bookmarkEnd w:id="504"/>
    <w:bookmarkEnd w:id="505"/>
    <w:bookmarkEnd w:id="506"/>
    <w:bookmarkEnd w:id="507"/>
    <w:bookmarkEnd w:id="508"/>
    <w:p w14:paraId="180DBF0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12.2.1 预付款的支付</w:t>
      </w:r>
    </w:p>
    <w:p w14:paraId="18F3BE8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预付款支付比例或金额：</w:t>
      </w:r>
      <w:r>
        <w:rPr>
          <w:rFonts w:hint="eastAsia" w:ascii="仿宋" w:hAnsi="仿宋" w:eastAsia="仿宋" w:cs="仿宋"/>
          <w:b/>
          <w:bCs/>
          <w:color w:val="000000"/>
          <w:sz w:val="28"/>
          <w:szCs w:val="28"/>
          <w:highlight w:val="none"/>
          <w:u w:val="single"/>
        </w:rPr>
        <w:t>合同金额的</w:t>
      </w:r>
      <w:r>
        <w:rPr>
          <w:rFonts w:hint="eastAsia" w:ascii="仿宋" w:hAnsi="仿宋" w:eastAsia="仿宋" w:cs="仿宋"/>
          <w:b/>
          <w:bCs/>
          <w:color w:val="000000"/>
          <w:sz w:val="28"/>
          <w:szCs w:val="28"/>
          <w:highlight w:val="none"/>
          <w:u w:val="single"/>
          <w:lang w:val="en-US" w:eastAsia="zh-CN"/>
        </w:rPr>
        <w:t>30</w:t>
      </w:r>
      <w:r>
        <w:rPr>
          <w:rFonts w:hint="eastAsia" w:ascii="仿宋" w:hAnsi="仿宋" w:eastAsia="仿宋" w:cs="仿宋"/>
          <w:b/>
          <w:bCs/>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EA9642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预付款支付期限：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开工通知载明的开工日期7天前支付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ADB8D9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预付款扣回的方式：</w:t>
      </w:r>
      <w:r>
        <w:rPr>
          <w:rFonts w:hint="eastAsia" w:ascii="仿宋" w:hAnsi="仿宋" w:eastAsia="仿宋" w:cs="仿宋"/>
          <w:b/>
          <w:bCs/>
          <w:color w:val="000000"/>
          <w:sz w:val="28"/>
          <w:szCs w:val="28"/>
          <w:highlight w:val="none"/>
          <w:u w:val="single"/>
        </w:rPr>
        <w:t>由发包人从支付给承包人的首次工程进度款中一次性扣回,首次工程进度款不足以扣回时，顺延至下次拨付工程进度款时抵扣</w:t>
      </w:r>
      <w:r>
        <w:rPr>
          <w:rFonts w:hint="eastAsia" w:ascii="仿宋" w:hAnsi="仿宋" w:eastAsia="仿宋" w:cs="仿宋"/>
          <w:color w:val="000000"/>
          <w:sz w:val="28"/>
          <w:szCs w:val="28"/>
          <w:highlight w:val="none"/>
        </w:rPr>
        <w:t>。</w:t>
      </w:r>
    </w:p>
    <w:p w14:paraId="6F9500D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12.2.2 预付款担保</w:t>
      </w:r>
    </w:p>
    <w:p w14:paraId="19B2890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承包人提交预付款担保的期限：</w:t>
      </w:r>
      <w:r>
        <w:rPr>
          <w:rFonts w:hint="eastAsia" w:ascii="仿宋" w:hAnsi="仿宋" w:eastAsia="仿宋" w:cs="仿宋"/>
          <w:b/>
          <w:bCs/>
          <w:color w:val="000000"/>
          <w:sz w:val="28"/>
          <w:szCs w:val="28"/>
          <w:highlight w:val="none"/>
          <w:u w:val="single"/>
          <w:lang w:val="en-US" w:eastAsia="zh-CN"/>
        </w:rPr>
        <w:t>/</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1D3D641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预付款担保的形式为：</w:t>
      </w:r>
      <w:r>
        <w:rPr>
          <w:rFonts w:hint="eastAsia" w:ascii="仿宋" w:hAnsi="仿宋" w:eastAsia="仿宋" w:cs="仿宋"/>
          <w:b/>
          <w:bCs/>
          <w:color w:val="000000"/>
          <w:kern w:val="0"/>
          <w:sz w:val="28"/>
          <w:szCs w:val="28"/>
          <w:highlight w:val="none"/>
          <w:u w:val="single"/>
          <w:lang w:val="en-US" w:eastAsia="zh-CN"/>
        </w:rPr>
        <w:t>/</w:t>
      </w:r>
      <w:r>
        <w:rPr>
          <w:rFonts w:hint="eastAsia" w:ascii="仿宋" w:hAnsi="仿宋" w:eastAsia="仿宋" w:cs="仿宋"/>
          <w:color w:val="000000"/>
          <w:sz w:val="28"/>
          <w:szCs w:val="28"/>
          <w:highlight w:val="none"/>
        </w:rPr>
        <w:t>。</w:t>
      </w:r>
    </w:p>
    <w:bookmarkEnd w:id="509"/>
    <w:bookmarkEnd w:id="510"/>
    <w:bookmarkEnd w:id="511"/>
    <w:bookmarkEnd w:id="512"/>
    <w:bookmarkEnd w:id="513"/>
    <w:bookmarkEnd w:id="514"/>
    <w:bookmarkEnd w:id="515"/>
    <w:bookmarkEnd w:id="516"/>
    <w:bookmarkEnd w:id="517"/>
    <w:bookmarkEnd w:id="518"/>
    <w:p w14:paraId="1E7FF45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 计量</w:t>
      </w:r>
    </w:p>
    <w:p w14:paraId="149E15B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12.3.1 计量原则</w:t>
      </w:r>
    </w:p>
    <w:p w14:paraId="23BDDD0E">
      <w:pPr>
        <w:pStyle w:val="12"/>
        <w:keepNext w:val="0"/>
        <w:keepLines w:val="0"/>
        <w:pageBreakBefore w:val="0"/>
        <w:widowControl w:val="0"/>
        <w:tabs>
          <w:tab w:val="left" w:pos="151"/>
          <w:tab w:val="left" w:pos="9070"/>
        </w:tabs>
        <w:kinsoku/>
        <w:wordWrap/>
        <w:overflowPunct/>
        <w:topLinePunct w:val="0"/>
        <w:autoSpaceDE/>
        <w:autoSpaceDN/>
        <w:bidi w:val="0"/>
        <w:adjustRightInd/>
        <w:snapToGrid/>
        <w:spacing w:line="440" w:lineRule="exact"/>
        <w:ind w:left="0" w:right="0" w:firstLine="560" w:firstLineChars="200"/>
        <w:jc w:val="both"/>
        <w:textAlignment w:val="auto"/>
        <w:rPr>
          <w:rFonts w:hint="eastAsia" w:ascii="仿宋" w:hAnsi="仿宋" w:eastAsia="仿宋" w:cs="仿宋"/>
          <w:color w:val="auto"/>
          <w:spacing w:val="0"/>
          <w:sz w:val="24"/>
          <w:szCs w:val="24"/>
          <w:highlight w:val="none"/>
        </w:rPr>
      </w:pPr>
      <w:r>
        <w:rPr>
          <w:rFonts w:hint="eastAsia" w:ascii="仿宋" w:hAnsi="仿宋" w:eastAsia="仿宋" w:cs="仿宋"/>
          <w:color w:val="000000"/>
          <w:sz w:val="28"/>
          <w:szCs w:val="28"/>
          <w:highlight w:val="none"/>
        </w:rPr>
        <w:t>工程量计算规则：</w:t>
      </w:r>
      <w:r>
        <w:rPr>
          <w:rFonts w:hint="eastAsia" w:ascii="仿宋" w:hAnsi="仿宋" w:eastAsia="仿宋" w:cs="仿宋"/>
          <w:b/>
          <w:bCs/>
          <w:color w:val="auto"/>
          <w:spacing w:val="0"/>
          <w:kern w:val="2"/>
          <w:sz w:val="24"/>
          <w:szCs w:val="24"/>
          <w:highlight w:val="none"/>
          <w:u w:val="single" w:color="auto"/>
          <w:lang w:val="en-US" w:eastAsia="zh-CN" w:bidi="ar-SA"/>
        </w:rPr>
        <w:t>（1）《建设工程工程量清单计价标准》（GB/T50500—2024）；（2）云南省住房和城乡建设厅于2025年7月28日颁布的《云南省住房和城乡建设厅关于发布&lt;建设工程相关专业工程量计算标准云南省过渡期使用指南&gt;的通知》（云建科[2025]72号）文件；（3）云南省住房和城乡建设厅于2025年7月11日颁布的《云南省住房和城乡建设厅关于发布&lt;建设工程工程量清单计价标准(2024)&gt;云南省过渡期实施规定的通知》（云建科[2025]63号）文件；（4）云南省住房和城乡建设厅于2021年2月1日颁布的《云南省住房和城乡建设厅关于&lt;云南</w:t>
      </w:r>
      <w:bookmarkStart w:id="674" w:name="_GoBack"/>
      <w:bookmarkEnd w:id="674"/>
      <w:r>
        <w:rPr>
          <w:rFonts w:hint="eastAsia" w:ascii="仿宋" w:hAnsi="仿宋" w:eastAsia="仿宋" w:cs="仿宋"/>
          <w:b/>
          <w:bCs/>
          <w:color w:val="auto"/>
          <w:spacing w:val="0"/>
          <w:kern w:val="2"/>
          <w:sz w:val="24"/>
          <w:szCs w:val="24"/>
          <w:highlight w:val="none"/>
          <w:u w:val="single" w:color="auto"/>
          <w:lang w:val="en-US" w:eastAsia="zh-CN" w:bidi="ar-SA"/>
        </w:rPr>
        <w:t>省建设工程造价计价标准（2020版）&gt;发布实施的通知》（云建科[2021]15号）文件；（5）云南省住房和城乡建设厅于2023年4月21日颁布的《云南省住房和城乡建设厅关于云南省建设工程造价计价标准调整定额人工费的通知》（云建科[2023]54号）；（6）最高投标限价及工程量清单增值税按一般纳税人9%计取；（7）</w:t>
      </w:r>
      <w:r>
        <w:rPr>
          <w:rFonts w:hint="eastAsia" w:ascii="仿宋" w:hAnsi="仿宋" w:eastAsia="仿宋" w:cs="仿宋"/>
          <w:b/>
          <w:bCs/>
          <w:color w:val="auto"/>
          <w:spacing w:val="0"/>
          <w:kern w:val="2"/>
          <w:sz w:val="24"/>
          <w:szCs w:val="24"/>
          <w:u w:val="single" w:color="auto"/>
          <w:lang w:val="en-US" w:eastAsia="zh-CN" w:bidi="ar-SA"/>
        </w:rPr>
        <w:t>《纳竜坝村小组茶产业及人居环境综合整治提升项目竞争性磋商文件》</w:t>
      </w:r>
      <w:r>
        <w:rPr>
          <w:rFonts w:hint="eastAsia" w:ascii="仿宋" w:hAnsi="仿宋" w:eastAsia="仿宋" w:cs="仿宋"/>
          <w:b/>
          <w:bCs/>
          <w:color w:val="auto"/>
          <w:spacing w:val="0"/>
          <w:kern w:val="2"/>
          <w:sz w:val="24"/>
          <w:szCs w:val="24"/>
          <w:highlight w:val="none"/>
          <w:u w:val="single" w:color="auto"/>
          <w:lang w:val="en-US" w:eastAsia="zh-CN" w:bidi="ar-SA"/>
        </w:rPr>
        <w:t>；（8）材料价格参考2026年9月《西双版纳傣族自治州建设工程材料及设备价格信息》并结合当地市场材料价格综合考虑。</w:t>
      </w:r>
      <w:r>
        <w:rPr>
          <w:rFonts w:hint="eastAsia" w:ascii="仿宋" w:hAnsi="仿宋" w:eastAsia="仿宋" w:cs="仿宋"/>
          <w:b/>
          <w:bCs/>
          <w:color w:val="auto"/>
          <w:spacing w:val="0"/>
          <w:sz w:val="24"/>
          <w:szCs w:val="24"/>
          <w:highlight w:val="none"/>
          <w:u w:val="single" w:color="auto"/>
          <w:lang w:val="en-US" w:eastAsia="zh-CN"/>
        </w:rPr>
        <w:t>（9）</w:t>
      </w:r>
      <w:r>
        <w:rPr>
          <w:rFonts w:hint="eastAsia" w:ascii="仿宋" w:hAnsi="仿宋" w:eastAsia="仿宋" w:cs="仿宋"/>
          <w:b/>
          <w:bCs/>
          <w:color w:val="auto"/>
          <w:spacing w:val="0"/>
          <w:sz w:val="24"/>
          <w:szCs w:val="24"/>
          <w:highlight w:val="none"/>
          <w:u w:val="single" w:color="auto"/>
        </w:rPr>
        <w:t>竞争性磋商文件、工程量清单及其补充通知、答疑纪要；</w:t>
      </w:r>
      <w:r>
        <w:rPr>
          <w:rFonts w:hint="eastAsia" w:ascii="仿宋" w:hAnsi="仿宋" w:eastAsia="仿宋" w:cs="仿宋"/>
          <w:b/>
          <w:bCs/>
          <w:color w:val="auto"/>
          <w:spacing w:val="0"/>
          <w:sz w:val="24"/>
          <w:szCs w:val="24"/>
          <w:highlight w:val="none"/>
          <w:u w:val="single" w:color="auto"/>
          <w:lang w:val="en-US" w:eastAsia="zh-CN"/>
        </w:rPr>
        <w:t>（10）</w:t>
      </w:r>
      <w:r>
        <w:rPr>
          <w:rFonts w:hint="eastAsia" w:ascii="仿宋" w:hAnsi="仿宋" w:eastAsia="仿宋" w:cs="仿宋"/>
          <w:b/>
          <w:bCs/>
          <w:color w:val="auto"/>
          <w:spacing w:val="0"/>
          <w:sz w:val="24"/>
          <w:szCs w:val="24"/>
          <w:highlight w:val="none"/>
          <w:u w:val="single" w:color="auto"/>
        </w:rPr>
        <w:t>建设工程设计文件（如有）及相关资料；</w:t>
      </w:r>
      <w:r>
        <w:rPr>
          <w:rFonts w:hint="eastAsia" w:ascii="仿宋" w:hAnsi="仿宋" w:eastAsia="仿宋" w:cs="仿宋"/>
          <w:b/>
          <w:bCs/>
          <w:color w:val="auto"/>
          <w:spacing w:val="0"/>
          <w:sz w:val="24"/>
          <w:szCs w:val="24"/>
          <w:highlight w:val="none"/>
          <w:u w:val="single" w:color="auto"/>
          <w:lang w:val="en-US" w:eastAsia="zh-CN"/>
        </w:rPr>
        <w:t>（11）</w:t>
      </w:r>
      <w:r>
        <w:rPr>
          <w:rFonts w:hint="eastAsia" w:ascii="仿宋" w:hAnsi="仿宋" w:eastAsia="仿宋" w:cs="仿宋"/>
          <w:b/>
          <w:bCs/>
          <w:color w:val="auto"/>
          <w:spacing w:val="0"/>
          <w:sz w:val="24"/>
          <w:szCs w:val="24"/>
          <w:highlight w:val="none"/>
          <w:u w:val="single" w:color="auto"/>
        </w:rPr>
        <w:t>施工现场完成情况；</w:t>
      </w:r>
      <w:r>
        <w:rPr>
          <w:rFonts w:hint="eastAsia" w:ascii="仿宋" w:hAnsi="仿宋" w:eastAsia="仿宋" w:cs="仿宋"/>
          <w:b/>
          <w:bCs/>
          <w:color w:val="auto"/>
          <w:spacing w:val="0"/>
          <w:sz w:val="24"/>
          <w:szCs w:val="24"/>
          <w:highlight w:val="none"/>
          <w:u w:val="single" w:color="auto"/>
          <w:lang w:val="en-US" w:eastAsia="zh-CN"/>
        </w:rPr>
        <w:t>（12）</w:t>
      </w:r>
      <w:r>
        <w:rPr>
          <w:rFonts w:hint="eastAsia" w:ascii="仿宋" w:hAnsi="仿宋" w:eastAsia="仿宋" w:cs="仿宋"/>
          <w:b/>
          <w:bCs/>
          <w:color w:val="auto"/>
          <w:spacing w:val="0"/>
          <w:sz w:val="24"/>
          <w:szCs w:val="24"/>
          <w:highlight w:val="none"/>
          <w:u w:val="single" w:color="auto"/>
        </w:rPr>
        <w:t>与建设项目相关的标准、规范等技术资料、标准图集</w:t>
      </w:r>
      <w:r>
        <w:rPr>
          <w:rFonts w:hint="eastAsia" w:ascii="仿宋" w:hAnsi="仿宋" w:eastAsia="仿宋" w:cs="仿宋"/>
          <w:color w:val="auto"/>
          <w:spacing w:val="0"/>
          <w:sz w:val="24"/>
          <w:szCs w:val="24"/>
          <w:highlight w:val="none"/>
        </w:rPr>
        <w:t>。</w:t>
      </w:r>
    </w:p>
    <w:p w14:paraId="47D1C23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snapToGrid w:val="0"/>
          <w:color w:val="000000"/>
          <w:sz w:val="28"/>
          <w:szCs w:val="28"/>
          <w:highlight w:val="none"/>
          <w:u w:val="single"/>
        </w:rPr>
      </w:pPr>
      <w:r>
        <w:rPr>
          <w:rFonts w:hint="eastAsia" w:ascii="仿宋" w:hAnsi="仿宋" w:eastAsia="仿宋" w:cs="仿宋"/>
          <w:bCs/>
          <w:color w:val="000000"/>
          <w:sz w:val="28"/>
          <w:szCs w:val="28"/>
          <w:highlight w:val="none"/>
        </w:rPr>
        <w:t>。</w:t>
      </w:r>
    </w:p>
    <w:p w14:paraId="79FE8DD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12.3.2 计量周期</w:t>
      </w:r>
    </w:p>
    <w:p w14:paraId="67FCB4D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关于计量周期的约定：</w:t>
      </w:r>
      <w:r>
        <w:rPr>
          <w:rFonts w:hint="eastAsia" w:ascii="仿宋" w:hAnsi="仿宋" w:eastAsia="仿宋" w:cs="仿宋"/>
          <w:b/>
          <w:color w:val="000000"/>
          <w:sz w:val="28"/>
          <w:szCs w:val="28"/>
          <w:highlight w:val="none"/>
          <w:u w:val="single"/>
        </w:rPr>
        <w:t xml:space="preserve">工程完工后一次性计量 </w:t>
      </w:r>
      <w:r>
        <w:rPr>
          <w:rFonts w:hint="eastAsia" w:ascii="仿宋" w:hAnsi="仿宋" w:eastAsia="仿宋" w:cs="仿宋"/>
          <w:color w:val="000000"/>
          <w:sz w:val="28"/>
          <w:szCs w:val="28"/>
          <w:highlight w:val="none"/>
        </w:rPr>
        <w:t>。</w:t>
      </w:r>
    </w:p>
    <w:p w14:paraId="4A42596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12.3.3 单价合同的计量</w:t>
      </w:r>
    </w:p>
    <w:p w14:paraId="1676E6E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关于单价合同计量的约定：</w:t>
      </w:r>
      <w:r>
        <w:rPr>
          <w:rFonts w:hint="eastAsia" w:ascii="仿宋" w:hAnsi="仿宋" w:eastAsia="仿宋" w:cs="仿宋"/>
          <w:b/>
          <w:color w:val="000000"/>
          <w:sz w:val="28"/>
          <w:szCs w:val="28"/>
          <w:highlight w:val="none"/>
          <w:u w:val="single"/>
        </w:rPr>
        <w:t>工程完工后一次性计量</w:t>
      </w:r>
      <w:r>
        <w:rPr>
          <w:rFonts w:hint="eastAsia" w:ascii="仿宋" w:hAnsi="仿宋" w:eastAsia="仿宋" w:cs="仿宋"/>
          <w:color w:val="000000"/>
          <w:sz w:val="28"/>
          <w:szCs w:val="28"/>
          <w:highlight w:val="none"/>
        </w:rPr>
        <w:t>。</w:t>
      </w:r>
    </w:p>
    <w:p w14:paraId="27BBBA7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12.3.4 总价合同的计量</w:t>
      </w:r>
    </w:p>
    <w:p w14:paraId="72D2665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关于总价合同计量的约定：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23F60D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12.3.5总价合同采用支付分解表计量支付的，是否适用第</w:t>
      </w:r>
      <w:r>
        <w:rPr>
          <w:rFonts w:hint="eastAsia" w:ascii="仿宋" w:hAnsi="仿宋" w:eastAsia="仿宋" w:cs="仿宋"/>
          <w:color w:val="000000"/>
          <w:kern w:val="0"/>
          <w:sz w:val="28"/>
          <w:szCs w:val="28"/>
          <w:highlight w:val="none"/>
        </w:rPr>
        <w:t xml:space="preserve">12.3.4 </w:t>
      </w:r>
      <w:r>
        <w:rPr>
          <w:rFonts w:hint="eastAsia" w:ascii="仿宋" w:hAnsi="仿宋" w:eastAsia="仿宋" w:cs="仿宋"/>
          <w:color w:val="000000"/>
          <w:sz w:val="28"/>
          <w:szCs w:val="28"/>
          <w:highlight w:val="none"/>
        </w:rPr>
        <w:t>项</w:t>
      </w:r>
      <w:r>
        <w:rPr>
          <w:rFonts w:hint="eastAsia" w:ascii="仿宋" w:hAnsi="仿宋" w:eastAsia="仿宋" w:cs="仿宋"/>
          <w:color w:val="000000"/>
          <w:kern w:val="0"/>
          <w:sz w:val="28"/>
          <w:szCs w:val="28"/>
          <w:highlight w:val="none"/>
        </w:rPr>
        <w:t>〔总价合同的计量〕</w:t>
      </w:r>
      <w:r>
        <w:rPr>
          <w:rFonts w:hint="eastAsia" w:ascii="仿宋" w:hAnsi="仿宋" w:eastAsia="仿宋" w:cs="仿宋"/>
          <w:color w:val="000000"/>
          <w:sz w:val="28"/>
          <w:szCs w:val="28"/>
          <w:highlight w:val="none"/>
        </w:rPr>
        <w:t>约定进行计量：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9BFD35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12.3.6 其他价格形式合同的计量</w:t>
      </w:r>
    </w:p>
    <w:p w14:paraId="38E29C0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其他价格形式的计量方式和程序：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E186F3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 工程进度款支付</w:t>
      </w:r>
    </w:p>
    <w:p w14:paraId="7B976B9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12.4.1 付款周期</w:t>
      </w:r>
    </w:p>
    <w:p w14:paraId="2BBA5C0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关于付款周期的约定：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 xml:space="preserve">  详见专用合同条款第 12.4.4(4)目</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4E992A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12.4.2 进度付款申请单的编制</w:t>
      </w:r>
    </w:p>
    <w:p w14:paraId="79A961F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关于进度付款申请单编制的约定：</w:t>
      </w:r>
      <w:r>
        <w:rPr>
          <w:rFonts w:hint="eastAsia" w:ascii="仿宋" w:hAnsi="仿宋" w:eastAsia="仿宋" w:cs="仿宋"/>
          <w:b/>
          <w:bCs/>
          <w:color w:val="000000"/>
          <w:sz w:val="28"/>
          <w:szCs w:val="28"/>
          <w:highlight w:val="none"/>
          <w:u w:val="single"/>
        </w:rPr>
        <w:t>按通用合同条款执行</w:t>
      </w:r>
      <w:r>
        <w:rPr>
          <w:rFonts w:hint="eastAsia" w:ascii="仿宋" w:hAnsi="仿宋" w:eastAsia="仿宋" w:cs="仿宋"/>
          <w:color w:val="000000"/>
          <w:sz w:val="28"/>
          <w:szCs w:val="28"/>
          <w:highlight w:val="none"/>
        </w:rPr>
        <w:t>。</w:t>
      </w:r>
    </w:p>
    <w:p w14:paraId="3C4BF48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12.4.3 进度付款申请单的提交</w:t>
      </w:r>
    </w:p>
    <w:p w14:paraId="21974437">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sz w:val="28"/>
          <w:szCs w:val="28"/>
          <w:highlight w:val="none"/>
        </w:rPr>
        <w:t>（1）单价合同进度付款申请单提交的约定：</w:t>
      </w:r>
      <w:r>
        <w:rPr>
          <w:rFonts w:hint="eastAsia" w:ascii="仿宋" w:hAnsi="仿宋" w:eastAsia="仿宋" w:cs="仿宋"/>
          <w:b/>
          <w:bCs/>
          <w:color w:val="000000"/>
          <w:sz w:val="28"/>
          <w:szCs w:val="28"/>
          <w:highlight w:val="none"/>
          <w:u w:val="single"/>
        </w:rPr>
        <w:t>工程完工后提交</w:t>
      </w:r>
      <w:r>
        <w:rPr>
          <w:rFonts w:hint="eastAsia" w:ascii="仿宋" w:hAnsi="仿宋" w:eastAsia="仿宋" w:cs="仿宋"/>
          <w:color w:val="000000"/>
          <w:kern w:val="0"/>
          <w:sz w:val="28"/>
          <w:szCs w:val="28"/>
          <w:highlight w:val="none"/>
          <w:u w:val="single"/>
        </w:rPr>
        <w:t>。</w:t>
      </w:r>
    </w:p>
    <w:p w14:paraId="1D8DACE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（2）总价合同进度付款申请单提交的约定：</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328DA8C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（3）其他价格形式合同进度付款申请单提交的约定：</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5E1A4FB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12.4.4 进度款审核和支付</w:t>
      </w:r>
    </w:p>
    <w:p w14:paraId="7508BF9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（1）监理人审查并报送发包人的期限：</w:t>
      </w:r>
      <w:r>
        <w:rPr>
          <w:rFonts w:hint="eastAsia" w:ascii="仿宋" w:hAnsi="仿宋" w:eastAsia="仿宋" w:cs="仿宋"/>
          <w:b/>
          <w:bCs/>
          <w:color w:val="000000"/>
          <w:sz w:val="28"/>
          <w:szCs w:val="28"/>
          <w:highlight w:val="none"/>
          <w:u w:val="single"/>
        </w:rPr>
        <w:t>收到申请7个工作日</w:t>
      </w:r>
      <w:r>
        <w:rPr>
          <w:rFonts w:hint="eastAsia" w:ascii="仿宋" w:hAnsi="仿宋" w:eastAsia="仿宋" w:cs="仿宋"/>
          <w:color w:val="000000"/>
          <w:sz w:val="28"/>
          <w:szCs w:val="28"/>
          <w:highlight w:val="none"/>
        </w:rPr>
        <w:t>。</w:t>
      </w:r>
    </w:p>
    <w:p w14:paraId="4EB26BF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发包人完成审批并签发进度款支付证书的期限：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监理人收到进度付款申请单后的14天内</w:t>
      </w:r>
      <w:r>
        <w:rPr>
          <w:rFonts w:hint="eastAsia" w:ascii="仿宋" w:hAnsi="仿宋" w:eastAsia="仿宋" w:cs="仿宋"/>
          <w:color w:val="000000"/>
          <w:sz w:val="28"/>
          <w:szCs w:val="28"/>
          <w:highlight w:val="none"/>
        </w:rPr>
        <w:t>。</w:t>
      </w:r>
    </w:p>
    <w:p w14:paraId="2D3D250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（2）发包人支付进度款的期限：</w:t>
      </w:r>
      <w:r>
        <w:rPr>
          <w:rFonts w:hint="eastAsia" w:ascii="仿宋" w:hAnsi="仿宋" w:eastAsia="仿宋" w:cs="仿宋"/>
          <w:b/>
          <w:bCs/>
          <w:color w:val="000000"/>
          <w:sz w:val="28"/>
          <w:szCs w:val="28"/>
          <w:highlight w:val="none"/>
          <w:u w:val="single"/>
        </w:rPr>
        <w:t>监理人收到进度付款申请单后的28天内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4D3CA7C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发包人逾期支付进度款的违约金的计算方式：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08C3FD56">
      <w:pPr>
        <w:keepNext w:val="0"/>
        <w:keepLines w:val="0"/>
        <w:pageBreakBefore w:val="0"/>
        <w:kinsoku/>
        <w:wordWrap/>
        <w:overflowPunct/>
        <w:topLinePunct w:val="0"/>
        <w:bidi w:val="0"/>
        <w:spacing w:line="500" w:lineRule="exact"/>
        <w:ind w:left="0" w:leftChars="0" w:firstLine="560" w:firstLineChars="200"/>
        <w:textAlignment w:val="auto"/>
        <w:rPr>
          <w:rFonts w:hint="eastAsia" w:ascii="仿宋" w:hAnsi="仿宋" w:eastAsia="仿宋" w:cs="仿宋"/>
          <w:b/>
          <w:bCs/>
          <w:color w:val="000000"/>
          <w:sz w:val="28"/>
          <w:szCs w:val="28"/>
          <w:highlight w:val="none"/>
          <w:u w:val="single"/>
          <w:lang w:val="en-US" w:eastAsia="zh-CN"/>
        </w:rPr>
      </w:pPr>
      <w:r>
        <w:rPr>
          <w:rFonts w:hint="eastAsia" w:ascii="仿宋" w:hAnsi="仿宋" w:eastAsia="仿宋" w:cs="仿宋"/>
          <w:color w:val="000000"/>
          <w:sz w:val="28"/>
          <w:szCs w:val="28"/>
          <w:highlight w:val="none"/>
        </w:rPr>
        <w:t>（3）进度款支付时间：</w:t>
      </w:r>
      <w:r>
        <w:rPr>
          <w:rFonts w:hint="eastAsia" w:ascii="仿宋" w:hAnsi="仿宋" w:eastAsia="仿宋" w:cs="仿宋"/>
          <w:b/>
          <w:bCs/>
          <w:color w:val="000000"/>
          <w:sz w:val="28"/>
          <w:szCs w:val="28"/>
          <w:highlight w:val="none"/>
          <w:u w:val="single"/>
          <w:lang w:val="en-US" w:eastAsia="zh-CN"/>
        </w:rPr>
        <w:t>工程完工后</w:t>
      </w:r>
      <w:r>
        <w:rPr>
          <w:rFonts w:hint="eastAsia" w:ascii="仿宋" w:hAnsi="仿宋" w:eastAsia="仿宋" w:cs="仿宋"/>
          <w:b/>
          <w:bCs/>
          <w:color w:val="000000"/>
          <w:sz w:val="28"/>
          <w:szCs w:val="28"/>
          <w:highlight w:val="none"/>
          <w:u w:val="single"/>
        </w:rPr>
        <w:t>承包人上报工程进度款申请表，发包人按审定造价的</w:t>
      </w:r>
      <w:r>
        <w:rPr>
          <w:rFonts w:hint="eastAsia" w:ascii="仿宋" w:hAnsi="仿宋" w:eastAsia="仿宋" w:cs="仿宋"/>
          <w:b/>
          <w:bCs/>
          <w:color w:val="000000"/>
          <w:sz w:val="28"/>
          <w:szCs w:val="28"/>
          <w:highlight w:val="none"/>
          <w:u w:val="single"/>
          <w:lang w:val="en-US" w:eastAsia="zh-CN"/>
        </w:rPr>
        <w:t>75</w:t>
      </w:r>
      <w:r>
        <w:rPr>
          <w:rFonts w:hint="eastAsia" w:ascii="仿宋" w:hAnsi="仿宋" w:eastAsia="仿宋" w:cs="仿宋"/>
          <w:b/>
          <w:bCs/>
          <w:color w:val="000000"/>
          <w:sz w:val="28"/>
          <w:szCs w:val="28"/>
          <w:highlight w:val="none"/>
          <w:u w:val="single"/>
        </w:rPr>
        <w:t>%向承包人拨付工程进度款，竣工验收前进度款拨付累计不超过完成产值的</w:t>
      </w:r>
      <w:r>
        <w:rPr>
          <w:rFonts w:hint="eastAsia" w:ascii="仿宋" w:hAnsi="仿宋" w:eastAsia="仿宋" w:cs="仿宋"/>
          <w:b/>
          <w:bCs/>
          <w:color w:val="000000"/>
          <w:sz w:val="28"/>
          <w:szCs w:val="28"/>
          <w:highlight w:val="none"/>
          <w:u w:val="single"/>
          <w:lang w:val="en-US" w:eastAsia="zh-CN"/>
        </w:rPr>
        <w:t>75</w:t>
      </w:r>
      <w:r>
        <w:rPr>
          <w:rFonts w:hint="eastAsia" w:ascii="仿宋" w:hAnsi="仿宋" w:eastAsia="仿宋" w:cs="仿宋"/>
          <w:b/>
          <w:bCs/>
          <w:color w:val="000000"/>
          <w:sz w:val="28"/>
          <w:szCs w:val="28"/>
          <w:highlight w:val="none"/>
          <w:u w:val="single"/>
        </w:rPr>
        <w:t>%。工程竣工并验收合格后进</w:t>
      </w:r>
      <w:r>
        <w:rPr>
          <w:rFonts w:hint="eastAsia" w:ascii="仿宋" w:hAnsi="仿宋" w:eastAsia="仿宋" w:cs="仿宋"/>
          <w:b/>
          <w:bCs/>
          <w:color w:val="000000"/>
          <w:sz w:val="28"/>
          <w:szCs w:val="28"/>
          <w:highlight w:val="none"/>
          <w:u w:val="single"/>
          <w:lang w:val="en-US" w:eastAsia="zh-CN"/>
        </w:rPr>
        <w:t>行</w:t>
      </w:r>
      <w:r>
        <w:rPr>
          <w:rFonts w:hint="eastAsia" w:ascii="仿宋" w:hAnsi="仿宋" w:eastAsia="仿宋" w:cs="仿宋"/>
          <w:b/>
          <w:bCs/>
          <w:color w:val="000000"/>
          <w:sz w:val="28"/>
          <w:szCs w:val="28"/>
          <w:highlight w:val="none"/>
          <w:u w:val="single"/>
        </w:rPr>
        <w:t>工程结算</w:t>
      </w:r>
      <w:r>
        <w:rPr>
          <w:rFonts w:hint="eastAsia" w:ascii="仿宋" w:hAnsi="仿宋" w:eastAsia="仿宋" w:cs="仿宋"/>
          <w:b/>
          <w:bCs/>
          <w:color w:val="000000"/>
          <w:sz w:val="28"/>
          <w:szCs w:val="28"/>
          <w:highlight w:val="none"/>
          <w:u w:val="single"/>
          <w:lang w:eastAsia="zh-CN"/>
        </w:rPr>
        <w:t>。</w:t>
      </w:r>
    </w:p>
    <w:p w14:paraId="5EEB4E53">
      <w:pPr>
        <w:keepNext w:val="0"/>
        <w:keepLines w:val="0"/>
        <w:pageBreakBefore w:val="0"/>
        <w:kinsoku/>
        <w:wordWrap/>
        <w:overflowPunct/>
        <w:topLinePunct w:val="0"/>
        <w:bidi w:val="0"/>
        <w:spacing w:line="500" w:lineRule="exact"/>
        <w:ind w:left="0" w:leftChars="0" w:firstLine="562" w:firstLineChars="200"/>
        <w:textAlignment w:val="auto"/>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rPr>
        <w:t>（4）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w:t>
      </w:r>
      <w:r>
        <w:rPr>
          <w:rFonts w:hint="eastAsia" w:ascii="仿宋" w:hAnsi="仿宋" w:eastAsia="仿宋" w:cs="仿宋"/>
          <w:b/>
          <w:bCs/>
          <w:color w:val="000000"/>
          <w:sz w:val="28"/>
          <w:szCs w:val="28"/>
          <w:highlight w:val="none"/>
          <w:u w:val="single"/>
          <w:lang w:val="en-US" w:eastAsia="zh-CN"/>
        </w:rPr>
        <w:t>发包人</w:t>
      </w:r>
      <w:r>
        <w:rPr>
          <w:rFonts w:hint="eastAsia" w:ascii="仿宋" w:hAnsi="仿宋" w:eastAsia="仿宋" w:cs="仿宋"/>
          <w:b/>
          <w:bCs/>
          <w:color w:val="000000"/>
          <w:sz w:val="28"/>
          <w:szCs w:val="28"/>
          <w:highlight w:val="none"/>
          <w:u w:val="single"/>
        </w:rPr>
        <w:t>、</w:t>
      </w:r>
      <w:r>
        <w:rPr>
          <w:rFonts w:hint="eastAsia" w:ascii="仿宋" w:hAnsi="仿宋" w:eastAsia="仿宋" w:cs="仿宋"/>
          <w:b/>
          <w:bCs/>
          <w:color w:val="000000"/>
          <w:sz w:val="28"/>
          <w:szCs w:val="28"/>
          <w:highlight w:val="none"/>
          <w:u w:val="single"/>
          <w:lang w:val="en-US" w:eastAsia="zh-CN"/>
        </w:rPr>
        <w:t>承包人</w:t>
      </w:r>
      <w:r>
        <w:rPr>
          <w:rFonts w:hint="eastAsia" w:ascii="仿宋" w:hAnsi="仿宋" w:eastAsia="仿宋" w:cs="仿宋"/>
          <w:b/>
          <w:bCs/>
          <w:color w:val="000000"/>
          <w:sz w:val="28"/>
          <w:szCs w:val="28"/>
          <w:highlight w:val="none"/>
          <w:u w:val="single"/>
        </w:rPr>
        <w:t>双方视情况协商解决，承包人需按合同价的</w:t>
      </w:r>
      <w:r>
        <w:rPr>
          <w:rFonts w:hint="eastAsia" w:ascii="仿宋" w:hAnsi="仿宋" w:eastAsia="仿宋" w:cs="仿宋"/>
          <w:b/>
          <w:bCs/>
          <w:color w:val="000000"/>
          <w:sz w:val="28"/>
          <w:szCs w:val="28"/>
          <w:highlight w:val="none"/>
          <w:u w:val="single"/>
          <w:lang w:val="en-US" w:eastAsia="zh-CN"/>
        </w:rPr>
        <w:t>5%</w:t>
      </w:r>
      <w:r>
        <w:rPr>
          <w:rFonts w:hint="eastAsia" w:ascii="仿宋" w:hAnsi="仿宋" w:eastAsia="仿宋" w:cs="仿宋"/>
          <w:b/>
          <w:bCs/>
          <w:color w:val="000000"/>
          <w:sz w:val="28"/>
          <w:szCs w:val="28"/>
          <w:highlight w:val="none"/>
          <w:u w:val="single"/>
        </w:rPr>
        <w:t xml:space="preserve">向发包人支付违约金，情节特别严重时，发包人有权根据实际情节解除合同。 </w:t>
      </w:r>
    </w:p>
    <w:p w14:paraId="22ABD591">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rPr>
        <w:t>（5）承包人需向发包人开具所有工程款的增值税发票。</w:t>
      </w:r>
    </w:p>
    <w:p w14:paraId="6F83F40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12.4.6 支付分解表的编制</w:t>
      </w:r>
    </w:p>
    <w:p w14:paraId="1BAB9F7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2.总价合同支付分解表的编制与审批：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02DAB8E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3.单价合同的总价项目支付分解表的编制与审批：</w:t>
      </w:r>
      <w:r>
        <w:rPr>
          <w:rFonts w:hint="eastAsia" w:ascii="仿宋" w:hAnsi="仿宋" w:eastAsia="仿宋" w:cs="仿宋"/>
          <w:b/>
          <w:bCs/>
          <w:color w:val="000000"/>
          <w:sz w:val="28"/>
          <w:szCs w:val="28"/>
          <w:highlight w:val="none"/>
          <w:u w:val="single"/>
        </w:rPr>
        <w:t xml:space="preserve">按通用合同条款执行 </w:t>
      </w:r>
      <w:r>
        <w:rPr>
          <w:rFonts w:hint="eastAsia" w:ascii="仿宋" w:hAnsi="仿宋" w:eastAsia="仿宋" w:cs="仿宋"/>
          <w:bCs/>
          <w:color w:val="000000"/>
          <w:sz w:val="28"/>
          <w:szCs w:val="28"/>
          <w:highlight w:val="none"/>
        </w:rPr>
        <w:t>。</w:t>
      </w:r>
    </w:p>
    <w:bookmarkEnd w:id="362"/>
    <w:p w14:paraId="257C4DCA">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519" w:name="_Toc351203645"/>
      <w:bookmarkStart w:id="520" w:name="_Toc297123564"/>
      <w:bookmarkStart w:id="521" w:name="_Toc312678053"/>
      <w:bookmarkStart w:id="522" w:name="_Toc292559424"/>
      <w:bookmarkStart w:id="523" w:name="_Toc296346720"/>
      <w:bookmarkStart w:id="524" w:name="_Toc292559929"/>
      <w:bookmarkStart w:id="525" w:name="_Toc297048405"/>
      <w:bookmarkStart w:id="526" w:name="_Toc296347218"/>
      <w:bookmarkStart w:id="527" w:name="_Toc300935015"/>
      <w:bookmarkStart w:id="528" w:name="_Toc303539172"/>
      <w:bookmarkStart w:id="529" w:name="_Toc296944558"/>
      <w:bookmarkStart w:id="530" w:name="_Toc297216223"/>
      <w:bookmarkStart w:id="531" w:name="_Toc297120519"/>
      <w:bookmarkStart w:id="532" w:name="_Toc296891259"/>
      <w:bookmarkStart w:id="533" w:name="_Toc304295593"/>
      <w:bookmarkStart w:id="534" w:name="_Toc296891047"/>
      <w:bookmarkStart w:id="535" w:name="_Toc296503219"/>
      <w:r>
        <w:rPr>
          <w:rFonts w:hint="eastAsia" w:ascii="仿宋" w:hAnsi="仿宋" w:eastAsia="仿宋" w:cs="仿宋"/>
          <w:color w:val="000000"/>
          <w:sz w:val="28"/>
          <w:szCs w:val="28"/>
          <w:highlight w:val="none"/>
        </w:rPr>
        <w:t>13. 验收和工程试车</w:t>
      </w:r>
      <w:bookmarkEnd w:id="519"/>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1C47E3B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 分部分项工程验收</w:t>
      </w:r>
    </w:p>
    <w:p w14:paraId="3156A1F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13.1.2监理人不能按时进行验收时，应提前</w:t>
      </w:r>
      <w:r>
        <w:rPr>
          <w:rFonts w:hint="eastAsia" w:ascii="仿宋" w:hAnsi="仿宋" w:eastAsia="仿宋" w:cs="仿宋"/>
          <w:b/>
          <w:color w:val="000000"/>
          <w:sz w:val="28"/>
          <w:szCs w:val="28"/>
          <w:highlight w:val="none"/>
          <w:u w:val="single"/>
        </w:rPr>
        <w:t>24</w:t>
      </w:r>
      <w:r>
        <w:rPr>
          <w:rFonts w:hint="eastAsia" w:ascii="仿宋" w:hAnsi="仿宋" w:eastAsia="仿宋" w:cs="仿宋"/>
          <w:color w:val="000000"/>
          <w:sz w:val="28"/>
          <w:szCs w:val="28"/>
          <w:highlight w:val="none"/>
        </w:rPr>
        <w:t>小时提交书面延期要求。</w:t>
      </w:r>
    </w:p>
    <w:p w14:paraId="1290751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关于延期最长不得超过：</w:t>
      </w:r>
      <w:r>
        <w:rPr>
          <w:rFonts w:hint="eastAsia" w:ascii="仿宋" w:hAnsi="仿宋" w:eastAsia="仿宋" w:cs="仿宋"/>
          <w:b/>
          <w:color w:val="000000"/>
          <w:sz w:val="28"/>
          <w:szCs w:val="28"/>
          <w:highlight w:val="none"/>
          <w:u w:val="single"/>
        </w:rPr>
        <w:t xml:space="preserve"> 48 </w:t>
      </w:r>
      <w:r>
        <w:rPr>
          <w:rFonts w:hint="eastAsia" w:ascii="仿宋" w:hAnsi="仿宋" w:eastAsia="仿宋" w:cs="仿宋"/>
          <w:color w:val="000000"/>
          <w:sz w:val="28"/>
          <w:szCs w:val="28"/>
          <w:highlight w:val="none"/>
        </w:rPr>
        <w:t>小时。</w:t>
      </w:r>
    </w:p>
    <w:p w14:paraId="021D57C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536" w:name="_Toc296346724"/>
      <w:bookmarkStart w:id="537" w:name="_Toc304295596"/>
      <w:bookmarkStart w:id="538" w:name="_Toc296891263"/>
      <w:bookmarkStart w:id="539" w:name="_Toc303539173"/>
      <w:bookmarkStart w:id="540" w:name="_Toc297123565"/>
      <w:bookmarkStart w:id="541" w:name="_Toc296891051"/>
      <w:bookmarkStart w:id="542" w:name="_Toc297048409"/>
      <w:bookmarkStart w:id="543" w:name="_Toc292559933"/>
      <w:bookmarkStart w:id="544" w:name="_Toc296944562"/>
      <w:bookmarkStart w:id="545" w:name="_Toc292559428"/>
      <w:bookmarkStart w:id="546" w:name="_Toc297120523"/>
      <w:bookmarkStart w:id="547" w:name="_Toc296347222"/>
      <w:bookmarkStart w:id="548" w:name="_Toc312678056"/>
      <w:bookmarkStart w:id="549" w:name="_Toc300935016"/>
      <w:bookmarkStart w:id="550" w:name="_Toc296503223"/>
      <w:bookmarkStart w:id="551" w:name="_Toc297216224"/>
      <w:bookmarkStart w:id="552" w:name="_Toc267251474"/>
      <w:bookmarkStart w:id="553" w:name="_Toc267251476"/>
      <w:bookmarkStart w:id="554" w:name="_Toc267251473"/>
      <w:bookmarkStart w:id="555" w:name="_Toc267251471"/>
      <w:bookmarkStart w:id="556" w:name="_Toc267251472"/>
      <w:bookmarkStart w:id="557" w:name="_Toc267251470"/>
      <w:bookmarkStart w:id="558" w:name="_Toc267251475"/>
      <w:r>
        <w:rPr>
          <w:rFonts w:hint="eastAsia" w:ascii="仿宋" w:hAnsi="仿宋" w:eastAsia="仿宋" w:cs="仿宋"/>
          <w:color w:val="000000"/>
          <w:sz w:val="28"/>
          <w:szCs w:val="28"/>
          <w:highlight w:val="none"/>
        </w:rPr>
        <w:t>13.2 竣工验收</w:t>
      </w:r>
    </w:p>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14:paraId="46EAEF7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559" w:name="_Toc280868704"/>
      <w:bookmarkStart w:id="560" w:name="_Toc280868705"/>
      <w:bookmarkStart w:id="561" w:name="_Toc280868706"/>
      <w:bookmarkStart w:id="562" w:name="_Toc280868707"/>
      <w:bookmarkStart w:id="563" w:name="_Toc280868708"/>
      <w:bookmarkStart w:id="564" w:name="_Toc280868709"/>
      <w:r>
        <w:rPr>
          <w:rFonts w:hint="eastAsia" w:ascii="仿宋" w:hAnsi="仿宋" w:eastAsia="仿宋" w:cs="仿宋"/>
          <w:color w:val="000000"/>
          <w:sz w:val="28"/>
          <w:szCs w:val="28"/>
          <w:highlight w:val="none"/>
        </w:rPr>
        <w:t>13.2.2竣工验收程序</w:t>
      </w:r>
    </w:p>
    <w:bookmarkEnd w:id="559"/>
    <w:p w14:paraId="23BC6AA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关于竣工验收程序的约定：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kern w:val="0"/>
          <w:sz w:val="28"/>
          <w:szCs w:val="28"/>
          <w:highlight w:val="none"/>
          <w:u w:val="single"/>
        </w:rPr>
        <w:t>按</w:t>
      </w:r>
      <w:r>
        <w:rPr>
          <w:rFonts w:hint="eastAsia" w:ascii="仿宋" w:hAnsi="仿宋" w:eastAsia="仿宋" w:cs="仿宋"/>
          <w:b/>
          <w:color w:val="000000"/>
          <w:sz w:val="28"/>
          <w:szCs w:val="28"/>
          <w:highlight w:val="none"/>
          <w:u w:val="single"/>
        </w:rPr>
        <w:t>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27D623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发包人不按照本项约定组织竣工验收、颁发工程接收证书的违约金的计算方法：</w:t>
      </w:r>
      <w:r>
        <w:rPr>
          <w:rFonts w:hint="eastAsia" w:ascii="仿宋" w:hAnsi="仿宋" w:eastAsia="仿宋" w:cs="仿宋"/>
          <w:b/>
          <w:color w:val="000000"/>
          <w:sz w:val="28"/>
          <w:szCs w:val="28"/>
          <w:highlight w:val="none"/>
          <w:u w:val="single"/>
        </w:rPr>
        <w:t xml:space="preserve">按通用合同条款执行 </w:t>
      </w:r>
      <w:r>
        <w:rPr>
          <w:rFonts w:hint="eastAsia" w:ascii="仿宋" w:hAnsi="仿宋" w:eastAsia="仿宋" w:cs="仿宋"/>
          <w:color w:val="000000"/>
          <w:sz w:val="28"/>
          <w:szCs w:val="28"/>
          <w:highlight w:val="none"/>
        </w:rPr>
        <w:t>。</w:t>
      </w:r>
      <w:bookmarkEnd w:id="560"/>
    </w:p>
    <w:p w14:paraId="584D35B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13.2.5移交、接收全部与部分工程</w:t>
      </w:r>
    </w:p>
    <w:bookmarkEnd w:id="561"/>
    <w:p w14:paraId="7E448AD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承包人向发包人移交工程的期限：</w:t>
      </w:r>
      <w:r>
        <w:rPr>
          <w:rFonts w:hint="eastAsia" w:ascii="仿宋" w:hAnsi="仿宋" w:eastAsia="仿宋" w:cs="仿宋"/>
          <w:b/>
          <w:color w:val="000000"/>
          <w:kern w:val="0"/>
          <w:sz w:val="28"/>
          <w:szCs w:val="28"/>
          <w:highlight w:val="none"/>
          <w:u w:val="single"/>
        </w:rPr>
        <w:t>颁发工程接收证书后7天内完成工程的移交</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3E9882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发包人未按本合同约定接收全部或部分工程的，违约金的计算方法为：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562"/>
    <w:p w14:paraId="730B330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b/>
          <w:color w:val="000000"/>
          <w:sz w:val="28"/>
          <w:szCs w:val="28"/>
          <w:highlight w:val="none"/>
          <w:u w:val="single"/>
        </w:rPr>
      </w:pPr>
      <w:r>
        <w:rPr>
          <w:rFonts w:hint="eastAsia" w:ascii="仿宋" w:hAnsi="仿宋" w:eastAsia="仿宋" w:cs="仿宋"/>
          <w:color w:val="000000"/>
          <w:sz w:val="28"/>
          <w:szCs w:val="28"/>
          <w:highlight w:val="none"/>
        </w:rPr>
        <w:t>承包人未按时移交工程的，违约金的计算方法为：</w:t>
      </w:r>
      <w:r>
        <w:rPr>
          <w:rFonts w:hint="eastAsia" w:ascii="仿宋" w:hAnsi="仿宋" w:eastAsia="仿宋" w:cs="仿宋"/>
          <w:b/>
          <w:bCs/>
          <w:color w:val="000000"/>
          <w:sz w:val="28"/>
          <w:szCs w:val="28"/>
          <w:highlight w:val="none"/>
          <w:u w:val="single"/>
        </w:rPr>
        <w:t>每逾期一天处以5000元/天的</w:t>
      </w:r>
      <w:r>
        <w:rPr>
          <w:rFonts w:hint="eastAsia" w:ascii="仿宋" w:hAnsi="仿宋" w:eastAsia="仿宋" w:cs="仿宋"/>
          <w:b/>
          <w:bCs/>
          <w:color w:val="000000"/>
          <w:sz w:val="28"/>
          <w:szCs w:val="28"/>
          <w:highlight w:val="none"/>
          <w:u w:val="single"/>
          <w:lang w:val="en-US" w:eastAsia="zh-CN"/>
        </w:rPr>
        <w:t>违约金</w:t>
      </w:r>
      <w:r>
        <w:rPr>
          <w:rFonts w:hint="eastAsia" w:ascii="仿宋" w:hAnsi="仿宋" w:eastAsia="仿宋" w:cs="仿宋"/>
          <w:color w:val="000000"/>
          <w:sz w:val="28"/>
          <w:szCs w:val="28"/>
          <w:highlight w:val="none"/>
        </w:rPr>
        <w:t>。</w:t>
      </w:r>
    </w:p>
    <w:p w14:paraId="7B75825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13.2.6竣工验收的其他约定：</w:t>
      </w:r>
    </w:p>
    <w:p w14:paraId="058462BB">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b/>
          <w:bCs/>
          <w:color w:val="000000"/>
          <w:sz w:val="28"/>
          <w:szCs w:val="28"/>
          <w:highlight w:val="none"/>
          <w:u w:val="single"/>
        </w:rPr>
      </w:pPr>
      <w:r>
        <w:rPr>
          <w:rFonts w:hint="eastAsia" w:ascii="仿宋" w:hAnsi="仿宋" w:eastAsia="仿宋" w:cs="仿宋"/>
          <w:b/>
          <w:bCs/>
          <w:color w:val="000000"/>
          <w:sz w:val="28"/>
          <w:szCs w:val="28"/>
          <w:highlight w:val="none"/>
          <w:u w:val="single"/>
        </w:rPr>
        <w:t>承包人必须保证分部分项工程及整体工程按国家相关工程施工质量验收规范及标准一次性达到100%验收合格。并通过政府各专业主管部门一次验收并取得相关验收证件，且达到发包人要求的相关质量标准和本合同的各项要求；若工程质量达不到整体一次验收合格的标准和要求时，承包人按签约合同价15%向发包人支付违约金，并在发包人要求时间内自行承担所有费用，并整改至合格，且需赔偿因此给发包人造成的全部损失。</w:t>
      </w:r>
    </w:p>
    <w:p w14:paraId="6B64735A">
      <w:pPr>
        <w:keepNext w:val="0"/>
        <w:keepLines w:val="0"/>
        <w:pageBreakBefore w:val="0"/>
        <w:kinsoku/>
        <w:wordWrap/>
        <w:overflowPunct/>
        <w:topLinePunct w:val="0"/>
        <w:bidi w:val="0"/>
        <w:spacing w:line="500" w:lineRule="exact"/>
        <w:ind w:left="0" w:leftChars="0" w:firstLine="562"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u w:val="single"/>
        </w:rPr>
        <w:t>承包人提供竣工资料的约定：工程竣工验收后30天内，按发包人要求提供完整的、经核验签证后的竣工资料（含竣工图）。工程竣工验收后60日内，完成竣工资料归档，并取得档案合格证</w:t>
      </w:r>
      <w:r>
        <w:rPr>
          <w:rFonts w:hint="eastAsia" w:ascii="仿宋" w:hAnsi="仿宋" w:eastAsia="仿宋" w:cs="仿宋"/>
          <w:color w:val="000000"/>
          <w:sz w:val="28"/>
          <w:szCs w:val="28"/>
          <w:highlight w:val="none"/>
        </w:rPr>
        <w:t>。</w:t>
      </w:r>
    </w:p>
    <w:p w14:paraId="1FE3C82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 工程试车</w:t>
      </w:r>
    </w:p>
    <w:bookmarkEnd w:id="563"/>
    <w:p w14:paraId="72CC93F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13.3.1 试车程序</w:t>
      </w:r>
    </w:p>
    <w:p w14:paraId="37F3677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工程试车内容：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855F6F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（1）单机无负荷试车费用由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承包人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承担；</w:t>
      </w:r>
    </w:p>
    <w:p w14:paraId="783E925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（2）无负荷联动试车费用由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承包人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承担。</w:t>
      </w:r>
    </w:p>
    <w:p w14:paraId="14D4E0A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13.3.3 投料试车</w:t>
      </w:r>
    </w:p>
    <w:p w14:paraId="014CB7B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关于投料试车相关事项的约定：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C73104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13.6 竣工退场</w:t>
      </w:r>
    </w:p>
    <w:p w14:paraId="0D43987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13.6.1 竣工退场</w:t>
      </w:r>
    </w:p>
    <w:p w14:paraId="4C6B8B2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承包人完成竣工退场的期限：</w:t>
      </w:r>
      <w:r>
        <w:rPr>
          <w:rFonts w:hint="eastAsia" w:ascii="仿宋" w:hAnsi="仿宋" w:eastAsia="仿宋" w:cs="仿宋"/>
          <w:b/>
          <w:color w:val="000000"/>
          <w:kern w:val="0"/>
          <w:sz w:val="28"/>
          <w:szCs w:val="28"/>
          <w:highlight w:val="none"/>
          <w:u w:val="single"/>
        </w:rPr>
        <w:t>颁发工程接收证书后7天内完成工程的移交</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14:paraId="5CB2571A">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565" w:name="_Toc351203646"/>
      <w:r>
        <w:rPr>
          <w:rFonts w:hint="eastAsia" w:ascii="仿宋" w:hAnsi="仿宋" w:eastAsia="仿宋" w:cs="仿宋"/>
          <w:color w:val="000000"/>
          <w:sz w:val="28"/>
          <w:szCs w:val="28"/>
          <w:highlight w:val="none"/>
        </w:rPr>
        <w:t>14. 竣工结算</w:t>
      </w:r>
      <w:bookmarkEnd w:id="565"/>
    </w:p>
    <w:p w14:paraId="579C9F6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 竣工结算申请</w:t>
      </w:r>
    </w:p>
    <w:p w14:paraId="1EF385A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承包人提交竣工结算申请单的期限：</w:t>
      </w:r>
      <w:r>
        <w:rPr>
          <w:rFonts w:hint="eastAsia" w:ascii="仿宋" w:hAnsi="仿宋" w:eastAsia="仿宋" w:cs="仿宋"/>
          <w:b/>
          <w:bCs/>
          <w:color w:val="000000"/>
          <w:sz w:val="28"/>
          <w:szCs w:val="28"/>
          <w:highlight w:val="none"/>
          <w:u w:val="single"/>
        </w:rPr>
        <w:t>承包人应在工程竣工验收合格后</w:t>
      </w:r>
      <w:r>
        <w:rPr>
          <w:rFonts w:hint="eastAsia" w:ascii="仿宋" w:hAnsi="仿宋" w:eastAsia="仿宋" w:cs="仿宋"/>
          <w:b/>
          <w:bCs/>
          <w:color w:val="000000"/>
          <w:sz w:val="28"/>
          <w:szCs w:val="28"/>
          <w:highlight w:val="none"/>
          <w:u w:val="single"/>
          <w:lang w:val="en-US" w:eastAsia="zh-CN"/>
        </w:rPr>
        <w:t>20</w:t>
      </w:r>
      <w:r>
        <w:rPr>
          <w:rFonts w:hint="eastAsia" w:ascii="仿宋" w:hAnsi="仿宋" w:eastAsia="仿宋" w:cs="仿宋"/>
          <w:b/>
          <w:bCs/>
          <w:color w:val="000000"/>
          <w:sz w:val="28"/>
          <w:szCs w:val="28"/>
          <w:highlight w:val="none"/>
          <w:u w:val="single"/>
        </w:rPr>
        <w:t>天内向发包人和监理人提交竣工结算申请单，并提交完整的结算资料</w:t>
      </w:r>
      <w:r>
        <w:rPr>
          <w:rFonts w:hint="eastAsia" w:ascii="仿宋" w:hAnsi="仿宋" w:eastAsia="仿宋" w:cs="仿宋"/>
          <w:color w:val="000000"/>
          <w:sz w:val="28"/>
          <w:szCs w:val="28"/>
          <w:highlight w:val="none"/>
        </w:rPr>
        <w:t>。</w:t>
      </w:r>
    </w:p>
    <w:p w14:paraId="79C7BC5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竣工结算申请单应包括的内容：</w:t>
      </w:r>
      <w:r>
        <w:rPr>
          <w:rFonts w:hint="eastAsia" w:ascii="仿宋" w:hAnsi="仿宋" w:eastAsia="仿宋" w:cs="仿宋"/>
          <w:b/>
          <w:color w:val="000000"/>
          <w:kern w:val="0"/>
          <w:sz w:val="28"/>
          <w:szCs w:val="28"/>
          <w:highlight w:val="none"/>
          <w:u w:val="single"/>
          <w:lang w:eastAsia="zh-CN"/>
        </w:rPr>
        <w:t>竞争性磋商文件</w:t>
      </w:r>
      <w:r>
        <w:rPr>
          <w:rFonts w:hint="eastAsia" w:ascii="仿宋" w:hAnsi="仿宋" w:eastAsia="仿宋" w:cs="仿宋"/>
          <w:b/>
          <w:color w:val="000000"/>
          <w:kern w:val="0"/>
          <w:sz w:val="28"/>
          <w:szCs w:val="28"/>
          <w:highlight w:val="none"/>
          <w:u w:val="single"/>
        </w:rPr>
        <w:t>、招标答疑等有关文件；</w:t>
      </w:r>
      <w:r>
        <w:rPr>
          <w:rFonts w:hint="eastAsia" w:ascii="仿宋" w:hAnsi="仿宋" w:eastAsia="仿宋" w:cs="仿宋"/>
          <w:b/>
          <w:color w:val="000000"/>
          <w:kern w:val="0"/>
          <w:sz w:val="28"/>
          <w:szCs w:val="28"/>
          <w:highlight w:val="none"/>
          <w:u w:val="single"/>
          <w:lang w:eastAsia="zh-CN"/>
        </w:rPr>
        <w:t>响应文件</w:t>
      </w:r>
      <w:r>
        <w:rPr>
          <w:rFonts w:hint="eastAsia" w:ascii="仿宋" w:hAnsi="仿宋" w:eastAsia="仿宋" w:cs="仿宋"/>
          <w:b/>
          <w:color w:val="000000"/>
          <w:kern w:val="0"/>
          <w:sz w:val="28"/>
          <w:szCs w:val="28"/>
          <w:highlight w:val="none"/>
          <w:u w:val="single"/>
        </w:rPr>
        <w:t>及其电子软件版；</w:t>
      </w:r>
      <w:r>
        <w:rPr>
          <w:rFonts w:hint="eastAsia" w:ascii="仿宋" w:hAnsi="仿宋" w:eastAsia="仿宋" w:cs="仿宋"/>
          <w:b/>
          <w:color w:val="000000"/>
          <w:kern w:val="0"/>
          <w:sz w:val="28"/>
          <w:szCs w:val="28"/>
          <w:highlight w:val="none"/>
          <w:u w:val="single"/>
          <w:lang w:eastAsia="zh-CN"/>
        </w:rPr>
        <w:t>成交通知书</w:t>
      </w:r>
      <w:r>
        <w:rPr>
          <w:rFonts w:hint="eastAsia" w:ascii="仿宋" w:hAnsi="仿宋" w:eastAsia="仿宋" w:cs="仿宋"/>
          <w:b/>
          <w:color w:val="000000"/>
          <w:kern w:val="0"/>
          <w:sz w:val="28"/>
          <w:szCs w:val="28"/>
          <w:highlight w:val="none"/>
          <w:u w:val="single"/>
        </w:rPr>
        <w:t>；工程施工合同及有关会议纪要；图纸会审记录</w:t>
      </w:r>
      <w:r>
        <w:rPr>
          <w:rFonts w:hint="eastAsia" w:ascii="仿宋" w:hAnsi="仿宋" w:eastAsia="仿宋" w:cs="仿宋"/>
          <w:b/>
          <w:color w:val="000000"/>
          <w:kern w:val="0"/>
          <w:sz w:val="28"/>
          <w:szCs w:val="28"/>
          <w:highlight w:val="none"/>
          <w:u w:val="single"/>
          <w:lang w:eastAsia="zh-CN"/>
        </w:rPr>
        <w:t>（</w:t>
      </w:r>
      <w:r>
        <w:rPr>
          <w:rFonts w:hint="eastAsia" w:ascii="仿宋" w:hAnsi="仿宋" w:eastAsia="仿宋" w:cs="仿宋"/>
          <w:b/>
          <w:color w:val="000000"/>
          <w:kern w:val="0"/>
          <w:sz w:val="28"/>
          <w:szCs w:val="28"/>
          <w:highlight w:val="none"/>
          <w:u w:val="single"/>
          <w:lang w:val="en-US" w:eastAsia="zh-CN"/>
        </w:rPr>
        <w:t>如有</w:t>
      </w:r>
      <w:r>
        <w:rPr>
          <w:rFonts w:hint="eastAsia" w:ascii="仿宋" w:hAnsi="仿宋" w:eastAsia="仿宋" w:cs="仿宋"/>
          <w:b/>
          <w:color w:val="000000"/>
          <w:kern w:val="0"/>
          <w:sz w:val="28"/>
          <w:szCs w:val="28"/>
          <w:highlight w:val="none"/>
          <w:u w:val="single"/>
          <w:lang w:eastAsia="zh-CN"/>
        </w:rPr>
        <w:t>）</w:t>
      </w:r>
      <w:r>
        <w:rPr>
          <w:rFonts w:hint="eastAsia" w:ascii="仿宋" w:hAnsi="仿宋" w:eastAsia="仿宋" w:cs="仿宋"/>
          <w:b/>
          <w:color w:val="000000"/>
          <w:kern w:val="0"/>
          <w:sz w:val="28"/>
          <w:szCs w:val="28"/>
          <w:highlight w:val="none"/>
          <w:u w:val="single"/>
        </w:rPr>
        <w:t>；设计施工</w:t>
      </w:r>
      <w:r>
        <w:rPr>
          <w:rFonts w:hint="eastAsia" w:ascii="仿宋" w:hAnsi="仿宋" w:eastAsia="仿宋" w:cs="仿宋"/>
          <w:b/>
          <w:color w:val="000000"/>
          <w:kern w:val="0"/>
          <w:sz w:val="28"/>
          <w:szCs w:val="28"/>
          <w:highlight w:val="none"/>
          <w:u w:val="single"/>
          <w:lang w:eastAsia="zh-CN"/>
        </w:rPr>
        <w:t>图纸</w:t>
      </w:r>
      <w:r>
        <w:rPr>
          <w:rFonts w:hint="eastAsia" w:ascii="仿宋" w:hAnsi="仿宋" w:eastAsia="仿宋" w:cs="仿宋"/>
          <w:b/>
          <w:color w:val="000000"/>
          <w:kern w:val="0"/>
          <w:sz w:val="28"/>
          <w:szCs w:val="28"/>
          <w:highlight w:val="none"/>
          <w:u w:val="single"/>
        </w:rPr>
        <w:t>、变更修改</w:t>
      </w:r>
      <w:r>
        <w:rPr>
          <w:rFonts w:hint="eastAsia" w:ascii="仿宋" w:hAnsi="仿宋" w:eastAsia="仿宋" w:cs="仿宋"/>
          <w:b/>
          <w:color w:val="000000"/>
          <w:kern w:val="0"/>
          <w:sz w:val="28"/>
          <w:szCs w:val="28"/>
          <w:highlight w:val="none"/>
          <w:u w:val="single"/>
          <w:lang w:eastAsia="zh-CN"/>
        </w:rPr>
        <w:t>图纸</w:t>
      </w:r>
      <w:r>
        <w:rPr>
          <w:rFonts w:hint="eastAsia" w:ascii="仿宋" w:hAnsi="仿宋" w:eastAsia="仿宋" w:cs="仿宋"/>
          <w:b/>
          <w:color w:val="000000"/>
          <w:kern w:val="0"/>
          <w:sz w:val="28"/>
          <w:szCs w:val="28"/>
          <w:highlight w:val="none"/>
          <w:u w:val="single"/>
        </w:rPr>
        <w:t>、竣工图纸；设计变更通知单及联系单；施工变更签证；隐蔽工程竣工验收记录；承包人的送审工程结算书；施工组织设计；甲供材料清单（如有），包括品种、数量、单价、金额；开竣工报告；施工过程中发生的经监理、造价公司及发包人共同签批的新增单价或新增材料批价单；工程竣工验收证明书等</w:t>
      </w:r>
      <w:r>
        <w:rPr>
          <w:rFonts w:hint="eastAsia" w:ascii="仿宋" w:hAnsi="仿宋" w:eastAsia="仿宋" w:cs="仿宋"/>
          <w:b/>
          <w:color w:val="000000"/>
          <w:sz w:val="28"/>
          <w:szCs w:val="28"/>
          <w:highlight w:val="none"/>
          <w:u w:val="single"/>
        </w:rPr>
        <w:t>；累计已实际支付的合同价款；应</w:t>
      </w:r>
      <w:r>
        <w:rPr>
          <w:rFonts w:hint="eastAsia" w:ascii="仿宋" w:hAnsi="仿宋" w:eastAsia="仿宋" w:cs="仿宋"/>
          <w:b/>
          <w:color w:val="000000"/>
          <w:sz w:val="28"/>
          <w:szCs w:val="28"/>
          <w:highlight w:val="none"/>
          <w:u w:val="single"/>
          <w:lang w:val="en-US" w:eastAsia="zh-CN"/>
        </w:rPr>
        <w:t>交纳</w:t>
      </w:r>
      <w:r>
        <w:rPr>
          <w:rFonts w:hint="eastAsia" w:ascii="仿宋" w:hAnsi="仿宋" w:eastAsia="仿宋" w:cs="仿宋"/>
          <w:b/>
          <w:color w:val="000000"/>
          <w:sz w:val="28"/>
          <w:szCs w:val="28"/>
          <w:highlight w:val="none"/>
          <w:u w:val="single"/>
        </w:rPr>
        <w:t>的质量保证金；实际应支付的竣工结算款金额</w:t>
      </w:r>
      <w:r>
        <w:rPr>
          <w:rFonts w:hint="eastAsia" w:ascii="仿宋" w:hAnsi="仿宋" w:eastAsia="仿宋" w:cs="仿宋"/>
          <w:color w:val="000000"/>
          <w:sz w:val="28"/>
          <w:szCs w:val="28"/>
          <w:highlight w:val="none"/>
        </w:rPr>
        <w:t>。</w:t>
      </w:r>
    </w:p>
    <w:p w14:paraId="2112755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14.2 竣工结算审核</w:t>
      </w:r>
    </w:p>
    <w:p w14:paraId="36A742E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发包人审批竣工结算申请单的期限：</w:t>
      </w:r>
      <w:r>
        <w:rPr>
          <w:rFonts w:hint="eastAsia" w:ascii="仿宋" w:hAnsi="仿宋" w:eastAsia="仿宋" w:cs="仿宋"/>
          <w:b/>
          <w:color w:val="000000"/>
          <w:sz w:val="28"/>
          <w:szCs w:val="28"/>
          <w:highlight w:val="none"/>
          <w:u w:val="single"/>
        </w:rPr>
        <w:t>（1）发包人收到承包人提交的工程竣工结算申请资料后</w:t>
      </w:r>
      <w:r>
        <w:rPr>
          <w:rFonts w:hint="eastAsia" w:ascii="仿宋" w:hAnsi="仿宋" w:eastAsia="仿宋" w:cs="仿宋"/>
          <w:b/>
          <w:color w:val="000000"/>
          <w:sz w:val="28"/>
          <w:szCs w:val="28"/>
          <w:highlight w:val="none"/>
          <w:u w:val="single"/>
          <w:lang w:val="en-US" w:eastAsia="zh-CN"/>
        </w:rPr>
        <w:t>5</w:t>
      </w:r>
      <w:r>
        <w:rPr>
          <w:rFonts w:hint="eastAsia" w:ascii="仿宋" w:hAnsi="仿宋" w:eastAsia="仿宋" w:cs="仿宋"/>
          <w:b/>
          <w:color w:val="000000"/>
          <w:sz w:val="28"/>
          <w:szCs w:val="28"/>
          <w:highlight w:val="none"/>
          <w:u w:val="single"/>
        </w:rPr>
        <w:t>个工作日内对结算资料的完整性进行核实，发包人对竣工</w:t>
      </w:r>
      <w:r>
        <w:rPr>
          <w:rFonts w:hint="eastAsia" w:ascii="仿宋" w:hAnsi="仿宋" w:eastAsia="仿宋" w:cs="仿宋"/>
          <w:b/>
          <w:color w:val="000000"/>
          <w:kern w:val="0"/>
          <w:sz w:val="28"/>
          <w:szCs w:val="28"/>
          <w:highlight w:val="none"/>
          <w:u w:val="single"/>
        </w:rPr>
        <w:t>结算</w:t>
      </w:r>
      <w:r>
        <w:rPr>
          <w:rFonts w:hint="eastAsia" w:ascii="仿宋" w:hAnsi="仿宋" w:eastAsia="仿宋" w:cs="仿宋"/>
          <w:b/>
          <w:color w:val="000000"/>
          <w:sz w:val="28"/>
          <w:szCs w:val="28"/>
          <w:highlight w:val="none"/>
          <w:u w:val="single"/>
        </w:rPr>
        <w:t>申请单有异议的，有权要求承包人进行修正和提供补充资料，承包人应提交修正后的竣工</w:t>
      </w:r>
      <w:r>
        <w:rPr>
          <w:rFonts w:hint="eastAsia" w:ascii="仿宋" w:hAnsi="仿宋" w:eastAsia="仿宋" w:cs="仿宋"/>
          <w:b/>
          <w:color w:val="000000"/>
          <w:kern w:val="0"/>
          <w:sz w:val="28"/>
          <w:szCs w:val="28"/>
          <w:highlight w:val="none"/>
          <w:u w:val="single"/>
        </w:rPr>
        <w:t>结算</w:t>
      </w:r>
      <w:r>
        <w:rPr>
          <w:rFonts w:hint="eastAsia" w:ascii="仿宋" w:hAnsi="仿宋" w:eastAsia="仿宋" w:cs="仿宋"/>
          <w:b/>
          <w:color w:val="000000"/>
          <w:sz w:val="28"/>
          <w:szCs w:val="28"/>
          <w:highlight w:val="none"/>
          <w:u w:val="single"/>
        </w:rPr>
        <w:t>申请单；（2）经核实的竣工结算申请单由发包人送交给</w:t>
      </w:r>
      <w:r>
        <w:rPr>
          <w:rFonts w:hint="eastAsia" w:ascii="仿宋" w:hAnsi="仿宋" w:eastAsia="仿宋" w:cs="仿宋"/>
          <w:b/>
          <w:color w:val="000000"/>
          <w:sz w:val="28"/>
          <w:szCs w:val="28"/>
          <w:highlight w:val="none"/>
          <w:u w:val="single"/>
          <w:lang w:eastAsia="zh-CN"/>
        </w:rPr>
        <w:t>造价咨询单位</w:t>
      </w:r>
      <w:r>
        <w:rPr>
          <w:rFonts w:hint="eastAsia" w:ascii="仿宋" w:hAnsi="仿宋" w:eastAsia="仿宋" w:cs="仿宋"/>
          <w:b/>
          <w:color w:val="000000"/>
          <w:sz w:val="28"/>
          <w:szCs w:val="28"/>
          <w:highlight w:val="none"/>
          <w:u w:val="single"/>
        </w:rPr>
        <w:t>审核，</w:t>
      </w:r>
      <w:r>
        <w:rPr>
          <w:rFonts w:hint="eastAsia" w:ascii="仿宋" w:hAnsi="仿宋" w:eastAsia="仿宋" w:cs="仿宋"/>
          <w:b/>
          <w:color w:val="000000"/>
          <w:sz w:val="28"/>
          <w:szCs w:val="28"/>
          <w:highlight w:val="none"/>
          <w:u w:val="single"/>
          <w:lang w:eastAsia="zh-CN"/>
        </w:rPr>
        <w:t>造价咨询单位</w:t>
      </w:r>
      <w:r>
        <w:rPr>
          <w:rFonts w:hint="eastAsia" w:ascii="仿宋" w:hAnsi="仿宋" w:eastAsia="仿宋" w:cs="仿宋"/>
          <w:b/>
          <w:color w:val="000000"/>
          <w:sz w:val="28"/>
          <w:szCs w:val="28"/>
          <w:highlight w:val="none"/>
          <w:u w:val="single"/>
        </w:rPr>
        <w:t>收到完整的竣工结算申请单之日起</w:t>
      </w:r>
      <w:r>
        <w:rPr>
          <w:rFonts w:hint="eastAsia" w:ascii="仿宋" w:hAnsi="仿宋" w:eastAsia="仿宋" w:cs="仿宋"/>
          <w:b/>
          <w:color w:val="000000"/>
          <w:sz w:val="28"/>
          <w:szCs w:val="28"/>
          <w:highlight w:val="none"/>
          <w:u w:val="single"/>
          <w:lang w:val="en-US" w:eastAsia="zh-CN"/>
        </w:rPr>
        <w:t>20</w:t>
      </w:r>
      <w:r>
        <w:rPr>
          <w:rFonts w:hint="eastAsia" w:ascii="仿宋" w:hAnsi="仿宋" w:eastAsia="仿宋" w:cs="仿宋"/>
          <w:b/>
          <w:color w:val="000000"/>
          <w:sz w:val="28"/>
          <w:szCs w:val="28"/>
          <w:highlight w:val="none"/>
          <w:u w:val="single"/>
        </w:rPr>
        <w:t>天内完成工程结算审核并向发包人、承包人提交结算审核成果书；（3）发包人对承包人严重不平衡报价项目有调整的权利及承包人对招标清单错误理解的报价；</w:t>
      </w:r>
      <w:r>
        <w:rPr>
          <w:rFonts w:hint="eastAsia" w:ascii="仿宋" w:hAnsi="仿宋" w:eastAsia="仿宋" w:cs="仿宋"/>
          <w:b/>
          <w:color w:val="000000"/>
          <w:kern w:val="0"/>
          <w:sz w:val="28"/>
          <w:szCs w:val="28"/>
          <w:highlight w:val="none"/>
          <w:u w:val="single"/>
        </w:rPr>
        <w:t>（4）</w:t>
      </w:r>
      <w:r>
        <w:rPr>
          <w:rFonts w:hint="eastAsia" w:ascii="仿宋" w:hAnsi="仿宋" w:eastAsia="仿宋" w:cs="仿宋"/>
          <w:b/>
          <w:color w:val="000000"/>
          <w:sz w:val="28"/>
          <w:szCs w:val="28"/>
          <w:highlight w:val="none"/>
          <w:u w:val="single"/>
        </w:rPr>
        <w:t>发包人、承包人收到</w:t>
      </w:r>
      <w:r>
        <w:rPr>
          <w:rFonts w:hint="eastAsia" w:ascii="仿宋" w:hAnsi="仿宋" w:eastAsia="仿宋" w:cs="仿宋"/>
          <w:b/>
          <w:color w:val="000000"/>
          <w:sz w:val="28"/>
          <w:szCs w:val="28"/>
          <w:highlight w:val="none"/>
          <w:u w:val="single"/>
          <w:lang w:eastAsia="zh-CN"/>
        </w:rPr>
        <w:t>造价咨询单位</w:t>
      </w:r>
      <w:r>
        <w:rPr>
          <w:rFonts w:hint="eastAsia" w:ascii="仿宋" w:hAnsi="仿宋" w:eastAsia="仿宋" w:cs="仿宋"/>
          <w:b/>
          <w:color w:val="000000"/>
          <w:sz w:val="28"/>
          <w:szCs w:val="28"/>
          <w:highlight w:val="none"/>
          <w:u w:val="single"/>
        </w:rPr>
        <w:t>提交的结算审核成果书后，经双方确认无异议后签定审核成果定案书，发包人签发竣工付款证书。</w:t>
      </w:r>
    </w:p>
    <w:p w14:paraId="7428411E">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b/>
          <w:color w:val="000000"/>
          <w:kern w:val="0"/>
          <w:sz w:val="28"/>
          <w:szCs w:val="28"/>
          <w:highlight w:val="none"/>
          <w:u w:val="single"/>
        </w:rPr>
      </w:pPr>
      <w:r>
        <w:rPr>
          <w:rFonts w:hint="eastAsia" w:ascii="仿宋" w:hAnsi="仿宋" w:eastAsia="仿宋" w:cs="仿宋"/>
          <w:color w:val="000000"/>
          <w:sz w:val="28"/>
          <w:szCs w:val="28"/>
          <w:highlight w:val="none"/>
        </w:rPr>
        <w:t>发包人完成竣工付款的期限</w:t>
      </w:r>
      <w:r>
        <w:rPr>
          <w:rFonts w:hint="eastAsia" w:ascii="仿宋" w:hAnsi="仿宋" w:eastAsia="仿宋" w:cs="仿宋"/>
          <w:b/>
          <w:color w:val="000000"/>
          <w:sz w:val="28"/>
          <w:szCs w:val="28"/>
          <w:highlight w:val="none"/>
        </w:rPr>
        <w:t>：</w:t>
      </w:r>
      <w:r>
        <w:rPr>
          <w:rFonts w:hint="eastAsia" w:ascii="仿宋" w:hAnsi="仿宋" w:eastAsia="仿宋" w:cs="仿宋"/>
          <w:b/>
          <w:color w:val="000000"/>
          <w:sz w:val="28"/>
          <w:szCs w:val="28"/>
          <w:highlight w:val="none"/>
          <w:u w:val="single"/>
        </w:rPr>
        <w:t>发包人签发竣工付款证书后28天内完成对承包人的竣工付款。</w:t>
      </w:r>
    </w:p>
    <w:p w14:paraId="4F96973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关于竣工付款证书异议部分复核的方式和程序：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C2A571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14.4 最终结清</w:t>
      </w:r>
    </w:p>
    <w:p w14:paraId="79F0644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14.4.1 最终结清申请单</w:t>
      </w:r>
    </w:p>
    <w:p w14:paraId="4D925D8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承包人提交最终结清申请单的份数：</w:t>
      </w:r>
      <w:r>
        <w:rPr>
          <w:rFonts w:hint="eastAsia" w:ascii="仿宋" w:hAnsi="仿宋" w:eastAsia="仿宋" w:cs="仿宋"/>
          <w:b/>
          <w:color w:val="000000"/>
          <w:sz w:val="28"/>
          <w:szCs w:val="28"/>
          <w:highlight w:val="none"/>
          <w:u w:val="single"/>
        </w:rPr>
        <w:t>按发包人要求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9CCFF7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承包人提交最终结算申请单的期限：</w:t>
      </w:r>
      <w:r>
        <w:rPr>
          <w:rFonts w:hint="eastAsia" w:ascii="仿宋" w:hAnsi="仿宋" w:eastAsia="仿宋" w:cs="仿宋"/>
          <w:b/>
          <w:color w:val="000000"/>
          <w:sz w:val="28"/>
          <w:szCs w:val="28"/>
          <w:highlight w:val="none"/>
          <w:u w:val="single"/>
        </w:rPr>
        <w:t>按发包人要求</w:t>
      </w:r>
      <w:r>
        <w:rPr>
          <w:rFonts w:hint="eastAsia" w:ascii="仿宋" w:hAnsi="仿宋" w:eastAsia="仿宋" w:cs="仿宋"/>
          <w:b/>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 </w:t>
      </w:r>
    </w:p>
    <w:p w14:paraId="65F01D0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14.4.2 最终结清证书和支付</w:t>
      </w:r>
    </w:p>
    <w:p w14:paraId="37A3DD9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（1）发包人完成最终结清申请单的审批并颁发最终结清证书的期限：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848155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（2）发包人完成支付的期限：</w:t>
      </w:r>
      <w:r>
        <w:rPr>
          <w:rFonts w:hint="eastAsia" w:ascii="仿宋" w:hAnsi="仿宋" w:eastAsia="仿宋" w:cs="仿宋"/>
          <w:b/>
          <w:color w:val="00000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552"/>
    <w:bookmarkEnd w:id="553"/>
    <w:bookmarkEnd w:id="554"/>
    <w:bookmarkEnd w:id="555"/>
    <w:bookmarkEnd w:id="556"/>
    <w:bookmarkEnd w:id="557"/>
    <w:bookmarkEnd w:id="558"/>
    <w:bookmarkEnd w:id="564"/>
    <w:p w14:paraId="45B60AA9">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566" w:name="_Toc351203647"/>
      <w:bookmarkStart w:id="567" w:name="_Toc267251483"/>
      <w:bookmarkStart w:id="568" w:name="_Toc267251482"/>
      <w:bookmarkStart w:id="569" w:name="_Toc267251484"/>
      <w:bookmarkStart w:id="570" w:name="_Toc267251485"/>
      <w:bookmarkStart w:id="571" w:name="_Toc267251489"/>
      <w:bookmarkStart w:id="572" w:name="_Toc267251488"/>
      <w:bookmarkStart w:id="573" w:name="_Toc267251486"/>
      <w:bookmarkStart w:id="574" w:name="_Toc267251490"/>
      <w:bookmarkStart w:id="575" w:name="_Toc267251495"/>
      <w:bookmarkStart w:id="576" w:name="_Toc267251492"/>
      <w:bookmarkStart w:id="577" w:name="_Toc267251493"/>
      <w:bookmarkStart w:id="578" w:name="_Toc267251499"/>
      <w:bookmarkStart w:id="579" w:name="_Toc267251498"/>
      <w:bookmarkStart w:id="580" w:name="_Toc267251503"/>
      <w:bookmarkStart w:id="581" w:name="_Toc267251502"/>
      <w:bookmarkStart w:id="582" w:name="_Toc267251496"/>
      <w:bookmarkStart w:id="583" w:name="_Toc267251497"/>
      <w:bookmarkStart w:id="584" w:name="_Toc267251494"/>
      <w:bookmarkStart w:id="585" w:name="_Toc267251501"/>
      <w:bookmarkStart w:id="586" w:name="_Toc267251491"/>
      <w:bookmarkStart w:id="587" w:name="_Toc267251504"/>
      <w:bookmarkStart w:id="588" w:name="_Toc267251507"/>
      <w:bookmarkStart w:id="589" w:name="_Toc267251506"/>
      <w:bookmarkStart w:id="590" w:name="_Toc267251508"/>
      <w:bookmarkStart w:id="591" w:name="_Toc267251513"/>
      <w:bookmarkStart w:id="592" w:name="_Toc267251509"/>
      <w:bookmarkStart w:id="593" w:name="_Toc267251510"/>
      <w:bookmarkStart w:id="594" w:name="_Toc267251515"/>
      <w:bookmarkStart w:id="595" w:name="_Toc267251511"/>
      <w:bookmarkStart w:id="596" w:name="_Toc267251514"/>
      <w:r>
        <w:rPr>
          <w:rFonts w:hint="eastAsia" w:ascii="仿宋" w:hAnsi="仿宋" w:eastAsia="仿宋" w:cs="仿宋"/>
          <w:color w:val="000000"/>
          <w:sz w:val="28"/>
          <w:szCs w:val="28"/>
          <w:highlight w:val="none"/>
        </w:rPr>
        <w:t>15. 缺陷责任期与保修</w:t>
      </w:r>
      <w:bookmarkEnd w:id="566"/>
    </w:p>
    <w:p w14:paraId="00B51C0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15.2缺陷责任期</w:t>
      </w:r>
      <w:bookmarkEnd w:id="567"/>
    </w:p>
    <w:p w14:paraId="15E4251B">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缺陷责任期的具体期限：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24个月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F2EA10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15.3 质量保证金</w:t>
      </w:r>
    </w:p>
    <w:bookmarkEnd w:id="568"/>
    <w:bookmarkEnd w:id="569"/>
    <w:p w14:paraId="3E2F7D06">
      <w:pPr>
        <w:keepNext w:val="0"/>
        <w:keepLines w:val="0"/>
        <w:pageBreakBefore w:val="0"/>
        <w:kinsoku/>
        <w:wordWrap/>
        <w:overflowPunct/>
        <w:topLinePunct w:val="0"/>
        <w:bidi w:val="0"/>
        <w:spacing w:line="44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关于是否扣留质量保证金的约定：</w:t>
      </w:r>
      <w:r>
        <w:rPr>
          <w:rFonts w:hint="eastAsia" w:ascii="仿宋" w:hAnsi="仿宋" w:eastAsia="仿宋" w:cs="仿宋"/>
          <w:color w:val="000000"/>
          <w:sz w:val="28"/>
          <w:szCs w:val="28"/>
          <w:highlight w:val="none"/>
          <w:u w:val="single"/>
        </w:rPr>
        <w:t xml:space="preserve">   </w:t>
      </w:r>
      <w:r>
        <w:rPr>
          <w:rFonts w:hint="default" w:ascii="仿宋" w:hAnsi="仿宋" w:eastAsia="仿宋" w:cs="仿宋"/>
          <w:b/>
          <w:color w:val="000000"/>
          <w:sz w:val="28"/>
          <w:szCs w:val="28"/>
          <w:highlight w:val="none"/>
          <w:u w:val="single"/>
          <w:lang w:val="en-US"/>
        </w:rPr>
        <w:t>扣留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2E1017B6">
      <w:pPr>
        <w:keepNext w:val="0"/>
        <w:keepLines w:val="0"/>
        <w:pageBreakBefore w:val="0"/>
        <w:kinsoku/>
        <w:wordWrap/>
        <w:overflowPunct/>
        <w:topLinePunct w:val="0"/>
        <w:bidi w:val="0"/>
        <w:spacing w:line="44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15.3.1 承包人提供质量保证金的方式</w:t>
      </w:r>
    </w:p>
    <w:p w14:paraId="262A0AC3">
      <w:pPr>
        <w:keepNext w:val="0"/>
        <w:keepLines w:val="0"/>
        <w:pageBreakBefore w:val="0"/>
        <w:kinsoku/>
        <w:wordWrap/>
        <w:overflowPunct/>
        <w:topLinePunct w:val="0"/>
        <w:bidi w:val="0"/>
        <w:spacing w:line="44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质量保证金采用以下第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（2）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w:t>
      </w:r>
    </w:p>
    <w:p w14:paraId="227B086A">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（1）质量保证金保函，保证金额为：</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 xml:space="preserve">； </w:t>
      </w:r>
    </w:p>
    <w:p w14:paraId="77C5A89B">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3</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%的</w:t>
      </w:r>
      <w:r>
        <w:rPr>
          <w:rFonts w:hint="eastAsia" w:ascii="仿宋" w:hAnsi="仿宋" w:eastAsia="仿宋" w:cs="仿宋"/>
          <w:color w:val="000000"/>
          <w:kern w:val="0"/>
          <w:sz w:val="28"/>
          <w:szCs w:val="28"/>
          <w:highlight w:val="none"/>
          <w:lang w:val="en-US" w:eastAsia="zh-CN"/>
        </w:rPr>
        <w:t>最终建安工程费</w:t>
      </w:r>
      <w:r>
        <w:rPr>
          <w:rFonts w:hint="eastAsia" w:ascii="仿宋" w:hAnsi="仿宋" w:eastAsia="仿宋" w:cs="仿宋"/>
          <w:color w:val="000000"/>
          <w:kern w:val="0"/>
          <w:sz w:val="28"/>
          <w:szCs w:val="28"/>
          <w:highlight w:val="none"/>
        </w:rPr>
        <w:t>；</w:t>
      </w:r>
    </w:p>
    <w:p w14:paraId="5586E2DF">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（3）其他方式:</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1B165089">
      <w:pPr>
        <w:keepNext w:val="0"/>
        <w:keepLines w:val="0"/>
        <w:pageBreakBefore w:val="0"/>
        <w:kinsoku/>
        <w:wordWrap/>
        <w:overflowPunct/>
        <w:topLinePunct w:val="0"/>
        <w:bidi w:val="0"/>
        <w:spacing w:line="44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15.3.2 质量保证金的扣留 </w:t>
      </w:r>
    </w:p>
    <w:p w14:paraId="39E6AA15">
      <w:pPr>
        <w:keepNext w:val="0"/>
        <w:keepLines w:val="0"/>
        <w:pageBreakBefore w:val="0"/>
        <w:kinsoku/>
        <w:wordWrap/>
        <w:overflowPunct/>
        <w:topLinePunct w:val="0"/>
        <w:bidi w:val="0"/>
        <w:spacing w:line="44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质量保证金的扣留采取以下第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（2）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w:t>
      </w:r>
    </w:p>
    <w:p w14:paraId="1106A584">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（1）在支付工程进度款时逐次扣留，在此情形下，质量保证金的计算基数不包括预付款的支付、扣回以及价格调整的金额；</w:t>
      </w:r>
    </w:p>
    <w:p w14:paraId="6187EF75">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（2）工程竣工结算时一次性扣留质量保证金；</w:t>
      </w:r>
    </w:p>
    <w:p w14:paraId="1F3C3320">
      <w:pPr>
        <w:keepNext w:val="0"/>
        <w:keepLines w:val="0"/>
        <w:pageBreakBefore w:val="0"/>
        <w:kinsoku/>
        <w:wordWrap/>
        <w:overflowPunct/>
        <w:topLinePunct w:val="0"/>
        <w:autoSpaceDE w:val="0"/>
        <w:autoSpaceDN w:val="0"/>
        <w:bidi w:val="0"/>
        <w:adjustRightInd w:val="0"/>
        <w:spacing w:line="44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（3）其他扣留方式:</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rPr>
        <w:t>。</w:t>
      </w:r>
    </w:p>
    <w:p w14:paraId="467F48A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关于质量保证金的补充约定：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74FFA35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15.4保修</w:t>
      </w:r>
    </w:p>
    <w:bookmarkEnd w:id="570"/>
    <w:p w14:paraId="7F762BA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15.4.1 保修责任</w:t>
      </w:r>
    </w:p>
    <w:p w14:paraId="2377266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sz w:val="28"/>
          <w:szCs w:val="28"/>
          <w:highlight w:val="none"/>
        </w:rPr>
        <w:t>工程保修期为：</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见工程质量保修书 </w:t>
      </w:r>
      <w:r>
        <w:rPr>
          <w:rFonts w:hint="eastAsia" w:ascii="仿宋" w:hAnsi="仿宋" w:eastAsia="仿宋" w:cs="仿宋"/>
          <w:color w:val="000000"/>
          <w:kern w:val="0"/>
          <w:sz w:val="28"/>
          <w:szCs w:val="28"/>
          <w:highlight w:val="none"/>
        </w:rPr>
        <w:t>。</w:t>
      </w:r>
    </w:p>
    <w:p w14:paraId="527EC57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15.4.3 修复通知</w:t>
      </w:r>
    </w:p>
    <w:p w14:paraId="4C64989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承包人收到保修通知并到达工程现场的合理时间：</w:t>
      </w:r>
      <w:r>
        <w:rPr>
          <w:rFonts w:hint="eastAsia" w:ascii="仿宋" w:hAnsi="仿宋" w:eastAsia="仿宋" w:cs="仿宋"/>
          <w:b/>
          <w:color w:val="000000"/>
          <w:kern w:val="0"/>
          <w:sz w:val="28"/>
          <w:szCs w:val="28"/>
          <w:highlight w:val="none"/>
          <w:u w:val="single"/>
        </w:rPr>
        <w:t>24小时</w:t>
      </w:r>
      <w:r>
        <w:rPr>
          <w:rFonts w:hint="eastAsia" w:ascii="仿宋" w:hAnsi="仿宋" w:eastAsia="仿宋" w:cs="仿宋"/>
          <w:color w:val="000000"/>
          <w:kern w:val="0"/>
          <w:sz w:val="28"/>
          <w:szCs w:val="28"/>
          <w:highlight w:val="none"/>
        </w:rPr>
        <w:t>。</w:t>
      </w:r>
    </w:p>
    <w:bookmarkEnd w:id="571"/>
    <w:bookmarkEnd w:id="572"/>
    <w:bookmarkEnd w:id="573"/>
    <w:bookmarkEnd w:id="574"/>
    <w:p w14:paraId="7D2BB6C7">
      <w:pPr>
        <w:keepNext w:val="0"/>
        <w:keepLines w:val="0"/>
        <w:pageBreakBefore w:val="0"/>
        <w:kinsoku/>
        <w:wordWrap/>
        <w:overflowPunct/>
        <w:topLinePunct w:val="0"/>
        <w:bidi w:val="0"/>
        <w:spacing w:beforeAutospacing="0" w:afterAutospacing="0" w:line="500" w:lineRule="exact"/>
        <w:ind w:firstLine="560" w:firstLineChars="200"/>
        <w:textAlignment w:val="auto"/>
        <w:outlineLvl w:val="9"/>
        <w:rPr>
          <w:rFonts w:hint="eastAsia" w:ascii="仿宋" w:hAnsi="仿宋" w:eastAsia="仿宋" w:cs="仿宋"/>
          <w:color w:val="000000"/>
          <w:sz w:val="28"/>
          <w:szCs w:val="28"/>
          <w:highlight w:val="none"/>
        </w:rPr>
      </w:pPr>
      <w:bookmarkStart w:id="597" w:name="_Toc351203648"/>
      <w:bookmarkStart w:id="598" w:name="_Toc280868717"/>
      <w:bookmarkStart w:id="599" w:name="_Toc280868718"/>
      <w:r>
        <w:rPr>
          <w:rFonts w:hint="eastAsia" w:ascii="仿宋" w:hAnsi="仿宋" w:eastAsia="仿宋" w:cs="仿宋"/>
          <w:color w:val="000000"/>
          <w:sz w:val="28"/>
          <w:szCs w:val="28"/>
          <w:highlight w:val="none"/>
        </w:rPr>
        <w:t>16. 违约</w:t>
      </w:r>
      <w:bookmarkEnd w:id="597"/>
    </w:p>
    <w:p w14:paraId="6C4643F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 发包人违约</w:t>
      </w:r>
    </w:p>
    <w:p w14:paraId="6967722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16.1.1发包人违约的情形</w:t>
      </w:r>
    </w:p>
    <w:p w14:paraId="3A6BA9E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发包人违约的其他情形：</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63EB994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16.1.2 发包人违约的责任</w:t>
      </w:r>
    </w:p>
    <w:p w14:paraId="7B7923A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发包人违约责任的承担方式和计算方法：</w:t>
      </w:r>
    </w:p>
    <w:p w14:paraId="4C09D47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（1）因发包人原因未能在计划开工日期前7天内下达开工通知的违约责任：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 xml:space="preserve">工期顺延   </w:t>
      </w:r>
      <w:r>
        <w:rPr>
          <w:rFonts w:hint="eastAsia" w:ascii="仿宋" w:hAnsi="仿宋" w:eastAsia="仿宋" w:cs="仿宋"/>
          <w:b/>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44D9EBF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（2）因发包人原因未能按合同约定支付合同价款的违约责任：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rPr>
        <w:t xml:space="preserve"> </w:t>
      </w:r>
      <w:r>
        <w:rPr>
          <w:rFonts w:hint="eastAsia" w:ascii="仿宋" w:hAnsi="仿宋" w:eastAsia="仿宋" w:cs="仿宋"/>
          <w:b/>
          <w:bCs/>
          <w:color w:val="000000"/>
          <w:kern w:val="0"/>
          <w:sz w:val="28"/>
          <w:szCs w:val="28"/>
          <w:highlight w:val="none"/>
          <w:u w:val="single"/>
          <w:lang w:val="en-US" w:eastAsia="zh-CN"/>
        </w:rPr>
        <w:t>/</w:t>
      </w:r>
      <w:r>
        <w:rPr>
          <w:rFonts w:hint="eastAsia" w:ascii="仿宋" w:hAnsi="仿宋" w:eastAsia="仿宋" w:cs="仿宋"/>
          <w:b/>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58A316E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（3）发包人违反第10.1款〔变更的范围〕第（2）项约定，自行实施被取消的工作或转由他人实施的违约责任：</w:t>
      </w:r>
      <w:r>
        <w:rPr>
          <w:rFonts w:hint="eastAsia" w:ascii="仿宋" w:hAnsi="仿宋" w:eastAsia="仿宋" w:cs="仿宋"/>
          <w:b/>
          <w:color w:val="000000"/>
          <w:kern w:val="0"/>
          <w:sz w:val="28"/>
          <w:szCs w:val="28"/>
          <w:highlight w:val="none"/>
          <w:u w:val="single"/>
        </w:rPr>
        <w:t xml:space="preserve"> 发包人应承担因其违约给承包人增加的费用 </w:t>
      </w:r>
      <w:r>
        <w:rPr>
          <w:rFonts w:hint="eastAsia" w:ascii="仿宋" w:hAnsi="仿宋" w:eastAsia="仿宋" w:cs="仿宋"/>
          <w:color w:val="000000"/>
          <w:kern w:val="0"/>
          <w:sz w:val="28"/>
          <w:szCs w:val="28"/>
          <w:highlight w:val="none"/>
        </w:rPr>
        <w:t>。</w:t>
      </w:r>
    </w:p>
    <w:p w14:paraId="55E149C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发包人应承担因其违约给承包人增加的费用</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7E36E1D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（5）因发包人违反合同约定造成暂停施工的违约责任：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1C8BF6D4">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（6）发包人无正当理由没有在约定期限内发出复工指示，导致承包人无法复工的违约责任：</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rPr>
        <w:t>。</w:t>
      </w:r>
    </w:p>
    <w:p w14:paraId="7A1A8DD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（7）其他：</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005AD58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16.1.3 因发包人违约解除合同</w:t>
      </w:r>
    </w:p>
    <w:p w14:paraId="6F5EB16C">
      <w:pPr>
        <w:keepNext w:val="0"/>
        <w:keepLines w:val="0"/>
        <w:pageBreakBefore w:val="0"/>
        <w:kinsoku/>
        <w:wordWrap/>
        <w:overflowPunct/>
        <w:topLinePunct w:val="0"/>
        <w:autoSpaceDE w:val="0"/>
        <w:autoSpaceDN w:val="0"/>
        <w:bidi w:val="0"/>
        <w:adjustRightInd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承包人按16.1.1项〔发包人违约的情形〕约定暂停施工满</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天后发包人仍不纠正其违约行为并致使合同目的不能实现的，承包人有权解除合同。</w:t>
      </w:r>
    </w:p>
    <w:p w14:paraId="635D3BE5">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16.2 承包人违约</w:t>
      </w:r>
    </w:p>
    <w:p w14:paraId="32DD369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16.2.1 承包人违约的情形</w:t>
      </w:r>
    </w:p>
    <w:p w14:paraId="61A168D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（8）承包人未能按照合同约定履行其他义务：</w:t>
      </w:r>
    </w:p>
    <w:p w14:paraId="27E25E0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①承包人未按合同文件的规定或承包人的承诺组织主要施工设备和工程技术及管理人员进场；或者未经发包人和监理人批准，承包人私自将已按合同规定进入施工场地的施工设备、临时设施或材料撤离施工场地。承包人项目经理或技术负责人、安全负责人未经发包人同意擅自离开工地。除不可抗力因素外，无论任何原因，承包人无权停工，否则视为违约。</w:t>
      </w:r>
    </w:p>
    <w:p w14:paraId="39FBB25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②本项目未能按合同约定支付合同价款的，承包人保证工程不停工、如期推进，在此时间内未经发包人书面同意，承包人无权停工，否则视为违约。  </w:t>
      </w:r>
    </w:p>
    <w:p w14:paraId="7AEC969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16.2.2 承包人违约的责任</w:t>
      </w:r>
    </w:p>
    <w:p w14:paraId="2D4E77C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本合同中关于承包人违约的具体责任如下：</w:t>
      </w:r>
    </w:p>
    <w:p w14:paraId="4785D29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承包人违反合同约定延期开工的，每延迟开工1天，应给发包人支付本工程签约合同价的5‰的违约金，但最多不超过签约合同价的10%；迟延开工超过7天的，发包人有权解除合同，将本工程另行发包，并不免除承包人的违约赔偿责任。</w:t>
      </w:r>
    </w:p>
    <w:p w14:paraId="73545DF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（2）承包人违反合同约定，造成一般节点工期延误时，发包人有权视严重程度做出一般违约至解除合同的违约处罚。造成发包人经济损失的，承包人应据实赔偿。</w:t>
      </w:r>
    </w:p>
    <w:p w14:paraId="0C97420C">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因承包人原因造成单项工程未能通过竣工验收，按该单项工程造价的15%承担违约金。同时，应无条件负责返工、修复、重做直至验收合同为止，由此造成工期延误的，违约金按专用合同条款第7.5.2项另行计算并累加。如果发包人认为需要交由第三方处理返工、修复、重做等事项的，由此发生全部费用由承包人承担。</w:t>
      </w:r>
    </w:p>
    <w:p w14:paraId="35307EE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（4）如果工程验收时的施工质量没有达到一次验收合格率100%，按专用合同条款第13.2.6项执行。</w:t>
      </w:r>
    </w:p>
    <w:p w14:paraId="72DC2F3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因承包人的施工行为，包括工程质量不合格造成对发包人或其他第三人损害的（包括在施工过程中和使用过程中造成的损害），由承包人负责赔偿发包人或第三人的损失。承包人因履行本合同而造成自己及其所派人员受到任何人身伤害、死亡或者发生各种经济损失，其赔偿责任均由承包人承担。</w:t>
      </w:r>
    </w:p>
    <w:p w14:paraId="44CCB7D3">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w:t>
      </w:r>
      <w:r>
        <w:rPr>
          <w:rFonts w:hint="eastAsia" w:ascii="仿宋" w:hAnsi="仿宋" w:eastAsia="仿宋" w:cs="仿宋"/>
          <w:color w:val="000000"/>
          <w:kern w:val="0"/>
          <w:sz w:val="28"/>
          <w:szCs w:val="28"/>
          <w:highlight w:val="none"/>
          <w:lang w:val="en-US" w:eastAsia="zh-CN"/>
        </w:rPr>
        <w:t>发包人</w:t>
      </w:r>
      <w:r>
        <w:rPr>
          <w:rFonts w:hint="eastAsia" w:ascii="仿宋" w:hAnsi="仿宋" w:eastAsia="仿宋" w:cs="仿宋"/>
          <w:color w:val="000000"/>
          <w:kern w:val="0"/>
          <w:sz w:val="28"/>
          <w:szCs w:val="28"/>
          <w:highlight w:val="none"/>
        </w:rPr>
        <w:t>、</w:t>
      </w:r>
      <w:r>
        <w:rPr>
          <w:rFonts w:hint="eastAsia" w:ascii="仿宋" w:hAnsi="仿宋" w:eastAsia="仿宋" w:cs="仿宋"/>
          <w:color w:val="000000"/>
          <w:kern w:val="0"/>
          <w:sz w:val="28"/>
          <w:szCs w:val="28"/>
          <w:highlight w:val="none"/>
          <w:lang w:val="en-US" w:eastAsia="zh-CN"/>
        </w:rPr>
        <w:t>承包人</w:t>
      </w:r>
      <w:r>
        <w:rPr>
          <w:rFonts w:hint="eastAsia" w:ascii="仿宋" w:hAnsi="仿宋" w:eastAsia="仿宋" w:cs="仿宋"/>
          <w:color w:val="000000"/>
          <w:kern w:val="0"/>
          <w:sz w:val="28"/>
          <w:szCs w:val="28"/>
          <w:highlight w:val="none"/>
        </w:rPr>
        <w:t>双方视情况协商解决，承包人需按合同价的</w:t>
      </w:r>
      <w:r>
        <w:rPr>
          <w:rFonts w:hint="eastAsia" w:ascii="仿宋" w:hAnsi="仿宋" w:eastAsia="仿宋" w:cs="仿宋"/>
          <w:color w:val="000000"/>
          <w:kern w:val="0"/>
          <w:sz w:val="28"/>
          <w:szCs w:val="28"/>
          <w:highlight w:val="none"/>
          <w:lang w:val="en-US" w:eastAsia="zh-CN"/>
        </w:rPr>
        <w:t>5%</w:t>
      </w:r>
      <w:r>
        <w:rPr>
          <w:rFonts w:hint="eastAsia" w:ascii="仿宋" w:hAnsi="仿宋" w:eastAsia="仿宋" w:cs="仿宋"/>
          <w:color w:val="000000"/>
          <w:kern w:val="0"/>
          <w:sz w:val="28"/>
          <w:szCs w:val="28"/>
          <w:highlight w:val="none"/>
        </w:rPr>
        <w:t>向发包人支付违约金，情节特别严重时，发包人有权根据实际情节解除合同。</w:t>
      </w:r>
    </w:p>
    <w:p w14:paraId="2C31CDD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（7）承包人擅自转包或违法分包工程的，发包人有权单方部分解除合同或解除合同，由此而造成的经济损失由承包人负责赔偿。</w:t>
      </w:r>
    </w:p>
    <w:p w14:paraId="02C55196">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（8）人员和设备投入不到位的违约责任</w:t>
      </w:r>
    </w:p>
    <w:p w14:paraId="54B97BB7">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①承包人违反专用合同条款约定的，每发现一例，承包人必须按照总监理工程师或发包人的指令限期改正，并承担一般违约责任；承包人拒不限期改正的，必须承担严重违约责任，直至部分或全部解除合同。</w:t>
      </w:r>
    </w:p>
    <w:p w14:paraId="44C70D2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②承包人必须服从监理单位及发包人的管理，主动支持监理单位发包人的工作，对监理单位及发包人的指令，若无正当理由而公开或变相拒不执行的，发包人有权视情节严重程度给予一般违约及以上的处罚，由此造成的一切经济损失由承包人承担。</w:t>
      </w:r>
    </w:p>
    <w:p w14:paraId="0A438B28">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③承包人的项目经理或技术负责人必须参加监理单位或发包人主持的工程例会和其他要求的专题会议。除获得监理单位或发包人批准外，每缺席1次，承包人须承担1次一般违约责任。</w:t>
      </w:r>
    </w:p>
    <w:p w14:paraId="325336B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（9）农民工工资支付方面的违约责任</w:t>
      </w:r>
    </w:p>
    <w:p w14:paraId="41C62EF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①承包人违反本合同关于农民工工资支付的规定，被农民工投诉属实的，承包人必须在3天内予以发放拖欠的款项。若继续拖延被投诉2次及以上，经查实，承包人必须承担一般违约责任1次。同时，每发生一起类似事件，须向发包人交纳违约金人民币10万元／次。若仍然不予整改并发放拖欠的款项，使农民工采取停工、集聚围阻发包人办公地点甚至政府办公部门等行动的，承包人必须承担严重违约责任，并立即采取切实有效措施予以整改，同时须向发包人交纳罚金人民币15万元／次；拒不采取切实有效的措施整改的，或整改效果不明显的，发包人有权部分或全部解除合同，并要求承包人赔偿由此造成的损失。</w:t>
      </w:r>
    </w:p>
    <w:p w14:paraId="651BC0CA">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②承包人发生拖欠、克扣农民工工资行为的，由人力资源社会保障行政部门责令承包人限期支付。逾期未支付的，人力资源社会保障行政部门向承包人开具划支农民工工资保证金书面通知，由承包人在人力资源社会保障行政部门组织和监督下，使用农民工工资保证金支付被拖欠、克扣的农民工工资，并按照《劳动保障监察条例》的有关规定处理。</w:t>
      </w:r>
    </w:p>
    <w:p w14:paraId="7BB02E40">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（10）</w:t>
      </w:r>
      <w:r>
        <w:rPr>
          <w:rFonts w:hint="eastAsia" w:ascii="仿宋" w:hAnsi="仿宋" w:eastAsia="仿宋" w:cs="仿宋"/>
          <w:color w:val="000000"/>
          <w:kern w:val="0"/>
          <w:sz w:val="28"/>
          <w:szCs w:val="28"/>
          <w:highlight w:val="none"/>
        </w:rPr>
        <w:t>承包人违约责任的承担方式和计算方法：</w:t>
      </w:r>
      <w:r>
        <w:rPr>
          <w:rFonts w:hint="eastAsia" w:ascii="仿宋" w:hAnsi="仿宋" w:eastAsia="仿宋" w:cs="仿宋"/>
          <w:b/>
          <w:bCs/>
          <w:color w:val="000000"/>
          <w:kern w:val="0"/>
          <w:sz w:val="28"/>
          <w:szCs w:val="28"/>
          <w:highlight w:val="none"/>
          <w:u w:val="single"/>
        </w:rPr>
        <w:t>由承包人承担全部经济损失（包括按照约定承担并支付违约金）。同时，发包人有权暂停支付所有未付工程款，情节严重的或者发包人认为有必要时，发包人有权解除、终止合同，并追究承包人违约责任，违约经济损失由发包人在工程造价的20%范围内自行确定</w:t>
      </w:r>
      <w:r>
        <w:rPr>
          <w:rFonts w:hint="eastAsia" w:ascii="仿宋" w:hAnsi="仿宋" w:eastAsia="仿宋" w:cs="仿宋"/>
          <w:color w:val="000000"/>
          <w:kern w:val="0"/>
          <w:sz w:val="28"/>
          <w:szCs w:val="28"/>
          <w:highlight w:val="none"/>
        </w:rPr>
        <w:t>。</w:t>
      </w:r>
    </w:p>
    <w:p w14:paraId="0388F742">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16.2.3 因承包人违约解除合同</w:t>
      </w:r>
    </w:p>
    <w:p w14:paraId="021C39B1">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关于承包人违约解除合同的特别约定：</w:t>
      </w:r>
      <w:r>
        <w:rPr>
          <w:rFonts w:hint="eastAsia" w:ascii="仿宋" w:hAnsi="仿宋" w:eastAsia="仿宋" w:cs="仿宋"/>
          <w:b/>
          <w:bCs/>
          <w:color w:val="000000"/>
          <w:kern w:val="0"/>
          <w:sz w:val="28"/>
          <w:szCs w:val="28"/>
          <w:highlight w:val="none"/>
          <w:u w:val="single"/>
        </w:rPr>
        <w:t>因为承包人违约或者发包人根据约定，决定解除终止合同的，发包人有权按合同约定追索、扣收违约经济损失（包括约定违约金）和相关费用。承包人应当在发包人解除合同决定做出之日起30日内提交已经完成工程量的结算报告给监理工程师、发包人审定，并同时退场、向发包人或指定的人移交施工现场。发包人应当30日内完成对承包人提交的已经完成工程量结算报告的审定，并按审定结果进行结算支付，若承包人对审定结果有异议的，承包人可以通过向人民法院提起起诉讼解决。承包人未按前述约定提交已经完成工程量结算报告的，以监理工程师、发包人出具的结算结果为准或者按照已经计量、签订的工程量结算处理。承包人逾期未按前述约定退场或者移交施工现场的，视为承包人放弃现场所有物品、设施设备的所有权并无偿交归发包人或指定的人处置，发包人或指定的人可以单方面直接接受管理现场</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145E022E">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b/>
          <w:color w:val="000000"/>
          <w:kern w:val="0"/>
          <w:sz w:val="28"/>
          <w:szCs w:val="28"/>
          <w:highlight w:val="none"/>
          <w:u w:val="single"/>
        </w:rPr>
        <w:t>双方另行协商</w:t>
      </w:r>
      <w:r>
        <w:rPr>
          <w:rFonts w:hint="eastAsia" w:ascii="仿宋" w:hAnsi="仿宋" w:eastAsia="仿宋" w:cs="仿宋"/>
          <w:color w:val="000000"/>
          <w:kern w:val="0"/>
          <w:sz w:val="28"/>
          <w:szCs w:val="28"/>
          <w:highlight w:val="none"/>
        </w:rPr>
        <w:t>。</w:t>
      </w:r>
    </w:p>
    <w:p w14:paraId="153129BD">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16.2.6根据专用合同条款第16.2款各项的规定，承包人违约须向发包人支付违约金或赔偿金时，发包人有权从应支付给承包人的工程款中直接抵扣，承包人不得有异议。</w:t>
      </w:r>
    </w:p>
    <w:p w14:paraId="7294F55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16.2.7除上述约定之外，承包人有违反其他合同义务的，均构成违约，应当承担违约责任。</w:t>
      </w:r>
    </w:p>
    <w:p w14:paraId="0937FCDF">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16.2.8承包人违约，按照本合同规定承担违约责任并不免除其应该承担的其他法律责任。其赔偿责任包括但不限于经济损失、诉讼费、公证费、律师费及为实现权利产生的全部费用。</w:t>
      </w:r>
    </w:p>
    <w:p w14:paraId="42CA76C9">
      <w:pPr>
        <w:keepNext w:val="0"/>
        <w:keepLines w:val="0"/>
        <w:pageBreakBefore w:val="0"/>
        <w:kinsoku/>
        <w:wordWrap/>
        <w:overflowPunct/>
        <w:topLinePunct w:val="0"/>
        <w:bidi w:val="0"/>
        <w:spacing w:line="50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16.2.9承包人除遵守以上约定外,还应遵守发包人制定的现场管理制度并承担相应责任,如有冲突以如上约定为准。</w:t>
      </w:r>
    </w:p>
    <w:p w14:paraId="4BF07961">
      <w:pPr>
        <w:keepNext w:val="0"/>
        <w:keepLines w:val="0"/>
        <w:pageBreakBefore w:val="0"/>
        <w:widowControl w:val="0"/>
        <w:kinsoku/>
        <w:wordWrap/>
        <w:overflowPunct/>
        <w:topLinePunct w:val="0"/>
        <w:bidi w:val="0"/>
        <w:snapToGrid/>
        <w:spacing w:beforeAutospacing="0" w:afterAutospacing="0" w:line="480" w:lineRule="exact"/>
        <w:ind w:firstLine="560" w:firstLineChars="200"/>
        <w:textAlignment w:val="auto"/>
        <w:outlineLvl w:val="9"/>
        <w:rPr>
          <w:rFonts w:hint="eastAsia" w:ascii="仿宋" w:hAnsi="仿宋" w:eastAsia="仿宋" w:cs="仿宋"/>
          <w:color w:val="000000"/>
          <w:sz w:val="28"/>
          <w:szCs w:val="28"/>
          <w:highlight w:val="none"/>
        </w:rPr>
      </w:pPr>
      <w:bookmarkStart w:id="600" w:name="_Toc351203649"/>
      <w:r>
        <w:rPr>
          <w:rFonts w:hint="eastAsia" w:ascii="仿宋" w:hAnsi="仿宋" w:eastAsia="仿宋" w:cs="仿宋"/>
          <w:color w:val="000000"/>
          <w:sz w:val="28"/>
          <w:szCs w:val="28"/>
          <w:highlight w:val="none"/>
        </w:rPr>
        <w:t>17. 不可抗力</w:t>
      </w:r>
      <w:bookmarkEnd w:id="600"/>
      <w:r>
        <w:rPr>
          <w:rFonts w:hint="eastAsia" w:ascii="仿宋" w:hAnsi="仿宋" w:eastAsia="仿宋" w:cs="仿宋"/>
          <w:color w:val="000000"/>
          <w:sz w:val="28"/>
          <w:szCs w:val="28"/>
          <w:highlight w:val="none"/>
        </w:rPr>
        <w:t xml:space="preserve"> </w:t>
      </w:r>
      <w:bookmarkEnd w:id="598"/>
    </w:p>
    <w:p w14:paraId="1D8F04FE">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17.1 不可抗力的确认</w:t>
      </w:r>
    </w:p>
    <w:p w14:paraId="0584A50C">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u w:val="single"/>
        </w:rPr>
      </w:pPr>
      <w:r>
        <w:rPr>
          <w:rFonts w:hint="eastAsia" w:ascii="仿宋" w:hAnsi="仿宋" w:eastAsia="仿宋" w:cs="仿宋"/>
          <w:color w:val="000000"/>
          <w:sz w:val="28"/>
          <w:szCs w:val="28"/>
          <w:highlight w:val="none"/>
        </w:rPr>
        <w:t>除通用合同条款约定的不可抗力事件之外，视为不可抗力的其他情形：</w:t>
      </w:r>
      <w:r>
        <w:rPr>
          <w:rFonts w:hint="eastAsia" w:ascii="仿宋" w:hAnsi="仿宋" w:eastAsia="仿宋" w:cs="仿宋"/>
          <w:b/>
          <w:color w:val="000000"/>
          <w:kern w:val="0"/>
          <w:sz w:val="28"/>
          <w:szCs w:val="28"/>
          <w:highlight w:val="none"/>
          <w:u w:val="single"/>
        </w:rPr>
        <w:t xml:space="preserve">      /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14:paraId="50A8D25A">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17.4 因不可抗力解除合同</w:t>
      </w:r>
    </w:p>
    <w:p w14:paraId="33F70A05">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合同解除后，发包人应在商定或确定发包人应支付款项后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120</w:t>
      </w:r>
      <w:r>
        <w:rPr>
          <w:rFonts w:hint="eastAsia" w:ascii="仿宋" w:hAnsi="仿宋" w:eastAsia="仿宋" w:cs="仿宋"/>
          <w:bCs/>
          <w:color w:val="000000"/>
          <w:sz w:val="28"/>
          <w:szCs w:val="28"/>
          <w:highlight w:val="none"/>
        </w:rPr>
        <w:t>天</w:t>
      </w:r>
      <w:r>
        <w:rPr>
          <w:rFonts w:hint="eastAsia" w:ascii="仿宋" w:hAnsi="仿宋" w:eastAsia="仿宋" w:cs="仿宋"/>
          <w:color w:val="000000"/>
          <w:sz w:val="28"/>
          <w:szCs w:val="28"/>
          <w:highlight w:val="none"/>
        </w:rPr>
        <w:t>内完成款项的支付。</w:t>
      </w:r>
    </w:p>
    <w:p w14:paraId="28289D45">
      <w:pPr>
        <w:keepNext w:val="0"/>
        <w:keepLines w:val="0"/>
        <w:pageBreakBefore w:val="0"/>
        <w:widowControl w:val="0"/>
        <w:kinsoku/>
        <w:wordWrap/>
        <w:overflowPunct/>
        <w:topLinePunct w:val="0"/>
        <w:bidi w:val="0"/>
        <w:snapToGrid/>
        <w:spacing w:beforeAutospacing="0" w:afterAutospacing="0" w:line="480" w:lineRule="exact"/>
        <w:ind w:firstLine="560" w:firstLineChars="200"/>
        <w:textAlignment w:val="auto"/>
        <w:outlineLvl w:val="9"/>
        <w:rPr>
          <w:rFonts w:hint="eastAsia" w:ascii="仿宋" w:hAnsi="仿宋" w:eastAsia="仿宋" w:cs="仿宋"/>
          <w:color w:val="000000"/>
          <w:sz w:val="28"/>
          <w:szCs w:val="28"/>
          <w:highlight w:val="none"/>
        </w:rPr>
      </w:pPr>
      <w:bookmarkStart w:id="601" w:name="_Toc351203650"/>
      <w:r>
        <w:rPr>
          <w:rFonts w:hint="eastAsia" w:ascii="仿宋" w:hAnsi="仿宋" w:eastAsia="仿宋" w:cs="仿宋"/>
          <w:color w:val="000000"/>
          <w:sz w:val="28"/>
          <w:szCs w:val="28"/>
          <w:highlight w:val="none"/>
        </w:rPr>
        <w:t>18. 保险</w:t>
      </w:r>
      <w:bookmarkEnd w:id="601"/>
    </w:p>
    <w:bookmarkEnd w:id="575"/>
    <w:bookmarkEnd w:id="576"/>
    <w:bookmarkEnd w:id="577"/>
    <w:bookmarkEnd w:id="578"/>
    <w:bookmarkEnd w:id="579"/>
    <w:bookmarkEnd w:id="580"/>
    <w:bookmarkEnd w:id="581"/>
    <w:bookmarkEnd w:id="582"/>
    <w:bookmarkEnd w:id="583"/>
    <w:bookmarkEnd w:id="584"/>
    <w:bookmarkEnd w:id="585"/>
    <w:bookmarkEnd w:id="586"/>
    <w:bookmarkEnd w:id="599"/>
    <w:p w14:paraId="2197E4E9">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bookmarkStart w:id="602" w:name="_Toc351203651"/>
      <w:r>
        <w:rPr>
          <w:rFonts w:hint="eastAsia" w:ascii="仿宋" w:hAnsi="仿宋" w:eastAsia="仿宋" w:cs="仿宋"/>
          <w:color w:val="000000"/>
          <w:sz w:val="28"/>
          <w:szCs w:val="28"/>
          <w:highlight w:val="none"/>
        </w:rPr>
        <w:t>18.1 工程保险</w:t>
      </w:r>
    </w:p>
    <w:p w14:paraId="72BCBA3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承包人应投保建筑工程一切险或安装工程一切险，因投保产生的保险费和其他相关费用由承包人承担。</w:t>
      </w:r>
    </w:p>
    <w:p w14:paraId="7A29F1C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18.3 其他保险</w:t>
      </w:r>
    </w:p>
    <w:p w14:paraId="3358E55E">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关于其他保险的约定：</w:t>
      </w:r>
    </w:p>
    <w:p w14:paraId="1307C665">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承包人应投保施工设备险，投保项目及其保险金额由承包人根据其配备的施工设备状况自行确定，但承包人应充分估计主要施工设备可能发生的重大事故或因自然灾害造成施工设备的损失和损坏对工程的影响。</w:t>
      </w:r>
    </w:p>
    <w:p w14:paraId="444846A6">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承包人投保的施工设备险的保险期限应从承包人进点至颁发工程移交证书期间，除保险公司规定的除外责任以外的工程（包括材料和工程设备）和施工设备的损失和损坏，其费用已包含在承包人的工程价款中。</w:t>
      </w:r>
    </w:p>
    <w:p w14:paraId="7BFEC27F">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（3）在合同实施期间，承包人应为其雇用人员（包括分包人员）投保人身意外伤害险或雇主责任险。</w:t>
      </w:r>
    </w:p>
    <w:p w14:paraId="0607C1FA">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承包人应以发包人和承包人的共同名义投保在工地及其毗邻地带的第三方人员的人身伤害和财产损失的第三者责任险。此项投保不免除承包人和发包人各自应负的在其管辖区内及其毗邻地带发生的第三者人员人身伤害和财产损失的赔偿责任，其赔偿费用应包括赔偿费、诉讼费和其它有关费用。</w:t>
      </w:r>
    </w:p>
    <w:p w14:paraId="0953149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18.5保险凭证</w:t>
      </w:r>
    </w:p>
    <w:p w14:paraId="33DA247E">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应在合同签订后7天内向发包人提交各项保险生效的证据和保险单副本，保险单必须与专用合同条款约定的条件保持一致。若承包未在规定时间内提交各项保险生效的证据和保险单副本，发包人将强制保险，保险费在工程款中扣除。</w:t>
      </w:r>
    </w:p>
    <w:p w14:paraId="48B739DC">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18.7 通知义务</w:t>
      </w:r>
    </w:p>
    <w:p w14:paraId="4E937916">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关于变更保险合同时的通知义务的约定：</w:t>
      </w:r>
      <w:r>
        <w:rPr>
          <w:rFonts w:hint="eastAsia" w:ascii="仿宋" w:hAnsi="仿宋" w:eastAsia="仿宋" w:cs="仿宋"/>
          <w:b/>
          <w:color w:val="000000"/>
          <w:kern w:val="0"/>
          <w:sz w:val="28"/>
          <w:szCs w:val="28"/>
          <w:highlight w:val="none"/>
          <w:u w:val="single"/>
        </w:rPr>
        <w:t>按通用合同条款执行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1910403">
      <w:pPr>
        <w:keepNext w:val="0"/>
        <w:keepLines w:val="0"/>
        <w:pageBreakBefore w:val="0"/>
        <w:widowControl w:val="0"/>
        <w:kinsoku/>
        <w:wordWrap/>
        <w:overflowPunct/>
        <w:topLinePunct w:val="0"/>
        <w:bidi w:val="0"/>
        <w:snapToGrid/>
        <w:spacing w:line="480" w:lineRule="exact"/>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19.索赔</w:t>
      </w:r>
    </w:p>
    <w:p w14:paraId="192AD1CD">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19.6以下情况不属于索赔范围</w:t>
      </w:r>
    </w:p>
    <w:p w14:paraId="70687F00">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承包人施工进度滞后于进度计划，在发包人及监理人督促后，仍无法满足施工进度要求的情况下，发包人认为承包人不能按时完工时，可将剩余工程的全部或部分另行安排其他承包人施工，承包人不得为此提出索赔要求。</w:t>
      </w:r>
    </w:p>
    <w:p w14:paraId="6A594AA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（2）发包人提前通知的计划停电（检修等）不属于索赔范围；非承包商原因引起的事故停电，每次连续停电时间小于48小时不属于索赔范围。</w:t>
      </w:r>
    </w:p>
    <w:p w14:paraId="30E13242">
      <w:pPr>
        <w:keepNext w:val="0"/>
        <w:keepLines w:val="0"/>
        <w:pageBreakBefore w:val="0"/>
        <w:widowControl w:val="0"/>
        <w:kinsoku/>
        <w:wordWrap/>
        <w:overflowPunct/>
        <w:topLinePunct w:val="0"/>
        <w:bidi w:val="0"/>
        <w:snapToGrid/>
        <w:spacing w:after="0" w:afterLines="0" w:afterAutospacing="0"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（3）因当地居民阻扰施工未连续超过72小时内的风险费用，承包人应在</w:t>
      </w:r>
      <w:r>
        <w:rPr>
          <w:rFonts w:hint="eastAsia" w:ascii="仿宋" w:hAnsi="仿宋" w:eastAsia="仿宋" w:cs="仿宋"/>
          <w:color w:val="000000"/>
          <w:kern w:val="0"/>
          <w:sz w:val="28"/>
          <w:szCs w:val="28"/>
          <w:highlight w:val="none"/>
          <w:lang w:eastAsia="zh-CN"/>
        </w:rPr>
        <w:t>报价</w:t>
      </w:r>
      <w:r>
        <w:rPr>
          <w:rFonts w:hint="eastAsia" w:ascii="仿宋" w:hAnsi="仿宋" w:eastAsia="仿宋" w:cs="仿宋"/>
          <w:color w:val="000000"/>
          <w:kern w:val="0"/>
          <w:sz w:val="28"/>
          <w:szCs w:val="28"/>
          <w:highlight w:val="none"/>
        </w:rPr>
        <w:t>中自行考虑，不属于索赔范围。</w:t>
      </w:r>
    </w:p>
    <w:bookmarkEnd w:id="587"/>
    <w:bookmarkEnd w:id="588"/>
    <w:bookmarkEnd w:id="589"/>
    <w:bookmarkEnd w:id="602"/>
    <w:p w14:paraId="4B247F70">
      <w:pPr>
        <w:keepNext w:val="0"/>
        <w:keepLines w:val="0"/>
        <w:pageBreakBefore w:val="0"/>
        <w:widowControl w:val="0"/>
        <w:kinsoku/>
        <w:wordWrap/>
        <w:overflowPunct/>
        <w:topLinePunct w:val="0"/>
        <w:bidi w:val="0"/>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 争议解决</w:t>
      </w:r>
    </w:p>
    <w:p w14:paraId="32C98FDE">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20.3 争议评审</w:t>
      </w:r>
    </w:p>
    <w:p w14:paraId="7B769464">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合同当事人是否同意将工程争议提交争议评审小组决定：</w:t>
      </w:r>
      <w:r>
        <w:rPr>
          <w:rFonts w:hint="eastAsia" w:ascii="仿宋" w:hAnsi="仿宋" w:eastAsia="仿宋" w:cs="仿宋"/>
          <w:b/>
          <w:bCs/>
          <w:color w:val="000000"/>
          <w:sz w:val="28"/>
          <w:szCs w:val="28"/>
          <w:highlight w:val="none"/>
          <w:u w:val="single"/>
        </w:rPr>
        <w:t xml:space="preserve">   /  </w:t>
      </w:r>
      <w:r>
        <w:rPr>
          <w:rFonts w:hint="eastAsia" w:ascii="仿宋" w:hAnsi="仿宋" w:eastAsia="仿宋" w:cs="仿宋"/>
          <w:color w:val="000000"/>
          <w:sz w:val="28"/>
          <w:szCs w:val="28"/>
          <w:highlight w:val="none"/>
        </w:rPr>
        <w:t xml:space="preserve">。  </w:t>
      </w:r>
    </w:p>
    <w:p w14:paraId="541DB742">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20.3.1 争议评审小组的确定</w:t>
      </w:r>
    </w:p>
    <w:p w14:paraId="258D972F">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争议评审小组成员的确定：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E7EB3FA">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选定争议评审员的期限：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6B0E9FC6">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争议评审小组成员的报酬承担方式：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7E7C6D46">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其他事项的约定：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3027ABE">
      <w:pPr>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20.3.2 争议评审小组的决定</w:t>
      </w:r>
    </w:p>
    <w:p w14:paraId="3C3F1555">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合同当事人关于本项的约定：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92E05C0">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20.4仲裁或诉讼</w:t>
      </w:r>
      <w:bookmarkEnd w:id="590"/>
    </w:p>
    <w:p w14:paraId="2737A195">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因合同及合同有关事项发生的争议，按下列第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种方式解决：</w:t>
      </w:r>
    </w:p>
    <w:p w14:paraId="6D79D2A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仲裁委员会申请仲裁；</w:t>
      </w:r>
    </w:p>
    <w:p w14:paraId="776A6DAB">
      <w:pPr>
        <w:keepNext w:val="0"/>
        <w:keepLines w:val="0"/>
        <w:pageBreakBefore w:val="0"/>
        <w:widowControl w:val="0"/>
        <w:kinsoku/>
        <w:wordWrap/>
        <w:overflowPunct/>
        <w:topLinePunct w:val="0"/>
        <w:bidi w:val="0"/>
        <w:snapToGrid/>
        <w:spacing w:line="480" w:lineRule="exact"/>
        <w:ind w:left="0" w:leftChars="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项目所在地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人民法院起诉。</w:t>
      </w:r>
      <w:bookmarkEnd w:id="591"/>
      <w:bookmarkEnd w:id="592"/>
      <w:bookmarkEnd w:id="593"/>
      <w:bookmarkEnd w:id="594"/>
      <w:bookmarkEnd w:id="595"/>
      <w:bookmarkEnd w:id="596"/>
    </w:p>
    <w:p w14:paraId="3E09BB8D">
      <w:pPr>
        <w:keepNext w:val="0"/>
        <w:keepLines w:val="0"/>
        <w:pageBreakBefore w:val="0"/>
        <w:kinsoku/>
        <w:wordWrap/>
        <w:overflowPunct/>
        <w:topLinePunct w:val="0"/>
        <w:bidi w:val="0"/>
        <w:spacing w:line="500" w:lineRule="exact"/>
        <w:ind w:left="0" w:leftChars="0" w:firstLine="562" w:firstLineChars="200"/>
        <w:jc w:val="left"/>
        <w:textAlignment w:val="auto"/>
        <w:outlineLvl w:val="9"/>
        <w:rPr>
          <w:rFonts w:hint="eastAsia" w:ascii="仿宋" w:hAnsi="仿宋" w:eastAsia="仿宋" w:cs="仿宋"/>
          <w:b/>
          <w:color w:val="000000"/>
          <w:sz w:val="28"/>
          <w:szCs w:val="28"/>
          <w:highlight w:val="none"/>
        </w:rPr>
      </w:pPr>
    </w:p>
    <w:p w14:paraId="70B283C0">
      <w:pPr>
        <w:keepNext w:val="0"/>
        <w:keepLines w:val="0"/>
        <w:pageBreakBefore w:val="0"/>
        <w:kinsoku/>
        <w:wordWrap/>
        <w:overflowPunct/>
        <w:topLinePunct w:val="0"/>
        <w:bidi w:val="0"/>
        <w:spacing w:line="500" w:lineRule="exact"/>
        <w:ind w:left="0" w:leftChars="0" w:firstLine="562" w:firstLineChars="200"/>
        <w:jc w:val="lef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r>
      <w:r>
        <w:rPr>
          <w:rFonts w:hint="eastAsia" w:ascii="仿宋" w:hAnsi="仿宋" w:eastAsia="仿宋" w:cs="仿宋"/>
          <w:b/>
          <w:color w:val="000000"/>
          <w:sz w:val="28"/>
          <w:szCs w:val="28"/>
          <w:highlight w:val="none"/>
        </w:rPr>
        <w:t>附件</w:t>
      </w:r>
    </w:p>
    <w:p w14:paraId="31C3A46A">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协议书附件：</w:t>
      </w:r>
    </w:p>
    <w:p w14:paraId="30E0A520">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附件1：承包人承揽工程项目一览表</w:t>
      </w:r>
    </w:p>
    <w:p w14:paraId="44887990">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p>
    <w:p w14:paraId="46B03144">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专用合同条款附件：</w:t>
      </w:r>
    </w:p>
    <w:p w14:paraId="6F3A010E">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附件2：发包人供应材料设备一览表</w:t>
      </w:r>
    </w:p>
    <w:p w14:paraId="51F5B178">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附件3：工程质量保修书</w:t>
      </w:r>
    </w:p>
    <w:p w14:paraId="5DE91E5D">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附件4：主要建设工程文件目录</w:t>
      </w:r>
    </w:p>
    <w:p w14:paraId="4B0566EE">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附件5：承包人用于本工程施工的机械设备表</w:t>
      </w:r>
    </w:p>
    <w:p w14:paraId="48A7D6C2">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附件6：承包人主要施工管理人员表</w:t>
      </w:r>
    </w:p>
    <w:p w14:paraId="17F7F21D">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附件7：分包人主要施工管理人员表</w:t>
      </w:r>
    </w:p>
    <w:p w14:paraId="2EC6DAD2">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附件8：履约担保格式</w:t>
      </w:r>
    </w:p>
    <w:p w14:paraId="20FDFD7D">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附件9：预付款担保格式</w:t>
      </w:r>
    </w:p>
    <w:p w14:paraId="3ADEC74F">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附件10：支付担保格式</w:t>
      </w:r>
    </w:p>
    <w:p w14:paraId="788F0903">
      <w:pPr>
        <w:keepNext w:val="0"/>
        <w:keepLines w:val="0"/>
        <w:pageBreakBefore w:val="0"/>
        <w:kinsoku/>
        <w:wordWrap/>
        <w:overflowPunct/>
        <w:topLinePunct w:val="0"/>
        <w:bidi w:val="0"/>
        <w:spacing w:line="500" w:lineRule="exact"/>
        <w:ind w:left="0" w:leftChars="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附件11：暂估价一览表</w:t>
      </w:r>
    </w:p>
    <w:p w14:paraId="4AEA7B71">
      <w:pPr>
        <w:keepNext w:val="0"/>
        <w:keepLines w:val="0"/>
        <w:pageBreakBefore w:val="0"/>
        <w:kinsoku/>
        <w:wordWrap/>
        <w:overflowPunct/>
        <w:topLinePunct w:val="0"/>
        <w:bidi w:val="0"/>
        <w:spacing w:line="480" w:lineRule="exact"/>
        <w:textAlignment w:val="auto"/>
        <w:outlineLvl w:val="9"/>
        <w:rPr>
          <w:rFonts w:hint="eastAsia" w:ascii="仿宋" w:hAnsi="仿宋" w:eastAsia="仿宋" w:cs="仿宋"/>
          <w:color w:val="000000"/>
          <w:szCs w:val="21"/>
          <w:highlight w:val="none"/>
        </w:rPr>
      </w:pPr>
    </w:p>
    <w:p w14:paraId="034065FE">
      <w:pPr>
        <w:keepNext w:val="0"/>
        <w:keepLines w:val="0"/>
        <w:pageBreakBefore w:val="0"/>
        <w:kinsoku/>
        <w:wordWrap/>
        <w:overflowPunct/>
        <w:topLinePunct w:val="0"/>
        <w:bidi w:val="0"/>
        <w:spacing w:before="156" w:beforeLines="50" w:after="156" w:afterLines="50" w:line="400" w:lineRule="exact"/>
        <w:jc w:val="left"/>
        <w:outlineLvl w:val="9"/>
        <w:rPr>
          <w:rFonts w:hint="eastAsia" w:ascii="仿宋" w:hAnsi="仿宋" w:eastAsia="仿宋" w:cs="仿宋"/>
          <w:b/>
          <w:color w:val="000000"/>
          <w:sz w:val="28"/>
          <w:szCs w:val="28"/>
          <w:highlight w:val="none"/>
        </w:rPr>
      </w:pPr>
      <w:r>
        <w:rPr>
          <w:rFonts w:hint="eastAsia" w:ascii="仿宋" w:hAnsi="仿宋" w:eastAsia="仿宋" w:cs="仿宋"/>
          <w:color w:val="000000"/>
          <w:szCs w:val="21"/>
          <w:highlight w:val="none"/>
        </w:rPr>
        <w:br w:type="page"/>
      </w:r>
      <w:r>
        <w:rPr>
          <w:rFonts w:hint="eastAsia" w:ascii="仿宋" w:hAnsi="仿宋" w:eastAsia="仿宋" w:cs="仿宋"/>
          <w:color w:val="000000"/>
          <w:sz w:val="28"/>
          <w:szCs w:val="28"/>
          <w:highlight w:val="none"/>
        </w:rPr>
        <w:t xml:space="preserve">附件1：                      </w:t>
      </w:r>
      <w:r>
        <w:rPr>
          <w:rFonts w:hint="eastAsia" w:ascii="仿宋" w:hAnsi="仿宋" w:eastAsia="仿宋" w:cs="仿宋"/>
          <w:b/>
          <w:color w:val="000000"/>
          <w:sz w:val="28"/>
          <w:szCs w:val="28"/>
          <w:highlight w:val="none"/>
        </w:rPr>
        <w:t xml:space="preserve"> </w:t>
      </w:r>
    </w:p>
    <w:p w14:paraId="18C2557A">
      <w:pPr>
        <w:spacing w:before="156" w:beforeLines="50" w:after="156" w:afterLines="50" w:line="48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承包人承揽工程项目一览表</w:t>
      </w:r>
    </w:p>
    <w:tbl>
      <w:tblPr>
        <w:tblStyle w:val="24"/>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6"/>
        <w:gridCol w:w="900"/>
        <w:gridCol w:w="1417"/>
        <w:gridCol w:w="923"/>
        <w:gridCol w:w="850"/>
        <w:gridCol w:w="950"/>
        <w:gridCol w:w="1260"/>
        <w:gridCol w:w="900"/>
        <w:gridCol w:w="851"/>
        <w:gridCol w:w="850"/>
      </w:tblGrid>
      <w:tr w14:paraId="6BD3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66" w:type="dxa"/>
            <w:tcBorders>
              <w:top w:val="single" w:color="auto" w:sz="12" w:space="0"/>
              <w:bottom w:val="double" w:color="auto" w:sz="6" w:space="0"/>
            </w:tcBorders>
            <w:noWrap w:val="0"/>
            <w:vAlign w:val="center"/>
          </w:tcPr>
          <w:p w14:paraId="2D42AB0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单位工程名称</w:t>
            </w:r>
          </w:p>
        </w:tc>
        <w:tc>
          <w:tcPr>
            <w:tcW w:w="900" w:type="dxa"/>
            <w:tcBorders>
              <w:top w:val="single" w:color="auto" w:sz="12" w:space="0"/>
              <w:bottom w:val="double" w:color="auto" w:sz="6" w:space="0"/>
            </w:tcBorders>
            <w:noWrap w:val="0"/>
            <w:vAlign w:val="center"/>
          </w:tcPr>
          <w:p w14:paraId="6166CD3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建设规模</w:t>
            </w:r>
          </w:p>
        </w:tc>
        <w:tc>
          <w:tcPr>
            <w:tcW w:w="1417" w:type="dxa"/>
            <w:tcBorders>
              <w:top w:val="single" w:color="auto" w:sz="12" w:space="0"/>
              <w:bottom w:val="double" w:color="auto" w:sz="6" w:space="0"/>
            </w:tcBorders>
            <w:noWrap w:val="0"/>
            <w:vAlign w:val="center"/>
          </w:tcPr>
          <w:p w14:paraId="5495A01E">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建筑面积(平方米)</w:t>
            </w:r>
          </w:p>
        </w:tc>
        <w:tc>
          <w:tcPr>
            <w:tcW w:w="923" w:type="dxa"/>
            <w:tcBorders>
              <w:top w:val="single" w:color="auto" w:sz="12" w:space="0"/>
              <w:bottom w:val="double" w:color="auto" w:sz="6" w:space="0"/>
            </w:tcBorders>
            <w:noWrap w:val="0"/>
            <w:vAlign w:val="center"/>
          </w:tcPr>
          <w:p w14:paraId="4CE9A9D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结构形式</w:t>
            </w:r>
          </w:p>
        </w:tc>
        <w:tc>
          <w:tcPr>
            <w:tcW w:w="850" w:type="dxa"/>
            <w:tcBorders>
              <w:top w:val="single" w:color="auto" w:sz="12" w:space="0"/>
              <w:bottom w:val="double" w:color="auto" w:sz="6" w:space="0"/>
            </w:tcBorders>
            <w:noWrap w:val="0"/>
            <w:vAlign w:val="center"/>
          </w:tcPr>
          <w:p w14:paraId="5BF8D6E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层数</w:t>
            </w:r>
          </w:p>
        </w:tc>
        <w:tc>
          <w:tcPr>
            <w:tcW w:w="950" w:type="dxa"/>
            <w:tcBorders>
              <w:top w:val="single" w:color="auto" w:sz="12" w:space="0"/>
              <w:bottom w:val="double" w:color="auto" w:sz="6" w:space="0"/>
            </w:tcBorders>
            <w:noWrap w:val="0"/>
            <w:vAlign w:val="center"/>
          </w:tcPr>
          <w:p w14:paraId="2994E740">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生产能力</w:t>
            </w:r>
          </w:p>
        </w:tc>
        <w:tc>
          <w:tcPr>
            <w:tcW w:w="1260" w:type="dxa"/>
            <w:tcBorders>
              <w:top w:val="single" w:color="auto" w:sz="12" w:space="0"/>
              <w:bottom w:val="double" w:color="auto" w:sz="6" w:space="0"/>
            </w:tcBorders>
            <w:noWrap w:val="0"/>
            <w:vAlign w:val="center"/>
          </w:tcPr>
          <w:p w14:paraId="6DCD85C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设备安装内容</w:t>
            </w:r>
          </w:p>
        </w:tc>
        <w:tc>
          <w:tcPr>
            <w:tcW w:w="900" w:type="dxa"/>
            <w:tcBorders>
              <w:top w:val="single" w:color="auto" w:sz="12" w:space="0"/>
              <w:bottom w:val="double" w:color="auto" w:sz="6" w:space="0"/>
            </w:tcBorders>
            <w:noWrap w:val="0"/>
            <w:vAlign w:val="center"/>
          </w:tcPr>
          <w:p w14:paraId="601E6C8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合同价格（元）</w:t>
            </w:r>
          </w:p>
        </w:tc>
        <w:tc>
          <w:tcPr>
            <w:tcW w:w="851" w:type="dxa"/>
            <w:tcBorders>
              <w:top w:val="single" w:color="auto" w:sz="12" w:space="0"/>
              <w:bottom w:val="double" w:color="auto" w:sz="6" w:space="0"/>
            </w:tcBorders>
            <w:noWrap w:val="0"/>
            <w:vAlign w:val="center"/>
          </w:tcPr>
          <w:p w14:paraId="4845D05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开工日期</w:t>
            </w:r>
          </w:p>
        </w:tc>
        <w:tc>
          <w:tcPr>
            <w:tcW w:w="850" w:type="dxa"/>
            <w:tcBorders>
              <w:top w:val="single" w:color="auto" w:sz="12" w:space="0"/>
              <w:bottom w:val="double" w:color="auto" w:sz="6" w:space="0"/>
            </w:tcBorders>
            <w:noWrap w:val="0"/>
            <w:vAlign w:val="center"/>
          </w:tcPr>
          <w:p w14:paraId="45C632C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竣工日期</w:t>
            </w:r>
          </w:p>
        </w:tc>
      </w:tr>
      <w:tr w14:paraId="05C09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double" w:color="auto" w:sz="6" w:space="0"/>
              <w:bottom w:val="single" w:color="auto" w:sz="6" w:space="0"/>
            </w:tcBorders>
            <w:noWrap w:val="0"/>
            <w:vAlign w:val="center"/>
          </w:tcPr>
          <w:p w14:paraId="7A3A435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double" w:color="auto" w:sz="6" w:space="0"/>
              <w:bottom w:val="single" w:color="auto" w:sz="6" w:space="0"/>
            </w:tcBorders>
            <w:noWrap w:val="0"/>
            <w:vAlign w:val="center"/>
          </w:tcPr>
          <w:p w14:paraId="5CE683D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double" w:color="auto" w:sz="6" w:space="0"/>
              <w:bottom w:val="single" w:color="auto" w:sz="6" w:space="0"/>
            </w:tcBorders>
            <w:noWrap w:val="0"/>
            <w:vAlign w:val="center"/>
          </w:tcPr>
          <w:p w14:paraId="3342A3F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double" w:color="auto" w:sz="6" w:space="0"/>
              <w:bottom w:val="single" w:color="auto" w:sz="6" w:space="0"/>
            </w:tcBorders>
            <w:noWrap w:val="0"/>
            <w:vAlign w:val="center"/>
          </w:tcPr>
          <w:p w14:paraId="5B835F1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double" w:color="auto" w:sz="6" w:space="0"/>
              <w:bottom w:val="single" w:color="auto" w:sz="6" w:space="0"/>
            </w:tcBorders>
            <w:noWrap w:val="0"/>
            <w:vAlign w:val="center"/>
          </w:tcPr>
          <w:p w14:paraId="318D3D4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double" w:color="auto" w:sz="6" w:space="0"/>
              <w:bottom w:val="single" w:color="auto" w:sz="6" w:space="0"/>
            </w:tcBorders>
            <w:noWrap w:val="0"/>
            <w:vAlign w:val="center"/>
          </w:tcPr>
          <w:p w14:paraId="51E7AB0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double" w:color="auto" w:sz="6" w:space="0"/>
              <w:bottom w:val="single" w:color="auto" w:sz="6" w:space="0"/>
            </w:tcBorders>
            <w:noWrap w:val="0"/>
            <w:vAlign w:val="center"/>
          </w:tcPr>
          <w:p w14:paraId="7F227E5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double" w:color="auto" w:sz="6" w:space="0"/>
              <w:bottom w:val="single" w:color="auto" w:sz="6" w:space="0"/>
            </w:tcBorders>
            <w:noWrap w:val="0"/>
            <w:vAlign w:val="center"/>
          </w:tcPr>
          <w:p w14:paraId="0B0800F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center"/>
          </w:tcPr>
          <w:p w14:paraId="6D8F1E8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double" w:color="auto" w:sz="6" w:space="0"/>
              <w:bottom w:val="single" w:color="auto" w:sz="6" w:space="0"/>
            </w:tcBorders>
            <w:noWrap w:val="0"/>
            <w:vAlign w:val="center"/>
          </w:tcPr>
          <w:p w14:paraId="0AE85C6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489D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noWrap w:val="0"/>
            <w:vAlign w:val="center"/>
          </w:tcPr>
          <w:p w14:paraId="36BA05C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465C600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nil"/>
            </w:tcBorders>
            <w:noWrap w:val="0"/>
            <w:vAlign w:val="center"/>
          </w:tcPr>
          <w:p w14:paraId="7D2C690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nil"/>
            </w:tcBorders>
            <w:noWrap w:val="0"/>
            <w:vAlign w:val="center"/>
          </w:tcPr>
          <w:p w14:paraId="2653BEB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440497A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nil"/>
            </w:tcBorders>
            <w:noWrap w:val="0"/>
            <w:vAlign w:val="center"/>
          </w:tcPr>
          <w:p w14:paraId="295B390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nil"/>
            </w:tcBorders>
            <w:noWrap w:val="0"/>
            <w:vAlign w:val="center"/>
          </w:tcPr>
          <w:p w14:paraId="75E5D33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308F20D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665FD73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26C067A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EE65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noWrap w:val="0"/>
            <w:vAlign w:val="center"/>
          </w:tcPr>
          <w:p w14:paraId="2AF0D2C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0F0C788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nil"/>
            </w:tcBorders>
            <w:noWrap w:val="0"/>
            <w:vAlign w:val="center"/>
          </w:tcPr>
          <w:p w14:paraId="6D4CA874">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nil"/>
            </w:tcBorders>
            <w:noWrap w:val="0"/>
            <w:vAlign w:val="center"/>
          </w:tcPr>
          <w:p w14:paraId="79DCF12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0935021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nil"/>
            </w:tcBorders>
            <w:noWrap w:val="0"/>
            <w:vAlign w:val="center"/>
          </w:tcPr>
          <w:p w14:paraId="35E3A14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nil"/>
            </w:tcBorders>
            <w:noWrap w:val="0"/>
            <w:vAlign w:val="center"/>
          </w:tcPr>
          <w:p w14:paraId="3FC4C24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0E2EEB9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03C15BE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3EF0917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FD45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noWrap w:val="0"/>
            <w:vAlign w:val="center"/>
          </w:tcPr>
          <w:p w14:paraId="47FFD94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noWrap w:val="0"/>
            <w:vAlign w:val="center"/>
          </w:tcPr>
          <w:p w14:paraId="612BBFB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noWrap w:val="0"/>
            <w:vAlign w:val="center"/>
          </w:tcPr>
          <w:p w14:paraId="5C78DA2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noWrap w:val="0"/>
            <w:vAlign w:val="center"/>
          </w:tcPr>
          <w:p w14:paraId="07208EC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5C55A48E">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noWrap w:val="0"/>
            <w:vAlign w:val="center"/>
          </w:tcPr>
          <w:p w14:paraId="3BE40F2E">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noWrap w:val="0"/>
            <w:vAlign w:val="center"/>
          </w:tcPr>
          <w:p w14:paraId="70BE170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noWrap w:val="0"/>
            <w:vAlign w:val="center"/>
          </w:tcPr>
          <w:p w14:paraId="4B60FAF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72A8FB74">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277B60B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7447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noWrap w:val="0"/>
            <w:vAlign w:val="center"/>
          </w:tcPr>
          <w:p w14:paraId="37EB67A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378A4F6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nil"/>
            </w:tcBorders>
            <w:noWrap w:val="0"/>
            <w:vAlign w:val="center"/>
          </w:tcPr>
          <w:p w14:paraId="71C9AF3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nil"/>
            </w:tcBorders>
            <w:noWrap w:val="0"/>
            <w:vAlign w:val="center"/>
          </w:tcPr>
          <w:p w14:paraId="79727AF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42BD4F8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nil"/>
            </w:tcBorders>
            <w:noWrap w:val="0"/>
            <w:vAlign w:val="center"/>
          </w:tcPr>
          <w:p w14:paraId="70E8806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nil"/>
            </w:tcBorders>
            <w:noWrap w:val="0"/>
            <w:vAlign w:val="center"/>
          </w:tcPr>
          <w:p w14:paraId="6E2776C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0AABAF0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378085C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371EE2A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C2B3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noWrap w:val="0"/>
            <w:vAlign w:val="center"/>
          </w:tcPr>
          <w:p w14:paraId="79070B9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noWrap w:val="0"/>
            <w:vAlign w:val="center"/>
          </w:tcPr>
          <w:p w14:paraId="7C8E735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noWrap w:val="0"/>
            <w:vAlign w:val="center"/>
          </w:tcPr>
          <w:p w14:paraId="37E9967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noWrap w:val="0"/>
            <w:vAlign w:val="center"/>
          </w:tcPr>
          <w:p w14:paraId="655BD71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44B6668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noWrap w:val="0"/>
            <w:vAlign w:val="center"/>
          </w:tcPr>
          <w:p w14:paraId="4507CB1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noWrap w:val="0"/>
            <w:vAlign w:val="center"/>
          </w:tcPr>
          <w:p w14:paraId="4685FF8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noWrap w:val="0"/>
            <w:vAlign w:val="center"/>
          </w:tcPr>
          <w:p w14:paraId="4E391C2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61E5D90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244AC10F">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FBF1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noWrap w:val="0"/>
            <w:vAlign w:val="center"/>
          </w:tcPr>
          <w:p w14:paraId="1771CF60">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4EB4BCE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nil"/>
            </w:tcBorders>
            <w:noWrap w:val="0"/>
            <w:vAlign w:val="center"/>
          </w:tcPr>
          <w:p w14:paraId="17E889C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nil"/>
            </w:tcBorders>
            <w:noWrap w:val="0"/>
            <w:vAlign w:val="center"/>
          </w:tcPr>
          <w:p w14:paraId="02B555B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2A4C6E0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nil"/>
            </w:tcBorders>
            <w:noWrap w:val="0"/>
            <w:vAlign w:val="center"/>
          </w:tcPr>
          <w:p w14:paraId="21F6971E">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nil"/>
            </w:tcBorders>
            <w:noWrap w:val="0"/>
            <w:vAlign w:val="center"/>
          </w:tcPr>
          <w:p w14:paraId="39BB1D7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0FAE049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2ED3218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6225B95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A9701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noWrap w:val="0"/>
            <w:vAlign w:val="center"/>
          </w:tcPr>
          <w:p w14:paraId="02047F8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2AFBF59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nil"/>
            </w:tcBorders>
            <w:noWrap w:val="0"/>
            <w:vAlign w:val="center"/>
          </w:tcPr>
          <w:p w14:paraId="5D0A8CE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nil"/>
            </w:tcBorders>
            <w:noWrap w:val="0"/>
            <w:vAlign w:val="center"/>
          </w:tcPr>
          <w:p w14:paraId="7892AB4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5E61A30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nil"/>
            </w:tcBorders>
            <w:noWrap w:val="0"/>
            <w:vAlign w:val="center"/>
          </w:tcPr>
          <w:p w14:paraId="6E8F21D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nil"/>
            </w:tcBorders>
            <w:noWrap w:val="0"/>
            <w:vAlign w:val="center"/>
          </w:tcPr>
          <w:p w14:paraId="15754154">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nil"/>
            </w:tcBorders>
            <w:noWrap w:val="0"/>
            <w:vAlign w:val="center"/>
          </w:tcPr>
          <w:p w14:paraId="6B951A5E">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1B31A5E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0319455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90D2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bottom w:val="single" w:color="auto" w:sz="6" w:space="0"/>
            </w:tcBorders>
            <w:noWrap w:val="0"/>
            <w:vAlign w:val="center"/>
          </w:tcPr>
          <w:p w14:paraId="310C07F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bottom w:val="single" w:color="auto" w:sz="6" w:space="0"/>
            </w:tcBorders>
            <w:noWrap w:val="0"/>
            <w:vAlign w:val="center"/>
          </w:tcPr>
          <w:p w14:paraId="58B54E44">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bottom w:val="single" w:color="auto" w:sz="6" w:space="0"/>
            </w:tcBorders>
            <w:noWrap w:val="0"/>
            <w:vAlign w:val="center"/>
          </w:tcPr>
          <w:p w14:paraId="2D3F2BA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bottom w:val="single" w:color="auto" w:sz="6" w:space="0"/>
            </w:tcBorders>
            <w:noWrap w:val="0"/>
            <w:vAlign w:val="center"/>
          </w:tcPr>
          <w:p w14:paraId="17D1BEB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bottom w:val="single" w:color="auto" w:sz="6" w:space="0"/>
            </w:tcBorders>
            <w:noWrap w:val="0"/>
            <w:vAlign w:val="center"/>
          </w:tcPr>
          <w:p w14:paraId="6D78229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bottom w:val="single" w:color="auto" w:sz="6" w:space="0"/>
            </w:tcBorders>
            <w:noWrap w:val="0"/>
            <w:vAlign w:val="center"/>
          </w:tcPr>
          <w:p w14:paraId="6AA6BBF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bottom w:val="single" w:color="auto" w:sz="6" w:space="0"/>
            </w:tcBorders>
            <w:noWrap w:val="0"/>
            <w:vAlign w:val="center"/>
          </w:tcPr>
          <w:p w14:paraId="1AFC003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bottom w:val="single" w:color="auto" w:sz="6" w:space="0"/>
            </w:tcBorders>
            <w:noWrap w:val="0"/>
            <w:vAlign w:val="center"/>
          </w:tcPr>
          <w:p w14:paraId="22A51F1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bottom w:val="single" w:color="auto" w:sz="6" w:space="0"/>
            </w:tcBorders>
            <w:noWrap w:val="0"/>
            <w:vAlign w:val="center"/>
          </w:tcPr>
          <w:p w14:paraId="662E9A9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bottom w:val="single" w:color="auto" w:sz="6" w:space="0"/>
            </w:tcBorders>
            <w:noWrap w:val="0"/>
            <w:vAlign w:val="center"/>
          </w:tcPr>
          <w:p w14:paraId="0E902B4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311A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noWrap w:val="0"/>
            <w:vAlign w:val="center"/>
          </w:tcPr>
          <w:p w14:paraId="4C58C72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74FFB4D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single" w:color="auto" w:sz="6" w:space="0"/>
              <w:bottom w:val="single" w:color="auto" w:sz="6" w:space="0"/>
            </w:tcBorders>
            <w:noWrap w:val="0"/>
            <w:vAlign w:val="center"/>
          </w:tcPr>
          <w:p w14:paraId="0BE3D7E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single" w:color="auto" w:sz="6" w:space="0"/>
              <w:bottom w:val="single" w:color="auto" w:sz="6" w:space="0"/>
            </w:tcBorders>
            <w:noWrap w:val="0"/>
            <w:vAlign w:val="center"/>
          </w:tcPr>
          <w:p w14:paraId="44633A7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42655E6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single" w:color="auto" w:sz="6" w:space="0"/>
              <w:bottom w:val="single" w:color="auto" w:sz="6" w:space="0"/>
            </w:tcBorders>
            <w:noWrap w:val="0"/>
            <w:vAlign w:val="center"/>
          </w:tcPr>
          <w:p w14:paraId="14243CE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single" w:color="auto" w:sz="6" w:space="0"/>
              <w:bottom w:val="single" w:color="auto" w:sz="6" w:space="0"/>
            </w:tcBorders>
            <w:noWrap w:val="0"/>
            <w:vAlign w:val="center"/>
          </w:tcPr>
          <w:p w14:paraId="01F896B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44DC4DB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single" w:color="auto" w:sz="6" w:space="0"/>
              <w:bottom w:val="single" w:color="auto" w:sz="6" w:space="0"/>
            </w:tcBorders>
            <w:noWrap w:val="0"/>
            <w:vAlign w:val="center"/>
          </w:tcPr>
          <w:p w14:paraId="609C5FC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5E4F664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95FF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noWrap w:val="0"/>
            <w:vAlign w:val="center"/>
          </w:tcPr>
          <w:p w14:paraId="5E0CD34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07F5289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single" w:color="auto" w:sz="6" w:space="0"/>
              <w:bottom w:val="single" w:color="auto" w:sz="6" w:space="0"/>
            </w:tcBorders>
            <w:noWrap w:val="0"/>
            <w:vAlign w:val="center"/>
          </w:tcPr>
          <w:p w14:paraId="575E7B0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single" w:color="auto" w:sz="6" w:space="0"/>
              <w:bottom w:val="single" w:color="auto" w:sz="6" w:space="0"/>
            </w:tcBorders>
            <w:noWrap w:val="0"/>
            <w:vAlign w:val="center"/>
          </w:tcPr>
          <w:p w14:paraId="1450757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594E5227">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single" w:color="auto" w:sz="6" w:space="0"/>
              <w:bottom w:val="single" w:color="auto" w:sz="6" w:space="0"/>
            </w:tcBorders>
            <w:noWrap w:val="0"/>
            <w:vAlign w:val="center"/>
          </w:tcPr>
          <w:p w14:paraId="333BC7C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single" w:color="auto" w:sz="6" w:space="0"/>
              <w:bottom w:val="single" w:color="auto" w:sz="6" w:space="0"/>
            </w:tcBorders>
            <w:noWrap w:val="0"/>
            <w:vAlign w:val="center"/>
          </w:tcPr>
          <w:p w14:paraId="6E2292E2">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6335AB3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single" w:color="auto" w:sz="6" w:space="0"/>
              <w:bottom w:val="single" w:color="auto" w:sz="6" w:space="0"/>
            </w:tcBorders>
            <w:noWrap w:val="0"/>
            <w:vAlign w:val="center"/>
          </w:tcPr>
          <w:p w14:paraId="1A16683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02190F0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E7BA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noWrap w:val="0"/>
            <w:vAlign w:val="center"/>
          </w:tcPr>
          <w:p w14:paraId="5DA9BB6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41B8722B">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single" w:color="auto" w:sz="6" w:space="0"/>
              <w:bottom w:val="single" w:color="auto" w:sz="6" w:space="0"/>
            </w:tcBorders>
            <w:noWrap w:val="0"/>
            <w:vAlign w:val="center"/>
          </w:tcPr>
          <w:p w14:paraId="139574F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single" w:color="auto" w:sz="6" w:space="0"/>
              <w:bottom w:val="single" w:color="auto" w:sz="6" w:space="0"/>
            </w:tcBorders>
            <w:noWrap w:val="0"/>
            <w:vAlign w:val="center"/>
          </w:tcPr>
          <w:p w14:paraId="784908D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18840DC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single" w:color="auto" w:sz="6" w:space="0"/>
              <w:bottom w:val="single" w:color="auto" w:sz="6" w:space="0"/>
            </w:tcBorders>
            <w:noWrap w:val="0"/>
            <w:vAlign w:val="center"/>
          </w:tcPr>
          <w:p w14:paraId="5990C71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single" w:color="auto" w:sz="6" w:space="0"/>
              <w:bottom w:val="single" w:color="auto" w:sz="6" w:space="0"/>
            </w:tcBorders>
            <w:noWrap w:val="0"/>
            <w:vAlign w:val="center"/>
          </w:tcPr>
          <w:p w14:paraId="6BA4786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725DAA8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single" w:color="auto" w:sz="6" w:space="0"/>
              <w:bottom w:val="single" w:color="auto" w:sz="6" w:space="0"/>
            </w:tcBorders>
            <w:noWrap w:val="0"/>
            <w:vAlign w:val="center"/>
          </w:tcPr>
          <w:p w14:paraId="445D3E56">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789C07A8">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8CE9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noWrap w:val="0"/>
            <w:vAlign w:val="center"/>
          </w:tcPr>
          <w:p w14:paraId="06425E70">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374BB58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single" w:color="auto" w:sz="6" w:space="0"/>
              <w:bottom w:val="single" w:color="auto" w:sz="6" w:space="0"/>
            </w:tcBorders>
            <w:noWrap w:val="0"/>
            <w:vAlign w:val="center"/>
          </w:tcPr>
          <w:p w14:paraId="414C831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single" w:color="auto" w:sz="6" w:space="0"/>
              <w:bottom w:val="single" w:color="auto" w:sz="6" w:space="0"/>
            </w:tcBorders>
            <w:noWrap w:val="0"/>
            <w:vAlign w:val="center"/>
          </w:tcPr>
          <w:p w14:paraId="6F5AD3D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23B9F37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single" w:color="auto" w:sz="6" w:space="0"/>
              <w:bottom w:val="single" w:color="auto" w:sz="6" w:space="0"/>
            </w:tcBorders>
            <w:noWrap w:val="0"/>
            <w:vAlign w:val="center"/>
          </w:tcPr>
          <w:p w14:paraId="5BA0ADE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single" w:color="auto" w:sz="6" w:space="0"/>
              <w:bottom w:val="single" w:color="auto" w:sz="6" w:space="0"/>
            </w:tcBorders>
            <w:noWrap w:val="0"/>
            <w:vAlign w:val="center"/>
          </w:tcPr>
          <w:p w14:paraId="2E3C07A1">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6" w:space="0"/>
            </w:tcBorders>
            <w:noWrap w:val="0"/>
            <w:vAlign w:val="center"/>
          </w:tcPr>
          <w:p w14:paraId="0CFD6DC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single" w:color="auto" w:sz="6" w:space="0"/>
              <w:bottom w:val="single" w:color="auto" w:sz="6" w:space="0"/>
            </w:tcBorders>
            <w:noWrap w:val="0"/>
            <w:vAlign w:val="center"/>
          </w:tcPr>
          <w:p w14:paraId="2250080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6" w:space="0"/>
            </w:tcBorders>
            <w:noWrap w:val="0"/>
            <w:vAlign w:val="center"/>
          </w:tcPr>
          <w:p w14:paraId="4E52991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0022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12" w:space="0"/>
            </w:tcBorders>
            <w:noWrap w:val="0"/>
            <w:vAlign w:val="center"/>
          </w:tcPr>
          <w:p w14:paraId="39D647A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12" w:space="0"/>
            </w:tcBorders>
            <w:noWrap w:val="0"/>
            <w:vAlign w:val="center"/>
          </w:tcPr>
          <w:p w14:paraId="709B500A">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7" w:type="dxa"/>
            <w:tcBorders>
              <w:top w:val="single" w:color="auto" w:sz="6" w:space="0"/>
              <w:bottom w:val="single" w:color="auto" w:sz="12" w:space="0"/>
            </w:tcBorders>
            <w:noWrap w:val="0"/>
            <w:vAlign w:val="center"/>
          </w:tcPr>
          <w:p w14:paraId="0E9F867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3" w:type="dxa"/>
            <w:tcBorders>
              <w:top w:val="single" w:color="auto" w:sz="6" w:space="0"/>
              <w:bottom w:val="single" w:color="auto" w:sz="12" w:space="0"/>
            </w:tcBorders>
            <w:noWrap w:val="0"/>
            <w:vAlign w:val="center"/>
          </w:tcPr>
          <w:p w14:paraId="7AC5D3B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12" w:space="0"/>
            </w:tcBorders>
            <w:noWrap w:val="0"/>
            <w:vAlign w:val="center"/>
          </w:tcPr>
          <w:p w14:paraId="388AD335">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50" w:type="dxa"/>
            <w:tcBorders>
              <w:top w:val="single" w:color="auto" w:sz="6" w:space="0"/>
              <w:bottom w:val="single" w:color="auto" w:sz="12" w:space="0"/>
            </w:tcBorders>
            <w:noWrap w:val="0"/>
            <w:vAlign w:val="center"/>
          </w:tcPr>
          <w:p w14:paraId="3BA6D0B0">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60" w:type="dxa"/>
            <w:tcBorders>
              <w:top w:val="single" w:color="auto" w:sz="6" w:space="0"/>
              <w:bottom w:val="single" w:color="auto" w:sz="12" w:space="0"/>
            </w:tcBorders>
            <w:noWrap w:val="0"/>
            <w:vAlign w:val="center"/>
          </w:tcPr>
          <w:p w14:paraId="0E1176CD">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00" w:type="dxa"/>
            <w:tcBorders>
              <w:top w:val="single" w:color="auto" w:sz="6" w:space="0"/>
              <w:bottom w:val="single" w:color="auto" w:sz="12" w:space="0"/>
            </w:tcBorders>
            <w:noWrap w:val="0"/>
            <w:vAlign w:val="center"/>
          </w:tcPr>
          <w:p w14:paraId="6328A8BC">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single" w:color="auto" w:sz="6" w:space="0"/>
              <w:bottom w:val="single" w:color="auto" w:sz="12" w:space="0"/>
            </w:tcBorders>
            <w:noWrap w:val="0"/>
            <w:vAlign w:val="center"/>
          </w:tcPr>
          <w:p w14:paraId="0F672909">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single" w:color="auto" w:sz="6" w:space="0"/>
              <w:bottom w:val="single" w:color="auto" w:sz="12" w:space="0"/>
            </w:tcBorders>
            <w:noWrap w:val="0"/>
            <w:vAlign w:val="center"/>
          </w:tcPr>
          <w:p w14:paraId="269D27B3">
            <w:pPr>
              <w:keepNext/>
              <w:adjustRightInd w:val="0"/>
              <w:spacing w:after="0" w:afterLines="0" w:line="48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6689AAB7">
      <w:pPr>
        <w:spacing w:after="200" w:afterLines="0" w:line="480" w:lineRule="exact"/>
        <w:outlineLvl w:val="9"/>
        <w:rPr>
          <w:rFonts w:hint="eastAsia" w:ascii="仿宋" w:hAnsi="仿宋" w:eastAsia="仿宋" w:cs="仿宋"/>
          <w:color w:val="000000"/>
          <w:sz w:val="24"/>
          <w:szCs w:val="24"/>
          <w:highlight w:val="none"/>
        </w:rPr>
      </w:pPr>
    </w:p>
    <w:p w14:paraId="1696B88B">
      <w:pPr>
        <w:spacing w:after="200" w:afterLines="0"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8"/>
          <w:szCs w:val="28"/>
          <w:highlight w:val="none"/>
        </w:rPr>
        <w:t>附</w:t>
      </w:r>
      <w:bookmarkStart w:id="603" w:name="_Toc296891265"/>
      <w:bookmarkStart w:id="604" w:name="_Toc296346726"/>
      <w:bookmarkStart w:id="605" w:name="_Toc296944564"/>
      <w:bookmarkStart w:id="606" w:name="_Toc267261692"/>
      <w:bookmarkStart w:id="607" w:name="_Toc296891053"/>
      <w:bookmarkStart w:id="608" w:name="_Toc296347224"/>
      <w:bookmarkStart w:id="609" w:name="_Toc296503225"/>
      <w:r>
        <w:rPr>
          <w:rFonts w:hint="eastAsia" w:ascii="仿宋" w:hAnsi="仿宋" w:eastAsia="仿宋" w:cs="仿宋"/>
          <w:color w:val="000000"/>
          <w:sz w:val="28"/>
          <w:szCs w:val="28"/>
          <w:highlight w:val="none"/>
        </w:rPr>
        <w:t>件2：</w:t>
      </w:r>
    </w:p>
    <w:bookmarkEnd w:id="603"/>
    <w:bookmarkEnd w:id="604"/>
    <w:bookmarkEnd w:id="605"/>
    <w:bookmarkEnd w:id="606"/>
    <w:bookmarkEnd w:id="607"/>
    <w:bookmarkEnd w:id="608"/>
    <w:bookmarkEnd w:id="609"/>
    <w:p w14:paraId="00D738E0">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发包人供应材料设备一览表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36"/>
        <w:gridCol w:w="1491"/>
        <w:gridCol w:w="1418"/>
        <w:gridCol w:w="940"/>
        <w:gridCol w:w="851"/>
        <w:gridCol w:w="1044"/>
        <w:gridCol w:w="992"/>
        <w:gridCol w:w="851"/>
        <w:gridCol w:w="1487"/>
        <w:gridCol w:w="563"/>
      </w:tblGrid>
      <w:tr w14:paraId="28183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636" w:type="dxa"/>
            <w:tcBorders>
              <w:top w:val="single" w:color="auto" w:sz="12" w:space="0"/>
              <w:bottom w:val="double" w:color="auto" w:sz="6" w:space="0"/>
            </w:tcBorders>
            <w:noWrap w:val="0"/>
            <w:vAlign w:val="center"/>
          </w:tcPr>
          <w:p w14:paraId="409A94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序号</w:t>
            </w:r>
          </w:p>
        </w:tc>
        <w:tc>
          <w:tcPr>
            <w:tcW w:w="1491" w:type="dxa"/>
            <w:tcBorders>
              <w:top w:val="single" w:color="auto" w:sz="12" w:space="0"/>
              <w:bottom w:val="double" w:color="auto" w:sz="6" w:space="0"/>
            </w:tcBorders>
            <w:noWrap w:val="0"/>
            <w:vAlign w:val="center"/>
          </w:tcPr>
          <w:p w14:paraId="0BA230C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材料、</w:t>
            </w:r>
          </w:p>
          <w:p w14:paraId="38481E5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设备品种</w:t>
            </w:r>
          </w:p>
        </w:tc>
        <w:tc>
          <w:tcPr>
            <w:tcW w:w="1418" w:type="dxa"/>
            <w:tcBorders>
              <w:top w:val="single" w:color="auto" w:sz="12" w:space="0"/>
              <w:bottom w:val="double" w:color="auto" w:sz="6" w:space="0"/>
            </w:tcBorders>
            <w:noWrap w:val="0"/>
            <w:vAlign w:val="center"/>
          </w:tcPr>
          <w:p w14:paraId="799CC7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规格型号</w:t>
            </w:r>
          </w:p>
        </w:tc>
        <w:tc>
          <w:tcPr>
            <w:tcW w:w="940" w:type="dxa"/>
            <w:tcBorders>
              <w:top w:val="single" w:color="auto" w:sz="12" w:space="0"/>
              <w:bottom w:val="double" w:color="auto" w:sz="6" w:space="0"/>
            </w:tcBorders>
            <w:noWrap w:val="0"/>
            <w:vAlign w:val="center"/>
          </w:tcPr>
          <w:p w14:paraId="54AE96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单位</w:t>
            </w:r>
          </w:p>
        </w:tc>
        <w:tc>
          <w:tcPr>
            <w:tcW w:w="851" w:type="dxa"/>
            <w:tcBorders>
              <w:top w:val="single" w:color="auto" w:sz="12" w:space="0"/>
              <w:bottom w:val="double" w:color="auto" w:sz="6" w:space="0"/>
            </w:tcBorders>
            <w:noWrap w:val="0"/>
            <w:vAlign w:val="center"/>
          </w:tcPr>
          <w:p w14:paraId="2693E7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数量</w:t>
            </w:r>
          </w:p>
        </w:tc>
        <w:tc>
          <w:tcPr>
            <w:tcW w:w="1044" w:type="dxa"/>
            <w:tcBorders>
              <w:top w:val="single" w:color="auto" w:sz="12" w:space="0"/>
              <w:bottom w:val="double" w:color="auto" w:sz="6" w:space="0"/>
            </w:tcBorders>
            <w:noWrap w:val="0"/>
            <w:vAlign w:val="center"/>
          </w:tcPr>
          <w:p w14:paraId="1520F9C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单价（元）</w:t>
            </w:r>
          </w:p>
        </w:tc>
        <w:tc>
          <w:tcPr>
            <w:tcW w:w="992" w:type="dxa"/>
            <w:tcBorders>
              <w:top w:val="single" w:color="auto" w:sz="12" w:space="0"/>
              <w:bottom w:val="double" w:color="auto" w:sz="6" w:space="0"/>
            </w:tcBorders>
            <w:noWrap w:val="0"/>
            <w:vAlign w:val="center"/>
          </w:tcPr>
          <w:p w14:paraId="4A86907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质量等级</w:t>
            </w:r>
          </w:p>
        </w:tc>
        <w:tc>
          <w:tcPr>
            <w:tcW w:w="851" w:type="dxa"/>
            <w:tcBorders>
              <w:top w:val="single" w:color="auto" w:sz="12" w:space="0"/>
              <w:bottom w:val="double" w:color="auto" w:sz="6" w:space="0"/>
            </w:tcBorders>
            <w:noWrap w:val="0"/>
            <w:vAlign w:val="center"/>
          </w:tcPr>
          <w:p w14:paraId="65DC63D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供应时间</w:t>
            </w:r>
          </w:p>
        </w:tc>
        <w:tc>
          <w:tcPr>
            <w:tcW w:w="1487" w:type="dxa"/>
            <w:tcBorders>
              <w:top w:val="single" w:color="auto" w:sz="12" w:space="0"/>
              <w:bottom w:val="double" w:color="auto" w:sz="6" w:space="0"/>
            </w:tcBorders>
            <w:noWrap w:val="0"/>
            <w:vAlign w:val="center"/>
          </w:tcPr>
          <w:p w14:paraId="531B61C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送达地点</w:t>
            </w:r>
          </w:p>
        </w:tc>
        <w:tc>
          <w:tcPr>
            <w:tcW w:w="563" w:type="dxa"/>
            <w:tcBorders>
              <w:top w:val="single" w:color="auto" w:sz="12" w:space="0"/>
              <w:bottom w:val="double" w:color="auto" w:sz="6" w:space="0"/>
            </w:tcBorders>
            <w:noWrap w:val="0"/>
            <w:vAlign w:val="center"/>
          </w:tcPr>
          <w:p w14:paraId="2B071B1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spacing w:val="-10"/>
                <w:kern w:val="0"/>
                <w:sz w:val="24"/>
                <w:szCs w:val="24"/>
                <w:highlight w:val="none"/>
              </w:rPr>
            </w:pPr>
            <w:r>
              <w:rPr>
                <w:rFonts w:hint="eastAsia" w:ascii="仿宋" w:hAnsi="仿宋" w:eastAsia="仿宋" w:cs="仿宋"/>
                <w:color w:val="000000"/>
                <w:spacing w:val="-10"/>
                <w:kern w:val="0"/>
                <w:sz w:val="24"/>
                <w:szCs w:val="24"/>
                <w:highlight w:val="none"/>
              </w:rPr>
              <w:t>备注</w:t>
            </w:r>
          </w:p>
        </w:tc>
      </w:tr>
      <w:tr w14:paraId="64763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tcBorders>
              <w:top w:val="double" w:color="auto" w:sz="6" w:space="0"/>
              <w:bottom w:val="single" w:color="auto" w:sz="6" w:space="0"/>
            </w:tcBorders>
            <w:noWrap w:val="0"/>
            <w:vAlign w:val="center"/>
          </w:tcPr>
          <w:p w14:paraId="70312F5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tcBorders>
              <w:top w:val="double" w:color="auto" w:sz="6" w:space="0"/>
              <w:bottom w:val="single" w:color="auto" w:sz="6" w:space="0"/>
            </w:tcBorders>
            <w:noWrap w:val="0"/>
            <w:vAlign w:val="center"/>
          </w:tcPr>
          <w:p w14:paraId="7BEC80B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double" w:color="auto" w:sz="6" w:space="0"/>
              <w:bottom w:val="single" w:color="auto" w:sz="6" w:space="0"/>
            </w:tcBorders>
            <w:noWrap w:val="0"/>
            <w:vAlign w:val="center"/>
          </w:tcPr>
          <w:p w14:paraId="5026962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tcBorders>
              <w:top w:val="double" w:color="auto" w:sz="6" w:space="0"/>
              <w:bottom w:val="single" w:color="auto" w:sz="6" w:space="0"/>
            </w:tcBorders>
            <w:noWrap w:val="0"/>
            <w:vAlign w:val="center"/>
          </w:tcPr>
          <w:p w14:paraId="20C973B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center"/>
          </w:tcPr>
          <w:p w14:paraId="55AE45B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tcBorders>
              <w:top w:val="double" w:color="auto" w:sz="6" w:space="0"/>
              <w:bottom w:val="single" w:color="auto" w:sz="6" w:space="0"/>
            </w:tcBorders>
            <w:noWrap w:val="0"/>
            <w:vAlign w:val="center"/>
          </w:tcPr>
          <w:p w14:paraId="7C5F58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tcBorders>
              <w:top w:val="double" w:color="auto" w:sz="6" w:space="0"/>
              <w:bottom w:val="single" w:color="auto" w:sz="6" w:space="0"/>
            </w:tcBorders>
            <w:noWrap w:val="0"/>
            <w:vAlign w:val="center"/>
          </w:tcPr>
          <w:p w14:paraId="10EFCB4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center"/>
          </w:tcPr>
          <w:p w14:paraId="3E78FA1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tcBorders>
              <w:top w:val="double" w:color="auto" w:sz="6" w:space="0"/>
              <w:bottom w:val="single" w:color="auto" w:sz="6" w:space="0"/>
            </w:tcBorders>
            <w:noWrap w:val="0"/>
            <w:vAlign w:val="center"/>
          </w:tcPr>
          <w:p w14:paraId="5AD1603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tcBorders>
              <w:top w:val="double" w:color="auto" w:sz="6" w:space="0"/>
              <w:bottom w:val="single" w:color="auto" w:sz="6" w:space="0"/>
            </w:tcBorders>
            <w:noWrap w:val="0"/>
            <w:vAlign w:val="center"/>
          </w:tcPr>
          <w:p w14:paraId="53DD12A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2F9AD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tcBorders>
              <w:top w:val="nil"/>
            </w:tcBorders>
            <w:noWrap w:val="0"/>
            <w:vAlign w:val="center"/>
          </w:tcPr>
          <w:p w14:paraId="361136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tcBorders>
              <w:top w:val="nil"/>
            </w:tcBorders>
            <w:noWrap w:val="0"/>
            <w:vAlign w:val="center"/>
          </w:tcPr>
          <w:p w14:paraId="3ECDAD6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nil"/>
            </w:tcBorders>
            <w:noWrap w:val="0"/>
            <w:vAlign w:val="center"/>
          </w:tcPr>
          <w:p w14:paraId="0EE367C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tcBorders>
              <w:top w:val="nil"/>
            </w:tcBorders>
            <w:noWrap w:val="0"/>
            <w:vAlign w:val="center"/>
          </w:tcPr>
          <w:p w14:paraId="70B8F1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43BA376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tcBorders>
              <w:top w:val="nil"/>
            </w:tcBorders>
            <w:noWrap w:val="0"/>
            <w:vAlign w:val="center"/>
          </w:tcPr>
          <w:p w14:paraId="0D047C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tcBorders>
              <w:top w:val="nil"/>
            </w:tcBorders>
            <w:noWrap w:val="0"/>
            <w:vAlign w:val="center"/>
          </w:tcPr>
          <w:p w14:paraId="731893E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center"/>
          </w:tcPr>
          <w:p w14:paraId="4971EE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tcBorders>
              <w:top w:val="nil"/>
            </w:tcBorders>
            <w:noWrap w:val="0"/>
            <w:vAlign w:val="center"/>
          </w:tcPr>
          <w:p w14:paraId="2C4BFB1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tcBorders>
              <w:top w:val="nil"/>
            </w:tcBorders>
            <w:noWrap w:val="0"/>
            <w:vAlign w:val="center"/>
          </w:tcPr>
          <w:p w14:paraId="18C9386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940D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559314A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12A34B1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3026980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4EAB08A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4CF4C1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6709523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17AC4CE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3B5EFF6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2FC829C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699C2A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5DAB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3F47A71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7C2EA45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69C911F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13773E9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22E8AD9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614B5B6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43F8ECB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5B6784E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55B867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7A5EF4D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DDBB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2586F0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7498929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6E865D3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4975551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5EECD5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09811B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0619742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4DBC90A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21726B6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028EEDC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CA2E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3923133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5E696AD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4AE4463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33DD5C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41AACFE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18DB995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329F4F7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2F2B39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403D447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4E9A34B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6774E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6DFBE6E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7E3E6AD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1713CD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326103F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60687D3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167D1D8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5BFFF6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0D748B3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61B97F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2FB7853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6EE7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2F5FD30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6A06081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071E4E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4FB4BD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71BA5A8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10B4017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7AD94F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372D0C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415606C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2E65C6E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CA4E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5054E9FD">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5E6DCB19">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20D54250">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2E90C535">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1CB869A6">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7C13C417">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5B027A92">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28F78205">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38F40176">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36CE7CCD">
            <w:pPr>
              <w:spacing w:after="200" w:afterLines="0" w:line="276" w:lineRule="auto"/>
              <w:jc w:val="center"/>
              <w:outlineLvl w:val="9"/>
              <w:rPr>
                <w:rFonts w:hint="eastAsia" w:ascii="仿宋" w:hAnsi="仿宋" w:eastAsia="仿宋" w:cs="仿宋"/>
                <w:color w:val="000000"/>
                <w:sz w:val="24"/>
                <w:szCs w:val="24"/>
                <w:highlight w:val="none"/>
              </w:rPr>
            </w:pPr>
          </w:p>
        </w:tc>
      </w:tr>
      <w:tr w14:paraId="114A3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01F7B36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91" w:type="dxa"/>
            <w:noWrap w:val="0"/>
            <w:vAlign w:val="center"/>
          </w:tcPr>
          <w:p w14:paraId="1CFF594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31E8C60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40" w:type="dxa"/>
            <w:noWrap w:val="0"/>
            <w:vAlign w:val="center"/>
          </w:tcPr>
          <w:p w14:paraId="419AE8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05A7CE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44" w:type="dxa"/>
            <w:noWrap w:val="0"/>
            <w:vAlign w:val="center"/>
          </w:tcPr>
          <w:p w14:paraId="5A9460C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92" w:type="dxa"/>
            <w:noWrap w:val="0"/>
            <w:vAlign w:val="center"/>
          </w:tcPr>
          <w:p w14:paraId="27CFE9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center"/>
          </w:tcPr>
          <w:p w14:paraId="34BAA6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7" w:type="dxa"/>
            <w:noWrap w:val="0"/>
            <w:vAlign w:val="center"/>
          </w:tcPr>
          <w:p w14:paraId="646D826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563" w:type="dxa"/>
            <w:noWrap w:val="0"/>
            <w:vAlign w:val="center"/>
          </w:tcPr>
          <w:p w14:paraId="26DEDCE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08D8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5E3D1342">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22A10A00">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6ECF6111">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4B89FED0">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75525CFD">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176DF7B4">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1F3B1B62">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4A8C764F">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672C3549">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053657B5">
            <w:pPr>
              <w:spacing w:after="200" w:afterLines="0" w:line="276" w:lineRule="auto"/>
              <w:jc w:val="center"/>
              <w:outlineLvl w:val="9"/>
              <w:rPr>
                <w:rFonts w:hint="eastAsia" w:ascii="仿宋" w:hAnsi="仿宋" w:eastAsia="仿宋" w:cs="仿宋"/>
                <w:color w:val="000000"/>
                <w:sz w:val="24"/>
                <w:szCs w:val="24"/>
                <w:highlight w:val="none"/>
              </w:rPr>
            </w:pPr>
          </w:p>
        </w:tc>
      </w:tr>
      <w:tr w14:paraId="5D72D3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0ECD2FFB">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756D3795">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20C3A30A">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645F484D">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570B1C1E">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1FF0A302">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55280428">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32F52064">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10D31A12">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0C0B5E50">
            <w:pPr>
              <w:spacing w:after="200" w:afterLines="0" w:line="276" w:lineRule="auto"/>
              <w:jc w:val="center"/>
              <w:outlineLvl w:val="9"/>
              <w:rPr>
                <w:rFonts w:hint="eastAsia" w:ascii="仿宋" w:hAnsi="仿宋" w:eastAsia="仿宋" w:cs="仿宋"/>
                <w:color w:val="000000"/>
                <w:sz w:val="24"/>
                <w:szCs w:val="24"/>
                <w:highlight w:val="none"/>
              </w:rPr>
            </w:pPr>
          </w:p>
        </w:tc>
      </w:tr>
      <w:tr w14:paraId="38B4E7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4925BD5C">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5BF32CD6">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3E29083F">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2C1729B6">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2773F914">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4E8D2F64">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19F423AC">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5B797783">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01280F31">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0C7B5EB4">
            <w:pPr>
              <w:spacing w:after="200" w:afterLines="0" w:line="276" w:lineRule="auto"/>
              <w:jc w:val="center"/>
              <w:outlineLvl w:val="9"/>
              <w:rPr>
                <w:rFonts w:hint="eastAsia" w:ascii="仿宋" w:hAnsi="仿宋" w:eastAsia="仿宋" w:cs="仿宋"/>
                <w:color w:val="000000"/>
                <w:sz w:val="24"/>
                <w:szCs w:val="24"/>
                <w:highlight w:val="none"/>
              </w:rPr>
            </w:pPr>
          </w:p>
        </w:tc>
      </w:tr>
      <w:tr w14:paraId="494DA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24C2E4EA">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4C8735A2">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605C9498">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3E804582">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3F6D53F4">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74A9BB4F">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31F8EB5B">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40ACA11B">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03BD079D">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6C160EBD">
            <w:pPr>
              <w:spacing w:after="200" w:afterLines="0" w:line="276" w:lineRule="auto"/>
              <w:jc w:val="center"/>
              <w:outlineLvl w:val="9"/>
              <w:rPr>
                <w:rFonts w:hint="eastAsia" w:ascii="仿宋" w:hAnsi="仿宋" w:eastAsia="仿宋" w:cs="仿宋"/>
                <w:color w:val="000000"/>
                <w:sz w:val="24"/>
                <w:szCs w:val="24"/>
                <w:highlight w:val="none"/>
              </w:rPr>
            </w:pPr>
          </w:p>
        </w:tc>
      </w:tr>
      <w:tr w14:paraId="303C8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303EAEB8">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5E14E83A">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41EEABF8">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7FF7CB48">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13F6E01A">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603FF20E">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6DF9B1E1">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1227F7E3">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5077F1F1">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363A1873">
            <w:pPr>
              <w:spacing w:after="200" w:afterLines="0" w:line="276" w:lineRule="auto"/>
              <w:jc w:val="center"/>
              <w:outlineLvl w:val="9"/>
              <w:rPr>
                <w:rFonts w:hint="eastAsia" w:ascii="仿宋" w:hAnsi="仿宋" w:eastAsia="仿宋" w:cs="仿宋"/>
                <w:color w:val="000000"/>
                <w:sz w:val="24"/>
                <w:szCs w:val="24"/>
                <w:highlight w:val="none"/>
              </w:rPr>
            </w:pPr>
          </w:p>
        </w:tc>
      </w:tr>
      <w:tr w14:paraId="75544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36" w:type="dxa"/>
            <w:noWrap w:val="0"/>
            <w:vAlign w:val="center"/>
          </w:tcPr>
          <w:p w14:paraId="24CC357C">
            <w:pPr>
              <w:spacing w:after="200" w:afterLines="0" w:line="276" w:lineRule="auto"/>
              <w:jc w:val="center"/>
              <w:outlineLvl w:val="9"/>
              <w:rPr>
                <w:rFonts w:hint="eastAsia" w:ascii="仿宋" w:hAnsi="仿宋" w:eastAsia="仿宋" w:cs="仿宋"/>
                <w:color w:val="000000"/>
                <w:sz w:val="24"/>
                <w:szCs w:val="24"/>
                <w:highlight w:val="none"/>
              </w:rPr>
            </w:pPr>
          </w:p>
        </w:tc>
        <w:tc>
          <w:tcPr>
            <w:tcW w:w="1491" w:type="dxa"/>
            <w:noWrap w:val="0"/>
            <w:vAlign w:val="center"/>
          </w:tcPr>
          <w:p w14:paraId="73D977F6">
            <w:pPr>
              <w:spacing w:after="200" w:afterLines="0" w:line="276" w:lineRule="auto"/>
              <w:jc w:val="center"/>
              <w:outlineLvl w:val="9"/>
              <w:rPr>
                <w:rFonts w:hint="eastAsia" w:ascii="仿宋" w:hAnsi="仿宋" w:eastAsia="仿宋" w:cs="仿宋"/>
                <w:color w:val="000000"/>
                <w:sz w:val="24"/>
                <w:szCs w:val="24"/>
                <w:highlight w:val="none"/>
              </w:rPr>
            </w:pPr>
          </w:p>
        </w:tc>
        <w:tc>
          <w:tcPr>
            <w:tcW w:w="1418" w:type="dxa"/>
            <w:noWrap w:val="0"/>
            <w:vAlign w:val="center"/>
          </w:tcPr>
          <w:p w14:paraId="734866D2">
            <w:pPr>
              <w:spacing w:after="200" w:afterLines="0" w:line="276" w:lineRule="auto"/>
              <w:jc w:val="center"/>
              <w:outlineLvl w:val="9"/>
              <w:rPr>
                <w:rFonts w:hint="eastAsia" w:ascii="仿宋" w:hAnsi="仿宋" w:eastAsia="仿宋" w:cs="仿宋"/>
                <w:color w:val="000000"/>
                <w:sz w:val="24"/>
                <w:szCs w:val="24"/>
                <w:highlight w:val="none"/>
              </w:rPr>
            </w:pPr>
          </w:p>
        </w:tc>
        <w:tc>
          <w:tcPr>
            <w:tcW w:w="940" w:type="dxa"/>
            <w:noWrap w:val="0"/>
            <w:vAlign w:val="center"/>
          </w:tcPr>
          <w:p w14:paraId="7BAB4136">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3A34843F">
            <w:pPr>
              <w:spacing w:after="200" w:afterLines="0" w:line="276" w:lineRule="auto"/>
              <w:jc w:val="center"/>
              <w:outlineLvl w:val="9"/>
              <w:rPr>
                <w:rFonts w:hint="eastAsia" w:ascii="仿宋" w:hAnsi="仿宋" w:eastAsia="仿宋" w:cs="仿宋"/>
                <w:color w:val="000000"/>
                <w:sz w:val="24"/>
                <w:szCs w:val="24"/>
                <w:highlight w:val="none"/>
              </w:rPr>
            </w:pPr>
          </w:p>
        </w:tc>
        <w:tc>
          <w:tcPr>
            <w:tcW w:w="1044" w:type="dxa"/>
            <w:noWrap w:val="0"/>
            <w:vAlign w:val="center"/>
          </w:tcPr>
          <w:p w14:paraId="114305D2">
            <w:pPr>
              <w:spacing w:after="200" w:afterLines="0" w:line="276" w:lineRule="auto"/>
              <w:jc w:val="center"/>
              <w:outlineLvl w:val="9"/>
              <w:rPr>
                <w:rFonts w:hint="eastAsia" w:ascii="仿宋" w:hAnsi="仿宋" w:eastAsia="仿宋" w:cs="仿宋"/>
                <w:color w:val="000000"/>
                <w:sz w:val="24"/>
                <w:szCs w:val="24"/>
                <w:highlight w:val="none"/>
              </w:rPr>
            </w:pPr>
          </w:p>
        </w:tc>
        <w:tc>
          <w:tcPr>
            <w:tcW w:w="992" w:type="dxa"/>
            <w:noWrap w:val="0"/>
            <w:vAlign w:val="center"/>
          </w:tcPr>
          <w:p w14:paraId="50C9AC23">
            <w:pPr>
              <w:spacing w:after="200" w:afterLines="0" w:line="276" w:lineRule="auto"/>
              <w:jc w:val="center"/>
              <w:outlineLvl w:val="9"/>
              <w:rPr>
                <w:rFonts w:hint="eastAsia" w:ascii="仿宋" w:hAnsi="仿宋" w:eastAsia="仿宋" w:cs="仿宋"/>
                <w:color w:val="000000"/>
                <w:sz w:val="24"/>
                <w:szCs w:val="24"/>
                <w:highlight w:val="none"/>
              </w:rPr>
            </w:pPr>
          </w:p>
        </w:tc>
        <w:tc>
          <w:tcPr>
            <w:tcW w:w="851" w:type="dxa"/>
            <w:noWrap w:val="0"/>
            <w:vAlign w:val="center"/>
          </w:tcPr>
          <w:p w14:paraId="0D45F0E0">
            <w:pPr>
              <w:spacing w:after="200" w:afterLines="0" w:line="276" w:lineRule="auto"/>
              <w:jc w:val="center"/>
              <w:outlineLvl w:val="9"/>
              <w:rPr>
                <w:rFonts w:hint="eastAsia" w:ascii="仿宋" w:hAnsi="仿宋" w:eastAsia="仿宋" w:cs="仿宋"/>
                <w:color w:val="000000"/>
                <w:sz w:val="24"/>
                <w:szCs w:val="24"/>
                <w:highlight w:val="none"/>
              </w:rPr>
            </w:pPr>
          </w:p>
        </w:tc>
        <w:tc>
          <w:tcPr>
            <w:tcW w:w="1487" w:type="dxa"/>
            <w:noWrap w:val="0"/>
            <w:vAlign w:val="center"/>
          </w:tcPr>
          <w:p w14:paraId="482F4B7B">
            <w:pPr>
              <w:spacing w:after="200" w:afterLines="0" w:line="276" w:lineRule="auto"/>
              <w:jc w:val="center"/>
              <w:outlineLvl w:val="9"/>
              <w:rPr>
                <w:rFonts w:hint="eastAsia" w:ascii="仿宋" w:hAnsi="仿宋" w:eastAsia="仿宋" w:cs="仿宋"/>
                <w:color w:val="000000"/>
                <w:sz w:val="24"/>
                <w:szCs w:val="24"/>
                <w:highlight w:val="none"/>
              </w:rPr>
            </w:pPr>
          </w:p>
        </w:tc>
        <w:tc>
          <w:tcPr>
            <w:tcW w:w="563" w:type="dxa"/>
            <w:noWrap w:val="0"/>
            <w:vAlign w:val="center"/>
          </w:tcPr>
          <w:p w14:paraId="3F09818E">
            <w:pPr>
              <w:spacing w:after="200" w:afterLines="0" w:line="276" w:lineRule="auto"/>
              <w:jc w:val="center"/>
              <w:outlineLvl w:val="9"/>
              <w:rPr>
                <w:rFonts w:hint="eastAsia" w:ascii="仿宋" w:hAnsi="仿宋" w:eastAsia="仿宋" w:cs="仿宋"/>
                <w:color w:val="000000"/>
                <w:sz w:val="24"/>
                <w:szCs w:val="24"/>
                <w:highlight w:val="none"/>
              </w:rPr>
            </w:pPr>
          </w:p>
        </w:tc>
      </w:tr>
    </w:tbl>
    <w:p w14:paraId="388FC7BC">
      <w:pPr>
        <w:spacing w:after="200" w:afterLines="0" w:line="440" w:lineRule="exact"/>
        <w:outlineLvl w:val="9"/>
        <w:rPr>
          <w:rFonts w:hint="eastAsia" w:ascii="仿宋" w:hAnsi="仿宋" w:eastAsia="仿宋" w:cs="仿宋"/>
          <w:color w:val="000000"/>
          <w:sz w:val="24"/>
          <w:szCs w:val="24"/>
          <w:highlight w:val="none"/>
        </w:rPr>
      </w:pPr>
    </w:p>
    <w:p w14:paraId="311BB541">
      <w:pPr>
        <w:spacing w:after="200" w:afterLines="0" w:line="440" w:lineRule="exact"/>
        <w:outlineLvl w:val="9"/>
        <w:rPr>
          <w:rFonts w:hint="eastAsia" w:ascii="仿宋" w:hAnsi="仿宋" w:eastAsia="仿宋" w:cs="仿宋"/>
          <w:color w:val="000000"/>
          <w:sz w:val="24"/>
          <w:szCs w:val="24"/>
          <w:highlight w:val="none"/>
        </w:rPr>
      </w:pPr>
    </w:p>
    <w:p w14:paraId="713EF96E">
      <w:pPr>
        <w:spacing w:after="200" w:afterLines="0" w:line="440" w:lineRule="exact"/>
        <w:outlineLvl w:val="9"/>
        <w:rPr>
          <w:rFonts w:hint="eastAsia" w:ascii="仿宋" w:hAnsi="仿宋" w:eastAsia="仿宋" w:cs="仿宋"/>
          <w:color w:val="000000"/>
          <w:sz w:val="24"/>
          <w:szCs w:val="24"/>
          <w:highlight w:val="none"/>
        </w:rPr>
      </w:pPr>
    </w:p>
    <w:p w14:paraId="5A2466F6">
      <w:pPr>
        <w:pStyle w:val="8"/>
        <w:outlineLvl w:val="9"/>
        <w:rPr>
          <w:rFonts w:hint="eastAsia" w:ascii="仿宋" w:hAnsi="仿宋" w:eastAsia="仿宋" w:cs="仿宋"/>
          <w:color w:val="000000"/>
          <w:highlight w:val="none"/>
        </w:rPr>
      </w:pPr>
    </w:p>
    <w:p w14:paraId="04370EA8">
      <w:pPr>
        <w:spacing w:after="200" w:afterLines="0"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w:t>
      </w:r>
      <w:bookmarkStart w:id="610" w:name="_Toc296346727"/>
      <w:bookmarkStart w:id="611" w:name="_Toc296891266"/>
      <w:bookmarkStart w:id="612" w:name="_Toc267261693"/>
      <w:bookmarkStart w:id="613" w:name="_Toc296944565"/>
      <w:bookmarkStart w:id="614" w:name="_Toc296347225"/>
      <w:bookmarkStart w:id="615" w:name="_Toc296891054"/>
      <w:bookmarkStart w:id="616" w:name="_Toc296503226"/>
      <w:r>
        <w:rPr>
          <w:rFonts w:hint="eastAsia" w:ascii="仿宋" w:hAnsi="仿宋" w:eastAsia="仿宋" w:cs="仿宋"/>
          <w:color w:val="000000"/>
          <w:sz w:val="28"/>
          <w:szCs w:val="28"/>
          <w:highlight w:val="none"/>
        </w:rPr>
        <w:t>件3：</w:t>
      </w:r>
      <w:bookmarkEnd w:id="610"/>
      <w:bookmarkEnd w:id="611"/>
      <w:bookmarkEnd w:id="612"/>
      <w:bookmarkEnd w:id="613"/>
      <w:bookmarkEnd w:id="614"/>
      <w:bookmarkEnd w:id="615"/>
      <w:bookmarkEnd w:id="616"/>
      <w:r>
        <w:rPr>
          <w:rFonts w:hint="eastAsia" w:ascii="仿宋" w:hAnsi="仿宋" w:eastAsia="仿宋" w:cs="仿宋"/>
          <w:color w:val="000000"/>
          <w:sz w:val="28"/>
          <w:szCs w:val="28"/>
          <w:highlight w:val="none"/>
        </w:rPr>
        <w:t xml:space="preserve">    </w:t>
      </w:r>
    </w:p>
    <w:p w14:paraId="34BC2039">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工程质量保修书</w:t>
      </w:r>
    </w:p>
    <w:p w14:paraId="1D6874C5">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发包人（全称）：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14:paraId="431B0D66">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承包人（全称）：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14:paraId="7CD75FFD">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发包人和承包人根据《中华人民共和国建筑法》和《建设工程质量管理条例》，经协商一致就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（工程全称）签订工程质量保修书。</w:t>
      </w:r>
    </w:p>
    <w:p w14:paraId="570DC21F">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一、工程质量保修范围和内容</w:t>
      </w:r>
    </w:p>
    <w:p w14:paraId="70EBA8EA">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承包人在质量保修期内，按照有关法律规定和合同约定，承担工程质量保修责任。</w:t>
      </w:r>
    </w:p>
    <w:p w14:paraId="5C5FD7D7">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color w:val="000000"/>
          <w:sz w:val="28"/>
          <w:szCs w:val="28"/>
          <w:highlight w:val="none"/>
          <w:u w:val="single"/>
          <w:lang w:eastAsia="zh-CN"/>
        </w:rPr>
        <w:t>包括设计施工图纸中所包含的内容</w:t>
      </w:r>
      <w:r>
        <w:rPr>
          <w:rFonts w:hint="eastAsia" w:ascii="仿宋" w:hAnsi="仿宋" w:eastAsia="仿宋" w:cs="仿宋"/>
          <w:color w:val="000000"/>
          <w:sz w:val="28"/>
          <w:szCs w:val="28"/>
          <w:highlight w:val="none"/>
        </w:rPr>
        <w:t>。</w:t>
      </w:r>
    </w:p>
    <w:p w14:paraId="4043F13D">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w:t>
      </w:r>
      <w:r>
        <w:rPr>
          <w:rFonts w:hint="eastAsia" w:ascii="仿宋" w:hAnsi="仿宋" w:eastAsia="仿宋" w:cs="仿宋"/>
          <w:b/>
          <w:color w:val="000000"/>
          <w:sz w:val="28"/>
          <w:szCs w:val="28"/>
          <w:highlight w:val="none"/>
        </w:rPr>
        <w:t>　</w:t>
      </w:r>
      <w:r>
        <w:rPr>
          <w:rFonts w:hint="eastAsia" w:ascii="仿宋" w:hAnsi="仿宋" w:eastAsia="仿宋" w:cs="仿宋"/>
          <w:color w:val="000000"/>
          <w:sz w:val="28"/>
          <w:szCs w:val="28"/>
          <w:highlight w:val="none"/>
        </w:rPr>
        <w:t>二、质量保修期</w:t>
      </w:r>
    </w:p>
    <w:p w14:paraId="6C7BF64F">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根据《建设工程质量管理条例》及有关规定，工程的质量保修期如下：</w:t>
      </w:r>
    </w:p>
    <w:p w14:paraId="36D3FEA7">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1．地基基础工程和主体结构工程为设计文件规定的工程合理使用年限；</w:t>
      </w:r>
    </w:p>
    <w:p w14:paraId="24AF33E7">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2．屋面防水工程、有防水要求的卫生间、房间和外墙面的防渗为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五</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14:paraId="55D3E8B6">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3．装修工程为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二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14:paraId="40E0E3E5">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4．电气管线、给排水管道、设备安装工程为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二</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14:paraId="7EF4B4F8">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5．供热与供冷系统为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个采暖期、供冷期；</w:t>
      </w:r>
    </w:p>
    <w:p w14:paraId="149CE292">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6．住宅小区内的给排水设施、道路等配套工程为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14:paraId="6ACB6FEE">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7．其他项目保修期限约定如下：</w:t>
      </w:r>
      <w:r>
        <w:rPr>
          <w:rFonts w:hint="eastAsia" w:ascii="仿宋" w:hAnsi="仿宋" w:eastAsia="仿宋" w:cs="仿宋"/>
          <w:color w:val="000000"/>
          <w:sz w:val="28"/>
          <w:szCs w:val="28"/>
          <w:highlight w:val="none"/>
          <w:u w:val="single"/>
          <w:lang w:val="en-US" w:eastAsia="zh-CN"/>
        </w:rPr>
        <w:t xml:space="preserve"> 其他工程质量保修期为二年 </w:t>
      </w:r>
      <w:r>
        <w:rPr>
          <w:rFonts w:hint="eastAsia" w:ascii="仿宋" w:hAnsi="仿宋" w:eastAsia="仿宋" w:cs="仿宋"/>
          <w:color w:val="000000"/>
          <w:sz w:val="28"/>
          <w:szCs w:val="28"/>
          <w:highlight w:val="none"/>
        </w:rPr>
        <w:t>。</w:t>
      </w:r>
    </w:p>
    <w:p w14:paraId="2D471F58">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质量保修期自工程竣工验收合格之日起计算。</w:t>
      </w:r>
    </w:p>
    <w:p w14:paraId="560800B1">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三、缺陷责任期</w:t>
      </w:r>
    </w:p>
    <w:p w14:paraId="77E201E5">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工程缺陷责任期为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24</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个月，缺陷责任期自工程竣工验收合格之日起计算。单位工程先于全部工程进行验收，单位工程缺陷责任期自单位工程验收合格之日起算。</w:t>
      </w:r>
    </w:p>
    <w:p w14:paraId="5F11809E">
      <w:pPr>
        <w:keepNext w:val="0"/>
        <w:keepLines w:val="0"/>
        <w:pageBreakBefore w:val="0"/>
        <w:kinsoku/>
        <w:wordWrap/>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缺陷责任期终止后，发包人应退还剩余的质量保证金。</w:t>
      </w:r>
    </w:p>
    <w:p w14:paraId="31DC45F1">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四、质量保修责任</w:t>
      </w:r>
    </w:p>
    <w:p w14:paraId="4A7A860A">
      <w:pPr>
        <w:keepNext w:val="0"/>
        <w:keepLines w:val="0"/>
        <w:pageBreakBefore w:val="0"/>
        <w:kinsoku/>
        <w:wordWrap/>
        <w:overflowPunct/>
        <w:topLinePunct w:val="0"/>
        <w:autoSpaceDE/>
        <w:autoSpaceDN/>
        <w:bidi w:val="0"/>
        <w:adjustRightInd/>
        <w:snapToGrid/>
        <w:spacing w:line="480" w:lineRule="exact"/>
        <w:ind w:left="105" w:leftChars="50" w:firstLine="574" w:firstLineChars="205"/>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1．属于保修范围、内容的项目，承包人应当在接到保修通知之日起7天内派人保修。承包人不在约定期限内派人保修的，发包人可以委托他人修理。</w:t>
      </w:r>
    </w:p>
    <w:p w14:paraId="1A63815E">
      <w:pPr>
        <w:keepNext w:val="0"/>
        <w:keepLines w:val="0"/>
        <w:pageBreakBefore w:val="0"/>
        <w:kinsoku/>
        <w:wordWrap/>
        <w:overflowPunct/>
        <w:topLinePunct w:val="0"/>
        <w:autoSpaceDE/>
        <w:autoSpaceDN/>
        <w:bidi w:val="0"/>
        <w:adjustRightInd/>
        <w:snapToGrid/>
        <w:spacing w:line="480" w:lineRule="exact"/>
        <w:ind w:left="105" w:leftChars="50" w:firstLine="574" w:firstLineChars="205"/>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2．发生紧急事故需抢修的，承包人在接到事故通知后，应当立即到达事故现场抢修。</w:t>
      </w:r>
    </w:p>
    <w:p w14:paraId="0F126C71">
      <w:pPr>
        <w:keepNext w:val="0"/>
        <w:keepLines w:val="0"/>
        <w:pageBreakBefore w:val="0"/>
        <w:kinsoku/>
        <w:wordWrap/>
        <w:overflowPunct/>
        <w:topLinePunct w:val="0"/>
        <w:autoSpaceDE/>
        <w:autoSpaceDN/>
        <w:bidi w:val="0"/>
        <w:adjustRightInd/>
        <w:snapToGrid/>
        <w:spacing w:line="480" w:lineRule="exact"/>
        <w:ind w:left="105" w:leftChars="50" w:firstLine="574" w:firstLineChars="205"/>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9312A9C">
      <w:pPr>
        <w:keepNext w:val="0"/>
        <w:keepLines w:val="0"/>
        <w:pageBreakBefore w:val="0"/>
        <w:kinsoku/>
        <w:wordWrap/>
        <w:overflowPunct/>
        <w:topLinePunct w:val="0"/>
        <w:autoSpaceDE/>
        <w:autoSpaceDN/>
        <w:bidi w:val="0"/>
        <w:adjustRightInd/>
        <w:snapToGrid/>
        <w:spacing w:line="480" w:lineRule="exact"/>
        <w:ind w:left="420" w:leftChars="200" w:firstLine="140" w:firstLineChars="5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4．质量保修完成后，由发包人组织验收。</w:t>
      </w:r>
    </w:p>
    <w:p w14:paraId="6CFC9588">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五、保修费用</w:t>
      </w:r>
    </w:p>
    <w:p w14:paraId="63FD3E62">
      <w:pPr>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保修费用由造成质量缺陷的责任方承担。</w:t>
      </w:r>
    </w:p>
    <w:p w14:paraId="49718C9B">
      <w:pPr>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六、</w:t>
      </w:r>
      <w:r>
        <w:rPr>
          <w:rFonts w:hint="eastAsia" w:ascii="仿宋" w:hAnsi="仿宋" w:eastAsia="仿宋" w:cs="仿宋"/>
          <w:color w:val="000000"/>
          <w:sz w:val="28"/>
          <w:szCs w:val="28"/>
          <w:highlight w:val="none"/>
        </w:rPr>
        <w:t>双方约定的其他工程质量保修事项：</w:t>
      </w:r>
      <w:r>
        <w:rPr>
          <w:rFonts w:hint="eastAsia" w:ascii="仿宋" w:hAnsi="仿宋" w:eastAsia="仿宋" w:cs="仿宋"/>
          <w:color w:val="000000"/>
          <w:sz w:val="28"/>
          <w:szCs w:val="28"/>
          <w:highlight w:val="none"/>
          <w:u w:val="single"/>
        </w:rPr>
        <w:t>因不可抗力造成的质量缺陷</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rPr>
        <w:t>不属保修范围</w:t>
      </w:r>
      <w:r>
        <w:rPr>
          <w:rFonts w:hint="eastAsia" w:ascii="仿宋" w:hAnsi="仿宋" w:eastAsia="仿宋" w:cs="仿宋"/>
          <w:color w:val="000000"/>
          <w:sz w:val="28"/>
          <w:szCs w:val="28"/>
          <w:highlight w:val="none"/>
        </w:rPr>
        <w:t>。</w:t>
      </w:r>
    </w:p>
    <w:p w14:paraId="3100A199">
      <w:pPr>
        <w:keepNext w:val="0"/>
        <w:keepLines w:val="0"/>
        <w:pageBreakBefore w:val="0"/>
        <w:kinsoku/>
        <w:wordWrap/>
        <w:overflowPunct/>
        <w:topLinePunct w:val="0"/>
        <w:autoSpaceDE/>
        <w:autoSpaceDN/>
        <w:bidi w:val="0"/>
        <w:adjustRightInd/>
        <w:snapToGrid/>
        <w:spacing w:line="480" w:lineRule="exact"/>
        <w:ind w:firstLine="532" w:firstLineChars="19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工程质量保修书由发包人、承包人在工程竣工验收前共同签署，作为施工合同附件，其有效期限至保修期满。</w:t>
      </w:r>
    </w:p>
    <w:p w14:paraId="5EB279F5">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发包人(公章)：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承包人(公章)：</w:t>
      </w:r>
      <w:r>
        <w:rPr>
          <w:rFonts w:hint="eastAsia" w:ascii="仿宋" w:hAnsi="仿宋" w:eastAsia="仿宋" w:cs="仿宋"/>
          <w:color w:val="000000"/>
          <w:sz w:val="28"/>
          <w:szCs w:val="28"/>
          <w:highlight w:val="none"/>
          <w:u w:val="single"/>
        </w:rPr>
        <w:t xml:space="preserve">           </w:t>
      </w:r>
    </w:p>
    <w:p w14:paraId="414CE325">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 xml:space="preserve">         </w:t>
      </w:r>
    </w:p>
    <w:p w14:paraId="2DC8E631">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法定代表人(签字)：</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法定代表人(签字)：</w:t>
      </w:r>
      <w:r>
        <w:rPr>
          <w:rFonts w:hint="eastAsia" w:ascii="仿宋" w:hAnsi="仿宋" w:eastAsia="仿宋" w:cs="仿宋"/>
          <w:color w:val="000000"/>
          <w:sz w:val="28"/>
          <w:szCs w:val="28"/>
          <w:highlight w:val="none"/>
          <w:u w:val="single"/>
        </w:rPr>
        <w:t xml:space="preserve">      </w:t>
      </w:r>
    </w:p>
    <w:p w14:paraId="5800FE3E">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委托代理人(签字)：</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委托代理人(签字)：</w:t>
      </w:r>
      <w:r>
        <w:rPr>
          <w:rFonts w:hint="eastAsia" w:ascii="仿宋" w:hAnsi="仿宋" w:eastAsia="仿宋" w:cs="仿宋"/>
          <w:color w:val="000000"/>
          <w:sz w:val="28"/>
          <w:szCs w:val="28"/>
          <w:highlight w:val="none"/>
          <w:u w:val="single"/>
        </w:rPr>
        <w:t xml:space="preserve">         </w:t>
      </w:r>
    </w:p>
    <w:p w14:paraId="0FAD67B7">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 xml:space="preserve">        </w:t>
      </w:r>
    </w:p>
    <w:p w14:paraId="05B1BEB8">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 xml:space="preserve">            </w:t>
      </w:r>
    </w:p>
    <w:p w14:paraId="00EDBC4D">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开户银行：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开户银行：</w:t>
      </w:r>
      <w:r>
        <w:rPr>
          <w:rFonts w:hint="eastAsia" w:ascii="仿宋" w:hAnsi="仿宋" w:eastAsia="仿宋" w:cs="仿宋"/>
          <w:color w:val="000000"/>
          <w:sz w:val="28"/>
          <w:szCs w:val="28"/>
          <w:highlight w:val="none"/>
          <w:u w:val="single"/>
        </w:rPr>
        <w:t xml:space="preserve">           </w:t>
      </w:r>
    </w:p>
    <w:p w14:paraId="74B722F7">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账  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账  号：</w:t>
      </w:r>
      <w:r>
        <w:rPr>
          <w:rFonts w:hint="eastAsia" w:ascii="仿宋" w:hAnsi="仿宋" w:eastAsia="仿宋" w:cs="仿宋"/>
          <w:color w:val="000000"/>
          <w:sz w:val="28"/>
          <w:szCs w:val="28"/>
          <w:highlight w:val="none"/>
          <w:u w:val="single"/>
        </w:rPr>
        <w:t xml:space="preserve">            </w:t>
      </w:r>
    </w:p>
    <w:p w14:paraId="2AE6E274">
      <w:pPr>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 xml:space="preserve">          </w:t>
      </w:r>
    </w:p>
    <w:p w14:paraId="4A20885F">
      <w:pPr>
        <w:spacing w:after="200" w:afterLines="0" w:line="360" w:lineRule="auto"/>
        <w:outlineLvl w:val="9"/>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br w:type="page"/>
      </w:r>
      <w:r>
        <w:rPr>
          <w:rFonts w:hint="eastAsia" w:ascii="仿宋" w:hAnsi="仿宋" w:eastAsia="仿宋" w:cs="仿宋"/>
          <w:color w:val="000000"/>
          <w:sz w:val="28"/>
          <w:szCs w:val="28"/>
          <w:highlight w:val="none"/>
        </w:rPr>
        <w:t>附件4：</w:t>
      </w:r>
    </w:p>
    <w:p w14:paraId="1FF02D6C">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主要建设工程文件目录</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BDAF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6F1791B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文件名称</w:t>
            </w:r>
          </w:p>
        </w:tc>
        <w:tc>
          <w:tcPr>
            <w:tcW w:w="1276" w:type="dxa"/>
            <w:tcBorders>
              <w:top w:val="single" w:color="auto" w:sz="12" w:space="0"/>
              <w:bottom w:val="double" w:color="auto" w:sz="6" w:space="0"/>
            </w:tcBorders>
            <w:noWrap w:val="0"/>
            <w:vAlign w:val="center"/>
          </w:tcPr>
          <w:p w14:paraId="7223DA5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套数</w:t>
            </w:r>
          </w:p>
        </w:tc>
        <w:tc>
          <w:tcPr>
            <w:tcW w:w="1450" w:type="dxa"/>
            <w:tcBorders>
              <w:top w:val="single" w:color="auto" w:sz="12" w:space="0"/>
              <w:bottom w:val="double" w:color="auto" w:sz="6" w:space="0"/>
            </w:tcBorders>
            <w:noWrap w:val="0"/>
            <w:vAlign w:val="center"/>
          </w:tcPr>
          <w:p w14:paraId="7593B57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费用（元）</w:t>
            </w:r>
          </w:p>
        </w:tc>
        <w:tc>
          <w:tcPr>
            <w:tcW w:w="1243" w:type="dxa"/>
            <w:tcBorders>
              <w:top w:val="single" w:color="auto" w:sz="12" w:space="0"/>
              <w:bottom w:val="double" w:color="auto" w:sz="6" w:space="0"/>
            </w:tcBorders>
            <w:noWrap w:val="0"/>
            <w:vAlign w:val="center"/>
          </w:tcPr>
          <w:p w14:paraId="28B77E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质量</w:t>
            </w:r>
          </w:p>
        </w:tc>
        <w:tc>
          <w:tcPr>
            <w:tcW w:w="1450" w:type="dxa"/>
            <w:tcBorders>
              <w:top w:val="single" w:color="auto" w:sz="12" w:space="0"/>
              <w:bottom w:val="double" w:color="auto" w:sz="6" w:space="0"/>
            </w:tcBorders>
            <w:noWrap w:val="0"/>
            <w:vAlign w:val="top"/>
          </w:tcPr>
          <w:p w14:paraId="4073B636">
            <w:pPr>
              <w:spacing w:after="200" w:afterLines="0" w:line="440" w:lineRule="exact"/>
              <w:jc w:val="center"/>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移交时间</w:t>
            </w:r>
          </w:p>
        </w:tc>
        <w:tc>
          <w:tcPr>
            <w:tcW w:w="1667" w:type="dxa"/>
            <w:tcBorders>
              <w:top w:val="single" w:color="auto" w:sz="12" w:space="0"/>
              <w:bottom w:val="double" w:color="auto" w:sz="6" w:space="0"/>
            </w:tcBorders>
            <w:noWrap w:val="0"/>
            <w:vAlign w:val="top"/>
          </w:tcPr>
          <w:p w14:paraId="381106A9">
            <w:pPr>
              <w:spacing w:after="200" w:afterLines="0" w:line="440" w:lineRule="exact"/>
              <w:jc w:val="center"/>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责任人</w:t>
            </w:r>
          </w:p>
        </w:tc>
      </w:tr>
      <w:tr w14:paraId="111CC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635445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tcBorders>
              <w:top w:val="double" w:color="auto" w:sz="6" w:space="0"/>
              <w:bottom w:val="single" w:color="auto" w:sz="6" w:space="0"/>
            </w:tcBorders>
            <w:noWrap w:val="0"/>
            <w:vAlign w:val="center"/>
          </w:tcPr>
          <w:p w14:paraId="63A9376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tcBorders>
              <w:top w:val="double" w:color="auto" w:sz="6" w:space="0"/>
              <w:bottom w:val="single" w:color="auto" w:sz="6" w:space="0"/>
            </w:tcBorders>
            <w:noWrap w:val="0"/>
            <w:vAlign w:val="center"/>
          </w:tcPr>
          <w:p w14:paraId="54793C5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tcBorders>
              <w:top w:val="double" w:color="auto" w:sz="6" w:space="0"/>
              <w:bottom w:val="single" w:color="auto" w:sz="6" w:space="0"/>
            </w:tcBorders>
            <w:noWrap w:val="0"/>
            <w:vAlign w:val="center"/>
          </w:tcPr>
          <w:p w14:paraId="735BCD7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tcBorders>
              <w:top w:val="double" w:color="auto" w:sz="6" w:space="0"/>
              <w:bottom w:val="single" w:color="auto" w:sz="6" w:space="0"/>
            </w:tcBorders>
            <w:noWrap w:val="0"/>
            <w:vAlign w:val="center"/>
          </w:tcPr>
          <w:p w14:paraId="190E88E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tcBorders>
              <w:top w:val="double" w:color="auto" w:sz="6" w:space="0"/>
              <w:bottom w:val="single" w:color="auto" w:sz="6" w:space="0"/>
            </w:tcBorders>
            <w:noWrap w:val="0"/>
            <w:vAlign w:val="center"/>
          </w:tcPr>
          <w:p w14:paraId="39DF4C5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0944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5A968D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tcBorders>
              <w:top w:val="nil"/>
            </w:tcBorders>
            <w:noWrap w:val="0"/>
            <w:vAlign w:val="center"/>
          </w:tcPr>
          <w:p w14:paraId="1323B76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tcBorders>
              <w:top w:val="nil"/>
            </w:tcBorders>
            <w:noWrap w:val="0"/>
            <w:vAlign w:val="center"/>
          </w:tcPr>
          <w:p w14:paraId="2873020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tcBorders>
              <w:top w:val="nil"/>
            </w:tcBorders>
            <w:noWrap w:val="0"/>
            <w:vAlign w:val="center"/>
          </w:tcPr>
          <w:p w14:paraId="4D8C51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tcBorders>
              <w:top w:val="nil"/>
            </w:tcBorders>
            <w:noWrap w:val="0"/>
            <w:vAlign w:val="center"/>
          </w:tcPr>
          <w:p w14:paraId="5BBBDA3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tcBorders>
              <w:top w:val="nil"/>
            </w:tcBorders>
            <w:noWrap w:val="0"/>
            <w:vAlign w:val="center"/>
          </w:tcPr>
          <w:p w14:paraId="695EDC3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214D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80AA40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67071B5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2D4646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5580D51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2F64205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78781B2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6A0C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F189F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7C19D14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67BC4DD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330DC5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2AC0939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4E4E568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DDDD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DF51B3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2DA5769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4180D2B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5A6770B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478A6C6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7C86A3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E3E0D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417D2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631E765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06BE59A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05E428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66FA9E8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13846ED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A708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CD8EEC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4337804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62F0998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394E26C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162E84B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34BBD44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3C75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591AD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1803BC8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312C7D4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7899A9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1AE207F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22628F5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69AC7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DFFF01E">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30B15422">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56D1B3EA">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24DD0451">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7B632582">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3D0892E0">
            <w:pPr>
              <w:spacing w:after="200" w:afterLines="0" w:line="276" w:lineRule="auto"/>
              <w:outlineLvl w:val="9"/>
              <w:rPr>
                <w:rFonts w:hint="eastAsia" w:ascii="仿宋" w:hAnsi="仿宋" w:eastAsia="仿宋" w:cs="仿宋"/>
                <w:color w:val="000000"/>
                <w:sz w:val="24"/>
                <w:szCs w:val="24"/>
                <w:highlight w:val="none"/>
              </w:rPr>
            </w:pPr>
          </w:p>
        </w:tc>
      </w:tr>
      <w:tr w14:paraId="2612F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7A1471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76" w:type="dxa"/>
            <w:noWrap w:val="0"/>
            <w:vAlign w:val="center"/>
          </w:tcPr>
          <w:p w14:paraId="73DB3D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4E376CE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243" w:type="dxa"/>
            <w:noWrap w:val="0"/>
            <w:vAlign w:val="center"/>
          </w:tcPr>
          <w:p w14:paraId="70B66A2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50" w:type="dxa"/>
            <w:noWrap w:val="0"/>
            <w:vAlign w:val="center"/>
          </w:tcPr>
          <w:p w14:paraId="7E67A1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667" w:type="dxa"/>
            <w:noWrap w:val="0"/>
            <w:vAlign w:val="center"/>
          </w:tcPr>
          <w:p w14:paraId="1DA5356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8AA71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59CCBF">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54FC17BB">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0748B355">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4D46F6BF">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4F02A747">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4196C686">
            <w:pPr>
              <w:spacing w:after="200" w:afterLines="0" w:line="276" w:lineRule="auto"/>
              <w:outlineLvl w:val="9"/>
              <w:rPr>
                <w:rFonts w:hint="eastAsia" w:ascii="仿宋" w:hAnsi="仿宋" w:eastAsia="仿宋" w:cs="仿宋"/>
                <w:color w:val="000000"/>
                <w:sz w:val="24"/>
                <w:szCs w:val="24"/>
                <w:highlight w:val="none"/>
              </w:rPr>
            </w:pPr>
          </w:p>
        </w:tc>
      </w:tr>
      <w:tr w14:paraId="79F6F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0A71B8">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3E21D291">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644BA0D3">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5AEF6A4B">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07D21D74">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05AC0FA0">
            <w:pPr>
              <w:spacing w:after="200" w:afterLines="0" w:line="276" w:lineRule="auto"/>
              <w:outlineLvl w:val="9"/>
              <w:rPr>
                <w:rFonts w:hint="eastAsia" w:ascii="仿宋" w:hAnsi="仿宋" w:eastAsia="仿宋" w:cs="仿宋"/>
                <w:color w:val="000000"/>
                <w:sz w:val="24"/>
                <w:szCs w:val="24"/>
                <w:highlight w:val="none"/>
              </w:rPr>
            </w:pPr>
          </w:p>
        </w:tc>
      </w:tr>
      <w:tr w14:paraId="0A9867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B7B4A41">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78941685">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30325784">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799CF01A">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36240A01">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508CBFC5">
            <w:pPr>
              <w:spacing w:after="200" w:afterLines="0" w:line="276" w:lineRule="auto"/>
              <w:outlineLvl w:val="9"/>
              <w:rPr>
                <w:rFonts w:hint="eastAsia" w:ascii="仿宋" w:hAnsi="仿宋" w:eastAsia="仿宋" w:cs="仿宋"/>
                <w:color w:val="000000"/>
                <w:sz w:val="24"/>
                <w:szCs w:val="24"/>
                <w:highlight w:val="none"/>
              </w:rPr>
            </w:pPr>
          </w:p>
        </w:tc>
      </w:tr>
      <w:tr w14:paraId="29CDD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AAA3AB8">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2F96D7C9">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7A03570F">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06FACC31">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6F4A046F">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52745B85">
            <w:pPr>
              <w:spacing w:after="200" w:afterLines="0" w:line="276" w:lineRule="auto"/>
              <w:outlineLvl w:val="9"/>
              <w:rPr>
                <w:rFonts w:hint="eastAsia" w:ascii="仿宋" w:hAnsi="仿宋" w:eastAsia="仿宋" w:cs="仿宋"/>
                <w:color w:val="000000"/>
                <w:sz w:val="24"/>
                <w:szCs w:val="24"/>
                <w:highlight w:val="none"/>
              </w:rPr>
            </w:pPr>
          </w:p>
        </w:tc>
      </w:tr>
      <w:tr w14:paraId="174A0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5B791E6">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6064B666">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1C4E5E2B">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702E0394">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15E4F2FE">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39D0292F">
            <w:pPr>
              <w:spacing w:after="200" w:afterLines="0" w:line="276" w:lineRule="auto"/>
              <w:outlineLvl w:val="9"/>
              <w:rPr>
                <w:rFonts w:hint="eastAsia" w:ascii="仿宋" w:hAnsi="仿宋" w:eastAsia="仿宋" w:cs="仿宋"/>
                <w:color w:val="000000"/>
                <w:sz w:val="24"/>
                <w:szCs w:val="24"/>
                <w:highlight w:val="none"/>
              </w:rPr>
            </w:pPr>
          </w:p>
        </w:tc>
      </w:tr>
      <w:tr w14:paraId="121BA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D8951A4">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2D8A1355">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26456B96">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120DC7DC">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7E6FB5DF">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0DCC2DA1">
            <w:pPr>
              <w:spacing w:after="200" w:afterLines="0" w:line="276" w:lineRule="auto"/>
              <w:outlineLvl w:val="9"/>
              <w:rPr>
                <w:rFonts w:hint="eastAsia" w:ascii="仿宋" w:hAnsi="仿宋" w:eastAsia="仿宋" w:cs="仿宋"/>
                <w:color w:val="000000"/>
                <w:sz w:val="24"/>
                <w:szCs w:val="24"/>
                <w:highlight w:val="none"/>
              </w:rPr>
            </w:pPr>
          </w:p>
        </w:tc>
      </w:tr>
      <w:tr w14:paraId="79578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2C67A23">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5EA9C6EB">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73333DDC">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5F4B8C44">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4DFBC0D9">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623950B0">
            <w:pPr>
              <w:spacing w:after="200" w:afterLines="0" w:line="276" w:lineRule="auto"/>
              <w:outlineLvl w:val="9"/>
              <w:rPr>
                <w:rFonts w:hint="eastAsia" w:ascii="仿宋" w:hAnsi="仿宋" w:eastAsia="仿宋" w:cs="仿宋"/>
                <w:color w:val="000000"/>
                <w:sz w:val="24"/>
                <w:szCs w:val="24"/>
                <w:highlight w:val="none"/>
              </w:rPr>
            </w:pPr>
          </w:p>
        </w:tc>
      </w:tr>
      <w:tr w14:paraId="1A0C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B84B404">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18B39028">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00026160">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35156295">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625BD2AD">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66F2FD99">
            <w:pPr>
              <w:spacing w:after="200" w:afterLines="0" w:line="276" w:lineRule="auto"/>
              <w:outlineLvl w:val="9"/>
              <w:rPr>
                <w:rFonts w:hint="eastAsia" w:ascii="仿宋" w:hAnsi="仿宋" w:eastAsia="仿宋" w:cs="仿宋"/>
                <w:color w:val="000000"/>
                <w:sz w:val="24"/>
                <w:szCs w:val="24"/>
                <w:highlight w:val="none"/>
              </w:rPr>
            </w:pPr>
          </w:p>
        </w:tc>
      </w:tr>
      <w:tr w14:paraId="512DC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1DF4D59">
            <w:pPr>
              <w:spacing w:after="200" w:afterLines="0" w:line="276" w:lineRule="auto"/>
              <w:outlineLvl w:val="9"/>
              <w:rPr>
                <w:rFonts w:hint="eastAsia" w:ascii="仿宋" w:hAnsi="仿宋" w:eastAsia="仿宋" w:cs="仿宋"/>
                <w:color w:val="000000"/>
                <w:sz w:val="24"/>
                <w:szCs w:val="24"/>
                <w:highlight w:val="none"/>
              </w:rPr>
            </w:pPr>
          </w:p>
        </w:tc>
        <w:tc>
          <w:tcPr>
            <w:tcW w:w="1276" w:type="dxa"/>
            <w:noWrap w:val="0"/>
            <w:vAlign w:val="top"/>
          </w:tcPr>
          <w:p w14:paraId="06DF99F2">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57C39429">
            <w:pPr>
              <w:spacing w:after="200" w:afterLines="0" w:line="276" w:lineRule="auto"/>
              <w:outlineLvl w:val="9"/>
              <w:rPr>
                <w:rFonts w:hint="eastAsia" w:ascii="仿宋" w:hAnsi="仿宋" w:eastAsia="仿宋" w:cs="仿宋"/>
                <w:color w:val="000000"/>
                <w:sz w:val="24"/>
                <w:szCs w:val="24"/>
                <w:highlight w:val="none"/>
              </w:rPr>
            </w:pPr>
          </w:p>
        </w:tc>
        <w:tc>
          <w:tcPr>
            <w:tcW w:w="1243" w:type="dxa"/>
            <w:noWrap w:val="0"/>
            <w:vAlign w:val="top"/>
          </w:tcPr>
          <w:p w14:paraId="3F53D607">
            <w:pPr>
              <w:spacing w:after="200" w:afterLines="0" w:line="276" w:lineRule="auto"/>
              <w:outlineLvl w:val="9"/>
              <w:rPr>
                <w:rFonts w:hint="eastAsia" w:ascii="仿宋" w:hAnsi="仿宋" w:eastAsia="仿宋" w:cs="仿宋"/>
                <w:color w:val="000000"/>
                <w:sz w:val="24"/>
                <w:szCs w:val="24"/>
                <w:highlight w:val="none"/>
              </w:rPr>
            </w:pPr>
          </w:p>
        </w:tc>
        <w:tc>
          <w:tcPr>
            <w:tcW w:w="1450" w:type="dxa"/>
            <w:noWrap w:val="0"/>
            <w:vAlign w:val="top"/>
          </w:tcPr>
          <w:p w14:paraId="7B1FC806">
            <w:pPr>
              <w:spacing w:after="200" w:afterLines="0" w:line="276" w:lineRule="auto"/>
              <w:outlineLvl w:val="9"/>
              <w:rPr>
                <w:rFonts w:hint="eastAsia" w:ascii="仿宋" w:hAnsi="仿宋" w:eastAsia="仿宋" w:cs="仿宋"/>
                <w:color w:val="000000"/>
                <w:sz w:val="24"/>
                <w:szCs w:val="24"/>
                <w:highlight w:val="none"/>
              </w:rPr>
            </w:pPr>
          </w:p>
        </w:tc>
        <w:tc>
          <w:tcPr>
            <w:tcW w:w="1667" w:type="dxa"/>
            <w:noWrap w:val="0"/>
            <w:vAlign w:val="top"/>
          </w:tcPr>
          <w:p w14:paraId="3F340700">
            <w:pPr>
              <w:spacing w:after="200" w:afterLines="0" w:line="276" w:lineRule="auto"/>
              <w:outlineLvl w:val="9"/>
              <w:rPr>
                <w:rFonts w:hint="eastAsia" w:ascii="仿宋" w:hAnsi="仿宋" w:eastAsia="仿宋" w:cs="仿宋"/>
                <w:color w:val="000000"/>
                <w:sz w:val="24"/>
                <w:szCs w:val="24"/>
                <w:highlight w:val="none"/>
              </w:rPr>
            </w:pPr>
          </w:p>
        </w:tc>
      </w:tr>
    </w:tbl>
    <w:p w14:paraId="4B07CEE6">
      <w:pPr>
        <w:spacing w:after="200" w:afterLines="0"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8"/>
          <w:szCs w:val="28"/>
          <w:highlight w:val="none"/>
        </w:rPr>
        <w:t>附</w:t>
      </w:r>
      <w:bookmarkStart w:id="617" w:name="_Toc267261698"/>
      <w:bookmarkStart w:id="618" w:name="_Toc296944566"/>
      <w:bookmarkStart w:id="619" w:name="_Toc296891267"/>
      <w:bookmarkStart w:id="620" w:name="_Toc296891055"/>
      <w:bookmarkStart w:id="621" w:name="_Toc296346728"/>
      <w:bookmarkStart w:id="622" w:name="_Toc296503227"/>
      <w:bookmarkStart w:id="623" w:name="_Toc296347226"/>
      <w:r>
        <w:rPr>
          <w:rFonts w:hint="eastAsia" w:ascii="仿宋" w:hAnsi="仿宋" w:eastAsia="仿宋" w:cs="仿宋"/>
          <w:color w:val="000000"/>
          <w:sz w:val="28"/>
          <w:szCs w:val="28"/>
          <w:highlight w:val="none"/>
        </w:rPr>
        <w:t>件5：</w:t>
      </w:r>
    </w:p>
    <w:bookmarkEnd w:id="617"/>
    <w:bookmarkEnd w:id="618"/>
    <w:bookmarkEnd w:id="619"/>
    <w:bookmarkEnd w:id="620"/>
    <w:bookmarkEnd w:id="621"/>
    <w:bookmarkEnd w:id="622"/>
    <w:bookmarkEnd w:id="623"/>
    <w:p w14:paraId="5333E8C4">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承包人用于本工程施工的机械设备表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05AE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147A4E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18" w:type="dxa"/>
            <w:tcBorders>
              <w:top w:val="single" w:color="auto" w:sz="12" w:space="0"/>
              <w:bottom w:val="double" w:color="auto" w:sz="6" w:space="0"/>
            </w:tcBorders>
            <w:noWrap w:val="0"/>
            <w:vAlign w:val="center"/>
          </w:tcPr>
          <w:p w14:paraId="5CA7A69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机械或设备名称</w:t>
            </w:r>
          </w:p>
        </w:tc>
        <w:tc>
          <w:tcPr>
            <w:tcW w:w="850" w:type="dxa"/>
            <w:tcBorders>
              <w:top w:val="single" w:color="auto" w:sz="12" w:space="0"/>
              <w:bottom w:val="double" w:color="auto" w:sz="6" w:space="0"/>
            </w:tcBorders>
            <w:noWrap w:val="0"/>
            <w:vAlign w:val="center"/>
          </w:tcPr>
          <w:p w14:paraId="32F711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1058" w:type="dxa"/>
            <w:tcBorders>
              <w:top w:val="single" w:color="auto" w:sz="12" w:space="0"/>
              <w:bottom w:val="double" w:color="auto" w:sz="6" w:space="0"/>
            </w:tcBorders>
            <w:noWrap w:val="0"/>
            <w:vAlign w:val="center"/>
          </w:tcPr>
          <w:p w14:paraId="6B87502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880" w:type="dxa"/>
            <w:tcBorders>
              <w:top w:val="single" w:color="auto" w:sz="12" w:space="0"/>
              <w:bottom w:val="double" w:color="auto" w:sz="6" w:space="0"/>
            </w:tcBorders>
            <w:noWrap w:val="0"/>
            <w:vAlign w:val="center"/>
          </w:tcPr>
          <w:p w14:paraId="65F3716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产地</w:t>
            </w:r>
          </w:p>
        </w:tc>
        <w:tc>
          <w:tcPr>
            <w:tcW w:w="1020" w:type="dxa"/>
            <w:tcBorders>
              <w:top w:val="single" w:color="auto" w:sz="12" w:space="0"/>
              <w:bottom w:val="double" w:color="auto" w:sz="6" w:space="0"/>
            </w:tcBorders>
            <w:noWrap w:val="0"/>
            <w:vAlign w:val="center"/>
          </w:tcPr>
          <w:p w14:paraId="493B85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制造年份</w:t>
            </w:r>
          </w:p>
        </w:tc>
        <w:tc>
          <w:tcPr>
            <w:tcW w:w="1480" w:type="dxa"/>
            <w:tcBorders>
              <w:top w:val="single" w:color="auto" w:sz="12" w:space="0"/>
              <w:bottom w:val="double" w:color="auto" w:sz="6" w:space="0"/>
            </w:tcBorders>
            <w:noWrap w:val="0"/>
            <w:vAlign w:val="center"/>
          </w:tcPr>
          <w:p w14:paraId="343BE7E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额定功率(kW)</w:t>
            </w:r>
          </w:p>
        </w:tc>
        <w:tc>
          <w:tcPr>
            <w:tcW w:w="1020" w:type="dxa"/>
            <w:tcBorders>
              <w:top w:val="single" w:color="auto" w:sz="12" w:space="0"/>
              <w:bottom w:val="double" w:color="auto" w:sz="6" w:space="0"/>
            </w:tcBorders>
            <w:noWrap w:val="0"/>
            <w:vAlign w:val="center"/>
          </w:tcPr>
          <w:p w14:paraId="48281BB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生产能力</w:t>
            </w:r>
          </w:p>
        </w:tc>
        <w:tc>
          <w:tcPr>
            <w:tcW w:w="921" w:type="dxa"/>
            <w:tcBorders>
              <w:top w:val="single" w:color="auto" w:sz="12" w:space="0"/>
              <w:bottom w:val="double" w:color="auto" w:sz="6" w:space="0"/>
            </w:tcBorders>
            <w:noWrap w:val="0"/>
            <w:vAlign w:val="center"/>
          </w:tcPr>
          <w:p w14:paraId="3FB76A9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34E5C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71F2042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double" w:color="auto" w:sz="6" w:space="0"/>
              <w:bottom w:val="single" w:color="auto" w:sz="6" w:space="0"/>
            </w:tcBorders>
            <w:noWrap w:val="0"/>
            <w:vAlign w:val="center"/>
          </w:tcPr>
          <w:p w14:paraId="0FD831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double" w:color="auto" w:sz="6" w:space="0"/>
              <w:bottom w:val="single" w:color="auto" w:sz="6" w:space="0"/>
            </w:tcBorders>
            <w:noWrap w:val="0"/>
            <w:vAlign w:val="center"/>
          </w:tcPr>
          <w:p w14:paraId="4A9A23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tcBorders>
              <w:top w:val="double" w:color="auto" w:sz="6" w:space="0"/>
              <w:bottom w:val="single" w:color="auto" w:sz="6" w:space="0"/>
            </w:tcBorders>
            <w:noWrap w:val="0"/>
            <w:vAlign w:val="center"/>
          </w:tcPr>
          <w:p w14:paraId="5F2F067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tcBorders>
              <w:top w:val="double" w:color="auto" w:sz="6" w:space="0"/>
              <w:bottom w:val="single" w:color="auto" w:sz="6" w:space="0"/>
            </w:tcBorders>
            <w:noWrap w:val="0"/>
            <w:vAlign w:val="center"/>
          </w:tcPr>
          <w:p w14:paraId="030489F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tcBorders>
              <w:top w:val="double" w:color="auto" w:sz="6" w:space="0"/>
              <w:bottom w:val="single" w:color="auto" w:sz="6" w:space="0"/>
            </w:tcBorders>
            <w:noWrap w:val="0"/>
            <w:vAlign w:val="center"/>
          </w:tcPr>
          <w:p w14:paraId="5A8FA4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tcBorders>
              <w:top w:val="double" w:color="auto" w:sz="6" w:space="0"/>
              <w:bottom w:val="single" w:color="auto" w:sz="6" w:space="0"/>
            </w:tcBorders>
            <w:noWrap w:val="0"/>
            <w:vAlign w:val="center"/>
          </w:tcPr>
          <w:p w14:paraId="78DFE6D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tcBorders>
              <w:top w:val="double" w:color="auto" w:sz="6" w:space="0"/>
              <w:bottom w:val="single" w:color="auto" w:sz="6" w:space="0"/>
            </w:tcBorders>
            <w:noWrap w:val="0"/>
            <w:vAlign w:val="center"/>
          </w:tcPr>
          <w:p w14:paraId="4338404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tcBorders>
              <w:top w:val="double" w:color="auto" w:sz="6" w:space="0"/>
              <w:bottom w:val="single" w:color="auto" w:sz="6" w:space="0"/>
            </w:tcBorders>
            <w:noWrap w:val="0"/>
            <w:vAlign w:val="center"/>
          </w:tcPr>
          <w:p w14:paraId="2D0E64A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A807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21C8F91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nil"/>
            </w:tcBorders>
            <w:noWrap w:val="0"/>
            <w:vAlign w:val="center"/>
          </w:tcPr>
          <w:p w14:paraId="18B4FE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tcBorders>
              <w:top w:val="nil"/>
            </w:tcBorders>
            <w:noWrap w:val="0"/>
            <w:vAlign w:val="center"/>
          </w:tcPr>
          <w:p w14:paraId="571531C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tcBorders>
              <w:top w:val="nil"/>
            </w:tcBorders>
            <w:noWrap w:val="0"/>
            <w:vAlign w:val="center"/>
          </w:tcPr>
          <w:p w14:paraId="2B36B4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tcBorders>
              <w:top w:val="nil"/>
            </w:tcBorders>
            <w:noWrap w:val="0"/>
            <w:vAlign w:val="center"/>
          </w:tcPr>
          <w:p w14:paraId="39DB812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tcBorders>
              <w:top w:val="nil"/>
            </w:tcBorders>
            <w:noWrap w:val="0"/>
            <w:vAlign w:val="center"/>
          </w:tcPr>
          <w:p w14:paraId="5AD10A1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tcBorders>
              <w:top w:val="nil"/>
            </w:tcBorders>
            <w:noWrap w:val="0"/>
            <w:vAlign w:val="center"/>
          </w:tcPr>
          <w:p w14:paraId="5DC5F7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tcBorders>
              <w:top w:val="nil"/>
            </w:tcBorders>
            <w:noWrap w:val="0"/>
            <w:vAlign w:val="center"/>
          </w:tcPr>
          <w:p w14:paraId="566E47A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tcBorders>
              <w:top w:val="nil"/>
            </w:tcBorders>
            <w:noWrap w:val="0"/>
            <w:vAlign w:val="center"/>
          </w:tcPr>
          <w:p w14:paraId="38F43B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ACD8B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D8B788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53D23B6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334674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0F0969B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5AD5441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721703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29CFCC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4DF7F07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21E40C7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3AA84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FB0FF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6F333A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30F70C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657EFA9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44F9A6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47810C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5D407BF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27C8455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6D5EA40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1A8C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FD4B70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710E91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77C224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580224F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529E84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2A1E28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41D6584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021FD2B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2B2F3B2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A175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B419D7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5FF29A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5A86F8F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1FA239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3A6E20F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24863B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3740936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08299F8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6CF131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FC65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798992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53EE27A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259493C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617BA5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72ECE59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052E95E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33B3918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2806EC3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2FAD2AE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1F5EA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B15BA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73DF2A9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13E0DDF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7E70733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0B3C8F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520C31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162DEE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7EB28C1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6DEA280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6B65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8415317">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7D54E455">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3E1EDAFE">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66BA676D">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52AAA9CF">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720547BB">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4D8F3EBE">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40F09562">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1CC6F11E">
            <w:pPr>
              <w:spacing w:after="200" w:afterLines="0" w:line="276" w:lineRule="auto"/>
              <w:outlineLvl w:val="9"/>
              <w:rPr>
                <w:rFonts w:hint="eastAsia" w:ascii="仿宋" w:hAnsi="仿宋" w:eastAsia="仿宋" w:cs="仿宋"/>
                <w:color w:val="000000"/>
                <w:sz w:val="24"/>
                <w:szCs w:val="24"/>
                <w:highlight w:val="none"/>
              </w:rPr>
            </w:pPr>
          </w:p>
        </w:tc>
      </w:tr>
      <w:tr w14:paraId="08635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AAA616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5B4CC8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0" w:type="dxa"/>
            <w:noWrap w:val="0"/>
            <w:vAlign w:val="center"/>
          </w:tcPr>
          <w:p w14:paraId="6FA92E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58" w:type="dxa"/>
            <w:noWrap w:val="0"/>
            <w:vAlign w:val="center"/>
          </w:tcPr>
          <w:p w14:paraId="3FB4188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80" w:type="dxa"/>
            <w:noWrap w:val="0"/>
            <w:vAlign w:val="center"/>
          </w:tcPr>
          <w:p w14:paraId="226D37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64FE759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80" w:type="dxa"/>
            <w:noWrap w:val="0"/>
            <w:vAlign w:val="center"/>
          </w:tcPr>
          <w:p w14:paraId="3652B5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020" w:type="dxa"/>
            <w:noWrap w:val="0"/>
            <w:vAlign w:val="center"/>
          </w:tcPr>
          <w:p w14:paraId="552697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921" w:type="dxa"/>
            <w:noWrap w:val="0"/>
            <w:vAlign w:val="center"/>
          </w:tcPr>
          <w:p w14:paraId="00853C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66EC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D8B3E42">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30B06A4B">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1AF7352D">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2897A72D">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04F845B5">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505B91E4">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714B4AC3">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18372F9">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23D46EA6">
            <w:pPr>
              <w:spacing w:after="200" w:afterLines="0" w:line="276" w:lineRule="auto"/>
              <w:outlineLvl w:val="9"/>
              <w:rPr>
                <w:rFonts w:hint="eastAsia" w:ascii="仿宋" w:hAnsi="仿宋" w:eastAsia="仿宋" w:cs="仿宋"/>
                <w:color w:val="000000"/>
                <w:sz w:val="24"/>
                <w:szCs w:val="24"/>
                <w:highlight w:val="none"/>
              </w:rPr>
            </w:pPr>
          </w:p>
        </w:tc>
      </w:tr>
      <w:tr w14:paraId="4B7B23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C40DFEA">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7380307C">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54BC3EDA">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0B3C1C28">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118CF448">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2F3D51A2">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00DE192D">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5250950">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3594ED36">
            <w:pPr>
              <w:spacing w:after="200" w:afterLines="0" w:line="276" w:lineRule="auto"/>
              <w:outlineLvl w:val="9"/>
              <w:rPr>
                <w:rFonts w:hint="eastAsia" w:ascii="仿宋" w:hAnsi="仿宋" w:eastAsia="仿宋" w:cs="仿宋"/>
                <w:color w:val="000000"/>
                <w:sz w:val="24"/>
                <w:szCs w:val="24"/>
                <w:highlight w:val="none"/>
              </w:rPr>
            </w:pPr>
          </w:p>
        </w:tc>
      </w:tr>
      <w:tr w14:paraId="6257A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CC92DB9">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2505620C">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2D9E9D25">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35379C5B">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2FC3FB59">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ACF2D3B">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613BD216">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02DDD630">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6D2B4F75">
            <w:pPr>
              <w:spacing w:after="200" w:afterLines="0" w:line="276" w:lineRule="auto"/>
              <w:outlineLvl w:val="9"/>
              <w:rPr>
                <w:rFonts w:hint="eastAsia" w:ascii="仿宋" w:hAnsi="仿宋" w:eastAsia="仿宋" w:cs="仿宋"/>
                <w:color w:val="000000"/>
                <w:sz w:val="24"/>
                <w:szCs w:val="24"/>
                <w:highlight w:val="none"/>
              </w:rPr>
            </w:pPr>
          </w:p>
        </w:tc>
      </w:tr>
      <w:tr w14:paraId="5D723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A71F4F6">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7E3CCB27">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5680F334">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7E5B5068">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4B30C0E4">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229EC21">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77194369">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3E0C5B73">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10AAB631">
            <w:pPr>
              <w:spacing w:after="200" w:afterLines="0" w:line="276" w:lineRule="auto"/>
              <w:outlineLvl w:val="9"/>
              <w:rPr>
                <w:rFonts w:hint="eastAsia" w:ascii="仿宋" w:hAnsi="仿宋" w:eastAsia="仿宋" w:cs="仿宋"/>
                <w:color w:val="000000"/>
                <w:sz w:val="24"/>
                <w:szCs w:val="24"/>
                <w:highlight w:val="none"/>
              </w:rPr>
            </w:pPr>
          </w:p>
        </w:tc>
      </w:tr>
      <w:tr w14:paraId="527C3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705830A">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4167A398">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6B21E9EB">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3CBBAE11">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5FAB1B48">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2A81785">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6FDBB4D9">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1F5C9785">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1BB9ED46">
            <w:pPr>
              <w:spacing w:after="200" w:afterLines="0" w:line="276" w:lineRule="auto"/>
              <w:outlineLvl w:val="9"/>
              <w:rPr>
                <w:rFonts w:hint="eastAsia" w:ascii="仿宋" w:hAnsi="仿宋" w:eastAsia="仿宋" w:cs="仿宋"/>
                <w:color w:val="000000"/>
                <w:sz w:val="24"/>
                <w:szCs w:val="24"/>
                <w:highlight w:val="none"/>
              </w:rPr>
            </w:pPr>
          </w:p>
        </w:tc>
      </w:tr>
      <w:tr w14:paraId="0BF25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9891913">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3A32753A">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121F93D6">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2E5887E5">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64432D10">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7043851A">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157B160C">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0BDC4787">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794199AF">
            <w:pPr>
              <w:spacing w:after="200" w:afterLines="0" w:line="276" w:lineRule="auto"/>
              <w:outlineLvl w:val="9"/>
              <w:rPr>
                <w:rFonts w:hint="eastAsia" w:ascii="仿宋" w:hAnsi="仿宋" w:eastAsia="仿宋" w:cs="仿宋"/>
                <w:color w:val="000000"/>
                <w:sz w:val="24"/>
                <w:szCs w:val="24"/>
                <w:highlight w:val="none"/>
              </w:rPr>
            </w:pPr>
          </w:p>
        </w:tc>
      </w:tr>
      <w:tr w14:paraId="1B996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4397545">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75820BA9">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0A83C11A">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2F2B2D75">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08B362D9">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302B4920">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7FD6FA85">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73F9DC98">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0D8218B5">
            <w:pPr>
              <w:spacing w:after="200" w:afterLines="0" w:line="276" w:lineRule="auto"/>
              <w:outlineLvl w:val="9"/>
              <w:rPr>
                <w:rFonts w:hint="eastAsia" w:ascii="仿宋" w:hAnsi="仿宋" w:eastAsia="仿宋" w:cs="仿宋"/>
                <w:color w:val="000000"/>
                <w:sz w:val="24"/>
                <w:szCs w:val="24"/>
                <w:highlight w:val="none"/>
              </w:rPr>
            </w:pPr>
          </w:p>
        </w:tc>
      </w:tr>
      <w:tr w14:paraId="4EA1B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CE493F4">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344278E5">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442F70A6">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4CF7094F">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2ED09136">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7623746D">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2BF226FD">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4CEAFC30">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0B7E5A2D">
            <w:pPr>
              <w:spacing w:after="200" w:afterLines="0" w:line="276" w:lineRule="auto"/>
              <w:outlineLvl w:val="9"/>
              <w:rPr>
                <w:rFonts w:hint="eastAsia" w:ascii="仿宋" w:hAnsi="仿宋" w:eastAsia="仿宋" w:cs="仿宋"/>
                <w:color w:val="000000"/>
                <w:sz w:val="24"/>
                <w:szCs w:val="24"/>
                <w:highlight w:val="none"/>
              </w:rPr>
            </w:pPr>
          </w:p>
        </w:tc>
      </w:tr>
      <w:tr w14:paraId="32A58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21A683D">
            <w:pPr>
              <w:spacing w:after="200" w:afterLines="0" w:line="276" w:lineRule="auto"/>
              <w:outlineLvl w:val="9"/>
              <w:rPr>
                <w:rFonts w:hint="eastAsia" w:ascii="仿宋" w:hAnsi="仿宋" w:eastAsia="仿宋" w:cs="仿宋"/>
                <w:color w:val="000000"/>
                <w:sz w:val="24"/>
                <w:szCs w:val="24"/>
                <w:highlight w:val="none"/>
              </w:rPr>
            </w:pPr>
          </w:p>
        </w:tc>
        <w:tc>
          <w:tcPr>
            <w:tcW w:w="1418" w:type="dxa"/>
            <w:noWrap w:val="0"/>
            <w:vAlign w:val="top"/>
          </w:tcPr>
          <w:p w14:paraId="1A4ED2B3">
            <w:pPr>
              <w:spacing w:after="200" w:afterLines="0" w:line="276" w:lineRule="auto"/>
              <w:outlineLvl w:val="9"/>
              <w:rPr>
                <w:rFonts w:hint="eastAsia" w:ascii="仿宋" w:hAnsi="仿宋" w:eastAsia="仿宋" w:cs="仿宋"/>
                <w:color w:val="000000"/>
                <w:sz w:val="24"/>
                <w:szCs w:val="24"/>
                <w:highlight w:val="none"/>
              </w:rPr>
            </w:pPr>
          </w:p>
        </w:tc>
        <w:tc>
          <w:tcPr>
            <w:tcW w:w="850" w:type="dxa"/>
            <w:noWrap w:val="0"/>
            <w:vAlign w:val="top"/>
          </w:tcPr>
          <w:p w14:paraId="69FA8743">
            <w:pPr>
              <w:spacing w:after="200" w:afterLines="0" w:line="276" w:lineRule="auto"/>
              <w:outlineLvl w:val="9"/>
              <w:rPr>
                <w:rFonts w:hint="eastAsia" w:ascii="仿宋" w:hAnsi="仿宋" w:eastAsia="仿宋" w:cs="仿宋"/>
                <w:color w:val="000000"/>
                <w:sz w:val="24"/>
                <w:szCs w:val="24"/>
                <w:highlight w:val="none"/>
              </w:rPr>
            </w:pPr>
          </w:p>
        </w:tc>
        <w:tc>
          <w:tcPr>
            <w:tcW w:w="1058" w:type="dxa"/>
            <w:noWrap w:val="0"/>
            <w:vAlign w:val="top"/>
          </w:tcPr>
          <w:p w14:paraId="548D6EF7">
            <w:pPr>
              <w:spacing w:after="200" w:afterLines="0" w:line="276" w:lineRule="auto"/>
              <w:outlineLvl w:val="9"/>
              <w:rPr>
                <w:rFonts w:hint="eastAsia" w:ascii="仿宋" w:hAnsi="仿宋" w:eastAsia="仿宋" w:cs="仿宋"/>
                <w:color w:val="000000"/>
                <w:sz w:val="24"/>
                <w:szCs w:val="24"/>
                <w:highlight w:val="none"/>
              </w:rPr>
            </w:pPr>
          </w:p>
        </w:tc>
        <w:tc>
          <w:tcPr>
            <w:tcW w:w="880" w:type="dxa"/>
            <w:noWrap w:val="0"/>
            <w:vAlign w:val="top"/>
          </w:tcPr>
          <w:p w14:paraId="12F14FF0">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51CFCF32">
            <w:pPr>
              <w:spacing w:after="200" w:afterLines="0" w:line="276" w:lineRule="auto"/>
              <w:outlineLvl w:val="9"/>
              <w:rPr>
                <w:rFonts w:hint="eastAsia" w:ascii="仿宋" w:hAnsi="仿宋" w:eastAsia="仿宋" w:cs="仿宋"/>
                <w:color w:val="000000"/>
                <w:sz w:val="24"/>
                <w:szCs w:val="24"/>
                <w:highlight w:val="none"/>
              </w:rPr>
            </w:pPr>
          </w:p>
        </w:tc>
        <w:tc>
          <w:tcPr>
            <w:tcW w:w="1480" w:type="dxa"/>
            <w:noWrap w:val="0"/>
            <w:vAlign w:val="top"/>
          </w:tcPr>
          <w:p w14:paraId="7B083FBF">
            <w:pPr>
              <w:spacing w:after="200" w:afterLines="0" w:line="276" w:lineRule="auto"/>
              <w:outlineLvl w:val="9"/>
              <w:rPr>
                <w:rFonts w:hint="eastAsia" w:ascii="仿宋" w:hAnsi="仿宋" w:eastAsia="仿宋" w:cs="仿宋"/>
                <w:color w:val="000000"/>
                <w:sz w:val="24"/>
                <w:szCs w:val="24"/>
                <w:highlight w:val="none"/>
              </w:rPr>
            </w:pPr>
          </w:p>
        </w:tc>
        <w:tc>
          <w:tcPr>
            <w:tcW w:w="1020" w:type="dxa"/>
            <w:noWrap w:val="0"/>
            <w:vAlign w:val="top"/>
          </w:tcPr>
          <w:p w14:paraId="548407A2">
            <w:pPr>
              <w:spacing w:after="200" w:afterLines="0" w:line="276" w:lineRule="auto"/>
              <w:outlineLvl w:val="9"/>
              <w:rPr>
                <w:rFonts w:hint="eastAsia" w:ascii="仿宋" w:hAnsi="仿宋" w:eastAsia="仿宋" w:cs="仿宋"/>
                <w:color w:val="000000"/>
                <w:sz w:val="24"/>
                <w:szCs w:val="24"/>
                <w:highlight w:val="none"/>
              </w:rPr>
            </w:pPr>
          </w:p>
        </w:tc>
        <w:tc>
          <w:tcPr>
            <w:tcW w:w="921" w:type="dxa"/>
            <w:noWrap w:val="0"/>
            <w:vAlign w:val="top"/>
          </w:tcPr>
          <w:p w14:paraId="11F6C95D">
            <w:pPr>
              <w:spacing w:after="200" w:afterLines="0" w:line="276" w:lineRule="auto"/>
              <w:outlineLvl w:val="9"/>
              <w:rPr>
                <w:rFonts w:hint="eastAsia" w:ascii="仿宋" w:hAnsi="仿宋" w:eastAsia="仿宋" w:cs="仿宋"/>
                <w:color w:val="000000"/>
                <w:sz w:val="24"/>
                <w:szCs w:val="24"/>
                <w:highlight w:val="none"/>
              </w:rPr>
            </w:pPr>
          </w:p>
        </w:tc>
      </w:tr>
    </w:tbl>
    <w:p w14:paraId="566DF89E">
      <w:pPr>
        <w:spacing w:after="200" w:afterLines="0" w:line="440" w:lineRule="exact"/>
        <w:outlineLvl w:val="9"/>
        <w:rPr>
          <w:rFonts w:hint="eastAsia" w:ascii="仿宋" w:hAnsi="仿宋" w:eastAsia="仿宋" w:cs="仿宋"/>
          <w:color w:val="000000"/>
          <w:sz w:val="24"/>
          <w:szCs w:val="24"/>
          <w:highlight w:val="none"/>
        </w:rPr>
      </w:pPr>
    </w:p>
    <w:p w14:paraId="49A6B1DD">
      <w:pPr>
        <w:spacing w:after="200" w:afterLines="0"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w:t>
      </w:r>
      <w:bookmarkStart w:id="624" w:name="_Toc296944567"/>
      <w:bookmarkStart w:id="625" w:name="_Toc296346729"/>
      <w:bookmarkStart w:id="626" w:name="_Toc296891056"/>
      <w:bookmarkStart w:id="627" w:name="_Toc267261699"/>
      <w:bookmarkStart w:id="628" w:name="_Toc296347227"/>
      <w:bookmarkStart w:id="629" w:name="_Toc296891268"/>
      <w:bookmarkStart w:id="630" w:name="_Toc296503228"/>
      <w:r>
        <w:rPr>
          <w:rFonts w:hint="eastAsia" w:ascii="仿宋" w:hAnsi="仿宋" w:eastAsia="仿宋" w:cs="仿宋"/>
          <w:color w:val="000000"/>
          <w:sz w:val="28"/>
          <w:szCs w:val="28"/>
          <w:highlight w:val="none"/>
        </w:rPr>
        <w:t>件6：</w:t>
      </w:r>
    </w:p>
    <w:bookmarkEnd w:id="624"/>
    <w:bookmarkEnd w:id="625"/>
    <w:bookmarkEnd w:id="626"/>
    <w:bookmarkEnd w:id="627"/>
    <w:bookmarkEnd w:id="628"/>
    <w:bookmarkEnd w:id="629"/>
    <w:bookmarkEnd w:id="630"/>
    <w:p w14:paraId="43922444">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承包人主要施工管理人员表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9B8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A16F82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    称</w:t>
            </w:r>
          </w:p>
        </w:tc>
        <w:tc>
          <w:tcPr>
            <w:tcW w:w="1418" w:type="dxa"/>
            <w:tcBorders>
              <w:top w:val="single" w:color="auto" w:sz="12" w:space="0"/>
              <w:bottom w:val="double" w:color="auto" w:sz="6" w:space="0"/>
            </w:tcBorders>
            <w:noWrap w:val="0"/>
            <w:vAlign w:val="center"/>
          </w:tcPr>
          <w:p w14:paraId="41AC97E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姓名</w:t>
            </w:r>
          </w:p>
        </w:tc>
        <w:tc>
          <w:tcPr>
            <w:tcW w:w="1134" w:type="dxa"/>
            <w:tcBorders>
              <w:top w:val="single" w:color="auto" w:sz="12" w:space="0"/>
              <w:bottom w:val="double" w:color="auto" w:sz="6" w:space="0"/>
            </w:tcBorders>
            <w:noWrap w:val="0"/>
            <w:vAlign w:val="center"/>
          </w:tcPr>
          <w:p w14:paraId="693C6E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职务</w:t>
            </w:r>
          </w:p>
        </w:tc>
        <w:tc>
          <w:tcPr>
            <w:tcW w:w="1134" w:type="dxa"/>
            <w:tcBorders>
              <w:top w:val="single" w:color="auto" w:sz="12" w:space="0"/>
              <w:bottom w:val="double" w:color="auto" w:sz="6" w:space="0"/>
            </w:tcBorders>
            <w:noWrap w:val="0"/>
            <w:vAlign w:val="center"/>
          </w:tcPr>
          <w:p w14:paraId="1E79FC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职称</w:t>
            </w:r>
          </w:p>
        </w:tc>
        <w:tc>
          <w:tcPr>
            <w:tcW w:w="4252" w:type="dxa"/>
            <w:tcBorders>
              <w:top w:val="single" w:color="auto" w:sz="12" w:space="0"/>
              <w:bottom w:val="double" w:color="auto" w:sz="6" w:space="0"/>
            </w:tcBorders>
            <w:noWrap w:val="0"/>
            <w:vAlign w:val="center"/>
          </w:tcPr>
          <w:p w14:paraId="6A77E1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主要资历、经验及承担过的项目</w:t>
            </w:r>
          </w:p>
        </w:tc>
      </w:tr>
      <w:tr w14:paraId="1CB14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54C40D5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一、总部人员</w:t>
            </w:r>
          </w:p>
        </w:tc>
      </w:tr>
      <w:tr w14:paraId="522B3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86EE2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项目主管</w:t>
            </w:r>
          </w:p>
        </w:tc>
        <w:tc>
          <w:tcPr>
            <w:tcW w:w="1418" w:type="dxa"/>
            <w:tcBorders>
              <w:top w:val="nil"/>
            </w:tcBorders>
            <w:noWrap w:val="0"/>
            <w:vAlign w:val="center"/>
          </w:tcPr>
          <w:p w14:paraId="1A0DD9A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top w:val="nil"/>
            </w:tcBorders>
            <w:noWrap w:val="0"/>
            <w:vAlign w:val="center"/>
          </w:tcPr>
          <w:p w14:paraId="7796966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top w:val="nil"/>
            </w:tcBorders>
            <w:noWrap w:val="0"/>
            <w:vAlign w:val="center"/>
          </w:tcPr>
          <w:p w14:paraId="41B1F2A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top w:val="nil"/>
            </w:tcBorders>
            <w:noWrap w:val="0"/>
            <w:vAlign w:val="center"/>
          </w:tcPr>
          <w:p w14:paraId="470BAD2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3286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52008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6A6EBC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93A8CD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946F3C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1C97D8F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EA2CE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224F20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其他人员</w:t>
            </w:r>
          </w:p>
        </w:tc>
        <w:tc>
          <w:tcPr>
            <w:tcW w:w="1418" w:type="dxa"/>
            <w:noWrap w:val="0"/>
            <w:vAlign w:val="center"/>
          </w:tcPr>
          <w:p w14:paraId="15724F4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A5AF2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C01BD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0B93261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0304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7C3B2D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339E147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CFD4C2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430844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680EC97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7284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C1D4AB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二、现场人员</w:t>
            </w:r>
          </w:p>
        </w:tc>
      </w:tr>
      <w:tr w14:paraId="64101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2ED5E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项目经理</w:t>
            </w:r>
          </w:p>
        </w:tc>
        <w:tc>
          <w:tcPr>
            <w:tcW w:w="1418" w:type="dxa"/>
            <w:noWrap w:val="0"/>
            <w:vAlign w:val="center"/>
          </w:tcPr>
          <w:p w14:paraId="3651F6D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28BA3E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9DD927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3F2DB5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1471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9EA42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项目副经理</w:t>
            </w:r>
          </w:p>
        </w:tc>
        <w:tc>
          <w:tcPr>
            <w:tcW w:w="1418" w:type="dxa"/>
            <w:noWrap w:val="0"/>
            <w:vAlign w:val="center"/>
          </w:tcPr>
          <w:p w14:paraId="55068A4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41137A8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93E4B2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339DBDD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53C6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CC0208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技术负责人</w:t>
            </w:r>
          </w:p>
        </w:tc>
        <w:tc>
          <w:tcPr>
            <w:tcW w:w="1418" w:type="dxa"/>
            <w:noWrap w:val="0"/>
            <w:vAlign w:val="center"/>
          </w:tcPr>
          <w:p w14:paraId="3DCB35A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F5A32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EF9C49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F513B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74C2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241D18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造价管理</w:t>
            </w:r>
          </w:p>
        </w:tc>
        <w:tc>
          <w:tcPr>
            <w:tcW w:w="1418" w:type="dxa"/>
            <w:noWrap w:val="0"/>
            <w:vAlign w:val="center"/>
          </w:tcPr>
          <w:p w14:paraId="04BEFB4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B14EB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8DC6E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26233E4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EF58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6F53C4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质量管理</w:t>
            </w:r>
          </w:p>
        </w:tc>
        <w:tc>
          <w:tcPr>
            <w:tcW w:w="1418" w:type="dxa"/>
            <w:noWrap w:val="0"/>
            <w:vAlign w:val="center"/>
          </w:tcPr>
          <w:p w14:paraId="1EE25D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34C3F2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28C44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0EF4056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2FE5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3E92CF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材料管理</w:t>
            </w:r>
          </w:p>
        </w:tc>
        <w:tc>
          <w:tcPr>
            <w:tcW w:w="1418" w:type="dxa"/>
            <w:noWrap w:val="0"/>
            <w:vAlign w:val="center"/>
          </w:tcPr>
          <w:p w14:paraId="192EB8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E9A474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98F39E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D72F17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78ED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C863F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计划管理</w:t>
            </w:r>
          </w:p>
        </w:tc>
        <w:tc>
          <w:tcPr>
            <w:tcW w:w="1418" w:type="dxa"/>
            <w:noWrap w:val="0"/>
            <w:vAlign w:val="center"/>
          </w:tcPr>
          <w:p w14:paraId="42F4000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671320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2C868F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7BB00C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B6E36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5FCC8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安全管理</w:t>
            </w:r>
          </w:p>
        </w:tc>
        <w:tc>
          <w:tcPr>
            <w:tcW w:w="1418" w:type="dxa"/>
            <w:noWrap w:val="0"/>
            <w:vAlign w:val="center"/>
          </w:tcPr>
          <w:p w14:paraId="35800C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AED9BF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B8E6B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21E93D8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0B86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574229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其他人员</w:t>
            </w:r>
          </w:p>
        </w:tc>
        <w:tc>
          <w:tcPr>
            <w:tcW w:w="1418" w:type="dxa"/>
            <w:noWrap w:val="0"/>
            <w:vAlign w:val="center"/>
          </w:tcPr>
          <w:p w14:paraId="753AEB9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1AEA7D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08158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7F6599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6914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D7A5C6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bottom w:val="nil"/>
            </w:tcBorders>
            <w:noWrap w:val="0"/>
            <w:vAlign w:val="center"/>
          </w:tcPr>
          <w:p w14:paraId="74995C5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nil"/>
            </w:tcBorders>
            <w:noWrap w:val="0"/>
            <w:vAlign w:val="center"/>
          </w:tcPr>
          <w:p w14:paraId="6F9115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nil"/>
            </w:tcBorders>
            <w:noWrap w:val="0"/>
            <w:vAlign w:val="center"/>
          </w:tcPr>
          <w:p w14:paraId="31BE4E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bottom w:val="nil"/>
            </w:tcBorders>
            <w:noWrap w:val="0"/>
            <w:vAlign w:val="center"/>
          </w:tcPr>
          <w:p w14:paraId="1F16171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7E9FF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66706F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1D786E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1EC4EA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2BA2A2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6F160A2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AB90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FE228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7AB7437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C4CBB1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452A0AF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41767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87F8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E8A1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52F18D4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E53D75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0D3337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54279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B2B7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02DFA6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bottom w:val="single" w:color="auto" w:sz="12" w:space="0"/>
            </w:tcBorders>
            <w:noWrap w:val="0"/>
            <w:vAlign w:val="center"/>
          </w:tcPr>
          <w:p w14:paraId="2786535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single" w:color="auto" w:sz="12" w:space="0"/>
            </w:tcBorders>
            <w:noWrap w:val="0"/>
            <w:vAlign w:val="center"/>
          </w:tcPr>
          <w:p w14:paraId="6377CE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single" w:color="auto" w:sz="12" w:space="0"/>
            </w:tcBorders>
            <w:noWrap w:val="0"/>
            <w:vAlign w:val="center"/>
          </w:tcPr>
          <w:p w14:paraId="0682071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bottom w:val="single" w:color="auto" w:sz="12" w:space="0"/>
            </w:tcBorders>
            <w:noWrap w:val="0"/>
            <w:vAlign w:val="center"/>
          </w:tcPr>
          <w:p w14:paraId="14288D3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0CEA583A">
      <w:pPr>
        <w:spacing w:after="200" w:afterLines="0"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8"/>
          <w:szCs w:val="28"/>
          <w:highlight w:val="none"/>
        </w:rPr>
        <w:t>附</w:t>
      </w:r>
      <w:bookmarkStart w:id="631" w:name="_Toc296346730"/>
      <w:bookmarkStart w:id="632" w:name="_Toc296891057"/>
      <w:bookmarkStart w:id="633" w:name="_Toc296503229"/>
      <w:bookmarkStart w:id="634" w:name="_Toc296347228"/>
      <w:bookmarkStart w:id="635" w:name="_Toc296944568"/>
      <w:bookmarkStart w:id="636" w:name="_Toc296891269"/>
      <w:r>
        <w:rPr>
          <w:rFonts w:hint="eastAsia" w:ascii="仿宋" w:hAnsi="仿宋" w:eastAsia="仿宋" w:cs="仿宋"/>
          <w:color w:val="000000"/>
          <w:sz w:val="28"/>
          <w:szCs w:val="28"/>
          <w:highlight w:val="none"/>
        </w:rPr>
        <w:t>件7：</w:t>
      </w:r>
    </w:p>
    <w:bookmarkEnd w:id="631"/>
    <w:bookmarkEnd w:id="632"/>
    <w:bookmarkEnd w:id="633"/>
    <w:bookmarkEnd w:id="634"/>
    <w:bookmarkEnd w:id="635"/>
    <w:bookmarkEnd w:id="636"/>
    <w:p w14:paraId="17ED001B">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分包人主要施工管理人员表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8D41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CE0882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    称</w:t>
            </w:r>
          </w:p>
        </w:tc>
        <w:tc>
          <w:tcPr>
            <w:tcW w:w="1418" w:type="dxa"/>
            <w:tcBorders>
              <w:top w:val="single" w:color="auto" w:sz="12" w:space="0"/>
              <w:bottom w:val="double" w:color="auto" w:sz="6" w:space="0"/>
            </w:tcBorders>
            <w:noWrap w:val="0"/>
            <w:vAlign w:val="center"/>
          </w:tcPr>
          <w:p w14:paraId="491C03F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姓名</w:t>
            </w:r>
          </w:p>
        </w:tc>
        <w:tc>
          <w:tcPr>
            <w:tcW w:w="1134" w:type="dxa"/>
            <w:tcBorders>
              <w:top w:val="single" w:color="auto" w:sz="12" w:space="0"/>
              <w:bottom w:val="double" w:color="auto" w:sz="6" w:space="0"/>
            </w:tcBorders>
            <w:noWrap w:val="0"/>
            <w:vAlign w:val="center"/>
          </w:tcPr>
          <w:p w14:paraId="0963696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职务</w:t>
            </w:r>
          </w:p>
        </w:tc>
        <w:tc>
          <w:tcPr>
            <w:tcW w:w="1134" w:type="dxa"/>
            <w:tcBorders>
              <w:top w:val="single" w:color="auto" w:sz="12" w:space="0"/>
              <w:bottom w:val="double" w:color="auto" w:sz="6" w:space="0"/>
            </w:tcBorders>
            <w:noWrap w:val="0"/>
            <w:vAlign w:val="center"/>
          </w:tcPr>
          <w:p w14:paraId="78E254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职称</w:t>
            </w:r>
          </w:p>
        </w:tc>
        <w:tc>
          <w:tcPr>
            <w:tcW w:w="4252" w:type="dxa"/>
            <w:tcBorders>
              <w:top w:val="single" w:color="auto" w:sz="12" w:space="0"/>
              <w:bottom w:val="double" w:color="auto" w:sz="6" w:space="0"/>
            </w:tcBorders>
            <w:noWrap w:val="0"/>
            <w:vAlign w:val="center"/>
          </w:tcPr>
          <w:p w14:paraId="1BB0022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主要资历、经验及承担过的项目</w:t>
            </w:r>
          </w:p>
        </w:tc>
      </w:tr>
      <w:tr w14:paraId="214A5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503F2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一、总部人员</w:t>
            </w:r>
          </w:p>
        </w:tc>
      </w:tr>
      <w:tr w14:paraId="5BD20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AED14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项目主管</w:t>
            </w:r>
          </w:p>
        </w:tc>
        <w:tc>
          <w:tcPr>
            <w:tcW w:w="1418" w:type="dxa"/>
            <w:tcBorders>
              <w:top w:val="nil"/>
            </w:tcBorders>
            <w:noWrap w:val="0"/>
            <w:vAlign w:val="center"/>
          </w:tcPr>
          <w:p w14:paraId="04C743A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top w:val="nil"/>
            </w:tcBorders>
            <w:noWrap w:val="0"/>
            <w:vAlign w:val="center"/>
          </w:tcPr>
          <w:p w14:paraId="7BC9AA6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top w:val="nil"/>
            </w:tcBorders>
            <w:noWrap w:val="0"/>
            <w:vAlign w:val="center"/>
          </w:tcPr>
          <w:p w14:paraId="62E3F9A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top w:val="nil"/>
            </w:tcBorders>
            <w:noWrap w:val="0"/>
            <w:vAlign w:val="center"/>
          </w:tcPr>
          <w:p w14:paraId="4BB7FBF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093D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0B2002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61AF90D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235FB5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DCB23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60ACF7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7D214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DD871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其他人员</w:t>
            </w:r>
          </w:p>
        </w:tc>
        <w:tc>
          <w:tcPr>
            <w:tcW w:w="1418" w:type="dxa"/>
            <w:noWrap w:val="0"/>
            <w:vAlign w:val="center"/>
          </w:tcPr>
          <w:p w14:paraId="19CD7A1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A8DD7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FE9045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16502A8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C4BE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6E657E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1D1F71F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D0642D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4A626C1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255637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9A6A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B7DD95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二、现场人员</w:t>
            </w:r>
          </w:p>
        </w:tc>
      </w:tr>
      <w:tr w14:paraId="07B99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7BC22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项目经理</w:t>
            </w:r>
          </w:p>
        </w:tc>
        <w:tc>
          <w:tcPr>
            <w:tcW w:w="1418" w:type="dxa"/>
            <w:noWrap w:val="0"/>
            <w:vAlign w:val="center"/>
          </w:tcPr>
          <w:p w14:paraId="6F2B33E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4C520FF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97CF7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205BFB1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28A6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5EDDD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项目副经理</w:t>
            </w:r>
          </w:p>
        </w:tc>
        <w:tc>
          <w:tcPr>
            <w:tcW w:w="1418" w:type="dxa"/>
            <w:noWrap w:val="0"/>
            <w:vAlign w:val="center"/>
          </w:tcPr>
          <w:p w14:paraId="4D45449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2C677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AF7691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47811F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73AD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70C7D3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技术负责人</w:t>
            </w:r>
          </w:p>
        </w:tc>
        <w:tc>
          <w:tcPr>
            <w:tcW w:w="1418" w:type="dxa"/>
            <w:noWrap w:val="0"/>
            <w:vAlign w:val="center"/>
          </w:tcPr>
          <w:p w14:paraId="57C387B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6AC1337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5599D3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7C3867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5558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2D51B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造价管理</w:t>
            </w:r>
          </w:p>
        </w:tc>
        <w:tc>
          <w:tcPr>
            <w:tcW w:w="1418" w:type="dxa"/>
            <w:noWrap w:val="0"/>
            <w:vAlign w:val="center"/>
          </w:tcPr>
          <w:p w14:paraId="39F2996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1DDFBE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1B0CA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34C91D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4C4E2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636778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质量管理</w:t>
            </w:r>
          </w:p>
        </w:tc>
        <w:tc>
          <w:tcPr>
            <w:tcW w:w="1418" w:type="dxa"/>
            <w:noWrap w:val="0"/>
            <w:vAlign w:val="center"/>
          </w:tcPr>
          <w:p w14:paraId="6C24C6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8F91F9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A27573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4654CB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E5BA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BFDC5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材料管理</w:t>
            </w:r>
          </w:p>
        </w:tc>
        <w:tc>
          <w:tcPr>
            <w:tcW w:w="1418" w:type="dxa"/>
            <w:noWrap w:val="0"/>
            <w:vAlign w:val="center"/>
          </w:tcPr>
          <w:p w14:paraId="7EB02A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6463C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0CB1EDF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067942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D561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0C3A52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计划管理</w:t>
            </w:r>
          </w:p>
        </w:tc>
        <w:tc>
          <w:tcPr>
            <w:tcW w:w="1418" w:type="dxa"/>
            <w:noWrap w:val="0"/>
            <w:vAlign w:val="center"/>
          </w:tcPr>
          <w:p w14:paraId="2F1468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839DDB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40F389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7FD4005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2CE6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8CFB39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安全管理</w:t>
            </w:r>
          </w:p>
        </w:tc>
        <w:tc>
          <w:tcPr>
            <w:tcW w:w="1418" w:type="dxa"/>
            <w:noWrap w:val="0"/>
            <w:vAlign w:val="center"/>
          </w:tcPr>
          <w:p w14:paraId="66EFC13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248A0F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6BF8314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601FA94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291A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CE866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其他人员</w:t>
            </w:r>
          </w:p>
        </w:tc>
        <w:tc>
          <w:tcPr>
            <w:tcW w:w="1418" w:type="dxa"/>
            <w:noWrap w:val="0"/>
            <w:vAlign w:val="center"/>
          </w:tcPr>
          <w:p w14:paraId="6B7273C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D8668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7FF044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056683F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36CB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7C2B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bottom w:val="nil"/>
            </w:tcBorders>
            <w:noWrap w:val="0"/>
            <w:vAlign w:val="center"/>
          </w:tcPr>
          <w:p w14:paraId="0D8BE02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nil"/>
            </w:tcBorders>
            <w:noWrap w:val="0"/>
            <w:vAlign w:val="center"/>
          </w:tcPr>
          <w:p w14:paraId="028577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nil"/>
            </w:tcBorders>
            <w:noWrap w:val="0"/>
            <w:vAlign w:val="center"/>
          </w:tcPr>
          <w:p w14:paraId="54857D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bottom w:val="nil"/>
            </w:tcBorders>
            <w:noWrap w:val="0"/>
            <w:vAlign w:val="center"/>
          </w:tcPr>
          <w:p w14:paraId="3B92A9C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934D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CB20A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1076719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662647A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A16043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7B6A3E2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878B8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F1EB57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4CEA7A2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72AA0B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3F20DA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34D520E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C4435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7974C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center"/>
          </w:tcPr>
          <w:p w14:paraId="7860A01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55DC8B9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noWrap w:val="0"/>
            <w:vAlign w:val="center"/>
          </w:tcPr>
          <w:p w14:paraId="66516B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noWrap w:val="0"/>
            <w:vAlign w:val="center"/>
          </w:tcPr>
          <w:p w14:paraId="3EC13CC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FD24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0D8B61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bottom w:val="single" w:color="auto" w:sz="12" w:space="0"/>
            </w:tcBorders>
            <w:noWrap w:val="0"/>
            <w:vAlign w:val="center"/>
          </w:tcPr>
          <w:p w14:paraId="73AF0CC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single" w:color="auto" w:sz="12" w:space="0"/>
            </w:tcBorders>
            <w:noWrap w:val="0"/>
            <w:vAlign w:val="center"/>
          </w:tcPr>
          <w:p w14:paraId="2E47D08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134" w:type="dxa"/>
            <w:tcBorders>
              <w:bottom w:val="single" w:color="auto" w:sz="12" w:space="0"/>
            </w:tcBorders>
            <w:noWrap w:val="0"/>
            <w:vAlign w:val="center"/>
          </w:tcPr>
          <w:p w14:paraId="68B2484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4252" w:type="dxa"/>
            <w:tcBorders>
              <w:bottom w:val="single" w:color="auto" w:sz="12" w:space="0"/>
            </w:tcBorders>
            <w:noWrap w:val="0"/>
            <w:vAlign w:val="center"/>
          </w:tcPr>
          <w:p w14:paraId="0A505E9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21FCAED9">
      <w:pPr>
        <w:keepNext w:val="0"/>
        <w:keepLines w:val="0"/>
        <w:pageBreakBefore w:val="0"/>
        <w:kinsoku/>
        <w:wordWrap/>
        <w:overflowPunct/>
        <w:topLinePunct w:val="0"/>
        <w:autoSpaceDE/>
        <w:autoSpaceDN/>
        <w:bidi w:val="0"/>
        <w:adjustRightInd/>
        <w:snapToGrid/>
        <w:spacing w:after="200" w:afterLines="0" w:line="460" w:lineRule="exac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color w:val="000000"/>
          <w:sz w:val="24"/>
          <w:szCs w:val="24"/>
          <w:highlight w:val="none"/>
        </w:rPr>
        <w:br w:type="page"/>
      </w:r>
      <w:bookmarkStart w:id="637" w:name="_Toc267261701"/>
      <w:r>
        <w:rPr>
          <w:rFonts w:hint="eastAsia" w:ascii="仿宋" w:hAnsi="仿宋" w:eastAsia="仿宋" w:cs="仿宋"/>
          <w:color w:val="000000"/>
          <w:sz w:val="28"/>
          <w:szCs w:val="28"/>
          <w:highlight w:val="none"/>
        </w:rPr>
        <w:t>附</w:t>
      </w:r>
      <w:bookmarkStart w:id="638" w:name="_Toc296891271"/>
      <w:bookmarkStart w:id="639" w:name="_Toc296944570"/>
      <w:bookmarkStart w:id="640" w:name="_Toc296503231"/>
      <w:bookmarkStart w:id="641" w:name="_Toc296347230"/>
      <w:bookmarkStart w:id="642" w:name="_Toc296891059"/>
      <w:bookmarkStart w:id="643" w:name="_Toc296346732"/>
      <w:r>
        <w:rPr>
          <w:rFonts w:hint="eastAsia" w:ascii="仿宋" w:hAnsi="仿宋" w:eastAsia="仿宋" w:cs="仿宋"/>
          <w:color w:val="000000"/>
          <w:sz w:val="28"/>
          <w:szCs w:val="28"/>
          <w:highlight w:val="none"/>
        </w:rPr>
        <w:t>件8：</w:t>
      </w:r>
      <w:bookmarkEnd w:id="637"/>
      <w:bookmarkEnd w:id="638"/>
      <w:bookmarkEnd w:id="639"/>
      <w:bookmarkEnd w:id="640"/>
      <w:bookmarkEnd w:id="641"/>
      <w:bookmarkEnd w:id="642"/>
      <w:bookmarkEnd w:id="643"/>
      <w:r>
        <w:rPr>
          <w:rFonts w:hint="eastAsia" w:ascii="仿宋" w:hAnsi="仿宋" w:eastAsia="仿宋" w:cs="仿宋"/>
          <w:color w:val="000000"/>
          <w:sz w:val="28"/>
          <w:szCs w:val="28"/>
          <w:highlight w:val="none"/>
        </w:rPr>
        <w:t xml:space="preserve">                </w:t>
      </w:r>
      <w:r>
        <w:rPr>
          <w:rFonts w:hint="eastAsia" w:ascii="仿宋" w:hAnsi="仿宋" w:eastAsia="仿宋" w:cs="仿宋"/>
          <w:b/>
          <w:color w:val="000000"/>
          <w:sz w:val="28"/>
          <w:szCs w:val="28"/>
          <w:highlight w:val="none"/>
        </w:rPr>
        <w:t xml:space="preserve">  </w:t>
      </w:r>
    </w:p>
    <w:p w14:paraId="750157FF">
      <w:pPr>
        <w:keepNext w:val="0"/>
        <w:keepLines w:val="0"/>
        <w:pageBreakBefore w:val="0"/>
        <w:kinsoku/>
        <w:wordWrap/>
        <w:overflowPunct/>
        <w:topLinePunct w:val="0"/>
        <w:autoSpaceDE/>
        <w:autoSpaceDN/>
        <w:bidi w:val="0"/>
        <w:adjustRightInd/>
        <w:snapToGrid/>
        <w:spacing w:after="200" w:afterLines="0" w:line="460" w:lineRule="exact"/>
        <w:jc w:val="center"/>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履约担保</w:t>
      </w:r>
    </w:p>
    <w:p w14:paraId="22EC651D">
      <w:pPr>
        <w:keepNext w:val="0"/>
        <w:keepLines w:val="0"/>
        <w:pageBreakBefore w:val="0"/>
        <w:kinsoku/>
        <w:wordWrap/>
        <w:overflowPunct/>
        <w:topLinePunct w:val="0"/>
        <w:autoSpaceDE/>
        <w:autoSpaceDN/>
        <w:bidi w:val="0"/>
        <w:adjustRightInd/>
        <w:snapToGrid/>
        <w:spacing w:after="200" w:afterLines="0" w:line="38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rPr>
        <w:t>：</w:t>
      </w:r>
    </w:p>
    <w:p w14:paraId="6FEFD59B">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鉴于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（发包人名称，以下简称“发包人”）与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（承包人名称）（以下称“承包人”）于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日就</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 xml:space="preserve">（工程名称）施工及有关事项协商一致共同签订《建设工程施工合同》。我方愿意无条件地、不可撤销地就承包人履行与你方签订的合同，向你方提供连带责任担保。 </w:t>
      </w:r>
    </w:p>
    <w:p w14:paraId="2CE8E69B">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担保金额人民币（大写）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元</w:t>
      </w:r>
      <w:r>
        <w:rPr>
          <w:rFonts w:hint="eastAsia" w:ascii="仿宋" w:hAnsi="仿宋" w:eastAsia="仿宋" w:cs="仿宋"/>
          <w:color w:val="000000"/>
          <w:sz w:val="28"/>
          <w:szCs w:val="28"/>
          <w:highlight w:val="none"/>
        </w:rPr>
        <w:t>）。</w:t>
      </w:r>
    </w:p>
    <w:p w14:paraId="290C354A">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担保有效期自你方与承包人签订的合同生效之日起至你方签发或应签发工程接收证书之日止。</w:t>
      </w:r>
    </w:p>
    <w:p w14:paraId="0A7B87B0">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在本担保有效期内，因承包人违反合同约定的义务给你方造成经济损失时，我方在收到你方以书面形式提出的在担保金额内的赔偿要求后，在7天内无条件支付。</w:t>
      </w:r>
    </w:p>
    <w:p w14:paraId="0452C678">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 你方和承包人按合同约定变更合同时，我方承担本担保规定的义务不变。</w:t>
      </w:r>
    </w:p>
    <w:p w14:paraId="32C3CAEC">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 因本保函发生的纠纷，可由双方协商解决，协商不成的，任何一方均可提请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仲裁委员会仲裁。</w:t>
      </w:r>
    </w:p>
    <w:p w14:paraId="1154773A">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 本保函自我方法定代表人（或其授权代理人）签字并加盖公章之日起生效。</w:t>
      </w:r>
    </w:p>
    <w:p w14:paraId="79ACBAFD">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担 保 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（盖单位章）</w:t>
      </w:r>
    </w:p>
    <w:p w14:paraId="2BE5BB0E">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法定代表人或其委托代理人：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（签字）</w:t>
      </w:r>
    </w:p>
    <w:p w14:paraId="587E484F">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 xml:space="preserve">                                      </w:t>
      </w:r>
    </w:p>
    <w:p w14:paraId="50BC425E">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 xml:space="preserve">                                      </w:t>
      </w:r>
    </w:p>
    <w:p w14:paraId="245395F8">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 xml:space="preserve">                                      </w:t>
      </w:r>
    </w:p>
    <w:p w14:paraId="22140BD3">
      <w:pPr>
        <w:keepNext w:val="0"/>
        <w:keepLines w:val="0"/>
        <w:pageBreakBefore w:val="0"/>
        <w:kinsoku/>
        <w:wordWrap/>
        <w:overflowPunct/>
        <w:topLinePunct w:val="0"/>
        <w:autoSpaceDE/>
        <w:autoSpaceDN/>
        <w:bidi w:val="0"/>
        <w:adjustRightInd/>
        <w:snapToGrid/>
        <w:spacing w:after="200" w:afterLines="0" w:line="38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 xml:space="preserve">                                      </w:t>
      </w:r>
    </w:p>
    <w:p w14:paraId="49412AB6">
      <w:pPr>
        <w:keepNext w:val="0"/>
        <w:keepLines w:val="0"/>
        <w:pageBreakBefore w:val="0"/>
        <w:kinsoku/>
        <w:wordWrap/>
        <w:overflowPunct/>
        <w:topLinePunct w:val="0"/>
        <w:autoSpaceDE/>
        <w:autoSpaceDN/>
        <w:bidi w:val="0"/>
        <w:adjustRightInd/>
        <w:snapToGrid/>
        <w:spacing w:after="200" w:afterLines="0" w:line="380" w:lineRule="exact"/>
        <w:ind w:left="1329" w:hanging="1772" w:hangingChars="633"/>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w:t>
      </w:r>
    </w:p>
    <w:p w14:paraId="1C357F99">
      <w:pPr>
        <w:keepNext w:val="0"/>
        <w:keepLines w:val="0"/>
        <w:pageBreakBefore w:val="0"/>
        <w:kinsoku/>
        <w:wordWrap/>
        <w:overflowPunct/>
        <w:topLinePunct w:val="0"/>
        <w:autoSpaceDE/>
        <w:autoSpaceDN/>
        <w:bidi w:val="0"/>
        <w:adjustRightInd/>
        <w:snapToGrid/>
        <w:spacing w:after="200" w:afterLines="0" w:line="420" w:lineRule="exact"/>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附</w:t>
      </w:r>
      <w:bookmarkStart w:id="644" w:name="_Toc267261702"/>
      <w:bookmarkStart w:id="645" w:name="_Toc296944571"/>
      <w:bookmarkStart w:id="646" w:name="_Toc296891272"/>
      <w:bookmarkStart w:id="647" w:name="_Toc296503232"/>
      <w:bookmarkStart w:id="648" w:name="_Toc296891060"/>
      <w:bookmarkStart w:id="649" w:name="_Toc296347231"/>
      <w:bookmarkStart w:id="650" w:name="_Toc296346733"/>
      <w:r>
        <w:rPr>
          <w:rFonts w:hint="eastAsia" w:ascii="仿宋" w:hAnsi="仿宋" w:eastAsia="仿宋" w:cs="仿宋"/>
          <w:color w:val="000000"/>
          <w:sz w:val="28"/>
          <w:szCs w:val="28"/>
          <w:highlight w:val="none"/>
        </w:rPr>
        <w:t>件9 ：</w:t>
      </w:r>
      <w:bookmarkEnd w:id="644"/>
      <w:bookmarkEnd w:id="645"/>
      <w:bookmarkEnd w:id="646"/>
      <w:bookmarkEnd w:id="647"/>
      <w:bookmarkEnd w:id="648"/>
      <w:bookmarkEnd w:id="649"/>
      <w:bookmarkEnd w:id="650"/>
      <w:r>
        <w:rPr>
          <w:rFonts w:hint="eastAsia" w:ascii="仿宋" w:hAnsi="仿宋" w:eastAsia="仿宋" w:cs="仿宋"/>
          <w:color w:val="000000"/>
          <w:sz w:val="28"/>
          <w:szCs w:val="28"/>
          <w:highlight w:val="none"/>
        </w:rPr>
        <w:t xml:space="preserve">               </w:t>
      </w:r>
      <w:r>
        <w:rPr>
          <w:rFonts w:hint="eastAsia" w:ascii="仿宋" w:hAnsi="仿宋" w:eastAsia="仿宋" w:cs="仿宋"/>
          <w:b/>
          <w:color w:val="000000"/>
          <w:sz w:val="28"/>
          <w:szCs w:val="28"/>
          <w:highlight w:val="none"/>
        </w:rPr>
        <w:t xml:space="preserve"> </w:t>
      </w:r>
    </w:p>
    <w:p w14:paraId="027C03BB">
      <w:pPr>
        <w:keepNext w:val="0"/>
        <w:keepLines w:val="0"/>
        <w:pageBreakBefore w:val="0"/>
        <w:kinsoku/>
        <w:wordWrap/>
        <w:overflowPunct/>
        <w:topLinePunct w:val="0"/>
        <w:autoSpaceDE/>
        <w:autoSpaceDN/>
        <w:bidi w:val="0"/>
        <w:adjustRightInd/>
        <w:snapToGrid/>
        <w:spacing w:after="200" w:afterLines="0" w:line="420" w:lineRule="exact"/>
        <w:jc w:val="center"/>
        <w:textAlignment w:val="auto"/>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预付款担保</w:t>
      </w:r>
    </w:p>
    <w:p w14:paraId="1C532A44">
      <w:pPr>
        <w:keepNext w:val="0"/>
        <w:keepLines w:val="0"/>
        <w:pageBreakBefore w:val="0"/>
        <w:kinsoku/>
        <w:wordWrap/>
        <w:overflowPunct/>
        <w:topLinePunct w:val="0"/>
        <w:autoSpaceDE/>
        <w:autoSpaceDN/>
        <w:bidi w:val="0"/>
        <w:adjustRightInd/>
        <w:snapToGrid/>
        <w:spacing w:after="200" w:afterLines="0" w:line="36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（发包人名称）：</w:t>
      </w:r>
    </w:p>
    <w:p w14:paraId="2531320F">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根据</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（承包人名称）（以下称“承包人”）与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（发包人名称）（以下简称“发包人”）于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日签订的</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1190A7FB">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担保金额人民币（大写）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575D2A8F">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担保有效期自预付款支付给承包人起生效，至你方签发的进度款支付证书说明已完全扣清止。</w:t>
      </w:r>
    </w:p>
    <w:p w14:paraId="1539CADF">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5070D67A">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 你方和承包人按合同约定变更合同时，我方承担本保函规定的义务不变。</w:t>
      </w:r>
    </w:p>
    <w:p w14:paraId="10C0272C">
      <w:pPr>
        <w:keepNext w:val="0"/>
        <w:keepLines w:val="0"/>
        <w:pageBreakBefore w:val="0"/>
        <w:kinsoku/>
        <w:wordWrap/>
        <w:overflowPunct/>
        <w:topLinePunct w:val="0"/>
        <w:autoSpaceDE/>
        <w:autoSpaceDN/>
        <w:bidi w:val="0"/>
        <w:adjustRightInd/>
        <w:snapToGrid/>
        <w:spacing w:after="200" w:afterLines="0" w:line="36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 因本保函发生的纠纷，可由双方协商解决，协商不成的，任何一方均可提请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仲裁委员会仲裁。</w:t>
      </w:r>
    </w:p>
    <w:p w14:paraId="2A2FEE28">
      <w:pPr>
        <w:keepNext w:val="0"/>
        <w:keepLines w:val="0"/>
        <w:pageBreakBefore w:val="0"/>
        <w:kinsoku/>
        <w:wordWrap/>
        <w:overflowPunct/>
        <w:topLinePunct w:val="0"/>
        <w:autoSpaceDE/>
        <w:autoSpaceDN/>
        <w:bidi w:val="0"/>
        <w:adjustRightInd/>
        <w:snapToGrid/>
        <w:spacing w:after="200" w:afterLines="0" w:line="36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 本保函自我方法定代表人（或其授权代理人）签字并加盖公章之日起生效。</w:t>
      </w:r>
    </w:p>
    <w:p w14:paraId="6E61C266">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担保人：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（盖单位章）</w:t>
      </w:r>
    </w:p>
    <w:p w14:paraId="0438A76C">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法定代表人或其委托代理人：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（签字）</w:t>
      </w:r>
    </w:p>
    <w:p w14:paraId="348B3996">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p>
    <w:p w14:paraId="5C0F42B6">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p>
    <w:p w14:paraId="6CA05DA6">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p>
    <w:p w14:paraId="506140F7">
      <w:pPr>
        <w:keepNext w:val="0"/>
        <w:keepLines w:val="0"/>
        <w:pageBreakBefore w:val="0"/>
        <w:kinsoku/>
        <w:wordWrap/>
        <w:overflowPunct/>
        <w:topLinePunct w:val="0"/>
        <w:autoSpaceDE/>
        <w:autoSpaceDN/>
        <w:bidi w:val="0"/>
        <w:adjustRightInd/>
        <w:snapToGrid/>
        <w:spacing w:after="200" w:afterLines="0" w:line="360" w:lineRule="exact"/>
        <w:ind w:firstLine="560" w:firstLineChars="200"/>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r>
        <w:rPr>
          <w:rFonts w:hint="eastAsia" w:ascii="仿宋" w:hAnsi="仿宋" w:eastAsia="仿宋" w:cs="仿宋"/>
          <w:color w:val="000000"/>
          <w:sz w:val="28"/>
          <w:szCs w:val="28"/>
          <w:highlight w:val="none"/>
          <w:u w:val="single"/>
        </w:rPr>
        <w:tab/>
      </w:r>
    </w:p>
    <w:p w14:paraId="669AC27A">
      <w:pPr>
        <w:keepNext w:val="0"/>
        <w:keepLines w:val="0"/>
        <w:pageBreakBefore w:val="0"/>
        <w:kinsoku/>
        <w:wordWrap/>
        <w:overflowPunct/>
        <w:topLinePunct w:val="0"/>
        <w:autoSpaceDE/>
        <w:autoSpaceDN/>
        <w:bidi w:val="0"/>
        <w:adjustRightInd/>
        <w:snapToGrid/>
        <w:spacing w:after="200" w:afterLines="0" w:line="36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w:t>
      </w:r>
    </w:p>
    <w:p w14:paraId="02B15EBE">
      <w:pPr>
        <w:keepNext w:val="0"/>
        <w:keepLines w:val="0"/>
        <w:pageBreakBefore w:val="0"/>
        <w:kinsoku/>
        <w:wordWrap/>
        <w:overflowPunct/>
        <w:topLinePunct w:val="0"/>
        <w:autoSpaceDE/>
        <w:autoSpaceDN/>
        <w:bidi w:val="0"/>
        <w:adjustRightInd/>
        <w:snapToGrid/>
        <w:spacing w:after="200" w:afterLines="0" w:line="400" w:lineRule="exact"/>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br w:type="page"/>
      </w:r>
      <w:r>
        <w:rPr>
          <w:rFonts w:hint="eastAsia" w:ascii="仿宋" w:hAnsi="仿宋" w:eastAsia="仿宋" w:cs="仿宋"/>
          <w:color w:val="000000"/>
          <w:sz w:val="28"/>
          <w:szCs w:val="28"/>
          <w:highlight w:val="none"/>
        </w:rPr>
        <w:t>附</w:t>
      </w:r>
      <w:bookmarkStart w:id="651" w:name="_Toc296944572"/>
      <w:bookmarkStart w:id="652" w:name="_Toc296347232"/>
      <w:bookmarkStart w:id="653" w:name="_Toc296346734"/>
      <w:bookmarkStart w:id="654" w:name="_Toc296891273"/>
      <w:bookmarkStart w:id="655" w:name="_Toc296503233"/>
      <w:bookmarkStart w:id="656" w:name="_Toc296891061"/>
      <w:r>
        <w:rPr>
          <w:rFonts w:hint="eastAsia" w:ascii="仿宋" w:hAnsi="仿宋" w:eastAsia="仿宋" w:cs="仿宋"/>
          <w:color w:val="000000"/>
          <w:sz w:val="28"/>
          <w:szCs w:val="28"/>
          <w:highlight w:val="none"/>
        </w:rPr>
        <w:t>件10:</w:t>
      </w:r>
      <w:bookmarkEnd w:id="651"/>
      <w:bookmarkEnd w:id="652"/>
      <w:bookmarkEnd w:id="653"/>
      <w:bookmarkEnd w:id="654"/>
      <w:bookmarkEnd w:id="655"/>
      <w:bookmarkEnd w:id="656"/>
      <w:r>
        <w:rPr>
          <w:rFonts w:hint="eastAsia" w:ascii="仿宋" w:hAnsi="仿宋" w:eastAsia="仿宋" w:cs="仿宋"/>
          <w:color w:val="000000"/>
          <w:sz w:val="28"/>
          <w:szCs w:val="28"/>
          <w:highlight w:val="none"/>
        </w:rPr>
        <w:t xml:space="preserve">                   </w:t>
      </w:r>
    </w:p>
    <w:p w14:paraId="066C7014">
      <w:pPr>
        <w:keepNext w:val="0"/>
        <w:keepLines w:val="0"/>
        <w:pageBreakBefore w:val="0"/>
        <w:kinsoku/>
        <w:wordWrap/>
        <w:overflowPunct/>
        <w:topLinePunct w:val="0"/>
        <w:autoSpaceDE/>
        <w:autoSpaceDN/>
        <w:bidi w:val="0"/>
        <w:adjustRightInd/>
        <w:snapToGrid/>
        <w:spacing w:after="200" w:afterLines="0" w:line="400" w:lineRule="exact"/>
        <w:jc w:val="center"/>
        <w:textAlignment w:val="auto"/>
        <w:outlineLvl w:val="9"/>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支付担保</w:t>
      </w:r>
    </w:p>
    <w:p w14:paraId="00DEA814">
      <w:pPr>
        <w:keepNext w:val="0"/>
        <w:keepLines w:val="0"/>
        <w:pageBreakBefore w:val="0"/>
        <w:kinsoku/>
        <w:wordWrap/>
        <w:overflowPunct/>
        <w:topLinePunct w:val="0"/>
        <w:autoSpaceDE/>
        <w:autoSpaceDN/>
        <w:bidi w:val="0"/>
        <w:adjustRightInd/>
        <w:snapToGrid/>
        <w:spacing w:after="200" w:afterLines="0" w:line="400" w:lineRule="exact"/>
        <w:jc w:val="left"/>
        <w:textAlignment w:val="auto"/>
        <w:outlineLvl w:val="9"/>
        <w:rPr>
          <w:rFonts w:hint="eastAsia" w:ascii="仿宋" w:hAnsi="仿宋" w:eastAsia="仿宋" w:cs="仿宋"/>
          <w:color w:val="000000"/>
          <w:sz w:val="28"/>
          <w:szCs w:val="28"/>
          <w:highlight w:val="none"/>
          <w:u w:val="single"/>
        </w:rPr>
      </w:pPr>
    </w:p>
    <w:p w14:paraId="431EB0E8">
      <w:pPr>
        <w:keepNext w:val="0"/>
        <w:keepLines w:val="0"/>
        <w:pageBreakBefore w:val="0"/>
        <w:kinsoku/>
        <w:wordWrap/>
        <w:overflowPunct/>
        <w:topLinePunct w:val="0"/>
        <w:autoSpaceDE/>
        <w:autoSpaceDN/>
        <w:bidi w:val="0"/>
        <w:adjustRightInd/>
        <w:snapToGrid/>
        <w:spacing w:after="200" w:afterLines="0" w:line="400" w:lineRule="exact"/>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（承包人）：</w:t>
      </w:r>
    </w:p>
    <w:p w14:paraId="12C3A94D">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鉴于你方作为承包人已经与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rPr>
        <w:t>（发包人名称）（以下称“发包人”）于</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日签订了</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（工程名称）《建设工程施工合同》（以下称“主合同”），应发包人的申请，我方愿就发包人履行主合同约定的工程款支付义务以保证的方式向你方提供如下担保：</w:t>
      </w:r>
    </w:p>
    <w:p w14:paraId="7D59BBC7">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一、保证的范围及保证金额</w:t>
      </w:r>
    </w:p>
    <w:p w14:paraId="74ADBE68">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我方的保证范围是主合同约定的工程款。</w:t>
      </w:r>
    </w:p>
    <w:p w14:paraId="022FC56D">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本保函所称主合同约定的工程款是指主合同约定的除工程质量保证金以外的合同价款。</w:t>
      </w:r>
    </w:p>
    <w:p w14:paraId="478F54DC">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我方保证的金额是主合同约定的工程款的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%，数额最高不超过¥</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元（大写：</w:t>
      </w:r>
      <w:r>
        <w:rPr>
          <w:rFonts w:hint="eastAsia" w:ascii="仿宋" w:hAnsi="仿宋" w:eastAsia="仿宋" w:cs="仿宋"/>
          <w:color w:val="000000"/>
          <w:sz w:val="28"/>
          <w:szCs w:val="28"/>
          <w:highlight w:val="none"/>
          <w:lang w:val="en-US" w:eastAsia="zh-CN"/>
        </w:rPr>
        <w:t>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14:paraId="37139D6B">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二、保证的方式及保证期间</w:t>
      </w:r>
    </w:p>
    <w:p w14:paraId="56D4C882">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我方保证的方式为：连带责任保证。</w:t>
      </w:r>
    </w:p>
    <w:p w14:paraId="0D0C3734">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我方保证的期间为：自本合同生效之日起至主合同约定的工程款支付完毕之日后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日内。</w:t>
      </w:r>
    </w:p>
    <w:p w14:paraId="016D8DE7">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你方与发包人协议变更工程款支付日期的，经我方书面同意后，保证期间按照变更后的支付日期做相应调整。</w:t>
      </w:r>
    </w:p>
    <w:p w14:paraId="27BB4230">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三、承担保证责任的形式</w:t>
      </w:r>
    </w:p>
    <w:p w14:paraId="5D2741B9">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我方承担保证责任的形式是代为支付。发包人未按主合同约定向你方支付工程款的，由我方在保证金额内代为支付。</w:t>
      </w:r>
    </w:p>
    <w:p w14:paraId="256FF207">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四、代偿的安排</w:t>
      </w:r>
    </w:p>
    <w:p w14:paraId="76737D4E">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你方要求我方承担保证责任的，应向我方发出书面索赔通知及发包人未支付主合同约定工程款的证明材料。索赔通知应写明要求索赔的金额，支付款项应到达的账号。</w:t>
      </w:r>
    </w:p>
    <w:p w14:paraId="77567839">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3749B7F">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我方收到你方的书面索赔通知及相应的证明材料后７天内无条件支付。</w:t>
      </w:r>
    </w:p>
    <w:p w14:paraId="7665BC18">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五、保证责任的解除</w:t>
      </w:r>
    </w:p>
    <w:p w14:paraId="57B0610F">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在本保函承诺的保证期间内，你方未书面向我方主张保证责任的，自保证期间届满次日起，我方保证责任解除。</w:t>
      </w:r>
    </w:p>
    <w:p w14:paraId="783C9DF6">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发包人按主合同约定履行了工程款的全部支付义务的，自本保函承诺的保证期间届满次日起，我方保证责任解除。</w:t>
      </w:r>
    </w:p>
    <w:p w14:paraId="09D9E569">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我方按照本保函向你方履行保证责任所支付金额达到本保函保证金额时，自我方向你方支付（支付款项从我方账户划出）之日起，保证责任即解除。</w:t>
      </w:r>
    </w:p>
    <w:p w14:paraId="007425F7">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 按照法律法规的规定或出现应解除我方保证责任的其他情形的，我方在本保函项下的保证责任亦解除。</w:t>
      </w:r>
    </w:p>
    <w:p w14:paraId="77CFAEDC">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 我方解除保证责任后，你方应自我方保证责任解除之日起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个工作日内，将本保函原件返还我方。</w:t>
      </w:r>
    </w:p>
    <w:p w14:paraId="2B648232">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六、免责条款</w:t>
      </w:r>
    </w:p>
    <w:p w14:paraId="08FEAA7A">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因你方违约致使发包人不能履行义务的，我方不承担保证责任。</w:t>
      </w:r>
    </w:p>
    <w:p w14:paraId="716E9B4E">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依照法律法规的规定或你方与发包人的另行约定，免除发包人部分或全部义务的，我方亦免除其相应的保证责任。</w:t>
      </w:r>
    </w:p>
    <w:p w14:paraId="11EB0D06">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6E547984">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 因不可抗力造成发包人不能履行义务的，我方不承担保证责任。</w:t>
      </w:r>
    </w:p>
    <w:p w14:paraId="09472F75">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七、争议解决</w:t>
      </w:r>
    </w:p>
    <w:p w14:paraId="011387AA">
      <w:pPr>
        <w:keepNext w:val="0"/>
        <w:keepLines w:val="0"/>
        <w:pageBreakBefore w:val="0"/>
        <w:kinsoku/>
        <w:wordWrap/>
        <w:overflowPunct/>
        <w:topLinePunct w:val="0"/>
        <w:autoSpaceDE/>
        <w:autoSpaceDN/>
        <w:bidi w:val="0"/>
        <w:adjustRightInd/>
        <w:snapToGrid/>
        <w:spacing w:after="120" w:afterLines="0" w:line="400" w:lineRule="exact"/>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因本保函或本保函相关事项发生的纠纷，可由双方协商解决，协商不成的，按下列第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种方式解决：</w:t>
      </w:r>
    </w:p>
    <w:p w14:paraId="237D0A84">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仲裁委员会申请仲裁；</w:t>
      </w:r>
    </w:p>
    <w:p w14:paraId="6A65E82E">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人民法院起诉。</w:t>
      </w:r>
    </w:p>
    <w:p w14:paraId="170C3D32">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八、保函的生效</w:t>
      </w:r>
    </w:p>
    <w:p w14:paraId="6A9C39E2">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本保函自我方法定代表人（或其授权代理人）签字并加盖公章之日起生效。</w:t>
      </w:r>
    </w:p>
    <w:p w14:paraId="7F34BE2A">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p>
    <w:p w14:paraId="48EF3AE3">
      <w:pPr>
        <w:keepNext w:val="0"/>
        <w:keepLines w:val="0"/>
        <w:pageBreakBefore w:val="0"/>
        <w:kinsoku/>
        <w:wordWrap/>
        <w:overflowPunct/>
        <w:topLinePunct w:val="0"/>
        <w:autoSpaceDE/>
        <w:autoSpaceDN/>
        <w:bidi w:val="0"/>
        <w:adjustRightInd/>
        <w:snapToGrid/>
        <w:spacing w:after="200" w:afterLines="0" w:line="400" w:lineRule="exact"/>
        <w:ind w:right="600"/>
        <w:jc w:val="left"/>
        <w:textAlignment w:val="auto"/>
        <w:outlineLvl w:val="9"/>
        <w:rPr>
          <w:rFonts w:hint="eastAsia" w:ascii="仿宋" w:hAnsi="仿宋" w:eastAsia="仿宋" w:cs="仿宋"/>
          <w:color w:val="000000"/>
          <w:sz w:val="28"/>
          <w:szCs w:val="28"/>
          <w:highlight w:val="none"/>
        </w:rPr>
      </w:pPr>
    </w:p>
    <w:p w14:paraId="48C8E5C9">
      <w:pPr>
        <w:keepNext w:val="0"/>
        <w:keepLines w:val="0"/>
        <w:pageBreakBefore w:val="0"/>
        <w:kinsoku/>
        <w:wordWrap/>
        <w:overflowPunct/>
        <w:topLinePunct w:val="0"/>
        <w:autoSpaceDE/>
        <w:autoSpaceDN/>
        <w:bidi w:val="0"/>
        <w:adjustRightInd/>
        <w:snapToGrid/>
        <w:spacing w:after="200" w:afterLines="0" w:line="400" w:lineRule="exact"/>
        <w:ind w:right="600"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担保人：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（盖章）</w:t>
      </w:r>
    </w:p>
    <w:p w14:paraId="1022E698">
      <w:pPr>
        <w:keepNext w:val="0"/>
        <w:keepLines w:val="0"/>
        <w:pageBreakBefore w:val="0"/>
        <w:kinsoku/>
        <w:wordWrap/>
        <w:overflowPunct/>
        <w:topLinePunct w:val="0"/>
        <w:autoSpaceDE/>
        <w:autoSpaceDN/>
        <w:bidi w:val="0"/>
        <w:adjustRightInd/>
        <w:snapToGrid/>
        <w:spacing w:after="200" w:afterLines="0" w:line="400" w:lineRule="exact"/>
        <w:ind w:right="1200"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法定代表人或委托代理人：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（签字）</w:t>
      </w:r>
    </w:p>
    <w:p w14:paraId="238DF496">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 xml:space="preserve">                                        </w:t>
      </w:r>
    </w:p>
    <w:p w14:paraId="73663411">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 xml:space="preserve">                                        </w:t>
      </w:r>
    </w:p>
    <w:p w14:paraId="082CFB7A">
      <w:pPr>
        <w:keepNext w:val="0"/>
        <w:keepLines w:val="0"/>
        <w:pageBreakBefore w:val="0"/>
        <w:kinsoku/>
        <w:wordWrap/>
        <w:overflowPunct/>
        <w:topLinePunct w:val="0"/>
        <w:autoSpaceDE/>
        <w:autoSpaceDN/>
        <w:bidi w:val="0"/>
        <w:adjustRightInd/>
        <w:snapToGrid/>
        <w:spacing w:after="200" w:afterLines="0" w:line="400" w:lineRule="exact"/>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 xml:space="preserve">                                        </w:t>
      </w:r>
    </w:p>
    <w:p w14:paraId="7820601E">
      <w:pPr>
        <w:keepNext w:val="0"/>
        <w:keepLines w:val="0"/>
        <w:pageBreakBefore w:val="0"/>
        <w:kinsoku/>
        <w:wordWrap/>
        <w:overflowPunct/>
        <w:topLinePunct w:val="0"/>
        <w:autoSpaceDE/>
        <w:autoSpaceDN/>
        <w:bidi w:val="0"/>
        <w:adjustRightInd/>
        <w:snapToGrid/>
        <w:spacing w:after="200" w:afterLines="0" w:line="400" w:lineRule="exact"/>
        <w:ind w:right="15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w:t>
      </w:r>
    </w:p>
    <w:p w14:paraId="57DB4AC6">
      <w:pPr>
        <w:spacing w:after="200" w:afterLines="0" w:line="60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r>
        <w:rPr>
          <w:rFonts w:hint="eastAsia" w:ascii="仿宋" w:hAnsi="仿宋" w:eastAsia="仿宋" w:cs="仿宋"/>
          <w:color w:val="000000"/>
          <w:sz w:val="28"/>
          <w:szCs w:val="28"/>
          <w:highlight w:val="none"/>
        </w:rPr>
        <w:t xml:space="preserve">附件11：        </w:t>
      </w:r>
    </w:p>
    <w:p w14:paraId="37DF4A5E">
      <w:pPr>
        <w:spacing w:after="200" w:afterLines="0" w:line="600" w:lineRule="exact"/>
        <w:jc w:val="center"/>
        <w:outlineLvl w:val="9"/>
        <w:rPr>
          <w:rFonts w:hint="eastAsia" w:ascii="仿宋" w:hAnsi="仿宋" w:eastAsia="仿宋" w:cs="仿宋"/>
          <w:b/>
          <w:color w:val="000000"/>
          <w:sz w:val="28"/>
          <w:szCs w:val="28"/>
          <w:highlight w:val="none"/>
        </w:rPr>
      </w:pPr>
      <w:bookmarkStart w:id="657" w:name="_Toc23204"/>
      <w:bookmarkStart w:id="658" w:name="_Toc30276"/>
      <w:r>
        <w:rPr>
          <w:rFonts w:hint="eastAsia" w:ascii="仿宋" w:hAnsi="仿宋" w:eastAsia="仿宋" w:cs="仿宋"/>
          <w:b/>
          <w:color w:val="000000"/>
          <w:sz w:val="28"/>
          <w:szCs w:val="28"/>
          <w:highlight w:val="none"/>
        </w:rPr>
        <w:t>11-1：材料暂估价表</w:t>
      </w:r>
      <w:bookmarkEnd w:id="657"/>
      <w:bookmarkEnd w:id="658"/>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5A5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713CF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984" w:type="dxa"/>
            <w:tcBorders>
              <w:top w:val="single" w:color="auto" w:sz="12" w:space="0"/>
              <w:bottom w:val="double" w:color="auto" w:sz="6" w:space="0"/>
            </w:tcBorders>
            <w:noWrap w:val="0"/>
            <w:vAlign w:val="top"/>
          </w:tcPr>
          <w:p w14:paraId="7E2373D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名称</w:t>
            </w:r>
          </w:p>
        </w:tc>
        <w:tc>
          <w:tcPr>
            <w:tcW w:w="851" w:type="dxa"/>
            <w:tcBorders>
              <w:top w:val="single" w:color="auto" w:sz="12" w:space="0"/>
              <w:bottom w:val="double" w:color="auto" w:sz="6" w:space="0"/>
            </w:tcBorders>
            <w:noWrap w:val="0"/>
            <w:vAlign w:val="top"/>
          </w:tcPr>
          <w:p w14:paraId="0C5F20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单位</w:t>
            </w:r>
          </w:p>
        </w:tc>
        <w:tc>
          <w:tcPr>
            <w:tcW w:w="774" w:type="dxa"/>
            <w:tcBorders>
              <w:top w:val="single" w:color="auto" w:sz="12" w:space="0"/>
              <w:bottom w:val="double" w:color="auto" w:sz="6" w:space="0"/>
            </w:tcBorders>
            <w:noWrap w:val="0"/>
            <w:vAlign w:val="top"/>
          </w:tcPr>
          <w:p w14:paraId="017AD8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352" w:type="dxa"/>
            <w:tcBorders>
              <w:top w:val="single" w:color="auto" w:sz="12" w:space="0"/>
              <w:bottom w:val="double" w:color="auto" w:sz="6" w:space="0"/>
            </w:tcBorders>
            <w:noWrap w:val="0"/>
            <w:vAlign w:val="top"/>
          </w:tcPr>
          <w:p w14:paraId="56DAA7C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单价（元）</w:t>
            </w:r>
          </w:p>
        </w:tc>
        <w:tc>
          <w:tcPr>
            <w:tcW w:w="1418" w:type="dxa"/>
            <w:tcBorders>
              <w:top w:val="single" w:color="auto" w:sz="12" w:space="0"/>
              <w:bottom w:val="double" w:color="auto" w:sz="6" w:space="0"/>
            </w:tcBorders>
            <w:noWrap w:val="0"/>
            <w:vAlign w:val="top"/>
          </w:tcPr>
          <w:p w14:paraId="4A00C3E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合价（元）</w:t>
            </w:r>
          </w:p>
        </w:tc>
        <w:tc>
          <w:tcPr>
            <w:tcW w:w="1701" w:type="dxa"/>
            <w:tcBorders>
              <w:top w:val="single" w:color="auto" w:sz="12" w:space="0"/>
              <w:bottom w:val="double" w:color="auto" w:sz="6" w:space="0"/>
            </w:tcBorders>
            <w:noWrap w:val="0"/>
            <w:vAlign w:val="top"/>
          </w:tcPr>
          <w:p w14:paraId="4160EB7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73C05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57971F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double" w:color="auto" w:sz="6" w:space="0"/>
              <w:bottom w:val="single" w:color="auto" w:sz="6" w:space="0"/>
            </w:tcBorders>
            <w:noWrap w:val="0"/>
            <w:vAlign w:val="top"/>
          </w:tcPr>
          <w:p w14:paraId="467D3E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top"/>
          </w:tcPr>
          <w:p w14:paraId="6F07C8F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double" w:color="auto" w:sz="6" w:space="0"/>
              <w:bottom w:val="single" w:color="auto" w:sz="6" w:space="0"/>
            </w:tcBorders>
            <w:noWrap w:val="0"/>
            <w:vAlign w:val="top"/>
          </w:tcPr>
          <w:p w14:paraId="75B79CE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double" w:color="auto" w:sz="6" w:space="0"/>
              <w:bottom w:val="single" w:color="auto" w:sz="6" w:space="0"/>
            </w:tcBorders>
            <w:noWrap w:val="0"/>
            <w:vAlign w:val="top"/>
          </w:tcPr>
          <w:p w14:paraId="4D54ABB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double" w:color="auto" w:sz="6" w:space="0"/>
              <w:bottom w:val="single" w:color="auto" w:sz="6" w:space="0"/>
            </w:tcBorders>
            <w:noWrap w:val="0"/>
            <w:vAlign w:val="top"/>
          </w:tcPr>
          <w:p w14:paraId="1B5B2A8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double" w:color="auto" w:sz="6" w:space="0"/>
              <w:bottom w:val="single" w:color="auto" w:sz="6" w:space="0"/>
            </w:tcBorders>
            <w:noWrap w:val="0"/>
            <w:vAlign w:val="top"/>
          </w:tcPr>
          <w:p w14:paraId="5443924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C055A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1F3A6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nil"/>
            </w:tcBorders>
            <w:noWrap w:val="0"/>
            <w:vAlign w:val="top"/>
          </w:tcPr>
          <w:p w14:paraId="775327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top"/>
          </w:tcPr>
          <w:p w14:paraId="7CBADC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nil"/>
            </w:tcBorders>
            <w:noWrap w:val="0"/>
            <w:vAlign w:val="top"/>
          </w:tcPr>
          <w:p w14:paraId="01CBDDB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nil"/>
            </w:tcBorders>
            <w:noWrap w:val="0"/>
            <w:vAlign w:val="top"/>
          </w:tcPr>
          <w:p w14:paraId="060E0A5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nil"/>
            </w:tcBorders>
            <w:noWrap w:val="0"/>
            <w:vAlign w:val="top"/>
          </w:tcPr>
          <w:p w14:paraId="6F6E2BE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nil"/>
            </w:tcBorders>
            <w:noWrap w:val="0"/>
            <w:vAlign w:val="top"/>
          </w:tcPr>
          <w:p w14:paraId="78A9E43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AD3C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4A8E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2A7334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6D4828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DEE743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B8EDF3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C9F62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1F6028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340F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7F8E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FA2F29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DE44E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9E1502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4C1EA0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11A45F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08E9F2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2168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D638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06E6DF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30F97B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C34DFC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F0AABB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E5A3D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EFCD0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F428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845C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F87F2E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5D557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85276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66806F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5A3894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F31A8E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30FC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18E1A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19DF00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62F469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57BEDC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FE4380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7E4592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7D9BD0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1503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EE53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501B86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6D287D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741FFF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EAC57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29FE7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2F6727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CDE9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AD8EC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DE5944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891D33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BC1974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108939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6F03B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8FEAF5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E8F4A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10D83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B7071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9A4CF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3B515F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0EB805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42EF7F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70DE0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24BB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CADB0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1DA37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1F381C8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73C977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4A2CE2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31993D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C4FAEF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2A768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DACF2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504269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8342CD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8D5F02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447AF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9E4C07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D24531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962D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EA2BF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8F537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034856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88BD17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481174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05B3C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06D2B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A62D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B87D6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B0E293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19547EB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63631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1D3397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EED2B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54E54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7193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5DA2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0A1E7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051DCA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C10399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CE078B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DEEE63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0313B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890D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A27EC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0A6DC5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D41D13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DD0506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4B13F5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00D71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D7EB52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528A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98A0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5905E5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12E3A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C3F935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077068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2DB2D0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78425D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B12EB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6B480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5B3D6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819491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C2823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DB5CA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F58CD2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5EF79E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2378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5F5B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949882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40D8BB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A2F59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986A1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CC495B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850BB3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4A5F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D335A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19C507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EB3E8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5363F2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E7FEF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B63A88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8253C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256D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2417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71BBCE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169CEF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AF42F1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65B5A7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B193A1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9EBF0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9E02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ADF4E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3BC27B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3CF573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8C9F5C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89D826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F99E0F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3E82C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B94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2158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8BDBBD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F66C15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419DE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229C54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88A7F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87E384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F764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942D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2C7FB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221BAE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45E0C9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E477D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F6D26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0E266B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4069DFCA">
      <w:pPr>
        <w:spacing w:before="156" w:beforeLines="50" w:after="156" w:afterLines="50" w:line="440" w:lineRule="exact"/>
        <w:outlineLvl w:val="9"/>
        <w:rPr>
          <w:rFonts w:hint="eastAsia" w:ascii="仿宋" w:hAnsi="仿宋" w:eastAsia="仿宋" w:cs="仿宋"/>
          <w:color w:val="000000"/>
          <w:sz w:val="24"/>
          <w:szCs w:val="24"/>
          <w:highlight w:val="none"/>
        </w:rPr>
      </w:pPr>
    </w:p>
    <w:p w14:paraId="7940F6B8">
      <w:pPr>
        <w:spacing w:before="156" w:beforeLines="50" w:after="156" w:afterLines="50" w:line="440" w:lineRule="exact"/>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11-2：工程设备暂估价表</w:t>
      </w:r>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7040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B47D4E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984" w:type="dxa"/>
            <w:tcBorders>
              <w:top w:val="single" w:color="auto" w:sz="12" w:space="0"/>
              <w:bottom w:val="double" w:color="auto" w:sz="6" w:space="0"/>
            </w:tcBorders>
            <w:noWrap w:val="0"/>
            <w:vAlign w:val="top"/>
          </w:tcPr>
          <w:p w14:paraId="6D393CC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名称</w:t>
            </w:r>
          </w:p>
        </w:tc>
        <w:tc>
          <w:tcPr>
            <w:tcW w:w="851" w:type="dxa"/>
            <w:tcBorders>
              <w:top w:val="single" w:color="auto" w:sz="12" w:space="0"/>
              <w:bottom w:val="double" w:color="auto" w:sz="6" w:space="0"/>
            </w:tcBorders>
            <w:noWrap w:val="0"/>
            <w:vAlign w:val="top"/>
          </w:tcPr>
          <w:p w14:paraId="0F42467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单位</w:t>
            </w:r>
          </w:p>
        </w:tc>
        <w:tc>
          <w:tcPr>
            <w:tcW w:w="774" w:type="dxa"/>
            <w:tcBorders>
              <w:top w:val="single" w:color="auto" w:sz="12" w:space="0"/>
              <w:bottom w:val="double" w:color="auto" w:sz="6" w:space="0"/>
            </w:tcBorders>
            <w:noWrap w:val="0"/>
            <w:vAlign w:val="top"/>
          </w:tcPr>
          <w:p w14:paraId="243458D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352" w:type="dxa"/>
            <w:tcBorders>
              <w:top w:val="single" w:color="auto" w:sz="12" w:space="0"/>
              <w:bottom w:val="double" w:color="auto" w:sz="6" w:space="0"/>
            </w:tcBorders>
            <w:noWrap w:val="0"/>
            <w:vAlign w:val="top"/>
          </w:tcPr>
          <w:p w14:paraId="66A0B1E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单价（元）</w:t>
            </w:r>
          </w:p>
        </w:tc>
        <w:tc>
          <w:tcPr>
            <w:tcW w:w="1418" w:type="dxa"/>
            <w:tcBorders>
              <w:top w:val="single" w:color="auto" w:sz="12" w:space="0"/>
              <w:bottom w:val="double" w:color="auto" w:sz="6" w:space="0"/>
            </w:tcBorders>
            <w:noWrap w:val="0"/>
            <w:vAlign w:val="top"/>
          </w:tcPr>
          <w:p w14:paraId="4DD131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合价（元）</w:t>
            </w:r>
          </w:p>
        </w:tc>
        <w:tc>
          <w:tcPr>
            <w:tcW w:w="1701" w:type="dxa"/>
            <w:tcBorders>
              <w:top w:val="single" w:color="auto" w:sz="12" w:space="0"/>
              <w:bottom w:val="double" w:color="auto" w:sz="6" w:space="0"/>
            </w:tcBorders>
            <w:noWrap w:val="0"/>
            <w:vAlign w:val="top"/>
          </w:tcPr>
          <w:p w14:paraId="5A3055A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406B85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C49B20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double" w:color="auto" w:sz="6" w:space="0"/>
              <w:bottom w:val="single" w:color="auto" w:sz="6" w:space="0"/>
            </w:tcBorders>
            <w:noWrap w:val="0"/>
            <w:vAlign w:val="top"/>
          </w:tcPr>
          <w:p w14:paraId="1DF7891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top"/>
          </w:tcPr>
          <w:p w14:paraId="0339A6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double" w:color="auto" w:sz="6" w:space="0"/>
              <w:bottom w:val="single" w:color="auto" w:sz="6" w:space="0"/>
            </w:tcBorders>
            <w:noWrap w:val="0"/>
            <w:vAlign w:val="top"/>
          </w:tcPr>
          <w:p w14:paraId="660AC10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double" w:color="auto" w:sz="6" w:space="0"/>
              <w:bottom w:val="single" w:color="auto" w:sz="6" w:space="0"/>
            </w:tcBorders>
            <w:noWrap w:val="0"/>
            <w:vAlign w:val="top"/>
          </w:tcPr>
          <w:p w14:paraId="3EED0A6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double" w:color="auto" w:sz="6" w:space="0"/>
              <w:bottom w:val="single" w:color="auto" w:sz="6" w:space="0"/>
            </w:tcBorders>
            <w:noWrap w:val="0"/>
            <w:vAlign w:val="top"/>
          </w:tcPr>
          <w:p w14:paraId="1D72049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double" w:color="auto" w:sz="6" w:space="0"/>
              <w:bottom w:val="single" w:color="auto" w:sz="6" w:space="0"/>
            </w:tcBorders>
            <w:noWrap w:val="0"/>
            <w:vAlign w:val="top"/>
          </w:tcPr>
          <w:p w14:paraId="411CEBC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67811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BC1D8F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nil"/>
            </w:tcBorders>
            <w:noWrap w:val="0"/>
            <w:vAlign w:val="top"/>
          </w:tcPr>
          <w:p w14:paraId="7D8311F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top"/>
          </w:tcPr>
          <w:p w14:paraId="0ECD9ED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nil"/>
            </w:tcBorders>
            <w:noWrap w:val="0"/>
            <w:vAlign w:val="top"/>
          </w:tcPr>
          <w:p w14:paraId="4C23EBF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nil"/>
            </w:tcBorders>
            <w:noWrap w:val="0"/>
            <w:vAlign w:val="top"/>
          </w:tcPr>
          <w:p w14:paraId="1B67B37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nil"/>
            </w:tcBorders>
            <w:noWrap w:val="0"/>
            <w:vAlign w:val="top"/>
          </w:tcPr>
          <w:p w14:paraId="36B7C6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nil"/>
            </w:tcBorders>
            <w:noWrap w:val="0"/>
            <w:vAlign w:val="top"/>
          </w:tcPr>
          <w:p w14:paraId="173324C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6DB4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453B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02C8F1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49E29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FD0D75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80365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AB19E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0C4025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60B9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A78C0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C53844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C652DD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409B18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529E09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D00797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A41E94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17418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6C8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035321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15B893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5B3D2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A6C4B7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45FE83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05E8E4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DCCA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4EB9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22441C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E4DC17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452A02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F8B706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E26A2A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396AEC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6C66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F238B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250F35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119B06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D58EA4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B37E7F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93DAA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6E6517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74C3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8940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945DB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2E705F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9FA3CD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38CD7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35CF5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A58FFF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4276A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B2E90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561B49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75BC85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8BBF2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F1A287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E12A2B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1CBB6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A8918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EF12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D50E6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E48A3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EE1B8C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81A827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9D8717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2176EE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F190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3D5CD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2330C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F35DC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C2DA45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51A10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977CD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1E42AF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0733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D28772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084BCD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815C0A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B560F3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3AD015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6CC241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20B931D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21EC1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AD4B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8440C6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AE422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2D8E76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78C008A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6C8F8D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D5843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BAD4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714AF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102E18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6872D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F5E8F1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CD6F64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72AD67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78BFC2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8BFB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2902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7CC43A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0AFB5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3F73B7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BD85E5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B2762A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5061FE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6392F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4AF9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234CA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6EC7C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1838AD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73B5C4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0C266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6FE6ED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ED7A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79D42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11A1D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CD4B6D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A0E9E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F2CCDD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272964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2649DD1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E841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ACEBBC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24BFF3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14B324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13A223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16491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30B8B3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211F558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E237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978B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3B0A9D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9CBB0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74A4A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38BF3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3814CB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B62C1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ABC18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1B4E2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EE880A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792FF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9D38EA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4817B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197EF6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6BBD83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E3062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C2B64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89656E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97507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DA11A9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B0D583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D2D47B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2A0ED6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95E1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573E9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B02A2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07EFA0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548D12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4FD118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ECE4FC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252643F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1419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4C40C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306AD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115EA4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5802A4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7B157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88AE0B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3167D7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9AE0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510D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16ECFC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42B377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2330E1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171E7C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B156A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FA6AA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36D3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7009E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9A0D6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2595A9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6A5AB8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982E74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E1C2FB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86909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0B11B590">
      <w:pPr>
        <w:spacing w:after="200" w:afterLines="0" w:line="440" w:lineRule="exact"/>
        <w:outlineLvl w:val="9"/>
        <w:rPr>
          <w:rFonts w:hint="eastAsia" w:ascii="仿宋" w:hAnsi="仿宋" w:eastAsia="仿宋" w:cs="仿宋"/>
          <w:color w:val="000000"/>
          <w:sz w:val="24"/>
          <w:szCs w:val="24"/>
          <w:highlight w:val="none"/>
        </w:rPr>
      </w:pPr>
    </w:p>
    <w:p w14:paraId="3816543E">
      <w:pPr>
        <w:jc w:val="center"/>
        <w:outlineLvl w:val="9"/>
        <w:rPr>
          <w:rFonts w:hint="eastAsia" w:ascii="仿宋" w:hAnsi="仿宋" w:eastAsia="仿宋" w:cs="仿宋"/>
          <w:b/>
          <w:color w:val="000000"/>
          <w:sz w:val="28"/>
          <w:szCs w:val="28"/>
          <w:highlight w:val="none"/>
        </w:rPr>
      </w:pPr>
      <w:r>
        <w:rPr>
          <w:rFonts w:hint="eastAsia" w:ascii="仿宋" w:hAnsi="仿宋" w:eastAsia="仿宋" w:cs="仿宋"/>
          <w:b/>
          <w:color w:val="000000"/>
          <w:sz w:val="24"/>
          <w:szCs w:val="24"/>
          <w:highlight w:val="none"/>
        </w:rPr>
        <w:br w:type="page"/>
      </w:r>
      <w:r>
        <w:rPr>
          <w:rFonts w:hint="eastAsia" w:ascii="仿宋" w:hAnsi="仿宋" w:eastAsia="仿宋" w:cs="仿宋"/>
          <w:b/>
          <w:color w:val="000000"/>
          <w:sz w:val="28"/>
          <w:szCs w:val="28"/>
          <w:highlight w:val="none"/>
        </w:rPr>
        <w:t>11-3：专业工程暂估价表</w:t>
      </w:r>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E25F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24D3FE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984" w:type="dxa"/>
            <w:tcBorders>
              <w:top w:val="single" w:color="auto" w:sz="12" w:space="0"/>
              <w:bottom w:val="double" w:color="auto" w:sz="6" w:space="0"/>
            </w:tcBorders>
            <w:noWrap w:val="0"/>
            <w:vAlign w:val="top"/>
          </w:tcPr>
          <w:p w14:paraId="3A67F4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名称</w:t>
            </w:r>
          </w:p>
        </w:tc>
        <w:tc>
          <w:tcPr>
            <w:tcW w:w="851" w:type="dxa"/>
            <w:tcBorders>
              <w:top w:val="single" w:color="auto" w:sz="12" w:space="0"/>
              <w:bottom w:val="double" w:color="auto" w:sz="6" w:space="0"/>
            </w:tcBorders>
            <w:noWrap w:val="0"/>
            <w:vAlign w:val="top"/>
          </w:tcPr>
          <w:p w14:paraId="77B576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单位</w:t>
            </w:r>
          </w:p>
        </w:tc>
        <w:tc>
          <w:tcPr>
            <w:tcW w:w="774" w:type="dxa"/>
            <w:tcBorders>
              <w:top w:val="single" w:color="auto" w:sz="12" w:space="0"/>
              <w:bottom w:val="double" w:color="auto" w:sz="6" w:space="0"/>
            </w:tcBorders>
            <w:noWrap w:val="0"/>
            <w:vAlign w:val="top"/>
          </w:tcPr>
          <w:p w14:paraId="404C027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352" w:type="dxa"/>
            <w:tcBorders>
              <w:top w:val="single" w:color="auto" w:sz="12" w:space="0"/>
              <w:bottom w:val="double" w:color="auto" w:sz="6" w:space="0"/>
            </w:tcBorders>
            <w:noWrap w:val="0"/>
            <w:vAlign w:val="top"/>
          </w:tcPr>
          <w:p w14:paraId="511B6D2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单价（元）</w:t>
            </w:r>
          </w:p>
        </w:tc>
        <w:tc>
          <w:tcPr>
            <w:tcW w:w="1418" w:type="dxa"/>
            <w:tcBorders>
              <w:top w:val="single" w:color="auto" w:sz="12" w:space="0"/>
              <w:bottom w:val="double" w:color="auto" w:sz="6" w:space="0"/>
            </w:tcBorders>
            <w:noWrap w:val="0"/>
            <w:vAlign w:val="top"/>
          </w:tcPr>
          <w:p w14:paraId="75CDBF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合价（元）</w:t>
            </w:r>
          </w:p>
        </w:tc>
        <w:tc>
          <w:tcPr>
            <w:tcW w:w="1701" w:type="dxa"/>
            <w:tcBorders>
              <w:top w:val="single" w:color="auto" w:sz="12" w:space="0"/>
              <w:bottom w:val="double" w:color="auto" w:sz="6" w:space="0"/>
            </w:tcBorders>
            <w:noWrap w:val="0"/>
            <w:vAlign w:val="top"/>
          </w:tcPr>
          <w:p w14:paraId="41383C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7DAF3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3278DAC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double" w:color="auto" w:sz="6" w:space="0"/>
              <w:bottom w:val="single" w:color="auto" w:sz="6" w:space="0"/>
            </w:tcBorders>
            <w:noWrap w:val="0"/>
            <w:vAlign w:val="top"/>
          </w:tcPr>
          <w:p w14:paraId="09A1F6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double" w:color="auto" w:sz="6" w:space="0"/>
              <w:bottom w:val="single" w:color="auto" w:sz="6" w:space="0"/>
            </w:tcBorders>
            <w:noWrap w:val="0"/>
            <w:vAlign w:val="top"/>
          </w:tcPr>
          <w:p w14:paraId="4F4DE7C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double" w:color="auto" w:sz="6" w:space="0"/>
              <w:bottom w:val="single" w:color="auto" w:sz="6" w:space="0"/>
            </w:tcBorders>
            <w:noWrap w:val="0"/>
            <w:vAlign w:val="top"/>
          </w:tcPr>
          <w:p w14:paraId="4101FCE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double" w:color="auto" w:sz="6" w:space="0"/>
              <w:bottom w:val="single" w:color="auto" w:sz="6" w:space="0"/>
            </w:tcBorders>
            <w:noWrap w:val="0"/>
            <w:vAlign w:val="top"/>
          </w:tcPr>
          <w:p w14:paraId="09C10E3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double" w:color="auto" w:sz="6" w:space="0"/>
              <w:bottom w:val="single" w:color="auto" w:sz="6" w:space="0"/>
            </w:tcBorders>
            <w:noWrap w:val="0"/>
            <w:vAlign w:val="top"/>
          </w:tcPr>
          <w:p w14:paraId="4DE599D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double" w:color="auto" w:sz="6" w:space="0"/>
              <w:bottom w:val="single" w:color="auto" w:sz="6" w:space="0"/>
            </w:tcBorders>
            <w:noWrap w:val="0"/>
            <w:vAlign w:val="top"/>
          </w:tcPr>
          <w:p w14:paraId="66AEDE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2599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11ED0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tcBorders>
              <w:top w:val="nil"/>
            </w:tcBorders>
            <w:noWrap w:val="0"/>
            <w:vAlign w:val="top"/>
          </w:tcPr>
          <w:p w14:paraId="28B2C2A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tcBorders>
              <w:top w:val="nil"/>
            </w:tcBorders>
            <w:noWrap w:val="0"/>
            <w:vAlign w:val="top"/>
          </w:tcPr>
          <w:p w14:paraId="5D591E9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tcBorders>
              <w:top w:val="nil"/>
            </w:tcBorders>
            <w:noWrap w:val="0"/>
            <w:vAlign w:val="top"/>
          </w:tcPr>
          <w:p w14:paraId="6E2B23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tcBorders>
              <w:top w:val="nil"/>
            </w:tcBorders>
            <w:noWrap w:val="0"/>
            <w:vAlign w:val="top"/>
          </w:tcPr>
          <w:p w14:paraId="5FCDBA9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tcBorders>
              <w:top w:val="nil"/>
            </w:tcBorders>
            <w:noWrap w:val="0"/>
            <w:vAlign w:val="top"/>
          </w:tcPr>
          <w:p w14:paraId="6FFDBBF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tcBorders>
              <w:top w:val="nil"/>
            </w:tcBorders>
            <w:noWrap w:val="0"/>
            <w:vAlign w:val="top"/>
          </w:tcPr>
          <w:p w14:paraId="5D0B88B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DE16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B9F7A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4BA787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CB6FD1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C5439F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C01623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0F5968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887AAB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6A27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BB5F2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CD1478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626FE78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5D069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B8B4D8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64FD1F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C2A17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D446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93272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9A2A18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B701BE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1D5AE7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F907DC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60574A1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48D33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12B5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8A5F0D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239AA86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6F2A3F3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2D48ED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A4B54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1B5F4B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F1B69F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EF0B1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06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336B24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3A82974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24AB91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B01228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4A9060B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9A7374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E357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C98C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F5A0D7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FAE641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33F78A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1CD9FE0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5AE326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23D8AC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FDB4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99307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884D74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CE807F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BE7F86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E56860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0B714B7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7AD4502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ADDF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2EF67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46D3CC3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14E30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3EC096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930FDF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19FB30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F7A0C1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8B4E4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B2B5E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84F15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1C8AF55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B31EDA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99E64A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DC3CD6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74F19D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40273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E9E0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D2B024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BF456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3F99278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F494A7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AA1227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C68117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CBD0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418E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1B4813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C7AB93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43544C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7C3E7D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A38F41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F77618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20E13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A5DB0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D548F9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739485A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DAB106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EA0A19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CC8A4F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AD52F5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27F8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323D9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6D0F22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49E576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58CEDF2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91E071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835B79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6C917A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C126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F0B06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62C972E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6AC9A64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95A19E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D68B97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9EEE19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37D7080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47467F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76D28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0D2EA1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7D8697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BD4D79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7B20A55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CAA4DC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0699B8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27AF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A25E0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5F1009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E08A2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4861FB6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33EFA41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27D0570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13A1470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32329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03540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1B9CB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1483362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47391F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48BA1A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351CD0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71CA75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0E6DF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FD5CA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D538EE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B3A8FB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6E8491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2661071">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1EFF5D2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45FB315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70A83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9A9A5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FCA725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425ECA4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2C4DA29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046FD72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9E287F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AE1D6A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14B97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21E65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07AAE122">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03AAC5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06AFAE1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5832297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30CC6C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200AB9DF">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5A13A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C4B1948">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170094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8B6BF1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659618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D046B60">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727E252B">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60BBFE4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6EE97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4601D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57B65625">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2A50374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140FB9DC">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6C2C46E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5F79EA59">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08BDCC34">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r w14:paraId="2518A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EF352A">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984" w:type="dxa"/>
            <w:noWrap w:val="0"/>
            <w:vAlign w:val="top"/>
          </w:tcPr>
          <w:p w14:paraId="7141D61E">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851" w:type="dxa"/>
            <w:noWrap w:val="0"/>
            <w:vAlign w:val="top"/>
          </w:tcPr>
          <w:p w14:paraId="584593F7">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774" w:type="dxa"/>
            <w:noWrap w:val="0"/>
            <w:vAlign w:val="top"/>
          </w:tcPr>
          <w:p w14:paraId="78FC3AE6">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352" w:type="dxa"/>
            <w:noWrap w:val="0"/>
            <w:vAlign w:val="top"/>
          </w:tcPr>
          <w:p w14:paraId="242E54B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418" w:type="dxa"/>
            <w:noWrap w:val="0"/>
            <w:vAlign w:val="top"/>
          </w:tcPr>
          <w:p w14:paraId="30CB649D">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c>
          <w:tcPr>
            <w:tcW w:w="1701" w:type="dxa"/>
            <w:noWrap w:val="0"/>
            <w:vAlign w:val="top"/>
          </w:tcPr>
          <w:p w14:paraId="532DDAA3">
            <w:pPr>
              <w:keepNext/>
              <w:adjustRightInd w:val="0"/>
              <w:spacing w:after="0" w:afterLines="0" w:line="440" w:lineRule="exact"/>
              <w:ind w:left="63" w:leftChars="30" w:right="63" w:rightChars="30"/>
              <w:jc w:val="center"/>
              <w:textAlignment w:val="baseline"/>
              <w:outlineLvl w:val="9"/>
              <w:rPr>
                <w:rFonts w:hint="eastAsia" w:ascii="仿宋" w:hAnsi="仿宋" w:eastAsia="仿宋" w:cs="仿宋"/>
                <w:color w:val="000000"/>
                <w:kern w:val="0"/>
                <w:sz w:val="24"/>
                <w:szCs w:val="24"/>
                <w:highlight w:val="none"/>
              </w:rPr>
            </w:pPr>
          </w:p>
        </w:tc>
      </w:tr>
    </w:tbl>
    <w:p w14:paraId="325B09CD">
      <w:pPr>
        <w:pStyle w:val="2"/>
        <w:rPr>
          <w:rFonts w:hint="eastAsia"/>
          <w:lang w:val="en-US" w:eastAsia="zh-CN"/>
        </w:rPr>
      </w:pPr>
    </w:p>
    <w:p w14:paraId="303D9E92">
      <w:pPr>
        <w:pStyle w:val="23"/>
        <w:numPr>
          <w:ilvl w:val="0"/>
          <w:numId w:val="0"/>
        </w:numPr>
        <w:spacing w:before="0" w:beforeAutospacing="0" w:after="0" w:afterAutospacing="0" w:line="400" w:lineRule="exact"/>
        <w:jc w:val="both"/>
        <w:outlineLvl w:val="9"/>
        <w:rPr>
          <w:rFonts w:hint="eastAsia" w:ascii="仿宋" w:hAnsi="仿宋" w:eastAsia="仿宋" w:cs="仿宋"/>
          <w:b/>
          <w:bCs/>
          <w:color w:val="auto"/>
          <w:sz w:val="32"/>
          <w:szCs w:val="32"/>
          <w:highlight w:val="none"/>
        </w:rPr>
      </w:pPr>
    </w:p>
    <w:p w14:paraId="0772CC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8"/>
          <w:szCs w:val="28"/>
          <w:highlight w:val="none"/>
        </w:rPr>
      </w:pPr>
    </w:p>
    <w:p w14:paraId="23C5F9A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lang w:val="en-US" w:eastAsia="zh-CN"/>
        </w:rPr>
        <w:sectPr>
          <w:footerReference r:id="rId6" w:type="default"/>
          <w:pgSz w:w="11906" w:h="16838"/>
          <w:pgMar w:top="1417" w:right="1417" w:bottom="1417" w:left="1417" w:header="567" w:footer="567" w:gutter="0"/>
          <w:pgBorders>
            <w:top w:val="none" w:sz="0" w:space="0"/>
            <w:left w:val="none" w:sz="0" w:space="0"/>
            <w:bottom w:val="none" w:sz="0" w:space="0"/>
            <w:right w:val="none" w:sz="0" w:space="0"/>
          </w:pgBorders>
          <w:pgNumType w:fmt="numberInDash" w:start="6" w:chapStyle="1"/>
          <w:cols w:space="720" w:num="1"/>
          <w:rtlGutter w:val="0"/>
          <w:docGrid w:linePitch="312" w:charSpace="0"/>
        </w:sectPr>
      </w:pPr>
    </w:p>
    <w:p w14:paraId="570430EE">
      <w:pPr>
        <w:jc w:val="center"/>
        <w:outlineLvl w:val="0"/>
        <w:rPr>
          <w:rFonts w:hint="eastAsia" w:ascii="仿宋" w:hAnsi="仿宋" w:eastAsia="仿宋" w:cs="仿宋"/>
          <w:color w:val="auto"/>
          <w:sz w:val="28"/>
          <w:szCs w:val="28"/>
          <w:highlight w:val="none"/>
        </w:rPr>
      </w:pPr>
      <w:bookmarkStart w:id="659" w:name="_Toc25304"/>
      <w:r>
        <w:rPr>
          <w:rFonts w:hint="eastAsia" w:ascii="仿宋" w:hAnsi="仿宋" w:eastAsia="仿宋" w:cs="仿宋"/>
          <w:b/>
          <w:bCs/>
          <w:color w:val="auto"/>
          <w:sz w:val="28"/>
          <w:szCs w:val="28"/>
          <w:highlight w:val="none"/>
        </w:rPr>
        <w:t>第六章 响应文件格式</w:t>
      </w:r>
      <w:bookmarkEnd w:id="103"/>
      <w:bookmarkEnd w:id="659"/>
    </w:p>
    <w:p w14:paraId="34D5CEC4">
      <w:pPr>
        <w:pStyle w:val="12"/>
        <w:keepNext w:val="0"/>
        <w:keepLines w:val="0"/>
        <w:pageBreakBefore w:val="0"/>
        <w:widowControl w:val="0"/>
        <w:kinsoku/>
        <w:wordWrap/>
        <w:overflowPunct/>
        <w:topLinePunct w:val="0"/>
        <w:autoSpaceDE/>
        <w:autoSpaceDN/>
        <w:bidi w:val="0"/>
        <w:adjustRightInd w:val="0"/>
        <w:snapToGrid/>
        <w:spacing w:line="480" w:lineRule="exact"/>
        <w:ind w:left="0" w:firstLine="480" w:firstLineChars="200"/>
        <w:textAlignment w:val="auto"/>
        <w:rPr>
          <w:rFonts w:hint="eastAsia" w:ascii="仿宋" w:hAnsi="仿宋" w:eastAsia="仿宋" w:cs="仿宋"/>
          <w:bCs/>
          <w:spacing w:val="0"/>
          <w:sz w:val="24"/>
          <w:szCs w:val="24"/>
          <w:lang w:eastAsia="zh-CN"/>
        </w:rPr>
      </w:pPr>
      <w:r>
        <w:rPr>
          <w:rFonts w:hint="eastAsia" w:ascii="仿宋" w:hAnsi="仿宋" w:eastAsia="仿宋" w:cs="仿宋"/>
          <w:bCs/>
          <w:spacing w:val="0"/>
          <w:sz w:val="24"/>
          <w:szCs w:val="24"/>
          <w:lang w:eastAsia="zh-CN"/>
        </w:rPr>
        <w:t>供应商编制文件须知</w:t>
      </w:r>
    </w:p>
    <w:p w14:paraId="6C7EBDE2">
      <w:pPr>
        <w:pStyle w:val="12"/>
        <w:keepNext w:val="0"/>
        <w:keepLines w:val="0"/>
        <w:pageBreakBefore w:val="0"/>
        <w:widowControl w:val="0"/>
        <w:kinsoku/>
        <w:wordWrap/>
        <w:overflowPunct/>
        <w:topLinePunct w:val="0"/>
        <w:autoSpaceDE/>
        <w:autoSpaceDN/>
        <w:bidi w:val="0"/>
        <w:adjustRightInd w:val="0"/>
        <w:snapToGrid/>
        <w:spacing w:line="480" w:lineRule="exact"/>
        <w:ind w:left="0" w:right="567" w:firstLine="480" w:firstLineChars="200"/>
        <w:textAlignment w:val="auto"/>
        <w:rPr>
          <w:rFonts w:hint="eastAsia" w:ascii="仿宋" w:hAnsi="仿宋" w:eastAsia="仿宋" w:cs="仿宋"/>
          <w:bCs/>
          <w:spacing w:val="0"/>
          <w:sz w:val="24"/>
          <w:szCs w:val="24"/>
          <w:lang w:eastAsia="zh-CN"/>
        </w:rPr>
      </w:pPr>
      <w:r>
        <w:rPr>
          <w:rFonts w:hint="eastAsia" w:ascii="仿宋" w:hAnsi="仿宋" w:eastAsia="仿宋" w:cs="仿宋"/>
          <w:bCs/>
          <w:spacing w:val="0"/>
          <w:sz w:val="24"/>
          <w:szCs w:val="24"/>
          <w:lang w:val="en-US" w:eastAsia="zh-CN"/>
        </w:rPr>
        <w:t>1.</w:t>
      </w:r>
      <w:r>
        <w:rPr>
          <w:rFonts w:hint="eastAsia" w:ascii="仿宋" w:hAnsi="仿宋" w:eastAsia="仿宋" w:cs="仿宋"/>
          <w:bCs/>
          <w:spacing w:val="0"/>
          <w:sz w:val="24"/>
          <w:szCs w:val="24"/>
          <w:lang w:eastAsia="zh-CN"/>
        </w:rPr>
        <w:t>供应商按照本部分的顺序编制响应文件，编制中涉及格式资料的，应按照本部分提供的内容和格式（所有表格的格式可扩展）填写提交。</w:t>
      </w:r>
    </w:p>
    <w:p w14:paraId="538DFB10">
      <w:pPr>
        <w:pStyle w:val="12"/>
        <w:keepNext w:val="0"/>
        <w:keepLines w:val="0"/>
        <w:pageBreakBefore w:val="0"/>
        <w:widowControl w:val="0"/>
        <w:kinsoku/>
        <w:wordWrap/>
        <w:overflowPunct/>
        <w:topLinePunct w:val="0"/>
        <w:autoSpaceDE/>
        <w:autoSpaceDN/>
        <w:bidi w:val="0"/>
        <w:adjustRightInd w:val="0"/>
        <w:snapToGrid/>
        <w:spacing w:line="480" w:lineRule="exact"/>
        <w:ind w:left="0" w:right="446" w:firstLine="480" w:firstLineChars="200"/>
        <w:textAlignment w:val="auto"/>
        <w:rPr>
          <w:rFonts w:hint="eastAsia" w:ascii="仿宋" w:hAnsi="仿宋" w:eastAsia="仿宋" w:cs="仿宋"/>
          <w:bCs/>
          <w:spacing w:val="0"/>
          <w:sz w:val="24"/>
          <w:szCs w:val="24"/>
          <w:lang w:eastAsia="zh-CN"/>
        </w:rPr>
      </w:pPr>
      <w:r>
        <w:rPr>
          <w:rFonts w:hint="eastAsia" w:ascii="仿宋" w:hAnsi="仿宋" w:eastAsia="仿宋" w:cs="仿宋"/>
          <w:bCs/>
          <w:spacing w:val="0"/>
          <w:sz w:val="24"/>
          <w:szCs w:val="24"/>
          <w:lang w:val="en-US" w:eastAsia="zh-CN"/>
        </w:rPr>
        <w:t>2.</w:t>
      </w:r>
      <w:r>
        <w:rPr>
          <w:rFonts w:hint="eastAsia" w:ascii="仿宋" w:hAnsi="仿宋" w:eastAsia="仿宋" w:cs="仿宋"/>
          <w:bCs/>
          <w:spacing w:val="0"/>
          <w:sz w:val="24"/>
          <w:szCs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679E2F3E">
      <w:pPr>
        <w:pStyle w:val="12"/>
        <w:keepNext w:val="0"/>
        <w:keepLines w:val="0"/>
        <w:pageBreakBefore w:val="0"/>
        <w:widowControl w:val="0"/>
        <w:kinsoku/>
        <w:wordWrap/>
        <w:overflowPunct/>
        <w:topLinePunct w:val="0"/>
        <w:autoSpaceDE/>
        <w:autoSpaceDN/>
        <w:bidi w:val="0"/>
        <w:adjustRightInd w:val="0"/>
        <w:snapToGrid/>
        <w:spacing w:line="480" w:lineRule="exact"/>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bCs/>
          <w:spacing w:val="0"/>
          <w:sz w:val="24"/>
          <w:szCs w:val="24"/>
          <w:lang w:val="en-US" w:eastAsia="zh-CN"/>
        </w:rPr>
        <w:t>3.</w:t>
      </w:r>
      <w:r>
        <w:rPr>
          <w:rFonts w:hint="eastAsia" w:ascii="仿宋" w:hAnsi="仿宋" w:eastAsia="仿宋" w:cs="仿宋"/>
          <w:bCs/>
          <w:spacing w:val="0"/>
          <w:sz w:val="24"/>
          <w:szCs w:val="24"/>
          <w:lang w:eastAsia="zh-CN"/>
        </w:rPr>
        <w:t>全部声明和问题的回答及所附材料必须是真实的、准确的和完整的。</w:t>
      </w:r>
    </w:p>
    <w:p w14:paraId="76883F24">
      <w:pPr>
        <w:spacing w:before="20" w:after="20" w:line="360" w:lineRule="auto"/>
        <w:rPr>
          <w:rFonts w:hint="eastAsia" w:ascii="仿宋" w:hAnsi="仿宋" w:eastAsia="仿宋" w:cs="仿宋"/>
          <w:color w:val="auto"/>
          <w:sz w:val="28"/>
          <w:highlight w:val="none"/>
        </w:rPr>
      </w:pPr>
    </w:p>
    <w:p w14:paraId="0C360EC2">
      <w:pPr>
        <w:spacing w:before="20" w:after="20" w:line="360" w:lineRule="auto"/>
        <w:rPr>
          <w:rFonts w:hint="eastAsia" w:ascii="仿宋" w:hAnsi="仿宋" w:eastAsia="仿宋" w:cs="仿宋"/>
          <w:color w:val="auto"/>
          <w:sz w:val="28"/>
          <w:highlight w:val="none"/>
        </w:rPr>
      </w:pPr>
    </w:p>
    <w:p w14:paraId="1E5B8090">
      <w:pPr>
        <w:spacing w:before="20" w:after="20" w:line="360" w:lineRule="auto"/>
        <w:rPr>
          <w:rFonts w:hint="eastAsia" w:ascii="仿宋" w:hAnsi="仿宋" w:eastAsia="仿宋" w:cs="仿宋"/>
          <w:color w:val="auto"/>
          <w:sz w:val="28"/>
          <w:highlight w:val="none"/>
        </w:rPr>
      </w:pPr>
    </w:p>
    <w:p w14:paraId="536C7F05">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r>
    </w:p>
    <w:p w14:paraId="01909AB4">
      <w:pPr>
        <w:spacing w:before="20" w:after="20"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t>响应文件封面（非实质性格式）</w:t>
      </w:r>
    </w:p>
    <w:p w14:paraId="439ED830">
      <w:pPr>
        <w:rPr>
          <w:rFonts w:hint="eastAsia" w:ascii="仿宋" w:hAnsi="仿宋" w:eastAsia="仿宋" w:cs="仿宋"/>
          <w:b/>
          <w:bCs/>
          <w:color w:val="auto"/>
          <w:sz w:val="32"/>
          <w:highlight w:val="none"/>
        </w:rPr>
      </w:pPr>
      <w:r>
        <w:rPr>
          <w:rFonts w:hint="eastAsia" w:ascii="仿宋" w:hAnsi="仿宋" w:eastAsia="仿宋" w:cs="仿宋"/>
          <w:color w:val="auto"/>
          <w:highlight w:val="none"/>
        </w:rPr>
        <w:t xml:space="preserve">                                                         </w:t>
      </w:r>
    </w:p>
    <w:p w14:paraId="55FDD8E2">
      <w:pPr>
        <w:rPr>
          <w:rFonts w:hint="eastAsia" w:ascii="仿宋" w:hAnsi="仿宋" w:eastAsia="仿宋" w:cs="仿宋"/>
          <w:color w:val="auto"/>
          <w:highlight w:val="none"/>
        </w:rPr>
      </w:pPr>
    </w:p>
    <w:p w14:paraId="573D2344">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0"/>
          <w:szCs w:val="40"/>
          <w:highlight w:val="none"/>
          <w:lang w:eastAsia="zh-CN"/>
        </w:rPr>
        <w:t>纳竜坝村小组茶产业及人居环境综合整治提升项目</w:t>
      </w:r>
    </w:p>
    <w:p w14:paraId="102C7FB4">
      <w:pPr>
        <w:jc w:val="center"/>
        <w:rPr>
          <w:rFonts w:hint="eastAsia" w:ascii="仿宋" w:hAnsi="仿宋" w:eastAsia="仿宋" w:cs="仿宋"/>
          <w:b/>
          <w:color w:val="auto"/>
          <w:sz w:val="24"/>
          <w:highlight w:val="none"/>
        </w:rPr>
      </w:pPr>
    </w:p>
    <w:p w14:paraId="74EDB48F">
      <w:pPr>
        <w:jc w:val="center"/>
        <w:rPr>
          <w:rFonts w:hint="eastAsia" w:ascii="仿宋" w:hAnsi="仿宋" w:eastAsia="仿宋" w:cs="仿宋"/>
          <w:b/>
          <w:color w:val="auto"/>
          <w:sz w:val="24"/>
          <w:highlight w:val="none"/>
        </w:rPr>
      </w:pPr>
    </w:p>
    <w:p w14:paraId="4AF20D65">
      <w:pPr>
        <w:jc w:val="center"/>
        <w:rPr>
          <w:rFonts w:hint="eastAsia" w:ascii="仿宋" w:hAnsi="仿宋" w:eastAsia="仿宋" w:cs="仿宋"/>
          <w:b/>
          <w:color w:val="auto"/>
          <w:sz w:val="24"/>
          <w:highlight w:val="none"/>
        </w:rPr>
      </w:pPr>
    </w:p>
    <w:p w14:paraId="53FFBDF7">
      <w:pPr>
        <w:jc w:val="center"/>
        <w:rPr>
          <w:rFonts w:hint="eastAsia" w:ascii="仿宋" w:hAnsi="仿宋" w:eastAsia="仿宋" w:cs="仿宋"/>
          <w:b/>
          <w:color w:val="auto"/>
          <w:sz w:val="24"/>
          <w:highlight w:val="none"/>
        </w:rPr>
      </w:pPr>
    </w:p>
    <w:p w14:paraId="7D55DCF2">
      <w:pPr>
        <w:jc w:val="center"/>
        <w:rPr>
          <w:rFonts w:hint="eastAsia" w:ascii="仿宋" w:hAnsi="仿宋" w:eastAsia="仿宋" w:cs="仿宋"/>
          <w:b/>
          <w:color w:val="auto"/>
          <w:sz w:val="24"/>
          <w:highlight w:val="none"/>
        </w:rPr>
      </w:pPr>
    </w:p>
    <w:p w14:paraId="3429ED6B">
      <w:pPr>
        <w:jc w:val="center"/>
        <w:rPr>
          <w:rFonts w:hint="eastAsia" w:ascii="仿宋" w:hAnsi="仿宋" w:eastAsia="仿宋" w:cs="仿宋"/>
          <w:b/>
          <w:color w:val="auto"/>
          <w:sz w:val="24"/>
          <w:highlight w:val="none"/>
        </w:rPr>
      </w:pPr>
    </w:p>
    <w:p w14:paraId="3AB3E37B">
      <w:pPr>
        <w:jc w:val="center"/>
        <w:rPr>
          <w:rFonts w:hint="eastAsia" w:ascii="仿宋" w:hAnsi="仿宋" w:eastAsia="仿宋" w:cs="仿宋"/>
          <w:b/>
          <w:color w:val="auto"/>
          <w:sz w:val="24"/>
          <w:highlight w:val="none"/>
        </w:rPr>
      </w:pPr>
    </w:p>
    <w:p w14:paraId="695EAB61">
      <w:pPr>
        <w:jc w:val="center"/>
        <w:rPr>
          <w:rFonts w:hint="eastAsia" w:ascii="仿宋" w:hAnsi="仿宋" w:eastAsia="仿宋" w:cs="仿宋"/>
          <w:b/>
          <w:color w:val="auto"/>
          <w:sz w:val="24"/>
          <w:highlight w:val="none"/>
        </w:rPr>
      </w:pPr>
    </w:p>
    <w:p w14:paraId="7C70A402">
      <w:pPr>
        <w:rPr>
          <w:rFonts w:hint="eastAsia" w:ascii="仿宋" w:hAnsi="仿宋" w:eastAsia="仿宋" w:cs="仿宋"/>
          <w:b/>
          <w:color w:val="auto"/>
          <w:highlight w:val="none"/>
        </w:rPr>
      </w:pPr>
    </w:p>
    <w:p w14:paraId="77E4E059">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72"/>
          <w:szCs w:val="72"/>
          <w:highlight w:val="none"/>
        </w:rPr>
        <w:t>响 应 文 件</w:t>
      </w:r>
    </w:p>
    <w:p w14:paraId="346F4364">
      <w:pPr>
        <w:tabs>
          <w:tab w:val="left" w:pos="2310"/>
        </w:tabs>
        <w:ind w:firstLine="2520" w:firstLineChars="9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7DE87B7B">
      <w:pPr>
        <w:ind w:firstLine="1526" w:firstLineChars="545"/>
        <w:rPr>
          <w:rFonts w:hint="eastAsia" w:ascii="仿宋" w:hAnsi="仿宋" w:eastAsia="仿宋" w:cs="仿宋"/>
          <w:color w:val="auto"/>
          <w:sz w:val="28"/>
          <w:szCs w:val="28"/>
          <w:highlight w:val="none"/>
        </w:rPr>
      </w:pPr>
    </w:p>
    <w:p w14:paraId="4A26BB46">
      <w:pPr>
        <w:rPr>
          <w:rFonts w:hint="eastAsia" w:ascii="仿宋" w:hAnsi="仿宋" w:eastAsia="仿宋" w:cs="仿宋"/>
          <w:color w:val="auto"/>
          <w:sz w:val="28"/>
          <w:szCs w:val="28"/>
          <w:highlight w:val="none"/>
        </w:rPr>
      </w:pPr>
    </w:p>
    <w:p w14:paraId="4910142E">
      <w:pPr>
        <w:rPr>
          <w:rFonts w:hint="eastAsia" w:ascii="仿宋" w:hAnsi="仿宋" w:eastAsia="仿宋" w:cs="仿宋"/>
          <w:color w:val="auto"/>
          <w:sz w:val="28"/>
          <w:szCs w:val="28"/>
          <w:highlight w:val="none"/>
        </w:rPr>
      </w:pPr>
    </w:p>
    <w:p w14:paraId="05799CD2">
      <w:pPr>
        <w:rPr>
          <w:rFonts w:hint="eastAsia" w:ascii="仿宋" w:hAnsi="仿宋" w:eastAsia="仿宋" w:cs="仿宋"/>
          <w:color w:val="auto"/>
          <w:sz w:val="28"/>
          <w:szCs w:val="28"/>
          <w:highlight w:val="none"/>
        </w:rPr>
      </w:pPr>
    </w:p>
    <w:p w14:paraId="43B6594D">
      <w:pPr>
        <w:rPr>
          <w:rFonts w:hint="eastAsia" w:ascii="仿宋" w:hAnsi="仿宋" w:eastAsia="仿宋" w:cs="仿宋"/>
          <w:color w:val="auto"/>
          <w:sz w:val="28"/>
          <w:szCs w:val="28"/>
          <w:highlight w:val="none"/>
        </w:rPr>
      </w:pPr>
    </w:p>
    <w:p w14:paraId="7665B618">
      <w:pPr>
        <w:rPr>
          <w:rFonts w:hint="eastAsia" w:ascii="仿宋" w:hAnsi="仿宋" w:eastAsia="仿宋" w:cs="仿宋"/>
          <w:color w:val="auto"/>
          <w:sz w:val="28"/>
          <w:szCs w:val="28"/>
          <w:highlight w:val="none"/>
        </w:rPr>
      </w:pPr>
    </w:p>
    <w:p w14:paraId="6ABA3515">
      <w:pPr>
        <w:rPr>
          <w:rFonts w:hint="eastAsia" w:ascii="仿宋" w:hAnsi="仿宋" w:eastAsia="仿宋" w:cs="仿宋"/>
          <w:color w:val="auto"/>
          <w:sz w:val="28"/>
          <w:szCs w:val="28"/>
          <w:highlight w:val="none"/>
        </w:rPr>
      </w:pPr>
    </w:p>
    <w:p w14:paraId="7FAEF734">
      <w:pPr>
        <w:spacing w:line="360" w:lineRule="auto"/>
        <w:ind w:firstLine="1120" w:firstLineChars="4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盖单位章</w:t>
      </w:r>
      <w:r>
        <w:rPr>
          <w:rFonts w:hint="eastAsia" w:ascii="仿宋" w:hAnsi="仿宋" w:eastAsia="仿宋" w:cs="仿宋"/>
          <w:color w:val="auto"/>
          <w:sz w:val="28"/>
          <w:szCs w:val="28"/>
          <w:highlight w:val="none"/>
        </w:rPr>
        <w:t>）</w:t>
      </w:r>
    </w:p>
    <w:p w14:paraId="18CA819B">
      <w:pPr>
        <w:spacing w:line="360" w:lineRule="auto"/>
        <w:ind w:firstLine="1120" w:firstLineChars="4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B3DA008">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Cs/>
          <w:color w:val="auto"/>
          <w:highlight w:val="none"/>
        </w:rPr>
        <w:br w:type="page"/>
      </w:r>
    </w:p>
    <w:p w14:paraId="236CC43F">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目  录</w:t>
      </w:r>
    </w:p>
    <w:p w14:paraId="5BBBD30E">
      <w:pPr>
        <w:numPr>
          <w:ilvl w:val="0"/>
          <w:numId w:val="0"/>
        </w:numPr>
        <w:spacing w:before="60" w:after="60" w:line="360" w:lineRule="auto"/>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（格式自拟）</w:t>
      </w:r>
    </w:p>
    <w:p w14:paraId="31614A06">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p>
    <w:p w14:paraId="7A23912D">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p>
    <w:p w14:paraId="318A47B1">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5F68C5A0">
      <w:pPr>
        <w:numPr>
          <w:ilvl w:val="0"/>
          <w:numId w:val="0"/>
        </w:numPr>
        <w:spacing w:before="60" w:after="60" w:line="360" w:lineRule="auto"/>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1、满足《中华人民共和国政府采购法》第二十二条规定</w:t>
      </w:r>
    </w:p>
    <w:p w14:paraId="1DA5E571">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1.1-1营业执照等证明文件</w:t>
      </w:r>
    </w:p>
    <w:p w14:paraId="6BB6B286">
      <w:pPr>
        <w:numPr>
          <w:ilvl w:val="0"/>
          <w:numId w:val="0"/>
        </w:numPr>
        <w:spacing w:before="60" w:after="60" w:line="360" w:lineRule="auto"/>
        <w:ind w:firstLine="480" w:firstLineChars="2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供应商按竞争性磋商文件 第三章“评审方法和评审标准”中资格审查要求提供相关证明资料或证件，格式由供应商自拟。</w:t>
      </w:r>
    </w:p>
    <w:p w14:paraId="2C9078B8">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565B22D2">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1.1-2商业信誉和财务会计制度</w:t>
      </w:r>
    </w:p>
    <w:p w14:paraId="39AF24F6">
      <w:pPr>
        <w:numPr>
          <w:ilvl w:val="0"/>
          <w:numId w:val="0"/>
        </w:numPr>
        <w:spacing w:before="60" w:after="60" w:line="360" w:lineRule="auto"/>
        <w:ind w:firstLine="480" w:firstLineChars="2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供应商按竞争性磋商文件 第三章“评审方法和评审标准”中资格审查要求提供相关证明资料或证件，格式由供应商自拟。</w:t>
      </w:r>
    </w:p>
    <w:p w14:paraId="1BEB6C70">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3804F277">
      <w:pPr>
        <w:numPr>
          <w:ilvl w:val="0"/>
          <w:numId w:val="0"/>
        </w:numPr>
        <w:spacing w:before="60" w:after="60" w:line="360" w:lineRule="auto"/>
        <w:jc w:val="both"/>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1.1-3</w:t>
      </w:r>
      <w:r>
        <w:rPr>
          <w:rFonts w:hint="eastAsia" w:ascii="仿宋" w:hAnsi="仿宋" w:eastAsia="仿宋" w:cs="仿宋"/>
          <w:color w:val="auto"/>
          <w:sz w:val="24"/>
          <w:szCs w:val="24"/>
          <w:highlight w:val="none"/>
          <w:lang w:val="en-US" w:eastAsia="en-US"/>
        </w:rPr>
        <w:t>设备和专业技术能力</w:t>
      </w:r>
    </w:p>
    <w:p w14:paraId="24BDF2AD">
      <w:pPr>
        <w:numPr>
          <w:ilvl w:val="0"/>
          <w:numId w:val="0"/>
        </w:numPr>
        <w:spacing w:before="60" w:after="60" w:line="360" w:lineRule="auto"/>
        <w:ind w:firstLine="480" w:firstLineChars="2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供应商按竞争性磋商文件 第三章“评审方法和评审标准”中资格审查要求提供相关证明资料或证件，格式由供应商自拟。</w:t>
      </w:r>
    </w:p>
    <w:p w14:paraId="67083392">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6AE2B37D">
      <w:pPr>
        <w:numPr>
          <w:ilvl w:val="0"/>
          <w:numId w:val="0"/>
        </w:numPr>
        <w:spacing w:before="60" w:after="60" w:line="360" w:lineRule="auto"/>
        <w:jc w:val="both"/>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zh-CN" w:bidi="ar-SA"/>
        </w:rPr>
        <w:t>1.1-4</w:t>
      </w:r>
      <w:r>
        <w:rPr>
          <w:rFonts w:hint="eastAsia" w:ascii="仿宋" w:hAnsi="仿宋" w:eastAsia="仿宋" w:cs="仿宋"/>
          <w:color w:val="auto"/>
          <w:sz w:val="24"/>
          <w:szCs w:val="24"/>
          <w:lang w:val="en-US" w:eastAsia="en-US" w:bidi="ar-SA"/>
        </w:rPr>
        <w:t>依法缴纳税收和社会保障资金的良好记录</w:t>
      </w:r>
    </w:p>
    <w:p w14:paraId="33B21CB4">
      <w:pPr>
        <w:numPr>
          <w:ilvl w:val="0"/>
          <w:numId w:val="0"/>
        </w:numPr>
        <w:spacing w:before="60" w:after="60" w:line="360" w:lineRule="auto"/>
        <w:ind w:firstLine="480" w:firstLineChars="2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供应商按竞争性磋商文件 第三章“评审方法和评审标准”中资格审查要求提供相关证明资料或证件，格式由供应商自拟。</w:t>
      </w:r>
      <w:r>
        <w:rPr>
          <w:rFonts w:hint="eastAsia" w:ascii="仿宋" w:hAnsi="仿宋" w:eastAsia="仿宋" w:cs="仿宋"/>
          <w:color w:val="auto"/>
          <w:sz w:val="24"/>
          <w:szCs w:val="24"/>
          <w:highlight w:val="none"/>
          <w:lang w:val="en-US" w:eastAsia="zh-CN"/>
        </w:rPr>
        <w:br w:type="page"/>
      </w:r>
    </w:p>
    <w:p w14:paraId="45A4A6E6">
      <w:pPr>
        <w:numPr>
          <w:ilvl w:val="0"/>
          <w:numId w:val="0"/>
        </w:numPr>
        <w:spacing w:before="60" w:after="60" w:line="360" w:lineRule="auto"/>
        <w:jc w:val="both"/>
        <w:rPr>
          <w:rFonts w:hint="eastAsia" w:ascii="仿宋" w:hAnsi="仿宋" w:eastAsia="仿宋" w:cs="仿宋"/>
          <w:color w:val="auto"/>
          <w:sz w:val="32"/>
          <w:szCs w:val="32"/>
          <w:lang w:eastAsia="zh-CN"/>
        </w:rPr>
      </w:pPr>
      <w:r>
        <w:rPr>
          <w:rFonts w:hint="eastAsia" w:ascii="仿宋" w:hAnsi="仿宋" w:eastAsia="仿宋" w:cs="仿宋"/>
          <w:color w:val="auto"/>
          <w:sz w:val="24"/>
          <w:szCs w:val="24"/>
          <w:highlight w:val="none"/>
          <w:lang w:val="en-US" w:eastAsia="zh-CN"/>
        </w:rPr>
        <w:t>1.1-5供应商资格声明书（实质性格式）</w:t>
      </w:r>
    </w:p>
    <w:p w14:paraId="68FE5181">
      <w:pPr>
        <w:spacing w:line="48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供应商资格声明书</w:t>
      </w:r>
    </w:p>
    <w:p w14:paraId="0172BB7B">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采购人</w:t>
      </w:r>
      <w:r>
        <w:rPr>
          <w:rFonts w:hint="eastAsia" w:ascii="仿宋" w:hAnsi="仿宋" w:eastAsia="仿宋" w:cs="仿宋"/>
          <w:color w:val="auto"/>
          <w:sz w:val="24"/>
          <w:szCs w:val="24"/>
          <w:u w:val="single"/>
          <w:lang w:val="en-US" w:eastAsia="zh-CN"/>
        </w:rPr>
        <w:t xml:space="preserve">  </w:t>
      </w:r>
    </w:p>
    <w:p w14:paraId="790202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在参与本次项目响应中，我单位承诺：</w:t>
      </w:r>
    </w:p>
    <w:p w14:paraId="5C4F44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（一）具有良好的商业信誉和健全的财务会计制度；</w:t>
      </w:r>
    </w:p>
    <w:p w14:paraId="6F80EBC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（二）具有履行合同所必需的设备和专业技术能力；</w:t>
      </w:r>
    </w:p>
    <w:p w14:paraId="0E6C540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（三）有依法缴纳税收和社会保障资金的良好记录；</w:t>
      </w:r>
    </w:p>
    <w:p w14:paraId="26E8FA5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BD4FE7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（五）与我单位存在“单位负责人为同一人或者存在直接控股、管理关系”的其他法人单位信息如下（如有，不论其是否参加同一合同项下的政府采购活动均须填写）：</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3"/>
        <w:gridCol w:w="4571"/>
        <w:gridCol w:w="2952"/>
      </w:tblGrid>
      <w:tr w14:paraId="36D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938481B">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序号</w:t>
            </w:r>
          </w:p>
        </w:tc>
        <w:tc>
          <w:tcPr>
            <w:tcW w:w="4808" w:type="dxa"/>
          </w:tcPr>
          <w:p w14:paraId="25E4DC4E">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单位名称</w:t>
            </w:r>
          </w:p>
        </w:tc>
        <w:tc>
          <w:tcPr>
            <w:tcW w:w="3096" w:type="dxa"/>
          </w:tcPr>
          <w:p w14:paraId="50EB52F6">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相互关系</w:t>
            </w:r>
          </w:p>
        </w:tc>
      </w:tr>
      <w:tr w14:paraId="4A19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18EC78B">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4808" w:type="dxa"/>
          </w:tcPr>
          <w:p w14:paraId="720E4131">
            <w:pPr>
              <w:spacing w:line="480" w:lineRule="auto"/>
              <w:rPr>
                <w:rFonts w:hint="eastAsia" w:ascii="仿宋" w:hAnsi="仿宋" w:eastAsia="仿宋" w:cs="仿宋"/>
                <w:color w:val="auto"/>
                <w:sz w:val="24"/>
                <w:szCs w:val="24"/>
              </w:rPr>
            </w:pPr>
          </w:p>
        </w:tc>
        <w:tc>
          <w:tcPr>
            <w:tcW w:w="3096" w:type="dxa"/>
          </w:tcPr>
          <w:p w14:paraId="43833022">
            <w:pPr>
              <w:spacing w:line="480" w:lineRule="auto"/>
              <w:rPr>
                <w:rFonts w:hint="eastAsia" w:ascii="仿宋" w:hAnsi="仿宋" w:eastAsia="仿宋" w:cs="仿宋"/>
                <w:color w:val="auto"/>
                <w:sz w:val="24"/>
                <w:szCs w:val="24"/>
              </w:rPr>
            </w:pPr>
          </w:p>
        </w:tc>
      </w:tr>
      <w:tr w14:paraId="602E2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CB0682E">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808" w:type="dxa"/>
          </w:tcPr>
          <w:p w14:paraId="0AEE053F">
            <w:pPr>
              <w:spacing w:line="480" w:lineRule="auto"/>
              <w:rPr>
                <w:rFonts w:hint="eastAsia" w:ascii="仿宋" w:hAnsi="仿宋" w:eastAsia="仿宋" w:cs="仿宋"/>
                <w:color w:val="auto"/>
                <w:sz w:val="24"/>
                <w:szCs w:val="24"/>
              </w:rPr>
            </w:pPr>
          </w:p>
        </w:tc>
        <w:tc>
          <w:tcPr>
            <w:tcW w:w="3096" w:type="dxa"/>
          </w:tcPr>
          <w:p w14:paraId="345385A0">
            <w:pPr>
              <w:spacing w:line="480" w:lineRule="auto"/>
              <w:rPr>
                <w:rFonts w:hint="eastAsia" w:ascii="仿宋" w:hAnsi="仿宋" w:eastAsia="仿宋" w:cs="仿宋"/>
                <w:color w:val="auto"/>
                <w:sz w:val="24"/>
                <w:szCs w:val="24"/>
              </w:rPr>
            </w:pPr>
          </w:p>
        </w:tc>
      </w:tr>
      <w:tr w14:paraId="6772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C4B067F">
            <w:pPr>
              <w:spacing w:line="48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4808" w:type="dxa"/>
          </w:tcPr>
          <w:p w14:paraId="7CAFF549">
            <w:pPr>
              <w:spacing w:line="480" w:lineRule="auto"/>
              <w:rPr>
                <w:rFonts w:hint="eastAsia" w:ascii="仿宋" w:hAnsi="仿宋" w:eastAsia="仿宋" w:cs="仿宋"/>
                <w:color w:val="auto"/>
                <w:sz w:val="24"/>
                <w:szCs w:val="24"/>
              </w:rPr>
            </w:pPr>
          </w:p>
        </w:tc>
        <w:tc>
          <w:tcPr>
            <w:tcW w:w="3096" w:type="dxa"/>
          </w:tcPr>
          <w:p w14:paraId="66F3905A">
            <w:pPr>
              <w:spacing w:line="480" w:lineRule="auto"/>
              <w:rPr>
                <w:rFonts w:hint="eastAsia" w:ascii="仿宋" w:hAnsi="仿宋" w:eastAsia="仿宋" w:cs="仿宋"/>
                <w:color w:val="auto"/>
                <w:sz w:val="24"/>
                <w:szCs w:val="24"/>
              </w:rPr>
            </w:pPr>
          </w:p>
        </w:tc>
      </w:tr>
    </w:tbl>
    <w:p w14:paraId="6C21A90A">
      <w:pPr>
        <w:spacing w:line="360" w:lineRule="auto"/>
        <w:rPr>
          <w:rFonts w:hint="eastAsia" w:ascii="仿宋" w:hAnsi="仿宋" w:eastAsia="仿宋" w:cs="仿宋"/>
          <w:color w:val="auto"/>
          <w:sz w:val="24"/>
          <w:szCs w:val="24"/>
          <w:lang w:eastAsia="zh-CN"/>
        </w:rPr>
      </w:pPr>
    </w:p>
    <w:p w14:paraId="46E9D112">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上述声明真实有效，否则我方负全部责任。</w:t>
      </w:r>
    </w:p>
    <w:p w14:paraId="3A8C63AA">
      <w:pPr>
        <w:spacing w:line="360" w:lineRule="auto"/>
        <w:rPr>
          <w:rFonts w:hint="eastAsia" w:ascii="仿宋" w:hAnsi="仿宋" w:eastAsia="仿宋" w:cs="仿宋"/>
          <w:color w:val="auto"/>
          <w:sz w:val="24"/>
          <w:szCs w:val="24"/>
          <w:lang w:eastAsia="zh-CN"/>
        </w:rPr>
      </w:pPr>
    </w:p>
    <w:p w14:paraId="00F26152">
      <w:pPr>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供应商名称（加盖公章）：</w:t>
      </w:r>
      <w:r>
        <w:rPr>
          <w:rFonts w:hint="eastAsia" w:ascii="仿宋" w:hAnsi="仿宋" w:eastAsia="仿宋" w:cs="仿宋"/>
          <w:color w:val="auto"/>
          <w:sz w:val="24"/>
          <w:szCs w:val="24"/>
          <w:u w:val="single"/>
          <w:lang w:val="en-US" w:eastAsia="zh-CN"/>
        </w:rPr>
        <w:t xml:space="preserve">                  </w:t>
      </w:r>
    </w:p>
    <w:p w14:paraId="4A6E1A56">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日</w:t>
      </w:r>
    </w:p>
    <w:p w14:paraId="5C04722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p>
    <w:p w14:paraId="7291BD8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说明：供应商提供证明材料及承诺不实的，依据《政府采购法》第七十七条“提供虚假材料谋取中标、成交的”有关规定予以处理。</w:t>
      </w:r>
    </w:p>
    <w:p w14:paraId="070ADC52">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65F61E27">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1.1-6本项目的其他特定资格要求</w:t>
      </w:r>
    </w:p>
    <w:p w14:paraId="0E20CA41">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供应商按竞争性磋商文件 第三章“评审方法和评审标准”中资格审查要求提供相关证明资料或证件，格式由供应商自拟。</w:t>
      </w:r>
    </w:p>
    <w:p w14:paraId="163404D3">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52E1D385">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736DDCD2">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7B372F85">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276ED457">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65AA944D">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45B0D27D">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45DEA23F">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17549B16">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60CD40F1">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5103BB38">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5371A765">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28287C71">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4E078DB3">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5BE2D943">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239E9ACC">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46B8AAA3">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13BE1FC3">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747712DF">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63C411DD">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173DAC31">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0B610586">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56E8C5F6">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35E40F5B">
      <w:pPr>
        <w:numPr>
          <w:ilvl w:val="0"/>
          <w:numId w:val="0"/>
        </w:numPr>
        <w:spacing w:before="60" w:after="60" w:line="360" w:lineRule="auto"/>
        <w:ind w:firstLine="480" w:firstLineChars="200"/>
        <w:jc w:val="both"/>
        <w:rPr>
          <w:rFonts w:hint="eastAsia" w:ascii="仿宋" w:hAnsi="仿宋" w:eastAsia="仿宋" w:cs="仿宋"/>
          <w:color w:val="auto"/>
          <w:sz w:val="24"/>
          <w:szCs w:val="24"/>
          <w:lang w:val="en-US" w:eastAsia="zh-CN" w:bidi="ar-SA"/>
        </w:rPr>
      </w:pPr>
    </w:p>
    <w:p w14:paraId="7D30448B">
      <w:pPr>
        <w:numPr>
          <w:ilvl w:val="0"/>
          <w:numId w:val="0"/>
        </w:numPr>
        <w:shd w:val="clear"/>
        <w:spacing w:before="60" w:after="6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1.1-7</w:t>
      </w:r>
      <w:r>
        <w:rPr>
          <w:rFonts w:hint="eastAsia" w:ascii="仿宋" w:hAnsi="仿宋" w:eastAsia="仿宋" w:cs="仿宋"/>
          <w:color w:val="auto"/>
          <w:sz w:val="24"/>
          <w:szCs w:val="24"/>
          <w:lang w:val="en-US" w:eastAsia="zh-CN"/>
        </w:rPr>
        <w:t>重大违法记录书面</w:t>
      </w:r>
      <w:r>
        <w:rPr>
          <w:rFonts w:hint="eastAsia" w:ascii="仿宋" w:hAnsi="仿宋" w:eastAsia="仿宋" w:cs="仿宋"/>
          <w:color w:val="auto"/>
          <w:sz w:val="24"/>
          <w:szCs w:val="24"/>
          <w:lang w:eastAsia="zh-CN"/>
        </w:rPr>
        <w:t>声明</w:t>
      </w:r>
    </w:p>
    <w:p w14:paraId="3DB8ABC6">
      <w:pPr>
        <w:keepNext w:val="0"/>
        <w:keepLines w:val="0"/>
        <w:pageBreakBefore w:val="0"/>
        <w:widowControl w:val="0"/>
        <w:numPr>
          <w:ilvl w:val="0"/>
          <w:numId w:val="0"/>
        </w:numPr>
        <w:shd w:val="clear"/>
        <w:kinsoku/>
        <w:wordWrap/>
        <w:overflowPunct/>
        <w:topLinePunct w:val="0"/>
        <w:autoSpaceDE/>
        <w:autoSpaceDN/>
        <w:bidi w:val="0"/>
        <w:adjustRightInd/>
        <w:snapToGrid/>
        <w:spacing w:before="60" w:after="60"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供应商按竞争性磋商文件 第三章“评审方法和评审标准”中资格审查要求提供相关证明资料或证件，格式由供应商自拟。</w:t>
      </w:r>
    </w:p>
    <w:p w14:paraId="141143B3">
      <w:pPr>
        <w:numPr>
          <w:ilvl w:val="0"/>
          <w:numId w:val="0"/>
        </w:numPr>
        <w:spacing w:before="60" w:after="60" w:line="360" w:lineRule="auto"/>
        <w:ind w:firstLine="562" w:firstLineChars="200"/>
        <w:jc w:val="both"/>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r>
    </w:p>
    <w:p w14:paraId="70061584">
      <w:pPr>
        <w:numPr>
          <w:ilvl w:val="0"/>
          <w:numId w:val="0"/>
        </w:numPr>
        <w:spacing w:before="60" w:after="6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1.2符合性审查要求</w:t>
      </w:r>
    </w:p>
    <w:p w14:paraId="75A2B7F4">
      <w:pPr>
        <w:numPr>
          <w:ilvl w:val="0"/>
          <w:numId w:val="0"/>
        </w:numPr>
        <w:spacing w:before="60" w:after="60" w:line="360" w:lineRule="auto"/>
        <w:ind w:firstLine="480" w:firstLineChars="20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lang w:val="en-US" w:eastAsia="zh-CN"/>
        </w:rPr>
        <w:t>供应商按竞争性磋商文件 第三章“评审方法和评审标准”中符合性审查要求提供相关证明资料或证件，格式由供应商自拟。</w:t>
      </w:r>
      <w:r>
        <w:rPr>
          <w:rFonts w:hint="eastAsia" w:ascii="仿宋" w:hAnsi="仿宋" w:eastAsia="仿宋" w:cs="仿宋"/>
          <w:color w:val="auto"/>
          <w:sz w:val="24"/>
          <w:szCs w:val="24"/>
          <w:lang w:eastAsia="zh-CN"/>
        </w:rPr>
        <w:br w:type="page"/>
      </w:r>
    </w:p>
    <w:p w14:paraId="5C13A4C4">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2、落实政府采购政策需满足的资格要求（如有）</w:t>
      </w:r>
    </w:p>
    <w:p w14:paraId="209D4E99">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 中小企业证明文件</w:t>
      </w:r>
    </w:p>
    <w:p w14:paraId="0DC3FF7B">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说明：</w:t>
      </w:r>
    </w:p>
    <w:p w14:paraId="045CBDB9">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24338DC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79B69DD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1F2AF5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（4）中小企业声明函填写注意事项</w:t>
      </w:r>
    </w:p>
    <w:p w14:paraId="0237D9C0">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1）《中小企业声明函》由参加政府采购活动的供应商出具。联合体参与的，《中小企业声明函》可由牵头人出具。</w:t>
      </w:r>
    </w:p>
    <w:p w14:paraId="5F4F3F1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3B7602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3）对于多标的采购项目，供应商应充分、准确地了解所提供货物的制造企业、提供服务的承接企业信息。对相关情况了解不清楚的，不建议填报本声明函。</w:t>
      </w:r>
    </w:p>
    <w:p w14:paraId="519441E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0E726E05">
      <w:pPr>
        <w:rPr>
          <w:rFonts w:hint="eastAsia" w:ascii="仿宋" w:hAnsi="仿宋" w:eastAsia="仿宋" w:cs="仿宋"/>
          <w:b/>
          <w:bCs/>
          <w:color w:val="auto"/>
          <w:sz w:val="28"/>
          <w:szCs w:val="28"/>
          <w:highlight w:val="none"/>
          <w:lang w:val="en-US" w:eastAsia="zh-CN"/>
        </w:rPr>
      </w:pPr>
    </w:p>
    <w:p w14:paraId="74E8ACD9">
      <w:pPr>
        <w:keepNext w:val="0"/>
        <w:keepLines w:val="0"/>
        <w:pageBreakBefore w:val="0"/>
        <w:widowControl/>
        <w:kinsoku/>
        <w:wordWrap/>
        <w:overflowPunct/>
        <w:topLinePunct w:val="0"/>
        <w:autoSpaceDE/>
        <w:autoSpaceDN/>
        <w:bidi w:val="0"/>
        <w:adjustRightInd/>
        <w:snapToGrid/>
        <w:spacing w:after="0" w:afterLines="50" w:line="360" w:lineRule="auto"/>
        <w:jc w:val="center"/>
        <w:textAlignment w:val="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中小企业声明函（</w:t>
      </w:r>
      <w:r>
        <w:rPr>
          <w:rFonts w:hint="eastAsia" w:ascii="仿宋" w:hAnsi="仿宋" w:eastAsia="仿宋" w:cs="仿宋"/>
          <w:b/>
          <w:bCs/>
          <w:color w:val="auto"/>
          <w:sz w:val="28"/>
          <w:szCs w:val="28"/>
          <w:lang w:val="en-US" w:eastAsia="zh-CN"/>
        </w:rPr>
        <w:t>工程</w:t>
      </w:r>
      <w:r>
        <w:rPr>
          <w:rFonts w:hint="eastAsia" w:ascii="仿宋" w:hAnsi="仿宋" w:eastAsia="仿宋" w:cs="仿宋"/>
          <w:b/>
          <w:bCs/>
          <w:color w:val="auto"/>
          <w:sz w:val="28"/>
          <w:szCs w:val="28"/>
          <w:lang w:eastAsia="zh-CN"/>
        </w:rPr>
        <w:t>）格式</w:t>
      </w:r>
    </w:p>
    <w:p w14:paraId="23D8630F">
      <w:pPr>
        <w:pStyle w:val="12"/>
        <w:spacing w:line="364" w:lineRule="auto"/>
        <w:ind w:left="541" w:right="499" w:firstLine="504"/>
        <w:rPr>
          <w:rFonts w:hint="eastAsia" w:ascii="仿宋" w:hAnsi="仿宋" w:eastAsia="仿宋" w:cs="仿宋"/>
          <w:sz w:val="24"/>
          <w:szCs w:val="24"/>
          <w:lang w:eastAsia="zh-CN"/>
        </w:rPr>
      </w:pPr>
      <w:r>
        <w:rPr>
          <w:rFonts w:hint="eastAsia" w:ascii="仿宋" w:hAnsi="仿宋" w:eastAsia="仿宋" w:cs="仿宋"/>
          <w:bCs/>
          <w:spacing w:val="0"/>
          <w:sz w:val="24"/>
          <w:szCs w:val="24"/>
          <w:lang w:eastAsia="zh-CN"/>
        </w:rPr>
        <w:t>本公司（联合体）郑重声明，根据《政府采购促进中小企业发展管理办法》（财库﹝2020﹞46 号）的规定，本公司参加</w:t>
      </w:r>
      <w:r>
        <w:rPr>
          <w:rFonts w:hint="eastAsia" w:ascii="仿宋" w:hAnsi="仿宋" w:eastAsia="仿宋" w:cs="仿宋"/>
          <w:bCs/>
          <w:spacing w:val="0"/>
          <w:sz w:val="24"/>
          <w:szCs w:val="24"/>
          <w:u w:val="single"/>
          <w:lang w:eastAsia="zh-CN"/>
        </w:rPr>
        <w:t>（单位名称）</w:t>
      </w:r>
      <w:r>
        <w:rPr>
          <w:rFonts w:hint="eastAsia" w:ascii="仿宋" w:hAnsi="仿宋" w:eastAsia="仿宋" w:cs="仿宋"/>
          <w:bCs/>
          <w:spacing w:val="0"/>
          <w:sz w:val="24"/>
          <w:szCs w:val="24"/>
          <w:lang w:eastAsia="zh-CN"/>
        </w:rPr>
        <w:t>的</w:t>
      </w:r>
      <w:r>
        <w:rPr>
          <w:rFonts w:hint="eastAsia" w:ascii="仿宋" w:hAnsi="仿宋" w:eastAsia="仿宋" w:cs="仿宋"/>
          <w:bCs/>
          <w:spacing w:val="0"/>
          <w:sz w:val="24"/>
          <w:szCs w:val="24"/>
          <w:u w:val="single"/>
          <w:lang w:eastAsia="zh-CN"/>
        </w:rPr>
        <w:t xml:space="preserve">（项目名称） </w:t>
      </w:r>
      <w:r>
        <w:rPr>
          <w:rFonts w:hint="eastAsia" w:ascii="仿宋" w:hAnsi="仿宋" w:eastAsia="仿宋" w:cs="仿宋"/>
          <w:bCs/>
          <w:spacing w:val="0"/>
          <w:sz w:val="24"/>
          <w:szCs w:val="24"/>
          <w:lang w:eastAsia="zh-CN"/>
        </w:rPr>
        <w:t>采购活动，工程的施工单位全部为符合政策要求的中小企业。相关企业（含联合体中的中小企业、签订分包意向协</w:t>
      </w:r>
      <w:r>
        <w:rPr>
          <w:rFonts w:hint="eastAsia" w:ascii="仿宋" w:hAnsi="仿宋" w:eastAsia="仿宋" w:cs="仿宋"/>
          <w:bCs/>
          <w:spacing w:val="0"/>
          <w:w w:val="110"/>
          <w:sz w:val="24"/>
          <w:szCs w:val="24"/>
          <w:lang w:eastAsia="zh-CN"/>
        </w:rPr>
        <w:t>议的中小企业）的具体情况如下</w:t>
      </w:r>
      <w:r>
        <w:rPr>
          <w:rFonts w:hint="eastAsia" w:ascii="仿宋" w:hAnsi="仿宋" w:eastAsia="仿宋" w:cs="仿宋"/>
          <w:spacing w:val="10"/>
          <w:w w:val="110"/>
          <w:sz w:val="24"/>
          <w:szCs w:val="24"/>
          <w:lang w:eastAsia="zh-CN"/>
        </w:rPr>
        <w:t>：</w:t>
      </w:r>
    </w:p>
    <w:p w14:paraId="3AB1217D">
      <w:pPr>
        <w:pStyle w:val="40"/>
        <w:numPr>
          <w:ilvl w:val="0"/>
          <w:numId w:val="0"/>
        </w:numPr>
        <w:tabs>
          <w:tab w:val="left" w:pos="1285"/>
          <w:tab w:val="left" w:pos="4528"/>
          <w:tab w:val="left" w:pos="6945"/>
          <w:tab w:val="left" w:pos="9666"/>
        </w:tabs>
        <w:spacing w:line="364" w:lineRule="auto"/>
        <w:ind w:left="541" w:leftChars="0" w:right="518" w:rightChars="0" w:firstLine="480" w:firstLineChars="200"/>
        <w:jc w:val="both"/>
        <w:rPr>
          <w:rFonts w:hint="eastAsia" w:ascii="仿宋" w:hAnsi="仿宋" w:eastAsia="仿宋" w:cs="仿宋"/>
          <w:sz w:val="24"/>
          <w:szCs w:val="24"/>
          <w:lang w:eastAsia="zh-CN"/>
        </w:rPr>
      </w:pPr>
      <w:r>
        <w:rPr>
          <w:rFonts w:hint="eastAsia" w:ascii="仿宋" w:hAnsi="仿宋" w:eastAsia="仿宋" w:cs="仿宋"/>
          <w:spacing w:val="0"/>
          <w:position w:val="0"/>
          <w:sz w:val="24"/>
          <w:szCs w:val="24"/>
          <w:u w:val="none"/>
          <w:lang w:val="en-US" w:eastAsia="zh-CN"/>
        </w:rPr>
        <w:t>1.</w:t>
      </w:r>
      <w:r>
        <w:rPr>
          <w:rFonts w:hint="eastAsia" w:ascii="仿宋" w:hAnsi="仿宋" w:eastAsia="仿宋" w:cs="仿宋"/>
          <w:spacing w:val="0"/>
          <w:position w:val="0"/>
          <w:sz w:val="24"/>
          <w:szCs w:val="24"/>
          <w:u w:val="single"/>
          <w:lang w:eastAsia="zh-CN"/>
        </w:rPr>
        <w:t xml:space="preserve"> （标的名称）</w:t>
      </w:r>
      <w:r>
        <w:rPr>
          <w:rFonts w:hint="eastAsia" w:ascii="仿宋" w:hAnsi="仿宋" w:eastAsia="仿宋" w:cs="仿宋"/>
          <w:spacing w:val="0"/>
          <w:position w:val="0"/>
          <w:sz w:val="24"/>
          <w:szCs w:val="24"/>
          <w:lang w:eastAsia="zh-CN"/>
        </w:rPr>
        <w:t xml:space="preserve"> ，属于</w:t>
      </w:r>
      <w:r>
        <w:rPr>
          <w:rFonts w:hint="eastAsia" w:ascii="仿宋" w:hAnsi="仿宋" w:eastAsia="仿宋" w:cs="仿宋"/>
          <w:spacing w:val="0"/>
          <w:position w:val="0"/>
          <w:sz w:val="24"/>
          <w:szCs w:val="24"/>
          <w:u w:val="single"/>
          <w:lang w:eastAsia="zh-CN"/>
        </w:rPr>
        <w:t>（采购文件中明确的所属行业）</w:t>
      </w:r>
      <w:r>
        <w:rPr>
          <w:rFonts w:hint="eastAsia" w:ascii="仿宋" w:hAnsi="仿宋" w:eastAsia="仿宋" w:cs="仿宋"/>
          <w:spacing w:val="0"/>
          <w:position w:val="0"/>
          <w:sz w:val="24"/>
          <w:szCs w:val="24"/>
          <w:lang w:eastAsia="zh-CN"/>
        </w:rPr>
        <w:t>行业；承建企业为</w:t>
      </w:r>
      <w:r>
        <w:rPr>
          <w:rFonts w:hint="eastAsia" w:ascii="仿宋" w:hAnsi="仿宋" w:eastAsia="仿宋" w:cs="仿宋"/>
          <w:spacing w:val="0"/>
          <w:position w:val="0"/>
          <w:sz w:val="24"/>
          <w:szCs w:val="24"/>
          <w:u w:val="single"/>
          <w:lang w:eastAsia="zh-CN"/>
        </w:rPr>
        <w:t>（企业名称）</w:t>
      </w:r>
      <w:r>
        <w:rPr>
          <w:rFonts w:hint="eastAsia" w:ascii="仿宋" w:hAnsi="仿宋" w:eastAsia="仿宋" w:cs="仿宋"/>
          <w:spacing w:val="0"/>
          <w:position w:val="0"/>
          <w:sz w:val="24"/>
          <w:szCs w:val="24"/>
          <w:lang w:eastAsia="zh-CN"/>
        </w:rPr>
        <w:t>，从业人员</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人，营业收入为</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万元，资产总额为</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万元，属于</w:t>
      </w:r>
      <w:r>
        <w:rPr>
          <w:rFonts w:hint="eastAsia" w:ascii="仿宋" w:hAnsi="仿宋" w:eastAsia="仿宋" w:cs="仿宋"/>
          <w:spacing w:val="0"/>
          <w:position w:val="0"/>
          <w:sz w:val="24"/>
          <w:szCs w:val="24"/>
          <w:u w:val="single"/>
          <w:lang w:eastAsia="zh-CN"/>
        </w:rPr>
        <w:t>（中型企业、小型企业、微型企业）</w:t>
      </w:r>
      <w:r>
        <w:rPr>
          <w:rFonts w:hint="eastAsia" w:ascii="仿宋" w:hAnsi="仿宋" w:eastAsia="仿宋" w:cs="仿宋"/>
          <w:spacing w:val="0"/>
          <w:position w:val="0"/>
          <w:sz w:val="24"/>
          <w:szCs w:val="24"/>
          <w:lang w:eastAsia="zh-CN"/>
        </w:rPr>
        <w:t>；</w:t>
      </w:r>
    </w:p>
    <w:p w14:paraId="5EC1FD4B">
      <w:pPr>
        <w:pStyle w:val="40"/>
        <w:numPr>
          <w:ilvl w:val="0"/>
          <w:numId w:val="0"/>
        </w:numPr>
        <w:tabs>
          <w:tab w:val="left" w:pos="1418"/>
          <w:tab w:val="left" w:pos="4528"/>
          <w:tab w:val="left" w:pos="6945"/>
          <w:tab w:val="left" w:pos="9666"/>
        </w:tabs>
        <w:spacing w:line="364" w:lineRule="auto"/>
        <w:ind w:left="541" w:leftChars="0" w:right="518" w:rightChars="0" w:firstLine="480" w:firstLineChars="2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pacing w:val="0"/>
          <w:position w:val="0"/>
          <w:sz w:val="24"/>
          <w:szCs w:val="24"/>
          <w:u w:val="single"/>
          <w:lang w:eastAsia="zh-CN"/>
        </w:rPr>
        <w:t xml:space="preserve"> （标的名称）</w:t>
      </w:r>
      <w:r>
        <w:rPr>
          <w:rFonts w:hint="eastAsia" w:ascii="仿宋" w:hAnsi="仿宋" w:eastAsia="仿宋" w:cs="仿宋"/>
          <w:spacing w:val="0"/>
          <w:position w:val="0"/>
          <w:sz w:val="24"/>
          <w:szCs w:val="24"/>
          <w:lang w:eastAsia="zh-CN"/>
        </w:rPr>
        <w:t xml:space="preserve"> ，属于</w:t>
      </w:r>
      <w:r>
        <w:rPr>
          <w:rFonts w:hint="eastAsia" w:ascii="仿宋" w:hAnsi="仿宋" w:eastAsia="仿宋" w:cs="仿宋"/>
          <w:spacing w:val="0"/>
          <w:position w:val="0"/>
          <w:sz w:val="24"/>
          <w:szCs w:val="24"/>
          <w:u w:val="single"/>
          <w:lang w:eastAsia="zh-CN"/>
        </w:rPr>
        <w:t>（采购文件中明确的所属行业）</w:t>
      </w:r>
      <w:r>
        <w:rPr>
          <w:rFonts w:hint="eastAsia" w:ascii="仿宋" w:hAnsi="仿宋" w:eastAsia="仿宋" w:cs="仿宋"/>
          <w:spacing w:val="0"/>
          <w:position w:val="0"/>
          <w:sz w:val="24"/>
          <w:szCs w:val="24"/>
          <w:lang w:eastAsia="zh-CN"/>
        </w:rPr>
        <w:t>行业；承建企业为</w:t>
      </w:r>
      <w:r>
        <w:rPr>
          <w:rFonts w:hint="eastAsia" w:ascii="仿宋" w:hAnsi="仿宋" w:eastAsia="仿宋" w:cs="仿宋"/>
          <w:spacing w:val="0"/>
          <w:position w:val="0"/>
          <w:sz w:val="24"/>
          <w:szCs w:val="24"/>
          <w:u w:val="single"/>
          <w:lang w:eastAsia="zh-CN"/>
        </w:rPr>
        <w:t>（企业名称）</w:t>
      </w:r>
      <w:r>
        <w:rPr>
          <w:rFonts w:hint="eastAsia" w:ascii="仿宋" w:hAnsi="仿宋" w:eastAsia="仿宋" w:cs="仿宋"/>
          <w:spacing w:val="0"/>
          <w:position w:val="0"/>
          <w:sz w:val="24"/>
          <w:szCs w:val="24"/>
          <w:lang w:eastAsia="zh-CN"/>
        </w:rPr>
        <w:t>，从业人员</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人，营业收入为</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万元，资产总额为</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lang w:eastAsia="zh-CN"/>
        </w:rPr>
        <w:t>万元，属于</w:t>
      </w:r>
      <w:r>
        <w:rPr>
          <w:rFonts w:hint="eastAsia" w:ascii="仿宋" w:hAnsi="仿宋" w:eastAsia="仿宋" w:cs="仿宋"/>
          <w:spacing w:val="0"/>
          <w:position w:val="0"/>
          <w:sz w:val="24"/>
          <w:szCs w:val="24"/>
          <w:u w:val="single"/>
          <w:lang w:eastAsia="zh-CN"/>
        </w:rPr>
        <w:t>（中型企业、小型企业、微型企业）</w:t>
      </w:r>
      <w:r>
        <w:rPr>
          <w:rFonts w:hint="eastAsia" w:ascii="仿宋" w:hAnsi="仿宋" w:eastAsia="仿宋" w:cs="仿宋"/>
          <w:spacing w:val="0"/>
          <w:position w:val="0"/>
          <w:sz w:val="24"/>
          <w:szCs w:val="24"/>
          <w:lang w:eastAsia="zh-CN"/>
        </w:rPr>
        <w:t>；</w:t>
      </w:r>
    </w:p>
    <w:p w14:paraId="10A9F24A">
      <w:pPr>
        <w:pStyle w:val="12"/>
        <w:spacing w:before="11"/>
        <w:rPr>
          <w:rFonts w:hint="eastAsia" w:ascii="仿宋" w:hAnsi="仿宋" w:eastAsia="仿宋" w:cs="仿宋"/>
          <w:sz w:val="24"/>
          <w:szCs w:val="24"/>
          <w:lang w:eastAsia="zh-CN"/>
        </w:rPr>
      </w:pPr>
    </w:p>
    <w:p w14:paraId="0C951EF5">
      <w:pPr>
        <w:pStyle w:val="12"/>
        <w:ind w:left="1045"/>
        <w:rPr>
          <w:rFonts w:hint="eastAsia" w:ascii="仿宋" w:hAnsi="仿宋" w:eastAsia="仿宋" w:cs="仿宋"/>
          <w:sz w:val="24"/>
          <w:szCs w:val="24"/>
          <w:lang w:eastAsia="zh-CN"/>
        </w:rPr>
      </w:pPr>
      <w:r>
        <w:rPr>
          <w:rFonts w:hint="eastAsia" w:ascii="仿宋" w:hAnsi="仿宋" w:eastAsia="仿宋" w:cs="仿宋"/>
          <w:w w:val="120"/>
          <w:sz w:val="24"/>
          <w:szCs w:val="24"/>
          <w:lang w:eastAsia="zh-CN"/>
        </w:rPr>
        <w:t>……</w:t>
      </w:r>
    </w:p>
    <w:p w14:paraId="70847BAA">
      <w:pPr>
        <w:pStyle w:val="12"/>
        <w:spacing w:before="149" w:line="362" w:lineRule="auto"/>
        <w:ind w:left="541" w:right="576" w:firstLine="504"/>
        <w:rPr>
          <w:rFonts w:hint="eastAsia" w:ascii="仿宋" w:hAnsi="仿宋" w:eastAsia="仿宋" w:cs="仿宋"/>
          <w:sz w:val="24"/>
          <w:szCs w:val="24"/>
          <w:lang w:eastAsia="zh-CN"/>
        </w:rPr>
      </w:pPr>
      <w:r>
        <w:rPr>
          <w:rFonts w:hint="eastAsia" w:ascii="仿宋" w:hAnsi="仿宋" w:eastAsia="仿宋" w:cs="仿宋"/>
          <w:sz w:val="24"/>
          <w:szCs w:val="24"/>
          <w:lang w:eastAsia="zh-CN"/>
        </w:rPr>
        <w:t>以上企业，不属于大企业的分支机构，不存在控股股东为大企业的情形，也不存在与大企业的负责人为同一人的情形。</w:t>
      </w:r>
    </w:p>
    <w:p w14:paraId="663A2A17">
      <w:pPr>
        <w:pStyle w:val="12"/>
        <w:spacing w:before="5"/>
        <w:ind w:left="1045"/>
        <w:rPr>
          <w:rFonts w:hint="eastAsia" w:ascii="仿宋" w:hAnsi="仿宋" w:eastAsia="仿宋" w:cs="仿宋"/>
          <w:sz w:val="24"/>
          <w:szCs w:val="24"/>
          <w:lang w:eastAsia="zh-CN"/>
        </w:rPr>
      </w:pPr>
      <w:r>
        <w:rPr>
          <w:rFonts w:hint="eastAsia" w:ascii="仿宋" w:hAnsi="仿宋" w:eastAsia="仿宋" w:cs="仿宋"/>
          <w:sz w:val="24"/>
          <w:szCs w:val="24"/>
          <w:lang w:eastAsia="zh-CN"/>
        </w:rPr>
        <w:t>本企业对上述声明内容的真实性负责。如有虚假，将依法承担相应责任。</w:t>
      </w:r>
    </w:p>
    <w:p w14:paraId="7235818F">
      <w:pPr>
        <w:pStyle w:val="12"/>
        <w:rPr>
          <w:rFonts w:hint="eastAsia" w:ascii="仿宋" w:hAnsi="仿宋" w:eastAsia="仿宋" w:cs="仿宋"/>
          <w:sz w:val="24"/>
          <w:szCs w:val="24"/>
          <w:lang w:eastAsia="zh-CN"/>
        </w:rPr>
      </w:pPr>
    </w:p>
    <w:p w14:paraId="7B188C06">
      <w:pPr>
        <w:pStyle w:val="12"/>
        <w:spacing w:before="1"/>
        <w:rPr>
          <w:rFonts w:hint="eastAsia" w:ascii="仿宋" w:hAnsi="仿宋" w:eastAsia="仿宋" w:cs="仿宋"/>
          <w:sz w:val="24"/>
          <w:szCs w:val="24"/>
          <w:lang w:eastAsia="zh-CN"/>
        </w:rPr>
      </w:pPr>
    </w:p>
    <w:p w14:paraId="3D115FF5">
      <w:pPr>
        <w:pStyle w:val="12"/>
        <w:tabs>
          <w:tab w:val="left" w:pos="2812"/>
        </w:tabs>
        <w:ind w:right="878"/>
        <w:jc w:val="right"/>
        <w:rPr>
          <w:rFonts w:hint="eastAsia" w:ascii="仿宋" w:hAnsi="仿宋" w:eastAsia="仿宋" w:cs="仿宋"/>
          <w:sz w:val="24"/>
          <w:szCs w:val="24"/>
          <w:lang w:eastAsia="zh-CN"/>
        </w:rPr>
      </w:pPr>
      <w:r>
        <w:rPr>
          <w:rFonts w:hint="eastAsia" w:ascii="仿宋" w:hAnsi="仿宋" w:eastAsia="仿宋" w:cs="仿宋"/>
          <w:sz w:val="24"/>
          <w:szCs w:val="24"/>
          <w:lang w:eastAsia="zh-CN"/>
        </w:rPr>
        <w:t>企业名称（盖章</w:t>
      </w:r>
      <w:r>
        <w:rPr>
          <w:rFonts w:hint="eastAsia" w:ascii="仿宋" w:hAnsi="仿宋" w:eastAsia="仿宋" w:cs="仿宋"/>
          <w:spacing w:val="-121"/>
          <w:sz w:val="24"/>
          <w:szCs w:val="24"/>
          <w:lang w:eastAsia="zh-CN"/>
        </w:rPr>
        <w:t>）</w:t>
      </w:r>
      <w:r>
        <w:rPr>
          <w:rFonts w:hint="eastAsia" w:ascii="仿宋" w:hAnsi="仿宋" w:eastAsia="仿宋" w:cs="仿宋"/>
          <w:spacing w:val="-1"/>
          <w:sz w:val="24"/>
          <w:szCs w:val="24"/>
          <w:lang w:eastAsia="zh-CN"/>
        </w:rPr>
        <w:t>：</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p>
    <w:p w14:paraId="5A9617B6">
      <w:pPr>
        <w:pStyle w:val="12"/>
        <w:tabs>
          <w:tab w:val="left" w:pos="1612"/>
        </w:tabs>
        <w:spacing w:before="161"/>
        <w:ind w:right="878"/>
        <w:jc w:val="right"/>
        <w:rPr>
          <w:rFonts w:ascii="Times New Roman" w:hAnsi="Times New Roman" w:eastAsia="Times New Roman" w:cs="Times New Roman"/>
          <w:lang w:eastAsia="zh-CN"/>
        </w:rPr>
      </w:pPr>
      <w:r>
        <w:rPr>
          <w:rFonts w:hint="eastAsia" w:ascii="仿宋" w:hAnsi="仿宋" w:eastAsia="仿宋" w:cs="仿宋"/>
          <w:sz w:val="24"/>
          <w:szCs w:val="24"/>
          <w:lang w:eastAsia="zh-CN"/>
        </w:rPr>
        <w:t>日</w:t>
      </w:r>
      <w:r>
        <w:rPr>
          <w:rFonts w:hint="eastAsia" w:ascii="仿宋" w:hAnsi="仿宋" w:eastAsia="仿宋" w:cs="仿宋"/>
          <w:spacing w:val="-1"/>
          <w:sz w:val="24"/>
          <w:szCs w:val="24"/>
          <w:lang w:eastAsia="zh-CN"/>
        </w:rPr>
        <w:t xml:space="preserve"> </w:t>
      </w:r>
      <w:r>
        <w:rPr>
          <w:rFonts w:hint="eastAsia" w:ascii="仿宋" w:hAnsi="仿宋" w:eastAsia="仿宋" w:cs="仿宋"/>
          <w:sz w:val="24"/>
          <w:szCs w:val="24"/>
          <w:lang w:eastAsia="zh-CN"/>
        </w:rPr>
        <w:t>期：</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p>
    <w:p w14:paraId="64D9FB66">
      <w:pPr>
        <w:pStyle w:val="12"/>
        <w:rPr>
          <w:rFonts w:ascii="Times New Roman" w:hAnsi="Times New Roman" w:cs="Times New Roman"/>
          <w:sz w:val="20"/>
          <w:lang w:eastAsia="zh-CN"/>
        </w:rPr>
      </w:pPr>
    </w:p>
    <w:p w14:paraId="58550B76">
      <w:pPr>
        <w:pStyle w:val="12"/>
        <w:rPr>
          <w:rFonts w:ascii="Times New Roman" w:hAnsi="Times New Roman" w:cs="Times New Roman"/>
          <w:sz w:val="20"/>
          <w:lang w:eastAsia="zh-CN"/>
        </w:rPr>
      </w:pPr>
    </w:p>
    <w:p w14:paraId="739C1D2C">
      <w:pPr>
        <w:pStyle w:val="12"/>
        <w:spacing w:before="8"/>
        <w:rPr>
          <w:rFonts w:hint="eastAsia" w:ascii="仿宋" w:hAnsi="仿宋" w:eastAsia="仿宋" w:cs="仿宋"/>
          <w:color w:val="auto"/>
          <w:sz w:val="22"/>
          <w:szCs w:val="22"/>
          <w:lang w:eastAsia="zh-CN"/>
        </w:rPr>
      </w:pPr>
      <w:r>
        <w:rPr>
          <w:rFonts w:hint="eastAsia" w:ascii="仿宋" w:hAnsi="仿宋" w:eastAsia="仿宋" w:cs="仿宋"/>
        </w:rPr>
        <mc:AlternateContent>
          <mc:Choice Requires="wps">
            <w:drawing>
              <wp:anchor distT="0" distB="0" distL="114300" distR="114300" simplePos="0" relativeHeight="251663360"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214" name="任意多边形 214"/>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9.65pt;margin-top:13pt;height:0.1pt;width:447.35pt;mso-position-horizontal-relative:page;mso-wrap-distance-bottom:0pt;mso-wrap-distance-top:0pt;z-index:-251653120;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ZJAWQdgAAAAKAQAADwAAAAAAAAABACAAAAAiAAAAZHJzL2Rvd25yZXYu&#10;eG1sUEsBAhQAFAAAAAgAh07iQEbmQI80AgAAiQQAAA4AAAAAAAAAAQAgAAAAJwEAAGRycy9lMm9E&#10;b2MueG1sUEsFBgAAAAAGAAYAWQEAAM0FAAAAAA==&#10;" path="m0,0l8946,0e">
                <v:fill on="f" focussize="0,0"/>
                <v:stroke weight="0.48pt" color="#000000" joinstyle="round"/>
                <v:imagedata o:title=""/>
                <o:lock v:ext="edit" aspectratio="f"/>
                <w10:wrap type="topAndBottom"/>
              </v:shape>
            </w:pict>
          </mc:Fallback>
        </mc:AlternateContent>
      </w:r>
      <w:r>
        <w:rPr>
          <w:rFonts w:hint="eastAsia" w:ascii="仿宋" w:hAnsi="仿宋" w:eastAsia="仿宋" w:cs="仿宋"/>
          <w:w w:val="125"/>
          <w:position w:val="6"/>
          <w:sz w:val="14"/>
          <w:lang w:eastAsia="zh-CN"/>
        </w:rPr>
        <w:t xml:space="preserve"> </w:t>
      </w:r>
      <w:r>
        <w:rPr>
          <w:rFonts w:hint="eastAsia" w:ascii="仿宋" w:hAnsi="仿宋" w:eastAsia="仿宋" w:cs="仿宋"/>
          <w:sz w:val="21"/>
          <w:lang w:eastAsia="zh-CN"/>
        </w:rPr>
        <w:t>从业人员、营业收入、资产总额填报上一年度数据，无上一年度数据的新成立企业可不填报。</w:t>
      </w:r>
    </w:p>
    <w:p w14:paraId="28CE5E28">
      <w:pPr>
        <w:spacing w:line="480" w:lineRule="auto"/>
        <w:rPr>
          <w:rFonts w:hint="eastAsia" w:ascii="仿宋" w:hAnsi="仿宋" w:eastAsia="仿宋" w:cs="仿宋"/>
          <w:color w:val="auto"/>
          <w:sz w:val="24"/>
          <w:szCs w:val="24"/>
          <w:lang w:eastAsia="zh-CN"/>
        </w:rPr>
      </w:pPr>
      <w:bookmarkStart w:id="660" w:name="br1_74"/>
      <w:bookmarkEnd w:id="660"/>
      <w:r>
        <w:rPr>
          <w:rFonts w:hint="eastAsia" w:ascii="仿宋" w:hAnsi="仿宋" w:eastAsia="仿宋" w:cs="仿宋"/>
          <w:color w:val="auto"/>
          <w:sz w:val="24"/>
          <w:szCs w:val="24"/>
          <w:lang w:eastAsia="zh-CN"/>
        </w:rPr>
        <w:br w:type="page"/>
      </w:r>
      <w:bookmarkStart w:id="661" w:name="br1_75"/>
      <w:bookmarkEnd w:id="661"/>
      <w:r>
        <w:rPr>
          <w:rFonts w:hint="eastAsia" w:ascii="仿宋" w:hAnsi="仿宋" w:eastAsia="仿宋" w:cs="仿宋"/>
          <w:color w:val="auto"/>
          <w:sz w:val="24"/>
          <w:szCs w:val="24"/>
        </w:rPr>
        <w:drawing>
          <wp:anchor distT="0" distB="0" distL="114300" distR="114300" simplePos="0" relativeHeight="251659264" behindDoc="1" locked="0" layoutInCell="1" allowOverlap="1">
            <wp:simplePos x="0" y="0"/>
            <wp:positionH relativeFrom="page">
              <wp:posOffset>-12700</wp:posOffset>
            </wp:positionH>
            <wp:positionV relativeFrom="page">
              <wp:posOffset>-12700</wp:posOffset>
            </wp:positionV>
            <wp:extent cx="38100" cy="381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2"/>
                    <a:stretch>
                      <a:fillRect/>
                    </a:stretch>
                  </pic:blipFill>
                  <pic:spPr>
                    <a:xfrm>
                      <a:off x="0" y="0"/>
                      <a:ext cx="38100" cy="38100"/>
                    </a:xfrm>
                    <a:prstGeom prst="rect">
                      <a:avLst/>
                    </a:prstGeom>
                    <a:noFill/>
                    <a:ln>
                      <a:noFill/>
                    </a:ln>
                  </pic:spPr>
                </pic:pic>
              </a:graphicData>
            </a:graphic>
          </wp:anchor>
        </w:drawing>
      </w:r>
    </w:p>
    <w:p w14:paraId="4C3A39F8">
      <w:pPr>
        <w:spacing w:line="480" w:lineRule="auto"/>
        <w:jc w:val="cente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残疾人福利性单位声明函格式</w:t>
      </w:r>
    </w:p>
    <w:p w14:paraId="66E9DC9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p>
    <w:p w14:paraId="2F192BB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本单位郑重声明，根据《财政部 民政部 中国残疾人联合会关于促进残疾人就业政府采购政策的通知》（财库〔2017〕 141 号）的规定，本单位（请进行选择）：</w:t>
      </w:r>
    </w:p>
    <w:p w14:paraId="6BD60BF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□不属于符合条件的残疾人福利性单位。</w:t>
      </w:r>
    </w:p>
    <w:p w14:paraId="77C8126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□属于符合条件的残疾人福利性单位，且本单位参加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单位的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项目采购活动提供本单位制造的货物（由本单位承担工程/提供服务），或者提供其他残疾人福利性单位制造的货物（不包括使用非残疾人福利性单位注册商标的货物）。</w:t>
      </w:r>
    </w:p>
    <w:p w14:paraId="51E1A39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本单位对上述声明的真实性负责。如有虚假，将依法承担相应责任。</w:t>
      </w:r>
    </w:p>
    <w:p w14:paraId="4D830A2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p>
    <w:p w14:paraId="3CE4835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lang w:eastAsia="zh-CN"/>
        </w:rPr>
      </w:pPr>
    </w:p>
    <w:p w14:paraId="1B1CD785">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单位名称（盖章）：</w:t>
      </w:r>
      <w:r>
        <w:rPr>
          <w:rFonts w:hint="eastAsia" w:ascii="仿宋" w:hAnsi="仿宋" w:eastAsia="仿宋" w:cs="仿宋"/>
          <w:color w:val="auto"/>
          <w:sz w:val="24"/>
          <w:szCs w:val="24"/>
          <w:u w:val="single"/>
          <w:lang w:val="en-US" w:eastAsia="zh-CN"/>
        </w:rPr>
        <w:t xml:space="preserve">                 </w:t>
      </w:r>
    </w:p>
    <w:p w14:paraId="76745781">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日 期：</w:t>
      </w:r>
      <w:r>
        <w:rPr>
          <w:rFonts w:hint="eastAsia" w:ascii="仿宋" w:hAnsi="仿宋" w:eastAsia="仿宋" w:cs="仿宋"/>
          <w:color w:val="auto"/>
          <w:sz w:val="24"/>
          <w:szCs w:val="24"/>
          <w:u w:val="single"/>
          <w:lang w:val="en-US" w:eastAsia="zh-CN"/>
        </w:rPr>
        <w:t xml:space="preserve">                 </w:t>
      </w:r>
    </w:p>
    <w:p w14:paraId="4AEF39D5">
      <w:pPr>
        <w:spacing w:line="480" w:lineRule="auto"/>
        <w:rPr>
          <w:rFonts w:hint="eastAsia" w:ascii="仿宋" w:hAnsi="仿宋" w:eastAsia="仿宋" w:cs="仿宋"/>
          <w:color w:val="auto"/>
          <w:lang w:eastAsia="zh-CN"/>
        </w:rPr>
      </w:pPr>
      <w:bookmarkStart w:id="662" w:name="br1_78"/>
      <w:bookmarkEnd w:id="662"/>
      <w:r>
        <w:rPr>
          <w:rFonts w:hint="eastAsia" w:ascii="仿宋" w:hAnsi="仿宋" w:eastAsia="仿宋" w:cs="仿宋"/>
          <w:color w:val="auto"/>
          <w:lang w:eastAsia="zh-CN"/>
        </w:rPr>
        <w:br w:type="page"/>
      </w:r>
      <w:bookmarkStart w:id="663" w:name="br1_79"/>
      <w:bookmarkEnd w:id="663"/>
    </w:p>
    <w:p w14:paraId="2341E898">
      <w:pPr>
        <w:pStyle w:val="2"/>
        <w:pageBreakBefore w:val="0"/>
        <w:widowControl w:val="0"/>
        <w:kinsoku/>
        <w:wordWrap/>
        <w:overflowPunct/>
        <w:topLinePunct w:val="0"/>
        <w:autoSpaceDE/>
        <w:autoSpaceDN/>
        <w:bidi w:val="0"/>
        <w:snapToGrid/>
        <w:spacing w:before="0" w:beforeLines="0" w:after="0" w:afterLines="0" w:line="480" w:lineRule="exact"/>
        <w:ind w:right="25"/>
        <w:textAlignment w:val="auto"/>
        <w:rPr>
          <w:rFonts w:hint="eastAsia" w:ascii="仿宋" w:hAnsi="仿宋" w:eastAsia="仿宋" w:cs="仿宋"/>
          <w:b/>
          <w:bCs w:val="0"/>
          <w:spacing w:val="0"/>
          <w:sz w:val="28"/>
          <w:szCs w:val="28"/>
          <w:lang w:eastAsia="zh-CN"/>
        </w:rPr>
      </w:pPr>
      <w:bookmarkStart w:id="664" w:name="_Toc835"/>
      <w:bookmarkStart w:id="665" w:name="_Toc12599"/>
      <w:bookmarkStart w:id="666" w:name="_Toc160018037"/>
      <w:r>
        <w:rPr>
          <w:rFonts w:hint="eastAsia" w:ascii="仿宋" w:hAnsi="仿宋" w:eastAsia="仿宋" w:cs="仿宋"/>
          <w:b/>
          <w:bCs w:val="0"/>
          <w:spacing w:val="0"/>
          <w:sz w:val="28"/>
          <w:szCs w:val="28"/>
          <w:lang w:eastAsia="zh-CN"/>
        </w:rPr>
        <w:t>监狱企业证明文件</w:t>
      </w:r>
      <w:bookmarkEnd w:id="664"/>
      <w:bookmarkEnd w:id="665"/>
      <w:bookmarkEnd w:id="666"/>
    </w:p>
    <w:p w14:paraId="0E066DB4">
      <w:pPr>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z w:val="24"/>
          <w:szCs w:val="24"/>
          <w:lang w:eastAsia="zh-CN"/>
        </w:rPr>
      </w:pPr>
    </w:p>
    <w:p w14:paraId="3B11B978">
      <w:pPr>
        <w:pStyle w:val="12"/>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BC4324">
      <w:pPr>
        <w:pStyle w:val="12"/>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监狱企业参加政府采购活动时，应当提供由省级以上监狱管理局、戒毒管理局（含新疆生产建设兵团）出具的属于监狱企业的证明文件。</w:t>
      </w:r>
    </w:p>
    <w:p w14:paraId="41B14C55">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7FEDCF4B">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00708E5C">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65731F7E">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101FE3D6">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5C9DD45F">
      <w:pPr>
        <w:pStyle w:val="40"/>
        <w:numPr>
          <w:ilvl w:val="0"/>
          <w:numId w:val="0"/>
        </w:numPr>
        <w:tabs>
          <w:tab w:val="left" w:pos="932"/>
          <w:tab w:val="left" w:pos="933"/>
        </w:tabs>
        <w:spacing w:before="73"/>
        <w:jc w:val="left"/>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响应书（实质性格式）</w:t>
      </w:r>
    </w:p>
    <w:p w14:paraId="3DD8B288">
      <w:pPr>
        <w:pStyle w:val="2"/>
        <w:spacing w:before="49"/>
        <w:ind w:right="31"/>
        <w:jc w:val="center"/>
        <w:rPr>
          <w:rFonts w:hint="eastAsia" w:ascii="仿宋" w:hAnsi="仿宋" w:eastAsia="仿宋" w:cs="仿宋"/>
          <w:spacing w:val="0"/>
          <w:w w:val="100"/>
          <w:sz w:val="28"/>
          <w:szCs w:val="28"/>
        </w:rPr>
      </w:pPr>
      <w:bookmarkStart w:id="667" w:name="_Toc6784"/>
      <w:bookmarkStart w:id="668" w:name="_Toc160018041"/>
      <w:bookmarkStart w:id="669" w:name="_Toc32350"/>
      <w:r>
        <w:rPr>
          <w:rFonts w:hint="eastAsia" w:ascii="仿宋" w:hAnsi="仿宋" w:eastAsia="仿宋" w:cs="仿宋"/>
          <w:spacing w:val="0"/>
          <w:w w:val="100"/>
          <w:sz w:val="28"/>
          <w:szCs w:val="28"/>
        </w:rPr>
        <w:t>响应书</w:t>
      </w:r>
      <w:bookmarkEnd w:id="667"/>
      <w:bookmarkEnd w:id="668"/>
      <w:bookmarkEnd w:id="669"/>
    </w:p>
    <w:p w14:paraId="4B40B03A">
      <w:pPr>
        <w:pStyle w:val="12"/>
        <w:spacing w:before="7"/>
        <w:rPr>
          <w:rFonts w:hint="eastAsia" w:ascii="仿宋" w:hAnsi="仿宋" w:eastAsia="仿宋" w:cs="仿宋"/>
          <w:spacing w:val="0"/>
          <w:w w:val="100"/>
          <w:sz w:val="24"/>
          <w:szCs w:val="24"/>
        </w:rPr>
      </w:pPr>
    </w:p>
    <w:p w14:paraId="38977F7D">
      <w:pPr>
        <w:pStyle w:val="12"/>
        <w:keepNext w:val="0"/>
        <w:keepLines w:val="0"/>
        <w:pageBreakBefore w:val="0"/>
        <w:widowControl w:val="0"/>
        <w:kinsoku/>
        <w:wordWrap/>
        <w:overflowPunct/>
        <w:topLinePunct w:val="0"/>
        <w:autoSpaceDE/>
        <w:autoSpaceDN/>
        <w:bidi w:val="0"/>
        <w:snapToGrid/>
        <w:spacing w:line="480" w:lineRule="exact"/>
        <w:textAlignment w:val="auto"/>
        <w:rPr>
          <w:rFonts w:hint="eastAsia" w:ascii="仿宋" w:hAnsi="仿宋" w:eastAsia="仿宋" w:cs="仿宋"/>
          <w:spacing w:val="0"/>
          <w:w w:val="100"/>
          <w:sz w:val="24"/>
          <w:szCs w:val="24"/>
          <w:u w:val="single"/>
          <w:lang w:eastAsia="zh-CN"/>
        </w:rPr>
      </w:pPr>
      <w:r>
        <w:rPr>
          <w:rFonts w:hint="eastAsia" w:ascii="仿宋" w:hAnsi="仿宋" w:eastAsia="仿宋" w:cs="仿宋"/>
          <w:spacing w:val="0"/>
          <w:w w:val="100"/>
          <w:sz w:val="24"/>
          <w:szCs w:val="24"/>
          <w:lang w:eastAsia="zh-CN"/>
        </w:rPr>
        <w:t>致：</w:t>
      </w:r>
      <w:r>
        <w:rPr>
          <w:rFonts w:hint="eastAsia" w:ascii="仿宋" w:hAnsi="仿宋" w:eastAsia="仿宋" w:cs="仿宋"/>
          <w:spacing w:val="0"/>
          <w:w w:val="100"/>
          <w:sz w:val="24"/>
          <w:szCs w:val="24"/>
          <w:u w:val="single"/>
          <w:lang w:eastAsia="zh-CN"/>
        </w:rPr>
        <w:t>（采购人或采购代理机构）</w:t>
      </w:r>
    </w:p>
    <w:p w14:paraId="3DDE3E78">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我方参加你方就</w:t>
      </w:r>
      <w:r>
        <w:rPr>
          <w:rFonts w:hint="eastAsia" w:ascii="仿宋" w:hAnsi="仿宋" w:eastAsia="仿宋" w:cs="仿宋"/>
          <w:spacing w:val="0"/>
          <w:w w:val="100"/>
          <w:sz w:val="24"/>
          <w:szCs w:val="24"/>
          <w:u w:val="single"/>
          <w:lang w:val="en-US" w:eastAsia="zh-CN"/>
        </w:rPr>
        <w:t xml:space="preserve">       （项目名称/项目编号）    </w:t>
      </w:r>
      <w:r>
        <w:rPr>
          <w:rFonts w:hint="eastAsia" w:ascii="仿宋" w:hAnsi="仿宋" w:eastAsia="仿宋" w:cs="仿宋"/>
          <w:spacing w:val="0"/>
          <w:w w:val="100"/>
          <w:sz w:val="24"/>
          <w:szCs w:val="24"/>
          <w:lang w:eastAsia="zh-CN"/>
        </w:rPr>
        <w:t>组织的采购活动，并对此项目进行磋商。</w:t>
      </w:r>
    </w:p>
    <w:p w14:paraId="417A0864">
      <w:pPr>
        <w:pStyle w:val="40"/>
        <w:keepNext w:val="0"/>
        <w:keepLines w:val="0"/>
        <w:pageBreakBefore w:val="0"/>
        <w:widowControl w:val="0"/>
        <w:numPr>
          <w:ilvl w:val="0"/>
          <w:numId w:val="0"/>
        </w:numPr>
        <w:tabs>
          <w:tab w:val="left" w:pos="1298"/>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1.</w:t>
      </w:r>
      <w:r>
        <w:rPr>
          <w:rFonts w:hint="eastAsia" w:ascii="仿宋" w:hAnsi="仿宋" w:eastAsia="仿宋" w:cs="仿宋"/>
          <w:spacing w:val="0"/>
          <w:w w:val="100"/>
          <w:sz w:val="24"/>
          <w:szCs w:val="24"/>
          <w:lang w:eastAsia="zh-CN"/>
        </w:rPr>
        <w:t>我方已详细审查全部竞争性磋商文件，自愿参与磋商并承诺如下：</w:t>
      </w:r>
    </w:p>
    <w:p w14:paraId="6713303C">
      <w:pPr>
        <w:pStyle w:val="40"/>
        <w:keepNext w:val="0"/>
        <w:keepLines w:val="0"/>
        <w:pageBreakBefore w:val="0"/>
        <w:widowControl w:val="0"/>
        <w:numPr>
          <w:ilvl w:val="0"/>
          <w:numId w:val="0"/>
        </w:numPr>
        <w:tabs>
          <w:tab w:val="left" w:pos="1606"/>
          <w:tab w:val="left" w:pos="6885"/>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1</w:t>
      </w:r>
      <w:r>
        <w:rPr>
          <w:rFonts w:hint="eastAsia" w:ascii="仿宋" w:hAnsi="仿宋" w:eastAsia="仿宋" w:cs="仿宋"/>
          <w:spacing w:val="0"/>
          <w:w w:val="100"/>
          <w:sz w:val="24"/>
          <w:szCs w:val="24"/>
          <w:lang w:eastAsia="zh-CN"/>
        </w:rPr>
        <w:t>）本响应有效期为自响应文件提交截止之日起</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个日历日。</w:t>
      </w:r>
    </w:p>
    <w:p w14:paraId="3EC293B7">
      <w:pPr>
        <w:pStyle w:val="40"/>
        <w:keepNext w:val="0"/>
        <w:keepLines w:val="0"/>
        <w:pageBreakBefore w:val="0"/>
        <w:widowControl w:val="0"/>
        <w:numPr>
          <w:ilvl w:val="0"/>
          <w:numId w:val="0"/>
        </w:numPr>
        <w:tabs>
          <w:tab w:val="left" w:pos="1606"/>
          <w:tab w:val="left" w:pos="6885"/>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2</w:t>
      </w:r>
      <w:r>
        <w:rPr>
          <w:rFonts w:hint="eastAsia" w:ascii="仿宋" w:hAnsi="仿宋" w:eastAsia="仿宋" w:cs="仿宋"/>
          <w:spacing w:val="0"/>
          <w:w w:val="100"/>
          <w:sz w:val="24"/>
          <w:szCs w:val="24"/>
          <w:lang w:eastAsia="zh-CN"/>
        </w:rPr>
        <w:t>）除合同条款及采购需求偏离表列出的偏离外，我方响应竞争性磋商文件的全部要求。</w:t>
      </w:r>
    </w:p>
    <w:p w14:paraId="3BEC5680">
      <w:pPr>
        <w:pStyle w:val="40"/>
        <w:keepNext w:val="0"/>
        <w:keepLines w:val="0"/>
        <w:pageBreakBefore w:val="0"/>
        <w:widowControl w:val="0"/>
        <w:numPr>
          <w:ilvl w:val="0"/>
          <w:numId w:val="0"/>
        </w:numPr>
        <w:tabs>
          <w:tab w:val="left" w:pos="1606"/>
          <w:tab w:val="left" w:pos="6885"/>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3</w:t>
      </w:r>
      <w:r>
        <w:rPr>
          <w:rFonts w:hint="eastAsia" w:ascii="仿宋" w:hAnsi="仿宋" w:eastAsia="仿宋" w:cs="仿宋"/>
          <w:spacing w:val="0"/>
          <w:w w:val="100"/>
          <w:sz w:val="24"/>
          <w:szCs w:val="24"/>
          <w:lang w:eastAsia="zh-CN"/>
        </w:rPr>
        <w:t>）我方已提供的全部文件资料是真实、准确的，并对此承担一切法律后果。</w:t>
      </w:r>
    </w:p>
    <w:p w14:paraId="6BB204EB">
      <w:pPr>
        <w:pStyle w:val="40"/>
        <w:keepNext w:val="0"/>
        <w:keepLines w:val="0"/>
        <w:pageBreakBefore w:val="0"/>
        <w:widowControl w:val="0"/>
        <w:numPr>
          <w:ilvl w:val="0"/>
          <w:numId w:val="0"/>
        </w:numPr>
        <w:tabs>
          <w:tab w:val="left" w:pos="1606"/>
          <w:tab w:val="left" w:pos="6885"/>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w:t>
      </w:r>
      <w:r>
        <w:rPr>
          <w:rFonts w:hint="eastAsia" w:ascii="仿宋" w:hAnsi="仿宋" w:eastAsia="仿宋" w:cs="仿宋"/>
          <w:spacing w:val="0"/>
          <w:w w:val="100"/>
          <w:sz w:val="24"/>
          <w:szCs w:val="24"/>
          <w:lang w:val="en-US" w:eastAsia="zh-CN"/>
        </w:rPr>
        <w:t>4</w:t>
      </w:r>
      <w:r>
        <w:rPr>
          <w:rFonts w:hint="eastAsia" w:ascii="仿宋" w:hAnsi="仿宋" w:eastAsia="仿宋" w:cs="仿宋"/>
          <w:spacing w:val="0"/>
          <w:w w:val="100"/>
          <w:sz w:val="24"/>
          <w:szCs w:val="24"/>
          <w:lang w:eastAsia="zh-CN"/>
        </w:rPr>
        <w:t>）如我方成交，我方将在法律规定的期限内与你方签订合同，按照竞争性磋商文件要求，并在合同约定的期限内完成合同规定的全部义务。</w:t>
      </w:r>
    </w:p>
    <w:p w14:paraId="53D05674">
      <w:pPr>
        <w:pStyle w:val="40"/>
        <w:keepNext w:val="0"/>
        <w:keepLines w:val="0"/>
        <w:pageBreakBefore w:val="0"/>
        <w:widowControl w:val="0"/>
        <w:numPr>
          <w:ilvl w:val="0"/>
          <w:numId w:val="0"/>
        </w:numPr>
        <w:tabs>
          <w:tab w:val="left" w:pos="1606"/>
          <w:tab w:val="left" w:pos="6885"/>
        </w:tabs>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val="en-US" w:eastAsia="zh-CN"/>
        </w:rPr>
        <w:t>2.</w:t>
      </w:r>
      <w:r>
        <w:rPr>
          <w:rFonts w:hint="eastAsia" w:ascii="仿宋" w:hAnsi="仿宋" w:eastAsia="仿宋" w:cs="仿宋"/>
          <w:spacing w:val="0"/>
          <w:w w:val="100"/>
          <w:sz w:val="24"/>
          <w:szCs w:val="24"/>
          <w:lang w:eastAsia="zh-CN"/>
        </w:rPr>
        <w:t>其他补充条款（如有）：</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w:t>
      </w:r>
    </w:p>
    <w:p w14:paraId="63ED969A">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与本磋商有关的一切正式往来信函请寄：</w:t>
      </w:r>
    </w:p>
    <w:p w14:paraId="10F25987">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地</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spacing w:val="0"/>
          <w:w w:val="100"/>
          <w:sz w:val="24"/>
          <w:szCs w:val="24"/>
          <w:lang w:eastAsia="zh-CN"/>
        </w:rPr>
        <w:t>址</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u w:val="none"/>
          <w:lang w:val="en-US" w:eastAsia="zh-CN"/>
        </w:rPr>
        <w:t xml:space="preserve">      </w:t>
      </w:r>
      <w:r>
        <w:rPr>
          <w:rFonts w:hint="eastAsia" w:ascii="仿宋" w:hAnsi="仿宋" w:eastAsia="仿宋" w:cs="仿宋"/>
          <w:spacing w:val="0"/>
          <w:w w:val="100"/>
          <w:sz w:val="24"/>
          <w:szCs w:val="24"/>
          <w:lang w:eastAsia="zh-CN"/>
        </w:rPr>
        <w:t>传</w:t>
      </w:r>
      <w:r>
        <w:rPr>
          <w:rFonts w:hint="eastAsia" w:ascii="仿宋" w:hAnsi="仿宋" w:eastAsia="仿宋" w:cs="仿宋"/>
          <w:spacing w:val="0"/>
          <w:w w:val="100"/>
          <w:sz w:val="24"/>
          <w:szCs w:val="24"/>
          <w:lang w:eastAsia="zh-CN"/>
        </w:rPr>
        <w:tab/>
      </w:r>
      <w:r>
        <w:rPr>
          <w:rFonts w:hint="eastAsia" w:ascii="仿宋" w:hAnsi="仿宋" w:eastAsia="仿宋" w:cs="仿宋"/>
          <w:spacing w:val="0"/>
          <w:w w:val="100"/>
          <w:sz w:val="24"/>
          <w:szCs w:val="24"/>
          <w:lang w:eastAsia="zh-CN"/>
        </w:rPr>
        <w:t>真</w:t>
      </w:r>
      <w:r>
        <w:rPr>
          <w:rFonts w:hint="eastAsia" w:ascii="仿宋" w:hAnsi="仿宋" w:eastAsia="仿宋" w:cs="仿宋"/>
          <w:spacing w:val="0"/>
          <w:w w:val="100"/>
          <w:sz w:val="24"/>
          <w:szCs w:val="24"/>
          <w:u w:val="single"/>
          <w:lang w:val="en-US" w:eastAsia="zh-CN"/>
        </w:rPr>
        <w:t xml:space="preserve">                </w:t>
      </w:r>
    </w:p>
    <w:p w14:paraId="3D5808A5">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电</w:t>
      </w:r>
      <w:r>
        <w:rPr>
          <w:rFonts w:hint="eastAsia" w:ascii="仿宋" w:hAnsi="仿宋" w:eastAsia="仿宋" w:cs="仿宋"/>
          <w:spacing w:val="0"/>
          <w:w w:val="100"/>
          <w:sz w:val="24"/>
          <w:szCs w:val="24"/>
          <w:lang w:val="en-US" w:eastAsia="zh-CN"/>
        </w:rPr>
        <w:t xml:space="preserve">  </w:t>
      </w:r>
      <w:r>
        <w:rPr>
          <w:rFonts w:hint="eastAsia" w:ascii="仿宋" w:hAnsi="仿宋" w:eastAsia="仿宋" w:cs="仿宋"/>
          <w:spacing w:val="0"/>
          <w:w w:val="100"/>
          <w:sz w:val="24"/>
          <w:szCs w:val="24"/>
          <w:lang w:eastAsia="zh-CN"/>
        </w:rPr>
        <w:t>话</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u w:val="none"/>
          <w:lang w:val="en-US" w:eastAsia="zh-CN"/>
        </w:rPr>
        <w:t xml:space="preserve">      </w:t>
      </w:r>
      <w:r>
        <w:rPr>
          <w:rFonts w:hint="eastAsia" w:ascii="仿宋" w:hAnsi="仿宋" w:eastAsia="仿宋" w:cs="仿宋"/>
          <w:spacing w:val="0"/>
          <w:w w:val="100"/>
          <w:sz w:val="24"/>
          <w:szCs w:val="24"/>
          <w:lang w:eastAsia="zh-CN"/>
        </w:rPr>
        <w:t>电子函件</w:t>
      </w:r>
      <w:r>
        <w:rPr>
          <w:rFonts w:hint="eastAsia" w:ascii="仿宋" w:hAnsi="仿宋" w:eastAsia="仿宋" w:cs="仿宋"/>
          <w:spacing w:val="0"/>
          <w:w w:val="100"/>
          <w:sz w:val="24"/>
          <w:szCs w:val="24"/>
          <w:u w:val="single"/>
          <w:lang w:val="en-US" w:eastAsia="zh-CN"/>
        </w:rPr>
        <w:t xml:space="preserve">               </w:t>
      </w:r>
    </w:p>
    <w:p w14:paraId="52ABB76F">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p>
    <w:p w14:paraId="5CEBEF7D">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p>
    <w:p w14:paraId="28BB4689">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供应商名称（加盖公章）：</w:t>
      </w:r>
      <w:r>
        <w:rPr>
          <w:rFonts w:hint="eastAsia" w:ascii="仿宋" w:hAnsi="仿宋" w:eastAsia="仿宋" w:cs="仿宋"/>
          <w:spacing w:val="0"/>
          <w:w w:val="100"/>
          <w:sz w:val="24"/>
          <w:szCs w:val="24"/>
          <w:u w:val="single"/>
          <w:lang w:val="en-US" w:eastAsia="zh-CN"/>
        </w:rPr>
        <w:t xml:space="preserve">                     </w:t>
      </w:r>
    </w:p>
    <w:p w14:paraId="3180E04C">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日期：</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年</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月</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日</w:t>
      </w:r>
    </w:p>
    <w:p w14:paraId="2914981C">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734FD872">
      <w:pPr>
        <w:spacing w:line="480" w:lineRule="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4、授权委托书</w:t>
      </w:r>
      <w:r>
        <w:rPr>
          <w:rFonts w:hint="eastAsia" w:ascii="仿宋" w:hAnsi="仿宋" w:eastAsia="仿宋" w:cs="仿宋"/>
          <w:sz w:val="24"/>
          <w:szCs w:val="24"/>
          <w:lang w:val="en-US" w:eastAsia="zh-CN"/>
        </w:rPr>
        <w:t>（实质性格式）</w:t>
      </w:r>
    </w:p>
    <w:p w14:paraId="4B62AD80">
      <w:pPr>
        <w:spacing w:line="48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授权委托书</w:t>
      </w:r>
    </w:p>
    <w:p w14:paraId="1298A3F7">
      <w:pPr>
        <w:spacing w:line="480" w:lineRule="auto"/>
        <w:ind w:firstLine="480" w:firstLineChars="20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本人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（姓名）</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系</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的法定代表人（单位负责人），现委托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（姓名）</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为我方代理人。代理人根据授权，以我方名义签署、澄清确认、提交、撤回、修改</w:t>
      </w:r>
      <w:r>
        <w:rPr>
          <w:rFonts w:hint="eastAsia" w:ascii="仿宋" w:hAnsi="仿宋" w:eastAsia="仿宋" w:cs="仿宋"/>
          <w:color w:val="auto"/>
          <w:sz w:val="24"/>
          <w:szCs w:val="24"/>
          <w:u w:val="single"/>
          <w:lang w:val="en-US" w:eastAsia="zh-CN"/>
        </w:rPr>
        <w:t xml:space="preserve">  （项目名称）  </w:t>
      </w:r>
      <w:r>
        <w:rPr>
          <w:rFonts w:hint="eastAsia" w:ascii="仿宋" w:hAnsi="仿宋" w:eastAsia="仿宋" w:cs="仿宋"/>
          <w:color w:val="auto"/>
          <w:sz w:val="24"/>
          <w:szCs w:val="24"/>
          <w:lang w:eastAsia="zh-CN"/>
        </w:rPr>
        <w:t>响应文件和处理有关事宜，其法律后果由我方承担。</w:t>
      </w:r>
    </w:p>
    <w:p w14:paraId="67DC3A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委托期限：自本授权委托书签署之日起至响应有效期届满之日止。</w:t>
      </w:r>
    </w:p>
    <w:p w14:paraId="77884E9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代理人无转委托权。</w:t>
      </w:r>
    </w:p>
    <w:p w14:paraId="09DBC80F">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lang w:eastAsia="zh-CN"/>
        </w:rPr>
      </w:pPr>
    </w:p>
    <w:p w14:paraId="3DC4282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供应商名称（加盖公章）：</w:t>
      </w:r>
      <w:r>
        <w:rPr>
          <w:rFonts w:hint="eastAsia" w:ascii="仿宋" w:hAnsi="仿宋" w:eastAsia="仿宋" w:cs="仿宋"/>
          <w:color w:val="auto"/>
          <w:sz w:val="24"/>
          <w:szCs w:val="24"/>
          <w:u w:val="single"/>
          <w:lang w:val="en-US" w:eastAsia="zh-CN"/>
        </w:rPr>
        <w:t xml:space="preserve">                          </w:t>
      </w:r>
    </w:p>
    <w:p w14:paraId="0C22054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法定代表人（单位负责人）（签字或签章）：</w:t>
      </w:r>
      <w:r>
        <w:rPr>
          <w:rFonts w:hint="eastAsia" w:ascii="仿宋" w:hAnsi="仿宋" w:eastAsia="仿宋" w:cs="仿宋"/>
          <w:color w:val="auto"/>
          <w:sz w:val="24"/>
          <w:szCs w:val="24"/>
          <w:u w:val="single"/>
          <w:lang w:val="en-US" w:eastAsia="zh-CN"/>
        </w:rPr>
        <w:t xml:space="preserve">          </w:t>
      </w:r>
    </w:p>
    <w:p w14:paraId="619504F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委托代理人（签字或签章）：</w:t>
      </w:r>
      <w:r>
        <w:rPr>
          <w:rFonts w:hint="eastAsia" w:ascii="仿宋" w:hAnsi="仿宋" w:eastAsia="仿宋" w:cs="仿宋"/>
          <w:color w:val="auto"/>
          <w:sz w:val="24"/>
          <w:szCs w:val="24"/>
          <w:u w:val="single"/>
          <w:lang w:val="en-US" w:eastAsia="zh-CN"/>
        </w:rPr>
        <w:t xml:space="preserve">                     </w:t>
      </w:r>
    </w:p>
    <w:p w14:paraId="7CBF9FEE">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日</w:t>
      </w:r>
    </w:p>
    <w:p w14:paraId="5BDDEB81">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lang w:eastAsia="zh-CN"/>
        </w:rPr>
      </w:pPr>
    </w:p>
    <w:p w14:paraId="2E782C01">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附：法定代表人及委托代理人身份证明文件电子件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6"/>
      </w:tblGrid>
      <w:tr w14:paraId="487E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9288" w:type="dxa"/>
          </w:tcPr>
          <w:p w14:paraId="72BC63A8">
            <w:pPr>
              <w:spacing w:line="480" w:lineRule="auto"/>
              <w:rPr>
                <w:rFonts w:hint="eastAsia" w:ascii="仿宋" w:hAnsi="仿宋" w:eastAsia="仿宋" w:cs="仿宋"/>
                <w:color w:val="auto"/>
                <w:lang w:eastAsia="zh-CN"/>
              </w:rPr>
            </w:pPr>
          </w:p>
        </w:tc>
      </w:tr>
    </w:tbl>
    <w:p w14:paraId="286D9158">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说明：1.若供应商为事业单位或其他组织或分支机构，则法定代表人（单位负责人）处的签署人可为单位负责人。</w:t>
      </w:r>
    </w:p>
    <w:p w14:paraId="38A16C0F">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2.若响应文件中签字之处均为法定代表人（单位负责人）本人签署，则可不提供本《授权委托书》，但须提供《法定代表人（单位负责人）身份证明》；否则，不需要提供《法定代表人（单位负责人）身份证明》。</w:t>
      </w:r>
    </w:p>
    <w:p w14:paraId="10AD8268">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3.供应商为自然人的情形，可不提供本《授权委托书》。</w:t>
      </w:r>
    </w:p>
    <w:p w14:paraId="511F231A">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1"/>
          <w:szCs w:val="21"/>
          <w:lang w:eastAsia="zh-CN"/>
        </w:rPr>
        <w:t>4.供应商应随本《授权委托书》同时提供法定代表人（单位负责人）及委托代理人的有效的身份证</w:t>
      </w:r>
      <w:r>
        <w:rPr>
          <w:rFonts w:hint="eastAsia" w:ascii="仿宋" w:hAnsi="仿宋" w:eastAsia="仿宋" w:cs="仿宋"/>
          <w:color w:val="auto"/>
          <w:sz w:val="21"/>
          <w:szCs w:val="21"/>
          <w:lang w:val="en-US" w:eastAsia="zh-CN"/>
        </w:rPr>
        <w:t>或</w:t>
      </w:r>
      <w:r>
        <w:rPr>
          <w:rFonts w:hint="eastAsia" w:ascii="仿宋" w:hAnsi="仿宋" w:eastAsia="仿宋" w:cs="仿宋"/>
          <w:color w:val="auto"/>
          <w:sz w:val="21"/>
          <w:szCs w:val="21"/>
          <w:lang w:eastAsia="zh-CN"/>
        </w:rPr>
        <w:t>护照等身份证明文件电子件。提供身份证的，应同时提供身份证双面</w:t>
      </w:r>
      <w:r>
        <w:rPr>
          <w:rFonts w:hint="eastAsia" w:ascii="仿宋" w:hAnsi="仿宋" w:eastAsia="仿宋" w:cs="仿宋"/>
          <w:color w:val="auto"/>
          <w:sz w:val="21"/>
          <w:szCs w:val="21"/>
          <w:lang w:val="en-US" w:eastAsia="zh-CN"/>
        </w:rPr>
        <w:t>扫描件</w:t>
      </w:r>
      <w:r>
        <w:rPr>
          <w:rFonts w:hint="eastAsia" w:ascii="仿宋" w:hAnsi="仿宋" w:eastAsia="仿宋" w:cs="仿宋"/>
          <w:color w:val="auto"/>
          <w:sz w:val="21"/>
          <w:szCs w:val="21"/>
          <w:lang w:eastAsia="zh-CN"/>
        </w:rPr>
        <w:t>。</w:t>
      </w:r>
    </w:p>
    <w:p w14:paraId="58142A2E">
      <w:pPr>
        <w:numPr>
          <w:ilvl w:val="0"/>
          <w:numId w:val="0"/>
        </w:numPr>
        <w:spacing w:before="60" w:after="60" w:line="360" w:lineRule="auto"/>
        <w:jc w:val="both"/>
        <w:rPr>
          <w:rFonts w:hint="default" w:ascii="仿宋" w:hAnsi="仿宋" w:eastAsia="仿宋" w:cs="仿宋"/>
          <w:b/>
          <w:bCs/>
          <w:color w:val="auto"/>
          <w:sz w:val="28"/>
          <w:szCs w:val="28"/>
          <w:highlight w:val="none"/>
          <w:lang w:val="en-US" w:eastAsia="zh-CN"/>
        </w:rPr>
      </w:pPr>
    </w:p>
    <w:p w14:paraId="65EDB070">
      <w:pPr>
        <w:spacing w:line="48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法定代表人（单位负责人）身份证明</w:t>
      </w:r>
    </w:p>
    <w:p w14:paraId="0CE4B94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eastAsia="zh-CN"/>
        </w:rPr>
      </w:pPr>
    </w:p>
    <w:p w14:paraId="63DB172F">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致：</w:t>
      </w:r>
      <w:r>
        <w:rPr>
          <w:rFonts w:hint="eastAsia" w:ascii="仿宋" w:hAnsi="仿宋" w:eastAsia="仿宋" w:cs="仿宋"/>
          <w:color w:val="auto"/>
          <w:sz w:val="24"/>
          <w:szCs w:val="24"/>
          <w:u w:val="single"/>
          <w:lang w:val="en-US" w:eastAsia="zh-CN"/>
        </w:rPr>
        <w:t xml:space="preserve">（采购人或采购代理机构） </w:t>
      </w:r>
    </w:p>
    <w:p w14:paraId="265745A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兹证明，姓名：</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性别：</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年龄：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职务：</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系</w:t>
      </w:r>
      <w:r>
        <w:rPr>
          <w:rFonts w:hint="eastAsia" w:ascii="仿宋" w:hAnsi="仿宋" w:eastAsia="仿宋" w:cs="仿宋"/>
          <w:color w:val="auto"/>
          <w:sz w:val="24"/>
          <w:szCs w:val="24"/>
          <w:u w:val="single"/>
          <w:lang w:eastAsia="zh-CN"/>
        </w:rPr>
        <w:t xml:space="preserve"> （供应商名称）</w:t>
      </w:r>
      <w:r>
        <w:rPr>
          <w:rFonts w:hint="eastAsia" w:ascii="仿宋" w:hAnsi="仿宋" w:eastAsia="仿宋" w:cs="仿宋"/>
          <w:color w:val="auto"/>
          <w:sz w:val="24"/>
          <w:szCs w:val="24"/>
          <w:lang w:eastAsia="zh-CN"/>
        </w:rPr>
        <w:t>的法定代表人（单位负责人）。</w:t>
      </w:r>
    </w:p>
    <w:p w14:paraId="5955952E">
      <w:pPr>
        <w:spacing w:line="480" w:lineRule="auto"/>
        <w:rPr>
          <w:rFonts w:hint="eastAsia" w:ascii="仿宋" w:hAnsi="仿宋" w:eastAsia="仿宋" w:cs="仿宋"/>
          <w:color w:val="auto"/>
          <w:lang w:eastAsia="zh-CN"/>
        </w:rPr>
      </w:pPr>
    </w:p>
    <w:p w14:paraId="30BB52F5">
      <w:pPr>
        <w:spacing w:line="480" w:lineRule="auto"/>
        <w:rPr>
          <w:rFonts w:hint="eastAsia" w:ascii="仿宋" w:hAnsi="仿宋" w:eastAsia="仿宋" w:cs="仿宋"/>
          <w:color w:val="auto"/>
          <w:lang w:eastAsia="zh-CN"/>
        </w:rPr>
      </w:pPr>
    </w:p>
    <w:p w14:paraId="6795BF08">
      <w:pPr>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附：法定代表人（单位负责人）身份证（非中国国籍提供护照）等身份证明文件电子件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6"/>
      </w:tblGrid>
      <w:tr w14:paraId="02F4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trPr>
        <w:tc>
          <w:tcPr>
            <w:tcW w:w="9288" w:type="dxa"/>
          </w:tcPr>
          <w:p w14:paraId="51386AB4">
            <w:pPr>
              <w:spacing w:line="480" w:lineRule="auto"/>
              <w:rPr>
                <w:rFonts w:hint="eastAsia" w:ascii="仿宋" w:hAnsi="仿宋" w:eastAsia="仿宋" w:cs="仿宋"/>
                <w:color w:val="auto"/>
                <w:sz w:val="24"/>
                <w:szCs w:val="24"/>
                <w:lang w:eastAsia="zh-CN"/>
              </w:rPr>
            </w:pPr>
          </w:p>
        </w:tc>
      </w:tr>
    </w:tbl>
    <w:p w14:paraId="772CAEBC">
      <w:pPr>
        <w:spacing w:line="480" w:lineRule="auto"/>
        <w:rPr>
          <w:rFonts w:hint="eastAsia" w:ascii="仿宋" w:hAnsi="仿宋" w:eastAsia="仿宋" w:cs="仿宋"/>
          <w:color w:val="auto"/>
          <w:sz w:val="24"/>
          <w:szCs w:val="24"/>
          <w:lang w:eastAsia="zh-CN"/>
        </w:rPr>
      </w:pPr>
    </w:p>
    <w:p w14:paraId="5DCCF089">
      <w:pPr>
        <w:spacing w:line="480" w:lineRule="auto"/>
        <w:rPr>
          <w:rFonts w:hint="eastAsia" w:ascii="仿宋" w:hAnsi="仿宋" w:eastAsia="仿宋" w:cs="仿宋"/>
          <w:color w:val="auto"/>
          <w:sz w:val="24"/>
          <w:szCs w:val="24"/>
          <w:lang w:eastAsia="zh-CN"/>
        </w:rPr>
      </w:pPr>
    </w:p>
    <w:p w14:paraId="7572A9C6">
      <w:pPr>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供应商名称（加盖公章）：</w:t>
      </w:r>
      <w:r>
        <w:rPr>
          <w:rFonts w:hint="eastAsia" w:ascii="仿宋" w:hAnsi="仿宋" w:eastAsia="仿宋" w:cs="仿宋"/>
          <w:color w:val="auto"/>
          <w:sz w:val="24"/>
          <w:szCs w:val="24"/>
          <w:u w:val="single"/>
          <w:lang w:val="en-US" w:eastAsia="zh-CN"/>
        </w:rPr>
        <w:t xml:space="preserve">             </w:t>
      </w:r>
    </w:p>
    <w:p w14:paraId="28B27667">
      <w:pPr>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法定代表人（单位负责人）（签字或签章）：</w:t>
      </w:r>
      <w:r>
        <w:rPr>
          <w:rFonts w:hint="eastAsia" w:ascii="仿宋" w:hAnsi="仿宋" w:eastAsia="仿宋" w:cs="仿宋"/>
          <w:color w:val="auto"/>
          <w:sz w:val="24"/>
          <w:szCs w:val="24"/>
          <w:u w:val="single"/>
          <w:lang w:val="en-US" w:eastAsia="zh-CN"/>
        </w:rPr>
        <w:t xml:space="preserve">             </w:t>
      </w:r>
    </w:p>
    <w:p w14:paraId="21F31DAE">
      <w:pPr>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日</w:t>
      </w:r>
    </w:p>
    <w:p w14:paraId="295DB945">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40BFF527">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62AD12E8">
      <w:pPr>
        <w:pStyle w:val="40"/>
        <w:numPr>
          <w:ilvl w:val="0"/>
          <w:numId w:val="0"/>
        </w:numPr>
        <w:tabs>
          <w:tab w:val="left" w:pos="932"/>
          <w:tab w:val="left" w:pos="933"/>
        </w:tabs>
        <w:spacing w:before="73"/>
        <w:jc w:val="left"/>
        <w:rPr>
          <w:rFonts w:hint="eastAsia" w:ascii="仿宋" w:hAnsi="仿宋" w:eastAsia="仿宋" w:cs="仿宋"/>
          <w:sz w:val="24"/>
          <w:szCs w:val="24"/>
        </w:rPr>
      </w:pPr>
      <w:r>
        <w:rPr>
          <w:rFonts w:hint="eastAsia" w:ascii="仿宋" w:hAnsi="仿宋" w:eastAsia="仿宋" w:cs="仿宋"/>
          <w:sz w:val="24"/>
          <w:szCs w:val="24"/>
          <w:lang w:val="en-US" w:eastAsia="zh-CN"/>
        </w:rPr>
        <w:t>5、报价一览表</w:t>
      </w:r>
    </w:p>
    <w:p w14:paraId="7CB01FF1">
      <w:pPr>
        <w:pStyle w:val="2"/>
        <w:spacing w:before="49"/>
        <w:ind w:right="31"/>
        <w:jc w:val="center"/>
        <w:rPr>
          <w:rFonts w:hint="eastAsia" w:ascii="仿宋" w:hAnsi="仿宋" w:eastAsia="仿宋" w:cs="仿宋"/>
          <w:spacing w:val="0"/>
          <w:w w:val="100"/>
          <w:sz w:val="28"/>
          <w:szCs w:val="28"/>
        </w:rPr>
      </w:pPr>
      <w:bookmarkStart w:id="670" w:name="_Toc29050"/>
      <w:bookmarkStart w:id="671" w:name="_Toc23074"/>
      <w:r>
        <w:rPr>
          <w:rFonts w:hint="eastAsia" w:ascii="仿宋" w:hAnsi="仿宋" w:eastAsia="仿宋" w:cs="仿宋"/>
          <w:spacing w:val="0"/>
          <w:w w:val="100"/>
          <w:sz w:val="28"/>
          <w:szCs w:val="28"/>
        </w:rPr>
        <w:t>报价一览表</w:t>
      </w:r>
      <w:bookmarkEnd w:id="670"/>
      <w:bookmarkEnd w:id="671"/>
    </w:p>
    <w:p w14:paraId="13831A35">
      <w:pPr>
        <w:pStyle w:val="36"/>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pacing w:val="0"/>
          <w:sz w:val="24"/>
          <w:szCs w:val="24"/>
          <w:highlight w:val="none"/>
          <w:u w:val="single"/>
          <w:lang w:val="en-US" w:eastAsia="zh-CN"/>
        </w:rPr>
        <w:t>纳竜坝村小组茶产业及人居环境综合整治提升项目</w:t>
      </w:r>
    </w:p>
    <w:p w14:paraId="29CD4E2F">
      <w:pPr>
        <w:pStyle w:val="23"/>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520" w:lineRule="exact"/>
        <w:jc w:val="both"/>
        <w:textAlignment w:val="auto"/>
        <w:rPr>
          <w:rFonts w:hint="eastAsia" w:ascii="仿宋" w:hAnsi="仿宋" w:eastAsia="仿宋" w:cs="仿宋"/>
          <w:color w:val="0000FF"/>
          <w:sz w:val="24"/>
          <w:szCs w:val="24"/>
          <w:lang w:eastAsia="zh-CN"/>
        </w:rPr>
      </w:pPr>
      <w:r>
        <w:rPr>
          <w:rFonts w:hint="eastAsia" w:ascii="仿宋" w:hAnsi="仿宋" w:eastAsia="仿宋" w:cs="仿宋"/>
          <w:color w:val="auto"/>
          <w:sz w:val="24"/>
          <w:szCs w:val="24"/>
          <w:highlight w:val="none"/>
          <w:lang w:eastAsia="zh-CN"/>
        </w:rPr>
        <w:t>项目编号：</w:t>
      </w:r>
    </w:p>
    <w:tbl>
      <w:tblPr>
        <w:tblStyle w:val="46"/>
        <w:tblW w:w="8719"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20"/>
        <w:gridCol w:w="6999"/>
      </w:tblGrid>
      <w:tr w14:paraId="41265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1720" w:type="dxa"/>
            <w:vAlign w:val="center"/>
          </w:tcPr>
          <w:p w14:paraId="1DFA0D0A">
            <w:pPr>
              <w:pStyle w:val="45"/>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项目名称</w:t>
            </w:r>
          </w:p>
        </w:tc>
        <w:tc>
          <w:tcPr>
            <w:tcW w:w="6999" w:type="dxa"/>
            <w:vAlign w:val="center"/>
          </w:tcPr>
          <w:p w14:paraId="6E2B578B">
            <w:pPr>
              <w:pStyle w:val="45"/>
              <w:jc w:val="center"/>
              <w:rPr>
                <w:rFonts w:hint="eastAsia" w:ascii="仿宋" w:hAnsi="仿宋" w:eastAsia="仿宋" w:cs="仿宋"/>
                <w:sz w:val="24"/>
                <w:szCs w:val="24"/>
              </w:rPr>
            </w:pPr>
          </w:p>
        </w:tc>
      </w:tr>
      <w:tr w14:paraId="50CD7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1720" w:type="dxa"/>
            <w:vAlign w:val="center"/>
          </w:tcPr>
          <w:p w14:paraId="57D591C1">
            <w:pPr>
              <w:pStyle w:val="45"/>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施工范围</w:t>
            </w:r>
          </w:p>
        </w:tc>
        <w:tc>
          <w:tcPr>
            <w:tcW w:w="6999" w:type="dxa"/>
            <w:vAlign w:val="center"/>
          </w:tcPr>
          <w:p w14:paraId="5E2F11E7">
            <w:pPr>
              <w:pStyle w:val="45"/>
              <w:jc w:val="center"/>
              <w:rPr>
                <w:rFonts w:hint="eastAsia" w:ascii="仿宋" w:hAnsi="仿宋" w:eastAsia="仿宋" w:cs="仿宋"/>
                <w:sz w:val="24"/>
                <w:szCs w:val="24"/>
              </w:rPr>
            </w:pPr>
          </w:p>
        </w:tc>
      </w:tr>
      <w:tr w14:paraId="01E60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trPr>
        <w:tc>
          <w:tcPr>
            <w:tcW w:w="1720" w:type="dxa"/>
            <w:vAlign w:val="center"/>
          </w:tcPr>
          <w:p w14:paraId="3E67E42F">
            <w:pPr>
              <w:pStyle w:val="45"/>
              <w:jc w:val="center"/>
              <w:rPr>
                <w:rFonts w:hint="default" w:ascii="仿宋" w:hAnsi="仿宋" w:eastAsia="仿宋" w:cs="仿宋"/>
                <w:sz w:val="24"/>
                <w:szCs w:val="24"/>
                <w:lang w:val="en-US" w:eastAsia="zh-CN"/>
              </w:rPr>
            </w:pPr>
            <w:r>
              <w:rPr>
                <w:rFonts w:hint="eastAsia" w:ascii="仿宋" w:hAnsi="仿宋" w:eastAsia="仿宋" w:cs="仿宋"/>
                <w:b w:val="0"/>
                <w:bCs w:val="0"/>
                <w:color w:val="000000" w:themeColor="text1"/>
                <w:spacing w:val="0"/>
                <w:kern w:val="2"/>
                <w:sz w:val="24"/>
                <w:szCs w:val="24"/>
                <w:highlight w:val="none"/>
                <w:lang w:val="en-US" w:eastAsia="zh-CN" w:bidi="ar-SA"/>
                <w14:textFill>
                  <w14:solidFill>
                    <w14:schemeClr w14:val="tx1"/>
                  </w14:solidFill>
                </w14:textFill>
              </w:rPr>
              <w:t>合同履行期限</w:t>
            </w:r>
          </w:p>
        </w:tc>
        <w:tc>
          <w:tcPr>
            <w:tcW w:w="6999" w:type="dxa"/>
            <w:vAlign w:val="center"/>
          </w:tcPr>
          <w:p w14:paraId="1AD7D132">
            <w:pPr>
              <w:pStyle w:val="45"/>
              <w:jc w:val="center"/>
              <w:rPr>
                <w:rFonts w:hint="eastAsia" w:ascii="仿宋" w:hAnsi="仿宋" w:eastAsia="仿宋" w:cs="仿宋"/>
                <w:sz w:val="24"/>
                <w:szCs w:val="24"/>
              </w:rPr>
            </w:pPr>
          </w:p>
        </w:tc>
      </w:tr>
      <w:tr w14:paraId="5060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trPr>
        <w:tc>
          <w:tcPr>
            <w:tcW w:w="1720" w:type="dxa"/>
            <w:vAlign w:val="center"/>
          </w:tcPr>
          <w:p w14:paraId="13DF5967">
            <w:pPr>
              <w:pStyle w:val="45"/>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项目经理</w:t>
            </w:r>
          </w:p>
        </w:tc>
        <w:tc>
          <w:tcPr>
            <w:tcW w:w="6999" w:type="dxa"/>
            <w:vAlign w:val="center"/>
          </w:tcPr>
          <w:p w14:paraId="5145E4B9">
            <w:pPr>
              <w:pStyle w:val="45"/>
              <w:jc w:val="center"/>
              <w:rPr>
                <w:rFonts w:hint="eastAsia" w:ascii="仿宋" w:hAnsi="仿宋" w:eastAsia="仿宋" w:cs="仿宋"/>
                <w:sz w:val="24"/>
                <w:szCs w:val="24"/>
              </w:rPr>
            </w:pPr>
          </w:p>
        </w:tc>
      </w:tr>
      <w:tr w14:paraId="02D8C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trPr>
        <w:tc>
          <w:tcPr>
            <w:tcW w:w="1720" w:type="dxa"/>
            <w:vAlign w:val="center"/>
          </w:tcPr>
          <w:p w14:paraId="1E330B2F">
            <w:pPr>
              <w:pStyle w:val="45"/>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执业证书信息</w:t>
            </w:r>
          </w:p>
        </w:tc>
        <w:tc>
          <w:tcPr>
            <w:tcW w:w="6999" w:type="dxa"/>
            <w:vAlign w:val="center"/>
          </w:tcPr>
          <w:p w14:paraId="4BE4B544">
            <w:pPr>
              <w:pStyle w:val="45"/>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证书等级：</w:t>
            </w:r>
          </w:p>
          <w:p w14:paraId="350A9917">
            <w:pPr>
              <w:pStyle w:val="45"/>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证书编号：</w:t>
            </w:r>
          </w:p>
        </w:tc>
      </w:tr>
      <w:tr w14:paraId="1EC06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720" w:type="dxa"/>
            <w:vAlign w:val="center"/>
          </w:tcPr>
          <w:p w14:paraId="0A9F22E1">
            <w:pPr>
              <w:pStyle w:val="45"/>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磋商首次报价</w:t>
            </w:r>
          </w:p>
        </w:tc>
        <w:tc>
          <w:tcPr>
            <w:tcW w:w="6999" w:type="dxa"/>
            <w:tcBorders>
              <w:bottom w:val="single" w:color="auto" w:sz="4" w:space="0"/>
            </w:tcBorders>
            <w:vAlign w:val="center"/>
          </w:tcPr>
          <w:p w14:paraId="5B306F77">
            <w:pPr>
              <w:pStyle w:val="45"/>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p>
          <w:p w14:paraId="712B7510">
            <w:pPr>
              <w:pStyle w:val="45"/>
              <w:jc w:val="left"/>
              <w:rPr>
                <w:rFonts w:hint="eastAsia" w:ascii="仿宋" w:hAnsi="仿宋" w:eastAsia="仿宋" w:cs="仿宋"/>
                <w:sz w:val="24"/>
                <w:szCs w:val="24"/>
                <w:lang w:val="en-US" w:eastAsia="zh-CN"/>
              </w:rPr>
            </w:pPr>
          </w:p>
          <w:p w14:paraId="09D52C36">
            <w:pPr>
              <w:pStyle w:val="45"/>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大写：人民币</w:t>
            </w:r>
            <w:r>
              <w:rPr>
                <w:rFonts w:hint="eastAsia" w:ascii="仿宋" w:hAnsi="仿宋" w:eastAsia="仿宋" w:cs="仿宋"/>
                <w:sz w:val="24"/>
                <w:szCs w:val="24"/>
                <w:u w:val="single"/>
                <w:lang w:val="en-US" w:eastAsia="zh-CN"/>
              </w:rPr>
              <w:t xml:space="preserve">               </w:t>
            </w:r>
          </w:p>
        </w:tc>
      </w:tr>
      <w:tr w14:paraId="40A74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0" w:hRule="atLeast"/>
        </w:trPr>
        <w:tc>
          <w:tcPr>
            <w:tcW w:w="1720" w:type="dxa"/>
            <w:vAlign w:val="center"/>
          </w:tcPr>
          <w:p w14:paraId="2AFAB50F">
            <w:pPr>
              <w:pStyle w:val="45"/>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其他承诺</w:t>
            </w:r>
          </w:p>
        </w:tc>
        <w:tc>
          <w:tcPr>
            <w:tcW w:w="6999" w:type="dxa"/>
            <w:tcBorders>
              <w:top w:val="single" w:color="auto" w:sz="4" w:space="0"/>
            </w:tcBorders>
            <w:vAlign w:val="center"/>
          </w:tcPr>
          <w:p w14:paraId="4A1729EA">
            <w:pPr>
              <w:pStyle w:val="45"/>
              <w:jc w:val="left"/>
              <w:rPr>
                <w:rFonts w:hint="eastAsia" w:ascii="仿宋" w:hAnsi="仿宋" w:eastAsia="仿宋" w:cs="仿宋"/>
                <w:sz w:val="24"/>
                <w:szCs w:val="24"/>
                <w:u w:val="single" w:color="auto"/>
              </w:rPr>
            </w:pPr>
          </w:p>
        </w:tc>
      </w:tr>
    </w:tbl>
    <w:p w14:paraId="2617DD66">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p>
    <w:p w14:paraId="71B0FF2C">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供应商名称（加盖公章）：</w:t>
      </w:r>
      <w:r>
        <w:rPr>
          <w:rFonts w:hint="eastAsia" w:ascii="仿宋" w:hAnsi="仿宋" w:eastAsia="仿宋" w:cs="仿宋"/>
          <w:spacing w:val="0"/>
          <w:w w:val="100"/>
          <w:sz w:val="24"/>
          <w:szCs w:val="24"/>
          <w:u w:val="single"/>
          <w:lang w:val="en-US" w:eastAsia="zh-CN"/>
        </w:rPr>
        <w:t xml:space="preserve">                     </w:t>
      </w:r>
    </w:p>
    <w:p w14:paraId="59F50689">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日期：</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年</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月</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日</w:t>
      </w:r>
    </w:p>
    <w:p w14:paraId="5E923E40">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pPr>
    </w:p>
    <w:p w14:paraId="4805B846">
      <w:pPr>
        <w:numPr>
          <w:ilvl w:val="0"/>
          <w:numId w:val="0"/>
        </w:numPr>
        <w:spacing w:before="60" w:after="60" w:line="360" w:lineRule="auto"/>
        <w:jc w:val="center"/>
        <w:rPr>
          <w:rFonts w:hint="eastAsia" w:ascii="仿宋" w:hAnsi="仿宋" w:eastAsia="仿宋" w:cs="仿宋"/>
          <w:b/>
          <w:bCs/>
          <w:color w:val="auto"/>
          <w:sz w:val="28"/>
          <w:szCs w:val="28"/>
          <w:highlight w:val="none"/>
          <w:lang w:val="en-US" w:eastAsia="zh-CN"/>
        </w:rPr>
        <w:sectPr>
          <w:footerReference r:id="rId7" w:type="default"/>
          <w:pgSz w:w="11906" w:h="16838"/>
          <w:pgMar w:top="1440" w:right="1633" w:bottom="1440" w:left="1633" w:header="851" w:footer="992" w:gutter="0"/>
          <w:pgNumType w:fmt="numberInDash"/>
          <w:cols w:space="425" w:num="1"/>
          <w:docGrid w:type="lines" w:linePitch="312" w:charSpace="0"/>
        </w:sectPr>
      </w:pPr>
    </w:p>
    <w:p w14:paraId="7079AAA1">
      <w:pPr>
        <w:pStyle w:val="51"/>
        <w:keepNext w:val="0"/>
        <w:keepLines w:val="0"/>
        <w:numPr>
          <w:ilvl w:val="0"/>
          <w:numId w:val="0"/>
        </w:numPr>
        <w:tabs>
          <w:tab w:val="clear" w:pos="1680"/>
        </w:tabs>
        <w:spacing w:before="0" w:beforeLines="0" w:after="0" w:afterLines="0" w:line="360" w:lineRule="auto"/>
        <w:ind w:leftChars="0"/>
        <w:jc w:val="left"/>
        <w:outlineLvl w:val="9"/>
        <w:rPr>
          <w:rFonts w:hint="eastAsia" w:ascii="仿宋" w:hAnsi="仿宋" w:eastAsia="仿宋" w:cs="仿宋"/>
          <w:b/>
          <w:bCs w:val="0"/>
          <w:color w:val="auto"/>
          <w:sz w:val="28"/>
          <w:szCs w:val="28"/>
          <w:highlight w:val="none"/>
          <w:lang w:val="en-US" w:eastAsia="zh-CN"/>
        </w:rPr>
      </w:pPr>
      <w:r>
        <w:rPr>
          <w:rFonts w:hint="eastAsia" w:ascii="仿宋" w:hAnsi="仿宋" w:eastAsia="仿宋" w:cs="仿宋"/>
          <w:b w:val="0"/>
          <w:bCs w:val="0"/>
          <w:kern w:val="2"/>
          <w:sz w:val="24"/>
          <w:szCs w:val="24"/>
          <w:lang w:val="en-US" w:eastAsia="zh-CN" w:bidi="ar-SA"/>
        </w:rPr>
        <w:t>6</w:t>
      </w:r>
      <w:r>
        <w:rPr>
          <w:rFonts w:hint="eastAsia" w:ascii="仿宋" w:hAnsi="仿宋" w:eastAsia="仿宋" w:cs="仿宋"/>
          <w:b w:val="0"/>
          <w:bCs w:val="0"/>
          <w:kern w:val="2"/>
          <w:sz w:val="24"/>
          <w:szCs w:val="24"/>
          <w:highlight w:val="none"/>
          <w:lang w:val="en-US" w:eastAsia="zh-CN" w:bidi="ar-SA"/>
        </w:rPr>
        <w:t>、已标价工程量清单</w:t>
      </w:r>
    </w:p>
    <w:p w14:paraId="511F68B9">
      <w:pPr>
        <w:pStyle w:val="12"/>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pacing w:val="0"/>
          <w:w w:val="100"/>
          <w:sz w:val="24"/>
          <w:szCs w:val="24"/>
          <w:highlight w:val="none"/>
          <w:lang w:eastAsia="zh-CN"/>
        </w:rPr>
      </w:pPr>
      <w:r>
        <w:rPr>
          <w:rFonts w:hint="eastAsia" w:ascii="仿宋" w:hAnsi="仿宋" w:eastAsia="仿宋" w:cs="仿宋"/>
          <w:b/>
          <w:bCs w:val="0"/>
          <w:color w:val="auto"/>
          <w:sz w:val="24"/>
          <w:szCs w:val="24"/>
          <w:highlight w:val="none"/>
        </w:rPr>
        <w:t>计价软件打印出来的相关表格不分先后顺序均有效，</w:t>
      </w:r>
      <w:r>
        <w:rPr>
          <w:rFonts w:hint="eastAsia" w:ascii="仿宋" w:hAnsi="仿宋" w:eastAsia="仿宋" w:cs="仿宋"/>
          <w:b/>
          <w:bCs w:val="0"/>
          <w:color w:val="auto"/>
          <w:sz w:val="24"/>
          <w:szCs w:val="24"/>
          <w:highlight w:val="none"/>
          <w:lang w:eastAsia="zh-CN"/>
        </w:rPr>
        <w:t>本项目对造价工程师和造价人员盖章不做要求</w:t>
      </w:r>
      <w:r>
        <w:rPr>
          <w:rFonts w:hint="eastAsia" w:ascii="仿宋" w:hAnsi="仿宋" w:eastAsia="仿宋" w:cs="仿宋"/>
          <w:b/>
          <w:bCs w:val="0"/>
          <w:color w:val="auto"/>
          <w:spacing w:val="-2"/>
          <w:sz w:val="24"/>
          <w:szCs w:val="24"/>
          <w:highlight w:val="none"/>
        </w:rPr>
        <w:t>。</w:t>
      </w:r>
    </w:p>
    <w:p w14:paraId="03997C92">
      <w:pPr>
        <w:pStyle w:val="12"/>
        <w:spacing w:before="7"/>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4C0F8F2">
      <w:pPr>
        <w:pStyle w:val="40"/>
        <w:numPr>
          <w:ilvl w:val="0"/>
          <w:numId w:val="0"/>
        </w:numPr>
        <w:tabs>
          <w:tab w:val="left" w:pos="792"/>
          <w:tab w:val="left" w:pos="793"/>
        </w:tabs>
        <w:spacing w:before="72"/>
        <w:jc w:val="left"/>
        <w:rPr>
          <w:rFonts w:hint="eastAsia" w:ascii="仿宋" w:hAnsi="仿宋" w:eastAsia="仿宋" w:cs="仿宋"/>
          <w:spacing w:val="0"/>
          <w:sz w:val="24"/>
          <w:szCs w:val="24"/>
          <w:lang w:eastAsia="zh-CN"/>
        </w:rPr>
      </w:pPr>
      <w:r>
        <w:rPr>
          <w:rFonts w:hint="eastAsia" w:ascii="仿宋" w:hAnsi="仿宋" w:eastAsia="仿宋" w:cs="仿宋"/>
          <w:spacing w:val="0"/>
          <w:sz w:val="24"/>
          <w:szCs w:val="24"/>
          <w:lang w:val="en-US" w:eastAsia="zh-CN"/>
        </w:rPr>
        <w:t>7、</w:t>
      </w:r>
      <w:r>
        <w:rPr>
          <w:rFonts w:hint="eastAsia" w:ascii="仿宋" w:hAnsi="仿宋" w:eastAsia="仿宋" w:cs="仿宋"/>
          <w:spacing w:val="0"/>
          <w:sz w:val="24"/>
          <w:szCs w:val="24"/>
          <w:lang w:eastAsia="zh-CN"/>
        </w:rPr>
        <w:t>合同条款偏离表（实质性格式）</w:t>
      </w:r>
    </w:p>
    <w:p w14:paraId="0DE7EBA9">
      <w:pPr>
        <w:pStyle w:val="12"/>
        <w:rPr>
          <w:rFonts w:hint="eastAsia" w:ascii="仿宋" w:hAnsi="仿宋" w:eastAsia="仿宋" w:cs="仿宋"/>
          <w:spacing w:val="0"/>
          <w:sz w:val="24"/>
          <w:szCs w:val="24"/>
          <w:lang w:eastAsia="zh-CN"/>
        </w:rPr>
      </w:pPr>
    </w:p>
    <w:p w14:paraId="7FD0ADC8">
      <w:pPr>
        <w:pStyle w:val="2"/>
        <w:spacing w:before="220"/>
        <w:ind w:left="3288"/>
        <w:jc w:val="left"/>
        <w:rPr>
          <w:rFonts w:hint="eastAsia" w:ascii="仿宋" w:hAnsi="仿宋" w:eastAsia="仿宋" w:cs="仿宋"/>
          <w:spacing w:val="0"/>
          <w:sz w:val="24"/>
          <w:szCs w:val="24"/>
          <w:lang w:eastAsia="zh-CN"/>
        </w:rPr>
      </w:pPr>
      <w:bookmarkStart w:id="672" w:name="_Toc160018046"/>
      <w:r>
        <w:rPr>
          <w:rFonts w:hint="eastAsia" w:ascii="仿宋" w:hAnsi="仿宋" w:eastAsia="仿宋" w:cs="仿宋"/>
          <w:spacing w:val="0"/>
          <w:sz w:val="24"/>
          <w:szCs w:val="24"/>
          <w:lang w:eastAsia="zh-CN"/>
        </w:rPr>
        <w:t>合同条款偏离表</w:t>
      </w:r>
      <w:bookmarkEnd w:id="672"/>
    </w:p>
    <w:p w14:paraId="4B1E70F8">
      <w:pPr>
        <w:pStyle w:val="12"/>
        <w:tabs>
          <w:tab w:val="left" w:pos="4373"/>
          <w:tab w:val="left" w:pos="4920"/>
          <w:tab w:val="left" w:pos="7973"/>
        </w:tabs>
        <w:spacing w:before="86"/>
        <w:rPr>
          <w:rFonts w:hint="eastAsia" w:ascii="仿宋" w:hAnsi="仿宋" w:eastAsia="仿宋" w:cs="仿宋"/>
          <w:spacing w:val="0"/>
          <w:sz w:val="24"/>
          <w:szCs w:val="24"/>
          <w:lang w:eastAsia="zh-CN"/>
        </w:rPr>
      </w:pPr>
      <w:r>
        <w:rPr>
          <w:rFonts w:hint="eastAsia" w:ascii="仿宋" w:hAnsi="仿宋" w:eastAsia="仿宋" w:cs="仿宋"/>
          <w:spacing w:val="0"/>
          <w:sz w:val="24"/>
          <w:szCs w:val="24"/>
          <w:lang w:eastAsia="zh-CN"/>
        </w:rPr>
        <w:t>项目名称：</w:t>
      </w:r>
      <w:r>
        <w:rPr>
          <w:rFonts w:hint="eastAsia" w:ascii="仿宋" w:hAnsi="仿宋" w:eastAsia="仿宋" w:cs="仿宋"/>
          <w:spacing w:val="0"/>
          <w:sz w:val="24"/>
          <w:szCs w:val="24"/>
          <w:u w:val="single"/>
          <w:lang w:val="en-US" w:eastAsia="zh-CN"/>
        </w:rPr>
        <w:t>纳竜坝村小组茶产业及人居环境综合整治提升项目</w:t>
      </w:r>
    </w:p>
    <w:p w14:paraId="35B3D41C">
      <w:pPr>
        <w:pStyle w:val="12"/>
        <w:tabs>
          <w:tab w:val="left" w:pos="4373"/>
          <w:tab w:val="left" w:pos="4920"/>
          <w:tab w:val="left" w:pos="7973"/>
        </w:tabs>
        <w:spacing w:before="86"/>
        <w:rPr>
          <w:rFonts w:hint="eastAsia" w:ascii="仿宋" w:hAnsi="仿宋" w:eastAsia="仿宋" w:cs="仿宋"/>
          <w:spacing w:val="0"/>
          <w:sz w:val="24"/>
          <w:szCs w:val="24"/>
          <w:lang w:eastAsia="zh-CN"/>
        </w:rPr>
      </w:pPr>
      <w:r>
        <w:rPr>
          <w:rFonts w:hint="eastAsia" w:ascii="仿宋" w:hAnsi="仿宋" w:eastAsia="仿宋" w:cs="仿宋"/>
          <w:spacing w:val="0"/>
          <w:sz w:val="24"/>
          <w:szCs w:val="24"/>
          <w:lang w:eastAsia="zh-CN"/>
        </w:rPr>
        <w:t>项目编号：</w:t>
      </w:r>
    </w:p>
    <w:tbl>
      <w:tblPr>
        <w:tblStyle w:val="46"/>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561"/>
        <w:gridCol w:w="1776"/>
        <w:gridCol w:w="1778"/>
        <w:gridCol w:w="2183"/>
        <w:gridCol w:w="981"/>
      </w:tblGrid>
      <w:tr w14:paraId="4AEAF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9" w:type="dxa"/>
          </w:tcPr>
          <w:p w14:paraId="7F42417D">
            <w:pPr>
              <w:pStyle w:val="45"/>
              <w:spacing w:before="3"/>
              <w:rPr>
                <w:rFonts w:hint="eastAsia" w:ascii="仿宋" w:hAnsi="仿宋" w:eastAsia="仿宋" w:cs="仿宋"/>
                <w:spacing w:val="0"/>
                <w:sz w:val="24"/>
                <w:szCs w:val="24"/>
                <w:lang w:eastAsia="zh-CN"/>
              </w:rPr>
            </w:pPr>
          </w:p>
          <w:p w14:paraId="6809B5EB">
            <w:pPr>
              <w:pStyle w:val="45"/>
              <w:ind w:left="264"/>
              <w:rPr>
                <w:rFonts w:hint="eastAsia" w:ascii="仿宋" w:hAnsi="仿宋" w:eastAsia="仿宋" w:cs="仿宋"/>
                <w:spacing w:val="0"/>
                <w:sz w:val="24"/>
                <w:szCs w:val="24"/>
              </w:rPr>
            </w:pPr>
            <w:r>
              <w:rPr>
                <w:rFonts w:hint="eastAsia" w:ascii="仿宋" w:hAnsi="仿宋" w:eastAsia="仿宋" w:cs="仿宋"/>
                <w:spacing w:val="0"/>
                <w:sz w:val="24"/>
                <w:szCs w:val="24"/>
              </w:rPr>
              <w:t>序号</w:t>
            </w:r>
          </w:p>
        </w:tc>
        <w:tc>
          <w:tcPr>
            <w:tcW w:w="1561" w:type="dxa"/>
          </w:tcPr>
          <w:p w14:paraId="5B03BF8D">
            <w:pPr>
              <w:pStyle w:val="45"/>
              <w:spacing w:before="1" w:line="242" w:lineRule="auto"/>
              <w:ind w:left="179" w:right="169"/>
              <w:rPr>
                <w:rFonts w:hint="eastAsia" w:ascii="仿宋" w:hAnsi="仿宋" w:eastAsia="仿宋" w:cs="仿宋"/>
                <w:spacing w:val="0"/>
                <w:sz w:val="24"/>
                <w:szCs w:val="24"/>
                <w:lang w:eastAsia="zh-CN"/>
              </w:rPr>
            </w:pPr>
            <w:r>
              <w:rPr>
                <w:rFonts w:hint="eastAsia" w:ascii="仿宋" w:hAnsi="仿宋" w:eastAsia="仿宋" w:cs="仿宋"/>
                <w:spacing w:val="0"/>
                <w:sz w:val="24"/>
                <w:szCs w:val="24"/>
                <w:lang w:eastAsia="zh-CN"/>
              </w:rPr>
              <w:t>竞争性磋商文件条目号</w:t>
            </w:r>
          </w:p>
          <w:p w14:paraId="37277F0F">
            <w:pPr>
              <w:pStyle w:val="45"/>
              <w:spacing w:before="3" w:line="288" w:lineRule="exact"/>
              <w:ind w:left="299"/>
              <w:rPr>
                <w:rFonts w:hint="eastAsia" w:ascii="仿宋" w:hAnsi="仿宋" w:eastAsia="仿宋" w:cs="仿宋"/>
                <w:spacing w:val="0"/>
                <w:sz w:val="24"/>
                <w:szCs w:val="24"/>
                <w:lang w:eastAsia="zh-CN"/>
              </w:rPr>
            </w:pPr>
            <w:r>
              <w:rPr>
                <w:rFonts w:hint="eastAsia" w:ascii="仿宋" w:hAnsi="仿宋" w:eastAsia="仿宋" w:cs="仿宋"/>
                <w:spacing w:val="0"/>
                <w:sz w:val="24"/>
                <w:szCs w:val="24"/>
                <w:lang w:eastAsia="zh-CN"/>
              </w:rPr>
              <w:t>（页码）</w:t>
            </w:r>
          </w:p>
        </w:tc>
        <w:tc>
          <w:tcPr>
            <w:tcW w:w="1776" w:type="dxa"/>
          </w:tcPr>
          <w:p w14:paraId="34ED4CC1">
            <w:pPr>
              <w:pStyle w:val="45"/>
              <w:spacing w:before="157" w:line="242" w:lineRule="auto"/>
              <w:ind w:left="529" w:right="154" w:hanging="361"/>
              <w:rPr>
                <w:rFonts w:hint="eastAsia" w:ascii="仿宋" w:hAnsi="仿宋" w:eastAsia="仿宋" w:cs="仿宋"/>
                <w:spacing w:val="0"/>
                <w:sz w:val="24"/>
                <w:szCs w:val="24"/>
              </w:rPr>
            </w:pPr>
            <w:r>
              <w:rPr>
                <w:rFonts w:hint="eastAsia" w:ascii="仿宋" w:hAnsi="仿宋" w:eastAsia="仿宋" w:cs="仿宋"/>
                <w:spacing w:val="0"/>
                <w:sz w:val="24"/>
                <w:szCs w:val="24"/>
              </w:rPr>
              <w:t>竞争性磋商文件要求</w:t>
            </w:r>
          </w:p>
        </w:tc>
        <w:tc>
          <w:tcPr>
            <w:tcW w:w="1778" w:type="dxa"/>
          </w:tcPr>
          <w:p w14:paraId="526090CC">
            <w:pPr>
              <w:pStyle w:val="45"/>
              <w:spacing w:before="3"/>
              <w:rPr>
                <w:rFonts w:hint="eastAsia" w:ascii="仿宋" w:hAnsi="仿宋" w:eastAsia="仿宋" w:cs="仿宋"/>
                <w:spacing w:val="0"/>
                <w:sz w:val="24"/>
                <w:szCs w:val="24"/>
              </w:rPr>
            </w:pPr>
          </w:p>
          <w:p w14:paraId="563D1E9C">
            <w:pPr>
              <w:pStyle w:val="45"/>
              <w:ind w:left="169"/>
              <w:rPr>
                <w:rFonts w:hint="eastAsia" w:ascii="仿宋" w:hAnsi="仿宋" w:eastAsia="仿宋" w:cs="仿宋"/>
                <w:spacing w:val="0"/>
                <w:sz w:val="24"/>
                <w:szCs w:val="24"/>
              </w:rPr>
            </w:pPr>
            <w:r>
              <w:rPr>
                <w:rFonts w:hint="eastAsia" w:ascii="仿宋" w:hAnsi="仿宋" w:eastAsia="仿宋" w:cs="仿宋"/>
                <w:spacing w:val="0"/>
                <w:sz w:val="24"/>
                <w:szCs w:val="24"/>
              </w:rPr>
              <w:t>响应文件内容</w:t>
            </w:r>
          </w:p>
        </w:tc>
        <w:tc>
          <w:tcPr>
            <w:tcW w:w="2183" w:type="dxa"/>
          </w:tcPr>
          <w:p w14:paraId="1043A0E0">
            <w:pPr>
              <w:pStyle w:val="45"/>
              <w:spacing w:before="3"/>
              <w:rPr>
                <w:rFonts w:hint="eastAsia" w:ascii="仿宋" w:hAnsi="仿宋" w:eastAsia="仿宋" w:cs="仿宋"/>
                <w:spacing w:val="0"/>
                <w:sz w:val="24"/>
                <w:szCs w:val="24"/>
              </w:rPr>
            </w:pPr>
          </w:p>
          <w:p w14:paraId="54BC263E">
            <w:pPr>
              <w:pStyle w:val="45"/>
              <w:ind w:left="611"/>
              <w:rPr>
                <w:rFonts w:hint="eastAsia" w:ascii="仿宋" w:hAnsi="仿宋" w:eastAsia="仿宋" w:cs="仿宋"/>
                <w:spacing w:val="0"/>
                <w:sz w:val="24"/>
                <w:szCs w:val="24"/>
              </w:rPr>
            </w:pPr>
            <w:r>
              <w:rPr>
                <w:rFonts w:hint="eastAsia" w:ascii="仿宋" w:hAnsi="仿宋" w:eastAsia="仿宋" w:cs="仿宋"/>
                <w:spacing w:val="0"/>
                <w:sz w:val="24"/>
                <w:szCs w:val="24"/>
              </w:rPr>
              <w:t>偏离情况</w:t>
            </w:r>
          </w:p>
        </w:tc>
        <w:tc>
          <w:tcPr>
            <w:tcW w:w="981" w:type="dxa"/>
          </w:tcPr>
          <w:p w14:paraId="4AF02B55">
            <w:pPr>
              <w:pStyle w:val="45"/>
              <w:spacing w:before="3"/>
              <w:rPr>
                <w:rFonts w:hint="eastAsia" w:ascii="仿宋" w:hAnsi="仿宋" w:eastAsia="仿宋" w:cs="仿宋"/>
                <w:spacing w:val="0"/>
                <w:sz w:val="24"/>
                <w:szCs w:val="24"/>
              </w:rPr>
            </w:pPr>
          </w:p>
          <w:p w14:paraId="6C8C4DDC">
            <w:pPr>
              <w:pStyle w:val="45"/>
              <w:ind w:left="249"/>
              <w:rPr>
                <w:rFonts w:hint="eastAsia" w:ascii="仿宋" w:hAnsi="仿宋" w:eastAsia="仿宋" w:cs="仿宋"/>
                <w:spacing w:val="0"/>
                <w:sz w:val="24"/>
                <w:szCs w:val="24"/>
              </w:rPr>
            </w:pPr>
            <w:r>
              <w:rPr>
                <w:rFonts w:hint="eastAsia" w:ascii="仿宋" w:hAnsi="仿宋" w:eastAsia="仿宋" w:cs="仿宋"/>
                <w:spacing w:val="0"/>
                <w:sz w:val="24"/>
                <w:szCs w:val="24"/>
              </w:rPr>
              <w:t>说明</w:t>
            </w:r>
          </w:p>
        </w:tc>
      </w:tr>
      <w:tr w14:paraId="63111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9288" w:type="dxa"/>
            <w:gridSpan w:val="6"/>
          </w:tcPr>
          <w:p w14:paraId="0AE5FC28">
            <w:pPr>
              <w:pStyle w:val="45"/>
              <w:spacing w:before="1"/>
              <w:ind w:left="108"/>
              <w:rPr>
                <w:rFonts w:hint="eastAsia" w:ascii="仿宋" w:hAnsi="仿宋" w:eastAsia="仿宋" w:cs="仿宋"/>
                <w:spacing w:val="0"/>
                <w:sz w:val="24"/>
                <w:szCs w:val="24"/>
                <w:lang w:eastAsia="zh-CN"/>
              </w:rPr>
            </w:pPr>
            <w:r>
              <w:rPr>
                <w:rFonts w:hint="eastAsia" w:ascii="仿宋" w:hAnsi="仿宋" w:eastAsia="仿宋" w:cs="仿宋"/>
                <w:spacing w:val="0"/>
                <w:sz w:val="24"/>
                <w:szCs w:val="24"/>
                <w:lang w:eastAsia="zh-CN"/>
              </w:rPr>
              <w:t>对本项目合同条款的偏离情况（应进行选择，未选择响应无效）：</w:t>
            </w:r>
          </w:p>
          <w:p w14:paraId="1DB357BA">
            <w:pPr>
              <w:pStyle w:val="45"/>
              <w:spacing w:before="6" w:line="237" w:lineRule="auto"/>
              <w:ind w:left="108" w:right="61"/>
              <w:rPr>
                <w:rFonts w:hint="eastAsia" w:ascii="仿宋" w:hAnsi="仿宋" w:eastAsia="仿宋" w:cs="仿宋"/>
                <w:spacing w:val="0"/>
                <w:sz w:val="24"/>
                <w:szCs w:val="24"/>
                <w:lang w:eastAsia="zh-CN"/>
              </w:rPr>
            </w:pPr>
            <w:r>
              <w:rPr>
                <w:rFonts w:hint="eastAsia" w:ascii="仿宋" w:hAnsi="仿宋" w:eastAsia="仿宋" w:cs="仿宋"/>
                <w:b/>
                <w:spacing w:val="0"/>
                <w:w w:val="140"/>
                <w:sz w:val="24"/>
                <w:szCs w:val="24"/>
                <w:lang w:eastAsia="zh-CN"/>
              </w:rPr>
              <w:t>□</w:t>
            </w:r>
            <w:r>
              <w:rPr>
                <w:rFonts w:hint="eastAsia" w:ascii="仿宋" w:hAnsi="仿宋" w:eastAsia="仿宋" w:cs="仿宋"/>
                <w:spacing w:val="0"/>
                <w:sz w:val="24"/>
                <w:szCs w:val="24"/>
                <w:lang w:eastAsia="zh-CN"/>
              </w:rPr>
              <w:t>无偏离（如无偏离，仅选择无偏离即可；无偏离即为对合同条款中的所有要求，均视作供应商已对之理解和响应。）</w:t>
            </w:r>
          </w:p>
          <w:p w14:paraId="38922106">
            <w:pPr>
              <w:pStyle w:val="45"/>
              <w:spacing w:before="6" w:line="300" w:lineRule="atLeast"/>
              <w:ind w:left="108" w:right="75"/>
              <w:rPr>
                <w:rFonts w:hint="eastAsia" w:ascii="仿宋" w:hAnsi="仿宋" w:eastAsia="仿宋" w:cs="仿宋"/>
                <w:spacing w:val="0"/>
                <w:sz w:val="24"/>
                <w:szCs w:val="24"/>
              </w:rPr>
            </w:pPr>
            <w:r>
              <w:rPr>
                <w:rFonts w:hint="eastAsia" w:ascii="仿宋" w:hAnsi="仿宋" w:eastAsia="仿宋" w:cs="仿宋"/>
                <w:b/>
                <w:spacing w:val="0"/>
                <w:w w:val="140"/>
                <w:sz w:val="24"/>
                <w:szCs w:val="24"/>
                <w:lang w:eastAsia="zh-CN"/>
              </w:rPr>
              <w:t>□</w:t>
            </w:r>
            <w:r>
              <w:rPr>
                <w:rFonts w:hint="eastAsia" w:ascii="仿宋" w:hAnsi="仿宋" w:eastAsia="仿宋" w:cs="仿宋"/>
                <w:spacing w:val="0"/>
                <w:sz w:val="24"/>
                <w:szCs w:val="24"/>
                <w:lang w:eastAsia="zh-CN"/>
              </w:rPr>
              <w:t>有偏离（如有偏离，则应在本表中对负偏离项逐一列明，否则响应无效；对合同条款中的所有要求，除本表列明的偏离外，均视作供应商已对之理解和响应。</w:t>
            </w:r>
            <w:r>
              <w:rPr>
                <w:rFonts w:hint="eastAsia" w:ascii="仿宋" w:hAnsi="仿宋" w:eastAsia="仿宋" w:cs="仿宋"/>
                <w:spacing w:val="0"/>
                <w:sz w:val="24"/>
                <w:szCs w:val="24"/>
              </w:rPr>
              <w:t>）</w:t>
            </w:r>
          </w:p>
        </w:tc>
      </w:tr>
      <w:tr w14:paraId="164F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14:paraId="65E0932B">
            <w:pPr>
              <w:pStyle w:val="45"/>
              <w:rPr>
                <w:rFonts w:hint="eastAsia" w:ascii="仿宋" w:hAnsi="仿宋" w:eastAsia="仿宋" w:cs="仿宋"/>
                <w:spacing w:val="0"/>
                <w:sz w:val="24"/>
                <w:szCs w:val="24"/>
              </w:rPr>
            </w:pPr>
          </w:p>
        </w:tc>
        <w:tc>
          <w:tcPr>
            <w:tcW w:w="1561" w:type="dxa"/>
          </w:tcPr>
          <w:p w14:paraId="2A1D0E59">
            <w:pPr>
              <w:pStyle w:val="45"/>
              <w:rPr>
                <w:rFonts w:hint="eastAsia" w:ascii="仿宋" w:hAnsi="仿宋" w:eastAsia="仿宋" w:cs="仿宋"/>
                <w:spacing w:val="0"/>
                <w:sz w:val="24"/>
                <w:szCs w:val="24"/>
              </w:rPr>
            </w:pPr>
          </w:p>
        </w:tc>
        <w:tc>
          <w:tcPr>
            <w:tcW w:w="1776" w:type="dxa"/>
          </w:tcPr>
          <w:p w14:paraId="63276FFC">
            <w:pPr>
              <w:pStyle w:val="45"/>
              <w:rPr>
                <w:rFonts w:hint="eastAsia" w:ascii="仿宋" w:hAnsi="仿宋" w:eastAsia="仿宋" w:cs="仿宋"/>
                <w:spacing w:val="0"/>
                <w:sz w:val="24"/>
                <w:szCs w:val="24"/>
              </w:rPr>
            </w:pPr>
          </w:p>
        </w:tc>
        <w:tc>
          <w:tcPr>
            <w:tcW w:w="1778" w:type="dxa"/>
          </w:tcPr>
          <w:p w14:paraId="7329A1D4">
            <w:pPr>
              <w:pStyle w:val="45"/>
              <w:rPr>
                <w:rFonts w:hint="eastAsia" w:ascii="仿宋" w:hAnsi="仿宋" w:eastAsia="仿宋" w:cs="仿宋"/>
                <w:spacing w:val="0"/>
                <w:sz w:val="24"/>
                <w:szCs w:val="24"/>
              </w:rPr>
            </w:pPr>
          </w:p>
        </w:tc>
        <w:tc>
          <w:tcPr>
            <w:tcW w:w="2183" w:type="dxa"/>
          </w:tcPr>
          <w:p w14:paraId="54EAAF7B">
            <w:pPr>
              <w:pStyle w:val="45"/>
              <w:rPr>
                <w:rFonts w:hint="eastAsia" w:ascii="仿宋" w:hAnsi="仿宋" w:eastAsia="仿宋" w:cs="仿宋"/>
                <w:spacing w:val="0"/>
                <w:sz w:val="24"/>
                <w:szCs w:val="24"/>
              </w:rPr>
            </w:pPr>
          </w:p>
        </w:tc>
        <w:tc>
          <w:tcPr>
            <w:tcW w:w="981" w:type="dxa"/>
          </w:tcPr>
          <w:p w14:paraId="0B388774">
            <w:pPr>
              <w:pStyle w:val="45"/>
              <w:rPr>
                <w:rFonts w:hint="eastAsia" w:ascii="仿宋" w:hAnsi="仿宋" w:eastAsia="仿宋" w:cs="仿宋"/>
                <w:spacing w:val="0"/>
                <w:sz w:val="24"/>
                <w:szCs w:val="24"/>
              </w:rPr>
            </w:pPr>
          </w:p>
        </w:tc>
      </w:tr>
      <w:tr w14:paraId="48DEB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14:paraId="19EC619F">
            <w:pPr>
              <w:pStyle w:val="45"/>
              <w:rPr>
                <w:rFonts w:hint="eastAsia" w:ascii="仿宋" w:hAnsi="仿宋" w:eastAsia="仿宋" w:cs="仿宋"/>
                <w:spacing w:val="0"/>
                <w:sz w:val="24"/>
                <w:szCs w:val="24"/>
              </w:rPr>
            </w:pPr>
          </w:p>
        </w:tc>
        <w:tc>
          <w:tcPr>
            <w:tcW w:w="1561" w:type="dxa"/>
          </w:tcPr>
          <w:p w14:paraId="1A2BBAB0">
            <w:pPr>
              <w:pStyle w:val="45"/>
              <w:rPr>
                <w:rFonts w:hint="eastAsia" w:ascii="仿宋" w:hAnsi="仿宋" w:eastAsia="仿宋" w:cs="仿宋"/>
                <w:spacing w:val="0"/>
                <w:sz w:val="24"/>
                <w:szCs w:val="24"/>
              </w:rPr>
            </w:pPr>
          </w:p>
        </w:tc>
        <w:tc>
          <w:tcPr>
            <w:tcW w:w="1776" w:type="dxa"/>
          </w:tcPr>
          <w:p w14:paraId="26BBB78D">
            <w:pPr>
              <w:pStyle w:val="45"/>
              <w:rPr>
                <w:rFonts w:hint="eastAsia" w:ascii="仿宋" w:hAnsi="仿宋" w:eastAsia="仿宋" w:cs="仿宋"/>
                <w:spacing w:val="0"/>
                <w:sz w:val="24"/>
                <w:szCs w:val="24"/>
              </w:rPr>
            </w:pPr>
          </w:p>
        </w:tc>
        <w:tc>
          <w:tcPr>
            <w:tcW w:w="1778" w:type="dxa"/>
          </w:tcPr>
          <w:p w14:paraId="0AAB260F">
            <w:pPr>
              <w:pStyle w:val="45"/>
              <w:rPr>
                <w:rFonts w:hint="eastAsia" w:ascii="仿宋" w:hAnsi="仿宋" w:eastAsia="仿宋" w:cs="仿宋"/>
                <w:spacing w:val="0"/>
                <w:sz w:val="24"/>
                <w:szCs w:val="24"/>
              </w:rPr>
            </w:pPr>
          </w:p>
        </w:tc>
        <w:tc>
          <w:tcPr>
            <w:tcW w:w="2183" w:type="dxa"/>
          </w:tcPr>
          <w:p w14:paraId="1617B02A">
            <w:pPr>
              <w:pStyle w:val="45"/>
              <w:rPr>
                <w:rFonts w:hint="eastAsia" w:ascii="仿宋" w:hAnsi="仿宋" w:eastAsia="仿宋" w:cs="仿宋"/>
                <w:spacing w:val="0"/>
                <w:sz w:val="24"/>
                <w:szCs w:val="24"/>
              </w:rPr>
            </w:pPr>
          </w:p>
        </w:tc>
        <w:tc>
          <w:tcPr>
            <w:tcW w:w="981" w:type="dxa"/>
          </w:tcPr>
          <w:p w14:paraId="57E9FC2C">
            <w:pPr>
              <w:pStyle w:val="45"/>
              <w:rPr>
                <w:rFonts w:hint="eastAsia" w:ascii="仿宋" w:hAnsi="仿宋" w:eastAsia="仿宋" w:cs="仿宋"/>
                <w:spacing w:val="0"/>
                <w:sz w:val="24"/>
                <w:szCs w:val="24"/>
              </w:rPr>
            </w:pPr>
          </w:p>
        </w:tc>
      </w:tr>
      <w:tr w14:paraId="6DB4F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14:paraId="7AD1D286">
            <w:pPr>
              <w:pStyle w:val="45"/>
              <w:rPr>
                <w:rFonts w:hint="eastAsia" w:ascii="仿宋" w:hAnsi="仿宋" w:eastAsia="仿宋" w:cs="仿宋"/>
                <w:spacing w:val="0"/>
                <w:sz w:val="24"/>
                <w:szCs w:val="24"/>
              </w:rPr>
            </w:pPr>
          </w:p>
        </w:tc>
        <w:tc>
          <w:tcPr>
            <w:tcW w:w="1561" w:type="dxa"/>
          </w:tcPr>
          <w:p w14:paraId="621F6281">
            <w:pPr>
              <w:pStyle w:val="45"/>
              <w:rPr>
                <w:rFonts w:hint="eastAsia" w:ascii="仿宋" w:hAnsi="仿宋" w:eastAsia="仿宋" w:cs="仿宋"/>
                <w:spacing w:val="0"/>
                <w:sz w:val="24"/>
                <w:szCs w:val="24"/>
              </w:rPr>
            </w:pPr>
          </w:p>
        </w:tc>
        <w:tc>
          <w:tcPr>
            <w:tcW w:w="1776" w:type="dxa"/>
          </w:tcPr>
          <w:p w14:paraId="09C2E21D">
            <w:pPr>
              <w:pStyle w:val="45"/>
              <w:rPr>
                <w:rFonts w:hint="eastAsia" w:ascii="仿宋" w:hAnsi="仿宋" w:eastAsia="仿宋" w:cs="仿宋"/>
                <w:spacing w:val="0"/>
                <w:sz w:val="24"/>
                <w:szCs w:val="24"/>
              </w:rPr>
            </w:pPr>
          </w:p>
        </w:tc>
        <w:tc>
          <w:tcPr>
            <w:tcW w:w="1778" w:type="dxa"/>
          </w:tcPr>
          <w:p w14:paraId="77E6C439">
            <w:pPr>
              <w:pStyle w:val="45"/>
              <w:rPr>
                <w:rFonts w:hint="eastAsia" w:ascii="仿宋" w:hAnsi="仿宋" w:eastAsia="仿宋" w:cs="仿宋"/>
                <w:spacing w:val="0"/>
                <w:sz w:val="24"/>
                <w:szCs w:val="24"/>
              </w:rPr>
            </w:pPr>
          </w:p>
        </w:tc>
        <w:tc>
          <w:tcPr>
            <w:tcW w:w="2183" w:type="dxa"/>
          </w:tcPr>
          <w:p w14:paraId="791875EC">
            <w:pPr>
              <w:pStyle w:val="45"/>
              <w:rPr>
                <w:rFonts w:hint="eastAsia" w:ascii="仿宋" w:hAnsi="仿宋" w:eastAsia="仿宋" w:cs="仿宋"/>
                <w:spacing w:val="0"/>
                <w:sz w:val="24"/>
                <w:szCs w:val="24"/>
              </w:rPr>
            </w:pPr>
          </w:p>
        </w:tc>
        <w:tc>
          <w:tcPr>
            <w:tcW w:w="981" w:type="dxa"/>
          </w:tcPr>
          <w:p w14:paraId="1E87A319">
            <w:pPr>
              <w:pStyle w:val="45"/>
              <w:rPr>
                <w:rFonts w:hint="eastAsia" w:ascii="仿宋" w:hAnsi="仿宋" w:eastAsia="仿宋" w:cs="仿宋"/>
                <w:spacing w:val="0"/>
                <w:sz w:val="24"/>
                <w:szCs w:val="24"/>
              </w:rPr>
            </w:pPr>
          </w:p>
        </w:tc>
      </w:tr>
      <w:tr w14:paraId="0A99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14:paraId="306563BD">
            <w:pPr>
              <w:pStyle w:val="45"/>
              <w:rPr>
                <w:rFonts w:hint="eastAsia" w:ascii="仿宋" w:hAnsi="仿宋" w:eastAsia="仿宋" w:cs="仿宋"/>
                <w:spacing w:val="0"/>
                <w:sz w:val="24"/>
                <w:szCs w:val="24"/>
              </w:rPr>
            </w:pPr>
          </w:p>
        </w:tc>
        <w:tc>
          <w:tcPr>
            <w:tcW w:w="1561" w:type="dxa"/>
          </w:tcPr>
          <w:p w14:paraId="0FFF0118">
            <w:pPr>
              <w:pStyle w:val="45"/>
              <w:rPr>
                <w:rFonts w:hint="eastAsia" w:ascii="仿宋" w:hAnsi="仿宋" w:eastAsia="仿宋" w:cs="仿宋"/>
                <w:spacing w:val="0"/>
                <w:sz w:val="24"/>
                <w:szCs w:val="24"/>
              </w:rPr>
            </w:pPr>
          </w:p>
        </w:tc>
        <w:tc>
          <w:tcPr>
            <w:tcW w:w="1776" w:type="dxa"/>
          </w:tcPr>
          <w:p w14:paraId="6E2D1708">
            <w:pPr>
              <w:pStyle w:val="45"/>
              <w:rPr>
                <w:rFonts w:hint="eastAsia" w:ascii="仿宋" w:hAnsi="仿宋" w:eastAsia="仿宋" w:cs="仿宋"/>
                <w:spacing w:val="0"/>
                <w:sz w:val="24"/>
                <w:szCs w:val="24"/>
              </w:rPr>
            </w:pPr>
          </w:p>
        </w:tc>
        <w:tc>
          <w:tcPr>
            <w:tcW w:w="1778" w:type="dxa"/>
          </w:tcPr>
          <w:p w14:paraId="122E789C">
            <w:pPr>
              <w:pStyle w:val="45"/>
              <w:rPr>
                <w:rFonts w:hint="eastAsia" w:ascii="仿宋" w:hAnsi="仿宋" w:eastAsia="仿宋" w:cs="仿宋"/>
                <w:spacing w:val="0"/>
                <w:sz w:val="24"/>
                <w:szCs w:val="24"/>
              </w:rPr>
            </w:pPr>
          </w:p>
        </w:tc>
        <w:tc>
          <w:tcPr>
            <w:tcW w:w="2183" w:type="dxa"/>
          </w:tcPr>
          <w:p w14:paraId="12DC113E">
            <w:pPr>
              <w:pStyle w:val="45"/>
              <w:rPr>
                <w:rFonts w:hint="eastAsia" w:ascii="仿宋" w:hAnsi="仿宋" w:eastAsia="仿宋" w:cs="仿宋"/>
                <w:spacing w:val="0"/>
                <w:sz w:val="24"/>
                <w:szCs w:val="24"/>
              </w:rPr>
            </w:pPr>
          </w:p>
        </w:tc>
        <w:tc>
          <w:tcPr>
            <w:tcW w:w="981" w:type="dxa"/>
          </w:tcPr>
          <w:p w14:paraId="39597A2A">
            <w:pPr>
              <w:pStyle w:val="45"/>
              <w:rPr>
                <w:rFonts w:hint="eastAsia" w:ascii="仿宋" w:hAnsi="仿宋" w:eastAsia="仿宋" w:cs="仿宋"/>
                <w:spacing w:val="0"/>
                <w:sz w:val="24"/>
                <w:szCs w:val="24"/>
              </w:rPr>
            </w:pPr>
          </w:p>
        </w:tc>
      </w:tr>
      <w:tr w14:paraId="5A691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14:paraId="348DB285">
            <w:pPr>
              <w:pStyle w:val="45"/>
              <w:rPr>
                <w:rFonts w:hint="eastAsia" w:ascii="仿宋" w:hAnsi="仿宋" w:eastAsia="仿宋" w:cs="仿宋"/>
                <w:spacing w:val="0"/>
                <w:sz w:val="24"/>
                <w:szCs w:val="24"/>
              </w:rPr>
            </w:pPr>
          </w:p>
        </w:tc>
        <w:tc>
          <w:tcPr>
            <w:tcW w:w="1561" w:type="dxa"/>
          </w:tcPr>
          <w:p w14:paraId="0E51502B">
            <w:pPr>
              <w:pStyle w:val="45"/>
              <w:rPr>
                <w:rFonts w:hint="eastAsia" w:ascii="仿宋" w:hAnsi="仿宋" w:eastAsia="仿宋" w:cs="仿宋"/>
                <w:spacing w:val="0"/>
                <w:sz w:val="24"/>
                <w:szCs w:val="24"/>
              </w:rPr>
            </w:pPr>
          </w:p>
        </w:tc>
        <w:tc>
          <w:tcPr>
            <w:tcW w:w="1776" w:type="dxa"/>
          </w:tcPr>
          <w:p w14:paraId="71A303E4">
            <w:pPr>
              <w:pStyle w:val="45"/>
              <w:rPr>
                <w:rFonts w:hint="eastAsia" w:ascii="仿宋" w:hAnsi="仿宋" w:eastAsia="仿宋" w:cs="仿宋"/>
                <w:spacing w:val="0"/>
                <w:sz w:val="24"/>
                <w:szCs w:val="24"/>
              </w:rPr>
            </w:pPr>
          </w:p>
        </w:tc>
        <w:tc>
          <w:tcPr>
            <w:tcW w:w="1778" w:type="dxa"/>
          </w:tcPr>
          <w:p w14:paraId="715FB162">
            <w:pPr>
              <w:pStyle w:val="45"/>
              <w:rPr>
                <w:rFonts w:hint="eastAsia" w:ascii="仿宋" w:hAnsi="仿宋" w:eastAsia="仿宋" w:cs="仿宋"/>
                <w:spacing w:val="0"/>
                <w:sz w:val="24"/>
                <w:szCs w:val="24"/>
              </w:rPr>
            </w:pPr>
          </w:p>
        </w:tc>
        <w:tc>
          <w:tcPr>
            <w:tcW w:w="2183" w:type="dxa"/>
          </w:tcPr>
          <w:p w14:paraId="78140019">
            <w:pPr>
              <w:pStyle w:val="45"/>
              <w:rPr>
                <w:rFonts w:hint="eastAsia" w:ascii="仿宋" w:hAnsi="仿宋" w:eastAsia="仿宋" w:cs="仿宋"/>
                <w:spacing w:val="0"/>
                <w:sz w:val="24"/>
                <w:szCs w:val="24"/>
              </w:rPr>
            </w:pPr>
          </w:p>
        </w:tc>
        <w:tc>
          <w:tcPr>
            <w:tcW w:w="981" w:type="dxa"/>
          </w:tcPr>
          <w:p w14:paraId="2F4702FB">
            <w:pPr>
              <w:pStyle w:val="45"/>
              <w:rPr>
                <w:rFonts w:hint="eastAsia" w:ascii="仿宋" w:hAnsi="仿宋" w:eastAsia="仿宋" w:cs="仿宋"/>
                <w:spacing w:val="0"/>
                <w:sz w:val="24"/>
                <w:szCs w:val="24"/>
              </w:rPr>
            </w:pPr>
          </w:p>
        </w:tc>
      </w:tr>
    </w:tbl>
    <w:p w14:paraId="1F25B252">
      <w:pPr>
        <w:pStyle w:val="12"/>
        <w:spacing w:before="2"/>
        <w:rPr>
          <w:rFonts w:hint="eastAsia" w:ascii="仿宋" w:hAnsi="仿宋" w:eastAsia="仿宋" w:cs="仿宋"/>
          <w:spacing w:val="0"/>
          <w:sz w:val="24"/>
          <w:szCs w:val="24"/>
        </w:rPr>
      </w:pPr>
    </w:p>
    <w:p w14:paraId="5ADF77A1">
      <w:pPr>
        <w:pStyle w:val="12"/>
        <w:spacing w:before="85"/>
        <w:ind w:left="401"/>
        <w:rPr>
          <w:rFonts w:hint="eastAsia" w:ascii="仿宋" w:hAnsi="仿宋" w:eastAsia="仿宋" w:cs="仿宋"/>
          <w:spacing w:val="0"/>
          <w:sz w:val="24"/>
          <w:szCs w:val="24"/>
          <w:lang w:eastAsia="zh-CN"/>
        </w:rPr>
      </w:pPr>
      <w:r>
        <w:rPr>
          <w:rFonts w:hint="eastAsia" w:ascii="仿宋" w:hAnsi="仿宋" w:eastAsia="仿宋" w:cs="仿宋"/>
          <w:spacing w:val="0"/>
          <w:w w:val="110"/>
          <w:sz w:val="24"/>
          <w:szCs w:val="24"/>
          <w:lang w:eastAsia="zh-CN"/>
        </w:rPr>
        <w:t>注：</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偏离情况</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列应据实填写</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正偏离</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或</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负偏离</w:t>
      </w:r>
      <w:r>
        <w:rPr>
          <w:rFonts w:hint="eastAsia" w:ascii="仿宋" w:hAnsi="仿宋" w:eastAsia="仿宋" w:cs="仿宋"/>
          <w:spacing w:val="0"/>
          <w:sz w:val="24"/>
          <w:szCs w:val="24"/>
          <w:lang w:eastAsia="zh-CN"/>
        </w:rPr>
        <w:t>”</w:t>
      </w:r>
      <w:r>
        <w:rPr>
          <w:rFonts w:hint="eastAsia" w:ascii="仿宋" w:hAnsi="仿宋" w:eastAsia="仿宋" w:cs="仿宋"/>
          <w:spacing w:val="0"/>
          <w:w w:val="110"/>
          <w:sz w:val="24"/>
          <w:szCs w:val="24"/>
          <w:lang w:eastAsia="zh-CN"/>
        </w:rPr>
        <w:t>。</w:t>
      </w:r>
    </w:p>
    <w:p w14:paraId="7571C665">
      <w:pPr>
        <w:pStyle w:val="12"/>
        <w:spacing w:before="10"/>
        <w:rPr>
          <w:rFonts w:hint="eastAsia" w:ascii="仿宋" w:hAnsi="仿宋" w:eastAsia="仿宋" w:cs="仿宋"/>
          <w:spacing w:val="0"/>
          <w:sz w:val="24"/>
          <w:szCs w:val="24"/>
          <w:lang w:eastAsia="zh-CN"/>
        </w:rPr>
      </w:pPr>
    </w:p>
    <w:p w14:paraId="44FECE9F">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u w:val="single"/>
          <w:lang w:val="en-US" w:eastAsia="zh-CN"/>
        </w:rPr>
      </w:pPr>
      <w:r>
        <w:rPr>
          <w:rFonts w:hint="eastAsia" w:ascii="仿宋" w:hAnsi="仿宋" w:eastAsia="仿宋" w:cs="仿宋"/>
          <w:spacing w:val="0"/>
          <w:w w:val="100"/>
          <w:sz w:val="24"/>
          <w:szCs w:val="24"/>
          <w:lang w:eastAsia="zh-CN"/>
        </w:rPr>
        <w:t>供应商名称（加盖公章）：</w:t>
      </w:r>
      <w:r>
        <w:rPr>
          <w:rFonts w:hint="eastAsia" w:ascii="仿宋" w:hAnsi="仿宋" w:eastAsia="仿宋" w:cs="仿宋"/>
          <w:spacing w:val="0"/>
          <w:w w:val="100"/>
          <w:sz w:val="24"/>
          <w:szCs w:val="24"/>
          <w:u w:val="single"/>
          <w:lang w:val="en-US" w:eastAsia="zh-CN"/>
        </w:rPr>
        <w:t xml:space="preserve">                     </w:t>
      </w:r>
    </w:p>
    <w:p w14:paraId="34C1AFEC">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spacing w:val="0"/>
          <w:w w:val="100"/>
          <w:sz w:val="24"/>
          <w:szCs w:val="24"/>
          <w:lang w:eastAsia="zh-CN"/>
        </w:rPr>
      </w:pPr>
      <w:r>
        <w:rPr>
          <w:rFonts w:hint="eastAsia" w:ascii="仿宋" w:hAnsi="仿宋" w:eastAsia="仿宋" w:cs="仿宋"/>
          <w:spacing w:val="0"/>
          <w:w w:val="100"/>
          <w:sz w:val="24"/>
          <w:szCs w:val="24"/>
          <w:lang w:eastAsia="zh-CN"/>
        </w:rPr>
        <w:t>日期：</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年</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月</w:t>
      </w:r>
      <w:r>
        <w:rPr>
          <w:rFonts w:hint="eastAsia" w:ascii="仿宋" w:hAnsi="仿宋" w:eastAsia="仿宋" w:cs="仿宋"/>
          <w:spacing w:val="0"/>
          <w:w w:val="100"/>
          <w:sz w:val="24"/>
          <w:szCs w:val="24"/>
          <w:u w:val="single"/>
          <w:lang w:val="en-US" w:eastAsia="zh-CN"/>
        </w:rPr>
        <w:t xml:space="preserve">      </w:t>
      </w:r>
      <w:r>
        <w:rPr>
          <w:rFonts w:hint="eastAsia" w:ascii="仿宋" w:hAnsi="仿宋" w:eastAsia="仿宋" w:cs="仿宋"/>
          <w:spacing w:val="0"/>
          <w:w w:val="100"/>
          <w:sz w:val="24"/>
          <w:szCs w:val="24"/>
          <w:lang w:eastAsia="zh-CN"/>
        </w:rPr>
        <w:t>日</w:t>
      </w:r>
    </w:p>
    <w:p w14:paraId="6236B27C">
      <w:pPr>
        <w:spacing w:line="384" w:lineRule="auto"/>
        <w:rPr>
          <w:rFonts w:hint="eastAsia" w:ascii="仿宋" w:hAnsi="仿宋" w:eastAsia="仿宋" w:cs="仿宋"/>
          <w:sz w:val="24"/>
          <w:szCs w:val="24"/>
          <w:lang w:eastAsia="zh-CN"/>
        </w:rPr>
        <w:sectPr>
          <w:pgSz w:w="11910" w:h="16840"/>
          <w:pgMar w:top="1340" w:right="720" w:bottom="1080" w:left="1300" w:header="879" w:footer="892" w:gutter="0"/>
          <w:pgNumType w:fmt="numberInDash"/>
          <w:cols w:space="720" w:num="1"/>
        </w:sectPr>
      </w:pPr>
    </w:p>
    <w:p w14:paraId="3F52CA0A">
      <w:pPr>
        <w:numPr>
          <w:ilvl w:val="0"/>
          <w:numId w:val="13"/>
        </w:numP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采购需求偏离表（实质性格式）</w:t>
      </w:r>
    </w:p>
    <w:p w14:paraId="04B87A1C">
      <w:pPr>
        <w:pStyle w:val="2"/>
        <w:spacing w:before="220"/>
        <w:jc w:val="center"/>
        <w:rPr>
          <w:rFonts w:hint="eastAsia" w:ascii="仿宋" w:hAnsi="仿宋" w:eastAsia="仿宋" w:cs="仿宋"/>
          <w:color w:val="auto"/>
          <w:spacing w:val="0"/>
          <w:sz w:val="24"/>
          <w:szCs w:val="24"/>
          <w:lang w:val="en-US" w:eastAsia="zh-CN"/>
        </w:rPr>
      </w:pPr>
      <w:bookmarkStart w:id="673" w:name="_Toc160018047"/>
      <w:r>
        <w:rPr>
          <w:rFonts w:hint="eastAsia" w:ascii="仿宋" w:hAnsi="仿宋" w:eastAsia="仿宋" w:cs="仿宋"/>
          <w:color w:val="auto"/>
          <w:spacing w:val="0"/>
          <w:sz w:val="24"/>
          <w:szCs w:val="24"/>
          <w:lang w:eastAsia="zh-CN"/>
        </w:rPr>
        <w:t>采购需求偏离表</w:t>
      </w:r>
      <w:bookmarkEnd w:id="673"/>
    </w:p>
    <w:p w14:paraId="13FF367E">
      <w:pPr>
        <w:pStyle w:val="12"/>
        <w:tabs>
          <w:tab w:val="left" w:pos="4373"/>
          <w:tab w:val="left" w:pos="4920"/>
          <w:tab w:val="left" w:pos="7973"/>
        </w:tabs>
        <w:spacing w:before="86"/>
        <w:rPr>
          <w:rFonts w:hint="eastAsia" w:ascii="仿宋" w:hAnsi="仿宋" w:eastAsia="仿宋" w:cs="仿宋"/>
          <w:spacing w:val="0"/>
          <w:sz w:val="24"/>
          <w:szCs w:val="24"/>
          <w:lang w:eastAsia="zh-CN"/>
        </w:rPr>
      </w:pPr>
      <w:r>
        <w:rPr>
          <w:rFonts w:hint="eastAsia" w:ascii="仿宋" w:hAnsi="仿宋" w:eastAsia="仿宋" w:cs="仿宋"/>
          <w:color w:val="auto"/>
          <w:spacing w:val="0"/>
          <w:sz w:val="24"/>
          <w:szCs w:val="24"/>
          <w:lang w:eastAsia="zh-CN"/>
        </w:rPr>
        <w:t>项目名称：</w:t>
      </w:r>
      <w:r>
        <w:rPr>
          <w:rFonts w:hint="eastAsia" w:ascii="仿宋" w:hAnsi="仿宋" w:eastAsia="仿宋" w:cs="仿宋"/>
          <w:spacing w:val="0"/>
          <w:sz w:val="24"/>
          <w:szCs w:val="24"/>
          <w:u w:val="single"/>
          <w:lang w:val="en-US" w:eastAsia="zh-CN"/>
        </w:rPr>
        <w:t>纳竜坝村小组茶产业及人居环境综合整治提升项目</w:t>
      </w:r>
    </w:p>
    <w:p w14:paraId="154BB7CE">
      <w:pPr>
        <w:pStyle w:val="12"/>
        <w:tabs>
          <w:tab w:val="left" w:pos="4373"/>
          <w:tab w:val="left" w:pos="4920"/>
          <w:tab w:val="left" w:pos="7973"/>
        </w:tabs>
        <w:spacing w:before="86"/>
        <w:rPr>
          <w:rFonts w:hint="default"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项目编号：</w:t>
      </w:r>
      <w:r>
        <w:rPr>
          <w:rFonts w:hint="eastAsia" w:ascii="仿宋" w:hAnsi="仿宋" w:eastAsia="仿宋" w:cs="仿宋"/>
          <w:color w:val="auto"/>
          <w:spacing w:val="0"/>
          <w:sz w:val="24"/>
          <w:szCs w:val="24"/>
          <w:u w:val="single"/>
          <w:lang w:val="en-US" w:eastAsia="zh-CN"/>
        </w:rPr>
        <w:t xml:space="preserve">           </w:t>
      </w:r>
    </w:p>
    <w:p w14:paraId="74D0D0A0">
      <w:pPr>
        <w:rPr>
          <w:rFonts w:hint="eastAsia" w:ascii="仿宋" w:hAnsi="仿宋" w:eastAsia="仿宋" w:cs="仿宋"/>
          <w:color w:val="auto"/>
          <w:kern w:val="2"/>
          <w:sz w:val="24"/>
          <w:szCs w:val="24"/>
          <w:lang w:val="en-US" w:eastAsia="zh-CN" w:bidi="ar-SA"/>
        </w:rPr>
      </w:pPr>
    </w:p>
    <w:tbl>
      <w:tblPr>
        <w:tblStyle w:val="46"/>
        <w:tblW w:w="8637"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3"/>
        <w:gridCol w:w="1537"/>
        <w:gridCol w:w="1923"/>
        <w:gridCol w:w="1903"/>
        <w:gridCol w:w="1678"/>
        <w:gridCol w:w="903"/>
      </w:tblGrid>
      <w:tr w14:paraId="52779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693" w:type="dxa"/>
          </w:tcPr>
          <w:p w14:paraId="4A511AFF">
            <w:pPr>
              <w:pStyle w:val="45"/>
              <w:spacing w:before="3"/>
              <w:rPr>
                <w:rFonts w:hint="eastAsia" w:ascii="仿宋" w:hAnsi="仿宋" w:eastAsia="仿宋" w:cs="仿宋"/>
                <w:bCs/>
                <w:color w:val="auto"/>
                <w:spacing w:val="0"/>
                <w:kern w:val="2"/>
                <w:sz w:val="24"/>
                <w:szCs w:val="24"/>
                <w:lang w:val="en-US" w:eastAsia="zh-CN" w:bidi="ar-SA"/>
              </w:rPr>
            </w:pPr>
          </w:p>
          <w:p w14:paraId="7F4F0524">
            <w:pPr>
              <w:pStyle w:val="45"/>
              <w:ind w:left="146"/>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序号</w:t>
            </w:r>
          </w:p>
        </w:tc>
        <w:tc>
          <w:tcPr>
            <w:tcW w:w="1537" w:type="dxa"/>
          </w:tcPr>
          <w:p w14:paraId="4F61112E">
            <w:pPr>
              <w:pStyle w:val="45"/>
              <w:spacing w:before="62" w:line="242" w:lineRule="auto"/>
              <w:ind w:left="141" w:right="127"/>
              <w:jc w:val="center"/>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竞争性磋商文件条目号 (页码)</w:t>
            </w:r>
          </w:p>
        </w:tc>
        <w:tc>
          <w:tcPr>
            <w:tcW w:w="1923" w:type="dxa"/>
          </w:tcPr>
          <w:p w14:paraId="3304BD85">
            <w:pPr>
              <w:pStyle w:val="45"/>
              <w:spacing w:before="3"/>
              <w:rPr>
                <w:rFonts w:hint="eastAsia" w:ascii="仿宋" w:hAnsi="仿宋" w:eastAsia="仿宋" w:cs="仿宋"/>
                <w:bCs/>
                <w:color w:val="auto"/>
                <w:spacing w:val="0"/>
                <w:kern w:val="2"/>
                <w:sz w:val="24"/>
                <w:szCs w:val="24"/>
                <w:lang w:val="en-US" w:eastAsia="zh-CN" w:bidi="ar-SA"/>
              </w:rPr>
            </w:pPr>
          </w:p>
          <w:p w14:paraId="45CFEA32">
            <w:pPr>
              <w:pStyle w:val="45"/>
              <w:ind w:left="111"/>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竞争性磋商文件要求</w:t>
            </w:r>
          </w:p>
        </w:tc>
        <w:tc>
          <w:tcPr>
            <w:tcW w:w="1903" w:type="dxa"/>
          </w:tcPr>
          <w:p w14:paraId="07E8F9E9">
            <w:pPr>
              <w:pStyle w:val="45"/>
              <w:spacing w:before="3"/>
              <w:rPr>
                <w:rFonts w:hint="eastAsia" w:ascii="仿宋" w:hAnsi="仿宋" w:eastAsia="仿宋" w:cs="仿宋"/>
                <w:bCs/>
                <w:color w:val="auto"/>
                <w:spacing w:val="0"/>
                <w:kern w:val="2"/>
                <w:sz w:val="24"/>
                <w:szCs w:val="24"/>
                <w:lang w:val="en-US" w:eastAsia="zh-CN" w:bidi="ar-SA"/>
              </w:rPr>
            </w:pPr>
          </w:p>
          <w:p w14:paraId="6C8212B1">
            <w:pPr>
              <w:pStyle w:val="45"/>
              <w:ind w:left="584"/>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响应内容</w:t>
            </w:r>
          </w:p>
        </w:tc>
        <w:tc>
          <w:tcPr>
            <w:tcW w:w="1678" w:type="dxa"/>
          </w:tcPr>
          <w:p w14:paraId="46447347">
            <w:pPr>
              <w:pStyle w:val="45"/>
              <w:spacing w:before="3"/>
              <w:rPr>
                <w:rFonts w:hint="eastAsia" w:ascii="仿宋" w:hAnsi="仿宋" w:eastAsia="仿宋" w:cs="仿宋"/>
                <w:bCs/>
                <w:color w:val="auto"/>
                <w:spacing w:val="0"/>
                <w:kern w:val="2"/>
                <w:sz w:val="24"/>
                <w:szCs w:val="24"/>
                <w:lang w:val="en-US" w:eastAsia="zh-CN" w:bidi="ar-SA"/>
              </w:rPr>
            </w:pPr>
          </w:p>
          <w:p w14:paraId="374BF8F9">
            <w:pPr>
              <w:pStyle w:val="45"/>
              <w:ind w:left="457"/>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偏离情况</w:t>
            </w:r>
          </w:p>
        </w:tc>
        <w:tc>
          <w:tcPr>
            <w:tcW w:w="903" w:type="dxa"/>
          </w:tcPr>
          <w:p w14:paraId="7B13FC2E">
            <w:pPr>
              <w:pStyle w:val="45"/>
              <w:spacing w:before="3"/>
              <w:rPr>
                <w:rFonts w:hint="eastAsia" w:ascii="仿宋" w:hAnsi="仿宋" w:eastAsia="仿宋" w:cs="仿宋"/>
                <w:bCs/>
                <w:color w:val="auto"/>
                <w:spacing w:val="0"/>
                <w:kern w:val="2"/>
                <w:sz w:val="24"/>
                <w:szCs w:val="24"/>
                <w:lang w:val="en-US" w:eastAsia="zh-CN" w:bidi="ar-SA"/>
              </w:rPr>
            </w:pPr>
          </w:p>
          <w:p w14:paraId="58639428">
            <w:pPr>
              <w:pStyle w:val="45"/>
              <w:ind w:left="264"/>
              <w:rPr>
                <w:rFonts w:hint="eastAsia" w:ascii="仿宋" w:hAnsi="仿宋" w:eastAsia="仿宋" w:cs="仿宋"/>
                <w:bCs/>
                <w:color w:val="auto"/>
                <w:spacing w:val="0"/>
                <w:kern w:val="2"/>
                <w:sz w:val="24"/>
                <w:szCs w:val="24"/>
                <w:lang w:val="en-US" w:eastAsia="zh-CN" w:bidi="ar-SA"/>
              </w:rPr>
            </w:pPr>
            <w:r>
              <w:rPr>
                <w:rFonts w:hint="eastAsia" w:ascii="仿宋" w:hAnsi="仿宋" w:eastAsia="仿宋" w:cs="仿宋"/>
                <w:bCs/>
                <w:color w:val="auto"/>
                <w:spacing w:val="0"/>
                <w:kern w:val="2"/>
                <w:sz w:val="24"/>
                <w:szCs w:val="24"/>
                <w:lang w:val="en-US" w:eastAsia="zh-CN" w:bidi="ar-SA"/>
              </w:rPr>
              <w:t>说明</w:t>
            </w:r>
          </w:p>
        </w:tc>
      </w:tr>
      <w:tr w14:paraId="6633B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693" w:type="dxa"/>
          </w:tcPr>
          <w:p w14:paraId="4BC14FE0">
            <w:pPr>
              <w:pStyle w:val="45"/>
              <w:rPr>
                <w:rFonts w:hint="eastAsia" w:asciiTheme="minorEastAsia" w:hAnsiTheme="minorEastAsia" w:eastAsiaTheme="minorEastAsia" w:cstheme="minorEastAsia"/>
                <w:color w:val="auto"/>
              </w:rPr>
            </w:pPr>
          </w:p>
        </w:tc>
        <w:tc>
          <w:tcPr>
            <w:tcW w:w="1537" w:type="dxa"/>
          </w:tcPr>
          <w:p w14:paraId="1500BEF2">
            <w:pPr>
              <w:pStyle w:val="45"/>
              <w:rPr>
                <w:rFonts w:hint="eastAsia" w:asciiTheme="minorEastAsia" w:hAnsiTheme="minorEastAsia" w:eastAsiaTheme="minorEastAsia" w:cstheme="minorEastAsia"/>
                <w:color w:val="auto"/>
              </w:rPr>
            </w:pPr>
          </w:p>
        </w:tc>
        <w:tc>
          <w:tcPr>
            <w:tcW w:w="1923" w:type="dxa"/>
          </w:tcPr>
          <w:p w14:paraId="75FD2378">
            <w:pPr>
              <w:pStyle w:val="45"/>
              <w:rPr>
                <w:rFonts w:hint="eastAsia" w:asciiTheme="minorEastAsia" w:hAnsiTheme="minorEastAsia" w:eastAsiaTheme="minorEastAsia" w:cstheme="minorEastAsia"/>
                <w:color w:val="auto"/>
              </w:rPr>
            </w:pPr>
          </w:p>
        </w:tc>
        <w:tc>
          <w:tcPr>
            <w:tcW w:w="1903" w:type="dxa"/>
          </w:tcPr>
          <w:p w14:paraId="03F65ED8">
            <w:pPr>
              <w:pStyle w:val="45"/>
              <w:rPr>
                <w:rFonts w:hint="eastAsia" w:asciiTheme="minorEastAsia" w:hAnsiTheme="minorEastAsia" w:eastAsiaTheme="minorEastAsia" w:cstheme="minorEastAsia"/>
                <w:color w:val="auto"/>
              </w:rPr>
            </w:pPr>
          </w:p>
        </w:tc>
        <w:tc>
          <w:tcPr>
            <w:tcW w:w="1678" w:type="dxa"/>
          </w:tcPr>
          <w:p w14:paraId="7E9078D1">
            <w:pPr>
              <w:pStyle w:val="45"/>
              <w:rPr>
                <w:rFonts w:hint="eastAsia" w:asciiTheme="minorEastAsia" w:hAnsiTheme="minorEastAsia" w:eastAsiaTheme="minorEastAsia" w:cstheme="minorEastAsia"/>
                <w:color w:val="auto"/>
              </w:rPr>
            </w:pPr>
          </w:p>
        </w:tc>
        <w:tc>
          <w:tcPr>
            <w:tcW w:w="903" w:type="dxa"/>
          </w:tcPr>
          <w:p w14:paraId="748D451D">
            <w:pPr>
              <w:pStyle w:val="45"/>
              <w:rPr>
                <w:rFonts w:hint="eastAsia" w:asciiTheme="minorEastAsia" w:hAnsiTheme="minorEastAsia" w:eastAsiaTheme="minorEastAsia" w:cstheme="minorEastAsia"/>
                <w:color w:val="auto"/>
              </w:rPr>
            </w:pPr>
          </w:p>
        </w:tc>
      </w:tr>
      <w:tr w14:paraId="6C633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693" w:type="dxa"/>
          </w:tcPr>
          <w:p w14:paraId="37798D5E">
            <w:pPr>
              <w:pStyle w:val="45"/>
              <w:rPr>
                <w:rFonts w:hint="eastAsia" w:asciiTheme="minorEastAsia" w:hAnsiTheme="minorEastAsia" w:eastAsiaTheme="minorEastAsia" w:cstheme="minorEastAsia"/>
                <w:color w:val="auto"/>
              </w:rPr>
            </w:pPr>
          </w:p>
        </w:tc>
        <w:tc>
          <w:tcPr>
            <w:tcW w:w="1537" w:type="dxa"/>
          </w:tcPr>
          <w:p w14:paraId="126AAB94">
            <w:pPr>
              <w:pStyle w:val="45"/>
              <w:rPr>
                <w:rFonts w:hint="eastAsia" w:asciiTheme="minorEastAsia" w:hAnsiTheme="minorEastAsia" w:eastAsiaTheme="minorEastAsia" w:cstheme="minorEastAsia"/>
                <w:color w:val="auto"/>
              </w:rPr>
            </w:pPr>
          </w:p>
        </w:tc>
        <w:tc>
          <w:tcPr>
            <w:tcW w:w="1923" w:type="dxa"/>
          </w:tcPr>
          <w:p w14:paraId="5983D0ED">
            <w:pPr>
              <w:pStyle w:val="45"/>
              <w:rPr>
                <w:rFonts w:hint="eastAsia" w:asciiTheme="minorEastAsia" w:hAnsiTheme="minorEastAsia" w:eastAsiaTheme="minorEastAsia" w:cstheme="minorEastAsia"/>
                <w:color w:val="auto"/>
              </w:rPr>
            </w:pPr>
          </w:p>
        </w:tc>
        <w:tc>
          <w:tcPr>
            <w:tcW w:w="1903" w:type="dxa"/>
          </w:tcPr>
          <w:p w14:paraId="21A5D780">
            <w:pPr>
              <w:pStyle w:val="45"/>
              <w:rPr>
                <w:rFonts w:hint="eastAsia" w:asciiTheme="minorEastAsia" w:hAnsiTheme="minorEastAsia" w:eastAsiaTheme="minorEastAsia" w:cstheme="minorEastAsia"/>
                <w:color w:val="auto"/>
              </w:rPr>
            </w:pPr>
          </w:p>
        </w:tc>
        <w:tc>
          <w:tcPr>
            <w:tcW w:w="1678" w:type="dxa"/>
          </w:tcPr>
          <w:p w14:paraId="19944D1D">
            <w:pPr>
              <w:pStyle w:val="45"/>
              <w:rPr>
                <w:rFonts w:hint="eastAsia" w:asciiTheme="minorEastAsia" w:hAnsiTheme="minorEastAsia" w:eastAsiaTheme="minorEastAsia" w:cstheme="minorEastAsia"/>
                <w:color w:val="auto"/>
              </w:rPr>
            </w:pPr>
          </w:p>
        </w:tc>
        <w:tc>
          <w:tcPr>
            <w:tcW w:w="903" w:type="dxa"/>
          </w:tcPr>
          <w:p w14:paraId="0663561C">
            <w:pPr>
              <w:pStyle w:val="45"/>
              <w:rPr>
                <w:rFonts w:hint="eastAsia" w:asciiTheme="minorEastAsia" w:hAnsiTheme="minorEastAsia" w:eastAsiaTheme="minorEastAsia" w:cstheme="minorEastAsia"/>
                <w:color w:val="auto"/>
              </w:rPr>
            </w:pPr>
          </w:p>
        </w:tc>
      </w:tr>
      <w:tr w14:paraId="226AD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693" w:type="dxa"/>
          </w:tcPr>
          <w:p w14:paraId="561F9CFB">
            <w:pPr>
              <w:pStyle w:val="45"/>
              <w:rPr>
                <w:rFonts w:hint="eastAsia" w:asciiTheme="minorEastAsia" w:hAnsiTheme="minorEastAsia" w:eastAsiaTheme="minorEastAsia" w:cstheme="minorEastAsia"/>
                <w:color w:val="auto"/>
              </w:rPr>
            </w:pPr>
          </w:p>
        </w:tc>
        <w:tc>
          <w:tcPr>
            <w:tcW w:w="1537" w:type="dxa"/>
          </w:tcPr>
          <w:p w14:paraId="4EC710BA">
            <w:pPr>
              <w:pStyle w:val="45"/>
              <w:rPr>
                <w:rFonts w:hint="eastAsia" w:asciiTheme="minorEastAsia" w:hAnsiTheme="minorEastAsia" w:eastAsiaTheme="minorEastAsia" w:cstheme="minorEastAsia"/>
                <w:color w:val="auto"/>
              </w:rPr>
            </w:pPr>
          </w:p>
        </w:tc>
        <w:tc>
          <w:tcPr>
            <w:tcW w:w="1923" w:type="dxa"/>
          </w:tcPr>
          <w:p w14:paraId="644AC60F">
            <w:pPr>
              <w:pStyle w:val="45"/>
              <w:rPr>
                <w:rFonts w:hint="eastAsia" w:asciiTheme="minorEastAsia" w:hAnsiTheme="minorEastAsia" w:eastAsiaTheme="minorEastAsia" w:cstheme="minorEastAsia"/>
                <w:color w:val="auto"/>
              </w:rPr>
            </w:pPr>
          </w:p>
        </w:tc>
        <w:tc>
          <w:tcPr>
            <w:tcW w:w="1903" w:type="dxa"/>
          </w:tcPr>
          <w:p w14:paraId="2D1026B1">
            <w:pPr>
              <w:pStyle w:val="45"/>
              <w:rPr>
                <w:rFonts w:hint="eastAsia" w:asciiTheme="minorEastAsia" w:hAnsiTheme="minorEastAsia" w:eastAsiaTheme="minorEastAsia" w:cstheme="minorEastAsia"/>
                <w:color w:val="auto"/>
              </w:rPr>
            </w:pPr>
          </w:p>
        </w:tc>
        <w:tc>
          <w:tcPr>
            <w:tcW w:w="1678" w:type="dxa"/>
          </w:tcPr>
          <w:p w14:paraId="67F4EFEF">
            <w:pPr>
              <w:pStyle w:val="45"/>
              <w:rPr>
                <w:rFonts w:hint="eastAsia" w:asciiTheme="minorEastAsia" w:hAnsiTheme="minorEastAsia" w:eastAsiaTheme="minorEastAsia" w:cstheme="minorEastAsia"/>
                <w:color w:val="auto"/>
              </w:rPr>
            </w:pPr>
          </w:p>
        </w:tc>
        <w:tc>
          <w:tcPr>
            <w:tcW w:w="903" w:type="dxa"/>
          </w:tcPr>
          <w:p w14:paraId="1FE3B193">
            <w:pPr>
              <w:pStyle w:val="45"/>
              <w:rPr>
                <w:rFonts w:hint="eastAsia" w:asciiTheme="minorEastAsia" w:hAnsiTheme="minorEastAsia" w:eastAsiaTheme="minorEastAsia" w:cstheme="minorEastAsia"/>
                <w:color w:val="auto"/>
              </w:rPr>
            </w:pPr>
          </w:p>
        </w:tc>
      </w:tr>
      <w:tr w14:paraId="3B22A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693" w:type="dxa"/>
          </w:tcPr>
          <w:p w14:paraId="4AEAE3A1">
            <w:pPr>
              <w:pStyle w:val="45"/>
              <w:rPr>
                <w:rFonts w:hint="eastAsia" w:asciiTheme="minorEastAsia" w:hAnsiTheme="minorEastAsia" w:eastAsiaTheme="minorEastAsia" w:cstheme="minorEastAsia"/>
                <w:color w:val="auto"/>
              </w:rPr>
            </w:pPr>
          </w:p>
        </w:tc>
        <w:tc>
          <w:tcPr>
            <w:tcW w:w="1537" w:type="dxa"/>
          </w:tcPr>
          <w:p w14:paraId="0F07864B">
            <w:pPr>
              <w:pStyle w:val="45"/>
              <w:rPr>
                <w:rFonts w:hint="eastAsia" w:asciiTheme="minorEastAsia" w:hAnsiTheme="minorEastAsia" w:eastAsiaTheme="minorEastAsia" w:cstheme="minorEastAsia"/>
                <w:color w:val="auto"/>
              </w:rPr>
            </w:pPr>
          </w:p>
        </w:tc>
        <w:tc>
          <w:tcPr>
            <w:tcW w:w="1923" w:type="dxa"/>
          </w:tcPr>
          <w:p w14:paraId="0804CCD8">
            <w:pPr>
              <w:pStyle w:val="45"/>
              <w:rPr>
                <w:rFonts w:hint="eastAsia" w:asciiTheme="minorEastAsia" w:hAnsiTheme="minorEastAsia" w:eastAsiaTheme="minorEastAsia" w:cstheme="minorEastAsia"/>
                <w:color w:val="auto"/>
              </w:rPr>
            </w:pPr>
          </w:p>
        </w:tc>
        <w:tc>
          <w:tcPr>
            <w:tcW w:w="1903" w:type="dxa"/>
          </w:tcPr>
          <w:p w14:paraId="01D09164">
            <w:pPr>
              <w:pStyle w:val="45"/>
              <w:rPr>
                <w:rFonts w:hint="eastAsia" w:asciiTheme="minorEastAsia" w:hAnsiTheme="minorEastAsia" w:eastAsiaTheme="minorEastAsia" w:cstheme="minorEastAsia"/>
                <w:color w:val="auto"/>
              </w:rPr>
            </w:pPr>
          </w:p>
        </w:tc>
        <w:tc>
          <w:tcPr>
            <w:tcW w:w="1678" w:type="dxa"/>
          </w:tcPr>
          <w:p w14:paraId="24D5871F">
            <w:pPr>
              <w:pStyle w:val="45"/>
              <w:rPr>
                <w:rFonts w:hint="eastAsia" w:asciiTheme="minorEastAsia" w:hAnsiTheme="minorEastAsia" w:eastAsiaTheme="minorEastAsia" w:cstheme="minorEastAsia"/>
                <w:color w:val="auto"/>
              </w:rPr>
            </w:pPr>
          </w:p>
        </w:tc>
        <w:tc>
          <w:tcPr>
            <w:tcW w:w="903" w:type="dxa"/>
          </w:tcPr>
          <w:p w14:paraId="23DCE863">
            <w:pPr>
              <w:pStyle w:val="45"/>
              <w:rPr>
                <w:rFonts w:hint="eastAsia" w:asciiTheme="minorEastAsia" w:hAnsiTheme="minorEastAsia" w:eastAsiaTheme="minorEastAsia" w:cstheme="minorEastAsia"/>
                <w:color w:val="auto"/>
              </w:rPr>
            </w:pPr>
          </w:p>
        </w:tc>
      </w:tr>
      <w:tr w14:paraId="16AC5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693" w:type="dxa"/>
          </w:tcPr>
          <w:p w14:paraId="7F741FCB">
            <w:pPr>
              <w:pStyle w:val="45"/>
              <w:rPr>
                <w:rFonts w:hint="eastAsia" w:asciiTheme="minorEastAsia" w:hAnsiTheme="minorEastAsia" w:eastAsiaTheme="minorEastAsia" w:cstheme="minorEastAsia"/>
                <w:color w:val="auto"/>
              </w:rPr>
            </w:pPr>
          </w:p>
        </w:tc>
        <w:tc>
          <w:tcPr>
            <w:tcW w:w="1537" w:type="dxa"/>
          </w:tcPr>
          <w:p w14:paraId="5CDEA1BF">
            <w:pPr>
              <w:pStyle w:val="45"/>
              <w:rPr>
                <w:rFonts w:hint="eastAsia" w:asciiTheme="minorEastAsia" w:hAnsiTheme="minorEastAsia" w:eastAsiaTheme="minorEastAsia" w:cstheme="minorEastAsia"/>
                <w:color w:val="auto"/>
              </w:rPr>
            </w:pPr>
          </w:p>
        </w:tc>
        <w:tc>
          <w:tcPr>
            <w:tcW w:w="1923" w:type="dxa"/>
          </w:tcPr>
          <w:p w14:paraId="6C63E39E">
            <w:pPr>
              <w:pStyle w:val="45"/>
              <w:rPr>
                <w:rFonts w:hint="eastAsia" w:asciiTheme="minorEastAsia" w:hAnsiTheme="minorEastAsia" w:eastAsiaTheme="minorEastAsia" w:cstheme="minorEastAsia"/>
                <w:color w:val="auto"/>
              </w:rPr>
            </w:pPr>
          </w:p>
        </w:tc>
        <w:tc>
          <w:tcPr>
            <w:tcW w:w="1903" w:type="dxa"/>
          </w:tcPr>
          <w:p w14:paraId="7FD81582">
            <w:pPr>
              <w:pStyle w:val="45"/>
              <w:rPr>
                <w:rFonts w:hint="eastAsia" w:asciiTheme="minorEastAsia" w:hAnsiTheme="minorEastAsia" w:eastAsiaTheme="minorEastAsia" w:cstheme="minorEastAsia"/>
                <w:color w:val="auto"/>
              </w:rPr>
            </w:pPr>
          </w:p>
        </w:tc>
        <w:tc>
          <w:tcPr>
            <w:tcW w:w="1678" w:type="dxa"/>
          </w:tcPr>
          <w:p w14:paraId="7EA69E4C">
            <w:pPr>
              <w:pStyle w:val="45"/>
              <w:rPr>
                <w:rFonts w:hint="eastAsia" w:asciiTheme="minorEastAsia" w:hAnsiTheme="minorEastAsia" w:eastAsiaTheme="minorEastAsia" w:cstheme="minorEastAsia"/>
                <w:color w:val="auto"/>
              </w:rPr>
            </w:pPr>
          </w:p>
        </w:tc>
        <w:tc>
          <w:tcPr>
            <w:tcW w:w="903" w:type="dxa"/>
          </w:tcPr>
          <w:p w14:paraId="3A201AB6">
            <w:pPr>
              <w:pStyle w:val="45"/>
              <w:rPr>
                <w:rFonts w:hint="eastAsia" w:asciiTheme="minorEastAsia" w:hAnsiTheme="minorEastAsia" w:eastAsiaTheme="minorEastAsia" w:cstheme="minorEastAsia"/>
                <w:color w:val="auto"/>
              </w:rPr>
            </w:pPr>
          </w:p>
        </w:tc>
      </w:tr>
      <w:tr w14:paraId="256E5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693" w:type="dxa"/>
          </w:tcPr>
          <w:p w14:paraId="333A6E6D">
            <w:pPr>
              <w:pStyle w:val="45"/>
              <w:rPr>
                <w:rFonts w:hint="eastAsia" w:asciiTheme="minorEastAsia" w:hAnsiTheme="minorEastAsia" w:eastAsiaTheme="minorEastAsia" w:cstheme="minorEastAsia"/>
                <w:color w:val="auto"/>
              </w:rPr>
            </w:pPr>
          </w:p>
        </w:tc>
        <w:tc>
          <w:tcPr>
            <w:tcW w:w="1537" w:type="dxa"/>
          </w:tcPr>
          <w:p w14:paraId="2EBAC26E">
            <w:pPr>
              <w:pStyle w:val="45"/>
              <w:rPr>
                <w:rFonts w:hint="eastAsia" w:asciiTheme="minorEastAsia" w:hAnsiTheme="minorEastAsia" w:eastAsiaTheme="minorEastAsia" w:cstheme="minorEastAsia"/>
                <w:color w:val="auto"/>
              </w:rPr>
            </w:pPr>
          </w:p>
        </w:tc>
        <w:tc>
          <w:tcPr>
            <w:tcW w:w="1923" w:type="dxa"/>
          </w:tcPr>
          <w:p w14:paraId="6060767F">
            <w:pPr>
              <w:pStyle w:val="45"/>
              <w:rPr>
                <w:rFonts w:hint="eastAsia" w:asciiTheme="minorEastAsia" w:hAnsiTheme="minorEastAsia" w:eastAsiaTheme="minorEastAsia" w:cstheme="minorEastAsia"/>
                <w:color w:val="auto"/>
              </w:rPr>
            </w:pPr>
          </w:p>
        </w:tc>
        <w:tc>
          <w:tcPr>
            <w:tcW w:w="1903" w:type="dxa"/>
          </w:tcPr>
          <w:p w14:paraId="6AE1F00A">
            <w:pPr>
              <w:pStyle w:val="45"/>
              <w:rPr>
                <w:rFonts w:hint="eastAsia" w:asciiTheme="minorEastAsia" w:hAnsiTheme="minorEastAsia" w:eastAsiaTheme="minorEastAsia" w:cstheme="minorEastAsia"/>
                <w:color w:val="auto"/>
              </w:rPr>
            </w:pPr>
          </w:p>
        </w:tc>
        <w:tc>
          <w:tcPr>
            <w:tcW w:w="1678" w:type="dxa"/>
          </w:tcPr>
          <w:p w14:paraId="451F32D1">
            <w:pPr>
              <w:pStyle w:val="45"/>
              <w:rPr>
                <w:rFonts w:hint="eastAsia" w:asciiTheme="minorEastAsia" w:hAnsiTheme="minorEastAsia" w:eastAsiaTheme="minorEastAsia" w:cstheme="minorEastAsia"/>
                <w:color w:val="auto"/>
              </w:rPr>
            </w:pPr>
          </w:p>
        </w:tc>
        <w:tc>
          <w:tcPr>
            <w:tcW w:w="903" w:type="dxa"/>
          </w:tcPr>
          <w:p w14:paraId="46FDC07E">
            <w:pPr>
              <w:pStyle w:val="45"/>
              <w:rPr>
                <w:rFonts w:hint="eastAsia" w:asciiTheme="minorEastAsia" w:hAnsiTheme="minorEastAsia" w:eastAsiaTheme="minorEastAsia" w:cstheme="minorEastAsia"/>
                <w:color w:val="auto"/>
              </w:rPr>
            </w:pPr>
          </w:p>
        </w:tc>
      </w:tr>
    </w:tbl>
    <w:p w14:paraId="0D35D6A1">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color w:val="auto"/>
          <w:spacing w:val="0"/>
          <w:w w:val="100"/>
          <w:sz w:val="24"/>
          <w:szCs w:val="24"/>
          <w:lang w:eastAsia="zh-CN"/>
        </w:rPr>
      </w:pPr>
    </w:p>
    <w:p w14:paraId="2106B944">
      <w:pPr>
        <w:keepNext w:val="0"/>
        <w:keepLines w:val="0"/>
        <w:pageBreakBefore w:val="0"/>
        <w:widowControl w:val="0"/>
        <w:tabs>
          <w:tab w:val="left" w:pos="1800"/>
          <w:tab w:val="left" w:pos="5580"/>
        </w:tabs>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注：1</w:t>
      </w:r>
      <w:r>
        <w:rPr>
          <w:rFonts w:hint="eastAsia" w:ascii="仿宋" w:hAnsi="仿宋" w:eastAsia="仿宋" w:cs="仿宋"/>
          <w:color w:val="auto"/>
          <w:sz w:val="24"/>
          <w:highlight w:val="none"/>
          <w:lang w:val="en-US" w:eastAsia="zh-CN"/>
        </w:rPr>
        <w:t>.供应商须</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lang w:val="en-US" w:eastAsia="zh-CN"/>
        </w:rPr>
        <w:t>第四章“采购需求”</w:t>
      </w:r>
      <w:r>
        <w:rPr>
          <w:rFonts w:hint="eastAsia" w:ascii="仿宋" w:hAnsi="仿宋" w:eastAsia="仿宋" w:cs="仿宋"/>
          <w:color w:val="auto"/>
          <w:sz w:val="24"/>
          <w:highlight w:val="none"/>
        </w:rPr>
        <w:t>中★号条款要求</w:t>
      </w:r>
      <w:r>
        <w:rPr>
          <w:rFonts w:hint="eastAsia" w:ascii="仿宋" w:hAnsi="仿宋" w:eastAsia="仿宋" w:cs="仿宋"/>
          <w:color w:val="auto"/>
          <w:sz w:val="24"/>
          <w:highlight w:val="none"/>
          <w:lang w:val="en-US" w:eastAsia="zh-CN"/>
        </w:rPr>
        <w:t>进行响应</w:t>
      </w:r>
      <w:r>
        <w:rPr>
          <w:rFonts w:hint="eastAsia" w:ascii="仿宋" w:hAnsi="仿宋" w:eastAsia="仿宋" w:cs="仿宋"/>
          <w:b w:val="0"/>
          <w:bCs/>
          <w:color w:val="auto"/>
          <w:sz w:val="24"/>
          <w:highlight w:val="none"/>
        </w:rPr>
        <w:t>。</w:t>
      </w:r>
    </w:p>
    <w:p w14:paraId="472F35AF">
      <w:pPr>
        <w:keepNext w:val="0"/>
        <w:keepLines w:val="0"/>
        <w:pageBreakBefore w:val="0"/>
        <w:widowControl w:val="0"/>
        <w:kinsoku/>
        <w:wordWrap/>
        <w:overflowPunct/>
        <w:topLinePunct w:val="0"/>
        <w:autoSpaceDE/>
        <w:autoSpaceDN/>
        <w:bidi w:val="0"/>
        <w:adjustRightInd/>
        <w:snapToGrid/>
        <w:spacing w:line="460" w:lineRule="exact"/>
        <w:ind w:firstLine="360" w:firstLineChars="150"/>
        <w:jc w:val="both"/>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sz w:val="24"/>
          <w:highlight w:val="none"/>
        </w:rPr>
        <w:t>“偏离情况”列应据实填写“正偏离”或“负偏离”或“无偏离”。若存在偏离的，需说明具体偏离内容。</w:t>
      </w:r>
    </w:p>
    <w:p w14:paraId="0E91A894">
      <w:pPr>
        <w:pStyle w:val="12"/>
        <w:keepNext w:val="0"/>
        <w:keepLines w:val="0"/>
        <w:pageBreakBefore w:val="0"/>
        <w:widowControl w:val="0"/>
        <w:kinsoku/>
        <w:wordWrap/>
        <w:overflowPunct/>
        <w:topLinePunct w:val="0"/>
        <w:autoSpaceDE/>
        <w:autoSpaceDN/>
        <w:bidi w:val="0"/>
        <w:snapToGrid/>
        <w:spacing w:line="480" w:lineRule="exact"/>
        <w:textAlignment w:val="auto"/>
        <w:rPr>
          <w:rFonts w:hint="eastAsia" w:ascii="仿宋" w:hAnsi="仿宋" w:eastAsia="仿宋" w:cs="仿宋"/>
          <w:color w:val="auto"/>
          <w:spacing w:val="0"/>
          <w:w w:val="100"/>
          <w:sz w:val="24"/>
          <w:szCs w:val="24"/>
          <w:lang w:eastAsia="zh-CN"/>
        </w:rPr>
      </w:pPr>
    </w:p>
    <w:p w14:paraId="2502CAB4">
      <w:pPr>
        <w:pStyle w:val="12"/>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仿宋" w:hAnsi="仿宋" w:eastAsia="仿宋" w:cs="仿宋"/>
          <w:color w:val="auto"/>
          <w:spacing w:val="0"/>
          <w:w w:val="100"/>
          <w:sz w:val="24"/>
          <w:szCs w:val="24"/>
          <w:u w:val="single"/>
          <w:lang w:val="en-US" w:eastAsia="zh-CN"/>
        </w:rPr>
      </w:pPr>
      <w:r>
        <w:rPr>
          <w:rFonts w:hint="eastAsia" w:ascii="仿宋" w:hAnsi="仿宋" w:eastAsia="仿宋" w:cs="仿宋"/>
          <w:color w:val="auto"/>
          <w:spacing w:val="0"/>
          <w:w w:val="100"/>
          <w:sz w:val="24"/>
          <w:szCs w:val="24"/>
          <w:lang w:eastAsia="zh-CN"/>
        </w:rPr>
        <w:t>供应商名称（加盖公章）：</w:t>
      </w:r>
      <w:r>
        <w:rPr>
          <w:rFonts w:hint="eastAsia" w:ascii="仿宋" w:hAnsi="仿宋" w:eastAsia="仿宋" w:cs="仿宋"/>
          <w:color w:val="auto"/>
          <w:spacing w:val="0"/>
          <w:w w:val="100"/>
          <w:sz w:val="24"/>
          <w:szCs w:val="24"/>
          <w:u w:val="single"/>
          <w:lang w:val="en-US" w:eastAsia="zh-CN"/>
        </w:rPr>
        <w:t xml:space="preserve">                     </w:t>
      </w:r>
    </w:p>
    <w:p w14:paraId="1D536496">
      <w:pPr>
        <w:pStyle w:val="15"/>
        <w:rPr>
          <w:rFonts w:hint="eastAsia"/>
          <w:color w:val="auto"/>
          <w:lang w:val="en-US" w:eastAsia="zh-CN"/>
        </w:rPr>
      </w:pPr>
    </w:p>
    <w:p w14:paraId="7DD27784">
      <w:pPr>
        <w:numPr>
          <w:ilvl w:val="0"/>
          <w:numId w:val="0"/>
        </w:numPr>
        <w:ind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pacing w:val="0"/>
          <w:w w:val="100"/>
          <w:sz w:val="24"/>
          <w:szCs w:val="24"/>
          <w:lang w:eastAsia="zh-CN"/>
        </w:rPr>
        <w:t>日期：</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lang w:eastAsia="zh-CN"/>
        </w:rPr>
        <w:t>年</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lang w:eastAsia="zh-CN"/>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lang w:eastAsia="zh-CN"/>
        </w:rPr>
        <w:t>日</w:t>
      </w:r>
      <w:r>
        <w:rPr>
          <w:rFonts w:hint="eastAsia" w:ascii="仿宋" w:hAnsi="仿宋" w:eastAsia="仿宋" w:cs="仿宋"/>
          <w:color w:val="auto"/>
          <w:kern w:val="2"/>
          <w:sz w:val="24"/>
          <w:szCs w:val="24"/>
          <w:lang w:val="en-US" w:eastAsia="zh-CN" w:bidi="ar-SA"/>
        </w:rPr>
        <w:br w:type="page"/>
      </w:r>
    </w:p>
    <w:p w14:paraId="4CCC85B0">
      <w:pPr>
        <w:rPr>
          <w:rFonts w:hint="eastAsia" w:ascii="仿宋" w:hAnsi="仿宋" w:eastAsia="仿宋" w:cs="仿宋"/>
          <w:kern w:val="2"/>
          <w:sz w:val="24"/>
          <w:szCs w:val="24"/>
          <w:lang w:val="en-US" w:eastAsia="zh-CN" w:bidi="ar-SA"/>
        </w:rPr>
      </w:pPr>
    </w:p>
    <w:p w14:paraId="2237AD24">
      <w:pPr>
        <w:rPr>
          <w:rFonts w:hint="eastAsia" w:ascii="仿宋" w:hAnsi="仿宋" w:eastAsia="仿宋" w:cs="仿宋"/>
          <w:kern w:val="2"/>
          <w:sz w:val="24"/>
          <w:szCs w:val="24"/>
          <w:lang w:val="en-US" w:eastAsia="zh-CN" w:bidi="ar-SA"/>
        </w:rPr>
      </w:pPr>
    </w:p>
    <w:p w14:paraId="148A35B3">
      <w:pP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9、竞争性磋商文件要求提供或供应商认为应附的其他材料</w:t>
      </w:r>
    </w:p>
    <w:p w14:paraId="569258E3">
      <w:pP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br w:type="page"/>
      </w:r>
    </w:p>
    <w:p w14:paraId="6FC9C4D6">
      <w:pP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10、施工组织设计</w:t>
      </w:r>
    </w:p>
    <w:p w14:paraId="1212DC17">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r>
        <w:rPr>
          <w:rFonts w:hint="eastAsia" w:ascii="仿宋" w:hAnsi="仿宋" w:eastAsia="仿宋" w:cs="仿宋"/>
          <w:spacing w:val="0"/>
          <w:kern w:val="2"/>
          <w:sz w:val="24"/>
          <w:szCs w:val="24"/>
          <w:lang w:val="en-US" w:eastAsia="zh-CN" w:bidi="ar-SA"/>
        </w:rPr>
        <w:t xml:space="preserve">   请各供应商认真查看竞争性磋商文件第三章“评审方法和评审标准”技术部分评分标准，根据竞争性磋商文件的要求并结合自身情况编制施工组织设计及目录。</w:t>
      </w:r>
    </w:p>
    <w:p w14:paraId="77AEC91E">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3D401A6C">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334163B3">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1F6C2DB0">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27391219">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F8A4183">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25FF9324">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3B914BAA">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65B24E8">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E40F7DE">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73037E5A">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B78CEE5">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05F60E9">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DB31704">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0618D80B">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752061B">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C72E362">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8CF9819">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0A720AC5">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24417E67">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076D8F8">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71726437">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9CD894F">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5FD562E7">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7D8FC662">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741C77AC">
      <w:pPr>
        <w:numPr>
          <w:ilvl w:val="0"/>
          <w:numId w:val="0"/>
        </w:numPr>
        <w:spacing w:before="20" w:after="20" w:line="360" w:lineRule="auto"/>
        <w:ind w:leftChars="0"/>
        <w:jc w:val="left"/>
        <w:rPr>
          <w:rFonts w:hint="eastAsia" w:ascii="仿宋" w:hAnsi="仿宋" w:eastAsia="仿宋" w:cs="仿宋"/>
          <w:spacing w:val="0"/>
          <w:kern w:val="2"/>
          <w:sz w:val="24"/>
          <w:szCs w:val="24"/>
          <w:lang w:val="en-US" w:eastAsia="zh-CN" w:bidi="ar-SA"/>
        </w:rPr>
      </w:pPr>
    </w:p>
    <w:p w14:paraId="61724109">
      <w:pPr>
        <w:numPr>
          <w:ilvl w:val="0"/>
          <w:numId w:val="0"/>
        </w:numPr>
        <w:spacing w:before="20" w:after="20" w:line="360" w:lineRule="auto"/>
        <w:ind w:leftChars="0"/>
        <w:jc w:val="left"/>
        <w:rPr>
          <w:rFonts w:hint="default" w:ascii="仿宋" w:hAnsi="仿宋" w:eastAsia="仿宋" w:cs="仿宋"/>
          <w:color w:val="auto"/>
          <w:spacing w:val="0"/>
          <w:kern w:val="2"/>
          <w:sz w:val="24"/>
          <w:szCs w:val="24"/>
          <w:lang w:val="en-US" w:eastAsia="zh-CN" w:bidi="ar-SA"/>
        </w:rPr>
      </w:pPr>
      <w:r>
        <w:rPr>
          <w:rFonts w:hint="eastAsia" w:ascii="仿宋" w:hAnsi="仿宋" w:eastAsia="仿宋" w:cs="仿宋"/>
          <w:color w:val="auto"/>
          <w:spacing w:val="0"/>
          <w:kern w:val="2"/>
          <w:sz w:val="24"/>
          <w:szCs w:val="24"/>
          <w:lang w:val="en-US" w:eastAsia="zh-CN" w:bidi="ar-SA"/>
        </w:rPr>
        <w:t>11.商务部分</w:t>
      </w:r>
    </w:p>
    <w:p w14:paraId="300523D8">
      <w:pPr>
        <w:keepNext w:val="0"/>
        <w:keepLines w:val="0"/>
        <w:pageBreakBefore w:val="0"/>
        <w:widowControl w:val="0"/>
        <w:numPr>
          <w:ilvl w:val="0"/>
          <w:numId w:val="0"/>
        </w:numPr>
        <w:shd w:val="clear"/>
        <w:kinsoku/>
        <w:wordWrap/>
        <w:overflowPunct/>
        <w:topLinePunct w:val="0"/>
        <w:autoSpaceDE/>
        <w:autoSpaceDN/>
        <w:bidi w:val="0"/>
        <w:adjustRightInd/>
        <w:snapToGrid/>
        <w:spacing w:before="60" w:after="60"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供应商按竞争性磋商文件 第三章“评审方法和评审标准”中商务部分要求提供相关证明资料或证件，格式由供应商自拟。</w:t>
      </w:r>
    </w:p>
    <w:p w14:paraId="3108FCD3">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457A98AA">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6FAE0EBB">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306919CE">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45659BAA">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2B3AFBE3">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45C329F5">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4654BD1D">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7125F500">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26A1100A">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317FF61C">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45A5F7FC">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1DDC2CE1">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0B783D80">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0AB90839">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20860773">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55F6D78B">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7EAF9D89">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657C2F85">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p>
    <w:p w14:paraId="784F6411">
      <w:pPr>
        <w:pStyle w:val="21"/>
        <w:tabs>
          <w:tab w:val="right" w:leader="dot" w:pos="9070"/>
        </w:tabs>
        <w:spacing w:line="360" w:lineRule="auto"/>
        <w:ind w:firstLine="1320" w:firstLineChars="30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fldChar w:fldCharType="begin"/>
      </w:r>
      <w:r>
        <w:rPr>
          <w:rFonts w:hint="eastAsia" w:ascii="仿宋" w:hAnsi="仿宋" w:eastAsia="仿宋" w:cs="仿宋"/>
          <w:color w:val="000000"/>
          <w:sz w:val="44"/>
          <w:szCs w:val="44"/>
          <w:highlight w:val="none"/>
        </w:rPr>
        <w:instrText xml:space="preserve"> HYPERLINK \l _Toc7194 </w:instrText>
      </w:r>
      <w:r>
        <w:rPr>
          <w:rFonts w:hint="eastAsia" w:ascii="仿宋" w:hAnsi="仿宋" w:eastAsia="仿宋" w:cs="仿宋"/>
          <w:color w:val="000000"/>
          <w:sz w:val="44"/>
          <w:szCs w:val="44"/>
          <w:highlight w:val="none"/>
        </w:rPr>
        <w:fldChar w:fldCharType="separate"/>
      </w:r>
      <w:r>
        <w:rPr>
          <w:rFonts w:hint="eastAsia" w:ascii="仿宋" w:hAnsi="仿宋" w:eastAsia="仿宋" w:cs="仿宋"/>
          <w:bCs/>
          <w:color w:val="000000"/>
          <w:sz w:val="44"/>
          <w:szCs w:val="44"/>
          <w:highlight w:val="none"/>
          <w:lang w:val="en-US" w:eastAsia="zh-CN"/>
        </w:rPr>
        <w:t>第六章 工程量清单</w:t>
      </w:r>
      <w:r>
        <w:rPr>
          <w:rFonts w:hint="eastAsia" w:ascii="仿宋" w:hAnsi="仿宋" w:eastAsia="仿宋" w:cs="仿宋"/>
          <w:color w:val="000000"/>
          <w:sz w:val="44"/>
          <w:szCs w:val="44"/>
          <w:highlight w:val="none"/>
        </w:rPr>
        <w:fldChar w:fldCharType="end"/>
      </w:r>
    </w:p>
    <w:p w14:paraId="46084434">
      <w:pPr>
        <w:numPr>
          <w:ilvl w:val="0"/>
          <w:numId w:val="0"/>
        </w:numPr>
        <w:spacing w:before="20" w:after="20" w:line="360" w:lineRule="auto"/>
        <w:ind w:firstLine="2880" w:firstLineChars="800"/>
        <w:jc w:val="left"/>
        <w:rPr>
          <w:rFonts w:hint="eastAsia" w:ascii="仿宋" w:hAnsi="仿宋" w:eastAsia="仿宋" w:cs="仿宋"/>
          <w:spacing w:val="0"/>
          <w:kern w:val="2"/>
          <w:sz w:val="36"/>
          <w:szCs w:val="36"/>
          <w:lang w:val="en-US" w:eastAsia="zh-CN" w:bidi="ar-SA"/>
        </w:rPr>
      </w:pPr>
      <w:r>
        <w:rPr>
          <w:rFonts w:hint="eastAsia" w:ascii="仿宋" w:hAnsi="仿宋" w:eastAsia="仿宋" w:cs="仿宋"/>
          <w:spacing w:val="0"/>
          <w:kern w:val="2"/>
          <w:sz w:val="36"/>
          <w:szCs w:val="36"/>
          <w:lang w:val="en-US" w:eastAsia="zh-CN" w:bidi="ar-SA"/>
        </w:rPr>
        <w:t>（另附）</w:t>
      </w:r>
    </w:p>
    <w:p w14:paraId="4A890833">
      <w:pPr>
        <w:rPr>
          <w:rFonts w:hint="default" w:ascii="仿宋" w:hAnsi="仿宋" w:eastAsia="仿宋" w:cs="仿宋"/>
          <w:kern w:val="2"/>
          <w:sz w:val="24"/>
          <w:szCs w:val="24"/>
          <w:lang w:val="en-US" w:eastAsia="zh-CN" w:bidi="ar-SA"/>
        </w:rPr>
      </w:pPr>
    </w:p>
    <w:p w14:paraId="0BC3BB8A">
      <w:pPr>
        <w:numPr>
          <w:ilvl w:val="0"/>
          <w:numId w:val="0"/>
        </w:numPr>
        <w:spacing w:before="20" w:after="20" w:line="360" w:lineRule="auto"/>
        <w:ind w:leftChars="0"/>
        <w:jc w:val="center"/>
        <w:rPr>
          <w:rFonts w:hint="eastAsia" w:ascii="仿宋" w:hAnsi="仿宋" w:eastAsia="仿宋" w:cs="仿宋"/>
          <w:b/>
          <w:bCs/>
          <w:color w:val="auto"/>
          <w:sz w:val="28"/>
          <w:highlight w:val="none"/>
          <w:lang w:val="en-US" w:eastAsia="zh-CN"/>
        </w:rPr>
      </w:pPr>
    </w:p>
    <w:p w14:paraId="60AE7031">
      <w:pPr>
        <w:numPr>
          <w:ilvl w:val="0"/>
          <w:numId w:val="0"/>
        </w:numPr>
        <w:spacing w:before="20" w:after="20" w:line="360" w:lineRule="auto"/>
        <w:ind w:leftChars="0"/>
        <w:jc w:val="center"/>
        <w:rPr>
          <w:rFonts w:hint="eastAsia" w:ascii="仿宋" w:hAnsi="仿宋" w:eastAsia="仿宋" w:cs="仿宋"/>
          <w:b/>
          <w:bCs/>
          <w:color w:val="auto"/>
          <w:sz w:val="28"/>
          <w:highlight w:val="none"/>
          <w:lang w:val="en-US" w:eastAsia="zh-CN"/>
        </w:rPr>
      </w:pPr>
    </w:p>
    <w:p w14:paraId="63539CF1">
      <w:pPr>
        <w:rPr>
          <w:rFonts w:hint="eastAsia" w:ascii="仿宋" w:hAnsi="仿宋" w:eastAsia="仿宋" w:cs="仿宋"/>
          <w:color w:val="auto"/>
          <w:sz w:val="28"/>
          <w:szCs w:val="28"/>
          <w:highlight w:val="none"/>
          <w:u w:val="none"/>
        </w:rPr>
      </w:pPr>
    </w:p>
    <w:sectPr>
      <w:pgSz w:w="11906" w:h="16838"/>
      <w:pgMar w:top="1440" w:right="1633" w:bottom="1440" w:left="1633"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altName w:val="黑体"/>
    <w:panose1 w:val="00000000000000000000"/>
    <w:charset w:val="86"/>
    <w:family w:val="swiss"/>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3F104">
    <w:pPr>
      <w:jc w:val="center"/>
      <w:rPr>
        <w:rFonts w:hint="eastAsia"/>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posOffset>2907030</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92E89E">
                          <w:pPr>
                            <w:pStyle w:val="19"/>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8.9pt;margin-top:0pt;height:144pt;width:144pt;mso-position-horizontal-relative:margin;mso-wrap-style:none;z-index:251664384;mso-width-relative:page;mso-height-relative:page;" filled="f" stroked="f" coordsize="21600,21600" o:gfxdata="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l2WhItQAAAAIAQAADwAAAAAAAAABACAAAAAiAAAAZHJzL2Rvd25y&#10;ZXYueG1sUEsBAhQAFAAAAAgAh07iQARvkKDJAQAAmQMAAA4AAAAAAAAAAQAgAAAAIwEAAGRycy9l&#10;Mm9Eb2MueG1sUEsFBgAAAAAGAAYAWQEAAF4FAAAAAA==&#10;">
              <v:fill on="f" focussize="0,0"/>
              <v:stroke on="f"/>
              <v:imagedata o:title=""/>
              <o:lock v:ext="edit" aspectratio="f"/>
              <v:textbox inset="0mm,0mm,0mm,0mm" style="mso-fit-shape-to-text:t;">
                <w:txbxContent>
                  <w:p w14:paraId="6992E89E">
                    <w:pPr>
                      <w:pStyle w:val="19"/>
                      <w:rPr>
                        <w:rFonts w:hint="eastAsia"/>
                      </w:rPr>
                    </w:pPr>
                  </w:p>
                </w:txbxContent>
              </v:textbox>
            </v:shape>
          </w:pict>
        </mc:Fallback>
      </mc:AlternateContent>
    </w:r>
  </w:p>
  <w:p w14:paraId="69F6C466">
    <w:pPr>
      <w:jc w:val="right"/>
      <w:rPr>
        <w:rFonts w:hint="eastAsia" w:ascii="仿宋_GB2312" w:eastAsia="仿宋_GB2312"/>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F6A08">
    <w:pPr>
      <w:spacing w:line="174" w:lineRule="auto"/>
      <w:ind w:left="490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2F6328">
                          <w:pPr>
                            <w:pStyle w:val="1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F2F632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D026D">
    <w:pPr>
      <w:pStyle w:val="19"/>
      <w:tabs>
        <w:tab w:val="center" w:pos="4535"/>
        <w:tab w:val="right" w:pos="8830"/>
      </w:tabs>
      <w:ind w:right="360"/>
      <w:rPr>
        <w:rFonts w:hint="eastAsia" w:ascii="仿宋_GB2312" w:hAnsi="仿宋_GB2312" w:eastAsia="仿宋_GB2312" w:cs="仿宋_GB231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2DC3F">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B2DC3F">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_GB2312" w:hAnsi="仿宋_GB2312" w:eastAsia="仿宋_GB2312" w:cs="仿宋_GB2312"/>
      </w:rPr>
      <w:tab/>
    </w:r>
    <w:r>
      <w:rPr>
        <w:rFonts w:hint="eastAsia" w:ascii="仿宋_GB2312" w:hAnsi="仿宋_GB2312" w:eastAsia="仿宋_GB2312" w:cs="仿宋_GB2312"/>
      </w:rPr>
      <w:tab/>
    </w:r>
  </w:p>
  <w:p w14:paraId="66372FAF">
    <w:pPr>
      <w:pStyle w:val="19"/>
      <w:tabs>
        <w:tab w:val="center" w:pos="4535"/>
        <w:tab w:val="right" w:pos="8830"/>
      </w:tabs>
      <w:ind w:right="360"/>
      <w:jc w:val="right"/>
      <w:rPr>
        <w:rFonts w:hint="eastAsia" w:eastAsia="仿宋_GB2312"/>
        <w:lang w:eastAsia="zh-CN"/>
      </w:rPr>
    </w:pPr>
    <w:r>
      <w:rPr>
        <w:rFonts w:hint="eastAsia" w:ascii="仿宋_GB2312" w:hAnsi="仿宋_GB2312" w:eastAsia="仿宋_GB2312" w:cs="仿宋_GB2312"/>
      </w:rPr>
      <w:tab/>
    </w:r>
    <w:r>
      <w:rPr>
        <w:rFonts w:hint="eastAsia" w:ascii="仿宋_GB2312" w:hAnsi="仿宋_GB2312" w:eastAsia="仿宋_GB2312" w:cs="仿宋_GB2312"/>
      </w:rPr>
      <w:tab/>
    </w:r>
    <w:r>
      <w:rPr>
        <w:rFonts w:ascii="仿宋_GB2312" w:hAnsi="仿宋_GB2312" w:eastAsia="仿宋_GB2312" w:cs="仿宋_GB2312"/>
      </w:rPr>
      <mc:AlternateContent>
        <mc:Choice Requires="wps">
          <w:drawing>
            <wp:anchor distT="0" distB="0" distL="114300" distR="114300" simplePos="0" relativeHeight="251660288" behindDoc="0" locked="0" layoutInCell="1" allowOverlap="1">
              <wp:simplePos x="0" y="0"/>
              <wp:positionH relativeFrom="margin">
                <wp:posOffset>2813050</wp:posOffset>
              </wp:positionH>
              <wp:positionV relativeFrom="paragraph">
                <wp:posOffset>-265430</wp:posOffset>
              </wp:positionV>
              <wp:extent cx="114935" cy="153035"/>
              <wp:effectExtent l="0" t="0" r="0" b="0"/>
              <wp:wrapNone/>
              <wp:docPr id="62" name="文本框 62"/>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ffectLst/>
                    </wps:spPr>
                    <wps:txbx>
                      <w:txbxContent>
                        <w:p w14:paraId="25F135FA"/>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1.5pt;margin-top:-20.9pt;height:12.05pt;width:9.05pt;mso-position-horizontal-relative:margin;mso-wrap-style:none;z-index:251660288;mso-width-relative:page;mso-height-relative:page;" filled="f" stroked="f" coordsize="21600,21600" o:gfxdata="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r0jQHXAAAACwEAAA8AAAAAAAAAAQAg&#10;AAAAIgAAAGRycy9kb3ducmV2LnhtbFBLAQIUABQAAAAIAIdO4kDPgnqqDwIAABIEAAAOAAAAAAAA&#10;AAEAIAAAACYBAABkcnMvZTJvRG9jLnhtbFBLBQYAAAAABgAGAFkBAACnBQAAAAA=&#10;">
              <v:fill on="f" focussize="0,0"/>
              <v:stroke on="f"/>
              <v:imagedata o:title=""/>
              <o:lock v:ext="edit" aspectratio="f"/>
              <v:textbox inset="0mm,0mm,0mm,0mm" style="mso-fit-shape-to-text:t;">
                <w:txbxContent>
                  <w:p w14:paraId="25F135FA"/>
                </w:txbxContent>
              </v:textbox>
            </v:shape>
          </w:pict>
        </mc:Fallback>
      </mc:AlternateContent>
    </w:r>
    <w:r>
      <w:rPr>
        <w:rFonts w:hint="eastAsia" w:ascii="仿宋_GB2312" w:hAnsi="仿宋_GB2312" w:eastAsia="仿宋_GB2312" w:cs="仿宋_GB2312"/>
      </w:rPr>
      <w:t xml:space="preserve">      </w:t>
    </w:r>
    <w:r>
      <w:rPr>
        <w:rFonts w:hint="eastAsia" w:ascii="仿宋_GB2312" w:hAnsi="仿宋_GB2312" w:eastAsia="仿宋_GB2312" w:cs="仿宋_GB2312"/>
        <w:lang w:val="en-US" w:eastAsia="zh-CN"/>
      </w:rPr>
      <w:t>云南锦寅工程咨询有限公司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0A1C4">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1908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031908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926A0">
    <w:pPr>
      <w:pStyle w:val="20"/>
      <w:rPr>
        <w:rFonts w:hint="eastAsia" w:ascii="仿宋" w:hAnsi="仿宋" w:eastAsia="仿宋" w:cs="仿宋"/>
        <w:sz w:val="20"/>
        <w:szCs w:val="20"/>
      </w:rPr>
    </w:pPr>
    <w:r>
      <w:rPr>
        <w:rFonts w:hint="eastAsia" w:ascii="仿宋" w:hAnsi="仿宋" w:eastAsia="仿宋" w:cs="仿宋"/>
        <w:sz w:val="18"/>
        <w:szCs w:val="18"/>
        <w:lang w:eastAsia="zh-CN"/>
      </w:rPr>
      <w:t>纳竜坝村小组茶产业及人居环境综合整治提升项目</w:t>
    </w:r>
    <w:r>
      <w:rPr>
        <w:rFonts w:hint="eastAsia" w:ascii="仿宋" w:hAnsi="仿宋" w:eastAsia="仿宋" w:cs="仿宋"/>
        <w:sz w:val="18"/>
        <w:szCs w:val="18"/>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FEFD3"/>
    <w:multiLevelType w:val="singleLevel"/>
    <w:tmpl w:val="868FEFD3"/>
    <w:lvl w:ilvl="0" w:tentative="0">
      <w:start w:val="22"/>
      <w:numFmt w:val="decimal"/>
      <w:suff w:val="nothing"/>
      <w:lvlText w:val="%1、"/>
      <w:lvlJc w:val="left"/>
    </w:lvl>
  </w:abstractNum>
  <w:abstractNum w:abstractNumId="1">
    <w:nsid w:val="9E4B1310"/>
    <w:multiLevelType w:val="singleLevel"/>
    <w:tmpl w:val="9E4B1310"/>
    <w:lvl w:ilvl="0" w:tentative="0">
      <w:start w:val="1"/>
      <w:numFmt w:val="decimal"/>
      <w:suff w:val="nothing"/>
      <w:lvlText w:val="%1）"/>
      <w:lvlJc w:val="left"/>
    </w:lvl>
  </w:abstractNum>
  <w:abstractNum w:abstractNumId="2">
    <w:nsid w:val="A5BD4F58"/>
    <w:multiLevelType w:val="singleLevel"/>
    <w:tmpl w:val="A5BD4F58"/>
    <w:lvl w:ilvl="0" w:tentative="0">
      <w:start w:val="1"/>
      <w:numFmt w:val="decimal"/>
      <w:suff w:val="space"/>
      <w:lvlText w:val="（%1）"/>
      <w:lvlJc w:val="left"/>
    </w:lvl>
  </w:abstractNum>
  <w:abstractNum w:abstractNumId="3">
    <w:nsid w:val="D46A7F3E"/>
    <w:multiLevelType w:val="singleLevel"/>
    <w:tmpl w:val="D46A7F3E"/>
    <w:lvl w:ilvl="0" w:tentative="0">
      <w:start w:val="2"/>
      <w:numFmt w:val="decimal"/>
      <w:suff w:val="space"/>
      <w:lvlText w:val="%1."/>
      <w:lvlJc w:val="left"/>
    </w:lvl>
  </w:abstractNum>
  <w:abstractNum w:abstractNumId="4">
    <w:nsid w:val="F4F36D53"/>
    <w:multiLevelType w:val="singleLevel"/>
    <w:tmpl w:val="F4F36D53"/>
    <w:lvl w:ilvl="0" w:tentative="0">
      <w:start w:val="11"/>
      <w:numFmt w:val="decimal"/>
      <w:suff w:val="space"/>
      <w:lvlText w:val="%1."/>
      <w:lvlJc w:val="left"/>
    </w:lvl>
  </w:abstractNum>
  <w:abstractNum w:abstractNumId="5">
    <w:nsid w:val="F7AFB34C"/>
    <w:multiLevelType w:val="singleLevel"/>
    <w:tmpl w:val="F7AFB34C"/>
    <w:lvl w:ilvl="0" w:tentative="0">
      <w:start w:val="4"/>
      <w:numFmt w:val="chineseCounting"/>
      <w:suff w:val="space"/>
      <w:lvlText w:val="第%1章"/>
      <w:lvlJc w:val="left"/>
      <w:rPr>
        <w:rFonts w:hint="eastAsia"/>
      </w:rPr>
    </w:lvl>
  </w:abstractNum>
  <w:abstractNum w:abstractNumId="6">
    <w:nsid w:val="FB41D94F"/>
    <w:multiLevelType w:val="singleLevel"/>
    <w:tmpl w:val="FB41D94F"/>
    <w:lvl w:ilvl="0" w:tentative="0">
      <w:start w:val="6"/>
      <w:numFmt w:val="decimal"/>
      <w:lvlText w:val="%1."/>
      <w:lvlJc w:val="left"/>
      <w:pPr>
        <w:tabs>
          <w:tab w:val="left" w:pos="312"/>
        </w:tabs>
      </w:pPr>
    </w:lvl>
  </w:abstractNum>
  <w:abstractNum w:abstractNumId="7">
    <w:nsid w:val="00000002"/>
    <w:multiLevelType w:val="multilevel"/>
    <w:tmpl w:val="00000002"/>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00000006"/>
    <w:multiLevelType w:val="singleLevel"/>
    <w:tmpl w:val="00000006"/>
    <w:lvl w:ilvl="0" w:tentative="0">
      <w:start w:val="1"/>
      <w:numFmt w:val="decimal"/>
      <w:suff w:val="nothing"/>
      <w:lvlText w:val="（%1）"/>
      <w:lvlJc w:val="left"/>
      <w:pPr>
        <w:ind w:left="0" w:firstLine="0"/>
      </w:pPr>
      <w:rPr>
        <w:rFonts w:cs="Times New Roman"/>
      </w:rPr>
    </w:lvl>
  </w:abstractNum>
  <w:abstractNum w:abstractNumId="9">
    <w:nsid w:val="00EDE79C"/>
    <w:multiLevelType w:val="singleLevel"/>
    <w:tmpl w:val="00EDE79C"/>
    <w:lvl w:ilvl="0" w:tentative="0">
      <w:start w:val="8"/>
      <w:numFmt w:val="decimal"/>
      <w:lvlText w:val="%1."/>
      <w:lvlJc w:val="left"/>
      <w:pPr>
        <w:tabs>
          <w:tab w:val="left" w:pos="312"/>
        </w:tabs>
      </w:pPr>
    </w:lvl>
  </w:abstractNum>
  <w:abstractNum w:abstractNumId="10">
    <w:nsid w:val="4305B193"/>
    <w:multiLevelType w:val="singleLevel"/>
    <w:tmpl w:val="4305B193"/>
    <w:lvl w:ilvl="0" w:tentative="0">
      <w:start w:val="2"/>
      <w:numFmt w:val="chineseCounting"/>
      <w:suff w:val="nothing"/>
      <w:lvlText w:val="%1、"/>
      <w:lvlJc w:val="left"/>
      <w:rPr>
        <w:rFonts w:hint="eastAsia"/>
      </w:rPr>
    </w:lvl>
  </w:abstractNum>
  <w:abstractNum w:abstractNumId="11">
    <w:nsid w:val="51C8C7FB"/>
    <w:multiLevelType w:val="singleLevel"/>
    <w:tmpl w:val="51C8C7FB"/>
    <w:lvl w:ilvl="0" w:tentative="0">
      <w:start w:val="5"/>
      <w:numFmt w:val="chineseCounting"/>
      <w:suff w:val="nothing"/>
      <w:lvlText w:val="%1、"/>
      <w:lvlJc w:val="left"/>
      <w:rPr>
        <w:rFonts w:hint="eastAsia"/>
      </w:rPr>
    </w:lvl>
  </w:abstractNum>
  <w:abstractNum w:abstractNumId="12">
    <w:nsid w:val="7287D744"/>
    <w:multiLevelType w:val="singleLevel"/>
    <w:tmpl w:val="7287D744"/>
    <w:lvl w:ilvl="0" w:tentative="0">
      <w:start w:val="7"/>
      <w:numFmt w:val="chineseCounting"/>
      <w:suff w:val="nothing"/>
      <w:lvlText w:val="%1、"/>
      <w:lvlJc w:val="left"/>
      <w:rPr>
        <w:rFonts w:hint="eastAsia"/>
      </w:rPr>
    </w:lvl>
  </w:abstractNum>
  <w:num w:numId="1">
    <w:abstractNumId w:val="7"/>
  </w:num>
  <w:num w:numId="2">
    <w:abstractNumId w:val="10"/>
  </w:num>
  <w:num w:numId="3">
    <w:abstractNumId w:val="11"/>
  </w:num>
  <w:num w:numId="4">
    <w:abstractNumId w:val="12"/>
  </w:num>
  <w:num w:numId="5">
    <w:abstractNumId w:val="0"/>
  </w:num>
  <w:num w:numId="6">
    <w:abstractNumId w:val="1"/>
  </w:num>
  <w:num w:numId="7">
    <w:abstractNumId w:val="5"/>
  </w:num>
  <w:num w:numId="8">
    <w:abstractNumId w:val="6"/>
  </w:num>
  <w:num w:numId="9">
    <w:abstractNumId w:val="8"/>
    <w:lvlOverride w:ilvl="0">
      <w:startOverride w:val="1"/>
    </w:lvlOverride>
  </w:num>
  <w:num w:numId="10">
    <w:abstractNumId w:val="3"/>
  </w:num>
  <w:num w:numId="11">
    <w:abstractNumId w:val="2"/>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FiYjYxMDUzYWFhYzJlZDQwOWQwNjk1ZjAwMjMzM2YifQ=="/>
  </w:docVars>
  <w:rsids>
    <w:rsidRoot w:val="00000000"/>
    <w:rsid w:val="0018099E"/>
    <w:rsid w:val="00237A6E"/>
    <w:rsid w:val="002D731C"/>
    <w:rsid w:val="002E6413"/>
    <w:rsid w:val="00467FC4"/>
    <w:rsid w:val="00704336"/>
    <w:rsid w:val="0087167F"/>
    <w:rsid w:val="008878D1"/>
    <w:rsid w:val="00997D30"/>
    <w:rsid w:val="00A566D5"/>
    <w:rsid w:val="00AD7338"/>
    <w:rsid w:val="00BF706B"/>
    <w:rsid w:val="00C85F20"/>
    <w:rsid w:val="00D42B17"/>
    <w:rsid w:val="00E75EDD"/>
    <w:rsid w:val="00EC4E74"/>
    <w:rsid w:val="00F05477"/>
    <w:rsid w:val="01086092"/>
    <w:rsid w:val="010F6341"/>
    <w:rsid w:val="01192C1F"/>
    <w:rsid w:val="015515CD"/>
    <w:rsid w:val="015567C9"/>
    <w:rsid w:val="019076EC"/>
    <w:rsid w:val="01B9697D"/>
    <w:rsid w:val="01E7687A"/>
    <w:rsid w:val="01F3521E"/>
    <w:rsid w:val="02317AF5"/>
    <w:rsid w:val="02D0730E"/>
    <w:rsid w:val="02D74B40"/>
    <w:rsid w:val="02EA07FA"/>
    <w:rsid w:val="02FB0001"/>
    <w:rsid w:val="035166A0"/>
    <w:rsid w:val="03704D33"/>
    <w:rsid w:val="037B32F3"/>
    <w:rsid w:val="038C592B"/>
    <w:rsid w:val="039B3DC0"/>
    <w:rsid w:val="03B409DD"/>
    <w:rsid w:val="03C54999"/>
    <w:rsid w:val="03F637F9"/>
    <w:rsid w:val="03FC60BD"/>
    <w:rsid w:val="041C0250"/>
    <w:rsid w:val="041D47D5"/>
    <w:rsid w:val="041D6583"/>
    <w:rsid w:val="044036B7"/>
    <w:rsid w:val="044C6E68"/>
    <w:rsid w:val="0458340E"/>
    <w:rsid w:val="04592460"/>
    <w:rsid w:val="04605ACD"/>
    <w:rsid w:val="04632F84"/>
    <w:rsid w:val="04741719"/>
    <w:rsid w:val="04934A97"/>
    <w:rsid w:val="04F632B0"/>
    <w:rsid w:val="04FC2C52"/>
    <w:rsid w:val="04FD1793"/>
    <w:rsid w:val="05597A8E"/>
    <w:rsid w:val="05F31C91"/>
    <w:rsid w:val="061D286A"/>
    <w:rsid w:val="062736E9"/>
    <w:rsid w:val="063876A4"/>
    <w:rsid w:val="064047AA"/>
    <w:rsid w:val="065D35AE"/>
    <w:rsid w:val="06640499"/>
    <w:rsid w:val="06672F36"/>
    <w:rsid w:val="06830C1D"/>
    <w:rsid w:val="06837909"/>
    <w:rsid w:val="06913258"/>
    <w:rsid w:val="06AB5089"/>
    <w:rsid w:val="06F061D0"/>
    <w:rsid w:val="06F9133C"/>
    <w:rsid w:val="071A7EB3"/>
    <w:rsid w:val="071C0D73"/>
    <w:rsid w:val="07C5765D"/>
    <w:rsid w:val="07CB4548"/>
    <w:rsid w:val="07E1615E"/>
    <w:rsid w:val="083D3697"/>
    <w:rsid w:val="083F47B7"/>
    <w:rsid w:val="08516C1F"/>
    <w:rsid w:val="085B1D6F"/>
    <w:rsid w:val="08D538D0"/>
    <w:rsid w:val="08E25FED"/>
    <w:rsid w:val="08F66DC1"/>
    <w:rsid w:val="09027392"/>
    <w:rsid w:val="09151F1E"/>
    <w:rsid w:val="092B34F0"/>
    <w:rsid w:val="092C1C6F"/>
    <w:rsid w:val="093D3223"/>
    <w:rsid w:val="09565443"/>
    <w:rsid w:val="0986211E"/>
    <w:rsid w:val="09B90A37"/>
    <w:rsid w:val="09B96D4E"/>
    <w:rsid w:val="09C15C02"/>
    <w:rsid w:val="09C94AB7"/>
    <w:rsid w:val="09E11357"/>
    <w:rsid w:val="0A432CD8"/>
    <w:rsid w:val="0A747118"/>
    <w:rsid w:val="0AA41C8D"/>
    <w:rsid w:val="0AA455D0"/>
    <w:rsid w:val="0AAE43D8"/>
    <w:rsid w:val="0AB17D93"/>
    <w:rsid w:val="0AC57974"/>
    <w:rsid w:val="0ACB31DC"/>
    <w:rsid w:val="0ADE4F8F"/>
    <w:rsid w:val="0AF50259"/>
    <w:rsid w:val="0B4B540D"/>
    <w:rsid w:val="0B555FDC"/>
    <w:rsid w:val="0BB91287"/>
    <w:rsid w:val="0BDF4559"/>
    <w:rsid w:val="0BEB340A"/>
    <w:rsid w:val="0C1E05DC"/>
    <w:rsid w:val="0C395F24"/>
    <w:rsid w:val="0C5E33C3"/>
    <w:rsid w:val="0C61113C"/>
    <w:rsid w:val="0C62191E"/>
    <w:rsid w:val="0C6C454B"/>
    <w:rsid w:val="0C762CD4"/>
    <w:rsid w:val="0C766856"/>
    <w:rsid w:val="0C9B6BDE"/>
    <w:rsid w:val="0CA57A5D"/>
    <w:rsid w:val="0D1349C7"/>
    <w:rsid w:val="0D1A433B"/>
    <w:rsid w:val="0D411534"/>
    <w:rsid w:val="0D682F64"/>
    <w:rsid w:val="0D701E19"/>
    <w:rsid w:val="0D7F02AE"/>
    <w:rsid w:val="0DA85625"/>
    <w:rsid w:val="0DB02D16"/>
    <w:rsid w:val="0DD00B0A"/>
    <w:rsid w:val="0DD74424"/>
    <w:rsid w:val="0DDE11F1"/>
    <w:rsid w:val="0E576B35"/>
    <w:rsid w:val="0E744BE2"/>
    <w:rsid w:val="0E953B5C"/>
    <w:rsid w:val="0ECF491D"/>
    <w:rsid w:val="0ED604C7"/>
    <w:rsid w:val="0F085620"/>
    <w:rsid w:val="0F2B71D1"/>
    <w:rsid w:val="0F470958"/>
    <w:rsid w:val="0F9B0CA3"/>
    <w:rsid w:val="0F9D4A1B"/>
    <w:rsid w:val="0FA4224E"/>
    <w:rsid w:val="0FA91612"/>
    <w:rsid w:val="0FAB7138"/>
    <w:rsid w:val="0FB73D2F"/>
    <w:rsid w:val="0FBF2BE4"/>
    <w:rsid w:val="0FCD6CED"/>
    <w:rsid w:val="0FE443F8"/>
    <w:rsid w:val="1001516D"/>
    <w:rsid w:val="100B7BD7"/>
    <w:rsid w:val="10676AB0"/>
    <w:rsid w:val="10721D9D"/>
    <w:rsid w:val="107B1063"/>
    <w:rsid w:val="107F4121"/>
    <w:rsid w:val="10802373"/>
    <w:rsid w:val="10AC13BA"/>
    <w:rsid w:val="10B4700B"/>
    <w:rsid w:val="10BC7123"/>
    <w:rsid w:val="10C50464"/>
    <w:rsid w:val="113D2006"/>
    <w:rsid w:val="114C6156"/>
    <w:rsid w:val="117A4013"/>
    <w:rsid w:val="11B00A36"/>
    <w:rsid w:val="11B71340"/>
    <w:rsid w:val="11C444E1"/>
    <w:rsid w:val="11DA5AB3"/>
    <w:rsid w:val="12383E59"/>
    <w:rsid w:val="12394ECF"/>
    <w:rsid w:val="12BF2224"/>
    <w:rsid w:val="12E117A0"/>
    <w:rsid w:val="12F37271"/>
    <w:rsid w:val="12FC6325"/>
    <w:rsid w:val="12FF077C"/>
    <w:rsid w:val="130C44A2"/>
    <w:rsid w:val="133631BD"/>
    <w:rsid w:val="135063C2"/>
    <w:rsid w:val="137D2B9A"/>
    <w:rsid w:val="13884177"/>
    <w:rsid w:val="139B74C4"/>
    <w:rsid w:val="13B567D8"/>
    <w:rsid w:val="13BB75C8"/>
    <w:rsid w:val="144813FA"/>
    <w:rsid w:val="144E5BFE"/>
    <w:rsid w:val="14535FF1"/>
    <w:rsid w:val="147815B3"/>
    <w:rsid w:val="150C0679"/>
    <w:rsid w:val="15204125"/>
    <w:rsid w:val="154B4243"/>
    <w:rsid w:val="156E6D1E"/>
    <w:rsid w:val="1593441B"/>
    <w:rsid w:val="15DE38CA"/>
    <w:rsid w:val="1606331B"/>
    <w:rsid w:val="16105F47"/>
    <w:rsid w:val="16356E77"/>
    <w:rsid w:val="1684113D"/>
    <w:rsid w:val="16875D8C"/>
    <w:rsid w:val="168F0BC5"/>
    <w:rsid w:val="168F60C7"/>
    <w:rsid w:val="16984A82"/>
    <w:rsid w:val="16B25027"/>
    <w:rsid w:val="16B75608"/>
    <w:rsid w:val="16B965DF"/>
    <w:rsid w:val="16CB46CB"/>
    <w:rsid w:val="16DE4297"/>
    <w:rsid w:val="16EB42BE"/>
    <w:rsid w:val="1726179A"/>
    <w:rsid w:val="172A03D5"/>
    <w:rsid w:val="177C4D52"/>
    <w:rsid w:val="177C760C"/>
    <w:rsid w:val="179E0921"/>
    <w:rsid w:val="17D3547E"/>
    <w:rsid w:val="184B6575"/>
    <w:rsid w:val="18770500"/>
    <w:rsid w:val="18866995"/>
    <w:rsid w:val="18B00E51"/>
    <w:rsid w:val="193F4764"/>
    <w:rsid w:val="19490085"/>
    <w:rsid w:val="195426A3"/>
    <w:rsid w:val="19862DC3"/>
    <w:rsid w:val="19A76BC3"/>
    <w:rsid w:val="19C239FC"/>
    <w:rsid w:val="19EA4D01"/>
    <w:rsid w:val="19EC05AD"/>
    <w:rsid w:val="19EE6E88"/>
    <w:rsid w:val="1A3C6188"/>
    <w:rsid w:val="1A473F02"/>
    <w:rsid w:val="1A7075C9"/>
    <w:rsid w:val="1A977882"/>
    <w:rsid w:val="1AD51DB2"/>
    <w:rsid w:val="1AD73E19"/>
    <w:rsid w:val="1B171B26"/>
    <w:rsid w:val="1B2304CB"/>
    <w:rsid w:val="1B6F1962"/>
    <w:rsid w:val="1B952918"/>
    <w:rsid w:val="1BA40AC3"/>
    <w:rsid w:val="1BA710FC"/>
    <w:rsid w:val="1BCA6B98"/>
    <w:rsid w:val="1BDF22AB"/>
    <w:rsid w:val="1BF03AA0"/>
    <w:rsid w:val="1C73497C"/>
    <w:rsid w:val="1C7B7E93"/>
    <w:rsid w:val="1CD13F56"/>
    <w:rsid w:val="1CF0262F"/>
    <w:rsid w:val="1D102CD1"/>
    <w:rsid w:val="1D3C56DF"/>
    <w:rsid w:val="1D7C7F7B"/>
    <w:rsid w:val="1D9456B0"/>
    <w:rsid w:val="1DB53AC9"/>
    <w:rsid w:val="1DD23E7F"/>
    <w:rsid w:val="1DEC54EC"/>
    <w:rsid w:val="1E652BA8"/>
    <w:rsid w:val="1E6A2835"/>
    <w:rsid w:val="1ECA6EAF"/>
    <w:rsid w:val="1F120FE3"/>
    <w:rsid w:val="1F15637C"/>
    <w:rsid w:val="1F2B62B9"/>
    <w:rsid w:val="1F5A18A7"/>
    <w:rsid w:val="1F672DAF"/>
    <w:rsid w:val="1F9951FF"/>
    <w:rsid w:val="1FA266F7"/>
    <w:rsid w:val="1FC35DD8"/>
    <w:rsid w:val="1FD314C8"/>
    <w:rsid w:val="20062169"/>
    <w:rsid w:val="202D3B9A"/>
    <w:rsid w:val="207D1DBC"/>
    <w:rsid w:val="20913F51"/>
    <w:rsid w:val="209A4CC7"/>
    <w:rsid w:val="20B3409F"/>
    <w:rsid w:val="21004E0A"/>
    <w:rsid w:val="21156B08"/>
    <w:rsid w:val="215B039B"/>
    <w:rsid w:val="215F4227"/>
    <w:rsid w:val="217F6677"/>
    <w:rsid w:val="21D20555"/>
    <w:rsid w:val="21FE6338"/>
    <w:rsid w:val="22070EEB"/>
    <w:rsid w:val="221040FE"/>
    <w:rsid w:val="22400B80"/>
    <w:rsid w:val="22761828"/>
    <w:rsid w:val="22975397"/>
    <w:rsid w:val="22A05E8B"/>
    <w:rsid w:val="22AC688B"/>
    <w:rsid w:val="22EE7610"/>
    <w:rsid w:val="23122C2F"/>
    <w:rsid w:val="23261D03"/>
    <w:rsid w:val="233A0AA7"/>
    <w:rsid w:val="23580F2E"/>
    <w:rsid w:val="235D4796"/>
    <w:rsid w:val="23767606"/>
    <w:rsid w:val="23C2284B"/>
    <w:rsid w:val="23F642D5"/>
    <w:rsid w:val="241F37F9"/>
    <w:rsid w:val="244E3ABD"/>
    <w:rsid w:val="246F1C69"/>
    <w:rsid w:val="247B4ED4"/>
    <w:rsid w:val="24837041"/>
    <w:rsid w:val="248875F1"/>
    <w:rsid w:val="24F54377"/>
    <w:rsid w:val="250478E7"/>
    <w:rsid w:val="25145328"/>
    <w:rsid w:val="252A68FA"/>
    <w:rsid w:val="254A2AF8"/>
    <w:rsid w:val="254D590B"/>
    <w:rsid w:val="25617395"/>
    <w:rsid w:val="257D566B"/>
    <w:rsid w:val="25A16BBC"/>
    <w:rsid w:val="25B368EF"/>
    <w:rsid w:val="25D22A0C"/>
    <w:rsid w:val="25D86356"/>
    <w:rsid w:val="25ED0053"/>
    <w:rsid w:val="260809E9"/>
    <w:rsid w:val="2677792E"/>
    <w:rsid w:val="267E6EFD"/>
    <w:rsid w:val="269E30FB"/>
    <w:rsid w:val="26A821CC"/>
    <w:rsid w:val="26C62652"/>
    <w:rsid w:val="26CD1C32"/>
    <w:rsid w:val="26DA3F62"/>
    <w:rsid w:val="27223D2C"/>
    <w:rsid w:val="277D587A"/>
    <w:rsid w:val="27983FEE"/>
    <w:rsid w:val="27DA4607"/>
    <w:rsid w:val="28072C0F"/>
    <w:rsid w:val="280B2A12"/>
    <w:rsid w:val="280F6293"/>
    <w:rsid w:val="28355CE1"/>
    <w:rsid w:val="28697739"/>
    <w:rsid w:val="28810F26"/>
    <w:rsid w:val="28844573"/>
    <w:rsid w:val="28C22931"/>
    <w:rsid w:val="28CF1C92"/>
    <w:rsid w:val="28FF1216"/>
    <w:rsid w:val="299A59FA"/>
    <w:rsid w:val="29B30D80"/>
    <w:rsid w:val="29BB5D72"/>
    <w:rsid w:val="29BD1AEA"/>
    <w:rsid w:val="29C27D42"/>
    <w:rsid w:val="29D82DC8"/>
    <w:rsid w:val="29EE439A"/>
    <w:rsid w:val="29FB0865"/>
    <w:rsid w:val="2A0903C4"/>
    <w:rsid w:val="2A110088"/>
    <w:rsid w:val="2A225DF1"/>
    <w:rsid w:val="2A4D5475"/>
    <w:rsid w:val="2A5355ED"/>
    <w:rsid w:val="2A594469"/>
    <w:rsid w:val="2A5C2E02"/>
    <w:rsid w:val="2A647DD0"/>
    <w:rsid w:val="2B17347C"/>
    <w:rsid w:val="2B1D67DB"/>
    <w:rsid w:val="2B470615"/>
    <w:rsid w:val="2B504A19"/>
    <w:rsid w:val="2B632B65"/>
    <w:rsid w:val="2B996587"/>
    <w:rsid w:val="2BD870AF"/>
    <w:rsid w:val="2BDD5185"/>
    <w:rsid w:val="2BDD6474"/>
    <w:rsid w:val="2BE2478B"/>
    <w:rsid w:val="2BE27F2E"/>
    <w:rsid w:val="2BF37734"/>
    <w:rsid w:val="2C1B15B6"/>
    <w:rsid w:val="2C3C763E"/>
    <w:rsid w:val="2C3F712F"/>
    <w:rsid w:val="2C603D4C"/>
    <w:rsid w:val="2CAB47C4"/>
    <w:rsid w:val="2CB57DAE"/>
    <w:rsid w:val="2CEA36C8"/>
    <w:rsid w:val="2CFC46B2"/>
    <w:rsid w:val="2D0424B0"/>
    <w:rsid w:val="2D1839CC"/>
    <w:rsid w:val="2D3C71CA"/>
    <w:rsid w:val="2D7B5F44"/>
    <w:rsid w:val="2D8C63A3"/>
    <w:rsid w:val="2D9B2143"/>
    <w:rsid w:val="2E1F2D74"/>
    <w:rsid w:val="2E4B4201"/>
    <w:rsid w:val="2E67296D"/>
    <w:rsid w:val="2E7D5CEC"/>
    <w:rsid w:val="2EE52969"/>
    <w:rsid w:val="2EF7784D"/>
    <w:rsid w:val="2EFE6E2D"/>
    <w:rsid w:val="2F140E80"/>
    <w:rsid w:val="2F266384"/>
    <w:rsid w:val="2F451290"/>
    <w:rsid w:val="2F8D0320"/>
    <w:rsid w:val="2FCF2577"/>
    <w:rsid w:val="2FD63906"/>
    <w:rsid w:val="2FD858D0"/>
    <w:rsid w:val="2FFB7875"/>
    <w:rsid w:val="300207F4"/>
    <w:rsid w:val="300D4B43"/>
    <w:rsid w:val="30273D1D"/>
    <w:rsid w:val="3078676B"/>
    <w:rsid w:val="308570DA"/>
    <w:rsid w:val="30C916BD"/>
    <w:rsid w:val="311D7312"/>
    <w:rsid w:val="317F3B29"/>
    <w:rsid w:val="318A0E4C"/>
    <w:rsid w:val="31AF2660"/>
    <w:rsid w:val="31C06260"/>
    <w:rsid w:val="31D200FD"/>
    <w:rsid w:val="3200779C"/>
    <w:rsid w:val="32110C25"/>
    <w:rsid w:val="328C79AC"/>
    <w:rsid w:val="331139DA"/>
    <w:rsid w:val="33255A87"/>
    <w:rsid w:val="335020B2"/>
    <w:rsid w:val="33527747"/>
    <w:rsid w:val="335E3658"/>
    <w:rsid w:val="33664FA1"/>
    <w:rsid w:val="337E053C"/>
    <w:rsid w:val="338027AA"/>
    <w:rsid w:val="33AA5451"/>
    <w:rsid w:val="33B026C0"/>
    <w:rsid w:val="33D04DE6"/>
    <w:rsid w:val="34030A42"/>
    <w:rsid w:val="343167C3"/>
    <w:rsid w:val="3443345D"/>
    <w:rsid w:val="346E1088"/>
    <w:rsid w:val="349124F1"/>
    <w:rsid w:val="34B70CDB"/>
    <w:rsid w:val="34DF325D"/>
    <w:rsid w:val="353F3CFB"/>
    <w:rsid w:val="35505F08"/>
    <w:rsid w:val="3559193C"/>
    <w:rsid w:val="359009FB"/>
    <w:rsid w:val="35A76066"/>
    <w:rsid w:val="35CC4B0B"/>
    <w:rsid w:val="35DE52C2"/>
    <w:rsid w:val="360E0429"/>
    <w:rsid w:val="361437D8"/>
    <w:rsid w:val="361C2997"/>
    <w:rsid w:val="363A7AF5"/>
    <w:rsid w:val="36820344"/>
    <w:rsid w:val="368340BC"/>
    <w:rsid w:val="36913BD5"/>
    <w:rsid w:val="36A71B58"/>
    <w:rsid w:val="36A858D0"/>
    <w:rsid w:val="36C4095C"/>
    <w:rsid w:val="36DF6266"/>
    <w:rsid w:val="36F154C9"/>
    <w:rsid w:val="37040D59"/>
    <w:rsid w:val="3707642F"/>
    <w:rsid w:val="373F7FE3"/>
    <w:rsid w:val="37504F6F"/>
    <w:rsid w:val="37734130"/>
    <w:rsid w:val="37BF7D92"/>
    <w:rsid w:val="37C52BDE"/>
    <w:rsid w:val="37F05781"/>
    <w:rsid w:val="38193E0A"/>
    <w:rsid w:val="384B5C9F"/>
    <w:rsid w:val="384D672F"/>
    <w:rsid w:val="386D6DD1"/>
    <w:rsid w:val="387747E0"/>
    <w:rsid w:val="38A24CCD"/>
    <w:rsid w:val="38AE383A"/>
    <w:rsid w:val="38B02C69"/>
    <w:rsid w:val="38D1135E"/>
    <w:rsid w:val="39171EA3"/>
    <w:rsid w:val="391F7DC5"/>
    <w:rsid w:val="392C27E9"/>
    <w:rsid w:val="39561614"/>
    <w:rsid w:val="39671A73"/>
    <w:rsid w:val="39A3287D"/>
    <w:rsid w:val="39A607ED"/>
    <w:rsid w:val="39B527DE"/>
    <w:rsid w:val="39E15381"/>
    <w:rsid w:val="39F74BA5"/>
    <w:rsid w:val="3A1B0664"/>
    <w:rsid w:val="3A452A06"/>
    <w:rsid w:val="3A574488"/>
    <w:rsid w:val="3A830B2E"/>
    <w:rsid w:val="3A84224D"/>
    <w:rsid w:val="3AA8477D"/>
    <w:rsid w:val="3AC23405"/>
    <w:rsid w:val="3AC86541"/>
    <w:rsid w:val="3AE212EA"/>
    <w:rsid w:val="3B1A2953"/>
    <w:rsid w:val="3B4262AC"/>
    <w:rsid w:val="3B4E2754"/>
    <w:rsid w:val="3C015BEE"/>
    <w:rsid w:val="3C025AA6"/>
    <w:rsid w:val="3C067321"/>
    <w:rsid w:val="3C095346"/>
    <w:rsid w:val="3C3C0F95"/>
    <w:rsid w:val="3C5306A9"/>
    <w:rsid w:val="3C7A07FC"/>
    <w:rsid w:val="3C9F32D2"/>
    <w:rsid w:val="3CDA3B31"/>
    <w:rsid w:val="3D09356D"/>
    <w:rsid w:val="3D0A7413"/>
    <w:rsid w:val="3D70539A"/>
    <w:rsid w:val="3E1201FF"/>
    <w:rsid w:val="3E821E4D"/>
    <w:rsid w:val="3EA03A5D"/>
    <w:rsid w:val="3EC358D4"/>
    <w:rsid w:val="3F0C613D"/>
    <w:rsid w:val="3F4E2026"/>
    <w:rsid w:val="3F7A2500"/>
    <w:rsid w:val="3FE5211F"/>
    <w:rsid w:val="3FF102E8"/>
    <w:rsid w:val="40171D31"/>
    <w:rsid w:val="403E177F"/>
    <w:rsid w:val="404430E0"/>
    <w:rsid w:val="404A149D"/>
    <w:rsid w:val="404E74E8"/>
    <w:rsid w:val="40683F38"/>
    <w:rsid w:val="4083436C"/>
    <w:rsid w:val="4093314D"/>
    <w:rsid w:val="40966169"/>
    <w:rsid w:val="40C51A58"/>
    <w:rsid w:val="40C51E4A"/>
    <w:rsid w:val="40E67721"/>
    <w:rsid w:val="41014E46"/>
    <w:rsid w:val="41080FCA"/>
    <w:rsid w:val="413B181B"/>
    <w:rsid w:val="41571710"/>
    <w:rsid w:val="415914C1"/>
    <w:rsid w:val="41B377AD"/>
    <w:rsid w:val="42504587"/>
    <w:rsid w:val="425A6766"/>
    <w:rsid w:val="425F778B"/>
    <w:rsid w:val="42AB32E5"/>
    <w:rsid w:val="42C910A8"/>
    <w:rsid w:val="42E55FB8"/>
    <w:rsid w:val="42E93984"/>
    <w:rsid w:val="42FE51F6"/>
    <w:rsid w:val="434075BC"/>
    <w:rsid w:val="434E0265"/>
    <w:rsid w:val="436B215F"/>
    <w:rsid w:val="43A833B4"/>
    <w:rsid w:val="43D45C40"/>
    <w:rsid w:val="43EA6644"/>
    <w:rsid w:val="441928E2"/>
    <w:rsid w:val="4476700E"/>
    <w:rsid w:val="44B910BD"/>
    <w:rsid w:val="44D9634C"/>
    <w:rsid w:val="44EB79FC"/>
    <w:rsid w:val="450A60D4"/>
    <w:rsid w:val="453018B3"/>
    <w:rsid w:val="453666E6"/>
    <w:rsid w:val="45485A22"/>
    <w:rsid w:val="457660E8"/>
    <w:rsid w:val="457E1E6A"/>
    <w:rsid w:val="45AD6A5F"/>
    <w:rsid w:val="45AF4585"/>
    <w:rsid w:val="45F428E0"/>
    <w:rsid w:val="45F74C27"/>
    <w:rsid w:val="460A5C60"/>
    <w:rsid w:val="460F14C8"/>
    <w:rsid w:val="462F56C6"/>
    <w:rsid w:val="464F7B16"/>
    <w:rsid w:val="46C73B51"/>
    <w:rsid w:val="46E0378D"/>
    <w:rsid w:val="46FF2377"/>
    <w:rsid w:val="470479AD"/>
    <w:rsid w:val="47394A4E"/>
    <w:rsid w:val="474A3C21"/>
    <w:rsid w:val="475F3D89"/>
    <w:rsid w:val="47737835"/>
    <w:rsid w:val="478505D3"/>
    <w:rsid w:val="47A067DA"/>
    <w:rsid w:val="47B74269"/>
    <w:rsid w:val="47E0311C"/>
    <w:rsid w:val="484E277B"/>
    <w:rsid w:val="48517B76"/>
    <w:rsid w:val="48531B40"/>
    <w:rsid w:val="485F5EDD"/>
    <w:rsid w:val="48683B13"/>
    <w:rsid w:val="48936A75"/>
    <w:rsid w:val="48B60321"/>
    <w:rsid w:val="48BE1170"/>
    <w:rsid w:val="48CE566A"/>
    <w:rsid w:val="48D04F3E"/>
    <w:rsid w:val="490C7F41"/>
    <w:rsid w:val="491A265E"/>
    <w:rsid w:val="49352F56"/>
    <w:rsid w:val="49461447"/>
    <w:rsid w:val="494D2A33"/>
    <w:rsid w:val="4952265F"/>
    <w:rsid w:val="498A46C1"/>
    <w:rsid w:val="49C240EA"/>
    <w:rsid w:val="4A283385"/>
    <w:rsid w:val="4A3634C7"/>
    <w:rsid w:val="4A7E6E1B"/>
    <w:rsid w:val="4AA523FB"/>
    <w:rsid w:val="4AA93C99"/>
    <w:rsid w:val="4AC07A5F"/>
    <w:rsid w:val="4AD96772"/>
    <w:rsid w:val="4AFA3B96"/>
    <w:rsid w:val="4B344CC5"/>
    <w:rsid w:val="4B361F95"/>
    <w:rsid w:val="4B3C4CB1"/>
    <w:rsid w:val="4B402033"/>
    <w:rsid w:val="4B517E8D"/>
    <w:rsid w:val="4B6B71A0"/>
    <w:rsid w:val="4B937BFB"/>
    <w:rsid w:val="4BBC17AA"/>
    <w:rsid w:val="4BC15012"/>
    <w:rsid w:val="4BC2767F"/>
    <w:rsid w:val="4BC44B03"/>
    <w:rsid w:val="4BD034A7"/>
    <w:rsid w:val="4BD56D10"/>
    <w:rsid w:val="4BD755EE"/>
    <w:rsid w:val="4BF47196"/>
    <w:rsid w:val="4C6C20CA"/>
    <w:rsid w:val="4C6D2C0B"/>
    <w:rsid w:val="4C7E73A7"/>
    <w:rsid w:val="4C883D82"/>
    <w:rsid w:val="4C973718"/>
    <w:rsid w:val="4C9F6691"/>
    <w:rsid w:val="4CC50460"/>
    <w:rsid w:val="4CC50B32"/>
    <w:rsid w:val="4CE653F4"/>
    <w:rsid w:val="4D302450"/>
    <w:rsid w:val="4D333CEE"/>
    <w:rsid w:val="4D6E2F78"/>
    <w:rsid w:val="4D8E7176"/>
    <w:rsid w:val="4E113D41"/>
    <w:rsid w:val="4E467A51"/>
    <w:rsid w:val="4E612ADD"/>
    <w:rsid w:val="4EA56AF3"/>
    <w:rsid w:val="4ED65279"/>
    <w:rsid w:val="4F1249E1"/>
    <w:rsid w:val="4F155DA1"/>
    <w:rsid w:val="4F642884"/>
    <w:rsid w:val="4F7C71EA"/>
    <w:rsid w:val="4F8545A9"/>
    <w:rsid w:val="4FAE3B00"/>
    <w:rsid w:val="4FC81DBA"/>
    <w:rsid w:val="4FDA2B47"/>
    <w:rsid w:val="4FED0F14"/>
    <w:rsid w:val="507509AB"/>
    <w:rsid w:val="5099655E"/>
    <w:rsid w:val="50BB0E48"/>
    <w:rsid w:val="50C64E79"/>
    <w:rsid w:val="50D12370"/>
    <w:rsid w:val="50EC1DD2"/>
    <w:rsid w:val="511D2CEB"/>
    <w:rsid w:val="512435B7"/>
    <w:rsid w:val="51513594"/>
    <w:rsid w:val="515D4E8F"/>
    <w:rsid w:val="51905BB3"/>
    <w:rsid w:val="51C4760A"/>
    <w:rsid w:val="51DF4444"/>
    <w:rsid w:val="51FB0B52"/>
    <w:rsid w:val="520C2D5F"/>
    <w:rsid w:val="52157E66"/>
    <w:rsid w:val="522955D8"/>
    <w:rsid w:val="52623FB6"/>
    <w:rsid w:val="527E3C5D"/>
    <w:rsid w:val="52C06024"/>
    <w:rsid w:val="535449BE"/>
    <w:rsid w:val="536E5A80"/>
    <w:rsid w:val="537F7C8D"/>
    <w:rsid w:val="53A476F3"/>
    <w:rsid w:val="53B35B89"/>
    <w:rsid w:val="53CF3D75"/>
    <w:rsid w:val="53E8618D"/>
    <w:rsid w:val="541505F1"/>
    <w:rsid w:val="543142F0"/>
    <w:rsid w:val="54414F42"/>
    <w:rsid w:val="54436F0C"/>
    <w:rsid w:val="547B564D"/>
    <w:rsid w:val="548D0188"/>
    <w:rsid w:val="54992FD0"/>
    <w:rsid w:val="54DE5756"/>
    <w:rsid w:val="54E677EA"/>
    <w:rsid w:val="54E93F85"/>
    <w:rsid w:val="55127A3A"/>
    <w:rsid w:val="552A00CC"/>
    <w:rsid w:val="554247D0"/>
    <w:rsid w:val="555D5DAC"/>
    <w:rsid w:val="558961E0"/>
    <w:rsid w:val="55A7171D"/>
    <w:rsid w:val="55A97243"/>
    <w:rsid w:val="55AD6FE1"/>
    <w:rsid w:val="55C54681"/>
    <w:rsid w:val="55EE4C56"/>
    <w:rsid w:val="56004989"/>
    <w:rsid w:val="561548D9"/>
    <w:rsid w:val="562543F0"/>
    <w:rsid w:val="563D3E2F"/>
    <w:rsid w:val="566118CC"/>
    <w:rsid w:val="5697353F"/>
    <w:rsid w:val="56982B10"/>
    <w:rsid w:val="56D77DE0"/>
    <w:rsid w:val="56EF0E55"/>
    <w:rsid w:val="57160908"/>
    <w:rsid w:val="5743577F"/>
    <w:rsid w:val="5759482E"/>
    <w:rsid w:val="575957AB"/>
    <w:rsid w:val="576C6F44"/>
    <w:rsid w:val="57776ECD"/>
    <w:rsid w:val="57931B74"/>
    <w:rsid w:val="57B920C6"/>
    <w:rsid w:val="57C21BAA"/>
    <w:rsid w:val="57FF75EE"/>
    <w:rsid w:val="581B5AAA"/>
    <w:rsid w:val="584119B5"/>
    <w:rsid w:val="584E24F6"/>
    <w:rsid w:val="585D442D"/>
    <w:rsid w:val="58692CBA"/>
    <w:rsid w:val="58E35DAF"/>
    <w:rsid w:val="58FE1654"/>
    <w:rsid w:val="59400210"/>
    <w:rsid w:val="595D7611"/>
    <w:rsid w:val="599E2E37"/>
    <w:rsid w:val="59CA7788"/>
    <w:rsid w:val="59E42F07"/>
    <w:rsid w:val="5A074538"/>
    <w:rsid w:val="5A077854"/>
    <w:rsid w:val="5A3313C5"/>
    <w:rsid w:val="5A386DE8"/>
    <w:rsid w:val="5A3F0176"/>
    <w:rsid w:val="5A4E2167"/>
    <w:rsid w:val="5A690D4F"/>
    <w:rsid w:val="5A9D6C4B"/>
    <w:rsid w:val="5ABA36F7"/>
    <w:rsid w:val="5ABB7CF3"/>
    <w:rsid w:val="5AEE4B6B"/>
    <w:rsid w:val="5AFE1DDF"/>
    <w:rsid w:val="5B002643"/>
    <w:rsid w:val="5B685F5D"/>
    <w:rsid w:val="5B6B0AF7"/>
    <w:rsid w:val="5B791466"/>
    <w:rsid w:val="5B863B83"/>
    <w:rsid w:val="5BA65FD3"/>
    <w:rsid w:val="5BCD355F"/>
    <w:rsid w:val="5BCE02AA"/>
    <w:rsid w:val="5BFF4C88"/>
    <w:rsid w:val="5C003935"/>
    <w:rsid w:val="5C530E25"/>
    <w:rsid w:val="5C8956D8"/>
    <w:rsid w:val="5CC04E72"/>
    <w:rsid w:val="5CD95336"/>
    <w:rsid w:val="5CF048E1"/>
    <w:rsid w:val="5D18222C"/>
    <w:rsid w:val="5D2C7A26"/>
    <w:rsid w:val="5D3333A2"/>
    <w:rsid w:val="5D387C9D"/>
    <w:rsid w:val="5D5757D7"/>
    <w:rsid w:val="5D7A14C5"/>
    <w:rsid w:val="5D7E7207"/>
    <w:rsid w:val="5DBC7D30"/>
    <w:rsid w:val="5DD76917"/>
    <w:rsid w:val="5E4A70E9"/>
    <w:rsid w:val="5E623F1F"/>
    <w:rsid w:val="5E6E2E09"/>
    <w:rsid w:val="5E7D74BF"/>
    <w:rsid w:val="5E8E6FD6"/>
    <w:rsid w:val="5ED23154"/>
    <w:rsid w:val="5ED846F5"/>
    <w:rsid w:val="5F100333"/>
    <w:rsid w:val="5F1A4D0E"/>
    <w:rsid w:val="5F2036A6"/>
    <w:rsid w:val="5F265461"/>
    <w:rsid w:val="5F3C4C84"/>
    <w:rsid w:val="5F41229A"/>
    <w:rsid w:val="5F63313D"/>
    <w:rsid w:val="5F957D49"/>
    <w:rsid w:val="5FA8056B"/>
    <w:rsid w:val="5FCB7EEA"/>
    <w:rsid w:val="5FEA46E0"/>
    <w:rsid w:val="60477A6E"/>
    <w:rsid w:val="60522285"/>
    <w:rsid w:val="6059353D"/>
    <w:rsid w:val="60791F08"/>
    <w:rsid w:val="608C39E9"/>
    <w:rsid w:val="60966616"/>
    <w:rsid w:val="60A75CC5"/>
    <w:rsid w:val="612C0D28"/>
    <w:rsid w:val="612E269D"/>
    <w:rsid w:val="61335B01"/>
    <w:rsid w:val="614B646E"/>
    <w:rsid w:val="61540EBC"/>
    <w:rsid w:val="615D5386"/>
    <w:rsid w:val="615E7024"/>
    <w:rsid w:val="616315B0"/>
    <w:rsid w:val="616F6FF3"/>
    <w:rsid w:val="6175447D"/>
    <w:rsid w:val="61776447"/>
    <w:rsid w:val="618751B6"/>
    <w:rsid w:val="618B4D7F"/>
    <w:rsid w:val="61E0223F"/>
    <w:rsid w:val="61E03924"/>
    <w:rsid w:val="61F168F6"/>
    <w:rsid w:val="61F40382"/>
    <w:rsid w:val="624F32BA"/>
    <w:rsid w:val="628250A4"/>
    <w:rsid w:val="629A03A7"/>
    <w:rsid w:val="62A274F4"/>
    <w:rsid w:val="62B611F1"/>
    <w:rsid w:val="62CB4C50"/>
    <w:rsid w:val="62D17DD9"/>
    <w:rsid w:val="6318526B"/>
    <w:rsid w:val="632F4D43"/>
    <w:rsid w:val="637F7835"/>
    <w:rsid w:val="63822E81"/>
    <w:rsid w:val="639F0EBA"/>
    <w:rsid w:val="63A4729C"/>
    <w:rsid w:val="63B84AF5"/>
    <w:rsid w:val="63DD0B1A"/>
    <w:rsid w:val="641B3EDF"/>
    <w:rsid w:val="644F7208"/>
    <w:rsid w:val="646F1658"/>
    <w:rsid w:val="64B81251"/>
    <w:rsid w:val="65216AB6"/>
    <w:rsid w:val="65D06126"/>
    <w:rsid w:val="65D32FDF"/>
    <w:rsid w:val="65F938CF"/>
    <w:rsid w:val="66012843"/>
    <w:rsid w:val="66214BD4"/>
    <w:rsid w:val="663A5C95"/>
    <w:rsid w:val="665B1F4A"/>
    <w:rsid w:val="6660434D"/>
    <w:rsid w:val="6692787F"/>
    <w:rsid w:val="66E14363"/>
    <w:rsid w:val="66EF5667"/>
    <w:rsid w:val="670875B3"/>
    <w:rsid w:val="670A1B0C"/>
    <w:rsid w:val="670C0E60"/>
    <w:rsid w:val="672A3F5C"/>
    <w:rsid w:val="673D77EB"/>
    <w:rsid w:val="675039C2"/>
    <w:rsid w:val="675D1C3B"/>
    <w:rsid w:val="6771430A"/>
    <w:rsid w:val="679F4002"/>
    <w:rsid w:val="67D75304"/>
    <w:rsid w:val="67F246B3"/>
    <w:rsid w:val="681C108F"/>
    <w:rsid w:val="68773BBF"/>
    <w:rsid w:val="687A4A6F"/>
    <w:rsid w:val="687E4741"/>
    <w:rsid w:val="688D6550"/>
    <w:rsid w:val="68E84076"/>
    <w:rsid w:val="690437FF"/>
    <w:rsid w:val="690F3409"/>
    <w:rsid w:val="6914700F"/>
    <w:rsid w:val="692A3733"/>
    <w:rsid w:val="692F7A66"/>
    <w:rsid w:val="693B7D5A"/>
    <w:rsid w:val="69434E61"/>
    <w:rsid w:val="694E1DA3"/>
    <w:rsid w:val="69564B94"/>
    <w:rsid w:val="696941C0"/>
    <w:rsid w:val="69C42446"/>
    <w:rsid w:val="69D106BF"/>
    <w:rsid w:val="69FB7307"/>
    <w:rsid w:val="6A03645C"/>
    <w:rsid w:val="6A1D457D"/>
    <w:rsid w:val="6A217206"/>
    <w:rsid w:val="6A2829D5"/>
    <w:rsid w:val="6A467826"/>
    <w:rsid w:val="6A6652AB"/>
    <w:rsid w:val="6AA71BFF"/>
    <w:rsid w:val="6AEB57B0"/>
    <w:rsid w:val="6AF64881"/>
    <w:rsid w:val="6B0A20DA"/>
    <w:rsid w:val="6B1C56B0"/>
    <w:rsid w:val="6B570558"/>
    <w:rsid w:val="6B9145AA"/>
    <w:rsid w:val="6BAA7419"/>
    <w:rsid w:val="6BC6421E"/>
    <w:rsid w:val="6BCC3834"/>
    <w:rsid w:val="6BE32CC3"/>
    <w:rsid w:val="6C382559"/>
    <w:rsid w:val="6C3F4006"/>
    <w:rsid w:val="6CCD33BF"/>
    <w:rsid w:val="6CFA7F2C"/>
    <w:rsid w:val="6D107530"/>
    <w:rsid w:val="6D151083"/>
    <w:rsid w:val="6D76533F"/>
    <w:rsid w:val="6D7E08F2"/>
    <w:rsid w:val="6D931542"/>
    <w:rsid w:val="6DB24BA6"/>
    <w:rsid w:val="6DB31A08"/>
    <w:rsid w:val="6DC72505"/>
    <w:rsid w:val="6DD541F6"/>
    <w:rsid w:val="6DD644F6"/>
    <w:rsid w:val="6E1D3ED3"/>
    <w:rsid w:val="6E246160"/>
    <w:rsid w:val="6E4C0396"/>
    <w:rsid w:val="6E4E0530"/>
    <w:rsid w:val="6E536156"/>
    <w:rsid w:val="6E6C58B8"/>
    <w:rsid w:val="6E6E0BD2"/>
    <w:rsid w:val="6E8D72AA"/>
    <w:rsid w:val="6E8F7BAE"/>
    <w:rsid w:val="6E9C74ED"/>
    <w:rsid w:val="6EAD16FA"/>
    <w:rsid w:val="6ECA7E74"/>
    <w:rsid w:val="6F020155"/>
    <w:rsid w:val="6F415726"/>
    <w:rsid w:val="6F4A6F49"/>
    <w:rsid w:val="6F506C35"/>
    <w:rsid w:val="6F6A1399"/>
    <w:rsid w:val="6F83455B"/>
    <w:rsid w:val="6FAE0425"/>
    <w:rsid w:val="6FB97C2B"/>
    <w:rsid w:val="6FC0545D"/>
    <w:rsid w:val="6FC84312"/>
    <w:rsid w:val="70D66204"/>
    <w:rsid w:val="70EB4B39"/>
    <w:rsid w:val="70F32609"/>
    <w:rsid w:val="70F76C5D"/>
    <w:rsid w:val="71063344"/>
    <w:rsid w:val="711C2B67"/>
    <w:rsid w:val="711F4406"/>
    <w:rsid w:val="714D131B"/>
    <w:rsid w:val="714F742A"/>
    <w:rsid w:val="717B788E"/>
    <w:rsid w:val="718801FD"/>
    <w:rsid w:val="719B39DF"/>
    <w:rsid w:val="71BC0D5C"/>
    <w:rsid w:val="71E909FE"/>
    <w:rsid w:val="71FC6A43"/>
    <w:rsid w:val="71FE7005"/>
    <w:rsid w:val="723D5719"/>
    <w:rsid w:val="724539F8"/>
    <w:rsid w:val="72677D07"/>
    <w:rsid w:val="728E539F"/>
    <w:rsid w:val="73012015"/>
    <w:rsid w:val="730D292D"/>
    <w:rsid w:val="731705AD"/>
    <w:rsid w:val="736D008C"/>
    <w:rsid w:val="73893DB8"/>
    <w:rsid w:val="738B0102"/>
    <w:rsid w:val="73953947"/>
    <w:rsid w:val="73A73797"/>
    <w:rsid w:val="73AA1159"/>
    <w:rsid w:val="73B56BBB"/>
    <w:rsid w:val="73B928EF"/>
    <w:rsid w:val="73BC418E"/>
    <w:rsid w:val="73C66DBA"/>
    <w:rsid w:val="740B48E0"/>
    <w:rsid w:val="74253FC2"/>
    <w:rsid w:val="744908B9"/>
    <w:rsid w:val="748A4B39"/>
    <w:rsid w:val="749B54F5"/>
    <w:rsid w:val="749E5641"/>
    <w:rsid w:val="74B30D4B"/>
    <w:rsid w:val="74C468F3"/>
    <w:rsid w:val="74D84B2C"/>
    <w:rsid w:val="74DA2B1D"/>
    <w:rsid w:val="74ED6AEB"/>
    <w:rsid w:val="74FB0D94"/>
    <w:rsid w:val="751D6EAE"/>
    <w:rsid w:val="752A6815"/>
    <w:rsid w:val="75382476"/>
    <w:rsid w:val="75383CE8"/>
    <w:rsid w:val="753B0847"/>
    <w:rsid w:val="75547796"/>
    <w:rsid w:val="75AD4B48"/>
    <w:rsid w:val="7604332B"/>
    <w:rsid w:val="76165DD7"/>
    <w:rsid w:val="764861AD"/>
    <w:rsid w:val="765E777E"/>
    <w:rsid w:val="768C42EB"/>
    <w:rsid w:val="769907B6"/>
    <w:rsid w:val="769D73A6"/>
    <w:rsid w:val="76AC04E9"/>
    <w:rsid w:val="76B56870"/>
    <w:rsid w:val="76BB697E"/>
    <w:rsid w:val="76C24C69"/>
    <w:rsid w:val="76EC4D8A"/>
    <w:rsid w:val="76ED0DC3"/>
    <w:rsid w:val="776D02A4"/>
    <w:rsid w:val="77752FD1"/>
    <w:rsid w:val="77762EA0"/>
    <w:rsid w:val="779F004E"/>
    <w:rsid w:val="77AB254F"/>
    <w:rsid w:val="77BC475C"/>
    <w:rsid w:val="77C54B9D"/>
    <w:rsid w:val="78460886"/>
    <w:rsid w:val="7859644F"/>
    <w:rsid w:val="7861141E"/>
    <w:rsid w:val="793A6280"/>
    <w:rsid w:val="79464C25"/>
    <w:rsid w:val="7956473D"/>
    <w:rsid w:val="795A247F"/>
    <w:rsid w:val="798C594F"/>
    <w:rsid w:val="79AC2DBE"/>
    <w:rsid w:val="79B25E17"/>
    <w:rsid w:val="79DA35C0"/>
    <w:rsid w:val="79E27A58"/>
    <w:rsid w:val="79FA730B"/>
    <w:rsid w:val="7A123DC4"/>
    <w:rsid w:val="7A146AD1"/>
    <w:rsid w:val="7A202B71"/>
    <w:rsid w:val="7A49604F"/>
    <w:rsid w:val="7A4B1DC7"/>
    <w:rsid w:val="7A841DE4"/>
    <w:rsid w:val="7AB202A2"/>
    <w:rsid w:val="7ABC26DF"/>
    <w:rsid w:val="7AFB348B"/>
    <w:rsid w:val="7B1404B5"/>
    <w:rsid w:val="7B1E74DC"/>
    <w:rsid w:val="7B315D07"/>
    <w:rsid w:val="7B5D17C1"/>
    <w:rsid w:val="7B860365"/>
    <w:rsid w:val="7BAB0D70"/>
    <w:rsid w:val="7BE61DA8"/>
    <w:rsid w:val="7BFB1A9D"/>
    <w:rsid w:val="7C262D92"/>
    <w:rsid w:val="7C2D547C"/>
    <w:rsid w:val="7C3C56FF"/>
    <w:rsid w:val="7C52214F"/>
    <w:rsid w:val="7C966736"/>
    <w:rsid w:val="7CA51C63"/>
    <w:rsid w:val="7CB702E4"/>
    <w:rsid w:val="7CE61783"/>
    <w:rsid w:val="7CFE75C5"/>
    <w:rsid w:val="7D006E99"/>
    <w:rsid w:val="7D275F7B"/>
    <w:rsid w:val="7D593502"/>
    <w:rsid w:val="7D893333"/>
    <w:rsid w:val="7D8F021D"/>
    <w:rsid w:val="7DA71A0B"/>
    <w:rsid w:val="7DAC5F27"/>
    <w:rsid w:val="7DBD3900"/>
    <w:rsid w:val="7DBF6D54"/>
    <w:rsid w:val="7DD47198"/>
    <w:rsid w:val="7DFF35F5"/>
    <w:rsid w:val="7E2B6198"/>
    <w:rsid w:val="7ED95BF4"/>
    <w:rsid w:val="7EE2719E"/>
    <w:rsid w:val="7EE34CC4"/>
    <w:rsid w:val="7EF173E1"/>
    <w:rsid w:val="7F482D79"/>
    <w:rsid w:val="7F73429A"/>
    <w:rsid w:val="7F915FF5"/>
    <w:rsid w:val="7FAC3308"/>
    <w:rsid w:val="7FAF4BA7"/>
    <w:rsid w:val="7FD548A6"/>
    <w:rsid w:val="7FF87D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after="120" w:afterLines="0"/>
      <w:jc w:val="center"/>
      <w:outlineLvl w:val="0"/>
    </w:pPr>
    <w:rPr>
      <w:b/>
      <w:spacing w:val="20"/>
      <w:kern w:val="44"/>
      <w:sz w:val="32"/>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qFormat/>
    <w:uiPriority w:val="0"/>
    <w:pPr>
      <w:keepNext/>
      <w:outlineLvl w:val="2"/>
    </w:pPr>
    <w:rPr>
      <w:rFonts w:ascii="楷体_GB2312" w:hAnsi="宋体" w:eastAsia="楷体_GB2312"/>
      <w:b/>
      <w:bCs/>
      <w:sz w:val="32"/>
    </w:rPr>
  </w:style>
  <w:style w:type="paragraph" w:styleId="5">
    <w:name w:val="heading 4"/>
    <w:basedOn w:val="1"/>
    <w:next w:val="1"/>
    <w:qFormat/>
    <w:uiPriority w:val="0"/>
    <w:pPr>
      <w:keepNext/>
      <w:spacing w:line="460" w:lineRule="exact"/>
      <w:outlineLvl w:val="3"/>
    </w:pPr>
    <w:rPr>
      <w:rFonts w:ascii="宋体" w:hAnsi="宋体"/>
      <w:sz w:val="24"/>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8">
    <w:name w:val="Normal Indent"/>
    <w:basedOn w:val="1"/>
    <w:qFormat/>
    <w:uiPriority w:val="0"/>
    <w:pPr>
      <w:spacing w:line="300" w:lineRule="auto"/>
      <w:ind w:firstLine="420" w:firstLineChars="200"/>
    </w:pPr>
  </w:style>
  <w:style w:type="paragraph" w:styleId="9">
    <w:name w:val="Document Map"/>
    <w:basedOn w:val="1"/>
    <w:unhideWhenUsed/>
    <w:qFormat/>
    <w:uiPriority w:val="0"/>
    <w:pPr>
      <w:shd w:val="clear" w:color="auto" w:fill="000080"/>
    </w:pPr>
    <w:rPr>
      <w:kern w:val="0"/>
      <w:sz w:val="20"/>
    </w:rPr>
  </w:style>
  <w:style w:type="paragraph" w:styleId="10">
    <w:name w:val="toa heading"/>
    <w:basedOn w:val="1"/>
    <w:next w:val="1"/>
    <w:qFormat/>
    <w:uiPriority w:val="0"/>
    <w:pPr>
      <w:spacing w:before="120" w:beforeLines="0"/>
    </w:pPr>
    <w:rPr>
      <w:rFonts w:ascii="Arial" w:hAnsi="Arial" w:cs="Arial"/>
      <w:sz w:val="24"/>
      <w:szCs w:val="24"/>
    </w:rPr>
  </w:style>
  <w:style w:type="paragraph" w:styleId="11">
    <w:name w:val="annotation text"/>
    <w:basedOn w:val="1"/>
    <w:qFormat/>
    <w:uiPriority w:val="0"/>
    <w:pPr>
      <w:widowControl/>
      <w:jc w:val="left"/>
    </w:pPr>
    <w:rPr>
      <w:kern w:val="0"/>
      <w:szCs w:val="20"/>
    </w:rPr>
  </w:style>
  <w:style w:type="paragraph" w:styleId="12">
    <w:name w:val="Body Text"/>
    <w:basedOn w:val="1"/>
    <w:next w:val="1"/>
    <w:qFormat/>
    <w:uiPriority w:val="0"/>
    <w:pPr>
      <w:adjustRightInd w:val="0"/>
      <w:spacing w:line="440" w:lineRule="exact"/>
    </w:pPr>
    <w:rPr>
      <w:rFonts w:ascii="宋体" w:hAnsi="宋体"/>
      <w:bCs/>
      <w:color w:val="000000"/>
      <w:sz w:val="24"/>
    </w:rPr>
  </w:style>
  <w:style w:type="paragraph" w:styleId="13">
    <w:name w:val="Body Text Indent"/>
    <w:basedOn w:val="1"/>
    <w:next w:val="14"/>
    <w:qFormat/>
    <w:uiPriority w:val="0"/>
    <w:pPr>
      <w:spacing w:line="460" w:lineRule="exact"/>
      <w:ind w:firstLine="510"/>
    </w:pPr>
  </w:style>
  <w:style w:type="paragraph" w:styleId="14">
    <w:name w:val="Body Text First Indent 2"/>
    <w:basedOn w:val="13"/>
    <w:next w:val="15"/>
    <w:qFormat/>
    <w:uiPriority w:val="0"/>
    <w:pPr>
      <w:ind w:firstLine="420" w:firstLineChars="200"/>
    </w:pPr>
  </w:style>
  <w:style w:type="paragraph" w:styleId="15">
    <w:name w:val="Body Text First Indent"/>
    <w:basedOn w:val="12"/>
    <w:next w:val="1"/>
    <w:qFormat/>
    <w:uiPriority w:val="99"/>
    <w:pPr>
      <w:widowControl w:val="0"/>
      <w:autoSpaceDE w:val="0"/>
      <w:autoSpaceDN w:val="0"/>
      <w:adjustRightInd w:val="0"/>
      <w:spacing w:after="120"/>
      <w:ind w:firstLine="420"/>
      <w:jc w:val="both"/>
    </w:pPr>
    <w:rPr>
      <w:rFonts w:ascii="宋体" w:hAnsi="Times New Roman" w:eastAsia="仿宋_GB2312" w:cs="Times New Roman"/>
      <w:b/>
      <w:sz w:val="21"/>
      <w:lang w:val="en-US" w:eastAsia="zh-CN" w:bidi="ar-SA"/>
    </w:rPr>
  </w:style>
  <w:style w:type="paragraph" w:styleId="16">
    <w:name w:val="Plain Text"/>
    <w:basedOn w:val="1"/>
    <w:next w:val="1"/>
    <w:qFormat/>
    <w:uiPriority w:val="0"/>
    <w:pPr>
      <w:spacing w:line="360" w:lineRule="auto"/>
      <w:ind w:firstLine="510"/>
    </w:pPr>
    <w:rPr>
      <w:rFonts w:ascii="宋体" w:hAnsi="Courier New"/>
      <w:sz w:val="24"/>
      <w:szCs w:val="20"/>
    </w:rPr>
  </w:style>
  <w:style w:type="paragraph" w:styleId="17">
    <w:name w:val="Date"/>
    <w:basedOn w:val="1"/>
    <w:next w:val="1"/>
    <w:qFormat/>
    <w:uiPriority w:val="0"/>
    <w:pPr>
      <w:ind w:left="100" w:leftChars="2500"/>
    </w:pPr>
    <w:rPr>
      <w:rFonts w:ascii="宋体" w:hAnsi="宋体"/>
      <w:b/>
      <w:bCs/>
      <w:sz w:val="36"/>
    </w:r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bottom w:val="single" w:color="auto" w:sz="6" w:space="1"/>
      </w:pBdr>
      <w:tabs>
        <w:tab w:val="center" w:pos="4153"/>
        <w:tab w:val="right" w:pos="8306"/>
      </w:tabs>
      <w:snapToGrid w:val="0"/>
      <w:jc w:val="center"/>
    </w:pPr>
    <w:rPr>
      <w:kern w:val="2"/>
      <w:sz w:val="18"/>
    </w:rPr>
  </w:style>
  <w:style w:type="paragraph" w:styleId="21">
    <w:name w:val="toc 1"/>
    <w:basedOn w:val="1"/>
    <w:next w:val="1"/>
    <w:qFormat/>
    <w:uiPriority w:val="0"/>
  </w:style>
  <w:style w:type="paragraph" w:styleId="22">
    <w:name w:val="toc 2"/>
    <w:basedOn w:val="1"/>
    <w:next w:val="1"/>
    <w:qFormat/>
    <w:uiPriority w:val="0"/>
    <w:pPr>
      <w:ind w:left="210"/>
      <w:jc w:val="left"/>
    </w:pPr>
    <w:rPr>
      <w:smallCaps/>
      <w:sz w:val="20"/>
    </w:rPr>
  </w:style>
  <w:style w:type="paragraph" w:styleId="23">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paragraph" w:customStyle="1" w:styleId="28">
    <w:name w:val="BodyText1I2"/>
    <w:basedOn w:val="29"/>
    <w:qFormat/>
    <w:uiPriority w:val="0"/>
    <w:pPr>
      <w:ind w:firstLine="420" w:firstLineChars="200"/>
    </w:pPr>
  </w:style>
  <w:style w:type="paragraph" w:customStyle="1" w:styleId="29">
    <w:name w:val="BodyTextIndent"/>
    <w:basedOn w:val="1"/>
    <w:qFormat/>
    <w:uiPriority w:val="0"/>
    <w:pPr>
      <w:spacing w:after="120"/>
      <w:ind w:left="420" w:leftChars="200"/>
      <w:textAlignment w:val="baseline"/>
    </w:pPr>
  </w:style>
  <w:style w:type="paragraph" w:customStyle="1" w:styleId="30">
    <w:name w:val="样式 样式 左侧:  2 字符 + 左侧:  0.85 厘米 首行缩进:  2 字符1"/>
    <w:basedOn w:val="1"/>
    <w:qFormat/>
    <w:uiPriority w:val="0"/>
    <w:pPr>
      <w:ind w:left="482" w:firstLine="200" w:firstLineChars="200"/>
    </w:pPr>
    <w:rPr>
      <w:rFonts w:cs="宋体"/>
      <w:szCs w:val="20"/>
    </w:rPr>
  </w:style>
  <w:style w:type="paragraph" w:customStyle="1" w:styleId="31">
    <w:name w:val="正文文本首行缩进 21"/>
    <w:basedOn w:val="32"/>
    <w:qFormat/>
    <w:uiPriority w:val="0"/>
    <w:pPr>
      <w:spacing w:after="120"/>
      <w:ind w:firstLine="420"/>
    </w:pPr>
  </w:style>
  <w:style w:type="paragraph" w:customStyle="1" w:styleId="32">
    <w:name w:val="Body Text Indent1"/>
    <w:basedOn w:val="1"/>
    <w:next w:val="31"/>
    <w:qFormat/>
    <w:uiPriority w:val="0"/>
    <w:pPr>
      <w:ind w:firstLine="200" w:firstLineChars="200"/>
      <w:jc w:val="left"/>
    </w:pPr>
    <w:rPr>
      <w:rFonts w:ascii="仿宋_GB2312" w:eastAsia="仿宋_GB2312"/>
      <w:sz w:val="28"/>
    </w:rPr>
  </w:style>
  <w:style w:type="paragraph" w:customStyle="1" w:styleId="33">
    <w:name w:val="一级条标题"/>
    <w:basedOn w:val="34"/>
    <w:next w:val="35"/>
    <w:qFormat/>
    <w:uiPriority w:val="0"/>
    <w:pPr>
      <w:tabs>
        <w:tab w:val="left" w:pos="360"/>
        <w:tab w:val="left" w:pos="1035"/>
        <w:tab w:val="left" w:pos="1137"/>
        <w:tab w:val="left" w:pos="2577"/>
      </w:tabs>
      <w:spacing w:beforeLines="0" w:afterLines="0"/>
      <w:ind w:left="1035" w:hanging="570"/>
      <w:outlineLvl w:val="2"/>
    </w:pPr>
  </w:style>
  <w:style w:type="paragraph" w:customStyle="1" w:styleId="34">
    <w:name w:val="章标题"/>
    <w:next w:val="1"/>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35">
    <w:name w:val="段"/>
    <w:next w:val="1"/>
    <w:qFormat/>
    <w:uiPriority w:val="0"/>
    <w:pPr>
      <w:autoSpaceDE w:val="0"/>
      <w:autoSpaceDN w:val="0"/>
      <w:spacing w:after="200" w:line="276" w:lineRule="auto"/>
      <w:ind w:firstLine="200" w:firstLineChars="200"/>
      <w:jc w:val="both"/>
    </w:pPr>
    <w:rPr>
      <w:rFonts w:ascii="宋体" w:hAnsi="Calibri" w:eastAsia="宋体" w:cs="Times New Roman"/>
      <w:sz w:val="21"/>
      <w:lang w:val="en-US" w:eastAsia="zh-CN" w:bidi="ar-SA"/>
    </w:rPr>
  </w:style>
  <w:style w:type="paragraph" w:customStyle="1" w:styleId="36">
    <w:name w:val="NormalIndent"/>
    <w:basedOn w:val="1"/>
    <w:qFormat/>
    <w:uiPriority w:val="0"/>
    <w:pPr>
      <w:spacing w:line="240" w:lineRule="auto"/>
      <w:ind w:firstLine="420"/>
      <w:jc w:val="both"/>
    </w:p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样式 标题 2 + 仿宋_GB2312 黑色"/>
    <w:basedOn w:val="3"/>
    <w:qFormat/>
    <w:uiPriority w:val="0"/>
    <w:pPr>
      <w:jc w:val="center"/>
    </w:pPr>
    <w:rPr>
      <w:rFonts w:ascii="仿宋_GB2312" w:hAnsi="仿宋_GB2312" w:eastAsia="仿宋_GB2312"/>
      <w:color w:val="000000"/>
    </w:rPr>
  </w:style>
  <w:style w:type="paragraph" w:customStyle="1" w:styleId="39">
    <w:name w:val="Default"/>
    <w:next w:val="1"/>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customStyle="1" w:styleId="40">
    <w:name w:val="List Paragraph"/>
    <w:basedOn w:val="1"/>
    <w:qFormat/>
    <w:uiPriority w:val="0"/>
    <w:pPr>
      <w:ind w:firstLine="420" w:firstLineChars="200"/>
    </w:pPr>
    <w:rPr>
      <w:rFonts w:ascii="Calibri" w:hAnsi="Calibri" w:eastAsia="宋体" w:cs="Times New Roman"/>
      <w:szCs w:val="22"/>
    </w:rPr>
  </w:style>
  <w:style w:type="paragraph" w:customStyle="1" w:styleId="4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2">
    <w:name w:val="无间隔1"/>
    <w:next w:val="1"/>
    <w:qFormat/>
    <w:uiPriority w:val="0"/>
    <w:rPr>
      <w:rFonts w:ascii="Calibri" w:hAnsi="Calibri" w:eastAsia="等线" w:cs="Times New Roman"/>
      <w:kern w:val="2"/>
      <w:sz w:val="22"/>
      <w:szCs w:val="22"/>
      <w:lang w:val="en-US" w:eastAsia="zh-CN" w:bidi="ar-SA"/>
    </w:rPr>
  </w:style>
  <w:style w:type="paragraph" w:customStyle="1" w:styleId="43">
    <w:name w:val="Blockquote"/>
    <w:basedOn w:val="1"/>
    <w:qFormat/>
    <w:uiPriority w:val="0"/>
    <w:pPr>
      <w:autoSpaceDE w:val="0"/>
      <w:autoSpaceDN w:val="0"/>
      <w:adjustRightInd w:val="0"/>
      <w:spacing w:before="100" w:after="100"/>
      <w:ind w:left="360" w:right="360"/>
      <w:jc w:val="left"/>
    </w:pPr>
    <w:rPr>
      <w:kern w:val="0"/>
      <w:sz w:val="24"/>
      <w:szCs w:val="20"/>
    </w:rPr>
  </w:style>
  <w:style w:type="character" w:customStyle="1" w:styleId="44">
    <w:name w:val="font11"/>
    <w:basedOn w:val="26"/>
    <w:qFormat/>
    <w:uiPriority w:val="0"/>
    <w:rPr>
      <w:rFonts w:ascii="宋体" w:hAnsi="宋体" w:eastAsia="宋体" w:cs="宋体"/>
      <w:color w:val="000000"/>
      <w:sz w:val="24"/>
      <w:szCs w:val="24"/>
      <w:u w:val="none"/>
    </w:rPr>
  </w:style>
  <w:style w:type="paragraph" w:customStyle="1" w:styleId="45">
    <w:name w:val="Table Paragraph"/>
    <w:basedOn w:val="1"/>
    <w:qFormat/>
    <w:uiPriority w:val="1"/>
  </w:style>
  <w:style w:type="table" w:customStyle="1" w:styleId="46">
    <w:name w:val="Table Normal"/>
    <w:semiHidden/>
    <w:unhideWhenUsed/>
    <w:qFormat/>
    <w:uiPriority w:val="2"/>
    <w:tblPr>
      <w:tblCellMar>
        <w:top w:w="0" w:type="dxa"/>
        <w:left w:w="0" w:type="dxa"/>
        <w:bottom w:w="0" w:type="dxa"/>
        <w:right w:w="0" w:type="dxa"/>
      </w:tblCellMar>
    </w:tblPr>
  </w:style>
  <w:style w:type="paragraph" w:customStyle="1" w:styleId="47">
    <w:name w:val="正文2"/>
    <w:basedOn w:val="1"/>
    <w:qFormat/>
    <w:uiPriority w:val="0"/>
    <w:pPr>
      <w:autoSpaceDE/>
      <w:autoSpaceDN/>
      <w:adjustRightInd w:val="0"/>
      <w:spacing w:before="156" w:line="360" w:lineRule="auto"/>
      <w:ind w:firstLine="510" w:firstLineChars="200"/>
      <w:jc w:val="both"/>
    </w:pPr>
    <w:rPr>
      <w:rFonts w:asciiTheme="minorHAnsi" w:hAnsiTheme="minorHAnsi" w:cstheme="minorBidi"/>
      <w:kern w:val="2"/>
      <w:sz w:val="24"/>
      <w:lang w:eastAsia="zh-CN"/>
    </w:rPr>
  </w:style>
  <w:style w:type="paragraph" w:customStyle="1" w:styleId="48">
    <w:name w:val="Table Text"/>
    <w:basedOn w:val="1"/>
    <w:semiHidden/>
    <w:qFormat/>
    <w:uiPriority w:val="0"/>
    <w:rPr>
      <w:rFonts w:ascii="Arial" w:hAnsi="Arial" w:eastAsia="Arial" w:cs="Arial"/>
      <w:sz w:val="21"/>
      <w:szCs w:val="21"/>
      <w:lang w:val="en-US" w:eastAsia="en-US" w:bidi="ar-SA"/>
    </w:rPr>
  </w:style>
  <w:style w:type="paragraph" w:customStyle="1" w:styleId="49">
    <w:name w:val="列出段落1"/>
    <w:basedOn w:val="1"/>
    <w:qFormat/>
    <w:uiPriority w:val="99"/>
    <w:pPr>
      <w:ind w:firstLine="420" w:firstLineChars="200"/>
    </w:pPr>
  </w:style>
  <w:style w:type="character" w:customStyle="1" w:styleId="50">
    <w:name w:val="underlinespan"/>
    <w:basedOn w:val="26"/>
    <w:qFormat/>
    <w:uiPriority w:val="0"/>
  </w:style>
  <w:style w:type="paragraph" w:customStyle="1" w:styleId="51">
    <w:name w:val="（标题二）"/>
    <w:basedOn w:val="3"/>
    <w:next w:val="1"/>
    <w:qFormat/>
    <w:uiPriority w:val="0"/>
    <w:pPr>
      <w:tabs>
        <w:tab w:val="left" w:pos="1680"/>
      </w:tabs>
      <w:spacing w:before="260" w:beforeLines="0" w:after="260" w:afterLines="0" w:line="413" w:lineRule="auto"/>
      <w:ind w:left="1680" w:hanging="420"/>
      <w:jc w:val="both"/>
    </w:pPr>
    <w:rPr>
      <w:rFonts w:eastAsia="黑体"/>
      <w:kern w:val="2"/>
      <w:sz w:val="36"/>
      <w:szCs w:val="32"/>
    </w:rPr>
  </w:style>
  <w:style w:type="paragraph" w:customStyle="1" w:styleId="52">
    <w:name w:val="标题 5（有编号）（绿盟科技）"/>
    <w:basedOn w:val="1"/>
    <w:next w:val="53"/>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53">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54">
    <w:name w:val="样式1"/>
    <w:basedOn w:val="1"/>
    <w:qFormat/>
    <w:uiPriority w:val="0"/>
    <w:pPr>
      <w:widowControl/>
      <w:ind w:firstLine="400" w:firstLineChars="400"/>
      <w:jc w:val="left"/>
    </w:pPr>
    <w:rPr>
      <w:rFonts w:ascii="宋体" w:hAnsi="宋体" w:eastAsia="仿宋_GB2312" w:cs="宋体"/>
      <w:kern w:val="0"/>
      <w:sz w:val="32"/>
    </w:rPr>
  </w:style>
  <w:style w:type="paragraph" w:customStyle="1" w:styleId="55">
    <w:name w:val="4正文"/>
    <w:basedOn w:val="1"/>
    <w:next w:val="1"/>
    <w:qFormat/>
    <w:uiPriority w:val="0"/>
    <w:pPr>
      <w:ind w:firstLine="880"/>
    </w:p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9.jpeg"/><Relationship Id="rId21" Type="http://schemas.openxmlformats.org/officeDocument/2006/relationships/image" Target="media/image8.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4.bin"/><Relationship Id="rId17" Type="http://schemas.openxmlformats.org/officeDocument/2006/relationships/image" Target="media/image6.wmf"/><Relationship Id="rId16" Type="http://schemas.openxmlformats.org/officeDocument/2006/relationships/oleObject" Target="embeddings/oleObject3.bin"/><Relationship Id="rId15" Type="http://schemas.openxmlformats.org/officeDocument/2006/relationships/image" Target="media/image5.wmf"/><Relationship Id="rId14" Type="http://schemas.openxmlformats.org/officeDocument/2006/relationships/oleObject" Target="embeddings/oleObject2.bin"/><Relationship Id="rId13" Type="http://schemas.openxmlformats.org/officeDocument/2006/relationships/image" Target="media/image4.wmf"/><Relationship Id="rId12" Type="http://schemas.openxmlformats.org/officeDocument/2006/relationships/oleObject" Target="embeddings/oleObject1.bin"/><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199</Pages>
  <Words>4291</Words>
  <Characters>4930</Characters>
  <Lines>0</Lines>
  <Paragraphs>0</Paragraphs>
  <TotalTime>22</TotalTime>
  <ScaleCrop>false</ScaleCrop>
  <LinksUpToDate>false</LinksUpToDate>
  <CharactersWithSpaces>5086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2021-11-29T10:52:00Z</dcterms:created>
  <dc:creator>幸运</dc:creator>
  <cp:lastModifiedBy>花开的声音</cp:lastModifiedBy>
  <cp:lastPrinted>2024-07-11T02:26:00Z</cp:lastPrinted>
  <dcterms:modified xsi:type="dcterms:W3CDTF">2026-09-18T03:54:51Z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3B7F10800BD04FB0B47B090DC7481399_13</vt:lpwstr>
  </property>
  <property fmtid="{D5CDD505-2E9C-101B-9397-08002B2CF9AE}" pid="4" name="KSOTemplateDocerSaveRecord">
    <vt:lpwstr>eyJoZGlkIjoiMzEwNTM5NzYwMDRjMzkwZTVkZjY2ODkwMGIxNGU0OTUiLCJ1c2VySWQiOiIzMTEyODc3MzYifQ==</vt:lpwstr>
  </property>
</Properties>
</file>