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版本号：N510322202500011920251114001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执法执勤车辆采购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N5103222025000119</w:t>
      </w:r>
    </w:p>
    <w:p>
      <w:pPr>
        <w:pStyle w:val="null3"/>
        <w:jc w:val="left"/>
        <w:outlineLvl w:val="2"/>
      </w:pPr>
      <w:r>
        <w:rPr>
          <w:rFonts w:ascii="仿宋_GB2312" w:hAnsi="仿宋_GB2312" w:cs="仿宋_GB2312" w:eastAsia="仿宋_GB2312"/>
          <w:sz w:val="28"/>
          <w:b/>
        </w:rPr>
        <w:t>富顺县公安局</w:t>
      </w:r>
    </w:p>
    <w:p>
      <w:pPr>
        <w:pStyle w:val="null3"/>
        <w:jc w:val="center"/>
        <w:outlineLvl w:val="2"/>
      </w:pPr>
      <w:r>
        <w:rPr>
          <w:rFonts w:ascii="仿宋_GB2312" w:hAnsi="仿宋_GB2312" w:cs="仿宋_GB2312" w:eastAsia="仿宋_GB2312"/>
          <w:sz w:val="28"/>
          <w:b/>
        </w:rPr>
        <w:t>富顺县政府采购中心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富顺县政府采购中心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富顺县公安局</w:t>
      </w:r>
      <w:r>
        <w:rPr>
          <w:rFonts w:ascii="仿宋_GB2312" w:hAnsi="仿宋_GB2312" w:cs="仿宋_GB2312" w:eastAsia="仿宋_GB2312"/>
        </w:rPr>
        <w:t xml:space="preserve"> 委托，拟对 </w:t>
      </w:r>
      <w:r>
        <w:rPr>
          <w:rFonts w:ascii="仿宋_GB2312" w:hAnsi="仿宋_GB2312" w:cs="仿宋_GB2312" w:eastAsia="仿宋_GB2312"/>
        </w:rPr>
        <w:t>执法执勤车辆采购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自贡市富顺县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N5103222025000119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执法执勤车辆采购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富顺县公安局执法执勤用车采购项目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富顺县公安局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四川省自贡市富顺县东湖街道南环路493号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张斯然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4703719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富顺县政府采购中心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四川省自贡市富顺县富世街道釜江大道309号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0813-7218811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采购包1：449,000.00元</w:t>
            </w:r>
          </w:p>
          <w:p>
            <w:pPr>
              <w:pStyle w:val="null3"/>
              <w:jc w:val="left"/>
            </w:pPr>
            <w:r>
              <w:rPr>
                <w:rFonts w:ascii="仿宋_GB2312" w:hAnsi="仿宋_GB2312" w:cs="仿宋_GB2312" w:eastAsia="仿宋_GB2312"/>
              </w:rPr>
              <w:t>采购包2：651,200.00元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富顺县公安局</w:t>
      </w:r>
      <w:r>
        <w:rPr>
          <w:rFonts w:ascii="仿宋_GB2312" w:hAnsi="仿宋_GB2312" w:cs="仿宋_GB2312" w:eastAsia="仿宋_GB2312"/>
        </w:rPr>
        <w:t xml:space="preserve"> 和 </w:t>
      </w:r>
      <w:r>
        <w:rPr>
          <w:rFonts w:ascii="仿宋_GB2312" w:hAnsi="仿宋_GB2312" w:cs="仿宋_GB2312" w:eastAsia="仿宋_GB2312"/>
        </w:rPr>
        <w:t>富顺县政府采购中心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富顺县公安局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富顺县政府采购中心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（1）审核技术内容是否与响应文件内容一致。 （2）审核项目中货物是否达到规定要求。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（1）审核技术内容是否与响应文件内容一致。 （2）审核项目中货物是否达到规定要求。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（1）审核提供验收的各类资料的正确性、完整性。（2）审核提供验收的各类资料是否齐全、合理。（3）审核实施进度情况是否符合询价文件要求。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（1）审核提供验收的各类资料的正确性、完整性。（2）审核提供验收的各类资料是否齐全、合理。（3）审核实施进度情况是否符合询价文件要求。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严格按照国家有关规定、采购文件的要求、供应商的响应文件及承诺、合同约定标准、《政府采购需求管理办法》（财库〔2021〕22号）文件、《自贡市政府采购履约验收管理办法》以及《财政部关于进一步加强政府采购需求和履约验收管理的指导意见》(财库〔2016〕205号)文件规定进行验收。验收结果合格的，成交供应商凭验收报告办理相关手续；验收结果不合格的，要求立即整改，直至满足采购方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供应商与采购人严格按照国家有关规定、采购文件的要求、供应商的响应文件及承诺、合同约定标准、《政府采购需求管理办法》（财库〔2021〕22号）文件、《自贡市政府采购履约验收管理办法》以及《财政部关于进一步加强政府采购需求和履约验收管理的指导意见》(财库〔2016〕205号)文件规定进行验收。验收结果合格的，成交供应商凭验收报告办理相关手续；验收结果不合格的，要求立即整改，直至满足采购方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富顺县公安局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富顺县政府采购中心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富顺县政府采购中心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联系人：张琳琳</w:t>
      </w:r>
    </w:p>
    <w:p>
      <w:pPr>
        <w:pStyle w:val="null3"/>
        <w:jc w:val="left"/>
      </w:pPr>
      <w:r>
        <w:rPr>
          <w:rFonts w:ascii="仿宋_GB2312" w:hAnsi="仿宋_GB2312" w:cs="仿宋_GB2312" w:eastAsia="仿宋_GB2312"/>
        </w:rPr>
        <w:t>联系电话： 0813-4703717</w:t>
      </w:r>
    </w:p>
    <w:p>
      <w:pPr>
        <w:pStyle w:val="null3"/>
        <w:jc w:val="left"/>
      </w:pPr>
      <w:r>
        <w:rPr>
          <w:rFonts w:ascii="仿宋_GB2312" w:hAnsi="仿宋_GB2312" w:cs="仿宋_GB2312" w:eastAsia="仿宋_GB2312"/>
        </w:rPr>
        <w:t>地址： 四川省自贡市富顺县东湖街道南环路493号</w:t>
      </w:r>
    </w:p>
    <w:p>
      <w:pPr>
        <w:pStyle w:val="null3"/>
        <w:jc w:val="left"/>
      </w:pPr>
      <w:r>
        <w:rPr>
          <w:rFonts w:ascii="仿宋_GB2312" w:hAnsi="仿宋_GB2312" w:cs="仿宋_GB2312" w:eastAsia="仿宋_GB2312"/>
        </w:rPr>
        <w:t>邮编：643200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联系电话：0813-7218811</w:t>
      </w:r>
    </w:p>
    <w:p>
      <w:pPr>
        <w:pStyle w:val="null3"/>
        <w:jc w:val="left"/>
      </w:pPr>
      <w:r>
        <w:rPr>
          <w:rFonts w:ascii="仿宋_GB2312" w:hAnsi="仿宋_GB2312" w:cs="仿宋_GB2312" w:eastAsia="仿宋_GB2312"/>
        </w:rPr>
        <w:t>地址：四川省自贡市富顺县富世街道釜江大道309号</w:t>
      </w:r>
    </w:p>
    <w:p>
      <w:pPr>
        <w:pStyle w:val="null3"/>
        <w:jc w:val="left"/>
      </w:pPr>
      <w:r>
        <w:rPr>
          <w:rFonts w:ascii="仿宋_GB2312" w:hAnsi="仿宋_GB2312" w:cs="仿宋_GB2312" w:eastAsia="仿宋_GB2312"/>
        </w:rPr>
        <w:t>邮编：643200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449,000.00</w:t>
      </w:r>
    </w:p>
    <w:p>
      <w:pPr>
        <w:pStyle w:val="null3"/>
        <w:jc w:val="left"/>
      </w:pPr>
      <w:r>
        <w:rPr>
          <w:rFonts w:ascii="仿宋_GB2312" w:hAnsi="仿宋_GB2312" w:cs="仿宋_GB2312" w:eastAsia="仿宋_GB2312"/>
        </w:rPr>
        <w:t>采购包最高限价（元）: 449,000.00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A02030699 其他专用车辆</w:t>
            </w:r>
          </w:p>
        </w:tc>
        <w:tc>
          <w:tcPr>
            <w:tcW w:type="dxa" w:w="821"/>
          </w:tcPr>
          <w:p>
            <w:pPr>
              <w:pStyle w:val="null3"/>
              <w:jc w:val="left"/>
            </w:pPr>
            <w:r>
              <w:rPr>
                <w:rFonts w:ascii="仿宋_GB2312" w:hAnsi="仿宋_GB2312" w:cs="仿宋_GB2312" w:eastAsia="仿宋_GB2312"/>
              </w:rPr>
              <w:t>多用途乘用车(特种专业技术用车)</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651,200.00</w:t>
      </w:r>
    </w:p>
    <w:p>
      <w:pPr>
        <w:pStyle w:val="null3"/>
        <w:jc w:val="left"/>
      </w:pPr>
      <w:r>
        <w:rPr>
          <w:rFonts w:ascii="仿宋_GB2312" w:hAnsi="仿宋_GB2312" w:cs="仿宋_GB2312" w:eastAsia="仿宋_GB2312"/>
        </w:rPr>
        <w:t>采购包最高限价（元）: 651,200.00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A02030610 警车</w:t>
            </w:r>
          </w:p>
        </w:tc>
        <w:tc>
          <w:tcPr>
            <w:tcW w:type="dxa" w:w="821"/>
          </w:tcPr>
          <w:p>
            <w:pPr>
              <w:pStyle w:val="null3"/>
              <w:jc w:val="left"/>
            </w:pPr>
            <w:r>
              <w:rPr>
                <w:rFonts w:ascii="仿宋_GB2312" w:hAnsi="仿宋_GB2312" w:cs="仿宋_GB2312" w:eastAsia="仿宋_GB2312"/>
              </w:rPr>
              <w:t>多用途乘用车(警车)</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325,600.00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A02030501 轿车</w:t>
            </w:r>
          </w:p>
        </w:tc>
        <w:tc>
          <w:tcPr>
            <w:tcW w:type="dxa" w:w="821"/>
          </w:tcPr>
          <w:p>
            <w:pPr>
              <w:pStyle w:val="null3"/>
              <w:jc w:val="left"/>
            </w:pPr>
            <w:r>
              <w:rPr>
                <w:rFonts w:ascii="仿宋_GB2312" w:hAnsi="仿宋_GB2312" w:cs="仿宋_GB2312" w:eastAsia="仿宋_GB2312"/>
              </w:rPr>
              <w:t>多用途乘用车</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325,600.00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多用途乘用车(特种专业技术用车)</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449,000.00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多用途乘用车(警车)</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325,600.00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多用途乘用车</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325,600.00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多用途乘用车(特种专业技术用车)</w:t>
            </w:r>
          </w:p>
        </w:tc>
        <w:tc>
          <w:tcPr>
            <w:tcW w:type="dxa" w:w="2492"/>
          </w:tcPr>
          <w:p>
            <w:pPr>
              <w:pStyle w:val="null3"/>
              <w:jc w:val="left"/>
            </w:pPr>
            <w:r>
              <w:rPr>
                <w:rFonts w:ascii="仿宋_GB2312" w:hAnsi="仿宋_GB2312" w:cs="仿宋_GB2312" w:eastAsia="仿宋_GB2312"/>
              </w:rPr>
              <w:t>多用途乘用车(特种专业技术用车)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多用途乘用车(警车)</w:t>
            </w:r>
          </w:p>
        </w:tc>
        <w:tc>
          <w:tcPr>
            <w:tcW w:type="dxa" w:w="2492"/>
          </w:tcPr>
          <w:p>
            <w:pPr>
              <w:pStyle w:val="null3"/>
              <w:jc w:val="left"/>
            </w:pPr>
            <w:r>
              <w:rPr>
                <w:rFonts w:ascii="仿宋_GB2312" w:hAnsi="仿宋_GB2312" w:cs="仿宋_GB2312" w:eastAsia="仿宋_GB2312"/>
              </w:rPr>
              <w:t>多用途乘用车(警车)</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A02030699 其他专用车辆</w:t>
            </w:r>
          </w:p>
        </w:tc>
        <w:tc>
          <w:tcPr>
            <w:tcW w:type="dxa" w:w="2492"/>
          </w:tcPr>
          <w:p>
            <w:pPr>
              <w:pStyle w:val="null3"/>
              <w:jc w:val="left"/>
            </w:pPr>
            <w:r>
              <w:rPr>
                <w:rFonts w:ascii="仿宋_GB2312" w:hAnsi="仿宋_GB2312" w:cs="仿宋_GB2312" w:eastAsia="仿宋_GB2312"/>
              </w:rPr>
              <w:t>多用途乘用车(特种专业技术用车)</w:t>
            </w:r>
          </w:p>
        </w:tc>
        <w:tc>
          <w:tcPr>
            <w:tcW w:type="dxa" w:w="2492"/>
          </w:tcPr>
          <w:p>
            <w:pPr>
              <w:pStyle w:val="null3"/>
              <w:jc w:val="left"/>
            </w:pPr>
            <w:r>
              <w:rPr>
                <w:rFonts w:ascii="仿宋_GB2312" w:hAnsi="仿宋_GB2312" w:cs="仿宋_GB2312" w:eastAsia="仿宋_GB2312"/>
              </w:rPr>
              <w:t>多用途乘用车(特种专业技术用车)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A02030610 警车</w:t>
            </w:r>
          </w:p>
        </w:tc>
        <w:tc>
          <w:tcPr>
            <w:tcW w:type="dxa" w:w="2492"/>
          </w:tcPr>
          <w:p>
            <w:pPr>
              <w:pStyle w:val="null3"/>
              <w:jc w:val="left"/>
            </w:pPr>
            <w:r>
              <w:rPr>
                <w:rFonts w:ascii="仿宋_GB2312" w:hAnsi="仿宋_GB2312" w:cs="仿宋_GB2312" w:eastAsia="仿宋_GB2312"/>
              </w:rPr>
              <w:t>多用途乘用车(警车)</w:t>
            </w:r>
          </w:p>
        </w:tc>
        <w:tc>
          <w:tcPr>
            <w:tcW w:type="dxa" w:w="2492"/>
          </w:tcPr>
          <w:p>
            <w:pPr>
              <w:pStyle w:val="null3"/>
              <w:jc w:val="left"/>
            </w:pPr>
            <w:r>
              <w:rPr>
                <w:rFonts w:ascii="仿宋_GB2312" w:hAnsi="仿宋_GB2312" w:cs="仿宋_GB2312" w:eastAsia="仿宋_GB2312"/>
              </w:rPr>
              <w:t>多用途乘用车(警车)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A02030501 轿车</w:t>
            </w:r>
          </w:p>
        </w:tc>
        <w:tc>
          <w:tcPr>
            <w:tcW w:type="dxa" w:w="2492"/>
          </w:tcPr>
          <w:p>
            <w:pPr>
              <w:pStyle w:val="null3"/>
              <w:jc w:val="left"/>
            </w:pPr>
            <w:r>
              <w:rPr>
                <w:rFonts w:ascii="仿宋_GB2312" w:hAnsi="仿宋_GB2312" w:cs="仿宋_GB2312" w:eastAsia="仿宋_GB2312"/>
              </w:rPr>
              <w:t>多用途乘用车</w:t>
            </w:r>
          </w:p>
        </w:tc>
        <w:tc>
          <w:tcPr>
            <w:tcW w:type="dxa" w:w="2492"/>
          </w:tcPr>
          <w:p>
            <w:pPr>
              <w:pStyle w:val="null3"/>
              <w:jc w:val="left"/>
            </w:pPr>
            <w:r>
              <w:rPr>
                <w:rFonts w:ascii="仿宋_GB2312" w:hAnsi="仿宋_GB2312" w:cs="仿宋_GB2312" w:eastAsia="仿宋_GB2312"/>
              </w:rPr>
              <w:t>多用途乘用车</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标的名称：多用途乘用车(特种专业技术用车)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多用途乘用车(特种专业技术用车)</w:t>
            </w:r>
          </w:p>
        </w:tc>
        <w:tc>
          <w:tcPr>
            <w:tcW w:type="dxa" w:w="5814"/>
          </w:tcPr>
          <w:p>
            <w:pPr>
              <w:pStyle w:val="null3"/>
              <w:jc w:val="left"/>
            </w:pPr>
            <w:r>
              <w:rPr>
                <w:rFonts w:ascii="仿宋_GB2312" w:hAnsi="仿宋_GB2312" w:cs="仿宋_GB2312" w:eastAsia="仿宋_GB2312"/>
                <w:sz w:val="21"/>
              </w:rPr>
              <w:t>1、工信部产品名称：客车或商务车；</w:t>
            </w:r>
          </w:p>
          <w:p>
            <w:pPr>
              <w:pStyle w:val="null3"/>
              <w:jc w:val="left"/>
            </w:pPr>
            <w:r>
              <w:rPr>
                <w:rFonts w:ascii="仿宋_GB2312" w:hAnsi="仿宋_GB2312" w:cs="仿宋_GB2312" w:eastAsia="仿宋_GB2312"/>
                <w:sz w:val="21"/>
              </w:rPr>
              <w:t>2、车辆外形尺寸(mm):长：7000～7100；宽：2000～2100；高：2600～2700；</w:t>
            </w:r>
          </w:p>
          <w:p>
            <w:pPr>
              <w:pStyle w:val="null3"/>
              <w:jc w:val="left"/>
            </w:pPr>
            <w:r>
              <w:rPr>
                <w:rFonts w:ascii="仿宋_GB2312" w:hAnsi="仿宋_GB2312" w:cs="仿宋_GB2312" w:eastAsia="仿宋_GB2312"/>
                <w:sz w:val="21"/>
              </w:rPr>
              <w:t>3、总质量（Kg）：5500～5800；</w:t>
            </w:r>
          </w:p>
          <w:p>
            <w:pPr>
              <w:pStyle w:val="null3"/>
              <w:jc w:val="left"/>
            </w:pPr>
            <w:r>
              <w:rPr>
                <w:rFonts w:ascii="仿宋_GB2312" w:hAnsi="仿宋_GB2312" w:cs="仿宋_GB2312" w:eastAsia="仿宋_GB2312"/>
                <w:sz w:val="21"/>
              </w:rPr>
              <w:t>4、整备质量（Kg）：3700～4000；</w:t>
            </w:r>
          </w:p>
          <w:p>
            <w:pPr>
              <w:pStyle w:val="null3"/>
              <w:jc w:val="left"/>
            </w:pPr>
            <w:r>
              <w:rPr>
                <w:rFonts w:ascii="仿宋_GB2312" w:hAnsi="仿宋_GB2312" w:cs="仿宋_GB2312" w:eastAsia="仿宋_GB2312"/>
                <w:sz w:val="21"/>
              </w:rPr>
              <w:t>5、燃料种类：汽油；</w:t>
            </w:r>
          </w:p>
          <w:p>
            <w:pPr>
              <w:pStyle w:val="null3"/>
              <w:jc w:val="left"/>
            </w:pPr>
            <w:r>
              <w:rPr>
                <w:rFonts w:ascii="仿宋_GB2312" w:hAnsi="仿宋_GB2312" w:cs="仿宋_GB2312" w:eastAsia="仿宋_GB2312"/>
                <w:sz w:val="21"/>
              </w:rPr>
              <w:t>6、排放标准：国四；</w:t>
            </w:r>
          </w:p>
          <w:p>
            <w:pPr>
              <w:pStyle w:val="null3"/>
              <w:jc w:val="left"/>
            </w:pPr>
            <w:r>
              <w:rPr>
                <w:rFonts w:ascii="仿宋_GB2312" w:hAnsi="仿宋_GB2312" w:cs="仿宋_GB2312" w:eastAsia="仿宋_GB2312"/>
                <w:sz w:val="21"/>
              </w:rPr>
              <w:t>7、轴距(mm)：3900～4100；</w:t>
            </w:r>
          </w:p>
          <w:p>
            <w:pPr>
              <w:pStyle w:val="null3"/>
              <w:jc w:val="left"/>
            </w:pPr>
            <w:r>
              <w:rPr>
                <w:rFonts w:ascii="仿宋_GB2312" w:hAnsi="仿宋_GB2312" w:cs="仿宋_GB2312" w:eastAsia="仿宋_GB2312"/>
                <w:sz w:val="21"/>
              </w:rPr>
              <w:t>8、座位数（含驾驶员）：≥20；</w:t>
            </w:r>
          </w:p>
          <w:p>
            <w:pPr>
              <w:pStyle w:val="null3"/>
              <w:jc w:val="left"/>
            </w:pPr>
            <w:r>
              <w:rPr>
                <w:rFonts w:ascii="仿宋_GB2312" w:hAnsi="仿宋_GB2312" w:cs="仿宋_GB2312" w:eastAsia="仿宋_GB2312"/>
                <w:sz w:val="21"/>
              </w:rPr>
              <w:t>9、发动机排量(ml)：≥3950；</w:t>
            </w:r>
          </w:p>
          <w:p>
            <w:pPr>
              <w:pStyle w:val="null3"/>
              <w:jc w:val="left"/>
            </w:pPr>
            <w:r>
              <w:rPr>
                <w:rFonts w:ascii="仿宋_GB2312" w:hAnsi="仿宋_GB2312" w:cs="仿宋_GB2312" w:eastAsia="仿宋_GB2312"/>
                <w:sz w:val="21"/>
              </w:rPr>
              <w:t>10、发动机功率（Kw）：≥150；</w:t>
            </w:r>
          </w:p>
          <w:p>
            <w:pPr>
              <w:pStyle w:val="null3"/>
              <w:jc w:val="left"/>
            </w:pPr>
            <w:r>
              <w:rPr>
                <w:rFonts w:ascii="仿宋_GB2312" w:hAnsi="仿宋_GB2312" w:cs="仿宋_GB2312" w:eastAsia="仿宋_GB2312"/>
                <w:sz w:val="21"/>
              </w:rPr>
              <w:t>11、前轮距/后轮距(mm)：≥1600/1400；</w:t>
            </w:r>
          </w:p>
          <w:p>
            <w:pPr>
              <w:pStyle w:val="null3"/>
              <w:jc w:val="left"/>
            </w:pPr>
            <w:r>
              <w:rPr>
                <w:rFonts w:ascii="仿宋_GB2312" w:hAnsi="仿宋_GB2312" w:cs="仿宋_GB2312" w:eastAsia="仿宋_GB2312"/>
                <w:sz w:val="21"/>
              </w:rPr>
              <w:t>12、前悬/后悬(mm)：≥1100/1900；</w:t>
            </w:r>
          </w:p>
          <w:p>
            <w:pPr>
              <w:pStyle w:val="null3"/>
              <w:jc w:val="left"/>
            </w:pPr>
            <w:r>
              <w:rPr>
                <w:rFonts w:ascii="仿宋_GB2312" w:hAnsi="仿宋_GB2312" w:cs="仿宋_GB2312" w:eastAsia="仿宋_GB2312"/>
                <w:sz w:val="21"/>
              </w:rPr>
              <w:t>13、最高车速（km/h）：≥130；</w:t>
            </w:r>
          </w:p>
          <w:p>
            <w:pPr>
              <w:pStyle w:val="null3"/>
              <w:jc w:val="left"/>
            </w:pPr>
            <w:r>
              <w:rPr>
                <w:rFonts w:ascii="仿宋_GB2312" w:hAnsi="仿宋_GB2312" w:cs="仿宋_GB2312" w:eastAsia="仿宋_GB2312"/>
                <w:sz w:val="21"/>
              </w:rPr>
              <w:t>14、变速器类型：手动挡；</w:t>
            </w:r>
          </w:p>
          <w:p>
            <w:pPr>
              <w:pStyle w:val="null3"/>
              <w:jc w:val="left"/>
            </w:pPr>
            <w:r>
              <w:rPr>
                <w:rFonts w:ascii="仿宋_GB2312" w:hAnsi="仿宋_GB2312" w:cs="仿宋_GB2312" w:eastAsia="仿宋_GB2312"/>
                <w:sz w:val="21"/>
              </w:rPr>
              <w:t>15、配置要求：自动滑动门、滑动门转臂装饰罩、行李箱灯、织物座椅、乘客座椅扶手（最后排除外）、ABS制动防抱死系统、车身稳定性控制系统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16、外观要求：按《2004式警车汽车类外观制式涂装规范》（GA524-2004）标准涂装并加装LED长排警灯警报器；</w:t>
            </w:r>
          </w:p>
          <w:p>
            <w:pPr>
              <w:pStyle w:val="null3"/>
              <w:jc w:val="left"/>
            </w:pPr>
            <w:r>
              <w:rPr>
                <w:rFonts w:ascii="仿宋_GB2312" w:hAnsi="仿宋_GB2312" w:cs="仿宋_GB2312" w:eastAsia="仿宋_GB2312"/>
                <w:sz w:val="21"/>
              </w:rPr>
              <w:t>17、改装线束要求：</w:t>
            </w:r>
          </w:p>
          <w:p>
            <w:pPr>
              <w:pStyle w:val="null3"/>
              <w:jc w:val="left"/>
            </w:pPr>
            <w:r>
              <w:rPr>
                <w:rFonts w:ascii="仿宋_GB2312" w:hAnsi="仿宋_GB2312" w:cs="仿宋_GB2312" w:eastAsia="仿宋_GB2312"/>
                <w:sz w:val="21"/>
              </w:rPr>
              <w:t>①外观：无划伤、无气泡</w:t>
            </w:r>
          </w:p>
          <w:p>
            <w:pPr>
              <w:pStyle w:val="null3"/>
              <w:jc w:val="left"/>
            </w:pPr>
            <w:r>
              <w:rPr>
                <w:rFonts w:ascii="仿宋_GB2312" w:hAnsi="仿宋_GB2312" w:cs="仿宋_GB2312" w:eastAsia="仿宋_GB2312"/>
                <w:sz w:val="21"/>
              </w:rPr>
              <w:t>②导电电阻：在20°C时，每千米导体电阻不超过11Ω</w:t>
            </w:r>
          </w:p>
          <w:p>
            <w:pPr>
              <w:pStyle w:val="null3"/>
              <w:jc w:val="left"/>
            </w:pPr>
            <w:r>
              <w:rPr>
                <w:rFonts w:ascii="仿宋_GB2312" w:hAnsi="仿宋_GB2312" w:cs="仿宋_GB2312" w:eastAsia="仿宋_GB2312"/>
                <w:sz w:val="21"/>
              </w:rPr>
              <w:t>③绝缘电阻：在20°C,相对湿度65%的条件下，每千米绝缘电阻不低于1000MΩ</w:t>
            </w:r>
          </w:p>
          <w:p>
            <w:pPr>
              <w:pStyle w:val="null3"/>
              <w:jc w:val="left"/>
            </w:pPr>
            <w:r>
              <w:rPr>
                <w:rFonts w:ascii="仿宋_GB2312" w:hAnsi="仿宋_GB2312" w:cs="仿宋_GB2312" w:eastAsia="仿宋_GB2312"/>
                <w:sz w:val="21"/>
              </w:rPr>
              <w:t>④绝缘厚度：绝缘层厚度应符合产品设计要求，公差范围为±0.1 mm</w:t>
            </w:r>
          </w:p>
          <w:p>
            <w:pPr>
              <w:pStyle w:val="null3"/>
              <w:jc w:val="left"/>
            </w:pPr>
            <w:r>
              <w:rPr>
                <w:rFonts w:ascii="仿宋_GB2312" w:hAnsi="仿宋_GB2312" w:cs="仿宋_GB2312" w:eastAsia="仿宋_GB2312"/>
                <w:sz w:val="21"/>
              </w:rPr>
              <w:t>⑤高温压力测试：温度100°C持续4H后，在1KV电压下测试1min,不出现击穿、闪络现象</w:t>
            </w:r>
          </w:p>
          <w:p>
            <w:pPr>
              <w:pStyle w:val="null3"/>
              <w:jc w:val="left"/>
            </w:pPr>
            <w:r>
              <w:rPr>
                <w:rFonts w:ascii="仿宋_GB2312" w:hAnsi="仿宋_GB2312" w:cs="仿宋_GB2312" w:eastAsia="仿宋_GB2312"/>
                <w:sz w:val="21"/>
              </w:rPr>
              <w:t>⑥低温弯曲测试：在-40°C下，将电线绕直径为电线外径4倍的芯轴弯曲10次，绝缘层不应出现开裂。</w:t>
            </w:r>
          </w:p>
          <w:p>
            <w:pPr>
              <w:pStyle w:val="null3"/>
              <w:jc w:val="left"/>
            </w:pPr>
            <w:r>
              <w:rPr>
                <w:rFonts w:ascii="仿宋_GB2312" w:hAnsi="仿宋_GB2312" w:cs="仿宋_GB2312" w:eastAsia="仿宋_GB2312"/>
                <w:sz w:val="21"/>
              </w:rPr>
              <w:t>18、加装配置1要求：公务用车管理系统；</w:t>
            </w:r>
          </w:p>
          <w:p>
            <w:pPr>
              <w:pStyle w:val="null3"/>
              <w:jc w:val="left"/>
            </w:pPr>
            <w:r>
              <w:rPr>
                <w:rFonts w:ascii="仿宋_GB2312" w:hAnsi="仿宋_GB2312" w:cs="仿宋_GB2312" w:eastAsia="仿宋_GB2312"/>
                <w:sz w:val="21"/>
              </w:rPr>
              <w:t>19、加装配置2要求：公务用车监控管理综合平台。</w:t>
            </w:r>
          </w:p>
          <w:p>
            <w:pPr>
              <w:pStyle w:val="null3"/>
              <w:jc w:val="left"/>
            </w:pPr>
            <w:r>
              <w:rPr>
                <w:rFonts w:ascii="仿宋_GB2312" w:hAnsi="仿宋_GB2312" w:cs="仿宋_GB2312" w:eastAsia="仿宋_GB2312"/>
                <w:sz w:val="21"/>
                <w:b/>
              </w:rPr>
              <w:t>注：以上第</w:t>
            </w:r>
            <w:r>
              <w:rPr>
                <w:rFonts w:ascii="仿宋_GB2312" w:hAnsi="仿宋_GB2312" w:cs="仿宋_GB2312" w:eastAsia="仿宋_GB2312"/>
                <w:sz w:val="21"/>
                <w:b/>
              </w:rPr>
              <w:t>1-13项参数供应商需提供工信部车辆公告参数页截图并加盖供应商公章</w:t>
            </w:r>
            <w:r>
              <w:rPr>
                <w:rFonts w:ascii="仿宋_GB2312" w:hAnsi="仿宋_GB2312" w:cs="仿宋_GB2312" w:eastAsia="仿宋_GB2312"/>
                <w:sz w:val="21"/>
                <w:b/>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标的名称：多用途乘用车(警车)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多用途乘用车(警车)</w:t>
            </w:r>
          </w:p>
        </w:tc>
        <w:tc>
          <w:tcPr>
            <w:tcW w:type="dxa" w:w="5814"/>
          </w:tcPr>
          <w:p>
            <w:pPr>
              <w:pStyle w:val="null3"/>
              <w:jc w:val="left"/>
            </w:pPr>
            <w:r>
              <w:rPr>
                <w:rFonts w:ascii="仿宋_GB2312" w:hAnsi="仿宋_GB2312" w:cs="仿宋_GB2312" w:eastAsia="仿宋_GB2312"/>
                <w:sz w:val="21"/>
              </w:rPr>
              <w:t>1、车辆类型：中型轿车；</w:t>
            </w:r>
          </w:p>
          <w:p>
            <w:pPr>
              <w:pStyle w:val="null3"/>
              <w:jc w:val="left"/>
            </w:pPr>
            <w:r>
              <w:rPr>
                <w:rFonts w:ascii="仿宋_GB2312" w:hAnsi="仿宋_GB2312" w:cs="仿宋_GB2312" w:eastAsia="仿宋_GB2312"/>
                <w:sz w:val="21"/>
              </w:rPr>
              <w:t>2、能源类型：汽油；</w:t>
            </w:r>
          </w:p>
          <w:p>
            <w:pPr>
              <w:pStyle w:val="null3"/>
              <w:jc w:val="left"/>
            </w:pPr>
            <w:r>
              <w:rPr>
                <w:rFonts w:ascii="仿宋_GB2312" w:hAnsi="仿宋_GB2312" w:cs="仿宋_GB2312" w:eastAsia="仿宋_GB2312"/>
                <w:sz w:val="21"/>
              </w:rPr>
              <w:t>3、发动机排量：1.4L~1.8L</w:t>
            </w:r>
          </w:p>
          <w:p>
            <w:pPr>
              <w:pStyle w:val="null3"/>
              <w:jc w:val="left"/>
            </w:pPr>
            <w:r>
              <w:rPr>
                <w:rFonts w:ascii="仿宋_GB2312" w:hAnsi="仿宋_GB2312" w:cs="仿宋_GB2312" w:eastAsia="仿宋_GB2312"/>
                <w:sz w:val="21"/>
              </w:rPr>
              <w:t>4、变速箱：≥7挡双离合；</w:t>
            </w:r>
          </w:p>
          <w:p>
            <w:pPr>
              <w:pStyle w:val="null3"/>
              <w:jc w:val="left"/>
            </w:pPr>
            <w:r>
              <w:rPr>
                <w:rFonts w:ascii="仿宋_GB2312" w:hAnsi="仿宋_GB2312" w:cs="仿宋_GB2312" w:eastAsia="仿宋_GB2312"/>
                <w:sz w:val="21"/>
              </w:rPr>
              <w:t>5、油箱容积（L）：≥60</w:t>
            </w:r>
          </w:p>
          <w:p>
            <w:pPr>
              <w:pStyle w:val="null3"/>
              <w:jc w:val="left"/>
            </w:pPr>
            <w:r>
              <w:rPr>
                <w:rFonts w:ascii="仿宋_GB2312" w:hAnsi="仿宋_GB2312" w:cs="仿宋_GB2312" w:eastAsia="仿宋_GB2312"/>
                <w:sz w:val="21"/>
              </w:rPr>
              <w:t>6、最大功率（kw）：≥108；</w:t>
            </w:r>
          </w:p>
          <w:p>
            <w:pPr>
              <w:pStyle w:val="null3"/>
              <w:jc w:val="left"/>
            </w:pPr>
            <w:r>
              <w:rPr>
                <w:rFonts w:ascii="仿宋_GB2312" w:hAnsi="仿宋_GB2312" w:cs="仿宋_GB2312" w:eastAsia="仿宋_GB2312"/>
                <w:sz w:val="21"/>
              </w:rPr>
              <w:t>7、最大扭矩（n.m）：≥240；</w:t>
            </w:r>
          </w:p>
          <w:p>
            <w:pPr>
              <w:pStyle w:val="null3"/>
              <w:jc w:val="left"/>
            </w:pPr>
            <w:r>
              <w:rPr>
                <w:rFonts w:ascii="仿宋_GB2312" w:hAnsi="仿宋_GB2312" w:cs="仿宋_GB2312" w:eastAsia="仿宋_GB2312"/>
                <w:sz w:val="21"/>
              </w:rPr>
              <w:t>8、排放标准：≥国Ⅵ；</w:t>
            </w:r>
          </w:p>
          <w:p>
            <w:pPr>
              <w:pStyle w:val="null3"/>
              <w:jc w:val="left"/>
            </w:pPr>
            <w:r>
              <w:rPr>
                <w:rFonts w:ascii="仿宋_GB2312" w:hAnsi="仿宋_GB2312" w:cs="仿宋_GB2312" w:eastAsia="仿宋_GB2312"/>
                <w:sz w:val="21"/>
              </w:rPr>
              <w:t>9、车身结构：5门5座；</w:t>
            </w:r>
          </w:p>
          <w:p>
            <w:pPr>
              <w:pStyle w:val="null3"/>
              <w:jc w:val="left"/>
            </w:pPr>
            <w:r>
              <w:rPr>
                <w:rFonts w:ascii="仿宋_GB2312" w:hAnsi="仿宋_GB2312" w:cs="仿宋_GB2312" w:eastAsia="仿宋_GB2312"/>
                <w:sz w:val="21"/>
              </w:rPr>
              <w:t>10、最高车速（km/h）：≥200；</w:t>
            </w:r>
          </w:p>
          <w:p>
            <w:pPr>
              <w:pStyle w:val="null3"/>
              <w:jc w:val="left"/>
            </w:pPr>
            <w:r>
              <w:rPr>
                <w:rFonts w:ascii="仿宋_GB2312" w:hAnsi="仿宋_GB2312" w:cs="仿宋_GB2312" w:eastAsia="仿宋_GB2312"/>
                <w:sz w:val="21"/>
              </w:rPr>
              <w:t>11、整车尺寸（mm）：≥4800×1830×1470；</w:t>
            </w:r>
          </w:p>
          <w:p>
            <w:pPr>
              <w:pStyle w:val="null3"/>
              <w:jc w:val="left"/>
            </w:pPr>
            <w:r>
              <w:rPr>
                <w:rFonts w:ascii="仿宋_GB2312" w:hAnsi="仿宋_GB2312" w:cs="仿宋_GB2312" w:eastAsia="仿宋_GB2312"/>
                <w:sz w:val="21"/>
              </w:rPr>
              <w:t>12、总质量（kg）：≤1950；</w:t>
            </w:r>
          </w:p>
          <w:p>
            <w:pPr>
              <w:pStyle w:val="null3"/>
              <w:jc w:val="left"/>
            </w:pPr>
            <w:r>
              <w:rPr>
                <w:rFonts w:ascii="仿宋_GB2312" w:hAnsi="仿宋_GB2312" w:cs="仿宋_GB2312" w:eastAsia="仿宋_GB2312"/>
                <w:sz w:val="21"/>
              </w:rPr>
              <w:t>13、整备质量（kg）：≥1450；</w:t>
            </w:r>
          </w:p>
          <w:p>
            <w:pPr>
              <w:pStyle w:val="null3"/>
              <w:jc w:val="left"/>
            </w:pPr>
            <w:r>
              <w:rPr>
                <w:rFonts w:ascii="仿宋_GB2312" w:hAnsi="仿宋_GB2312" w:cs="仿宋_GB2312" w:eastAsia="仿宋_GB2312"/>
                <w:sz w:val="21"/>
              </w:rPr>
              <w:t>14、轴距（mm）：≥2870；</w:t>
            </w:r>
          </w:p>
          <w:p>
            <w:pPr>
              <w:pStyle w:val="null3"/>
              <w:jc w:val="left"/>
            </w:pPr>
            <w:r>
              <w:rPr>
                <w:rFonts w:ascii="仿宋_GB2312" w:hAnsi="仿宋_GB2312" w:cs="仿宋_GB2312" w:eastAsia="仿宋_GB2312"/>
                <w:sz w:val="21"/>
              </w:rPr>
              <w:t>15、后备厢容积（L）：≥510</w:t>
            </w:r>
          </w:p>
          <w:p>
            <w:pPr>
              <w:pStyle w:val="null3"/>
              <w:jc w:val="both"/>
            </w:pPr>
            <w:r>
              <w:rPr>
                <w:rFonts w:ascii="仿宋_GB2312" w:hAnsi="仿宋_GB2312" w:cs="仿宋_GB2312" w:eastAsia="仿宋_GB2312"/>
                <w:sz w:val="21"/>
              </w:rPr>
              <w:t>16、全LED远近光大灯、LED日间行车灯、LED前雾灯、 外后视镜电动调节带加热、全LED尾灯、智能防夹电动天窗、后窗、感应式雨刮、前排座椅加热、制式警车字体含车身拉花和车顶警灯。</w:t>
            </w:r>
          </w:p>
          <w:p>
            <w:pPr>
              <w:pStyle w:val="null3"/>
              <w:jc w:val="left"/>
            </w:pPr>
            <w:r>
              <w:rPr>
                <w:rFonts w:ascii="仿宋_GB2312" w:hAnsi="仿宋_GB2312" w:cs="仿宋_GB2312" w:eastAsia="仿宋_GB2312"/>
                <w:sz w:val="21"/>
              </w:rPr>
              <w:t>17、真皮多功能方向盘带换挡拨片、液晶仪表、内后视镜自动防炫目、前后排中央扶手、主副驾化妆镜带照明。</w:t>
            </w:r>
          </w:p>
          <w:p>
            <w:pPr>
              <w:pStyle w:val="null3"/>
              <w:jc w:val="left"/>
            </w:pPr>
            <w:r>
              <w:rPr>
                <w:rFonts w:ascii="仿宋_GB2312" w:hAnsi="仿宋_GB2312" w:cs="仿宋_GB2312" w:eastAsia="仿宋_GB2312"/>
                <w:sz w:val="21"/>
              </w:rPr>
              <w:t>18、全车三点式安全带、主、副驾安全带未系提醒、前排正面安全气囊、前排侧</w:t>
            </w:r>
          </w:p>
          <w:p>
            <w:pPr>
              <w:pStyle w:val="null3"/>
              <w:jc w:val="left"/>
            </w:pPr>
            <w:r>
              <w:rPr>
                <w:rFonts w:ascii="仿宋_GB2312" w:hAnsi="仿宋_GB2312" w:cs="仿宋_GB2312" w:eastAsia="仿宋_GB2312"/>
                <w:sz w:val="21"/>
              </w:rPr>
              <w:t>面安全气囊、前后排头部安全气囊、</w:t>
            </w:r>
            <w:r>
              <w:rPr>
                <w:rFonts w:ascii="仿宋_GB2312" w:hAnsi="仿宋_GB2312" w:cs="仿宋_GB2312" w:eastAsia="仿宋_GB2312"/>
                <w:sz w:val="21"/>
              </w:rPr>
              <w:t>ESP电子稳定控制系统、ABS防抱死制动系统、电子制动力分配系统、牵引力控制系统、上坡辅助、胎压监测系统、EPB电子驻车制动系统、驻车雷达、定速巡航、疲劳驾驶提示。</w:t>
            </w:r>
          </w:p>
          <w:p>
            <w:pPr>
              <w:pStyle w:val="null3"/>
              <w:jc w:val="left"/>
            </w:pPr>
            <w:r>
              <w:rPr>
                <w:rFonts w:ascii="仿宋_GB2312" w:hAnsi="仿宋_GB2312" w:cs="仿宋_GB2312" w:eastAsia="仿宋_GB2312"/>
                <w:sz w:val="21"/>
              </w:rPr>
              <w:t>19、一键启动、前排无钥匙进入、蓝牙免提电话、手机互联（支持CarPlay）、车载扬声系统≥8扬声器、全自动空调系统、车联网、车内PM2.5过滤。</w:t>
            </w:r>
          </w:p>
        </w:tc>
      </w:tr>
    </w:tbl>
    <w:p>
      <w:pPr>
        <w:pStyle w:val="null3"/>
        <w:jc w:val="left"/>
      </w:pPr>
      <w:r>
        <w:rPr>
          <w:rFonts w:ascii="仿宋_GB2312" w:hAnsi="仿宋_GB2312" w:cs="仿宋_GB2312" w:eastAsia="仿宋_GB2312"/>
        </w:rPr>
        <w:t>标的名称：多用途乘用车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多用途乘用车</w:t>
            </w:r>
          </w:p>
        </w:tc>
        <w:tc>
          <w:tcPr>
            <w:tcW w:type="dxa" w:w="5814"/>
          </w:tcPr>
          <w:p>
            <w:pPr>
              <w:pStyle w:val="null3"/>
              <w:jc w:val="left"/>
            </w:pPr>
            <w:r>
              <w:rPr>
                <w:rFonts w:ascii="仿宋_GB2312" w:hAnsi="仿宋_GB2312" w:cs="仿宋_GB2312" w:eastAsia="仿宋_GB2312"/>
                <w:sz w:val="21"/>
              </w:rPr>
              <w:t>1、车辆类型：中型轿车；</w:t>
            </w:r>
          </w:p>
          <w:p>
            <w:pPr>
              <w:pStyle w:val="null3"/>
              <w:jc w:val="left"/>
            </w:pPr>
            <w:r>
              <w:rPr>
                <w:rFonts w:ascii="仿宋_GB2312" w:hAnsi="仿宋_GB2312" w:cs="仿宋_GB2312" w:eastAsia="仿宋_GB2312"/>
                <w:sz w:val="21"/>
              </w:rPr>
              <w:t>2、能源类型：汽油；</w:t>
            </w:r>
          </w:p>
          <w:p>
            <w:pPr>
              <w:pStyle w:val="null3"/>
              <w:jc w:val="left"/>
            </w:pPr>
            <w:r>
              <w:rPr>
                <w:rFonts w:ascii="仿宋_GB2312" w:hAnsi="仿宋_GB2312" w:cs="仿宋_GB2312" w:eastAsia="仿宋_GB2312"/>
                <w:sz w:val="21"/>
              </w:rPr>
              <w:t>3、发动机排量：1.4L~1.8L</w:t>
            </w:r>
          </w:p>
          <w:p>
            <w:pPr>
              <w:pStyle w:val="null3"/>
              <w:jc w:val="left"/>
            </w:pPr>
            <w:r>
              <w:rPr>
                <w:rFonts w:ascii="仿宋_GB2312" w:hAnsi="仿宋_GB2312" w:cs="仿宋_GB2312" w:eastAsia="仿宋_GB2312"/>
                <w:sz w:val="21"/>
              </w:rPr>
              <w:t>4、变速箱：≥7挡双离合；</w:t>
            </w:r>
          </w:p>
          <w:p>
            <w:pPr>
              <w:pStyle w:val="null3"/>
              <w:jc w:val="left"/>
            </w:pPr>
            <w:r>
              <w:rPr>
                <w:rFonts w:ascii="仿宋_GB2312" w:hAnsi="仿宋_GB2312" w:cs="仿宋_GB2312" w:eastAsia="仿宋_GB2312"/>
                <w:sz w:val="21"/>
              </w:rPr>
              <w:t>5、油箱容积（L）：≥60</w:t>
            </w:r>
          </w:p>
          <w:p>
            <w:pPr>
              <w:pStyle w:val="null3"/>
              <w:jc w:val="left"/>
            </w:pPr>
            <w:r>
              <w:rPr>
                <w:rFonts w:ascii="仿宋_GB2312" w:hAnsi="仿宋_GB2312" w:cs="仿宋_GB2312" w:eastAsia="仿宋_GB2312"/>
                <w:sz w:val="21"/>
              </w:rPr>
              <w:t>6、最大功率（kw）：≥108；</w:t>
            </w:r>
          </w:p>
          <w:p>
            <w:pPr>
              <w:pStyle w:val="null3"/>
              <w:jc w:val="left"/>
            </w:pPr>
            <w:r>
              <w:rPr>
                <w:rFonts w:ascii="仿宋_GB2312" w:hAnsi="仿宋_GB2312" w:cs="仿宋_GB2312" w:eastAsia="仿宋_GB2312"/>
                <w:sz w:val="21"/>
              </w:rPr>
              <w:t>7、最大扭矩（n.m）：≥240；</w:t>
            </w:r>
          </w:p>
          <w:p>
            <w:pPr>
              <w:pStyle w:val="null3"/>
              <w:jc w:val="left"/>
            </w:pPr>
            <w:r>
              <w:rPr>
                <w:rFonts w:ascii="仿宋_GB2312" w:hAnsi="仿宋_GB2312" w:cs="仿宋_GB2312" w:eastAsia="仿宋_GB2312"/>
                <w:sz w:val="21"/>
              </w:rPr>
              <w:t>8、排放标准：≥国Ⅵ；</w:t>
            </w:r>
          </w:p>
          <w:p>
            <w:pPr>
              <w:pStyle w:val="null3"/>
              <w:jc w:val="left"/>
            </w:pPr>
            <w:r>
              <w:rPr>
                <w:rFonts w:ascii="仿宋_GB2312" w:hAnsi="仿宋_GB2312" w:cs="仿宋_GB2312" w:eastAsia="仿宋_GB2312"/>
                <w:sz w:val="21"/>
              </w:rPr>
              <w:t>9、车身结构：5门5座；</w:t>
            </w:r>
          </w:p>
          <w:p>
            <w:pPr>
              <w:pStyle w:val="null3"/>
              <w:jc w:val="left"/>
            </w:pPr>
            <w:r>
              <w:rPr>
                <w:rFonts w:ascii="仿宋_GB2312" w:hAnsi="仿宋_GB2312" w:cs="仿宋_GB2312" w:eastAsia="仿宋_GB2312"/>
                <w:sz w:val="21"/>
              </w:rPr>
              <w:t>10、最高车速（km/h）：≥200；</w:t>
            </w:r>
          </w:p>
          <w:p>
            <w:pPr>
              <w:pStyle w:val="null3"/>
              <w:jc w:val="left"/>
            </w:pPr>
            <w:r>
              <w:rPr>
                <w:rFonts w:ascii="仿宋_GB2312" w:hAnsi="仿宋_GB2312" w:cs="仿宋_GB2312" w:eastAsia="仿宋_GB2312"/>
                <w:sz w:val="21"/>
              </w:rPr>
              <w:t>11、整车尺寸（mm）：≥4800×1830×1470；</w:t>
            </w:r>
          </w:p>
          <w:p>
            <w:pPr>
              <w:pStyle w:val="null3"/>
              <w:jc w:val="left"/>
            </w:pPr>
            <w:r>
              <w:rPr>
                <w:rFonts w:ascii="仿宋_GB2312" w:hAnsi="仿宋_GB2312" w:cs="仿宋_GB2312" w:eastAsia="仿宋_GB2312"/>
                <w:sz w:val="21"/>
              </w:rPr>
              <w:t>12、总质量（kg）：≤1950；</w:t>
            </w:r>
          </w:p>
          <w:p>
            <w:pPr>
              <w:pStyle w:val="null3"/>
              <w:jc w:val="left"/>
            </w:pPr>
            <w:r>
              <w:rPr>
                <w:rFonts w:ascii="仿宋_GB2312" w:hAnsi="仿宋_GB2312" w:cs="仿宋_GB2312" w:eastAsia="仿宋_GB2312"/>
                <w:sz w:val="21"/>
              </w:rPr>
              <w:t>13、整备质量（kg）：≥1450；</w:t>
            </w:r>
          </w:p>
          <w:p>
            <w:pPr>
              <w:pStyle w:val="null3"/>
              <w:jc w:val="left"/>
            </w:pPr>
            <w:r>
              <w:rPr>
                <w:rFonts w:ascii="仿宋_GB2312" w:hAnsi="仿宋_GB2312" w:cs="仿宋_GB2312" w:eastAsia="仿宋_GB2312"/>
                <w:sz w:val="21"/>
              </w:rPr>
              <w:t>14、轴距（mm）：≥2870；</w:t>
            </w:r>
          </w:p>
          <w:p>
            <w:pPr>
              <w:pStyle w:val="null3"/>
              <w:jc w:val="left"/>
            </w:pPr>
            <w:r>
              <w:rPr>
                <w:rFonts w:ascii="仿宋_GB2312" w:hAnsi="仿宋_GB2312" w:cs="仿宋_GB2312" w:eastAsia="仿宋_GB2312"/>
                <w:sz w:val="21"/>
              </w:rPr>
              <w:t>15、后备厢容积（L）：≥510</w:t>
            </w:r>
          </w:p>
          <w:p>
            <w:pPr>
              <w:pStyle w:val="null3"/>
              <w:jc w:val="left"/>
            </w:pPr>
            <w:r>
              <w:rPr>
                <w:rFonts w:ascii="仿宋_GB2312" w:hAnsi="仿宋_GB2312" w:cs="仿宋_GB2312" w:eastAsia="仿宋_GB2312"/>
                <w:sz w:val="21"/>
              </w:rPr>
              <w:t>16、全LED远近光大灯、LED日间行车灯、LED前雾灯、 外后视镜电动调节带加热、全LED尾灯、智能防夹电动天窗、后窗、感应式雨刮、前排座椅加热。</w:t>
            </w:r>
          </w:p>
          <w:p>
            <w:pPr>
              <w:pStyle w:val="null3"/>
              <w:jc w:val="left"/>
            </w:pPr>
            <w:r>
              <w:rPr>
                <w:rFonts w:ascii="仿宋_GB2312" w:hAnsi="仿宋_GB2312" w:cs="仿宋_GB2312" w:eastAsia="仿宋_GB2312"/>
                <w:sz w:val="21"/>
              </w:rPr>
              <w:t>17、真皮多功能方向盘带换挡拨片、液晶仪表、内后视镜自动防炫目、前后排中央扶手、主副驾化妆镜带照明。</w:t>
            </w:r>
          </w:p>
          <w:p>
            <w:pPr>
              <w:pStyle w:val="null3"/>
              <w:jc w:val="left"/>
            </w:pPr>
            <w:r>
              <w:rPr>
                <w:rFonts w:ascii="仿宋_GB2312" w:hAnsi="仿宋_GB2312" w:cs="仿宋_GB2312" w:eastAsia="仿宋_GB2312"/>
                <w:sz w:val="21"/>
              </w:rPr>
              <w:t>18、全车三点式安全带、主、副驾安全带未系提醒、前排正面安全气囊、前排侧面安全气囊、前后排头部安全气囊、ESP电子稳定控制系统、ABS防抱死制动系统、电子制动力分配系统、牵引力控制系统、上坡辅助、胎压监测系统、EPB电子驻车制动系统、驻车雷达、定速巡航、疲劳驾驶提示。</w:t>
            </w:r>
          </w:p>
          <w:p>
            <w:pPr>
              <w:pStyle w:val="null3"/>
              <w:jc w:val="left"/>
            </w:pPr>
            <w:r>
              <w:rPr>
                <w:rFonts w:ascii="仿宋_GB2312" w:hAnsi="仿宋_GB2312" w:cs="仿宋_GB2312" w:eastAsia="仿宋_GB2312"/>
                <w:sz w:val="21"/>
              </w:rPr>
              <w:t>19、一键启动、前排无钥匙进入、蓝牙免提电话、手机互联（支持CarPlay）、车载扬声系统≥8扬声器、全自动空调系统、车联网、车内PM2.5过滤。</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自合同签订起15个日历天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1、签订合同后，达到付款条件起14日内，支付合同总金额的10.00%</w:t>
            </w:r>
          </w:p>
          <w:p>
            <w:pPr>
              <w:pStyle w:val="null3"/>
              <w:jc w:val="left"/>
            </w:pPr>
            <w:r>
              <w:rPr>
                <w:rFonts w:ascii="仿宋_GB2312" w:hAnsi="仿宋_GB2312" w:cs="仿宋_GB2312" w:eastAsia="仿宋_GB2312"/>
              </w:rPr>
              <w:t>2、货到交付、调试完毕后，达到付款条件起30日内，支付合同总金额的85.00%</w:t>
            </w:r>
          </w:p>
          <w:p>
            <w:pPr>
              <w:pStyle w:val="null3"/>
              <w:jc w:val="left"/>
            </w:pPr>
            <w:r>
              <w:rPr>
                <w:rFonts w:ascii="仿宋_GB2312" w:hAnsi="仿宋_GB2312" w:cs="仿宋_GB2312" w:eastAsia="仿宋_GB2312"/>
              </w:rPr>
              <w:t>3、所有货物验收合格后，达到付款条件起30日内，支付合同总金额的5.00%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手续齐全、物品规格参数与要求相一致。成交供应商与采购人严格按照国家有关规定、采购文件的要求、供应商的响应文件及承诺、合同约定标准、《政府采购需求管理办法》（财库〔2021〕22号）文件、《自贡市政府采购履约验收管理办法》以及《财政部关于进一步加强政府采购需求和履约验收管理的指导意见》(财库〔2016〕205号)文件规定进行验收。验收结果合格的，成交供应商凭验收报告办理相关手续；验收结果不合格的，要求立即整改，直至满足采购方要求。采购人有权送检采购货物，若送检不合格成交供应商须承担送检费用和相应后果。</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①供货时提供车辆合格证书和使用说明书，维护手册、保养修理所需的各种随车工具及相关设计、制造、检验、安装、技术性指导等文件和确保车辆上牌所需的应由成交人提供的必须文件，确保正常上户。 ②质保期:成交人对所提供的货物提供免费质保服务，具体质保期为3年或10万公里，以先到为准。须指派专人负贵与采购人联系售后服务事宜;④明确产品制造厂家或供应商设立的售后服务机构网点清单、服务电话;提供7*24小时电话技术支持和救援服务。(质保期内出现质量问题，成交人在到通知后30分钟之内响应，在2小时之内到达故障现场维修或更换，并承担维修或更换的费用。圆如货物经成交人对货物同一故障3次维修仍不能达到相关技术质量标准，采购人有权退换货并追究成交人的相关责任。①对所提供的产品实行终身维修，在质保期外，提供产品的更换、维修只收取材料成本费用，收取人工技术费用按市场价给予下浮20%的优患。@培训:成交人负贵为采购方操作人员提供操作维护培训，直至其能熟练独立操作及日常维护与保养，简单故障诊断与排除。</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本合同并执行项目中的各项规定，保证本合同的正常履行。2、如因供应商的工作人员在履行职务过程中的的疏忽、失职、过错等故意或者过失原因给采购方造成损失或侵害，包括但不限于采购方本身的财产损失、由此而导致的甲方对任何第三方的法律责任等，供应商对此均应承担全部的赔偿责任。3、不可抗力事件处理①.在合同有效期内，任何一方因不可抗力事件导致不能履行合作，则合同履行期可延长，其延长期与不可抗力影响期相同。②.不可抗力事件发生后，应立即通知对方，并寄送有关权威机构出具的证明。③.不可抗力事件延续120天以上，双方应通过友好协商，确定是否继续履行合同。4、解决合作纠纷的方式①.在执行本项目合同中发生的或与本合同有关的争端，双方应通过友好协商解决，经协商不能达成协议时，应提交采购人所在地人民法院管辖。②.合同执行中涉及采购资金和采购内容修改或补充的，须经政府采购监管部门审批，并签书面补充协议报政府采购监督管理部门备案，方可作为主合同不可分割的一部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自合同签订起15个日历天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1、签订合同后，达到付款条件起14日内，支付合同总金额的10.00%</w:t>
            </w:r>
          </w:p>
          <w:p>
            <w:pPr>
              <w:pStyle w:val="null3"/>
              <w:jc w:val="left"/>
            </w:pPr>
            <w:r>
              <w:rPr>
                <w:rFonts w:ascii="仿宋_GB2312" w:hAnsi="仿宋_GB2312" w:cs="仿宋_GB2312" w:eastAsia="仿宋_GB2312"/>
              </w:rPr>
              <w:t>2、货到交付、调试完毕后，达到付款条件起30日内，支付合同总金额的85.00%</w:t>
            </w:r>
          </w:p>
          <w:p>
            <w:pPr>
              <w:pStyle w:val="null3"/>
              <w:jc w:val="left"/>
            </w:pPr>
            <w:r>
              <w:rPr>
                <w:rFonts w:ascii="仿宋_GB2312" w:hAnsi="仿宋_GB2312" w:cs="仿宋_GB2312" w:eastAsia="仿宋_GB2312"/>
              </w:rPr>
              <w:t>3、所有货物验收合格，达到付款条件起30日内，支付合同总金额的5.00%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手续齐全、物品规格参数与要求相一致。成交供应商与采购人严格按照国家有关规定、采购文件的要求、供应商的响应文件及承诺、合同约定标准、《政府采购需求管理办法》（财库〔2021〕22号）文件、《自贡市政府采购履约验收管理办法》以及《财政部关于进一步加强政府采购需求和履约验收管理的指导意见》(财库〔2016〕205号)文件规定进行验收。验收结果合格的，成交供应商凭验收报告办理相关手续；验收结果不合格的，要求立即整改，直至满足采购方要求。采购人有权送检采购货物，若送检不合格成交供应商须承担送检费用和相应后果。</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①供货时提供车辆合格证书和使用说明书，维护手册、保养修理所需的各种随车工具及相关设计、制造、检验、安装、技术性指导等文件和确保车辆上牌所需的应由成交人提供的必须文件，确保正常上户。 ②质保期:成交人对所提供的货物提供免费质保服务，具体质保期为3年或10万公里，以先到为准。须指派专人负贵与采购人联系售后服务事宜;④明确产品制造厂家或供应商设立的售后服务机构网点清单、服务电话;提供7*24小时电话技术支持和救援服务。(质保期内出现质量问题，成交人在到通知后30分钟之内响应，在2小时之内到达故障现场维修或更换，并承担维修或更换的费用。圆如货物经成交人对货物同一故障3次维修仍不能达到相关技术质量标准，采购人有权退换货并追究成交人的相关责任。①对所提供的产品实行终身维修，在质保期外，提供产品的更换、维修只收取材料成本费用，收取人工技术费用按市场价给予下浮20%的优患。@培训:成交人负贵为采购方操作人员提供操作维护培训，直至其能熟练独立操作及日常维护与保养，简单故障诊断与排除。</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本合同并执行项目中的各项规定，保证本合同的正常履行。2、如因供应商的工作人员在履行职务过程中的的疏忽、失职、过错等故意或者过失原因给采购方造成损失或侵害，包括但不限于采购方本身的财产损失、由此而导致的甲方对任何第三方的法律责任等，供应商对此均应承担全部的赔偿责任。3、不可抗力事件处理①.在合同有效期内，任何一方因不可抗力事件导致不能履行合作，则合同履行期可延长，其延长期与不可抗力影响期相同。②.不可抗力事件发生后，应立即通知对方，并寄送有关权威机构出具的证明。③.不可抗力事件延续120天以上，双方应通过友好协商，确定是否继续履行合同。4、解决合作纠纷的方式①.在执行本项目合同中发生的或与本合同有关的争端，双方应通过友好协商解决，经协商不能达成协议时，应提交采购人所在地人民法院管辖。②.合同执行中涉及采购资金和采购内容修改或补充的，须经政府采购监管部门审批，并签书面补充协议报政府采购监督管理部门备案，方可作为主合同不可分割的一部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供应商按照采购文件要求上传响应文件</w:t>
            </w:r>
          </w:p>
        </w:tc>
        <w:tc>
          <w:tcPr>
            <w:tcW w:type="dxa" w:w="1910"/>
          </w:tcPr>
          <w:p>
            <w:pPr>
              <w:pStyle w:val="null3"/>
              <w:jc w:val="left"/>
            </w:pPr>
            <w:r>
              <w:rPr>
                <w:rFonts w:ascii="仿宋_GB2312" w:hAnsi="仿宋_GB2312" w:cs="仿宋_GB2312" w:eastAsia="仿宋_GB2312"/>
              </w:rPr>
              <w:t>响应文件封面,产品技术参数响应表,服务应答表,报价表,供应商认为应当提供的其他证明材料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供应商按照采购文件要求上传响应文件</w:t>
            </w:r>
          </w:p>
        </w:tc>
        <w:tc>
          <w:tcPr>
            <w:tcW w:type="dxa" w:w="1910"/>
          </w:tcPr>
          <w:p>
            <w:pPr>
              <w:pStyle w:val="null3"/>
              <w:jc w:val="left"/>
            </w:pPr>
            <w:r>
              <w:rPr>
                <w:rFonts w:ascii="仿宋_GB2312" w:hAnsi="仿宋_GB2312" w:cs="仿宋_GB2312" w:eastAsia="仿宋_GB2312"/>
              </w:rPr>
              <w:t>响应文件封面,产品技术参数响应表,服务应答表,报价表,供应商认为应当提供的其他证明材料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供应商认为应当提供的其他证明材料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供应商认为应当提供的其他证明材料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详见附件：供应商认为应当提供的其他证明材料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详见附件：供应商认为应当提供的其他证明材料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