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440281-2024-01139</w:t>
      </w:r>
    </w:p>
    <w:p>
      <w:pPr>
        <w:pStyle w:val="null3"/>
        <w:jc w:val="center"/>
        <w:outlineLvl w:val="3"/>
      </w:pPr>
      <w:r>
        <w:rPr>
          <w:sz w:val="24"/>
          <w:b/>
        </w:rPr>
        <w:t>采购项目编号：</w:t>
      </w:r>
      <w:r>
        <w:rPr>
          <w:sz w:val="24"/>
          <w:b/>
        </w:rPr>
        <w:t>SGZS2024041</w:t>
      </w:r>
    </w:p>
    <w:p>
      <w:pPr>
        <w:pStyle w:val="null3"/>
        <w:jc w:val="center"/>
        <w:outlineLvl w:val="3"/>
      </w:pPr>
      <w:r>
        <w:rPr>
          <w:sz w:val="24"/>
          <w:b/>
        </w:rPr>
        <w:t>项目名称：</w:t>
      </w:r>
      <w:r>
        <w:rPr>
          <w:sz w:val="24"/>
          <w:b/>
        </w:rPr>
        <w:t>新建乐昌市新城中学设施设备采购项目之课桌椅及宿舍床柜采购项目</w:t>
      </w:r>
    </w:p>
    <w:p>
      <w:pPr>
        <w:pStyle w:val="null3"/>
        <w:jc w:val="center"/>
        <w:outlineLvl w:val="3"/>
      </w:pPr>
      <w:r>
        <w:rPr>
          <w:sz w:val="24"/>
          <w:b/>
        </w:rPr>
        <w:t>采购人：</w:t>
      </w:r>
      <w:r>
        <w:rPr>
          <w:sz w:val="24"/>
          <w:b/>
        </w:rPr>
        <w:t>乐昌市教育局</w:t>
      </w:r>
    </w:p>
    <w:p>
      <w:pPr>
        <w:pStyle w:val="null3"/>
        <w:jc w:val="center"/>
        <w:outlineLvl w:val="3"/>
      </w:pPr>
      <w:r>
        <w:rPr>
          <w:sz w:val="24"/>
          <w:b/>
        </w:rPr>
        <w:t>采购代理机构：</w:t>
      </w:r>
      <w:r>
        <w:rPr>
          <w:sz w:val="24"/>
          <w:b/>
        </w:rPr>
        <w:t>韶关市中晟项目管理有限公司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韶关市中晟项目管理有限公司</w:t>
      </w:r>
      <w:r>
        <w:rPr/>
        <w:t>受</w:t>
      </w:r>
      <w:r>
        <w:rPr/>
        <w:t>乐昌市教育局</w:t>
      </w:r>
      <w:r>
        <w:rPr/>
        <w:t>的委托，采用</w:t>
      </w:r>
      <w:r>
        <w:rPr/>
        <w:t>公开招标</w:t>
      </w:r>
      <w:r>
        <w:rPr/>
        <w:t>方式组织采购</w:t>
      </w:r>
      <w:r>
        <w:rPr/>
        <w:t>新建乐昌市新城中学设施设备采购项目之课桌椅及宿舍床柜采购项目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新建乐昌市新城中学设施设备采购项目之课桌椅及宿舍床柜采购项目</w:t>
      </w:r>
    </w:p>
    <w:p>
      <w:pPr>
        <w:pStyle w:val="null3"/>
        <w:ind w:firstLine="480"/>
      </w:pPr>
      <w:r>
        <w:rPr/>
        <w:t>采购计划编号：</w:t>
      </w:r>
      <w:r>
        <w:rPr/>
        <w:t>440281-2024-01139</w:t>
      </w:r>
    </w:p>
    <w:p>
      <w:pPr>
        <w:pStyle w:val="null3"/>
        <w:ind w:firstLine="480"/>
      </w:pPr>
      <w:r>
        <w:rPr/>
        <w:t>采购项目编号：</w:t>
      </w:r>
      <w:r>
        <w:rPr/>
        <w:t>SGZS2024041</w:t>
      </w:r>
    </w:p>
    <w:p>
      <w:pPr>
        <w:pStyle w:val="null3"/>
        <w:ind w:firstLine="480"/>
      </w:pPr>
      <w:r>
        <w:rPr/>
        <w:t>采购方式：</w:t>
      </w:r>
      <w:r>
        <w:rPr/>
        <w:t>公开招标</w:t>
      </w:r>
    </w:p>
    <w:p>
      <w:pPr>
        <w:pStyle w:val="null3"/>
        <w:ind w:firstLine="480"/>
      </w:pPr>
      <w:r>
        <w:rPr/>
        <w:t>预算金额：</w:t>
      </w:r>
      <w:r>
        <w:rPr/>
        <w:t>2,005,800.00</w:t>
      </w:r>
      <w:r>
        <w:rPr/>
        <w:t>元</w:t>
      </w:r>
    </w:p>
    <w:p>
      <w:pPr>
        <w:pStyle w:val="null3"/>
        <w:outlineLvl w:val="3"/>
      </w:pPr>
      <w:r>
        <w:rPr>
          <w:sz w:val="24"/>
          <w:b/>
        </w:rPr>
        <w:t>2.项目内容及需求情况（采购项目技术规格、参数及要求）</w:t>
      </w:r>
    </w:p>
    <w:p>
      <w:pPr>
        <w:pStyle w:val="null3"/>
      </w:pPr>
      <w:r>
        <w:rPr/>
        <w:t>采购包1(新建乐昌市新城中学设施设备采购项目之课桌椅及宿舍床柜采购项目):</w:t>
      </w:r>
    </w:p>
    <w:p>
      <w:pPr>
        <w:pStyle w:val="null3"/>
      </w:pPr>
      <w:r>
        <w:rPr/>
        <w:t>采购包预算金额：2,005,800.00元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其他家具</w:t>
            </w:r>
          </w:p>
        </w:tc>
        <w:tc>
          <w:tcPr>
            <w:tcW w:type="dxa" w:w="2052"/>
          </w:tcPr>
          <w:p>
            <w:pPr>
              <w:pStyle w:val="null3"/>
            </w:pPr>
            <w:r>
              <w:rPr/>
              <w:t>升降课桌椅</w:t>
            </w:r>
          </w:p>
        </w:tc>
        <w:tc>
          <w:tcPr>
            <w:tcW w:type="dxa" w:w="977"/>
          </w:tcPr>
          <w:p>
            <w:pPr>
              <w:pStyle w:val="null3"/>
            </w:pPr>
            <w:r>
              <w:rPr/>
              <w:t>1,800(套)</w:t>
            </w:r>
          </w:p>
        </w:tc>
        <w:tc>
          <w:tcPr>
            <w:tcW w:type="dxa" w:w="977"/>
          </w:tcPr>
          <w:p>
            <w:pPr>
              <w:pStyle w:val="null3"/>
            </w:pPr>
            <w:r>
              <w:rPr/>
              <w:t>详见第二章</w:t>
            </w:r>
          </w:p>
        </w:tc>
        <w:tc>
          <w:tcPr>
            <w:tcW w:type="dxa" w:w="977"/>
          </w:tcPr>
          <w:p>
            <w:pPr>
              <w:pStyle w:val="null3"/>
            </w:pPr>
            <w:r>
              <w:rPr/>
              <w:t>594,000.00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其他家具</w:t>
            </w:r>
          </w:p>
        </w:tc>
        <w:tc>
          <w:tcPr>
            <w:tcW w:type="dxa" w:w="2052"/>
          </w:tcPr>
          <w:p>
            <w:pPr>
              <w:pStyle w:val="null3"/>
            </w:pPr>
            <w:r>
              <w:rPr/>
              <w:t>讲台</w:t>
            </w:r>
          </w:p>
        </w:tc>
        <w:tc>
          <w:tcPr>
            <w:tcW w:type="dxa" w:w="977"/>
          </w:tcPr>
          <w:p>
            <w:pPr>
              <w:pStyle w:val="null3"/>
            </w:pPr>
            <w:r>
              <w:rPr/>
              <w:t>40(张)</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其他家具</w:t>
            </w:r>
          </w:p>
        </w:tc>
        <w:tc>
          <w:tcPr>
            <w:tcW w:type="dxa" w:w="2052"/>
          </w:tcPr>
          <w:p>
            <w:pPr>
              <w:pStyle w:val="null3"/>
            </w:pPr>
            <w:r>
              <w:rPr/>
              <w:t>布板</w:t>
            </w:r>
          </w:p>
        </w:tc>
        <w:tc>
          <w:tcPr>
            <w:tcW w:type="dxa" w:w="977"/>
          </w:tcPr>
          <w:p>
            <w:pPr>
              <w:pStyle w:val="null3"/>
            </w:pPr>
            <w:r>
              <w:rPr/>
              <w:t>40(张)</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其他家具</w:t>
            </w:r>
          </w:p>
        </w:tc>
        <w:tc>
          <w:tcPr>
            <w:tcW w:type="dxa" w:w="2052"/>
          </w:tcPr>
          <w:p>
            <w:pPr>
              <w:pStyle w:val="null3"/>
            </w:pPr>
            <w:r>
              <w:rPr/>
              <w:t>宿舍铁架床</w:t>
            </w:r>
          </w:p>
        </w:tc>
        <w:tc>
          <w:tcPr>
            <w:tcW w:type="dxa" w:w="977"/>
          </w:tcPr>
          <w:p>
            <w:pPr>
              <w:pStyle w:val="null3"/>
            </w:pPr>
            <w:r>
              <w:rPr/>
              <w:t>770(张)</w:t>
            </w:r>
          </w:p>
        </w:tc>
        <w:tc>
          <w:tcPr>
            <w:tcW w:type="dxa" w:w="977"/>
          </w:tcPr>
          <w:p>
            <w:pPr>
              <w:pStyle w:val="null3"/>
            </w:pPr>
            <w:r>
              <w:rPr/>
              <w:t>详见第二章</w:t>
            </w:r>
          </w:p>
        </w:tc>
        <w:tc>
          <w:tcPr>
            <w:tcW w:type="dxa" w:w="977"/>
          </w:tcPr>
          <w:p>
            <w:pPr>
              <w:pStyle w:val="null3"/>
            </w:pPr>
            <w:r>
              <w:rPr/>
              <w:t>847,000.00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其他家具</w:t>
            </w:r>
          </w:p>
        </w:tc>
        <w:tc>
          <w:tcPr>
            <w:tcW w:type="dxa" w:w="2052"/>
          </w:tcPr>
          <w:p>
            <w:pPr>
              <w:pStyle w:val="null3"/>
            </w:pPr>
            <w:r>
              <w:rPr/>
              <w:t>储物柜</w:t>
            </w:r>
          </w:p>
        </w:tc>
        <w:tc>
          <w:tcPr>
            <w:tcW w:type="dxa" w:w="977"/>
          </w:tcPr>
          <w:p>
            <w:pPr>
              <w:pStyle w:val="null3"/>
            </w:pPr>
            <w:r>
              <w:rPr/>
              <w:t>308(个)</w:t>
            </w:r>
          </w:p>
        </w:tc>
        <w:tc>
          <w:tcPr>
            <w:tcW w:type="dxa" w:w="977"/>
          </w:tcPr>
          <w:p>
            <w:pPr>
              <w:pStyle w:val="null3"/>
            </w:pPr>
            <w:r>
              <w:rPr/>
              <w:t>详见第二章</w:t>
            </w:r>
          </w:p>
        </w:tc>
        <w:tc>
          <w:tcPr>
            <w:tcW w:type="dxa" w:w="977"/>
          </w:tcPr>
          <w:p>
            <w:pPr>
              <w:pStyle w:val="null3"/>
            </w:pPr>
            <w:r>
              <w:rPr/>
              <w:t>492,800.00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合同履行期限：2024年08月30日之前完成所有产品的安装调试，验收合格。</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2）有依法缴纳税收和社会保障资金的良好记录：投标文件中提供《资格条件承诺函》（《资格条件承诺函》格式详见招标公告附件）。</w:t>
      </w:r>
    </w:p>
    <w:p>
      <w:pPr>
        <w:pStyle w:val="null3"/>
      </w:pPr>
      <w:r>
        <w:rPr/>
        <w:t>3）具有良好的商业信誉和健全的财务会计制度：投标文件中提供《资格条件承诺函》。（《资格条件承诺函》格式详见招标公告附件）。</w:t>
      </w:r>
    </w:p>
    <w:p>
      <w:pPr>
        <w:pStyle w:val="null3"/>
      </w:pPr>
      <w:r>
        <w:rPr/>
        <w:t>4）履行合同所必需的设备和专业技术能力：投标文件中提供《资格条件承诺函》。（《资格条件承诺函》格式详见招标公告附件）。</w:t>
      </w:r>
    </w:p>
    <w:p>
      <w:pPr>
        <w:pStyle w:val="null3"/>
      </w:pPr>
      <w:r>
        <w:rPr/>
        <w:t>5）参加采购活动前3年内，在经营活动中没有重大违法记录：投标文件中提供《资格条件承诺函》。（《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采购包1（新建乐昌市新城中学设施设备采购项目之课桌椅及宿舍床柜采购项目）：</w:t>
      </w:r>
      <w:r>
        <w:rPr/>
        <w:t>参与的供应商提供的货物全部由符合政策要求的中小企业制造。</w:t>
      </w:r>
    </w:p>
    <w:p>
      <w:pPr>
        <w:pStyle w:val="null3"/>
        <w:outlineLvl w:val="3"/>
      </w:pPr>
      <w:r>
        <w:rPr>
          <w:sz w:val="24"/>
          <w:b/>
        </w:rPr>
        <w:t>3.本项目特定的资格要求：</w:t>
      </w:r>
    </w:p>
    <w:p>
      <w:pPr>
        <w:pStyle w:val="null3"/>
      </w:pPr>
      <w:r>
        <w:rPr/>
        <w:t>采购包1（新建乐昌市新城中学设施设备采购项目之课桌椅及宿舍床柜采购项目）：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人员于投标（响应）截止时间当天在“信用中国”网站（www.creditchina.gov.cn）及中国政府采购网。（http://www.ccgp.gov.cn/）查询结果为准，如相关失信记录已失效，投标人需提供相关证明资料）。 如“信用中国”网站查询结果显示“没有找到您搜索的企业”或“没有找到您搜索数据”，视为没有上述三类不良信用记录。</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乐昌市教育局</w:t>
      </w:r>
    </w:p>
    <w:p>
      <w:pPr>
        <w:pStyle w:val="null3"/>
        <w:ind w:firstLine="480"/>
      </w:pPr>
      <w:r>
        <w:rPr/>
        <w:t xml:space="preserve"> 地址：</w:t>
      </w:r>
      <w:r>
        <w:rPr/>
        <w:t>乐昌市公主下路66号</w:t>
      </w:r>
    </w:p>
    <w:p>
      <w:pPr>
        <w:pStyle w:val="null3"/>
        <w:ind w:firstLine="480"/>
      </w:pPr>
      <w:r>
        <w:rPr/>
        <w:t xml:space="preserve"> 联系方式：</w:t>
      </w:r>
      <w:r>
        <w:rPr/>
        <w:t>0751-5561137</w:t>
      </w:r>
    </w:p>
    <w:p>
      <w:pPr>
        <w:pStyle w:val="null3"/>
        <w:outlineLvl w:val="3"/>
      </w:pPr>
      <w:r>
        <w:rPr>
          <w:sz w:val="24"/>
          <w:b/>
        </w:rPr>
        <w:t xml:space="preserve"> 2.采购代理机构信息</w:t>
      </w:r>
    </w:p>
    <w:p>
      <w:pPr>
        <w:pStyle w:val="null3"/>
        <w:ind w:firstLine="480"/>
      </w:pPr>
      <w:r>
        <w:rPr/>
        <w:t xml:space="preserve"> 名称：</w:t>
      </w:r>
      <w:r>
        <w:rPr/>
        <w:t>韶关市中晟项目管理有限公司</w:t>
      </w:r>
    </w:p>
    <w:p>
      <w:pPr>
        <w:pStyle w:val="null3"/>
        <w:ind w:firstLine="480"/>
      </w:pPr>
      <w:r>
        <w:rPr/>
        <w:t xml:space="preserve"> 地址：</w:t>
      </w:r>
      <w:r>
        <w:rPr/>
        <w:t>广东省韶关市武江区韶关市武江区芙蓉新村六街4栋A</w:t>
      </w:r>
    </w:p>
    <w:p>
      <w:pPr>
        <w:pStyle w:val="null3"/>
        <w:ind w:firstLine="480"/>
      </w:pPr>
      <w:r>
        <w:rPr/>
        <w:t xml:space="preserve"> 联系方式：</w:t>
      </w:r>
      <w:r>
        <w:rPr/>
        <w:t>0751-8288690</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0751-8288690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韶关市中晟项目管理有限公司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乐昌市新城中学规划了普通课室</w:t>
      </w:r>
      <w:r>
        <w:rPr/>
        <w:t>54</w:t>
      </w:r>
      <w:r>
        <w:rPr/>
        <w:t>间，备用课室</w:t>
      </w:r>
      <w:r>
        <w:rPr/>
        <w:t>6</w:t>
      </w:r>
      <w:r>
        <w:rPr/>
        <w:t>间，理化生实验室</w:t>
      </w:r>
      <w:r>
        <w:rPr/>
        <w:t>9</w:t>
      </w:r>
      <w:r>
        <w:rPr/>
        <w:t>间，录播室</w:t>
      </w:r>
      <w:r>
        <w:rPr/>
        <w:t>2</w:t>
      </w:r>
      <w:r>
        <w:rPr/>
        <w:t>间，男女宿舍共计</w:t>
      </w:r>
      <w:r>
        <w:rPr/>
        <w:t>230</w:t>
      </w:r>
      <w:r>
        <w:rPr/>
        <w:t>间，本次按照两个年级的学生数量来配置课桌椅及宿舍床柜。</w:t>
      </w:r>
    </w:p>
    <w:p>
      <w:pPr>
        <w:pStyle w:val="null3"/>
      </w:pPr>
      <w:r>
        <w:rPr/>
        <w:t>采购包1（新建乐昌市新城中学设施设备采购项目之课桌椅及宿舍床柜采购项目）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2024年08月30日之前完成所有产品的安装调试，并经验收合格后交付采购人使用。</w:t>
            </w:r>
          </w:p>
        </w:tc>
      </w:tr>
      <w:tr>
        <w:tc>
          <w:tcPr>
            <w:tcW w:type="dxa" w:w="4153"/>
          </w:tcPr>
          <w:p>
            <w:pPr>
              <w:pStyle w:val="null3"/>
            </w:pPr>
            <w:r>
              <w:rPr/>
              <w:t>标的提供的地点</w:t>
            </w:r>
          </w:p>
        </w:tc>
        <w:tc>
          <w:tcPr>
            <w:tcW w:type="dxa" w:w="4153"/>
          </w:tcPr>
          <w:p>
            <w:pPr>
              <w:pStyle w:val="null3"/>
            </w:pPr>
            <w:r>
              <w:rPr/>
              <w:t>乐昌市新城中学。</w:t>
            </w:r>
          </w:p>
        </w:tc>
      </w:tr>
      <w:tr>
        <w:tc>
          <w:tcPr>
            <w:tcW w:type="dxa" w:w="4153"/>
          </w:tcPr>
          <w:p>
            <w:pPr>
              <w:pStyle w:val="null3"/>
            </w:pPr>
            <w:r>
              <w:rPr/>
              <w:t>付款方式</w:t>
            </w:r>
          </w:p>
        </w:tc>
        <w:tc>
          <w:tcPr>
            <w:tcW w:type="dxa" w:w="4153"/>
          </w:tcPr>
          <w:p>
            <w:pPr>
              <w:pStyle w:val="null3"/>
            </w:pPr>
            <w:r>
              <w:rPr/>
              <w:t>1期：支付比例30%,合同生效后5个工作日内,采购人在收到等额合格发票资料后向中标人支付合同总价的30%</w:t>
            </w:r>
          </w:p>
          <w:p>
            <w:pPr>
              <w:pStyle w:val="null3"/>
            </w:pPr>
            <w:r>
              <w:rPr/>
              <w:t>2期：支付比例70%,支付比例70%,经所有货物安装调试并验收合格后，采购人在收到等额合格发票及验收资料后至2027年8月31日内向中标人支付剩余合同款项。 注：①因采购人使用的是财政资金，采购人在前款规定的付款时间为向政府采购支付部门提出办理财政支付申请手续的时间（不含政府财政支付部门审核的时间），在规定时间内提出支付申请手续后即视为采购人已经按期支付。 ②付款方式：银行转账，每笔款项支付时，中标人需提供相应金额的正式发票。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要求对全部设备、产品、型号、规格、数量、外型、外观、包装及资料、文件（如装箱单、保修单、随箱介质等）的验收，中标人应根据所提交的验收方案和实施办法，自行组织设备和人员，并在使用单位监查下现场进行测试和验收。 2、中标人应负责在项目验收时将项目的全部有关产品说明书、原厂家安装手册、技术文件、资料、及安装、验收报告等文档汇集成册交付采购人。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1、投标人应对总价进行报价，并按照《分项报价表》的内容对采购清单中所有产品单价进行分项报价。 2、报价应包含货物及所需附件的购置费、包装费、运输费、人工费、保险费、各种税费、验收费、售后服务费及合同实施过程中的应预见和不可预见费用等完成合同规定责任和义务、达到合同目的的一切费用。 3、报价超出预算金额或最高限价的，评标委员会将对其投标文件作无效投标处理。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所有设备、器材在开箱时应完好，无破损。配置与装箱单相符。数量、质量及性能不低于合同要求。拆箱后，中标人应对其全部产品、零件、配件、用户许可证书、资料、介质造册登记，并与装箱单对比，如有出入应立即书面记录，由供货商解决，如影响安装则按合同有关条款处理。</w:t>
            </w:r>
          </w:p>
        </w:tc>
      </w:tr>
      <w:tr>
        <w:tc>
          <w:tcPr>
            <w:tcW w:type="dxa" w:w="2076"/>
          </w:tcPr>
          <w:p/>
        </w:tc>
        <w:tc>
          <w:tcPr>
            <w:tcW w:type="dxa" w:w="2076"/>
          </w:tcPr>
          <w:p>
            <w:pPr>
              <w:pStyle w:val="null3"/>
              <w:jc w:val="center"/>
            </w:pPr>
            <w:r>
              <w:rPr/>
              <w:t>3</w:t>
            </w:r>
          </w:p>
        </w:tc>
        <w:tc>
          <w:tcPr>
            <w:tcW w:type="dxa" w:w="2076"/>
          </w:tcPr>
          <w:p>
            <w:pPr>
              <w:pStyle w:val="null3"/>
              <w:jc w:val="left"/>
            </w:pPr>
            <w:r>
              <w:rPr/>
              <w:t>交付方式</w:t>
            </w:r>
          </w:p>
        </w:tc>
        <w:tc>
          <w:tcPr>
            <w:tcW w:type="dxa" w:w="2076"/>
          </w:tcPr>
          <w:p>
            <w:pPr>
              <w:pStyle w:val="null3"/>
              <w:jc w:val="left"/>
            </w:pPr>
            <w:r>
              <w:rPr/>
              <w:t>1、中标人需负责将所有货物运送至采购人指定的安装地点，进行安装调试。本项目所有设备应包含正常运行所需的相关连接配件以及搬运，采购人不另行支付任何费用。2、中标人所投货物如在实际供货时缺货，需按原报价提供同品牌、相同或更高配置的货物，否则视为拒绝履行合同义务处理。</w:t>
            </w:r>
          </w:p>
        </w:tc>
      </w:tr>
      <w:tr>
        <w:tc>
          <w:tcPr>
            <w:tcW w:type="dxa" w:w="2076"/>
          </w:tcPr>
          <w:p/>
        </w:tc>
        <w:tc>
          <w:tcPr>
            <w:tcW w:type="dxa" w:w="2076"/>
          </w:tcPr>
          <w:p>
            <w:pPr>
              <w:pStyle w:val="null3"/>
              <w:jc w:val="center"/>
            </w:pPr>
            <w:r>
              <w:rPr/>
              <w:t>4</w:t>
            </w:r>
          </w:p>
        </w:tc>
        <w:tc>
          <w:tcPr>
            <w:tcW w:type="dxa" w:w="2076"/>
          </w:tcPr>
          <w:p>
            <w:pPr>
              <w:pStyle w:val="null3"/>
              <w:jc w:val="left"/>
            </w:pPr>
            <w:r>
              <w:rPr/>
              <w:t>安装与调试</w:t>
            </w:r>
          </w:p>
        </w:tc>
        <w:tc>
          <w:tcPr>
            <w:tcW w:type="dxa" w:w="2076"/>
          </w:tcPr>
          <w:p>
            <w:pPr>
              <w:pStyle w:val="null3"/>
              <w:jc w:val="left"/>
            </w:pPr>
            <w:r>
              <w:rPr/>
              <w:t>根据行业标准、国家标准进行安装调测。</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w:t>
            </w:r>
          </w:p>
        </w:tc>
        <w:tc>
          <w:tcPr>
            <w:tcW w:type="dxa" w:w="2076"/>
          </w:tcPr>
          <w:p>
            <w:pPr>
              <w:pStyle w:val="null3"/>
              <w:jc w:val="left"/>
            </w:pPr>
            <w:r>
              <w:rPr/>
              <w:t>1、所有货物需提供三年保修服务，质保期内的上门维护维修，不再另收取费用（服务期自验收之日起计算）。 2、质保期内，所有硬件设备及其配件的更换、维修均为免费。 3、设备故障报修的响应时间为：10分钟；若电话中无法解决，需在3小时内到达到达现场进行维护。 4、中标人须拥有专业的维护技术人员，可以满足7×24小时的维护要求。 5、中标人须具有提供韶关辖区服务的能力。 6、中标人应负责在项目验收时将设备的全部有关产品说明书、原厂家安装手册、使用（配置）手册等文档汇集成册交付采购人。 7、中标人在供货期间或售后服务期内，应保障顺利供货，并制定应急预案，包括风险预防、快速应对与资源调配、应急服务响应时间、突发事件处理措施，保障项目顺利执行。</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依据《转发财政部发展改革委生态环境部市场监管总局关于调整优化节能产品环境标志产品政府采购执行机制的通知》(粤财采购〔2019〕1号)的要求，投标人所投产品属于强制采购产品类别的(请按照由国家统一确定和发布的最新版强制采购品目清单执行），必须在投标文件中提供由国家确定的认证机构出具的、处于有限期之内的节能产品或环境标志产品认证证书（复印件），否则，作无效投标处理。</w:t>
            </w:r>
          </w:p>
        </w:tc>
        <w:tc>
          <w:tcPr>
            <w:tcW w:type="dxa" w:w="2076"/>
          </w:tcPr>
          <w:p>
            <w:pPr>
              <w:pStyle w:val="null3"/>
              <w:jc w:val="left"/>
            </w:pPr>
            <w:r>
              <w:rPr/>
              <w:t>依据《转发财政部发展改革委生态环境部市场监管总局关于调整优化节能产品环境标志产品政府采购执行机制的通知》(粤财采购〔2019〕1号)的要求，投标人所投产品属于强制采购产品类别的(请按照由国家统一确定和发布的最新版强制采购品目清单执行），必须在投标文件中提供由国家确定的认证机构出具的、处于有限期之内的节能产品或环境标志产品认证证书（复印件），否则，作无效投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升降课桌椅</w:t>
            </w:r>
          </w:p>
        </w:tc>
        <w:tc>
          <w:tcPr>
            <w:tcW w:type="dxa" w:w="831"/>
          </w:tcPr>
          <w:p>
            <w:pPr>
              <w:pStyle w:val="null3"/>
              <w:jc w:val="left"/>
            </w:pPr>
            <w:r>
              <w:rPr/>
              <w:t>套</w:t>
            </w:r>
          </w:p>
        </w:tc>
        <w:tc>
          <w:tcPr>
            <w:tcW w:type="dxa" w:w="831"/>
          </w:tcPr>
          <w:p>
            <w:pPr>
              <w:pStyle w:val="null3"/>
              <w:jc w:val="right"/>
            </w:pPr>
            <w:r>
              <w:rPr/>
              <w:t>1,800.00</w:t>
            </w:r>
          </w:p>
        </w:tc>
        <w:tc>
          <w:tcPr>
            <w:tcW w:type="dxa" w:w="831"/>
          </w:tcPr>
          <w:p>
            <w:pPr>
              <w:pStyle w:val="null3"/>
              <w:jc w:val="right"/>
            </w:pPr>
            <w:r>
              <w:rPr/>
              <w:t>330.00</w:t>
            </w:r>
          </w:p>
        </w:tc>
        <w:tc>
          <w:tcPr>
            <w:tcW w:type="dxa" w:w="831"/>
          </w:tcPr>
          <w:p>
            <w:pPr>
              <w:pStyle w:val="null3"/>
              <w:jc w:val="right"/>
            </w:pPr>
            <w:r>
              <w:rPr/>
              <w:t>594,000.00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其他家具</w:t>
            </w:r>
          </w:p>
        </w:tc>
        <w:tc>
          <w:tcPr>
            <w:tcW w:type="dxa" w:w="831"/>
          </w:tcPr>
          <w:p>
            <w:pPr>
              <w:pStyle w:val="null3"/>
              <w:jc w:val="left"/>
            </w:pPr>
            <w:r>
              <w:rPr/>
              <w:t>讲台</w:t>
            </w:r>
          </w:p>
        </w:tc>
        <w:tc>
          <w:tcPr>
            <w:tcW w:type="dxa" w:w="831"/>
          </w:tcPr>
          <w:p>
            <w:pPr>
              <w:pStyle w:val="null3"/>
              <w:jc w:val="left"/>
            </w:pPr>
            <w:r>
              <w:rPr/>
              <w:t>张</w:t>
            </w:r>
          </w:p>
        </w:tc>
        <w:tc>
          <w:tcPr>
            <w:tcW w:type="dxa" w:w="831"/>
          </w:tcPr>
          <w:p>
            <w:pPr>
              <w:pStyle w:val="null3"/>
              <w:jc w:val="right"/>
            </w:pPr>
            <w:r>
              <w:rPr/>
              <w:t>40.00</w:t>
            </w:r>
          </w:p>
        </w:tc>
        <w:tc>
          <w:tcPr>
            <w:tcW w:type="dxa" w:w="831"/>
          </w:tcPr>
          <w:p>
            <w:pPr>
              <w:pStyle w:val="null3"/>
              <w:jc w:val="right"/>
            </w:pPr>
            <w:r>
              <w:rPr/>
              <w:t>1,000.00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布板</w:t>
            </w:r>
          </w:p>
        </w:tc>
        <w:tc>
          <w:tcPr>
            <w:tcW w:type="dxa" w:w="831"/>
          </w:tcPr>
          <w:p>
            <w:pPr>
              <w:pStyle w:val="null3"/>
              <w:jc w:val="left"/>
            </w:pPr>
            <w:r>
              <w:rPr/>
              <w:t>张</w:t>
            </w:r>
          </w:p>
        </w:tc>
        <w:tc>
          <w:tcPr>
            <w:tcW w:type="dxa" w:w="831"/>
          </w:tcPr>
          <w:p>
            <w:pPr>
              <w:pStyle w:val="null3"/>
              <w:jc w:val="right"/>
            </w:pPr>
            <w:r>
              <w:rPr/>
              <w:t>40.00</w:t>
            </w:r>
          </w:p>
        </w:tc>
        <w:tc>
          <w:tcPr>
            <w:tcW w:type="dxa" w:w="831"/>
          </w:tcPr>
          <w:p>
            <w:pPr>
              <w:pStyle w:val="null3"/>
              <w:jc w:val="right"/>
            </w:pPr>
            <w:r>
              <w:rPr/>
              <w:t>800.00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宿舍铁架床</w:t>
            </w:r>
          </w:p>
        </w:tc>
        <w:tc>
          <w:tcPr>
            <w:tcW w:type="dxa" w:w="831"/>
          </w:tcPr>
          <w:p>
            <w:pPr>
              <w:pStyle w:val="null3"/>
              <w:jc w:val="left"/>
            </w:pPr>
            <w:r>
              <w:rPr/>
              <w:t>张</w:t>
            </w:r>
          </w:p>
        </w:tc>
        <w:tc>
          <w:tcPr>
            <w:tcW w:type="dxa" w:w="831"/>
          </w:tcPr>
          <w:p>
            <w:pPr>
              <w:pStyle w:val="null3"/>
              <w:jc w:val="right"/>
            </w:pPr>
            <w:r>
              <w:rPr/>
              <w:t>770.00</w:t>
            </w:r>
          </w:p>
        </w:tc>
        <w:tc>
          <w:tcPr>
            <w:tcW w:type="dxa" w:w="831"/>
          </w:tcPr>
          <w:p>
            <w:pPr>
              <w:pStyle w:val="null3"/>
              <w:jc w:val="right"/>
            </w:pPr>
            <w:r>
              <w:rPr/>
              <w:t>1,100.00</w:t>
            </w:r>
          </w:p>
        </w:tc>
        <w:tc>
          <w:tcPr>
            <w:tcW w:type="dxa" w:w="831"/>
          </w:tcPr>
          <w:p>
            <w:pPr>
              <w:pStyle w:val="null3"/>
              <w:jc w:val="right"/>
            </w:pPr>
            <w:r>
              <w:rPr/>
              <w:t>847,000.00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储物柜</w:t>
            </w:r>
          </w:p>
        </w:tc>
        <w:tc>
          <w:tcPr>
            <w:tcW w:type="dxa" w:w="831"/>
          </w:tcPr>
          <w:p>
            <w:pPr>
              <w:pStyle w:val="null3"/>
              <w:jc w:val="left"/>
            </w:pPr>
            <w:r>
              <w:rPr/>
              <w:t>个</w:t>
            </w:r>
          </w:p>
        </w:tc>
        <w:tc>
          <w:tcPr>
            <w:tcW w:type="dxa" w:w="831"/>
          </w:tcPr>
          <w:p>
            <w:pPr>
              <w:pStyle w:val="null3"/>
              <w:jc w:val="right"/>
            </w:pPr>
            <w:r>
              <w:rPr/>
              <w:t>308.00</w:t>
            </w:r>
          </w:p>
        </w:tc>
        <w:tc>
          <w:tcPr>
            <w:tcW w:type="dxa" w:w="831"/>
          </w:tcPr>
          <w:p>
            <w:pPr>
              <w:pStyle w:val="null3"/>
              <w:jc w:val="right"/>
            </w:pPr>
            <w:r>
              <w:rPr/>
              <w:t>1,600.00</w:t>
            </w:r>
          </w:p>
        </w:tc>
        <w:tc>
          <w:tcPr>
            <w:tcW w:type="dxa" w:w="831"/>
          </w:tcPr>
          <w:p>
            <w:pPr>
              <w:pStyle w:val="null3"/>
              <w:jc w:val="right"/>
            </w:pPr>
            <w:r>
              <w:rPr/>
              <w:t>492,800.00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升降课桌椅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w:t>
            </w:r>
            <w:r>
              <w:rPr>
                <w:sz w:val="20"/>
              </w:rPr>
              <w:t>、规格：桌面尺寸：</w:t>
            </w:r>
            <w:r>
              <w:rPr>
                <w:sz w:val="20"/>
              </w:rPr>
              <w:t>650mm</w:t>
            </w:r>
            <w:r>
              <w:rPr>
                <w:sz w:val="20"/>
              </w:rPr>
              <w:t>×</w:t>
            </w:r>
            <w:r>
              <w:rPr>
                <w:sz w:val="20"/>
              </w:rPr>
              <w:t>450mm</w:t>
            </w:r>
            <w:r>
              <w:rPr>
                <w:sz w:val="20"/>
              </w:rPr>
              <w:t>（高度可升降</w:t>
            </w:r>
            <w:r>
              <w:rPr>
                <w:sz w:val="20"/>
              </w:rPr>
              <w:t>670MM-790MM</w:t>
            </w:r>
            <w:r>
              <w:rPr>
                <w:sz w:val="20"/>
              </w:rPr>
              <w:t>）。</w:t>
            </w:r>
          </w:p>
          <w:p>
            <w:pPr>
              <w:pStyle w:val="null3"/>
              <w:jc w:val="left"/>
            </w:pPr>
            <w:r>
              <w:rPr>
                <w:sz w:val="20"/>
              </w:rPr>
              <w:t>2</w:t>
            </w:r>
            <w:r>
              <w:rPr>
                <w:sz w:val="20"/>
              </w:rPr>
              <w:t>、桌面：桌面板尺寸</w:t>
            </w:r>
            <w:r>
              <w:rPr>
                <w:sz w:val="20"/>
              </w:rPr>
              <w:t>650mm</w:t>
            </w:r>
            <w:r>
              <w:rPr>
                <w:sz w:val="20"/>
              </w:rPr>
              <w:t>×</w:t>
            </w:r>
            <w:r>
              <w:rPr>
                <w:sz w:val="20"/>
              </w:rPr>
              <w:t>450mm</w:t>
            </w:r>
            <w:r>
              <w:rPr>
                <w:sz w:val="20"/>
              </w:rPr>
              <w:t>×</w:t>
            </w:r>
            <w:r>
              <w:rPr>
                <w:sz w:val="20"/>
              </w:rPr>
              <w:t>18mm</w:t>
            </w:r>
            <w:r>
              <w:rPr>
                <w:sz w:val="20"/>
              </w:rPr>
              <w:t>（±</w:t>
            </w:r>
            <w:r>
              <w:rPr>
                <w:sz w:val="20"/>
              </w:rPr>
              <w:t>2mm</w:t>
            </w:r>
            <w:r>
              <w:rPr>
                <w:sz w:val="20"/>
              </w:rPr>
              <w:t>），桌面板采用</w:t>
            </w:r>
            <w:r>
              <w:rPr>
                <w:sz w:val="20"/>
              </w:rPr>
              <w:t>18mm</w:t>
            </w:r>
            <w:r>
              <w:rPr>
                <w:sz w:val="20"/>
              </w:rPr>
              <w:t>厚高密度板，桌面左右两边靠上各有一根长</w:t>
            </w:r>
            <w:r>
              <w:rPr>
                <w:sz w:val="20"/>
              </w:rPr>
              <w:t>219</w:t>
            </w:r>
            <w:r>
              <w:rPr>
                <w:sz w:val="20"/>
              </w:rPr>
              <w:t>宽</w:t>
            </w:r>
            <w:r>
              <w:rPr>
                <w:sz w:val="20"/>
              </w:rPr>
              <w:t>19mm</w:t>
            </w:r>
            <w:r>
              <w:rPr>
                <w:sz w:val="20"/>
              </w:rPr>
              <w:t>的笔槽，笔槽与边连接一起，四周边沿采用一次性无接头</w:t>
            </w:r>
            <w:r>
              <w:rPr>
                <w:sz w:val="20"/>
              </w:rPr>
              <w:t>PP</w:t>
            </w:r>
            <w:r>
              <w:rPr>
                <w:sz w:val="20"/>
              </w:rPr>
              <w:t>塑料注塑封边一次成型），桌面靠身下鸭嘴边设计、其他三边圆弧形设计，防止桌面与学生发生磕碰。</w:t>
            </w:r>
          </w:p>
          <w:p>
            <w:pPr>
              <w:pStyle w:val="null3"/>
              <w:jc w:val="left"/>
            </w:pPr>
            <w:r>
              <w:rPr>
                <w:sz w:val="20"/>
              </w:rPr>
              <w:t>3</w:t>
            </w:r>
            <w:r>
              <w:rPr>
                <w:sz w:val="20"/>
              </w:rPr>
              <w:t>、书斗：</w:t>
            </w:r>
            <w:r>
              <w:rPr>
                <w:sz w:val="20"/>
              </w:rPr>
              <w:t>1</w:t>
            </w:r>
            <w:r>
              <w:rPr>
                <w:sz w:val="20"/>
              </w:rPr>
              <w:t>）书斗外径尺寸：不小于长</w:t>
            </w:r>
            <w:r>
              <w:rPr>
                <w:sz w:val="20"/>
              </w:rPr>
              <w:t>530mm</w:t>
            </w:r>
            <w:r>
              <w:rPr>
                <w:sz w:val="20"/>
              </w:rPr>
              <w:t>×宽</w:t>
            </w:r>
            <w:r>
              <w:rPr>
                <w:sz w:val="20"/>
              </w:rPr>
              <w:t>300mm</w:t>
            </w:r>
            <w:r>
              <w:rPr>
                <w:sz w:val="20"/>
              </w:rPr>
              <w:t>×高</w:t>
            </w:r>
            <w:r>
              <w:rPr>
                <w:sz w:val="20"/>
              </w:rPr>
              <w:t>165mm</w:t>
            </w:r>
            <w:r>
              <w:rPr>
                <w:sz w:val="20"/>
              </w:rPr>
              <w:t>。</w:t>
            </w:r>
            <w:r>
              <w:rPr>
                <w:sz w:val="20"/>
              </w:rPr>
              <w:t>2</w:t>
            </w:r>
            <w:r>
              <w:rPr>
                <w:sz w:val="20"/>
              </w:rPr>
              <w:t>）书斗内有长</w:t>
            </w:r>
            <w:r>
              <w:rPr>
                <w:sz w:val="20"/>
              </w:rPr>
              <w:t>410*50*16</w:t>
            </w:r>
            <w:r>
              <w:rPr>
                <w:sz w:val="20"/>
              </w:rPr>
              <w:t>深的笔槽，内含多个</w:t>
            </w:r>
            <w:r>
              <w:rPr>
                <w:sz w:val="20"/>
              </w:rPr>
              <w:t>25*5mm</w:t>
            </w:r>
            <w:r>
              <w:rPr>
                <w:sz w:val="20"/>
              </w:rPr>
              <w:t>透气孔，加强筋为双十字型分布，加强筋厚度在</w:t>
            </w:r>
            <w:r>
              <w:rPr>
                <w:sz w:val="20"/>
              </w:rPr>
              <w:t>9.5mm</w:t>
            </w:r>
            <w:r>
              <w:rPr>
                <w:sz w:val="20"/>
              </w:rPr>
              <w:t>，规范合理分配，并且必须为隐藏式升降书斗，稳固、安全，不能在桌脚上升降。</w:t>
            </w:r>
          </w:p>
          <w:p>
            <w:pPr>
              <w:pStyle w:val="null3"/>
              <w:jc w:val="left"/>
            </w:pPr>
            <w:r>
              <w:rPr>
                <w:sz w:val="20"/>
              </w:rPr>
              <w:t>4</w:t>
            </w:r>
            <w:r>
              <w:rPr>
                <w:sz w:val="20"/>
              </w:rPr>
              <w:t>、挂钩：书斗侧边有挂钩，采用面板和书斗固定方式，不可采用书斗上面螺丝固定，以免螺丝松动，导致挂钩脱落，每个可承重</w:t>
            </w:r>
            <w:r>
              <w:rPr>
                <w:sz w:val="20"/>
              </w:rPr>
              <w:t>10</w:t>
            </w:r>
            <w:r>
              <w:rPr>
                <w:sz w:val="20"/>
              </w:rPr>
              <w:t>斤以上物品。</w:t>
            </w:r>
          </w:p>
          <w:p>
            <w:pPr>
              <w:pStyle w:val="null3"/>
              <w:jc w:val="left"/>
            </w:pPr>
            <w:r>
              <w:rPr>
                <w:sz w:val="20"/>
              </w:rPr>
              <w:t>5</w:t>
            </w:r>
            <w:r>
              <w:rPr>
                <w:sz w:val="20"/>
              </w:rPr>
              <w:t>、桌立柱脚：</w:t>
            </w:r>
            <w:r>
              <w:rPr>
                <w:sz w:val="20"/>
              </w:rPr>
              <w:t>1</w:t>
            </w:r>
            <w:r>
              <w:rPr>
                <w:sz w:val="20"/>
              </w:rPr>
              <w:t>）立柱（横截面）尺寸：长</w:t>
            </w:r>
            <w:r>
              <w:rPr>
                <w:sz w:val="20"/>
              </w:rPr>
              <w:t>65mm</w:t>
            </w:r>
            <w:r>
              <w:rPr>
                <w:sz w:val="20"/>
              </w:rPr>
              <w:t>×宽</w:t>
            </w:r>
            <w:r>
              <w:rPr>
                <w:sz w:val="20"/>
              </w:rPr>
              <w:t>32mm,</w:t>
            </w:r>
            <w:r>
              <w:rPr>
                <w:sz w:val="20"/>
              </w:rPr>
              <w:t>颜色为环保灰色。</w:t>
            </w:r>
            <w:r>
              <w:rPr>
                <w:sz w:val="20"/>
              </w:rPr>
              <w:t>2</w:t>
            </w:r>
            <w:r>
              <w:rPr>
                <w:sz w:val="20"/>
              </w:rPr>
              <w:t>）桌立柱内有加强套，以防升降孔变椭圆形，延长使用寿命。</w:t>
            </w:r>
            <w:r>
              <w:rPr>
                <w:sz w:val="20"/>
              </w:rPr>
              <w:t>3</w:t>
            </w:r>
            <w:r>
              <w:rPr>
                <w:sz w:val="20"/>
              </w:rPr>
              <w:t>）高度可以调节升降，四个脚底安装防滑及防噪音的专用胶垫，稳固安全。</w:t>
            </w:r>
            <w:r>
              <w:rPr>
                <w:sz w:val="20"/>
              </w:rPr>
              <w:t>4</w:t>
            </w:r>
            <w:r>
              <w:rPr>
                <w:sz w:val="20"/>
              </w:rPr>
              <w:t>）桌脚上宽</w:t>
            </w:r>
            <w:r>
              <w:rPr>
                <w:sz w:val="20"/>
              </w:rPr>
              <w:t>205mm</w:t>
            </w:r>
            <w:r>
              <w:rPr>
                <w:sz w:val="20"/>
              </w:rPr>
              <w:t>，下宽</w:t>
            </w:r>
            <w:r>
              <w:rPr>
                <w:sz w:val="20"/>
              </w:rPr>
              <w:t>360mm</w:t>
            </w:r>
            <w:r>
              <w:rPr>
                <w:sz w:val="20"/>
              </w:rPr>
              <w:t>，厚≧</w:t>
            </w:r>
            <w:r>
              <w:rPr>
                <w:sz w:val="20"/>
              </w:rPr>
              <w:t>40mm</w:t>
            </w:r>
            <w:r>
              <w:rPr>
                <w:sz w:val="20"/>
              </w:rPr>
              <w:t>，脚立高为</w:t>
            </w:r>
            <w:r>
              <w:rPr>
                <w:sz w:val="20"/>
              </w:rPr>
              <w:t>205mm</w:t>
            </w:r>
            <w:r>
              <w:rPr>
                <w:sz w:val="20"/>
              </w:rPr>
              <w:t>，脚垫为</w:t>
            </w:r>
            <w:r>
              <w:rPr>
                <w:sz w:val="20"/>
              </w:rPr>
              <w:t>45*40mm</w:t>
            </w:r>
            <w:r>
              <w:rPr>
                <w:sz w:val="20"/>
              </w:rPr>
              <w:t>。</w:t>
            </w:r>
            <w:r>
              <w:rPr>
                <w:sz w:val="20"/>
              </w:rPr>
              <w:t>5</w:t>
            </w:r>
            <w:r>
              <w:rPr>
                <w:sz w:val="20"/>
              </w:rPr>
              <w:t>）四个桌脚四面脚底必须是全封闭式，脚底安装防滑及防噪音的专用胶垫，脚垫不易脱落，稳固安全，颜色为环保灰色。</w:t>
            </w:r>
          </w:p>
          <w:p>
            <w:pPr>
              <w:pStyle w:val="null3"/>
              <w:jc w:val="left"/>
            </w:pPr>
            <w:r>
              <w:rPr>
                <w:sz w:val="20"/>
              </w:rPr>
              <w:t>6</w:t>
            </w:r>
            <w:r>
              <w:rPr>
                <w:sz w:val="20"/>
              </w:rPr>
              <w:t>、桌脚横梁：</w:t>
            </w:r>
            <w:r>
              <w:rPr>
                <w:sz w:val="20"/>
              </w:rPr>
              <w:t>1</w:t>
            </w:r>
            <w:r>
              <w:rPr>
                <w:sz w:val="20"/>
              </w:rPr>
              <w:t>）横梁截面的尺寸</w:t>
            </w:r>
            <w:r>
              <w:rPr>
                <w:sz w:val="20"/>
              </w:rPr>
              <w:t>65 mm</w:t>
            </w:r>
            <w:r>
              <w:rPr>
                <w:sz w:val="20"/>
              </w:rPr>
              <w:t>×</w:t>
            </w:r>
            <w:r>
              <w:rPr>
                <w:sz w:val="20"/>
              </w:rPr>
              <w:t>32mm</w:t>
            </w:r>
            <w:r>
              <w:rPr>
                <w:sz w:val="20"/>
              </w:rPr>
              <w:t>。</w:t>
            </w:r>
            <w:r>
              <w:rPr>
                <w:sz w:val="20"/>
              </w:rPr>
              <w:t>2</w:t>
            </w:r>
            <w:r>
              <w:rPr>
                <w:sz w:val="20"/>
              </w:rPr>
              <w:t>）左右脚之间有横梁连接加固，可做学生脚踏，同时又增强两根脚立柱的稳固性和平稳性。</w:t>
            </w:r>
            <w:r>
              <w:rPr>
                <w:sz w:val="20"/>
              </w:rPr>
              <w:t>3</w:t>
            </w:r>
            <w:r>
              <w:rPr>
                <w:sz w:val="20"/>
              </w:rPr>
              <w:t>）管子采用的双包层技术，既要保证管子的硬度又要保证管子韧性。</w:t>
            </w:r>
          </w:p>
          <w:p>
            <w:pPr>
              <w:pStyle w:val="null3"/>
              <w:jc w:val="left"/>
            </w:pPr>
            <w:r>
              <w:rPr>
                <w:sz w:val="20"/>
              </w:rPr>
              <w:t>7</w:t>
            </w:r>
            <w:r>
              <w:rPr>
                <w:sz w:val="20"/>
              </w:rPr>
              <w:t>、椅面：</w:t>
            </w:r>
            <w:r>
              <w:rPr>
                <w:sz w:val="20"/>
              </w:rPr>
              <w:t>1</w:t>
            </w:r>
            <w:r>
              <w:rPr>
                <w:sz w:val="20"/>
              </w:rPr>
              <w:t>）椅面尺寸</w:t>
            </w:r>
            <w:r>
              <w:rPr>
                <w:sz w:val="20"/>
              </w:rPr>
              <w:t>395*380mm</w:t>
            </w:r>
            <w:r>
              <w:rPr>
                <w:sz w:val="20"/>
              </w:rPr>
              <w:t>，椅面后靠背高为</w:t>
            </w:r>
            <w:r>
              <w:rPr>
                <w:sz w:val="20"/>
              </w:rPr>
              <w:t>390mm</w:t>
            </w:r>
            <w:r>
              <w:rPr>
                <w:sz w:val="20"/>
              </w:rPr>
              <w:t>，座板中间有菱形透气孔，内加强筋横</w:t>
            </w:r>
            <w:r>
              <w:rPr>
                <w:sz w:val="20"/>
              </w:rPr>
              <w:t>4</w:t>
            </w:r>
            <w:r>
              <w:rPr>
                <w:sz w:val="20"/>
              </w:rPr>
              <w:t>条、竖</w:t>
            </w:r>
            <w:r>
              <w:rPr>
                <w:sz w:val="20"/>
              </w:rPr>
              <w:t>2</w:t>
            </w:r>
            <w:r>
              <w:rPr>
                <w:sz w:val="20"/>
              </w:rPr>
              <w:t>条，靠背人体工程学设计并带有手提孔。</w:t>
            </w:r>
            <w:r>
              <w:rPr>
                <w:sz w:val="20"/>
              </w:rPr>
              <w:t>2</w:t>
            </w:r>
            <w:r>
              <w:rPr>
                <w:sz w:val="20"/>
              </w:rPr>
              <w:t>）一次注射成型，环保耐磨，不得使用油漆等进行表面涂层，保证椅面与面板底色完全一致。</w:t>
            </w:r>
          </w:p>
          <w:p>
            <w:pPr>
              <w:pStyle w:val="null3"/>
              <w:jc w:val="left"/>
            </w:pPr>
            <w:r>
              <w:rPr>
                <w:sz w:val="20"/>
              </w:rPr>
              <w:t>8</w:t>
            </w:r>
            <w:r>
              <w:rPr>
                <w:sz w:val="20"/>
              </w:rPr>
              <w:t>、椅脚立柱：</w:t>
            </w:r>
            <w:r>
              <w:rPr>
                <w:sz w:val="20"/>
              </w:rPr>
              <w:t>1</w:t>
            </w:r>
            <w:r>
              <w:rPr>
                <w:sz w:val="20"/>
              </w:rPr>
              <w:t>）立柱（横截面）尺寸：长</w:t>
            </w:r>
            <w:r>
              <w:rPr>
                <w:sz w:val="20"/>
              </w:rPr>
              <w:t>65mm</w:t>
            </w:r>
            <w:r>
              <w:rPr>
                <w:sz w:val="20"/>
              </w:rPr>
              <w:t>×宽</w:t>
            </w:r>
            <w:r>
              <w:rPr>
                <w:sz w:val="20"/>
              </w:rPr>
              <w:t>32mm</w:t>
            </w:r>
            <w:r>
              <w:rPr>
                <w:sz w:val="20"/>
              </w:rPr>
              <w:t>。</w:t>
            </w:r>
            <w:r>
              <w:rPr>
                <w:sz w:val="20"/>
              </w:rPr>
              <w:t>2</w:t>
            </w:r>
            <w:r>
              <w:rPr>
                <w:sz w:val="20"/>
              </w:rPr>
              <w:t>）凳管立柱内有对孔加强筋，以防升降孔变椭圆形，延长使用寿命，颜色为环保灰色。</w:t>
            </w:r>
            <w:r>
              <w:rPr>
                <w:sz w:val="20"/>
              </w:rPr>
              <w:t>3</w:t>
            </w:r>
            <w:r>
              <w:rPr>
                <w:sz w:val="20"/>
              </w:rPr>
              <w:t>）高度可以调节升降。</w:t>
            </w:r>
            <w:r>
              <w:rPr>
                <w:sz w:val="20"/>
              </w:rPr>
              <w:t>4.</w:t>
            </w:r>
            <w:r>
              <w:rPr>
                <w:sz w:val="20"/>
              </w:rPr>
              <w:t>椅脚与储物栏一体化，稳固、安全、美观，储物栏</w:t>
            </w:r>
            <w:r>
              <w:rPr>
                <w:sz w:val="20"/>
              </w:rPr>
              <w:t>330mm*290mm*75mm</w:t>
            </w:r>
            <w:r>
              <w:rPr>
                <w:sz w:val="20"/>
              </w:rPr>
              <w:t>高并有透气排水孔，椅脚跟立管接口处为</w:t>
            </w:r>
            <w:r>
              <w:rPr>
                <w:sz w:val="20"/>
              </w:rPr>
              <w:t>75mm*44mm</w:t>
            </w:r>
            <w:r>
              <w:rPr>
                <w:sz w:val="20"/>
              </w:rPr>
              <w:t>。</w:t>
            </w:r>
            <w:r>
              <w:rPr>
                <w:sz w:val="20"/>
              </w:rPr>
              <w:t>5.</w:t>
            </w:r>
            <w:r>
              <w:rPr>
                <w:sz w:val="20"/>
              </w:rPr>
              <w:t>椅脚上宽</w:t>
            </w:r>
            <w:r>
              <w:rPr>
                <w:sz w:val="20"/>
              </w:rPr>
              <w:t>210mm</w:t>
            </w:r>
            <w:r>
              <w:rPr>
                <w:sz w:val="20"/>
              </w:rPr>
              <w:t>，下宽</w:t>
            </w:r>
            <w:r>
              <w:rPr>
                <w:sz w:val="20"/>
              </w:rPr>
              <w:t>380mm</w:t>
            </w:r>
            <w:r>
              <w:rPr>
                <w:sz w:val="20"/>
              </w:rPr>
              <w:t>，厚≧</w:t>
            </w:r>
            <w:r>
              <w:rPr>
                <w:sz w:val="20"/>
              </w:rPr>
              <w:t>45mm</w:t>
            </w:r>
            <w:r>
              <w:rPr>
                <w:sz w:val="20"/>
              </w:rPr>
              <w:t>，脚立高为</w:t>
            </w:r>
            <w:r>
              <w:rPr>
                <w:sz w:val="20"/>
              </w:rPr>
              <w:t>180mm,</w:t>
            </w:r>
            <w:r>
              <w:rPr>
                <w:sz w:val="20"/>
              </w:rPr>
              <w:t>脚底部为</w:t>
            </w:r>
            <w:r>
              <w:rPr>
                <w:sz w:val="20"/>
              </w:rPr>
              <w:t>69*61mm</w:t>
            </w:r>
            <w:r>
              <w:rPr>
                <w:sz w:val="20"/>
              </w:rPr>
              <w:t>。</w:t>
            </w:r>
          </w:p>
          <w:p>
            <w:pPr>
              <w:pStyle w:val="null3"/>
              <w:jc w:val="left"/>
            </w:pPr>
            <w:r>
              <w:rPr>
                <w:sz w:val="20"/>
              </w:rPr>
              <w:t>9</w:t>
            </w:r>
            <w:r>
              <w:rPr>
                <w:sz w:val="20"/>
              </w:rPr>
              <w:t>、安全性及质量保障要求：</w:t>
            </w:r>
            <w:r>
              <w:rPr>
                <w:sz w:val="20"/>
              </w:rPr>
              <w:t>1</w:t>
            </w:r>
            <w:r>
              <w:rPr>
                <w:sz w:val="20"/>
              </w:rPr>
              <w:t>）所有产品外露部分不应有毛刺和尖锐的棱角装配连接尺寸标准统一，利用卯榫结构和卡槽固定锁紧，不带胶水等沾合剂固定。</w:t>
            </w:r>
            <w:r>
              <w:rPr>
                <w:sz w:val="20"/>
              </w:rPr>
              <w:t>2</w:t>
            </w:r>
            <w:r>
              <w:rPr>
                <w:sz w:val="20"/>
              </w:rPr>
              <w:t>）无有毒有害物质，若有其释放必须达到环保要求，保证学生使用安全。</w:t>
            </w:r>
          </w:p>
          <w:p>
            <w:pPr>
              <w:pStyle w:val="null3"/>
              <w:jc w:val="left"/>
            </w:pPr>
            <w:r>
              <w:rPr>
                <w:sz w:val="20"/>
              </w:rPr>
              <w:t>10</w:t>
            </w:r>
            <w:r>
              <w:rPr>
                <w:sz w:val="20"/>
              </w:rPr>
              <w:t>、基本技术性能总体要求：</w:t>
            </w:r>
            <w:r>
              <w:rPr>
                <w:sz w:val="20"/>
              </w:rPr>
              <w:t>1</w:t>
            </w:r>
            <w:r>
              <w:rPr>
                <w:sz w:val="20"/>
              </w:rPr>
              <w:t>）具有耐水、耐老化、阻燃性好，日晒水淋不变质、不变形、坚固耐用、刚柔相济，移动噪音低，使用安全性高。</w:t>
            </w:r>
            <w:r>
              <w:rPr>
                <w:sz w:val="20"/>
              </w:rPr>
              <w:t>2</w:t>
            </w:r>
            <w:r>
              <w:rPr>
                <w:sz w:val="20"/>
              </w:rPr>
              <w:t>）课桌椅的边角有弹性，无安全隐患；桌面平整光洁；清洁方便，可用水冲洗，浸泡；无钉无角，不露钉锈蚀。</w:t>
            </w:r>
          </w:p>
          <w:p>
            <w:pPr>
              <w:pStyle w:val="null3"/>
              <w:jc w:val="left"/>
            </w:pPr>
            <w:r>
              <w:rPr>
                <w:sz w:val="20"/>
              </w:rPr>
              <w:t>11</w:t>
            </w:r>
            <w:r>
              <w:rPr>
                <w:sz w:val="20"/>
              </w:rPr>
              <w:t>、材质工艺要求：使用硬质</w:t>
            </w:r>
            <w:r>
              <w:rPr>
                <w:sz w:val="20"/>
              </w:rPr>
              <w:t>PVC</w:t>
            </w:r>
            <w:r>
              <w:rPr>
                <w:sz w:val="20"/>
              </w:rPr>
              <w:t>工程塑料做桌凳管件和</w:t>
            </w:r>
            <w:r>
              <w:rPr>
                <w:sz w:val="20"/>
              </w:rPr>
              <w:t>PP-R</w:t>
            </w:r>
            <w:r>
              <w:rPr>
                <w:sz w:val="20"/>
              </w:rPr>
              <w:t>共聚聚丙稀做椅面及书斗制成。</w:t>
            </w:r>
          </w:p>
          <w:p>
            <w:pPr>
              <w:pStyle w:val="null3"/>
              <w:jc w:val="left"/>
            </w:pPr>
            <w:r>
              <w:rPr>
                <w:sz w:val="20"/>
              </w:rPr>
              <w:t>12</w:t>
            </w:r>
            <w:r>
              <w:rPr>
                <w:sz w:val="20"/>
              </w:rPr>
              <w:t>、制造工艺：配色造粒，注塑、挤塑成型、模具控制、尺寸统一、无锐角、平整光滑。</w:t>
            </w:r>
          </w:p>
          <w:p>
            <w:pPr>
              <w:pStyle w:val="null3"/>
              <w:jc w:val="left"/>
            </w:pPr>
            <w:r>
              <w:rPr>
                <w:sz w:val="20"/>
              </w:rPr>
              <w:t>▲</w:t>
            </w:r>
            <w:r>
              <w:rPr>
                <w:sz w:val="20"/>
              </w:rPr>
              <w:t>13</w:t>
            </w:r>
            <w:r>
              <w:rPr>
                <w:sz w:val="20"/>
              </w:rPr>
              <w:t>、产品符合《绿色产品评价家具》</w:t>
            </w:r>
            <w:r>
              <w:rPr>
                <w:sz w:val="20"/>
              </w:rPr>
              <w:t>GB/T 35607-2017</w:t>
            </w:r>
            <w:r>
              <w:rPr>
                <w:sz w:val="20"/>
              </w:rPr>
              <w:t>成品甲醛释放量、挥发性有机化合物检测要求，经检测合格（提供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p>
            <w:pPr>
              <w:pStyle w:val="null3"/>
              <w:jc w:val="left"/>
            </w:pPr>
            <w:r>
              <w:rPr>
                <w:sz w:val="20"/>
              </w:rPr>
              <w:t>▲</w:t>
            </w:r>
            <w:r>
              <w:rPr>
                <w:sz w:val="20"/>
              </w:rPr>
              <w:t>14</w:t>
            </w:r>
            <w:r>
              <w:rPr>
                <w:sz w:val="20"/>
              </w:rPr>
              <w:t>、产品符合</w:t>
            </w:r>
            <w:r>
              <w:rPr>
                <w:sz w:val="20"/>
              </w:rPr>
              <w:t>GB/T10357-2013</w:t>
            </w:r>
            <w:r>
              <w:rPr>
                <w:sz w:val="20"/>
              </w:rPr>
              <w:t>家具力学性能试验检测要求，经检测合格（提供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p>
            <w:pPr>
              <w:pStyle w:val="null3"/>
              <w:jc w:val="left"/>
            </w:pPr>
            <w:r>
              <w:rPr>
                <w:sz w:val="20"/>
              </w:rPr>
              <w:t>▲</w:t>
            </w:r>
            <w:r>
              <w:rPr>
                <w:sz w:val="20"/>
              </w:rPr>
              <w:t>15</w:t>
            </w:r>
            <w:r>
              <w:rPr>
                <w:sz w:val="20"/>
              </w:rPr>
              <w:t>、产品符合</w:t>
            </w:r>
            <w:r>
              <w:rPr>
                <w:sz w:val="20"/>
              </w:rPr>
              <w:t>GB28481-2012</w:t>
            </w:r>
            <w:r>
              <w:rPr>
                <w:sz w:val="20"/>
              </w:rPr>
              <w:t>塑料家具中有害物质限量重金属、邻苯二甲酸酯、多环芳烃检测要求，经检测合格（提供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p>
            <w:pPr>
              <w:pStyle w:val="null3"/>
              <w:jc w:val="both"/>
            </w:pPr>
            <w:r>
              <w:rPr>
                <w:sz w:val="20"/>
              </w:rPr>
              <w:t>▲</w:t>
            </w:r>
            <w:r>
              <w:rPr>
                <w:sz w:val="20"/>
              </w:rPr>
              <w:t>16</w:t>
            </w:r>
            <w:r>
              <w:rPr>
                <w:sz w:val="20"/>
              </w:rPr>
              <w:t>、产品符合</w:t>
            </w:r>
            <w:r>
              <w:rPr>
                <w:sz w:val="20"/>
              </w:rPr>
              <w:t>GB/T32487-2016</w:t>
            </w:r>
            <w:r>
              <w:rPr>
                <w:sz w:val="20"/>
              </w:rPr>
              <w:t>塑料家具通用技术条件耐老化性检测要求，经检测合格（提供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讲台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w:t>
            </w:r>
            <w:r>
              <w:rPr>
                <w:sz w:val="20"/>
              </w:rPr>
              <w:t>．尺寸：长</w:t>
            </w:r>
            <w:r>
              <w:rPr>
                <w:sz w:val="20"/>
              </w:rPr>
              <w:t>1000*</w:t>
            </w:r>
            <w:r>
              <w:rPr>
                <w:sz w:val="20"/>
              </w:rPr>
              <w:t>宽</w:t>
            </w:r>
            <w:r>
              <w:rPr>
                <w:sz w:val="20"/>
              </w:rPr>
              <w:t>700*</w:t>
            </w:r>
            <w:r>
              <w:rPr>
                <w:sz w:val="20"/>
              </w:rPr>
              <w:t>高</w:t>
            </w:r>
            <w:r>
              <w:rPr>
                <w:sz w:val="20"/>
              </w:rPr>
              <w:t>1000mm。</w:t>
            </w:r>
          </w:p>
          <w:p>
            <w:pPr>
              <w:pStyle w:val="null3"/>
              <w:jc w:val="left"/>
            </w:pPr>
            <w:r>
              <w:rPr>
                <w:sz w:val="20"/>
              </w:rPr>
              <w:t>2</w:t>
            </w:r>
            <w:r>
              <w:rPr>
                <w:sz w:val="20"/>
              </w:rPr>
              <w:t>．讲台通体采用</w:t>
            </w:r>
            <w:r>
              <w:rPr>
                <w:sz w:val="20"/>
              </w:rPr>
              <w:t>0.8</w:t>
            </w:r>
            <w:r>
              <w:rPr>
                <w:sz w:val="20"/>
              </w:rPr>
              <w:t>厚优质冷轧钢板，木质台面采用</w:t>
            </w:r>
            <w:r>
              <w:rPr>
                <w:sz w:val="20"/>
              </w:rPr>
              <w:t>12mm</w:t>
            </w:r>
            <w:r>
              <w:rPr>
                <w:sz w:val="20"/>
              </w:rPr>
              <w:t>厚耐划防火板，两侧扶手及后背装饰板为橡木喷漆板，整体平面方便使用笔记本电脑等设备，前面两个储物抽屉方便教师使用。</w:t>
            </w:r>
          </w:p>
          <w:p>
            <w:pPr>
              <w:pStyle w:val="null3"/>
              <w:jc w:val="left"/>
            </w:pPr>
            <w:r>
              <w:rPr>
                <w:sz w:val="20"/>
              </w:rPr>
              <w:t>3</w:t>
            </w:r>
            <w:r>
              <w:rPr>
                <w:sz w:val="20"/>
              </w:rPr>
              <w:t>．合理的尺寸设计，合理的设备安排，国标</w:t>
            </w:r>
            <w:r>
              <w:rPr>
                <w:sz w:val="20"/>
              </w:rPr>
              <w:t>19</w:t>
            </w:r>
            <w:r>
              <w:rPr>
                <w:sz w:val="20"/>
              </w:rPr>
              <w:t>英寸机架，真正做到防盗功能。</w:t>
            </w:r>
          </w:p>
          <w:p>
            <w:pPr>
              <w:pStyle w:val="null3"/>
              <w:jc w:val="left"/>
            </w:pPr>
            <w:r>
              <w:rPr>
                <w:sz w:val="20"/>
              </w:rPr>
              <w:t>4</w:t>
            </w:r>
            <w:r>
              <w:rPr>
                <w:sz w:val="20"/>
              </w:rPr>
              <w:t>．钢木结合材料一体成型；实木扶手，高端大气。</w:t>
            </w:r>
          </w:p>
          <w:p>
            <w:pPr>
              <w:pStyle w:val="null3"/>
              <w:jc w:val="left"/>
            </w:pPr>
            <w:r>
              <w:rPr>
                <w:sz w:val="20"/>
              </w:rPr>
              <w:t>5</w:t>
            </w:r>
            <w:r>
              <w:rPr>
                <w:sz w:val="20"/>
              </w:rPr>
              <w:t>．整体采用分体式结构，（节省运费）上下节需要组装。</w:t>
            </w:r>
          </w:p>
          <w:p>
            <w:pPr>
              <w:pStyle w:val="null3"/>
              <w:jc w:val="left"/>
            </w:pPr>
            <w:r>
              <w:rPr>
                <w:sz w:val="20"/>
              </w:rPr>
              <w:t>6</w:t>
            </w:r>
            <w:r>
              <w:rPr>
                <w:sz w:val="20"/>
              </w:rPr>
              <w:t>．桌面预留集成笔记本接口模块（</w:t>
            </w:r>
            <w:r>
              <w:rPr>
                <w:sz w:val="20"/>
              </w:rPr>
              <w:t>USB</w:t>
            </w:r>
            <w:r>
              <w:rPr>
                <w:sz w:val="20"/>
              </w:rPr>
              <w:t>两个</w:t>
            </w:r>
            <w:r>
              <w:rPr>
                <w:sz w:val="20"/>
              </w:rPr>
              <w:t>\VGA</w:t>
            </w:r>
            <w:r>
              <w:rPr>
                <w:sz w:val="20"/>
              </w:rPr>
              <w:t>一个</w:t>
            </w:r>
            <w:r>
              <w:rPr>
                <w:sz w:val="20"/>
              </w:rPr>
              <w:t>\</w:t>
            </w:r>
            <w:r>
              <w:rPr>
                <w:sz w:val="20"/>
              </w:rPr>
              <w:t>网络接口一个</w:t>
            </w:r>
            <w:r>
              <w:rPr>
                <w:sz w:val="20"/>
              </w:rPr>
              <w:t>\Audio</w:t>
            </w:r>
            <w:r>
              <w:rPr>
                <w:sz w:val="20"/>
              </w:rPr>
              <w:t>一个</w:t>
            </w:r>
            <w:r>
              <w:rPr>
                <w:sz w:val="20"/>
              </w:rPr>
              <w:t>\</w:t>
            </w:r>
            <w:r>
              <w:rPr>
                <w:sz w:val="20"/>
              </w:rPr>
              <w:t>电源接口一个</w:t>
            </w:r>
            <w:r>
              <w:rPr>
                <w:sz w:val="20"/>
              </w:rPr>
              <w:t>\</w:t>
            </w:r>
            <w:r>
              <w:rPr>
                <w:sz w:val="20"/>
              </w:rPr>
              <w:t>话筒接口一个。</w:t>
            </w:r>
          </w:p>
          <w:p>
            <w:pPr>
              <w:pStyle w:val="null3"/>
              <w:jc w:val="left"/>
            </w:pPr>
            <w:r>
              <w:rPr>
                <w:sz w:val="20"/>
              </w:rPr>
              <w:t>7</w:t>
            </w:r>
            <w:r>
              <w:rPr>
                <w:sz w:val="20"/>
              </w:rPr>
              <w:t>．桌体下层内部采用标准机柜设计，带层板，所有设备可整齐固定。</w:t>
            </w:r>
          </w:p>
          <w:p>
            <w:pPr>
              <w:pStyle w:val="null3"/>
              <w:jc w:val="both"/>
            </w:pPr>
            <w:r>
              <w:rPr>
                <w:sz w:val="20"/>
              </w:rPr>
              <w:t>▲</w:t>
            </w:r>
            <w:r>
              <w:rPr>
                <w:sz w:val="20"/>
              </w:rPr>
              <w:t>8</w:t>
            </w:r>
            <w:r>
              <w:rPr>
                <w:sz w:val="20"/>
              </w:rPr>
              <w:t>．提供讲台检测报告，符合</w:t>
            </w:r>
            <w:r>
              <w:rPr>
                <w:sz w:val="20"/>
              </w:rPr>
              <w:t>GB/T 3325-2017</w:t>
            </w:r>
            <w:r>
              <w:rPr>
                <w:sz w:val="20"/>
              </w:rPr>
              <w:t>《金属家具通用技术条件》、</w:t>
            </w:r>
            <w:r>
              <w:rPr>
                <w:sz w:val="20"/>
              </w:rPr>
              <w:t>GB18584-2001</w:t>
            </w:r>
            <w:r>
              <w:rPr>
                <w:sz w:val="20"/>
              </w:rPr>
              <w:t>《室内装饰装修材料木家具中有害物质限量》规定的要求（提供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布板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w:t>
            </w:r>
            <w:r>
              <w:rPr>
                <w:sz w:val="20"/>
              </w:rPr>
              <w:t>．规格：</w:t>
            </w:r>
            <w:r>
              <w:rPr>
                <w:sz w:val="20"/>
              </w:rPr>
              <w:t>1200*4000mm。</w:t>
            </w:r>
          </w:p>
          <w:p>
            <w:pPr>
              <w:pStyle w:val="null3"/>
              <w:jc w:val="left"/>
            </w:pPr>
            <w:r>
              <w:rPr>
                <w:sz w:val="20"/>
              </w:rPr>
              <w:t>2</w:t>
            </w:r>
            <w:r>
              <w:rPr>
                <w:sz w:val="20"/>
              </w:rPr>
              <w:t>．书写面颜色：绿色。</w:t>
            </w:r>
          </w:p>
          <w:p>
            <w:pPr>
              <w:pStyle w:val="null3"/>
              <w:jc w:val="left"/>
            </w:pPr>
            <w:r>
              <w:rPr>
                <w:sz w:val="20"/>
              </w:rPr>
              <w:t>3</w:t>
            </w:r>
            <w:r>
              <w:rPr>
                <w:sz w:val="20"/>
              </w:rPr>
              <w:t>．书写面材质：面板为绿色毛毡。</w:t>
            </w:r>
          </w:p>
          <w:p>
            <w:pPr>
              <w:pStyle w:val="null3"/>
              <w:jc w:val="left"/>
            </w:pPr>
            <w:r>
              <w:rPr>
                <w:sz w:val="20"/>
              </w:rPr>
              <w:t>4</w:t>
            </w:r>
            <w:r>
              <w:rPr>
                <w:sz w:val="20"/>
              </w:rPr>
              <w:t>．内芯材料：</w:t>
            </w:r>
            <w:r>
              <w:rPr>
                <w:sz w:val="20"/>
              </w:rPr>
              <w:t>2mm</w:t>
            </w:r>
            <w:r>
              <w:rPr>
                <w:sz w:val="20"/>
              </w:rPr>
              <w:t>厚软木加一层软橡胶，夹层采用防潮、吸音高强度泡沫板。厚度</w:t>
            </w:r>
            <w:r>
              <w:rPr>
                <w:sz w:val="20"/>
              </w:rPr>
              <w:t>10mm</w:t>
            </w:r>
            <w:r>
              <w:rPr>
                <w:sz w:val="20"/>
              </w:rPr>
              <w:t>以上，面层无折痕，整张平整无接缝。再一层优质镀锌板，厚度</w:t>
            </w:r>
            <w:r>
              <w:rPr>
                <w:sz w:val="20"/>
              </w:rPr>
              <w:t>0.20mm</w:t>
            </w:r>
            <w:r>
              <w:rPr>
                <w:sz w:val="20"/>
              </w:rPr>
              <w:t>。镀锌含量</w:t>
            </w:r>
            <w:r>
              <w:rPr>
                <w:sz w:val="20"/>
              </w:rPr>
              <w:t>Z12</w:t>
            </w:r>
            <w:r>
              <w:rPr>
                <w:sz w:val="20"/>
              </w:rPr>
              <w:t>，技术要求不低</w:t>
            </w:r>
            <w:r>
              <w:rPr>
                <w:sz w:val="20"/>
              </w:rPr>
              <w:t>GB2518-88</w:t>
            </w:r>
            <w:r>
              <w:rPr>
                <w:sz w:val="20"/>
              </w:rPr>
              <w:t>。整张平整无接缝。</w:t>
            </w:r>
          </w:p>
          <w:p>
            <w:pPr>
              <w:pStyle w:val="null3"/>
              <w:jc w:val="left"/>
            </w:pPr>
            <w:r>
              <w:rPr>
                <w:sz w:val="20"/>
              </w:rPr>
              <w:t>5</w:t>
            </w:r>
            <w:r>
              <w:rPr>
                <w:sz w:val="20"/>
              </w:rPr>
              <w:t>．背板：优质镀锌板，厚度</w:t>
            </w:r>
            <w:r>
              <w:rPr>
                <w:sz w:val="20"/>
              </w:rPr>
              <w:t>0.2mm</w:t>
            </w:r>
            <w:r>
              <w:rPr>
                <w:sz w:val="20"/>
              </w:rPr>
              <w:t>。镀锌含量</w:t>
            </w:r>
            <w:r>
              <w:rPr>
                <w:sz w:val="20"/>
              </w:rPr>
              <w:t>Z12</w:t>
            </w:r>
            <w:r>
              <w:rPr>
                <w:sz w:val="20"/>
              </w:rPr>
              <w:t>，技术要求不低</w:t>
            </w:r>
            <w:r>
              <w:rPr>
                <w:sz w:val="20"/>
              </w:rPr>
              <w:t>GB2518-88</w:t>
            </w:r>
            <w:r>
              <w:rPr>
                <w:sz w:val="20"/>
              </w:rPr>
              <w:t>。整张平整无接缝。防蚀、防霉。</w:t>
            </w:r>
          </w:p>
          <w:p>
            <w:pPr>
              <w:pStyle w:val="null3"/>
              <w:jc w:val="left"/>
            </w:pPr>
            <w:r>
              <w:rPr>
                <w:sz w:val="20"/>
              </w:rPr>
              <w:t>6</w:t>
            </w:r>
            <w:r>
              <w:rPr>
                <w:sz w:val="20"/>
              </w:rPr>
              <w:t>．边框材料：</w:t>
            </w:r>
            <w:r>
              <w:rPr>
                <w:sz w:val="20"/>
              </w:rPr>
              <w:t>1</w:t>
            </w:r>
            <w:r>
              <w:rPr>
                <w:sz w:val="20"/>
              </w:rPr>
              <w:t>）铝合金边框，颜色为电泳亚光香槟色。壁厚</w:t>
            </w:r>
            <w:r>
              <w:rPr>
                <w:sz w:val="20"/>
              </w:rPr>
              <w:t>0.6mm</w:t>
            </w:r>
            <w:r>
              <w:rPr>
                <w:sz w:val="20"/>
              </w:rPr>
              <w:t>，硬度</w:t>
            </w:r>
            <w:r>
              <w:rPr>
                <w:sz w:val="20"/>
              </w:rPr>
              <w:t>HRC12</w:t>
            </w:r>
            <w:r>
              <w:rPr>
                <w:sz w:val="20"/>
              </w:rPr>
              <w:t>度。</w:t>
            </w:r>
            <w:r>
              <w:rPr>
                <w:sz w:val="20"/>
              </w:rPr>
              <w:t>2</w:t>
            </w:r>
            <w:r>
              <w:rPr>
                <w:sz w:val="20"/>
              </w:rPr>
              <w:t>）</w:t>
            </w:r>
            <w:r>
              <w:rPr>
                <w:sz w:val="20"/>
              </w:rPr>
              <w:t>边框</w:t>
            </w:r>
            <w:r>
              <w:rPr>
                <w:sz w:val="20"/>
              </w:rPr>
              <w:t>35</w:t>
            </w:r>
            <w:r>
              <w:rPr>
                <w:sz w:val="20"/>
              </w:rPr>
              <w:t>×</w:t>
            </w:r>
            <w:r>
              <w:rPr>
                <w:sz w:val="20"/>
              </w:rPr>
              <w:t>28mm</w:t>
            </w:r>
            <w:r>
              <w:rPr>
                <w:sz w:val="20"/>
              </w:rPr>
              <w:t>，硬度为</w:t>
            </w:r>
            <w:r>
              <w:rPr>
                <w:sz w:val="20"/>
              </w:rPr>
              <w:t>HRC14</w:t>
            </w:r>
            <w:r>
              <w:rPr>
                <w:sz w:val="20"/>
              </w:rPr>
              <w:t>。铝合金技术性能符合国标</w:t>
            </w:r>
            <w:r>
              <w:rPr>
                <w:sz w:val="20"/>
              </w:rPr>
              <w:t>GB/T5237-93</w:t>
            </w:r>
            <w:r>
              <w:rPr>
                <w:sz w:val="20"/>
              </w:rPr>
              <w:t>。</w:t>
            </w:r>
          </w:p>
          <w:p>
            <w:pPr>
              <w:pStyle w:val="null3"/>
              <w:jc w:val="left"/>
            </w:pPr>
            <w:r>
              <w:rPr>
                <w:sz w:val="20"/>
              </w:rPr>
              <w:t>7</w:t>
            </w:r>
            <w:r>
              <w:rPr>
                <w:sz w:val="20"/>
              </w:rPr>
              <w:t>．包角材料：采用防老化、抗疲劳</w:t>
            </w:r>
            <w:r>
              <w:rPr>
                <w:sz w:val="20"/>
              </w:rPr>
              <w:t>ABS</w:t>
            </w:r>
            <w:r>
              <w:rPr>
                <w:sz w:val="20"/>
              </w:rPr>
              <w:t>工程塑料，流线型设计，无尘角，一次成型模具。颜色与铝合金框相近。</w:t>
            </w:r>
          </w:p>
          <w:p>
            <w:pPr>
              <w:pStyle w:val="null3"/>
              <w:jc w:val="both"/>
            </w:pPr>
            <w:r>
              <w:rPr>
                <w:sz w:val="20"/>
              </w:rPr>
              <w:t>8</w:t>
            </w:r>
            <w:r>
              <w:rPr>
                <w:sz w:val="20"/>
              </w:rPr>
              <w:t>．粘结剂：</w:t>
            </w:r>
            <w:r>
              <w:rPr>
                <w:sz w:val="20"/>
              </w:rPr>
              <w:t>1</w:t>
            </w:r>
            <w:r>
              <w:rPr>
                <w:sz w:val="20"/>
              </w:rPr>
              <w:t>）</w:t>
            </w:r>
            <w:r>
              <w:rPr>
                <w:sz w:val="20"/>
              </w:rPr>
              <w:t>剂型环保粘结剂，有害物限量（游离甲醇，苯、甲苯、十二甲苯）符合国标</w:t>
            </w:r>
            <w:r>
              <w:rPr>
                <w:sz w:val="20"/>
              </w:rPr>
              <w:t>GB18583-2001</w:t>
            </w:r>
            <w:r>
              <w:rPr>
                <w:sz w:val="20"/>
              </w:rPr>
              <w:t>要求。</w:t>
            </w:r>
            <w:r>
              <w:rPr>
                <w:sz w:val="20"/>
              </w:rPr>
              <w:t>2</w:t>
            </w:r>
            <w:r>
              <w:rPr>
                <w:sz w:val="20"/>
              </w:rPr>
              <w:t>）</w:t>
            </w:r>
            <w:r>
              <w:rPr>
                <w:sz w:val="20"/>
              </w:rPr>
              <w:t>剥离强度：</w:t>
            </w:r>
            <w:r>
              <w:rPr>
                <w:sz w:val="20"/>
              </w:rPr>
              <w:t>24h</w:t>
            </w:r>
            <w:r>
              <w:rPr>
                <w:sz w:val="20"/>
              </w:rPr>
              <w:t>≥</w:t>
            </w:r>
            <w:r>
              <w:rPr>
                <w:sz w:val="20"/>
              </w:rPr>
              <w:t>2kg/cm</w:t>
            </w:r>
            <w:r>
              <w:rPr>
                <w:sz w:val="20"/>
              </w:rPr>
              <w:t>；</w:t>
            </w:r>
            <w:r>
              <w:rPr>
                <w:sz w:val="20"/>
              </w:rPr>
              <w:t>48h</w:t>
            </w:r>
            <w:r>
              <w:rPr>
                <w:sz w:val="20"/>
              </w:rPr>
              <w:t>≥</w:t>
            </w:r>
            <w:r>
              <w:rPr>
                <w:sz w:val="20"/>
              </w:rPr>
              <w:t>2.5kg/cm</w:t>
            </w:r>
            <w:r>
              <w:rPr>
                <w:sz w:val="20"/>
              </w:rPr>
              <w:t>。</w:t>
            </w:r>
            <w:r>
              <w:rPr>
                <w:sz w:val="20"/>
              </w:rPr>
              <w:t>3</w:t>
            </w:r>
            <w:r>
              <w:rPr>
                <w:sz w:val="20"/>
              </w:rPr>
              <w:t>、抗扯离强度：</w:t>
            </w:r>
            <w:r>
              <w:rPr>
                <w:sz w:val="20"/>
              </w:rPr>
              <w:t>24h</w:t>
            </w:r>
            <w:r>
              <w:rPr>
                <w:sz w:val="20"/>
              </w:rPr>
              <w:t>≥</w:t>
            </w:r>
            <w:r>
              <w:rPr>
                <w:sz w:val="20"/>
              </w:rPr>
              <w:t>11kg/c</w:t>
            </w:r>
            <w:r>
              <w:rPr>
                <w:sz w:val="20"/>
              </w:rPr>
              <w:t>㎡；</w:t>
            </w:r>
            <w:r>
              <w:rPr>
                <w:sz w:val="20"/>
              </w:rPr>
              <w:t>48h</w:t>
            </w:r>
            <w:r>
              <w:rPr>
                <w:sz w:val="20"/>
              </w:rPr>
              <w:t>≥</w:t>
            </w:r>
            <w:r>
              <w:rPr>
                <w:sz w:val="20"/>
              </w:rPr>
              <w:t>13kg/c</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宿舍铁架床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1</w:t>
            </w:r>
            <w:r>
              <w:rPr>
                <w:sz w:val="20"/>
              </w:rPr>
              <w:t>．床主体长</w:t>
            </w:r>
            <w:r>
              <w:rPr>
                <w:sz w:val="20"/>
              </w:rPr>
              <w:t>2035mm</w:t>
            </w:r>
            <w:r>
              <w:rPr>
                <w:sz w:val="20"/>
              </w:rPr>
              <w:t>×宽</w:t>
            </w:r>
            <w:r>
              <w:rPr>
                <w:sz w:val="20"/>
              </w:rPr>
              <w:t>900mm</w:t>
            </w:r>
            <w:r>
              <w:rPr>
                <w:sz w:val="20"/>
              </w:rPr>
              <w:t>×高</w:t>
            </w:r>
            <w:r>
              <w:rPr>
                <w:sz w:val="20"/>
              </w:rPr>
              <w:t>1750 mm</w:t>
            </w:r>
            <w:r>
              <w:rPr>
                <w:sz w:val="20"/>
              </w:rPr>
              <w:t>。床为二层结构。</w:t>
            </w:r>
          </w:p>
          <w:p>
            <w:pPr>
              <w:pStyle w:val="null3"/>
              <w:jc w:val="left"/>
            </w:pPr>
            <w:r>
              <w:rPr>
                <w:sz w:val="20"/>
              </w:rPr>
              <w:t>2</w:t>
            </w:r>
            <w:r>
              <w:rPr>
                <w:sz w:val="20"/>
              </w:rPr>
              <w:t>．两侧主体床架均为采用</w:t>
            </w:r>
            <w:r>
              <w:rPr>
                <w:sz w:val="20"/>
              </w:rPr>
              <w:t>76mm</w:t>
            </w:r>
            <w:r>
              <w:rPr>
                <w:sz w:val="20"/>
              </w:rPr>
              <w:t>×</w:t>
            </w:r>
            <w:r>
              <w:rPr>
                <w:sz w:val="20"/>
              </w:rPr>
              <w:t>76mm</w:t>
            </w:r>
            <w:r>
              <w:rPr>
                <w:sz w:val="20"/>
              </w:rPr>
              <w:t>×</w:t>
            </w:r>
            <w:r>
              <w:rPr>
                <w:sz w:val="20"/>
              </w:rPr>
              <w:t>1.2mm C</w:t>
            </w:r>
            <w:r>
              <w:rPr>
                <w:sz w:val="20"/>
              </w:rPr>
              <w:t>型闭口异型管材，管材截面为</w:t>
            </w:r>
            <w:r>
              <w:rPr>
                <w:sz w:val="20"/>
              </w:rPr>
              <w:t>C</w:t>
            </w:r>
            <w:r>
              <w:rPr>
                <w:sz w:val="20"/>
              </w:rPr>
              <w:t>型，一角具有大圆弧，安全圆滑美观大方，</w:t>
            </w:r>
            <w:r>
              <w:rPr>
                <w:sz w:val="20"/>
              </w:rPr>
              <w:t>C</w:t>
            </w:r>
            <w:r>
              <w:rPr>
                <w:sz w:val="20"/>
              </w:rPr>
              <w:t>型外形尺寸见图示。</w:t>
            </w:r>
          </w:p>
          <w:p>
            <w:pPr>
              <w:pStyle w:val="null3"/>
              <w:jc w:val="left"/>
            </w:pPr>
            <w:r>
              <w:rPr>
                <w:sz w:val="20"/>
              </w:rPr>
              <w:t>3</w:t>
            </w:r>
            <w:r>
              <w:rPr>
                <w:sz w:val="20"/>
              </w:rPr>
              <w:t>．与立柱相联接横档方管为：</w:t>
            </w:r>
            <w:r>
              <w:rPr>
                <w:sz w:val="20"/>
              </w:rPr>
              <w:t>25mm</w:t>
            </w:r>
            <w:r>
              <w:rPr>
                <w:sz w:val="20"/>
              </w:rPr>
              <w:t>×</w:t>
            </w:r>
            <w:r>
              <w:rPr>
                <w:sz w:val="20"/>
              </w:rPr>
              <w:t>50mm</w:t>
            </w:r>
            <w:r>
              <w:rPr>
                <w:sz w:val="20"/>
              </w:rPr>
              <w:t>×</w:t>
            </w:r>
            <w:r>
              <w:rPr>
                <w:sz w:val="20"/>
              </w:rPr>
              <w:t>1.0mm</w:t>
            </w:r>
            <w:r>
              <w:rPr>
                <w:sz w:val="20"/>
              </w:rPr>
              <w:t>方管；副管为</w:t>
            </w:r>
            <w:r>
              <w:rPr>
                <w:sz w:val="20"/>
              </w:rPr>
              <w:t>25*25*1.0mm</w:t>
            </w:r>
            <w:r>
              <w:rPr>
                <w:sz w:val="20"/>
              </w:rPr>
              <w:t>方管，小立栏采用∅</w:t>
            </w:r>
            <w:r>
              <w:rPr>
                <w:sz w:val="20"/>
              </w:rPr>
              <w:t>19*1.0mm</w:t>
            </w:r>
            <w:r>
              <w:rPr>
                <w:sz w:val="20"/>
              </w:rPr>
              <w:t>圆管。</w:t>
            </w:r>
          </w:p>
          <w:p>
            <w:pPr>
              <w:pStyle w:val="null3"/>
              <w:jc w:val="left"/>
            </w:pPr>
            <w:r>
              <w:rPr>
                <w:sz w:val="20"/>
              </w:rPr>
              <w:t>4</w:t>
            </w:r>
            <w:r>
              <w:rPr>
                <w:sz w:val="20"/>
              </w:rPr>
              <w:t>．床杠（床横梁）与立柱联接用卡扣式联接法，每头在床柱上焊卡扣成型钢，厚度</w:t>
            </w:r>
            <w:r>
              <w:rPr>
                <w:sz w:val="20"/>
              </w:rPr>
              <w:t>2mm,</w:t>
            </w:r>
            <w:r>
              <w:rPr>
                <w:sz w:val="20"/>
              </w:rPr>
              <w:t>卡孔设计巧妙，采用每头用三个方形卡孔固定，安装快速方便且无需螺丝固定。</w:t>
            </w:r>
          </w:p>
          <w:p>
            <w:pPr>
              <w:pStyle w:val="null3"/>
              <w:jc w:val="left"/>
            </w:pPr>
            <w:r>
              <w:rPr>
                <w:sz w:val="20"/>
              </w:rPr>
              <w:t>5</w:t>
            </w:r>
            <w:r>
              <w:rPr>
                <w:sz w:val="20"/>
              </w:rPr>
              <w:t>．床杠采用</w:t>
            </w:r>
            <w:r>
              <w:rPr>
                <w:sz w:val="20"/>
              </w:rPr>
              <w:t>38mm</w:t>
            </w:r>
            <w:r>
              <w:rPr>
                <w:sz w:val="20"/>
              </w:rPr>
              <w:t>×</w:t>
            </w:r>
            <w:r>
              <w:rPr>
                <w:sz w:val="20"/>
              </w:rPr>
              <w:t>83mm</w:t>
            </w:r>
            <w:r>
              <w:rPr>
                <w:sz w:val="20"/>
              </w:rPr>
              <w:t>×</w:t>
            </w:r>
            <w:r>
              <w:rPr>
                <w:sz w:val="20"/>
              </w:rPr>
              <w:t>1.2mm</w:t>
            </w:r>
            <w:r>
              <w:rPr>
                <w:sz w:val="20"/>
              </w:rPr>
              <w:t>异型管材，异型管材外形尺寸见图示，管材朝外边光滑圆弧，美观大方。中间托档方管为</w:t>
            </w:r>
            <w:r>
              <w:rPr>
                <w:sz w:val="20"/>
              </w:rPr>
              <w:t>25mm</w:t>
            </w:r>
            <w:r>
              <w:rPr>
                <w:sz w:val="20"/>
              </w:rPr>
              <w:t>×</w:t>
            </w:r>
            <w:r>
              <w:rPr>
                <w:sz w:val="20"/>
              </w:rPr>
              <w:t>25mm</w:t>
            </w:r>
            <w:r>
              <w:rPr>
                <w:sz w:val="20"/>
              </w:rPr>
              <w:t>×</w:t>
            </w:r>
            <w:r>
              <w:rPr>
                <w:sz w:val="20"/>
              </w:rPr>
              <w:t>1.0mm</w:t>
            </w:r>
            <w:r>
              <w:rPr>
                <w:sz w:val="20"/>
              </w:rPr>
              <w:t>方管</w:t>
            </w:r>
            <w:r>
              <w:rPr>
                <w:sz w:val="20"/>
              </w:rPr>
              <w:t>5</w:t>
            </w:r>
            <w:r>
              <w:rPr>
                <w:sz w:val="20"/>
              </w:rPr>
              <w:t>根</w:t>
            </w:r>
            <w:r>
              <w:rPr>
                <w:sz w:val="20"/>
              </w:rPr>
              <w:t>/</w:t>
            </w:r>
            <w:r>
              <w:rPr>
                <w:sz w:val="20"/>
              </w:rPr>
              <w:t>铺；托档方管需采用卡扣件连接，安装便捷，使用过程中不脱落，不接受焊接固定</w:t>
            </w:r>
            <w:r>
              <w:rPr>
                <w:sz w:val="20"/>
              </w:rPr>
              <w:t>。</w:t>
            </w:r>
          </w:p>
          <w:p>
            <w:pPr>
              <w:pStyle w:val="null3"/>
              <w:jc w:val="left"/>
            </w:pPr>
            <w:r>
              <w:rPr>
                <w:sz w:val="20"/>
              </w:rPr>
              <w:t>6</w:t>
            </w:r>
            <w:r>
              <w:rPr>
                <w:sz w:val="20"/>
              </w:rPr>
              <w:t>．爬梯立柱使用</w:t>
            </w:r>
            <w:r>
              <w:rPr>
                <w:sz w:val="20"/>
              </w:rPr>
              <w:t>20mm*1.2mm</w:t>
            </w:r>
            <w:r>
              <w:rPr>
                <w:sz w:val="20"/>
              </w:rPr>
              <w:t>方管，踏步使用优质冷轧板成型制作，具有防滑凸点设计</w:t>
            </w:r>
            <w:r>
              <w:rPr>
                <w:sz w:val="20"/>
              </w:rPr>
              <w:t>(</w:t>
            </w:r>
            <w:r>
              <w:rPr>
                <w:sz w:val="20"/>
              </w:rPr>
              <w:t>长度</w:t>
            </w:r>
            <w:r>
              <w:rPr>
                <w:sz w:val="20"/>
              </w:rPr>
              <w:t>240mm</w:t>
            </w:r>
            <w:r>
              <w:rPr>
                <w:sz w:val="20"/>
              </w:rPr>
              <w:t>，最宽处宽度</w:t>
            </w:r>
            <w:r>
              <w:rPr>
                <w:sz w:val="20"/>
              </w:rPr>
              <w:t>40mm</w:t>
            </w:r>
            <w:r>
              <w:rPr>
                <w:sz w:val="20"/>
              </w:rPr>
              <w:t>，中间弧形设计</w:t>
            </w:r>
            <w:r>
              <w:rPr>
                <w:sz w:val="20"/>
              </w:rPr>
              <w:t>)</w:t>
            </w:r>
            <w:r>
              <w:rPr>
                <w:sz w:val="20"/>
              </w:rPr>
              <w:t>。爬梯上下两头直插入上下床挺固定；整体牢固不摇晃。</w:t>
            </w:r>
          </w:p>
          <w:p>
            <w:pPr>
              <w:pStyle w:val="null3"/>
              <w:jc w:val="left"/>
            </w:pPr>
            <w:r>
              <w:rPr>
                <w:sz w:val="20"/>
              </w:rPr>
              <w:t>7</w:t>
            </w:r>
            <w:r>
              <w:rPr>
                <w:sz w:val="20"/>
              </w:rPr>
              <w:t>．床护栏尺寸</w:t>
            </w:r>
            <w:r>
              <w:rPr>
                <w:sz w:val="20"/>
              </w:rPr>
              <w:t>1210mm</w:t>
            </w:r>
            <w:r>
              <w:rPr>
                <w:sz w:val="20"/>
              </w:rPr>
              <w:t>×高</w:t>
            </w:r>
            <w:r>
              <w:rPr>
                <w:sz w:val="20"/>
              </w:rPr>
              <w:t>300mm</w:t>
            </w:r>
            <w:r>
              <w:rPr>
                <w:sz w:val="20"/>
              </w:rPr>
              <w:t>，采用∅</w:t>
            </w:r>
            <w:r>
              <w:rPr>
                <w:sz w:val="20"/>
              </w:rPr>
              <w:t>19*1.0mm</w:t>
            </w:r>
            <w:r>
              <w:rPr>
                <w:sz w:val="20"/>
              </w:rPr>
              <w:t>圆管两头弯管。顶部具有蚊帐架，蚊帐架采用∅</w:t>
            </w:r>
            <w:r>
              <w:rPr>
                <w:sz w:val="20"/>
              </w:rPr>
              <w:t>16*1.0mm</w:t>
            </w:r>
            <w:r>
              <w:rPr>
                <w:sz w:val="20"/>
              </w:rPr>
              <w:t>圆管两头弯管而成，直插入立柱顶部固定。</w:t>
            </w:r>
          </w:p>
          <w:p>
            <w:pPr>
              <w:pStyle w:val="null3"/>
              <w:jc w:val="left"/>
            </w:pPr>
            <w:r>
              <w:rPr>
                <w:sz w:val="20"/>
              </w:rPr>
              <w:t>8</w:t>
            </w:r>
            <w:r>
              <w:rPr>
                <w:sz w:val="20"/>
              </w:rPr>
              <w:t>．床板主体材质为杉木，板厚度≥</w:t>
            </w:r>
            <w:r>
              <w:rPr>
                <w:sz w:val="20"/>
              </w:rPr>
              <w:t>15mm</w:t>
            </w:r>
            <w:r>
              <w:rPr>
                <w:sz w:val="20"/>
              </w:rPr>
              <w:t>，四面刨光，单块板条宽度≥</w:t>
            </w:r>
            <w:r>
              <w:rPr>
                <w:sz w:val="20"/>
              </w:rPr>
              <w:t>60 mm</w:t>
            </w:r>
            <w:r>
              <w:rPr>
                <w:sz w:val="20"/>
              </w:rPr>
              <w:t>，板条拼接缝隙度</w:t>
            </w:r>
            <w:r>
              <w:rPr>
                <w:sz w:val="20"/>
              </w:rPr>
              <w:t>5 mm---8mm</w:t>
            </w:r>
            <w:r>
              <w:rPr>
                <w:sz w:val="20"/>
              </w:rPr>
              <w:t>收缩缝，床板底衬横档松木</w:t>
            </w:r>
            <w:r>
              <w:rPr>
                <w:sz w:val="20"/>
              </w:rPr>
              <w:t>4</w:t>
            </w:r>
            <w:r>
              <w:rPr>
                <w:sz w:val="20"/>
              </w:rPr>
              <w:t>根尺寸</w:t>
            </w:r>
            <w:r>
              <w:rPr>
                <w:sz w:val="20"/>
              </w:rPr>
              <w:t>40mm</w:t>
            </w:r>
            <w:r>
              <w:rPr>
                <w:sz w:val="20"/>
              </w:rPr>
              <w:t>×</w:t>
            </w:r>
            <w:r>
              <w:rPr>
                <w:sz w:val="20"/>
              </w:rPr>
              <w:t>30 mm</w:t>
            </w:r>
            <w:r>
              <w:rPr>
                <w:sz w:val="20"/>
              </w:rPr>
              <w:t>。</w:t>
            </w:r>
            <w:r>
              <w:rPr>
                <w:sz w:val="20"/>
              </w:rPr>
              <w:t>3</w:t>
            </w:r>
            <w:r>
              <w:rPr>
                <w:sz w:val="20"/>
              </w:rPr>
              <w:t>面刨光。</w:t>
            </w:r>
          </w:p>
          <w:p>
            <w:pPr>
              <w:pStyle w:val="null3"/>
              <w:jc w:val="left"/>
            </w:pPr>
            <w:r>
              <w:rPr>
                <w:sz w:val="20"/>
              </w:rPr>
              <w:t>9</w:t>
            </w:r>
            <w:r>
              <w:rPr>
                <w:sz w:val="20"/>
              </w:rPr>
              <w:t>．铁架焊接牢固平整，管材不得使用短件拼接，焊接牢实、打磨光滑不留刺、瘤等，焊口应平整光滑，无漏焊、开裂，无焊渣。</w:t>
            </w:r>
          </w:p>
          <w:p>
            <w:pPr>
              <w:pStyle w:val="null3"/>
              <w:jc w:val="left"/>
            </w:pPr>
            <w:r>
              <w:rPr>
                <w:sz w:val="20"/>
              </w:rPr>
              <w:t>▲</w:t>
            </w:r>
            <w:r>
              <w:rPr>
                <w:sz w:val="20"/>
              </w:rPr>
              <w:t>10</w:t>
            </w:r>
            <w:r>
              <w:rPr>
                <w:sz w:val="20"/>
              </w:rPr>
              <w:t>．提供公寓床检测报告，检验项目至少包含：木制件外观（封边处理、表面装饰层），金属件外观（焊接件、冲压件、喷涂层），安全性能要求，金属喷漆（塑）涂层理化性能（≥</w:t>
            </w:r>
            <w:r>
              <w:rPr>
                <w:sz w:val="20"/>
              </w:rPr>
              <w:t>480h</w:t>
            </w:r>
            <w:r>
              <w:rPr>
                <w:sz w:val="20"/>
              </w:rPr>
              <w:t>耐腐蚀试验无缺陷），木制件表面贴面层理化性能（耐光色牢度≥</w:t>
            </w:r>
            <w:r>
              <w:rPr>
                <w:sz w:val="20"/>
              </w:rPr>
              <w:t>4</w:t>
            </w:r>
            <w:r>
              <w:rPr>
                <w:sz w:val="20"/>
              </w:rPr>
              <w:t>级，耐湿热、耐污染性不低于</w:t>
            </w:r>
            <w:r>
              <w:rPr>
                <w:sz w:val="20"/>
              </w:rPr>
              <w:t>3</w:t>
            </w:r>
            <w:r>
              <w:rPr>
                <w:sz w:val="20"/>
              </w:rPr>
              <w:t>级），力学性能≥</w:t>
            </w:r>
            <w:r>
              <w:rPr>
                <w:sz w:val="20"/>
              </w:rPr>
              <w:t>6</w:t>
            </w:r>
            <w:r>
              <w:rPr>
                <w:sz w:val="20"/>
              </w:rPr>
              <w:t>项，甲醛释放量（气候箱法）≤</w:t>
            </w:r>
            <w:r>
              <w:rPr>
                <w:sz w:val="20"/>
              </w:rPr>
              <w:t>0.05mg/m3</w:t>
            </w:r>
            <w:r>
              <w:rPr>
                <w:sz w:val="20"/>
              </w:rPr>
              <w:t>等项目检测合格，符合</w:t>
            </w:r>
            <w:r>
              <w:rPr>
                <w:sz w:val="20"/>
              </w:rPr>
              <w:t>GB/T 3325-2017</w:t>
            </w:r>
            <w:r>
              <w:rPr>
                <w:sz w:val="20"/>
              </w:rPr>
              <w:t>、</w:t>
            </w:r>
            <w:r>
              <w:rPr>
                <w:sz w:val="20"/>
              </w:rPr>
              <w:t>GB 18580-2017</w:t>
            </w:r>
            <w:r>
              <w:rPr>
                <w:sz w:val="20"/>
              </w:rPr>
              <w:t>的标准（提供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p>
            <w:pPr>
              <w:pStyle w:val="null3"/>
              <w:jc w:val="left"/>
            </w:pPr>
            <w:r>
              <w:rPr>
                <w:sz w:val="20"/>
              </w:rPr>
              <w:t>▲</w:t>
            </w:r>
            <w:r>
              <w:rPr>
                <w:sz w:val="20"/>
              </w:rPr>
              <w:t>11</w:t>
            </w:r>
            <w:r>
              <w:rPr>
                <w:sz w:val="20"/>
              </w:rPr>
              <w:t>．提供床板抽样检测报告，检验项目至少包含：木材名称、木材要求（木材含水率、人造板要求）、木制件外观、甲醛释放量（气候箱法≤</w:t>
            </w:r>
            <w:r>
              <w:rPr>
                <w:sz w:val="20"/>
              </w:rPr>
              <w:t>0.1mg/m3</w:t>
            </w:r>
            <w:r>
              <w:rPr>
                <w:sz w:val="20"/>
              </w:rPr>
              <w:t>）等项目检测合格，符合</w:t>
            </w:r>
            <w:r>
              <w:rPr>
                <w:sz w:val="20"/>
              </w:rPr>
              <w:t>GB/T 3324-2017</w:t>
            </w:r>
            <w:r>
              <w:rPr>
                <w:sz w:val="20"/>
              </w:rPr>
              <w:t>、</w:t>
            </w:r>
            <w:r>
              <w:rPr>
                <w:sz w:val="20"/>
              </w:rPr>
              <w:t>GB 18580-2017</w:t>
            </w:r>
            <w:r>
              <w:rPr>
                <w:sz w:val="20"/>
              </w:rPr>
              <w:t>、</w:t>
            </w:r>
            <w:r>
              <w:rPr>
                <w:sz w:val="20"/>
              </w:rPr>
              <w:t>GB/T 29894-2013</w:t>
            </w:r>
            <w:r>
              <w:rPr>
                <w:sz w:val="20"/>
              </w:rPr>
              <w:t>的标准。（提供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p>
            <w:pPr>
              <w:pStyle w:val="null3"/>
              <w:jc w:val="left"/>
            </w:pPr>
            <w:r>
              <w:rPr>
                <w:sz w:val="20"/>
              </w:rPr>
              <w:t>▲</w:t>
            </w:r>
            <w:r>
              <w:rPr>
                <w:sz w:val="20"/>
              </w:rPr>
              <w:t>12</w:t>
            </w:r>
            <w:r>
              <w:rPr>
                <w:sz w:val="20"/>
              </w:rPr>
              <w:t>．提供螺丝螺栓抽样检测报告，检验项目至少包含：乙酸盐雾连续喷雾≥</w:t>
            </w:r>
            <w:r>
              <w:rPr>
                <w:sz w:val="20"/>
              </w:rPr>
              <w:t>460</w:t>
            </w:r>
            <w:r>
              <w:rPr>
                <w:sz w:val="20"/>
              </w:rPr>
              <w:t>小时试验，耐腐蚀等级≥</w:t>
            </w:r>
            <w:r>
              <w:rPr>
                <w:sz w:val="20"/>
              </w:rPr>
              <w:t>9</w:t>
            </w:r>
            <w:r>
              <w:rPr>
                <w:sz w:val="20"/>
              </w:rPr>
              <w:t>级，镀（涂）层对基体的保护等级≥</w:t>
            </w:r>
            <w:r>
              <w:rPr>
                <w:sz w:val="20"/>
              </w:rPr>
              <w:t>9</w:t>
            </w:r>
            <w:r>
              <w:rPr>
                <w:sz w:val="20"/>
              </w:rPr>
              <w:t>级等项目检测合格，符合</w:t>
            </w:r>
            <w:r>
              <w:rPr>
                <w:sz w:val="20"/>
              </w:rPr>
              <w:t>QB/T 3832-1999</w:t>
            </w:r>
            <w:r>
              <w:rPr>
                <w:sz w:val="20"/>
              </w:rPr>
              <w:t>，</w:t>
            </w:r>
            <w:r>
              <w:rPr>
                <w:sz w:val="20"/>
              </w:rPr>
              <w:t>QB/T 3827-1999</w:t>
            </w:r>
            <w:r>
              <w:rPr>
                <w:sz w:val="20"/>
              </w:rPr>
              <w:t>的标准。（提供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p>
            <w:pPr>
              <w:pStyle w:val="null3"/>
              <w:jc w:val="left"/>
            </w:pPr>
            <w:r>
              <w:rPr>
                <w:sz w:val="20"/>
              </w:rPr>
              <w:t>▲</w:t>
            </w:r>
            <w:r>
              <w:rPr>
                <w:sz w:val="20"/>
              </w:rPr>
              <w:t>13</w:t>
            </w:r>
            <w:r>
              <w:rPr>
                <w:sz w:val="20"/>
              </w:rPr>
              <w:t>．提供粉末涂料抽样检测报告，检验项目至少包含：涂膜外观正常；筛余物</w:t>
            </w:r>
            <w:r>
              <w:rPr>
                <w:sz w:val="20"/>
              </w:rPr>
              <w:t>(125</w:t>
            </w:r>
            <w:r>
              <w:rPr>
                <w:sz w:val="20"/>
              </w:rPr>
              <w:t>μ</w:t>
            </w:r>
            <w:r>
              <w:rPr>
                <w:sz w:val="20"/>
              </w:rPr>
              <w:t>m)</w:t>
            </w:r>
            <w:r>
              <w:rPr>
                <w:sz w:val="20"/>
              </w:rPr>
              <w:t>；≥</w:t>
            </w:r>
            <w:r>
              <w:rPr>
                <w:sz w:val="20"/>
              </w:rPr>
              <w:t>460h</w:t>
            </w:r>
            <w:r>
              <w:rPr>
                <w:sz w:val="20"/>
              </w:rPr>
              <w:t>耐酸性、耐碱性试验无异常；≥</w:t>
            </w:r>
            <w:r>
              <w:rPr>
                <w:sz w:val="20"/>
              </w:rPr>
              <w:t>460h</w:t>
            </w:r>
            <w:r>
              <w:rPr>
                <w:sz w:val="20"/>
              </w:rPr>
              <w:t>耐人工气候老化性试验无异常，≥</w:t>
            </w:r>
            <w:r>
              <w:rPr>
                <w:sz w:val="20"/>
              </w:rPr>
              <w:t>460h</w:t>
            </w:r>
            <w:r>
              <w:rPr>
                <w:sz w:val="20"/>
              </w:rPr>
              <w:t>耐盐雾性试验无异常；可溶性重金属含量（可溶性铅、可溶性镉、可溶性铬、可溶性汞）未检出；抗菌性能（金黄色葡萄球菌、肺炎克雷伯氏菌、大肠埃希氏菌）</w:t>
            </w:r>
            <w:r>
              <w:rPr>
                <w:sz w:val="20"/>
              </w:rPr>
              <w:t>24</w:t>
            </w:r>
            <w:r>
              <w:rPr>
                <w:sz w:val="20"/>
              </w:rPr>
              <w:t>小时抑菌率≥</w:t>
            </w:r>
            <w:r>
              <w:rPr>
                <w:sz w:val="20"/>
              </w:rPr>
              <w:t>99%</w:t>
            </w:r>
            <w:r>
              <w:rPr>
                <w:sz w:val="20"/>
              </w:rPr>
              <w:t>；耐霉菌性能</w:t>
            </w:r>
            <w:r>
              <w:rPr>
                <w:sz w:val="20"/>
              </w:rPr>
              <w:t>0</w:t>
            </w:r>
            <w:r>
              <w:rPr>
                <w:sz w:val="20"/>
              </w:rPr>
              <w:t>级（黄曲霉、黑曲霉、绳状青霉）等项目检测合格，符合</w:t>
            </w:r>
            <w:r>
              <w:rPr>
                <w:sz w:val="20"/>
              </w:rPr>
              <w:t>GB/T 21866-2008</w:t>
            </w:r>
            <w:r>
              <w:rPr>
                <w:sz w:val="20"/>
              </w:rPr>
              <w:t>、</w:t>
            </w:r>
            <w:r>
              <w:rPr>
                <w:sz w:val="20"/>
              </w:rPr>
              <w:t>GB/T 1741-2020</w:t>
            </w:r>
            <w:r>
              <w:rPr>
                <w:sz w:val="20"/>
              </w:rPr>
              <w:t>的标准。（提供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p>
            <w:pPr>
              <w:pStyle w:val="null3"/>
              <w:jc w:val="both"/>
            </w:pPr>
            <w:r>
              <w:rPr>
                <w:sz w:val="20"/>
              </w:rPr>
              <w:t>▲</w:t>
            </w:r>
            <w:r>
              <w:rPr>
                <w:sz w:val="20"/>
              </w:rPr>
              <w:t>14</w:t>
            </w:r>
            <w:r>
              <w:rPr>
                <w:sz w:val="20"/>
              </w:rPr>
              <w:t>．提供钢管抽样检测报告，检验项目至少包含：金属喷漆（塑）涂层理化性能（≥</w:t>
            </w:r>
            <w:r>
              <w:rPr>
                <w:sz w:val="20"/>
              </w:rPr>
              <w:t>460h</w:t>
            </w:r>
            <w:r>
              <w:rPr>
                <w:sz w:val="20"/>
              </w:rPr>
              <w:t>耐腐蚀试验无缺陷，硬度≥</w:t>
            </w:r>
            <w:r>
              <w:rPr>
                <w:sz w:val="20"/>
              </w:rPr>
              <w:t>3H</w:t>
            </w:r>
            <w:r>
              <w:rPr>
                <w:sz w:val="20"/>
              </w:rPr>
              <w:t>）；乙酸盐雾连续喷雾≥</w:t>
            </w:r>
            <w:r>
              <w:rPr>
                <w:sz w:val="20"/>
              </w:rPr>
              <w:t>460h</w:t>
            </w:r>
            <w:r>
              <w:rPr>
                <w:sz w:val="20"/>
              </w:rPr>
              <w:t>试验耐腐蚀等级≥</w:t>
            </w:r>
            <w:r>
              <w:rPr>
                <w:sz w:val="20"/>
              </w:rPr>
              <w:t>9</w:t>
            </w:r>
            <w:r>
              <w:rPr>
                <w:sz w:val="20"/>
              </w:rPr>
              <w:t>级等项目检测合格，符合</w:t>
            </w:r>
            <w:r>
              <w:rPr>
                <w:sz w:val="20"/>
              </w:rPr>
              <w:t>GB/T 3325-2017</w:t>
            </w:r>
            <w:r>
              <w:rPr>
                <w:sz w:val="20"/>
              </w:rPr>
              <w:t>、</w:t>
            </w:r>
            <w:r>
              <w:rPr>
                <w:sz w:val="20"/>
              </w:rPr>
              <w:t>QB/T 3827-1999</w:t>
            </w:r>
            <w:r>
              <w:rPr>
                <w:sz w:val="20"/>
              </w:rPr>
              <w:t>、</w:t>
            </w:r>
            <w:r>
              <w:rPr>
                <w:sz w:val="20"/>
              </w:rPr>
              <w:t>QB/T 3832-1999</w:t>
            </w:r>
            <w:r>
              <w:rPr>
                <w:sz w:val="20"/>
              </w:rPr>
              <w:t>的标准。（提供</w:t>
            </w:r>
            <w:r>
              <w:rPr>
                <w:sz w:val="20"/>
              </w:rPr>
              <w:t>2022</w:t>
            </w:r>
            <w:r>
              <w:rPr>
                <w:sz w:val="20"/>
              </w:rPr>
              <w:t>年</w:t>
            </w:r>
            <w:r>
              <w:rPr>
                <w:sz w:val="20"/>
              </w:rPr>
              <w:t>1</w:t>
            </w:r>
            <w:r>
              <w:rPr>
                <w:sz w:val="20"/>
              </w:rPr>
              <w:t>月以来带有</w:t>
            </w:r>
            <w:r>
              <w:rPr>
                <w:sz w:val="20"/>
              </w:rPr>
              <w:t>CMA</w:t>
            </w:r>
            <w:r>
              <w:rPr>
                <w:sz w:val="20"/>
              </w:rPr>
              <w:t>或</w:t>
            </w:r>
            <w:r>
              <w:rPr>
                <w:sz w:val="20"/>
              </w:rPr>
              <w:t>CMAS</w:t>
            </w:r>
            <w:r>
              <w:rPr>
                <w:sz w:val="20"/>
              </w:rPr>
              <w:t>认可标识的检测报告扫描件及认监委或官网查询截图。如果是授权投标人参加投标的需提供产品生产厂家的授权书，否则该项不计分。）。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储物柜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rPr>
              <w:t>6</w:t>
            </w:r>
            <w:r>
              <w:rPr>
                <w:sz w:val="20"/>
              </w:rPr>
              <w:t>门不锈钢柜</w:t>
            </w:r>
          </w:p>
          <w:p>
            <w:pPr>
              <w:pStyle w:val="null3"/>
              <w:jc w:val="both"/>
            </w:pPr>
            <w:r>
              <w:rPr>
                <w:sz w:val="20"/>
              </w:rPr>
              <w:t>规格：</w:t>
            </w:r>
            <w:r>
              <w:rPr>
                <w:sz w:val="20"/>
              </w:rPr>
              <w:t xml:space="preserve">900*400*1800mm </w:t>
            </w:r>
            <w:r>
              <w:rPr>
                <w:sz w:val="20"/>
              </w:rPr>
              <w:t>基材使用一等品不锈钢厚度</w:t>
            </w:r>
            <w:r>
              <w:rPr>
                <w:sz w:val="20"/>
              </w:rPr>
              <w:t>0.7mm</w:t>
            </w:r>
            <w:r>
              <w:rPr>
                <w:sz w:val="20"/>
              </w:rPr>
              <w:t>外面喷涂高级粉末。优质五金配件；产品零件结合牢固严密，活动部位灵活自如。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1.采购代理机构：本项目是指韶关市中晟项目管理有限公司，负责整个采购活动的组织，依法负责编制和发布招标文件，对招标文件拥有最终的解释权，不以任何身份出任评标委员会成员。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乐昌市教育局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采购机构代理服务收费标准：参考《招标代理服务收费管理暂行办法》计价格[2002]1980号文，《国家发展改革委关于进一步放开建设项目专业服务价格的通知发改价格[2015] 299号》收费标准计取。招标代理服务费按差额定率累进法计算。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韶关市中晟项目管理有限公司</w:t>
      </w:r>
      <w:r>
        <w:rPr/>
        <w:t>代收。具体操作要求详见</w:t>
      </w:r>
      <w:r>
        <w:rPr/>
        <w:t>韶关市中晟项目管理有限公司</w:t>
      </w:r>
      <w:r>
        <w:rPr/>
        <w:t>有关指引，递交事宜请自行咨询</w:t>
      </w:r>
      <w:r>
        <w:rPr/>
        <w:t>韶关市中晟项目管理有限公司</w:t>
      </w:r>
      <w:r>
        <w:rPr/>
        <w:t>；请各投标人在投标文件递交截止时间前按须知前附表规定的金额递交至</w:t>
      </w:r>
      <w:r>
        <w:rPr/>
        <w:t>韶关市中晟项目管理有限公司</w:t>
      </w:r>
      <w:r>
        <w:rPr/>
        <w:t>，到账情况以开标时</w:t>
      </w:r>
      <w:r>
        <w:rPr/>
        <w:t>韶关市中晟项目管理有限公司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0751-8288690</w:t>
      </w:r>
    </w:p>
    <w:p>
      <w:pPr>
        <w:pStyle w:val="null3"/>
        <w:ind w:firstLine="480"/>
      </w:pPr>
      <w:r>
        <w:rPr/>
        <w:t>传真：</w:t>
      </w:r>
      <w:r>
        <w:rPr/>
        <w:t>/</w:t>
      </w:r>
    </w:p>
    <w:p>
      <w:pPr>
        <w:pStyle w:val="null3"/>
        <w:ind w:firstLine="480"/>
      </w:pPr>
      <w:r>
        <w:rPr/>
        <w:t>邮箱：</w:t>
      </w:r>
      <w:r>
        <w:rPr/>
        <w:t>sg2020sgzs@163.com</w:t>
      </w:r>
    </w:p>
    <w:p>
      <w:pPr>
        <w:pStyle w:val="null3"/>
        <w:ind w:firstLine="480"/>
      </w:pPr>
      <w:r>
        <w:rPr/>
        <w:t>地址：</w:t>
      </w:r>
      <w:r>
        <w:rPr/>
        <w:t>韶关市武江区芙蓉新村六街4栋A</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政府采购监督管理机构名称：乐昌市财政局（政府采购监管股）</w:t>
      </w:r>
    </w:p>
    <w:p>
      <w:pPr>
        <w:pStyle w:val="null3"/>
      </w:pPr>
      <w:r>
        <w:rPr/>
        <w:t>地 址：乐昌市公主下路68号</w:t>
      </w:r>
    </w:p>
    <w:p>
      <w:pPr>
        <w:pStyle w:val="null3"/>
      </w:pPr>
      <w:r>
        <w:rPr/>
        <w:t>电 话：0751-5570166</w:t>
      </w:r>
    </w:p>
    <w:p>
      <w:pPr>
        <w:pStyle w:val="null3"/>
      </w:pPr>
      <w:r>
        <w:rPr/>
        <w:t>邮 编：512200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建乐昌市新城中学设施设备采购项目之课桌椅及宿舍床柜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韶关市中晟项目管理有限公司</w:t>
      </w:r>
      <w:r>
        <w:rPr/>
        <w:t>统一对外发布。</w:t>
      </w:r>
    </w:p>
    <w:p>
      <w:pPr>
        <w:pStyle w:val="null3"/>
        <w:ind w:firstLine="480"/>
      </w:pPr>
      <w:r>
        <w:rPr/>
        <w:t>（2）对</w:t>
      </w:r>
      <w:r>
        <w:rPr/>
        <w:t>韶关市中晟项目管理有限公司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采购包1（新建乐昌市新城中学设施设备采购项目之课桌椅及宿舍床柜采购项目）：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采购包1（新建乐昌市新城中学设施设备采购项目之课桌椅及宿舍床柜采购项目）：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代理机构人员于投标（响应）截止时间当天在“信用中国”网站（www.creditchina.gov.cn）及中国政府采购网。（http://www.ccgp.gov.cn/）查询结果为准，如相关失信记录已失效，投标人需提供相关证明资料）。 如“信用中国”网站查询结果显示“没有找到您搜索的企业”或“没有找到您搜索数据”，视为没有上述三类不良信用记录。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本采购项目不接受联合体投标。</w:t>
            </w:r>
          </w:p>
        </w:tc>
        <w:tc>
          <w:tcPr>
            <w:tcW w:type="dxa" w:w="4238"/>
          </w:tcPr>
          <w:p>
            <w:pPr>
              <w:pStyle w:val="null3"/>
            </w:pPr>
            <w:r>
              <w:rPr/>
              <w:t>本采购项目不接受联合体投标。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参与的供应商提供的货物全部由符合政策要求的中小企业制造。</w:t>
            </w:r>
          </w:p>
        </w:tc>
      </w:tr>
    </w:tbl>
    <w:p>
      <w:pPr>
        <w:pStyle w:val="null3"/>
        <w:ind w:firstLine="480"/>
      </w:pPr>
      <w:r>
        <w:rPr/>
        <w:t>表二符合性审查表：</w:t>
      </w:r>
    </w:p>
    <w:p>
      <w:pPr>
        <w:pStyle w:val="null3"/>
      </w:pPr>
      <w:r>
        <w:rPr/>
        <w:t>采购包1（新建乐昌市新城中学设施设备采购项目之课桌椅及宿舍床柜采购项目）：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投标函按对应格式文件填写、签署、盖章。</w:t>
            </w:r>
          </w:p>
        </w:tc>
        <w:tc>
          <w:tcPr>
            <w:tcW w:type="dxa" w:w="4238"/>
          </w:tcPr>
          <w:p>
            <w:pPr>
              <w:pStyle w:val="null3"/>
            </w:pPr>
            <w:r>
              <w:rPr/>
              <w:t>投标函按对应格式文件填写、签署、盖章。</w:t>
            </w:r>
          </w:p>
        </w:tc>
      </w:tr>
      <w:tr>
        <w:tc>
          <w:tcPr>
            <w:tcW w:type="dxa" w:w="890"/>
          </w:tcPr>
          <w:p>
            <w:pPr>
              <w:pStyle w:val="null3"/>
            </w:pPr>
            <w:r>
              <w:rPr/>
              <w:t>2</w:t>
            </w:r>
          </w:p>
        </w:tc>
        <w:tc>
          <w:tcPr>
            <w:tcW w:type="dxa" w:w="3178"/>
          </w:tcPr>
          <w:p>
            <w:pPr>
              <w:pStyle w:val="null3"/>
            </w:pPr>
            <w:r>
              <w:rPr/>
              <w:t>法定代表人证明书及授权书，按对应格式文件签署、盖章。</w:t>
            </w:r>
          </w:p>
        </w:tc>
        <w:tc>
          <w:tcPr>
            <w:tcW w:type="dxa" w:w="4238"/>
          </w:tcPr>
          <w:p>
            <w:pPr>
              <w:pStyle w:val="null3"/>
            </w:pPr>
            <w:r>
              <w:rPr/>
              <w:t>法定代表人证明书及授权书，按对应格式文件签署、盖章。</w:t>
            </w:r>
          </w:p>
        </w:tc>
      </w:tr>
      <w:tr>
        <w:tc>
          <w:tcPr>
            <w:tcW w:type="dxa" w:w="890"/>
          </w:tcPr>
          <w:p>
            <w:pPr>
              <w:pStyle w:val="null3"/>
            </w:pPr>
            <w:r>
              <w:rPr/>
              <w:t>3</w:t>
            </w:r>
          </w:p>
        </w:tc>
        <w:tc>
          <w:tcPr>
            <w:tcW w:type="dxa" w:w="3178"/>
          </w:tcPr>
          <w:p>
            <w:pPr>
              <w:pStyle w:val="null3"/>
            </w:pPr>
            <w:r>
              <w:rPr/>
              <w:t>在经营范围内报价，投标总金额是固定价且是唯一的，未超过本项目预算金额或最高限价；如果评审委员会认为投标人的报价明显低于其他通过符合性审查投标人的报价，有可能影响服务质量或者不能诚信履约的，将要求其在评标现场合理的时间内提供书面说明，必要时提交相关证明材料；投标人应能证明其报价合理性。</w:t>
            </w:r>
          </w:p>
        </w:tc>
        <w:tc>
          <w:tcPr>
            <w:tcW w:type="dxa" w:w="4238"/>
          </w:tcPr>
          <w:p>
            <w:pPr>
              <w:pStyle w:val="null3"/>
            </w:pPr>
            <w:r>
              <w:rPr/>
              <w:t>在经营范围内报价，投标总金额是固定价且是唯一的，未超过本项目预算金额或最高限价；如果评审委员会认为投标人的报价明显低于其他通过符合性审查投标人的报价，有可能影响服务质量或者不能诚信履约的，将要求其在评标现场合理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有效期为递交投标文件之日起90天。</w:t>
            </w:r>
          </w:p>
        </w:tc>
        <w:tc>
          <w:tcPr>
            <w:tcW w:type="dxa" w:w="4238"/>
          </w:tcPr>
          <w:p>
            <w:pPr>
              <w:pStyle w:val="null3"/>
            </w:pPr>
            <w:r>
              <w:rPr/>
              <w:t>有效期为递交投标文件之日起90天。</w:t>
            </w:r>
          </w:p>
        </w:tc>
      </w:tr>
      <w:tr>
        <w:tc>
          <w:tcPr>
            <w:tcW w:type="dxa" w:w="890"/>
          </w:tcPr>
          <w:p>
            <w:pPr>
              <w:pStyle w:val="null3"/>
            </w:pPr>
            <w:r>
              <w:rPr/>
              <w:t>5</w:t>
            </w:r>
          </w:p>
        </w:tc>
        <w:tc>
          <w:tcPr>
            <w:tcW w:type="dxa" w:w="3178"/>
          </w:tcPr>
          <w:p>
            <w:pPr>
              <w:pStyle w:val="null3"/>
            </w:pPr>
            <w:r>
              <w:rPr/>
              <w:t>投标文件符合招标文件规定要求签署、盖章。</w:t>
            </w:r>
          </w:p>
        </w:tc>
        <w:tc>
          <w:tcPr>
            <w:tcW w:type="dxa" w:w="4238"/>
          </w:tcPr>
          <w:p>
            <w:pPr>
              <w:pStyle w:val="null3"/>
            </w:pPr>
            <w:r>
              <w:rPr/>
              <w:t>投标文件符合招标文件规定要求签署、盖章。</w:t>
            </w:r>
          </w:p>
        </w:tc>
      </w:tr>
      <w:tr>
        <w:tc>
          <w:tcPr>
            <w:tcW w:type="dxa" w:w="890"/>
          </w:tcPr>
          <w:p>
            <w:pPr>
              <w:pStyle w:val="null3"/>
            </w:pPr>
            <w:r>
              <w:rPr/>
              <w:t>6</w:t>
            </w:r>
          </w:p>
        </w:tc>
        <w:tc>
          <w:tcPr>
            <w:tcW w:type="dxa" w:w="3178"/>
          </w:tcPr>
          <w:p>
            <w:pPr>
              <w:pStyle w:val="null3"/>
            </w:pPr>
            <w:r>
              <w:rPr/>
              <w:t>未出现招标文件所列的视为串通投标的情形。</w:t>
            </w:r>
          </w:p>
        </w:tc>
        <w:tc>
          <w:tcPr>
            <w:tcW w:type="dxa" w:w="4238"/>
          </w:tcPr>
          <w:p>
            <w:pPr>
              <w:pStyle w:val="null3"/>
            </w:pPr>
            <w:r>
              <w:rPr/>
              <w:t>未出现招标文件所列的视为串通投标的情形。</w:t>
            </w:r>
          </w:p>
        </w:tc>
      </w:tr>
      <w:tr>
        <w:tc>
          <w:tcPr>
            <w:tcW w:type="dxa" w:w="890"/>
          </w:tcPr>
          <w:p>
            <w:pPr>
              <w:pStyle w:val="null3"/>
            </w:pPr>
            <w:r>
              <w:rPr/>
              <w:t>7</w:t>
            </w:r>
          </w:p>
        </w:tc>
        <w:tc>
          <w:tcPr>
            <w:tcW w:type="dxa" w:w="3178"/>
          </w:tcPr>
          <w:p>
            <w:pPr>
              <w:pStyle w:val="null3"/>
            </w:pPr>
            <w:r>
              <w:rPr/>
              <w:t>技术要求实质性响应采购文件中“★”号参数的技术要求。</w:t>
            </w:r>
          </w:p>
        </w:tc>
        <w:tc>
          <w:tcPr>
            <w:tcW w:type="dxa" w:w="4238"/>
          </w:tcPr>
          <w:p>
            <w:pPr>
              <w:pStyle w:val="null3"/>
            </w:pPr>
            <w:r>
              <w:rPr/>
              <w:t>技术要求实质性响应采购文件中“★”号参数的技术要求。</w:t>
            </w:r>
          </w:p>
        </w:tc>
      </w:tr>
      <w:tr>
        <w:tc>
          <w:tcPr>
            <w:tcW w:type="dxa" w:w="890"/>
          </w:tcPr>
          <w:p>
            <w:pPr>
              <w:pStyle w:val="null3"/>
            </w:pPr>
            <w:r>
              <w:rPr/>
              <w:t>8</w:t>
            </w:r>
          </w:p>
        </w:tc>
        <w:tc>
          <w:tcPr>
            <w:tcW w:type="dxa" w:w="3178"/>
          </w:tcPr>
          <w:p>
            <w:pPr>
              <w:pStyle w:val="null3"/>
            </w:pPr>
            <w:r>
              <w:rPr/>
              <w:t>商务要求实质性响应采购文件中“★”号参数的商务要求。</w:t>
            </w:r>
          </w:p>
        </w:tc>
        <w:tc>
          <w:tcPr>
            <w:tcW w:type="dxa" w:w="4238"/>
          </w:tcPr>
          <w:p>
            <w:pPr>
              <w:pStyle w:val="null3"/>
            </w:pPr>
            <w:r>
              <w:rPr/>
              <w:t>商务要求实质性响应采购文件中“★”号参数的商务要求。</w:t>
            </w:r>
          </w:p>
        </w:tc>
      </w:tr>
      <w:tr>
        <w:tc>
          <w:tcPr>
            <w:tcW w:type="dxa" w:w="890"/>
          </w:tcPr>
          <w:p>
            <w:pPr>
              <w:pStyle w:val="null3"/>
            </w:pPr>
            <w:r>
              <w:rPr/>
              <w:t>9</w:t>
            </w:r>
          </w:p>
        </w:tc>
        <w:tc>
          <w:tcPr>
            <w:tcW w:type="dxa" w:w="3178"/>
          </w:tcPr>
          <w:p>
            <w:pPr>
              <w:pStyle w:val="null3"/>
            </w:pPr>
            <w:r>
              <w:rPr/>
              <w:t>按有关法律、法规、规章、招标文件不属于投标无效的 。</w:t>
            </w:r>
          </w:p>
        </w:tc>
        <w:tc>
          <w:tcPr>
            <w:tcW w:type="dxa" w:w="4238"/>
          </w:tcPr>
          <w:p>
            <w:pPr>
              <w:pStyle w:val="null3"/>
            </w:pPr>
            <w:r>
              <w:rPr/>
              <w:t>按有关法律、法规、规章、招标文件不属于投标无效的 。</w:t>
            </w:r>
          </w:p>
        </w:tc>
      </w:tr>
      <w:tr>
        <w:tc>
          <w:tcPr>
            <w:tcW w:type="dxa" w:w="890"/>
          </w:tcPr>
          <w:p>
            <w:pPr>
              <w:pStyle w:val="null3"/>
            </w:pPr>
            <w:r>
              <w:rPr/>
              <w:t>10</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采购包1(新建乐昌市新城中学设施设备采购项目之课桌椅及宿舍床柜采购项目):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 的重要技术参数的符合性 (20.0分)</w:t>
            </w:r>
          </w:p>
        </w:tc>
        <w:tc>
          <w:tcPr>
            <w:tcW w:type="dxa" w:w="5076"/>
          </w:tcPr>
          <w:p>
            <w:pPr>
              <w:pStyle w:val="null3"/>
              <w:jc w:val="left"/>
            </w:pPr>
            <w:r>
              <w:rPr/>
              <w:t>投标人提供的产品完全满足或优于《技术标准与要求》标“▲”重要技术参数指标要求的，得20分。每一项不满足的扣2分，扣完为止。 注：技术标准与要求中条款标注“▲”条款中明确要求提供证明资料的，以投标人提供的证明资料加盖投标人公章为准，技术标准与要求中没有明确要求提供证明资料的，则以投标人提供所投产品彩页或原厂商的技术白皮书或原厂商所作的技术参数说明或投标文件中《技术和服务要求响应表》响应情况等证明材料加盖投标人公章。</w:t>
            </w:r>
          </w:p>
        </w:tc>
      </w:tr>
      <w:tr>
        <w:tc>
          <w:tcPr>
            <w:tcW w:type="dxa" w:w="922"/>
            <w:gridSpan w:val="2"/>
            <w:vMerge/>
          </w:tcPr>
          <w:p/>
        </w:tc>
        <w:tc>
          <w:tcPr>
            <w:tcW w:type="dxa" w:w="2307"/>
          </w:tcPr>
          <w:p>
            <w:pPr>
              <w:pStyle w:val="null3"/>
              <w:jc w:val="left"/>
            </w:pPr>
            <w:r>
              <w:rPr/>
              <w:t>所投产品对用户需求书中不带▲ 号的参数的符合性 (10.0分)</w:t>
            </w:r>
            <w:r>
              <w:rPr/>
              <w:t>，（等次分值选择：</w:t>
            </w:r>
            <w:r>
              <w:rPr/>
              <w:t>0.0;</w:t>
            </w:r>
            <w:r>
              <w:rPr/>
              <w:t>2.0;</w:t>
            </w:r>
            <w:r>
              <w:rPr/>
              <w:t>4.0;</w:t>
            </w:r>
            <w:r>
              <w:rPr/>
              <w:t>7.0;</w:t>
            </w:r>
            <w:r>
              <w:rPr/>
              <w:t>10.0;</w:t>
            </w:r>
            <w:r>
              <w:rPr/>
              <w:t>）</w:t>
            </w:r>
          </w:p>
        </w:tc>
        <w:tc>
          <w:tcPr>
            <w:tcW w:type="dxa" w:w="5076"/>
          </w:tcPr>
          <w:p>
            <w:pPr>
              <w:pStyle w:val="null3"/>
              <w:jc w:val="left"/>
            </w:pPr>
            <w:r>
              <w:rPr/>
              <w:t>投标人提供的产品完全满足或优于《技术标准与要求》不带“▲”的一般技术参数指标要求的，得10分。 1、有1～10项条款为负偏离/无响应的，得7分； 2、有11～20项条款为负偏离/无响应的，得4分；2、有21～30项条款为负偏离/无响应的，得2分； 3、有31项及以上条款为负偏离/无响应的，得0分。 注：技术标准与要求中条款标注非“▲”条款中明确要求提供证明资料的，以投标人提供的证明资料加盖投标人公章为准，技术标准与要求中没有明确要求提供证明资料的，则以投标人提供所投产品彩页或原厂商的技术白皮书或原厂商所作的技术参数说明或投标文件中《技术和服务要求响应表》响应情况等证明材料加盖投标人公章。</w:t>
            </w:r>
          </w:p>
        </w:tc>
      </w:tr>
      <w:tr>
        <w:tc>
          <w:tcPr>
            <w:tcW w:type="dxa" w:w="922"/>
            <w:gridSpan w:val="2"/>
            <w:vMerge/>
          </w:tcPr>
          <w:p/>
        </w:tc>
        <w:tc>
          <w:tcPr>
            <w:tcW w:type="dxa" w:w="2307"/>
          </w:tcPr>
          <w:p>
            <w:pPr>
              <w:pStyle w:val="null3"/>
              <w:jc w:val="left"/>
            </w:pPr>
            <w:r>
              <w:rPr/>
              <w:t>所投产品生产厂家综合实力 (12.0分)</w:t>
            </w:r>
          </w:p>
        </w:tc>
        <w:tc>
          <w:tcPr>
            <w:tcW w:type="dxa" w:w="5076"/>
          </w:tcPr>
          <w:p>
            <w:pPr>
              <w:pStyle w:val="null3"/>
              <w:jc w:val="left"/>
            </w:pPr>
            <w:r>
              <w:rPr/>
              <w:t>1.所投产品生产厂家具有有效的（1）ISO9001质量管理体系认证(须包含塑料课桌凳/椅生产或加工或销售等相关内容）（2）ISO14001环境管理体系认证(须包含塑料课桌凳/椅生产或加工或销售等相关内容）（3）职业健康管理体系认证(须包含塑料课桌凳/椅生产或加工或销售等相关内容）（4）家具产品环保卫士认证证书（认证产品包含课桌、课椅）（5）GB/T27922-2011售后服务认证证书（6）中国环境标志产品认证证书（认证单元：塑料家具），每提供一个证书得2分，本项最高得12分。 注：须提供有效期内相关证书复印件或国家认证认可监督管理委员会官网（http：//www.cnca.gov.cn/)查询截图并加盖供应商公章，资料不符合或不齐全的不得分。</w:t>
            </w:r>
          </w:p>
        </w:tc>
      </w:tr>
      <w:tr>
        <w:tc>
          <w:tcPr>
            <w:tcW w:type="dxa" w:w="922"/>
            <w:gridSpan w:val="2"/>
            <w:vMerge/>
          </w:tcPr>
          <w:p/>
        </w:tc>
        <w:tc>
          <w:tcPr>
            <w:tcW w:type="dxa" w:w="2307"/>
          </w:tcPr>
          <w:p>
            <w:pPr>
              <w:pStyle w:val="null3"/>
              <w:jc w:val="left"/>
            </w:pPr>
            <w:r>
              <w:rPr/>
              <w:t>项目实施方案 (8.0分)</w:t>
            </w:r>
            <w:r>
              <w:rPr/>
              <w:t>，（等次分值选择：</w:t>
            </w:r>
            <w:r>
              <w:rPr/>
              <w:t>0.0;</w:t>
            </w:r>
            <w:r>
              <w:rPr/>
              <w:t>1.0;</w:t>
            </w:r>
            <w:r>
              <w:rPr/>
              <w:t>3.0;</w:t>
            </w:r>
            <w:r>
              <w:rPr/>
              <w:t>5.0;</w:t>
            </w:r>
            <w:r>
              <w:rPr/>
              <w:t>8.0;</w:t>
            </w:r>
            <w:r>
              <w:rPr/>
              <w:t>）</w:t>
            </w:r>
          </w:p>
        </w:tc>
        <w:tc>
          <w:tcPr>
            <w:tcW w:type="dxa" w:w="5076"/>
          </w:tcPr>
          <w:p>
            <w:pPr>
              <w:pStyle w:val="null3"/>
              <w:jc w:val="left"/>
            </w:pPr>
            <w:r>
              <w:rPr/>
              <w:t>投标人根据用户结合本项目整体采购需求制定项目实施方案（包括①工期保证措施；②货物在出厂后、运输中的措施；③安装方案；④实施安全保证措施；⑤验收方案）：1、项目实施方案具体详细，内容准确，具备可行性，完全满足且优于采购需求，得8分；2、项目实施方案简略，内容准确，具备可行性，完全满足采购需求，得5分； 3、项目实施方案简略，内容存在偏差，缺乏可行性，不能完全满足采购需求的，得3分；4、项目实施方案差，内容存在偏差，缺乏可行性，不能完全满足采购需求的，得1分；5、其他或不提供相关方案，得0分。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响应程度 (5.0分)</w:t>
            </w:r>
          </w:p>
        </w:tc>
        <w:tc>
          <w:tcPr>
            <w:tcW w:type="dxa" w:w="5076"/>
          </w:tcPr>
          <w:p>
            <w:pPr>
              <w:pStyle w:val="null3"/>
              <w:jc w:val="left"/>
            </w:pPr>
            <w:r>
              <w:rPr/>
              <w:t>根据投标人提供的《商务条件响应表》进行评审：投标人完全响应或优于招标文件“1.主要商务要求”和“其他商务需求”中的（1）标的提供的时间、（2）标的提供的地点、（3）付款方式、（4）验收要求、（5）履约保证金、（6）报价要求、（7）供货要求、（8）交付方式、（9）安装与调试、（10）质保期及售后服务，得5分，每一项不满足的扣0.5分。</w:t>
            </w:r>
          </w:p>
        </w:tc>
      </w:tr>
      <w:tr>
        <w:tc>
          <w:tcPr>
            <w:tcW w:type="dxa" w:w="922"/>
            <w:gridSpan w:val="2"/>
            <w:vMerge/>
          </w:tcPr>
          <w:p/>
        </w:tc>
        <w:tc>
          <w:tcPr>
            <w:tcW w:type="dxa" w:w="2307"/>
          </w:tcPr>
          <w:p>
            <w:pPr>
              <w:pStyle w:val="null3"/>
              <w:jc w:val="left"/>
            </w:pPr>
            <w:r>
              <w:rPr/>
              <w:t>售后服务 (5.0分)</w:t>
            </w:r>
            <w:r>
              <w:rPr/>
              <w:t>，（等次分值选择：</w:t>
            </w:r>
            <w:r>
              <w:rPr/>
              <w:t>0.0;</w:t>
            </w:r>
            <w:r>
              <w:rPr/>
              <w:t>1.0;</w:t>
            </w:r>
            <w:r>
              <w:rPr/>
              <w:t>3.0;</w:t>
            </w:r>
            <w:r>
              <w:rPr/>
              <w:t>5.0;</w:t>
            </w:r>
            <w:r>
              <w:rPr/>
              <w:t>）</w:t>
            </w:r>
          </w:p>
        </w:tc>
        <w:tc>
          <w:tcPr>
            <w:tcW w:type="dxa" w:w="5076"/>
          </w:tcPr>
          <w:p>
            <w:pPr>
              <w:pStyle w:val="null3"/>
              <w:jc w:val="left"/>
            </w:pPr>
            <w:r>
              <w:rPr/>
              <w:t>根据投标人提供的售后服务方案（包括①售后服务点设立、②售后服务方式、③售后服务措施方案、④产品退换货方案）进行综合评审： 1、售后服务方案全面、有效、可操作性强，响应时间和质保期优于招标需求，得5分； 2、售后服务方案较全面、较有效、可操作性较强的，响应时间和质保期满足招标需求，得3分； 3、售后服务方案基本全面、基本有效、可操作性一般，响应时间和质保期满足招标需求，得1分； 4、售后服务方案不全面、可操作差，响应时间和质保期不满足招标需求，不得分。</w:t>
            </w:r>
          </w:p>
        </w:tc>
      </w:tr>
      <w:tr>
        <w:tc>
          <w:tcPr>
            <w:tcW w:type="dxa" w:w="922"/>
            <w:gridSpan w:val="2"/>
            <w:vMerge/>
          </w:tcPr>
          <w:p/>
        </w:tc>
        <w:tc>
          <w:tcPr>
            <w:tcW w:type="dxa" w:w="2307"/>
          </w:tcPr>
          <w:p>
            <w:pPr>
              <w:pStyle w:val="null3"/>
              <w:jc w:val="left"/>
            </w:pPr>
            <w:r>
              <w:rPr/>
              <w:t>突发事件的处理措施和应急方案 (5.0分)</w:t>
            </w:r>
            <w:r>
              <w:rPr/>
              <w:t>，（等次分值选择：</w:t>
            </w:r>
            <w:r>
              <w:rPr/>
              <w:t>0.0;</w:t>
            </w:r>
            <w:r>
              <w:rPr/>
              <w:t>1.0;</w:t>
            </w:r>
            <w:r>
              <w:rPr/>
              <w:t>3.0;</w:t>
            </w:r>
            <w:r>
              <w:rPr/>
              <w:t>5.0;</w:t>
            </w:r>
            <w:r>
              <w:rPr/>
              <w:t>）</w:t>
            </w:r>
          </w:p>
        </w:tc>
        <w:tc>
          <w:tcPr>
            <w:tcW w:type="dxa" w:w="5076"/>
          </w:tcPr>
          <w:p>
            <w:pPr>
              <w:pStyle w:val="null3"/>
              <w:jc w:val="left"/>
            </w:pPr>
            <w:r>
              <w:rPr/>
              <w:t>根据投标人针对本项目制定的突发事件的处理措施和应急方案（包括①应急方案内容、②应急服务响应时间、③突发事件处理措施） 1、突发事件的处理措施和应急方案科学、合理，操作性强，优于招标需求得5分； 2、突发事件的处理措施和应急方案科学、合理，操作性较强，得3分； 3、突发事件的处理措施和应急方案较为合理，操作性一般，得1分；4、其他情况或未提供，得0分。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广东省政府采购</w:t>
      </w:r>
    </w:p>
    <w:p>
      <w:pPr>
        <w:pStyle w:val="null3"/>
        <w:spacing w:before="150" w:after="150"/>
        <w:jc w:val="both"/>
      </w:pPr>
      <w:r>
        <w:rPr/>
        <w:t xml:space="preserve"> </w:t>
      </w:r>
    </w:p>
    <w:p>
      <w:pPr>
        <w:pStyle w:val="null3"/>
        <w:jc w:val="center"/>
      </w:pPr>
      <w:r>
        <w:rPr>
          <w:sz w:val="32"/>
          <w:b/>
        </w:rPr>
        <w:t>合　同　书</w:t>
      </w:r>
    </w:p>
    <w:p>
      <w:pPr>
        <w:pStyle w:val="null3"/>
        <w:jc w:val="center"/>
      </w:pP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甲　　方：　　　　　</w:t>
      </w:r>
    </w:p>
    <w:p>
      <w:pPr>
        <w:pStyle w:val="null3"/>
        <w:jc w:val="both"/>
      </w:pPr>
      <w:r>
        <w:rPr>
          <w:sz w:val="24"/>
        </w:rPr>
        <w:t>电　　话：</w:t>
      </w:r>
      <w:r>
        <w:rPr>
          <w:sz w:val="24"/>
        </w:rPr>
        <w:t>　　传　　真：</w:t>
      </w:r>
      <w:r>
        <w:rPr>
          <w:sz w:val="24"/>
        </w:rPr>
        <w:t>　　地　　址：</w:t>
      </w:r>
    </w:p>
    <w:p>
      <w:pPr>
        <w:pStyle w:val="null3"/>
        <w:jc w:val="both"/>
      </w:pPr>
      <w:r>
        <w:rPr>
          <w:sz w:val="24"/>
          <w:b/>
        </w:rPr>
        <w:t>乙　　方：　　　　　</w:t>
      </w:r>
    </w:p>
    <w:p>
      <w:pPr>
        <w:pStyle w:val="null3"/>
        <w:jc w:val="both"/>
      </w:pPr>
      <w:r>
        <w:rPr>
          <w:sz w:val="24"/>
        </w:rPr>
        <w:t>电　　话：</w:t>
      </w:r>
      <w:r>
        <w:rPr>
          <w:sz w:val="24"/>
        </w:rPr>
        <w:t>　　传　　真：</w:t>
      </w:r>
      <w:r>
        <w:rPr>
          <w:sz w:val="24"/>
        </w:rPr>
        <w:t>　　地　　址：</w:t>
      </w:r>
    </w:p>
    <w:p>
      <w:pPr>
        <w:pStyle w:val="null3"/>
        <w:jc w:val="both"/>
      </w:pPr>
      <w:r>
        <w:rPr>
          <w:sz w:val="21"/>
        </w:rPr>
        <w:t xml:space="preserve"> </w:t>
      </w:r>
    </w:p>
    <w:p>
      <w:pPr>
        <w:pStyle w:val="null3"/>
        <w:ind w:firstLine="404"/>
        <w:jc w:val="both"/>
      </w:pPr>
      <w:r>
        <w:rPr>
          <w:sz w:val="24"/>
        </w:rPr>
        <w:t>根据</w:t>
      </w:r>
      <w:r>
        <w:rPr>
          <w:sz w:val="24"/>
        </w:rPr>
        <w:t xml:space="preserve">             </w:t>
      </w:r>
      <w:r>
        <w:rPr>
          <w:sz w:val="24"/>
        </w:rPr>
        <w:t>项目的采购结果，按照《中华人民共和国政府采购法》、《中华人民共和国民法典</w:t>
      </w:r>
      <w:r>
        <w:rPr>
          <w:sz w:val="24"/>
        </w:rPr>
        <w:t>(合同编)》的规定，经双方协商，本着平等互利和诚实信用的原则，一致同意签订本合同如下。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49"/>
        <w:gridCol w:w="3838"/>
        <w:gridCol w:w="749"/>
        <w:gridCol w:w="509"/>
        <w:gridCol w:w="509"/>
        <w:gridCol w:w="944"/>
        <w:gridCol w:w="944"/>
      </w:tblGrid>
      <w:tr>
        <w:tc>
          <w:tcPr>
            <w:tcW w:type="dxa" w:w="749"/>
            <w:tcBorders>
              <w:top w:val="single" w:color="CCCCCC" w:sz="4"/>
              <w:left w:val="single" w:color="CCCCCC" w:sz="4"/>
              <w:bottom w:val="single" w:color="CCCCCC" w:sz="4"/>
              <w:right w:val="single" w:color="CCCCCC" w:sz="4"/>
            </w:tcBorders>
            <w:tcMar>
              <w:top w:type="dxa" w:w="0"/>
              <w:left w:type="dxa" w:w="105"/>
              <w:bottom w:type="dxa" w:w="0"/>
              <w:right w:type="dxa" w:w="105"/>
            </w:tcMar>
            <w:vAlign w:val="top"/>
          </w:tcPr>
          <w:p>
            <w:pPr>
              <w:pStyle w:val="null3"/>
              <w:jc w:val="both"/>
            </w:pPr>
            <w:r>
              <w:rPr>
                <w:sz w:val="22"/>
              </w:rPr>
              <w:t>名称</w:t>
            </w:r>
          </w:p>
        </w:tc>
        <w:tc>
          <w:tcPr>
            <w:tcW w:type="dxa" w:w="3838"/>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品牌、规格、标准</w:t>
            </w:r>
            <w:r>
              <w:rPr>
                <w:sz w:val="22"/>
              </w:rPr>
              <w:t>/主要服务内容</w:t>
            </w:r>
          </w:p>
        </w:tc>
        <w:tc>
          <w:tcPr>
            <w:tcW w:type="dxa" w:w="749"/>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both"/>
            </w:pPr>
            <w:r>
              <w:rPr>
                <w:sz w:val="22"/>
              </w:rPr>
              <w:t>产地</w:t>
            </w:r>
          </w:p>
        </w:tc>
        <w:tc>
          <w:tcPr>
            <w:tcW w:type="dxa" w:w="509"/>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数量</w:t>
            </w:r>
          </w:p>
        </w:tc>
        <w:tc>
          <w:tcPr>
            <w:tcW w:type="dxa" w:w="509"/>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单位</w:t>
            </w:r>
          </w:p>
        </w:tc>
        <w:tc>
          <w:tcPr>
            <w:tcW w:type="dxa" w:w="94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单价</w:t>
            </w:r>
          </w:p>
          <w:p>
            <w:pPr>
              <w:pStyle w:val="null3"/>
              <w:jc w:val="center"/>
            </w:pPr>
            <w:r>
              <w:rPr>
                <w:sz w:val="22"/>
              </w:rPr>
              <w:t>（元）</w:t>
            </w:r>
          </w:p>
        </w:tc>
        <w:tc>
          <w:tcPr>
            <w:tcW w:type="dxa" w:w="944"/>
            <w:tcBorders>
              <w:top w:val="single" w:color="CCCCCC"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金额</w:t>
            </w:r>
          </w:p>
          <w:p>
            <w:pPr>
              <w:pStyle w:val="null3"/>
              <w:jc w:val="center"/>
            </w:pPr>
            <w:r>
              <w:rPr>
                <w:sz w:val="22"/>
              </w:rPr>
              <w:t>（元）</w:t>
            </w:r>
          </w:p>
        </w:tc>
      </w:tr>
      <w:tr>
        <w:tc>
          <w:tcPr>
            <w:tcW w:type="dxa" w:w="749"/>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 xml:space="preserve"> **</w:t>
            </w:r>
          </w:p>
        </w:tc>
        <w:tc>
          <w:tcPr>
            <w:tcW w:type="dxa" w:w="3838"/>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w:t>
            </w:r>
          </w:p>
        </w:tc>
        <w:tc>
          <w:tcPr>
            <w:tcW w:type="dxa" w:w="74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w:t>
            </w:r>
          </w:p>
        </w:tc>
      </w:tr>
      <w:tr>
        <w:tc>
          <w:tcPr>
            <w:tcW w:type="dxa" w:w="749"/>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838"/>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49"/>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838"/>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49"/>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838"/>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49"/>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3838"/>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74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509"/>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1"/>
              </w:rPr>
              <w:t xml:space="preserve"> </w:t>
            </w:r>
          </w:p>
        </w:tc>
      </w:tr>
      <w:tr>
        <w:tc>
          <w:tcPr>
            <w:tcW w:type="dxa" w:w="7298"/>
            <w:gridSpan w:val="6"/>
            <w:tcBorders>
              <w:top w:val="single" w:color="000000" w:sz="4"/>
              <w:left w:val="single" w:color="CCCCCC"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合计：人民币大写：</w:t>
            </w:r>
            <w:r>
              <w:rPr>
                <w:sz w:val="22"/>
              </w:rPr>
              <w:t>**元整</w:t>
            </w:r>
          </w:p>
        </w:tc>
        <w:tc>
          <w:tcPr>
            <w:tcW w:type="dxa" w:w="944"/>
            <w:tcBorders>
              <w:top w:val="single" w:color="000000" w:sz="4"/>
              <w:left w:val="single" w:color="000000" w:sz="4"/>
              <w:bottom w:val="single" w:color="CCCCCC" w:sz="4"/>
              <w:right w:val="single" w:color="CCCCCC" w:sz="4"/>
            </w:tcBorders>
            <w:tcMar>
              <w:top w:type="dxa" w:w="0"/>
              <w:left w:type="dxa" w:w="105"/>
              <w:bottom w:type="dxa" w:w="0"/>
              <w:right w:type="dxa" w:w="105"/>
            </w:tcMar>
            <w:vAlign w:val="top"/>
          </w:tcPr>
          <w:p>
            <w:pPr>
              <w:pStyle w:val="null3"/>
              <w:jc w:val="center"/>
            </w:pPr>
            <w:r>
              <w:rPr>
                <w:sz w:val="22"/>
              </w:rPr>
              <w:t>￥：</w:t>
            </w:r>
            <w:r>
              <w:rPr>
                <w:sz w:val="22"/>
              </w:rPr>
              <w:t>**</w:t>
            </w:r>
          </w:p>
        </w:tc>
      </w:tr>
      <w:tr>
        <w:tc>
          <w:tcPr>
            <w:tcW w:type="dxa" w:w="7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8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1"/>
        </w:rPr>
        <w:t xml:space="preserve"> </w:t>
      </w:r>
    </w:p>
    <w:p>
      <w:pPr>
        <w:pStyle w:val="null3"/>
        <w:ind w:firstLine="400"/>
        <w:jc w:val="both"/>
      </w:pPr>
      <w:r>
        <w:rPr>
          <w:sz w:val="24"/>
        </w:rPr>
        <w:t>合同总额包括乙方设计、安装、随机零配件、标配工具、运输保险、调试、培训、质保期服务、各项税费及合同实施过程中不可预见费用等。</w:t>
      </w:r>
    </w:p>
    <w:p>
      <w:pPr>
        <w:pStyle w:val="null3"/>
        <w:ind w:firstLine="400"/>
        <w:jc w:val="both"/>
      </w:pPr>
      <w:r>
        <w:rPr>
          <w:sz w:val="24"/>
        </w:rPr>
        <w:t>注：货物名称内容必须与投标文件中货物名称内容一致。</w:t>
      </w:r>
    </w:p>
    <w:p>
      <w:pPr>
        <w:pStyle w:val="null3"/>
        <w:jc w:val="both"/>
      </w:pPr>
      <w:r>
        <w:rPr>
          <w:sz w:val="24"/>
          <w:b/>
        </w:rPr>
        <w:t>二、合同金额</w:t>
      </w:r>
    </w:p>
    <w:p>
      <w:pPr>
        <w:pStyle w:val="null3"/>
        <w:jc w:val="both"/>
      </w:pPr>
      <w:r>
        <w:rPr>
          <w:sz w:val="24"/>
        </w:rPr>
        <w:t>合同金额为（大写）：</w:t>
      </w:r>
      <w:r>
        <w:rPr>
          <w:sz w:val="24"/>
        </w:rPr>
        <w:t>_________________元（￥_______________元）人民币。</w:t>
      </w:r>
    </w:p>
    <w:p>
      <w:pPr>
        <w:pStyle w:val="null3"/>
        <w:jc w:val="both"/>
      </w:pPr>
      <w:r>
        <w:rPr>
          <w:sz w:val="24"/>
          <w:b/>
        </w:rPr>
        <w:t>三、设备要求</w:t>
      </w:r>
    </w:p>
    <w:p>
      <w:pPr>
        <w:pStyle w:val="null3"/>
        <w:jc w:val="both"/>
      </w:pPr>
      <w:r>
        <w:rPr>
          <w:sz w:val="24"/>
        </w:rPr>
        <w:t>货物为原制造商制造的全新产品，整机无污染，无侵权行为、表面无划损、无任何缺陷隐患，在中国境内可依常规安全合法使用。</w:t>
      </w:r>
    </w:p>
    <w:p>
      <w:pPr>
        <w:pStyle w:val="null3"/>
        <w:jc w:val="both"/>
      </w:pPr>
      <w:r>
        <w:rPr>
          <w:sz w:val="24"/>
          <w:b/>
        </w:rPr>
        <w:t>四、交货期、交货方式及交货地点</w:t>
      </w:r>
    </w:p>
    <w:p>
      <w:pPr>
        <w:pStyle w:val="null3"/>
        <w:jc w:val="both"/>
      </w:pPr>
      <w:r>
        <w:rPr>
          <w:sz w:val="21"/>
        </w:rPr>
        <w:t xml:space="preserve">       </w:t>
      </w:r>
      <w:r>
        <w:rPr>
          <w:sz w:val="24"/>
        </w:rPr>
        <w:t>1.交货期：</w:t>
      </w:r>
      <w:r>
        <w:rPr>
          <w:sz w:val="24"/>
        </w:rPr>
        <w:t>2024年08月30日之前完成所有产品的安装调试，并经验收合格后交付</w:t>
      </w:r>
      <w:r>
        <w:rPr>
          <w:sz w:val="24"/>
        </w:rPr>
        <w:t>甲方</w:t>
      </w:r>
      <w:r>
        <w:rPr>
          <w:sz w:val="24"/>
        </w:rPr>
        <w:t>使用。</w:t>
      </w:r>
    </w:p>
    <w:p>
      <w:pPr>
        <w:pStyle w:val="null3"/>
        <w:jc w:val="both"/>
      </w:pPr>
      <w:r>
        <w:rPr>
          <w:sz w:val="21"/>
        </w:rPr>
        <w:t xml:space="preserve">       </w:t>
      </w:r>
      <w:r>
        <w:rPr>
          <w:sz w:val="24"/>
        </w:rPr>
        <w:t>2.交货方式：</w:t>
      </w:r>
      <w:r>
        <w:rPr>
          <w:sz w:val="24"/>
        </w:rPr>
        <w:t>1</w:t>
      </w:r>
      <w:r>
        <w:rPr>
          <w:sz w:val="24"/>
        </w:rPr>
        <w:t>）乙方</w:t>
      </w:r>
      <w:r>
        <w:rPr>
          <w:sz w:val="24"/>
        </w:rPr>
        <w:t>需负责将所有货物运送至</w:t>
      </w:r>
      <w:r>
        <w:rPr>
          <w:sz w:val="24"/>
        </w:rPr>
        <w:t>甲方</w:t>
      </w:r>
      <w:r>
        <w:rPr>
          <w:sz w:val="24"/>
        </w:rPr>
        <w:t>指定的安装地点，进行安装调试。本项目所有设备应包含正常运行所需的相关连接配件以及搬运，</w:t>
      </w:r>
      <w:r>
        <w:rPr>
          <w:sz w:val="24"/>
        </w:rPr>
        <w:t>甲方</w:t>
      </w:r>
      <w:r>
        <w:rPr>
          <w:sz w:val="24"/>
        </w:rPr>
        <w:t>不另行支付任何费用。</w:t>
      </w:r>
      <w:r>
        <w:rPr>
          <w:sz w:val="24"/>
        </w:rPr>
        <w:t>2</w:t>
      </w:r>
      <w:r>
        <w:rPr>
          <w:sz w:val="24"/>
        </w:rPr>
        <w:t>）乙方</w:t>
      </w:r>
      <w:r>
        <w:rPr>
          <w:sz w:val="24"/>
        </w:rPr>
        <w:t>所投货物如在实际供货时缺货，需按原报价提供同品牌、相同或更高配置的货物，否则视为拒绝履行合同义务处理。</w:t>
      </w:r>
    </w:p>
    <w:p>
      <w:pPr>
        <w:pStyle w:val="null3"/>
        <w:jc w:val="both"/>
      </w:pPr>
      <w:r>
        <w:rPr>
          <w:sz w:val="21"/>
        </w:rPr>
        <w:t xml:space="preserve">       </w:t>
      </w:r>
      <w:r>
        <w:rPr>
          <w:sz w:val="24"/>
        </w:rPr>
        <w:t>3.交货地点：</w:t>
      </w:r>
      <w:r>
        <w:rPr>
          <w:sz w:val="24"/>
        </w:rPr>
        <w:t>乐昌市新城中学</w:t>
      </w:r>
    </w:p>
    <w:p>
      <w:pPr>
        <w:pStyle w:val="null3"/>
        <w:jc w:val="both"/>
      </w:pPr>
      <w:r>
        <w:rPr>
          <w:sz w:val="24"/>
          <w:b/>
        </w:rPr>
        <w:t>五、付款方式</w:t>
      </w:r>
    </w:p>
    <w:p>
      <w:pPr>
        <w:pStyle w:val="null3"/>
        <w:jc w:val="both"/>
      </w:pPr>
      <w:r>
        <w:rPr>
          <w:sz w:val="24"/>
        </w:rPr>
        <w:t>1期：支付比例30%,合同生效后</w:t>
      </w:r>
      <w:r>
        <w:rPr>
          <w:sz w:val="24"/>
        </w:rPr>
        <w:t>5个工作日内</w:t>
      </w:r>
      <w:r>
        <w:rPr>
          <w:sz w:val="24"/>
        </w:rPr>
        <w:t>,</w:t>
      </w:r>
      <w:r>
        <w:rPr>
          <w:sz w:val="24"/>
        </w:rPr>
        <w:t>甲方</w:t>
      </w:r>
      <w:r>
        <w:rPr>
          <w:sz w:val="24"/>
        </w:rPr>
        <w:t>在收到等额合格发票资料后向</w:t>
      </w:r>
      <w:r>
        <w:rPr>
          <w:sz w:val="24"/>
        </w:rPr>
        <w:t>乙方</w:t>
      </w:r>
      <w:r>
        <w:rPr>
          <w:sz w:val="24"/>
        </w:rPr>
        <w:t>支付合同总价的</w:t>
      </w:r>
      <w:r>
        <w:rPr>
          <w:sz w:val="24"/>
        </w:rPr>
        <w:t>30%。</w:t>
      </w:r>
    </w:p>
    <w:p>
      <w:pPr>
        <w:pStyle w:val="null3"/>
        <w:jc w:val="both"/>
      </w:pPr>
      <w:r>
        <w:rPr>
          <w:sz w:val="24"/>
        </w:rPr>
        <w:t>2期：支付比例</w:t>
      </w:r>
      <w:r>
        <w:rPr>
          <w:sz w:val="24"/>
        </w:rPr>
        <w:t>7</w:t>
      </w:r>
      <w:r>
        <w:rPr>
          <w:sz w:val="24"/>
        </w:rPr>
        <w:t>0%,经</w:t>
      </w:r>
      <w:r>
        <w:rPr>
          <w:sz w:val="24"/>
        </w:rPr>
        <w:t>所有货物</w:t>
      </w:r>
      <w:r>
        <w:rPr>
          <w:sz w:val="24"/>
        </w:rPr>
        <w:t>安装调试并验收合格后，采购人在收到等额合格发票及验收资料后</w:t>
      </w:r>
      <w:r>
        <w:rPr>
          <w:sz w:val="24"/>
        </w:rPr>
        <w:t>至</w:t>
      </w:r>
      <w:r>
        <w:rPr>
          <w:sz w:val="24"/>
        </w:rPr>
        <w:t>2027年8月31日内</w:t>
      </w:r>
      <w:r>
        <w:rPr>
          <w:sz w:val="24"/>
        </w:rPr>
        <w:t>向中标人支付剩余合同款项。</w:t>
      </w:r>
    </w:p>
    <w:p>
      <w:pPr>
        <w:pStyle w:val="null3"/>
        <w:jc w:val="both"/>
      </w:pPr>
      <w:r>
        <w:rPr>
          <w:sz w:val="24"/>
        </w:rPr>
        <w:t>注：</w:t>
      </w:r>
      <w:r>
        <w:rPr>
          <w:sz w:val="24"/>
        </w:rPr>
        <w:t>①因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r>
        <w:rPr>
          <w:sz w:val="24"/>
        </w:rPr>
        <w:t>②付款方式：银行转账，每笔款项支付时，</w:t>
      </w:r>
      <w:r>
        <w:rPr>
          <w:sz w:val="24"/>
        </w:rPr>
        <w:t>乙方</w:t>
      </w:r>
      <w:r>
        <w:rPr>
          <w:sz w:val="24"/>
        </w:rPr>
        <w:t>需提供相应金额的正式发票。</w:t>
      </w:r>
    </w:p>
    <w:p>
      <w:pPr>
        <w:pStyle w:val="null3"/>
        <w:jc w:val="both"/>
      </w:pPr>
      <w:r>
        <w:rPr>
          <w:sz w:val="24"/>
        </w:rPr>
        <w:t>如项目发生合同融资，</w:t>
      </w:r>
      <w:r>
        <w:rPr>
          <w:sz w:val="24"/>
        </w:rPr>
        <w:t>甲方</w:t>
      </w:r>
      <w:r>
        <w:rPr>
          <w:sz w:val="24"/>
        </w:rPr>
        <w:t>应当将合同款项支付到合同约定收款账户。</w:t>
      </w:r>
    </w:p>
    <w:p>
      <w:pPr>
        <w:pStyle w:val="null3"/>
        <w:jc w:val="both"/>
      </w:pPr>
      <w:r>
        <w:rPr>
          <w:sz w:val="24"/>
          <w:b/>
        </w:rPr>
        <w:t>六、质保期及售后服务要求</w:t>
      </w:r>
    </w:p>
    <w:p>
      <w:pPr>
        <w:pStyle w:val="null3"/>
        <w:jc w:val="both"/>
      </w:pPr>
      <w:r>
        <w:rPr>
          <w:sz w:val="24"/>
        </w:rPr>
        <w:t>1</w:t>
      </w:r>
      <w:r>
        <w:rPr>
          <w:sz w:val="24"/>
        </w:rPr>
        <w:t>.</w:t>
      </w:r>
      <w:r>
        <w:rPr>
          <w:sz w:val="24"/>
        </w:rPr>
        <w:t>所有货物需提供三年保修服务，质保期内的上门维护维修，不再另收取费用（服务期自验收之日起计算）。</w:t>
      </w:r>
    </w:p>
    <w:p>
      <w:pPr>
        <w:pStyle w:val="null3"/>
        <w:jc w:val="both"/>
      </w:pPr>
      <w:r>
        <w:rPr>
          <w:sz w:val="24"/>
        </w:rPr>
        <w:t>2</w:t>
      </w:r>
      <w:r>
        <w:rPr>
          <w:sz w:val="24"/>
        </w:rPr>
        <w:t>.</w:t>
      </w:r>
      <w:r>
        <w:rPr>
          <w:sz w:val="24"/>
        </w:rPr>
        <w:t>质保期内，所有硬件设备及其配件的更换、维修均为免费。</w:t>
      </w:r>
    </w:p>
    <w:p>
      <w:pPr>
        <w:pStyle w:val="null3"/>
        <w:jc w:val="both"/>
      </w:pPr>
      <w:r>
        <w:rPr>
          <w:sz w:val="24"/>
        </w:rPr>
        <w:t>3</w:t>
      </w:r>
      <w:r>
        <w:rPr>
          <w:sz w:val="24"/>
        </w:rPr>
        <w:t>.</w:t>
      </w:r>
      <w:r>
        <w:rPr>
          <w:sz w:val="24"/>
        </w:rPr>
        <w:t>设备故障报修的响应时间为：</w:t>
      </w:r>
      <w:r>
        <w:rPr>
          <w:sz w:val="24"/>
        </w:rPr>
        <w:t>10分钟；若电话中无法解决，需在3小时内到达到达现场进行维护。</w:t>
      </w:r>
    </w:p>
    <w:p>
      <w:pPr>
        <w:pStyle w:val="null3"/>
        <w:jc w:val="both"/>
      </w:pPr>
      <w:r>
        <w:rPr>
          <w:sz w:val="24"/>
        </w:rPr>
        <w:t>4</w:t>
      </w:r>
      <w:r>
        <w:rPr>
          <w:sz w:val="24"/>
        </w:rPr>
        <w:t>.乙方</w:t>
      </w:r>
      <w:r>
        <w:rPr>
          <w:sz w:val="24"/>
        </w:rPr>
        <w:t>须拥有专业的维护技术人员，可以满足</w:t>
      </w:r>
      <w:r>
        <w:rPr>
          <w:sz w:val="24"/>
        </w:rPr>
        <w:t>7×24小时的维护要求。</w:t>
      </w:r>
    </w:p>
    <w:p>
      <w:pPr>
        <w:pStyle w:val="null3"/>
        <w:jc w:val="both"/>
      </w:pPr>
      <w:r>
        <w:rPr>
          <w:sz w:val="24"/>
        </w:rPr>
        <w:t>5</w:t>
      </w:r>
      <w:r>
        <w:rPr>
          <w:sz w:val="24"/>
        </w:rPr>
        <w:t>.乙方</w:t>
      </w:r>
      <w:r>
        <w:rPr>
          <w:sz w:val="24"/>
        </w:rPr>
        <w:t>须具有提供韶关辖区服务的能力。</w:t>
      </w:r>
    </w:p>
    <w:p>
      <w:pPr>
        <w:pStyle w:val="null3"/>
        <w:jc w:val="both"/>
      </w:pPr>
      <w:r>
        <w:rPr>
          <w:sz w:val="24"/>
        </w:rPr>
        <w:t>6</w:t>
      </w:r>
      <w:r>
        <w:rPr>
          <w:sz w:val="24"/>
        </w:rPr>
        <w:t>.乙方</w:t>
      </w:r>
      <w:r>
        <w:rPr>
          <w:sz w:val="24"/>
        </w:rPr>
        <w:t>应负责在项目验收时将设备的全部有关产品说明书、原厂家安装手册、使用（配置）手册等文档汇集成册交付</w:t>
      </w:r>
      <w:r>
        <w:rPr>
          <w:sz w:val="24"/>
        </w:rPr>
        <w:t>甲方</w:t>
      </w:r>
      <w:r>
        <w:rPr>
          <w:sz w:val="24"/>
        </w:rPr>
        <w:t>。</w:t>
      </w:r>
    </w:p>
    <w:p>
      <w:pPr>
        <w:pStyle w:val="null3"/>
        <w:jc w:val="both"/>
      </w:pPr>
      <w:r>
        <w:rPr>
          <w:sz w:val="24"/>
        </w:rPr>
        <w:t>7</w:t>
      </w:r>
      <w:r>
        <w:rPr>
          <w:sz w:val="24"/>
        </w:rPr>
        <w:t>.乙方</w:t>
      </w:r>
      <w:r>
        <w:rPr>
          <w:sz w:val="24"/>
        </w:rPr>
        <w:t>在供货期间或售后服务期内，应保障顺利供货，并制定应急预案，包括风险预防、快速应对与资源调配、应急服务响应时间、突发事件处理措施，保障项目顺利执行。</w:t>
      </w:r>
    </w:p>
    <w:p>
      <w:pPr>
        <w:pStyle w:val="null3"/>
        <w:jc w:val="both"/>
      </w:pPr>
      <w:r>
        <w:rPr>
          <w:sz w:val="24"/>
          <w:b/>
        </w:rPr>
        <w:t>七、安装与调试</w:t>
      </w:r>
    </w:p>
    <w:p>
      <w:pPr>
        <w:pStyle w:val="null3"/>
        <w:jc w:val="both"/>
      </w:pPr>
      <w:r>
        <w:rPr>
          <w:sz w:val="24"/>
        </w:rPr>
        <w:t>1.</w:t>
      </w:r>
      <w:r>
        <w:rPr>
          <w:sz w:val="24"/>
        </w:rPr>
        <w:t>根据行业标准、国家标准进行安装调测。</w:t>
      </w:r>
    </w:p>
    <w:p>
      <w:pPr>
        <w:pStyle w:val="null3"/>
        <w:jc w:val="both"/>
      </w:pPr>
      <w:r>
        <w:rPr>
          <w:sz w:val="24"/>
          <w:b/>
        </w:rPr>
        <w:t>八、验收：</w:t>
      </w:r>
    </w:p>
    <w:p>
      <w:pPr>
        <w:pStyle w:val="null3"/>
      </w:pPr>
      <w:r>
        <w:rPr>
          <w:sz w:val="24"/>
        </w:rPr>
        <w:t>1、要求对全部设备、产品、型号、规格、数量、外型、外观、包装及资料、文件（如装箱单、保修单、随箱介质等）的验收，乙方应根据所提交的验收方案和实施办法，自行组织设备和人员，并在使用单位监查下现场进行测试和验收。</w:t>
      </w:r>
    </w:p>
    <w:p>
      <w:pPr>
        <w:pStyle w:val="null3"/>
        <w:jc w:val="both"/>
      </w:pPr>
      <w:r>
        <w:rPr>
          <w:sz w:val="24"/>
        </w:rPr>
        <w:t>2、</w:t>
      </w:r>
      <w:r>
        <w:rPr>
          <w:sz w:val="24"/>
        </w:rPr>
        <w:t>乙方</w:t>
      </w:r>
      <w:r>
        <w:rPr>
          <w:sz w:val="24"/>
        </w:rPr>
        <w:t>应负责在项目验收时将项目的全部有关产品说明书、原厂家安装手册、技术文件、资料、及安装、验收报告等文档汇集成册交付</w:t>
      </w:r>
      <w:r>
        <w:rPr>
          <w:sz w:val="24"/>
        </w:rPr>
        <w:t>甲方</w:t>
      </w:r>
      <w:r>
        <w:rPr>
          <w:sz w:val="24"/>
        </w:rPr>
        <w:t>。</w:t>
      </w:r>
    </w:p>
    <w:p>
      <w:pPr>
        <w:pStyle w:val="null3"/>
        <w:jc w:val="both"/>
      </w:pPr>
      <w:r>
        <w:rPr>
          <w:sz w:val="24"/>
          <w:b/>
        </w:rPr>
        <w:t>九、违约责任与赔偿损失</w:t>
      </w:r>
    </w:p>
    <w:p>
      <w:pPr>
        <w:pStyle w:val="null3"/>
        <w:jc w:val="both"/>
      </w:pPr>
      <w:r>
        <w:rPr>
          <w:sz w:val="24"/>
        </w:rPr>
        <w:t>1.乙方交付的货物、工程/提供的服务不符合本合同规定的，甲方有权拒收，并且乙方须向甲方支付本合同总价5%的违约金。</w:t>
      </w:r>
    </w:p>
    <w:p>
      <w:pPr>
        <w:pStyle w:val="null3"/>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jc w:val="both"/>
      </w:pPr>
      <w:r>
        <w:rPr>
          <w:sz w:val="24"/>
        </w:rPr>
        <w:t>4.   对于因甲方原因导致变更、中止或者终止政府采购合同的，甲方应当依照以下合同约定对供应商受到的损失予以赔偿或者补偿：</w:t>
      </w:r>
    </w:p>
    <w:p>
      <w:pPr>
        <w:pStyle w:val="null3"/>
        <w:jc w:val="both"/>
      </w:pPr>
      <w:r>
        <w:rPr>
          <w:sz w:val="21"/>
        </w:rPr>
        <w:t xml:space="preserve">                                                       </w:t>
      </w:r>
    </w:p>
    <w:p>
      <w:pPr>
        <w:pStyle w:val="null3"/>
        <w:jc w:val="both"/>
      </w:pPr>
      <w:r>
        <w:rPr>
          <w:sz w:val="24"/>
        </w:rPr>
        <w:t>5.其它违约责任按《中华人民共和国民法典(合同编)》处理。</w:t>
      </w:r>
    </w:p>
    <w:p>
      <w:pPr>
        <w:pStyle w:val="null3"/>
        <w:jc w:val="both"/>
      </w:pPr>
      <w:r>
        <w:rPr>
          <w:sz w:val="24"/>
          <w:b/>
        </w:rPr>
        <w:t>十、争议的解决</w:t>
      </w:r>
      <w:r>
        <w:rPr>
          <w:sz w:val="24"/>
        </w:rPr>
        <w:t xml:space="preserve">  </w:t>
      </w:r>
      <w:r>
        <w:rPr>
          <w:sz w:val="24"/>
        </w:rPr>
        <w:t>合同执行过程中发生的任何争议，如双方不能通过友好协商解决，按相关法律法规处理。</w:t>
      </w:r>
    </w:p>
    <w:p>
      <w:pPr>
        <w:pStyle w:val="null3"/>
        <w:jc w:val="both"/>
      </w:pPr>
      <w:r>
        <w:rPr>
          <w:sz w:val="24"/>
          <w:b/>
        </w:rPr>
        <w:t>十一、不可抗力</w:t>
      </w:r>
    </w:p>
    <w:p>
      <w:pPr>
        <w:pStyle w:val="null3"/>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1.在中国境内、外发生的与本合同执行有关的一切税费均由乙方负担。</w:t>
      </w:r>
    </w:p>
    <w:p>
      <w:pPr>
        <w:pStyle w:val="null3"/>
        <w:jc w:val="both"/>
      </w:pPr>
      <w:r>
        <w:rPr>
          <w:sz w:val="24"/>
          <w:b/>
        </w:rPr>
        <w:t>十三、</w:t>
      </w:r>
      <w:r>
        <w:rPr>
          <w:sz w:val="21"/>
        </w:rPr>
        <w:t xml:space="preserve"> </w:t>
      </w:r>
      <w:r>
        <w:rPr>
          <w:sz w:val="24"/>
          <w:b/>
        </w:rPr>
        <w:t>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jc w:val="both"/>
      </w:pPr>
      <w:r>
        <w:rPr>
          <w:sz w:val="24"/>
          <w:b/>
        </w:rPr>
        <w:t>十四、</w:t>
      </w:r>
      <w:r>
        <w:rPr>
          <w:sz w:val="21"/>
        </w:rPr>
        <w:t xml:space="preserve">     </w:t>
      </w:r>
      <w:r>
        <w:rPr>
          <w:sz w:val="24"/>
          <w:b/>
        </w:rPr>
        <w:t>合同生效</w:t>
      </w:r>
    </w:p>
    <w:p>
      <w:pPr>
        <w:pStyle w:val="null3"/>
        <w:jc w:val="both"/>
      </w:pPr>
      <w:r>
        <w:rPr>
          <w:sz w:val="24"/>
        </w:rPr>
        <w:t>1.本合同在甲乙双方法人代表或其授权代表签字盖章后生效。</w:t>
      </w:r>
    </w:p>
    <w:p>
      <w:pPr>
        <w:pStyle w:val="null3"/>
        <w:jc w:val="both"/>
      </w:pPr>
      <w:r>
        <w:rPr>
          <w:sz w:val="24"/>
        </w:rPr>
        <w:t>2.合同一式   份。</w:t>
      </w:r>
    </w:p>
    <w:p>
      <w:pPr>
        <w:pStyle w:val="null3"/>
        <w:jc w:val="both"/>
      </w:pPr>
      <w:r>
        <w:rPr>
          <w:sz w:val="21"/>
        </w:rPr>
        <w:t xml:space="preserve"> </w:t>
      </w:r>
    </w:p>
    <w:p>
      <w:pPr>
        <w:pStyle w:val="null3"/>
        <w:jc w:val="both"/>
      </w:pPr>
      <w:r>
        <w:rPr>
          <w:sz w:val="24"/>
          <w:b/>
        </w:rPr>
        <w:t>甲方（盖章）：乙方（盖章）：</w:t>
      </w:r>
    </w:p>
    <w:p>
      <w:pPr>
        <w:pStyle w:val="null3"/>
        <w:jc w:val="both"/>
      </w:pPr>
      <w:r>
        <w:rPr>
          <w:sz w:val="24"/>
          <w:b/>
        </w:rPr>
        <w:t>代表：代表：</w:t>
      </w:r>
    </w:p>
    <w:p>
      <w:pPr>
        <w:pStyle w:val="null3"/>
        <w:jc w:val="both"/>
      </w:pPr>
      <w:r>
        <w:rPr>
          <w:sz w:val="24"/>
        </w:rPr>
        <w:t>签订地点：</w:t>
      </w:r>
    </w:p>
    <w:p>
      <w:pPr>
        <w:pStyle w:val="null3"/>
        <w:jc w:val="both"/>
      </w:pPr>
      <w:r>
        <w:rPr>
          <w:sz w:val="24"/>
        </w:rPr>
        <w:t>签订日期：　　　年　　月　　日签订日期：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w:t>
      </w:r>
      <w:r>
        <w:rPr>
          <w:sz w:val="24"/>
        </w:rPr>
        <w:t>户</w:t>
      </w:r>
      <w:r>
        <w:rPr>
          <w:sz w:val="24"/>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440281-2024-01139</w:t>
      </w:r>
    </w:p>
    <w:p>
      <w:pPr>
        <w:pStyle w:val="null3"/>
        <w:jc w:val="center"/>
        <w:outlineLvl w:val="3"/>
      </w:pPr>
      <w:r>
        <w:rPr>
          <w:sz w:val="24"/>
          <w:b/>
        </w:rPr>
        <w:t>采购项目编号：</w:t>
      </w:r>
      <w:r>
        <w:rPr>
          <w:sz w:val="24"/>
          <w:b/>
        </w:rPr>
        <w:t>SGZS2024041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韶关市中晟项目管理有限公司</w:t>
      </w:r>
    </w:p>
    <w:p>
      <w:pPr>
        <w:pStyle w:val="null3"/>
        <w:ind w:firstLine="480"/>
      </w:pPr>
      <w:r>
        <w:rPr/>
        <w:t xml:space="preserve"> 你方组织的</w:t>
      </w:r>
      <w:r>
        <w:rPr>
          <w:u w:val="single"/>
        </w:rPr>
        <w:t>“</w:t>
      </w:r>
      <w:r>
        <w:rPr>
          <w:u w:val="single"/>
        </w:rPr>
        <w:t>新建乐昌市新城中学设施设备采购项目之课桌椅及宿舍床柜采购项目</w:t>
      </w:r>
      <w:r>
        <w:rPr>
          <w:u w:val="single"/>
        </w:rPr>
        <w:t>”</w:t>
      </w:r>
      <w:r>
        <w:rPr/>
        <w:t>项目的招标[采购项目编号为：</w:t>
      </w:r>
      <w:r>
        <w:rPr>
          <w:u w:val="single"/>
        </w:rPr>
        <w:t>SGZS2024041</w:t>
      </w:r>
      <w:r>
        <w:rPr/>
        <w:t>]，我方愿参与投标。</w:t>
      </w:r>
    </w:p>
    <w:p>
      <w:pPr>
        <w:pStyle w:val="null3"/>
        <w:ind w:firstLine="480"/>
      </w:pPr>
      <w:r>
        <w:rPr/>
        <w:t>我方确认收到贵方提供的</w:t>
      </w:r>
      <w:r>
        <w:rPr>
          <w:u w:val="single"/>
        </w:rPr>
        <w:t>“</w:t>
      </w:r>
      <w:r>
        <w:rPr>
          <w:u w:val="single"/>
        </w:rPr>
        <w:t>新建乐昌市新城中学设施设备采购项目之课桌椅及宿舍床柜采购项目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韶关市中晟项目管理有限公司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新建乐昌市新城中学设施设备采购项目之课桌椅及宿舍床柜采购项目</w:t>
      </w:r>
      <w:r>
        <w:rPr/>
        <w:t>”项目采购[采购项目编号为</w:t>
      </w:r>
      <w:r>
        <w:rPr/>
        <w:t>SGZS2024041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乐昌市教育局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韶关市中晟项目管理有限公司</w:t>
      </w:r>
    </w:p>
    <w:p>
      <w:pPr>
        <w:pStyle w:val="null3"/>
        <w:ind w:firstLine="480"/>
      </w:pPr>
      <w:r>
        <w:rPr/>
        <w:t xml:space="preserve"> 如果我方在贵采购代理机构组织的</w:t>
      </w:r>
      <w:r>
        <w:rPr/>
        <w:t>新建乐昌市新城中学设施设备采购项目之课桌椅及宿舍床柜采购项目</w:t>
      </w:r>
      <w:r>
        <w:rPr/>
        <w:t>招标中获中标（采购项目编号：</w:t>
      </w:r>
      <w:r>
        <w:rPr/>
        <w:t>SGZS2024041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韶关市中晟项目管理有限公司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韶关市中晟项目管理有限公司</w:t>
      </w:r>
    </w:p>
    <w:p>
      <w:pPr>
        <w:pStyle w:val="null3"/>
        <w:ind w:firstLine="480"/>
      </w:pPr>
      <w:r>
        <w:rPr/>
        <w:t>我单位已登记并准备参与“</w:t>
      </w:r>
      <w:r>
        <w:rPr/>
        <w:t>新建乐昌市新城中学设施设备采购项目之课桌椅及宿舍床柜采购项目</w:t>
      </w:r>
      <w:r>
        <w:rPr/>
        <w:t>”项目（采购项目编号：</w:t>
      </w:r>
      <w:r>
        <w:rPr/>
        <w:t>SGZS2024041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