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D23268">
      <w:pPr>
        <w:spacing w:line="360" w:lineRule="auto"/>
        <w:rPr>
          <w:rFonts w:ascii="宋体" w:hAnsi="宋体" w:eastAsia="宋体" w:cs="Times New Roman"/>
          <w:color w:val="auto"/>
          <w:sz w:val="28"/>
          <w:szCs w:val="28"/>
        </w:rPr>
      </w:pPr>
    </w:p>
    <w:p w14:paraId="64B82856">
      <w:pPr>
        <w:spacing w:line="360" w:lineRule="auto"/>
        <w:jc w:val="center"/>
        <w:rPr>
          <w:rFonts w:hint="default" w:ascii="宋体" w:hAnsi="宋体" w:eastAsia="宋体" w:cs="Times New Roman"/>
          <w:color w:val="auto"/>
          <w:sz w:val="32"/>
          <w:szCs w:val="32"/>
          <w:lang w:val="en-US" w:eastAsia="zh-CN"/>
        </w:rPr>
      </w:pPr>
      <w:r>
        <w:rPr>
          <w:rFonts w:hint="eastAsia" w:ascii="黑体" w:eastAsia="黑体" w:cs="黑体"/>
          <w:color w:val="auto"/>
          <w:sz w:val="40"/>
          <w:szCs w:val="40"/>
          <w:lang w:eastAsia="zh-CN"/>
        </w:rPr>
        <w:t>云南省昭通市基层防灾能力提升项目（21-30标段）24标段二次</w:t>
      </w:r>
    </w:p>
    <w:p w14:paraId="226776E1">
      <w:pPr>
        <w:spacing w:line="360" w:lineRule="auto"/>
        <w:rPr>
          <w:rFonts w:ascii="宋体" w:hAnsi="宋体" w:eastAsia="宋体" w:cs="Times New Roman"/>
          <w:color w:val="auto"/>
          <w:sz w:val="32"/>
          <w:szCs w:val="32"/>
        </w:rPr>
      </w:pPr>
    </w:p>
    <w:p w14:paraId="763D251F">
      <w:pPr>
        <w:spacing w:line="360" w:lineRule="auto"/>
        <w:rPr>
          <w:rFonts w:ascii="宋体" w:hAnsi="宋体" w:eastAsia="宋体" w:cs="Times New Roman"/>
          <w:color w:val="auto"/>
          <w:sz w:val="32"/>
          <w:szCs w:val="32"/>
        </w:rPr>
      </w:pPr>
    </w:p>
    <w:p w14:paraId="19C12EBD">
      <w:pPr>
        <w:pStyle w:val="16"/>
        <w:rPr>
          <w:rFonts w:ascii="宋体" w:hAnsi="宋体" w:eastAsia="宋体" w:cs="Times New Roman"/>
          <w:color w:val="auto"/>
          <w:sz w:val="32"/>
          <w:szCs w:val="32"/>
        </w:rPr>
      </w:pPr>
    </w:p>
    <w:p w14:paraId="44EE2924">
      <w:pPr>
        <w:pStyle w:val="16"/>
        <w:ind w:left="0" w:leftChars="0" w:firstLine="0" w:firstLineChars="0"/>
        <w:jc w:val="both"/>
        <w:rPr>
          <w:rFonts w:ascii="宋体" w:hAnsi="宋体" w:eastAsia="宋体" w:cs="Times New Roman"/>
          <w:color w:val="auto"/>
          <w:sz w:val="32"/>
          <w:szCs w:val="32"/>
        </w:rPr>
      </w:pPr>
    </w:p>
    <w:p w14:paraId="681F54F1">
      <w:pPr>
        <w:rPr>
          <w:rFonts w:ascii="宋体" w:hAnsi="宋体" w:eastAsia="宋体" w:cs="Times New Roman"/>
          <w:color w:val="auto"/>
          <w:sz w:val="32"/>
          <w:szCs w:val="32"/>
        </w:rPr>
      </w:pPr>
    </w:p>
    <w:p w14:paraId="24AA8112">
      <w:pPr>
        <w:pStyle w:val="16"/>
        <w:rPr>
          <w:color w:val="auto"/>
        </w:rPr>
      </w:pPr>
    </w:p>
    <w:p w14:paraId="40F6C34F">
      <w:pPr>
        <w:spacing w:line="360" w:lineRule="auto"/>
        <w:jc w:val="center"/>
        <w:rPr>
          <w:rFonts w:ascii="宋体" w:hAnsi="宋体" w:eastAsia="宋体" w:cs="Times New Roman"/>
          <w:b/>
          <w:bCs/>
          <w:color w:val="auto"/>
          <w:sz w:val="96"/>
          <w:szCs w:val="96"/>
        </w:rPr>
      </w:pPr>
      <w:r>
        <w:rPr>
          <w:rFonts w:hint="eastAsia" w:ascii="宋体" w:hAnsi="宋体" w:eastAsia="宋体" w:cs="宋体"/>
          <w:b/>
          <w:bCs/>
          <w:color w:val="auto"/>
          <w:sz w:val="96"/>
          <w:szCs w:val="96"/>
        </w:rPr>
        <w:t>招</w:t>
      </w:r>
      <w:r>
        <w:rPr>
          <w:rFonts w:ascii="宋体" w:hAnsi="宋体" w:eastAsia="宋体" w:cs="宋体"/>
          <w:b/>
          <w:bCs/>
          <w:color w:val="auto"/>
          <w:sz w:val="96"/>
          <w:szCs w:val="96"/>
        </w:rPr>
        <w:t xml:space="preserve"> </w:t>
      </w:r>
      <w:r>
        <w:rPr>
          <w:rFonts w:hint="eastAsia" w:ascii="宋体" w:hAnsi="宋体" w:eastAsia="宋体" w:cs="宋体"/>
          <w:b/>
          <w:bCs/>
          <w:color w:val="auto"/>
          <w:sz w:val="96"/>
          <w:szCs w:val="96"/>
        </w:rPr>
        <w:t>标</w:t>
      </w:r>
      <w:r>
        <w:rPr>
          <w:rFonts w:ascii="宋体" w:hAnsi="宋体" w:eastAsia="宋体" w:cs="宋体"/>
          <w:b/>
          <w:bCs/>
          <w:color w:val="auto"/>
          <w:sz w:val="96"/>
          <w:szCs w:val="96"/>
        </w:rPr>
        <w:t xml:space="preserve"> </w:t>
      </w:r>
      <w:r>
        <w:rPr>
          <w:rFonts w:hint="eastAsia" w:ascii="宋体" w:hAnsi="宋体" w:eastAsia="宋体" w:cs="宋体"/>
          <w:b/>
          <w:bCs/>
          <w:color w:val="auto"/>
          <w:sz w:val="96"/>
          <w:szCs w:val="96"/>
        </w:rPr>
        <w:t>文</w:t>
      </w:r>
      <w:r>
        <w:rPr>
          <w:rFonts w:ascii="宋体" w:hAnsi="宋体" w:eastAsia="宋体" w:cs="宋体"/>
          <w:b/>
          <w:bCs/>
          <w:color w:val="auto"/>
          <w:sz w:val="96"/>
          <w:szCs w:val="96"/>
        </w:rPr>
        <w:t xml:space="preserve"> </w:t>
      </w:r>
      <w:r>
        <w:rPr>
          <w:rFonts w:hint="eastAsia" w:ascii="宋体" w:hAnsi="宋体" w:eastAsia="宋体" w:cs="宋体"/>
          <w:b/>
          <w:bCs/>
          <w:color w:val="auto"/>
          <w:sz w:val="96"/>
          <w:szCs w:val="96"/>
        </w:rPr>
        <w:t>件</w:t>
      </w:r>
    </w:p>
    <w:p w14:paraId="211C4067">
      <w:pPr>
        <w:spacing w:line="360" w:lineRule="auto"/>
        <w:jc w:val="center"/>
        <w:rPr>
          <w:rFonts w:ascii="宋体" w:hAnsi="宋体" w:eastAsia="宋体" w:cs="Times New Roman"/>
          <w:color w:val="auto"/>
          <w:sz w:val="28"/>
          <w:szCs w:val="28"/>
        </w:rPr>
      </w:pPr>
      <w:r>
        <w:rPr>
          <w:rFonts w:ascii="黑体" w:hAnsi="宋体" w:eastAsia="黑体" w:cs="黑体"/>
          <w:color w:val="auto"/>
          <w:sz w:val="28"/>
          <w:szCs w:val="28"/>
        </w:rPr>
        <w:t>(</w:t>
      </w:r>
      <w:r>
        <w:rPr>
          <w:rFonts w:hint="eastAsia" w:ascii="黑体" w:hAnsi="宋体" w:eastAsia="黑体" w:cs="黑体"/>
          <w:color w:val="auto"/>
          <w:sz w:val="28"/>
          <w:szCs w:val="28"/>
        </w:rPr>
        <w:t>采购编号：</w:t>
      </w:r>
      <w:r>
        <w:rPr>
          <w:rFonts w:hint="eastAsia" w:ascii="宋体" w:hAnsi="宋体" w:eastAsia="宋体" w:cs="Times New Roman"/>
          <w:color w:val="auto"/>
          <w:sz w:val="32"/>
          <w:szCs w:val="32"/>
          <w:lang w:eastAsia="zh-CN"/>
        </w:rPr>
        <w:t>ZTZC2024-G1-00346-YNYN-0004</w:t>
      </w:r>
      <w:r>
        <w:rPr>
          <w:rFonts w:ascii="黑体" w:hAnsi="宋体" w:eastAsia="黑体" w:cs="黑体"/>
          <w:color w:val="auto"/>
          <w:sz w:val="28"/>
          <w:szCs w:val="28"/>
        </w:rPr>
        <w:t>)</w:t>
      </w:r>
    </w:p>
    <w:p w14:paraId="1865A1FB">
      <w:pPr>
        <w:spacing w:line="360" w:lineRule="auto"/>
        <w:rPr>
          <w:rFonts w:ascii="宋体" w:hAnsi="宋体" w:eastAsia="宋体" w:cs="Times New Roman"/>
          <w:color w:val="auto"/>
          <w:sz w:val="32"/>
          <w:szCs w:val="32"/>
        </w:rPr>
      </w:pPr>
    </w:p>
    <w:p w14:paraId="1A61DE1F">
      <w:pPr>
        <w:spacing w:line="360" w:lineRule="auto"/>
        <w:rPr>
          <w:rFonts w:ascii="宋体" w:hAnsi="宋体" w:eastAsia="宋体" w:cs="Times New Roman"/>
          <w:color w:val="auto"/>
          <w:sz w:val="32"/>
          <w:szCs w:val="32"/>
        </w:rPr>
      </w:pPr>
    </w:p>
    <w:p w14:paraId="00589D10">
      <w:pPr>
        <w:spacing w:line="360" w:lineRule="auto"/>
        <w:rPr>
          <w:rFonts w:ascii="宋体" w:hAnsi="宋体" w:eastAsia="宋体" w:cs="Times New Roman"/>
          <w:color w:val="auto"/>
          <w:sz w:val="32"/>
          <w:szCs w:val="32"/>
        </w:rPr>
      </w:pPr>
    </w:p>
    <w:p w14:paraId="6EF06D91">
      <w:pPr>
        <w:spacing w:line="360" w:lineRule="auto"/>
        <w:rPr>
          <w:rFonts w:ascii="宋体" w:hAnsi="宋体" w:eastAsia="宋体" w:cs="Times New Roman"/>
          <w:color w:val="auto"/>
          <w:sz w:val="32"/>
          <w:szCs w:val="32"/>
        </w:rPr>
      </w:pPr>
    </w:p>
    <w:p w14:paraId="6CE7940D">
      <w:pPr>
        <w:spacing w:line="360" w:lineRule="auto"/>
        <w:rPr>
          <w:rFonts w:ascii="宋体" w:hAnsi="宋体" w:eastAsia="宋体" w:cs="Times New Roman"/>
          <w:color w:val="auto"/>
          <w:sz w:val="32"/>
          <w:szCs w:val="32"/>
        </w:rPr>
      </w:pPr>
    </w:p>
    <w:p w14:paraId="4A66A2C0">
      <w:pPr>
        <w:spacing w:line="360" w:lineRule="auto"/>
        <w:ind w:firstLine="2240" w:firstLineChars="700"/>
        <w:rPr>
          <w:rFonts w:hint="eastAsia" w:ascii="宋体" w:hAnsi="宋体" w:eastAsia="宋体" w:cs="宋体"/>
          <w:color w:val="auto"/>
          <w:sz w:val="32"/>
          <w:szCs w:val="32"/>
          <w:u w:val="single"/>
        </w:rPr>
      </w:pPr>
      <w:r>
        <w:rPr>
          <w:rFonts w:hint="eastAsia" w:ascii="宋体" w:hAnsi="宋体" w:eastAsia="宋体" w:cs="宋体"/>
          <w:color w:val="auto"/>
          <w:sz w:val="32"/>
          <w:szCs w:val="32"/>
        </w:rPr>
        <w:t>采   购   人：</w:t>
      </w:r>
      <w:r>
        <w:rPr>
          <w:rFonts w:hint="eastAsia" w:ascii="宋体" w:hAnsi="宋体" w:eastAsia="宋体" w:cs="宋体"/>
          <w:color w:val="auto"/>
          <w:sz w:val="32"/>
          <w:szCs w:val="32"/>
          <w:u w:val="single"/>
        </w:rPr>
        <w:t>昭通市应急管理局</w:t>
      </w:r>
    </w:p>
    <w:p w14:paraId="63A975DA">
      <w:pPr>
        <w:spacing w:line="360" w:lineRule="auto"/>
        <w:rPr>
          <w:rFonts w:hint="eastAsia" w:ascii="宋体" w:hAnsi="宋体" w:eastAsia="宋体" w:cs="宋体"/>
          <w:color w:val="auto"/>
          <w:sz w:val="32"/>
          <w:szCs w:val="32"/>
        </w:rPr>
      </w:pPr>
    </w:p>
    <w:p w14:paraId="6FF67993">
      <w:pPr>
        <w:spacing w:line="360" w:lineRule="auto"/>
        <w:ind w:firstLine="2240" w:firstLineChars="700"/>
        <w:rPr>
          <w:rFonts w:hint="eastAsia" w:ascii="宋体" w:hAnsi="宋体" w:eastAsia="宋体" w:cs="宋体"/>
          <w:color w:val="auto"/>
          <w:sz w:val="32"/>
          <w:szCs w:val="32"/>
          <w:u w:val="single"/>
          <w:lang w:eastAsia="zh-CN"/>
        </w:rPr>
      </w:pPr>
      <w:r>
        <w:rPr>
          <w:rFonts w:hint="eastAsia" w:ascii="宋体" w:hAnsi="宋体" w:eastAsia="宋体" w:cs="宋体"/>
          <w:color w:val="auto"/>
          <w:sz w:val="32"/>
          <w:szCs w:val="32"/>
        </w:rPr>
        <w:t>采购代理机构：</w:t>
      </w:r>
      <w:r>
        <w:rPr>
          <w:rFonts w:hint="eastAsia" w:ascii="宋体" w:hAnsi="宋体" w:eastAsia="宋体" w:cs="宋体"/>
          <w:color w:val="auto"/>
          <w:sz w:val="32"/>
          <w:szCs w:val="32"/>
          <w:u w:val="single"/>
          <w:lang w:eastAsia="zh-CN"/>
        </w:rPr>
        <w:t>云南耀宁招标咨询有限公司</w:t>
      </w:r>
    </w:p>
    <w:p w14:paraId="4B77A955">
      <w:pPr>
        <w:spacing w:line="360" w:lineRule="auto"/>
        <w:rPr>
          <w:rFonts w:hint="eastAsia" w:ascii="宋体" w:hAnsi="宋体" w:eastAsia="宋体" w:cs="宋体"/>
          <w:color w:val="auto"/>
          <w:sz w:val="32"/>
          <w:szCs w:val="32"/>
        </w:rPr>
      </w:pPr>
    </w:p>
    <w:p w14:paraId="52D35820">
      <w:pPr>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2024年</w:t>
      </w:r>
      <w:r>
        <w:rPr>
          <w:rFonts w:hint="eastAsia" w:ascii="宋体" w:hAnsi="宋体" w:eastAsia="宋体" w:cs="宋体"/>
          <w:color w:val="auto"/>
          <w:sz w:val="32"/>
          <w:szCs w:val="32"/>
          <w:lang w:val="en-US" w:eastAsia="zh-CN"/>
        </w:rPr>
        <w:t>6</w:t>
      </w:r>
      <w:r>
        <w:rPr>
          <w:rFonts w:hint="eastAsia" w:ascii="宋体" w:hAnsi="宋体" w:eastAsia="宋体" w:cs="宋体"/>
          <w:color w:val="auto"/>
          <w:sz w:val="32"/>
          <w:szCs w:val="32"/>
        </w:rPr>
        <w:t>月</w:t>
      </w:r>
    </w:p>
    <w:p w14:paraId="3D86F232">
      <w:pPr>
        <w:rPr>
          <w:rFonts w:hint="eastAsia" w:ascii="宋体" w:hAnsi="宋体" w:eastAsia="宋体" w:cs="宋体"/>
          <w:color w:val="auto"/>
          <w:sz w:val="32"/>
          <w:szCs w:val="32"/>
        </w:rPr>
        <w:sectPr>
          <w:pgSz w:w="11906" w:h="16838"/>
          <w:pgMar w:top="1418" w:right="1134" w:bottom="1418" w:left="1134" w:header="851" w:footer="992" w:gutter="0"/>
          <w:cols w:space="720" w:num="1"/>
          <w:docGrid w:linePitch="326" w:charSpace="48333"/>
        </w:sectPr>
      </w:pPr>
    </w:p>
    <w:p w14:paraId="6D8354E7">
      <w:pPr>
        <w:spacing w:line="600" w:lineRule="auto"/>
        <w:jc w:val="center"/>
        <w:rPr>
          <w:rFonts w:ascii="宋体" w:hAnsi="宋体" w:eastAsia="宋体" w:cs="Times New Roman"/>
          <w:b/>
          <w:bCs/>
          <w:color w:val="auto"/>
          <w:sz w:val="28"/>
          <w:szCs w:val="28"/>
        </w:rPr>
      </w:pPr>
      <w:r>
        <w:rPr>
          <w:rFonts w:hint="eastAsia" w:ascii="宋体" w:hAnsi="宋体" w:eastAsia="宋体" w:cs="宋体"/>
          <w:b/>
          <w:bCs/>
          <w:color w:val="auto"/>
          <w:sz w:val="32"/>
          <w:szCs w:val="32"/>
          <w:lang w:val="zh-CN"/>
        </w:rPr>
        <w:t>目</w:t>
      </w:r>
      <w:r>
        <w:rPr>
          <w:rFonts w:ascii="宋体" w:hAnsi="宋体" w:eastAsia="宋体" w:cs="宋体"/>
          <w:b/>
          <w:bCs/>
          <w:color w:val="auto"/>
          <w:sz w:val="32"/>
          <w:szCs w:val="32"/>
          <w:lang w:val="zh-CN"/>
        </w:rPr>
        <w:t xml:space="preserve">  </w:t>
      </w:r>
      <w:r>
        <w:rPr>
          <w:rFonts w:hint="eastAsia" w:ascii="宋体" w:hAnsi="宋体" w:eastAsia="宋体" w:cs="宋体"/>
          <w:b/>
          <w:bCs/>
          <w:color w:val="auto"/>
          <w:sz w:val="32"/>
          <w:szCs w:val="32"/>
          <w:lang w:val="zh-CN"/>
        </w:rPr>
        <w:t>录</w:t>
      </w:r>
    </w:p>
    <w:p w14:paraId="181075F5">
      <w:pPr>
        <w:pStyle w:val="27"/>
        <w:rPr>
          <w:rFonts w:ascii="宋体" w:hAnsi="宋体" w:eastAsia="宋体" w:cstheme="minorBidi"/>
          <w:color w:val="auto"/>
          <w:sz w:val="24"/>
          <w:szCs w:val="28"/>
          <w14:ligatures w14:val="standardContextual"/>
        </w:rPr>
      </w:pPr>
      <w:r>
        <w:rPr>
          <w:rFonts w:ascii="黑体" w:hAnsi="黑体" w:eastAsia="黑体" w:cs="黑体"/>
          <w:color w:val="auto"/>
          <w:sz w:val="22"/>
          <w:szCs w:val="22"/>
        </w:rPr>
        <w:fldChar w:fldCharType="begin"/>
      </w:r>
      <w:r>
        <w:rPr>
          <w:rFonts w:ascii="黑体" w:hAnsi="黑体" w:eastAsia="黑体" w:cs="黑体"/>
          <w:color w:val="auto"/>
          <w:sz w:val="22"/>
          <w:szCs w:val="22"/>
        </w:rPr>
        <w:instrText xml:space="preserve"> TOC \o "1-3" \h \z \u </w:instrText>
      </w:r>
      <w:r>
        <w:rPr>
          <w:rFonts w:ascii="黑体" w:hAnsi="黑体" w:eastAsia="黑体" w:cs="黑体"/>
          <w:color w:val="auto"/>
          <w:sz w:val="22"/>
          <w:szCs w:val="22"/>
        </w:rPr>
        <w:fldChar w:fldCharType="separate"/>
      </w:r>
      <w:r>
        <w:rPr>
          <w:color w:val="auto"/>
        </w:rPr>
        <w:fldChar w:fldCharType="begin"/>
      </w:r>
      <w:r>
        <w:rPr>
          <w:color w:val="auto"/>
        </w:rPr>
        <w:instrText xml:space="preserve"> HYPERLINK \l "_Toc164432879" </w:instrText>
      </w:r>
      <w:r>
        <w:rPr>
          <w:color w:val="auto"/>
        </w:rPr>
        <w:fldChar w:fldCharType="separate"/>
      </w:r>
      <w:r>
        <w:rPr>
          <w:rStyle w:val="46"/>
          <w:rFonts w:ascii="宋体" w:hAnsi="宋体" w:eastAsia="宋体" w:cs="宋体"/>
          <w:color w:val="auto"/>
          <w:sz w:val="24"/>
          <w:szCs w:val="24"/>
        </w:rPr>
        <w:t>第一章 招标公告</w:t>
      </w:r>
      <w:r>
        <w:rPr>
          <w:rFonts w:ascii="宋体" w:hAnsi="宋体" w:eastAsia="宋体"/>
          <w:color w:val="auto"/>
          <w:sz w:val="24"/>
          <w:szCs w:val="24"/>
        </w:rPr>
        <w:tab/>
      </w:r>
      <w:r>
        <w:rPr>
          <w:rFonts w:ascii="宋体" w:hAnsi="宋体" w:eastAsia="宋体"/>
          <w:color w:val="auto"/>
          <w:sz w:val="24"/>
          <w:szCs w:val="24"/>
        </w:rPr>
        <w:fldChar w:fldCharType="begin"/>
      </w:r>
      <w:r>
        <w:rPr>
          <w:rFonts w:ascii="宋体" w:hAnsi="宋体" w:eastAsia="宋体"/>
          <w:color w:val="auto"/>
          <w:sz w:val="24"/>
          <w:szCs w:val="24"/>
        </w:rPr>
        <w:instrText xml:space="preserve"> PAGEREF _Toc164432879 \h </w:instrText>
      </w:r>
      <w:r>
        <w:rPr>
          <w:rFonts w:ascii="宋体" w:hAnsi="宋体" w:eastAsia="宋体"/>
          <w:color w:val="auto"/>
          <w:sz w:val="24"/>
          <w:szCs w:val="24"/>
        </w:rPr>
        <w:fldChar w:fldCharType="separate"/>
      </w:r>
      <w:r>
        <w:rPr>
          <w:rFonts w:ascii="宋体" w:hAnsi="宋体" w:eastAsia="宋体"/>
          <w:color w:val="auto"/>
          <w:sz w:val="24"/>
          <w:szCs w:val="24"/>
        </w:rPr>
        <w:t>2</w:t>
      </w:r>
      <w:r>
        <w:rPr>
          <w:rFonts w:ascii="宋体" w:hAnsi="宋体" w:eastAsia="宋体"/>
          <w:color w:val="auto"/>
          <w:sz w:val="24"/>
          <w:szCs w:val="24"/>
        </w:rPr>
        <w:fldChar w:fldCharType="end"/>
      </w:r>
      <w:r>
        <w:rPr>
          <w:rFonts w:ascii="宋体" w:hAnsi="宋体" w:eastAsia="宋体"/>
          <w:color w:val="auto"/>
          <w:sz w:val="24"/>
          <w:szCs w:val="24"/>
        </w:rPr>
        <w:fldChar w:fldCharType="end"/>
      </w:r>
    </w:p>
    <w:p w14:paraId="35FA9860">
      <w:pPr>
        <w:pStyle w:val="27"/>
        <w:rPr>
          <w:rFonts w:ascii="宋体" w:hAnsi="宋体" w:eastAsia="宋体" w:cstheme="minorBidi"/>
          <w:color w:val="auto"/>
          <w:sz w:val="24"/>
          <w:szCs w:val="28"/>
          <w14:ligatures w14:val="standardContextual"/>
        </w:rPr>
      </w:pPr>
      <w:r>
        <w:rPr>
          <w:color w:val="auto"/>
        </w:rPr>
        <w:fldChar w:fldCharType="begin"/>
      </w:r>
      <w:r>
        <w:rPr>
          <w:color w:val="auto"/>
        </w:rPr>
        <w:instrText xml:space="preserve"> HYPERLINK \l "_Toc164432887" </w:instrText>
      </w:r>
      <w:r>
        <w:rPr>
          <w:color w:val="auto"/>
        </w:rPr>
        <w:fldChar w:fldCharType="separate"/>
      </w:r>
      <w:r>
        <w:rPr>
          <w:rStyle w:val="46"/>
          <w:rFonts w:ascii="宋体" w:hAnsi="宋体" w:eastAsia="宋体" w:cs="宋体"/>
          <w:color w:val="auto"/>
          <w:sz w:val="24"/>
          <w:szCs w:val="24"/>
        </w:rPr>
        <w:t>第二章 投标人须知</w:t>
      </w:r>
      <w:r>
        <w:rPr>
          <w:rFonts w:ascii="宋体" w:hAnsi="宋体" w:eastAsia="宋体"/>
          <w:color w:val="auto"/>
          <w:sz w:val="24"/>
          <w:szCs w:val="24"/>
        </w:rPr>
        <w:tab/>
      </w:r>
      <w:r>
        <w:rPr>
          <w:rFonts w:ascii="宋体" w:hAnsi="宋体" w:eastAsia="宋体"/>
          <w:color w:val="auto"/>
          <w:sz w:val="24"/>
          <w:szCs w:val="24"/>
        </w:rPr>
        <w:fldChar w:fldCharType="begin"/>
      </w:r>
      <w:r>
        <w:rPr>
          <w:rFonts w:ascii="宋体" w:hAnsi="宋体" w:eastAsia="宋体"/>
          <w:color w:val="auto"/>
          <w:sz w:val="24"/>
          <w:szCs w:val="24"/>
        </w:rPr>
        <w:instrText xml:space="preserve"> PAGEREF _Toc164432887 \h </w:instrText>
      </w:r>
      <w:r>
        <w:rPr>
          <w:rFonts w:ascii="宋体" w:hAnsi="宋体" w:eastAsia="宋体"/>
          <w:color w:val="auto"/>
          <w:sz w:val="24"/>
          <w:szCs w:val="24"/>
        </w:rPr>
        <w:fldChar w:fldCharType="separate"/>
      </w:r>
      <w:r>
        <w:rPr>
          <w:rFonts w:ascii="宋体" w:hAnsi="宋体" w:eastAsia="宋体"/>
          <w:color w:val="auto"/>
          <w:sz w:val="24"/>
          <w:szCs w:val="24"/>
        </w:rPr>
        <w:t>5</w:t>
      </w:r>
      <w:r>
        <w:rPr>
          <w:rFonts w:ascii="宋体" w:hAnsi="宋体" w:eastAsia="宋体"/>
          <w:color w:val="auto"/>
          <w:sz w:val="24"/>
          <w:szCs w:val="24"/>
        </w:rPr>
        <w:fldChar w:fldCharType="end"/>
      </w:r>
      <w:r>
        <w:rPr>
          <w:rFonts w:ascii="宋体" w:hAnsi="宋体" w:eastAsia="宋体"/>
          <w:color w:val="auto"/>
          <w:sz w:val="24"/>
          <w:szCs w:val="24"/>
        </w:rPr>
        <w:fldChar w:fldCharType="end"/>
      </w:r>
    </w:p>
    <w:p w14:paraId="36A63C1C">
      <w:pPr>
        <w:pStyle w:val="27"/>
        <w:rPr>
          <w:rFonts w:ascii="宋体" w:hAnsi="宋体" w:eastAsia="宋体" w:cstheme="minorBidi"/>
          <w:color w:val="auto"/>
          <w:sz w:val="24"/>
          <w:szCs w:val="28"/>
          <w14:ligatures w14:val="standardContextual"/>
        </w:rPr>
      </w:pPr>
      <w:r>
        <w:rPr>
          <w:color w:val="auto"/>
        </w:rPr>
        <w:fldChar w:fldCharType="begin"/>
      </w:r>
      <w:r>
        <w:rPr>
          <w:color w:val="auto"/>
        </w:rPr>
        <w:instrText xml:space="preserve"> HYPERLINK \l "_Toc164432945" </w:instrText>
      </w:r>
      <w:r>
        <w:rPr>
          <w:color w:val="auto"/>
        </w:rPr>
        <w:fldChar w:fldCharType="separate"/>
      </w:r>
      <w:r>
        <w:rPr>
          <w:rStyle w:val="46"/>
          <w:rFonts w:ascii="宋体" w:hAnsi="宋体" w:eastAsia="宋体" w:cs="宋体"/>
          <w:color w:val="auto"/>
          <w:sz w:val="24"/>
          <w:szCs w:val="24"/>
        </w:rPr>
        <w:t>第三章 评标办法</w:t>
      </w:r>
      <w:r>
        <w:rPr>
          <w:rFonts w:ascii="宋体" w:hAnsi="宋体" w:eastAsia="宋体"/>
          <w:color w:val="auto"/>
          <w:sz w:val="24"/>
          <w:szCs w:val="24"/>
        </w:rPr>
        <w:tab/>
      </w:r>
      <w:r>
        <w:rPr>
          <w:rFonts w:ascii="宋体" w:hAnsi="宋体" w:eastAsia="宋体"/>
          <w:color w:val="auto"/>
          <w:sz w:val="24"/>
          <w:szCs w:val="24"/>
        </w:rPr>
        <w:fldChar w:fldCharType="begin"/>
      </w:r>
      <w:r>
        <w:rPr>
          <w:rFonts w:ascii="宋体" w:hAnsi="宋体" w:eastAsia="宋体"/>
          <w:color w:val="auto"/>
          <w:sz w:val="24"/>
          <w:szCs w:val="24"/>
        </w:rPr>
        <w:instrText xml:space="preserve"> PAGEREF _Toc164432945 \h </w:instrText>
      </w:r>
      <w:r>
        <w:rPr>
          <w:rFonts w:ascii="宋体" w:hAnsi="宋体" w:eastAsia="宋体"/>
          <w:color w:val="auto"/>
          <w:sz w:val="24"/>
          <w:szCs w:val="24"/>
        </w:rPr>
        <w:fldChar w:fldCharType="separate"/>
      </w:r>
      <w:r>
        <w:rPr>
          <w:rFonts w:ascii="宋体" w:hAnsi="宋体" w:eastAsia="宋体"/>
          <w:color w:val="auto"/>
          <w:sz w:val="24"/>
          <w:szCs w:val="24"/>
        </w:rPr>
        <w:t>21</w:t>
      </w:r>
      <w:r>
        <w:rPr>
          <w:rFonts w:ascii="宋体" w:hAnsi="宋体" w:eastAsia="宋体"/>
          <w:color w:val="auto"/>
          <w:sz w:val="24"/>
          <w:szCs w:val="24"/>
        </w:rPr>
        <w:fldChar w:fldCharType="end"/>
      </w:r>
      <w:r>
        <w:rPr>
          <w:rFonts w:ascii="宋体" w:hAnsi="宋体" w:eastAsia="宋体"/>
          <w:color w:val="auto"/>
          <w:sz w:val="24"/>
          <w:szCs w:val="24"/>
        </w:rPr>
        <w:fldChar w:fldCharType="end"/>
      </w:r>
    </w:p>
    <w:p w14:paraId="56B153D2">
      <w:pPr>
        <w:pStyle w:val="27"/>
        <w:rPr>
          <w:rFonts w:ascii="宋体" w:hAnsi="宋体" w:eastAsia="宋体" w:cstheme="minorBidi"/>
          <w:color w:val="auto"/>
          <w:sz w:val="24"/>
          <w:szCs w:val="28"/>
          <w14:ligatures w14:val="standardContextual"/>
        </w:rPr>
      </w:pPr>
      <w:r>
        <w:rPr>
          <w:color w:val="auto"/>
        </w:rPr>
        <w:fldChar w:fldCharType="begin"/>
      </w:r>
      <w:r>
        <w:rPr>
          <w:color w:val="auto"/>
        </w:rPr>
        <w:instrText xml:space="preserve"> HYPERLINK \l "_Toc164432957" </w:instrText>
      </w:r>
      <w:r>
        <w:rPr>
          <w:color w:val="auto"/>
        </w:rPr>
        <w:fldChar w:fldCharType="separate"/>
      </w:r>
      <w:r>
        <w:rPr>
          <w:rStyle w:val="46"/>
          <w:rFonts w:ascii="宋体" w:hAnsi="宋体" w:eastAsia="宋体" w:cs="宋体"/>
          <w:color w:val="auto"/>
          <w:sz w:val="24"/>
          <w:szCs w:val="24"/>
        </w:rPr>
        <w:t>第四章 合同草案</w:t>
      </w:r>
      <w:r>
        <w:rPr>
          <w:rFonts w:ascii="宋体" w:hAnsi="宋体" w:eastAsia="宋体"/>
          <w:color w:val="auto"/>
          <w:sz w:val="24"/>
          <w:szCs w:val="24"/>
        </w:rPr>
        <w:tab/>
      </w:r>
      <w:r>
        <w:rPr>
          <w:rFonts w:ascii="宋体" w:hAnsi="宋体" w:eastAsia="宋体"/>
          <w:color w:val="auto"/>
          <w:sz w:val="24"/>
          <w:szCs w:val="24"/>
        </w:rPr>
        <w:fldChar w:fldCharType="begin"/>
      </w:r>
      <w:r>
        <w:rPr>
          <w:rFonts w:ascii="宋体" w:hAnsi="宋体" w:eastAsia="宋体"/>
          <w:color w:val="auto"/>
          <w:sz w:val="24"/>
          <w:szCs w:val="24"/>
        </w:rPr>
        <w:instrText xml:space="preserve"> PAGEREF _Toc164432957 \h </w:instrText>
      </w:r>
      <w:r>
        <w:rPr>
          <w:rFonts w:ascii="宋体" w:hAnsi="宋体" w:eastAsia="宋体"/>
          <w:color w:val="auto"/>
          <w:sz w:val="24"/>
          <w:szCs w:val="24"/>
        </w:rPr>
        <w:fldChar w:fldCharType="separate"/>
      </w:r>
      <w:r>
        <w:rPr>
          <w:rFonts w:ascii="宋体" w:hAnsi="宋体" w:eastAsia="宋体"/>
          <w:color w:val="auto"/>
          <w:sz w:val="24"/>
          <w:szCs w:val="24"/>
        </w:rPr>
        <w:t>31</w:t>
      </w:r>
      <w:r>
        <w:rPr>
          <w:rFonts w:ascii="宋体" w:hAnsi="宋体" w:eastAsia="宋体"/>
          <w:color w:val="auto"/>
          <w:sz w:val="24"/>
          <w:szCs w:val="24"/>
        </w:rPr>
        <w:fldChar w:fldCharType="end"/>
      </w:r>
      <w:r>
        <w:rPr>
          <w:rFonts w:ascii="宋体" w:hAnsi="宋体" w:eastAsia="宋体"/>
          <w:color w:val="auto"/>
          <w:sz w:val="24"/>
          <w:szCs w:val="24"/>
        </w:rPr>
        <w:fldChar w:fldCharType="end"/>
      </w:r>
    </w:p>
    <w:p w14:paraId="4FD288ED">
      <w:pPr>
        <w:pStyle w:val="27"/>
        <w:rPr>
          <w:rFonts w:ascii="宋体" w:hAnsi="宋体" w:eastAsia="宋体" w:cstheme="minorBidi"/>
          <w:color w:val="auto"/>
          <w:sz w:val="24"/>
          <w:szCs w:val="28"/>
          <w14:ligatures w14:val="standardContextual"/>
        </w:rPr>
      </w:pPr>
      <w:r>
        <w:rPr>
          <w:color w:val="auto"/>
        </w:rPr>
        <w:fldChar w:fldCharType="begin"/>
      </w:r>
      <w:r>
        <w:rPr>
          <w:color w:val="auto"/>
        </w:rPr>
        <w:instrText xml:space="preserve"> HYPERLINK \l "_Toc164432958" </w:instrText>
      </w:r>
      <w:r>
        <w:rPr>
          <w:color w:val="auto"/>
        </w:rPr>
        <w:fldChar w:fldCharType="separate"/>
      </w:r>
      <w:r>
        <w:rPr>
          <w:rStyle w:val="46"/>
          <w:rFonts w:ascii="宋体" w:hAnsi="宋体" w:eastAsia="宋体" w:cs="宋体"/>
          <w:color w:val="auto"/>
          <w:sz w:val="24"/>
          <w:szCs w:val="24"/>
        </w:rPr>
        <w:t>第五章 采购需求</w:t>
      </w:r>
      <w:r>
        <w:rPr>
          <w:rFonts w:ascii="宋体" w:hAnsi="宋体" w:eastAsia="宋体"/>
          <w:color w:val="auto"/>
          <w:sz w:val="24"/>
          <w:szCs w:val="24"/>
        </w:rPr>
        <w:tab/>
      </w:r>
      <w:r>
        <w:rPr>
          <w:rFonts w:ascii="宋体" w:hAnsi="宋体" w:eastAsia="宋体"/>
          <w:color w:val="auto"/>
          <w:sz w:val="24"/>
          <w:szCs w:val="24"/>
        </w:rPr>
        <w:fldChar w:fldCharType="begin"/>
      </w:r>
      <w:r>
        <w:rPr>
          <w:rFonts w:ascii="宋体" w:hAnsi="宋体" w:eastAsia="宋体"/>
          <w:color w:val="auto"/>
          <w:sz w:val="24"/>
          <w:szCs w:val="24"/>
        </w:rPr>
        <w:instrText xml:space="preserve"> PAGEREF _Toc164432958 \h </w:instrText>
      </w:r>
      <w:r>
        <w:rPr>
          <w:rFonts w:ascii="宋体" w:hAnsi="宋体" w:eastAsia="宋体"/>
          <w:color w:val="auto"/>
          <w:sz w:val="24"/>
          <w:szCs w:val="24"/>
        </w:rPr>
        <w:fldChar w:fldCharType="separate"/>
      </w:r>
      <w:r>
        <w:rPr>
          <w:rFonts w:ascii="宋体" w:hAnsi="宋体" w:eastAsia="宋体"/>
          <w:color w:val="auto"/>
          <w:sz w:val="24"/>
          <w:szCs w:val="24"/>
        </w:rPr>
        <w:t>47</w:t>
      </w:r>
      <w:r>
        <w:rPr>
          <w:rFonts w:ascii="宋体" w:hAnsi="宋体" w:eastAsia="宋体"/>
          <w:color w:val="auto"/>
          <w:sz w:val="24"/>
          <w:szCs w:val="24"/>
        </w:rPr>
        <w:fldChar w:fldCharType="end"/>
      </w:r>
      <w:r>
        <w:rPr>
          <w:rFonts w:ascii="宋体" w:hAnsi="宋体" w:eastAsia="宋体"/>
          <w:color w:val="auto"/>
          <w:sz w:val="24"/>
          <w:szCs w:val="24"/>
        </w:rPr>
        <w:fldChar w:fldCharType="end"/>
      </w:r>
    </w:p>
    <w:p w14:paraId="17F8EFFE">
      <w:pPr>
        <w:pStyle w:val="27"/>
        <w:rPr>
          <w:rFonts w:ascii="宋体" w:hAnsi="宋体" w:eastAsia="宋体" w:cstheme="minorBidi"/>
          <w:color w:val="auto"/>
          <w:sz w:val="24"/>
          <w:szCs w:val="28"/>
          <w14:ligatures w14:val="standardContextual"/>
        </w:rPr>
      </w:pPr>
      <w:r>
        <w:rPr>
          <w:color w:val="auto"/>
        </w:rPr>
        <w:fldChar w:fldCharType="begin"/>
      </w:r>
      <w:r>
        <w:rPr>
          <w:color w:val="auto"/>
        </w:rPr>
        <w:instrText xml:space="preserve"> HYPERLINK \l "_Toc164432959" </w:instrText>
      </w:r>
      <w:r>
        <w:rPr>
          <w:color w:val="auto"/>
        </w:rPr>
        <w:fldChar w:fldCharType="separate"/>
      </w:r>
      <w:r>
        <w:rPr>
          <w:rStyle w:val="46"/>
          <w:rFonts w:ascii="宋体" w:hAnsi="宋体" w:eastAsia="宋体" w:cs="宋体"/>
          <w:color w:val="auto"/>
          <w:sz w:val="24"/>
          <w:szCs w:val="24"/>
        </w:rPr>
        <w:t>第六章 投标文件格式</w:t>
      </w:r>
      <w:r>
        <w:rPr>
          <w:rFonts w:ascii="宋体" w:hAnsi="宋体" w:eastAsia="宋体"/>
          <w:color w:val="auto"/>
          <w:sz w:val="24"/>
          <w:szCs w:val="24"/>
        </w:rPr>
        <w:tab/>
      </w:r>
      <w:r>
        <w:rPr>
          <w:rFonts w:ascii="宋体" w:hAnsi="宋体" w:eastAsia="宋体"/>
          <w:color w:val="auto"/>
          <w:sz w:val="24"/>
          <w:szCs w:val="24"/>
        </w:rPr>
        <w:fldChar w:fldCharType="begin"/>
      </w:r>
      <w:r>
        <w:rPr>
          <w:rFonts w:ascii="宋体" w:hAnsi="宋体" w:eastAsia="宋体"/>
          <w:color w:val="auto"/>
          <w:sz w:val="24"/>
          <w:szCs w:val="24"/>
        </w:rPr>
        <w:instrText xml:space="preserve"> PAGEREF _Toc164432959 \h </w:instrText>
      </w:r>
      <w:r>
        <w:rPr>
          <w:rFonts w:ascii="宋体" w:hAnsi="宋体" w:eastAsia="宋体"/>
          <w:color w:val="auto"/>
          <w:sz w:val="24"/>
          <w:szCs w:val="24"/>
        </w:rPr>
        <w:fldChar w:fldCharType="separate"/>
      </w:r>
      <w:r>
        <w:rPr>
          <w:rFonts w:ascii="宋体" w:hAnsi="宋体" w:eastAsia="宋体"/>
          <w:color w:val="auto"/>
          <w:sz w:val="24"/>
          <w:szCs w:val="24"/>
        </w:rPr>
        <w:t>51</w:t>
      </w:r>
      <w:r>
        <w:rPr>
          <w:rFonts w:ascii="宋体" w:hAnsi="宋体" w:eastAsia="宋体"/>
          <w:color w:val="auto"/>
          <w:sz w:val="24"/>
          <w:szCs w:val="24"/>
        </w:rPr>
        <w:fldChar w:fldCharType="end"/>
      </w:r>
      <w:r>
        <w:rPr>
          <w:rFonts w:ascii="宋体" w:hAnsi="宋体" w:eastAsia="宋体"/>
          <w:color w:val="auto"/>
          <w:sz w:val="24"/>
          <w:szCs w:val="24"/>
        </w:rPr>
        <w:fldChar w:fldCharType="end"/>
      </w:r>
    </w:p>
    <w:p w14:paraId="2F06D2EA">
      <w:pPr>
        <w:spacing w:line="600" w:lineRule="auto"/>
        <w:rPr>
          <w:rFonts w:ascii="宋体" w:hAnsi="宋体" w:eastAsia="宋体" w:cs="Times New Roman"/>
          <w:color w:val="auto"/>
        </w:rPr>
        <w:sectPr>
          <w:headerReference r:id="rId4" w:type="default"/>
          <w:footerReference r:id="rId6" w:type="default"/>
          <w:headerReference r:id="rId5" w:type="even"/>
          <w:footerReference r:id="rId7" w:type="even"/>
          <w:pgSz w:w="11906" w:h="16838"/>
          <w:pgMar w:top="1418" w:right="1134" w:bottom="1418" w:left="1134" w:header="851" w:footer="992" w:gutter="0"/>
          <w:pgNumType w:fmt="decimal" w:start="1"/>
          <w:cols w:space="720" w:num="1"/>
          <w:docGrid w:linePitch="326" w:charSpace="48333"/>
        </w:sectPr>
      </w:pPr>
      <w:r>
        <w:rPr>
          <w:rFonts w:ascii="黑体" w:hAnsi="黑体" w:eastAsia="黑体" w:cs="黑体"/>
          <w:color w:val="auto"/>
          <w:sz w:val="22"/>
          <w:szCs w:val="22"/>
        </w:rPr>
        <w:fldChar w:fldCharType="end"/>
      </w:r>
    </w:p>
    <w:p w14:paraId="0899173B">
      <w:pPr>
        <w:pStyle w:val="2"/>
        <w:spacing w:before="0" w:after="0" w:line="360" w:lineRule="auto"/>
        <w:jc w:val="center"/>
        <w:rPr>
          <w:rFonts w:ascii="宋体"/>
          <w:color w:val="auto"/>
          <w:sz w:val="36"/>
          <w:szCs w:val="36"/>
        </w:rPr>
      </w:pPr>
      <w:bookmarkStart w:id="0" w:name="_Toc164432879"/>
      <w:r>
        <w:rPr>
          <w:rFonts w:hint="eastAsia" w:ascii="宋体" w:hAnsi="宋体" w:cs="宋体"/>
          <w:color w:val="auto"/>
          <w:sz w:val="36"/>
          <w:szCs w:val="36"/>
        </w:rPr>
        <w:t>第一章</w:t>
      </w:r>
      <w:r>
        <w:rPr>
          <w:rFonts w:ascii="宋体" w:hAnsi="宋体" w:cs="宋体"/>
          <w:color w:val="auto"/>
          <w:sz w:val="36"/>
          <w:szCs w:val="36"/>
        </w:rPr>
        <w:t xml:space="preserve"> </w:t>
      </w:r>
      <w:r>
        <w:rPr>
          <w:rFonts w:hint="eastAsia" w:ascii="宋体" w:hAnsi="宋体" w:cs="宋体"/>
          <w:color w:val="auto"/>
          <w:sz w:val="36"/>
          <w:szCs w:val="36"/>
        </w:rPr>
        <w:t>招标公告</w:t>
      </w:r>
      <w:bookmarkEnd w:id="0"/>
    </w:p>
    <w:p w14:paraId="780580A0">
      <w:pPr>
        <w:spacing w:line="360" w:lineRule="auto"/>
        <w:jc w:val="center"/>
        <w:rPr>
          <w:rFonts w:hint="eastAsia" w:ascii="宋体" w:hAnsi="宋体" w:eastAsia="宋体" w:cs="宋体"/>
          <w:b/>
          <w:bCs/>
          <w:color w:val="auto"/>
          <w:sz w:val="28"/>
          <w:szCs w:val="28"/>
          <w:lang w:eastAsia="zh-CN"/>
        </w:rPr>
      </w:pPr>
      <w:bookmarkStart w:id="1" w:name="_Hlk77342518"/>
      <w:r>
        <w:rPr>
          <w:rFonts w:hint="eastAsia" w:ascii="宋体" w:hAnsi="宋体" w:eastAsia="宋体" w:cs="宋体"/>
          <w:b/>
          <w:bCs/>
          <w:color w:val="auto"/>
          <w:sz w:val="28"/>
          <w:szCs w:val="28"/>
          <w:lang w:eastAsia="zh-CN"/>
        </w:rPr>
        <w:t>云南省昭通市基层防灾能力提升项目（21-30标段）24标段二次</w:t>
      </w:r>
    </w:p>
    <w:p w14:paraId="5D958949">
      <w:pPr>
        <w:spacing w:line="360" w:lineRule="auto"/>
        <w:jc w:val="center"/>
        <w:rPr>
          <w:rFonts w:ascii="宋体" w:hAnsi="宋体" w:eastAsia="宋体" w:cs="Times New Roman"/>
          <w:b/>
          <w:bCs/>
          <w:color w:val="auto"/>
          <w:sz w:val="28"/>
          <w:szCs w:val="28"/>
        </w:rPr>
      </w:pPr>
      <w:r>
        <w:rPr>
          <w:rFonts w:hint="eastAsia" w:ascii="宋体" w:hAnsi="宋体" w:eastAsia="宋体" w:cs="宋体"/>
          <w:b/>
          <w:bCs/>
          <w:color w:val="auto"/>
          <w:sz w:val="28"/>
          <w:szCs w:val="28"/>
        </w:rPr>
        <w:t>招标公告</w:t>
      </w:r>
    </w:p>
    <w:p w14:paraId="6085AC2C">
      <w:pPr>
        <w:pBdr>
          <w:top w:val="single" w:color="auto" w:sz="4" w:space="1"/>
          <w:left w:val="single" w:color="auto" w:sz="4" w:space="4"/>
          <w:bottom w:val="single" w:color="auto" w:sz="4" w:space="1"/>
          <w:right w:val="single" w:color="auto" w:sz="4" w:space="4"/>
        </w:pBdr>
        <w:spacing w:line="360" w:lineRule="auto"/>
        <w:jc w:val="center"/>
        <w:rPr>
          <w:rFonts w:ascii="宋体" w:hAnsi="宋体" w:eastAsia="宋体" w:cs="Times New Roman"/>
          <w:color w:val="auto"/>
        </w:rPr>
      </w:pPr>
      <w:r>
        <w:rPr>
          <w:rFonts w:hint="eastAsia" w:ascii="宋体" w:hAnsi="宋体" w:eastAsia="宋体" w:cs="宋体"/>
          <w:color w:val="auto"/>
        </w:rPr>
        <w:t>项目概况</w:t>
      </w:r>
    </w:p>
    <w:p w14:paraId="0AB60F25">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Times New Roman"/>
          <w:color w:val="auto"/>
        </w:rPr>
      </w:pPr>
      <w:r>
        <w:rPr>
          <w:rFonts w:hint="eastAsia" w:ascii="宋体" w:hAnsi="宋体" w:eastAsia="宋体" w:cs="宋体"/>
          <w:color w:val="auto"/>
          <w:u w:val="single"/>
          <w:lang w:eastAsia="zh-CN"/>
        </w:rPr>
        <w:t>云南省昭通市基层防灾能力提升项目（21-30标段）24标段二次</w:t>
      </w:r>
      <w:r>
        <w:rPr>
          <w:rFonts w:hint="eastAsia" w:ascii="宋体" w:hAnsi="宋体" w:eastAsia="宋体" w:cs="宋体"/>
          <w:color w:val="auto"/>
        </w:rPr>
        <w:t>招标项目的潜在投标人应在</w:t>
      </w:r>
      <w:r>
        <w:rPr>
          <w:rFonts w:hint="eastAsia" w:ascii="宋体" w:hAnsi="宋体" w:eastAsia="宋体" w:cs="宋体"/>
          <w:color w:val="auto"/>
          <w:u w:val="single"/>
        </w:rPr>
        <w:t>政府采购云平台（网址</w:t>
      </w:r>
      <w:r>
        <w:rPr>
          <w:rFonts w:ascii="宋体" w:hAnsi="宋体" w:eastAsia="宋体" w:cs="宋体"/>
          <w:color w:val="auto"/>
          <w:u w:val="single"/>
        </w:rPr>
        <w:t>:https://www.zcygov.cn/）</w:t>
      </w:r>
      <w:r>
        <w:rPr>
          <w:rFonts w:hint="eastAsia" w:ascii="宋体" w:hAnsi="宋体" w:eastAsia="宋体" w:cs="宋体"/>
          <w:color w:val="auto"/>
          <w:u w:val="single"/>
        </w:rPr>
        <w:t>获取招标文件，并于</w:t>
      </w:r>
      <w:r>
        <w:rPr>
          <w:rFonts w:ascii="宋体" w:hAnsi="宋体" w:eastAsia="宋体" w:cs="宋体"/>
          <w:color w:val="auto"/>
          <w:u w:val="single"/>
        </w:rPr>
        <w:t>2024-</w:t>
      </w:r>
      <w:r>
        <w:rPr>
          <w:rFonts w:hint="eastAsia" w:ascii="宋体" w:hAnsi="宋体" w:eastAsia="宋体" w:cs="宋体"/>
          <w:color w:val="auto"/>
          <w:u w:val="single"/>
        </w:rPr>
        <w:t>0</w:t>
      </w:r>
      <w:r>
        <w:rPr>
          <w:rFonts w:hint="eastAsia" w:ascii="宋体" w:hAnsi="宋体" w:eastAsia="宋体" w:cs="宋体"/>
          <w:color w:val="auto"/>
          <w:u w:val="single"/>
          <w:lang w:val="en-US" w:eastAsia="zh-CN"/>
        </w:rPr>
        <w:t>7</w:t>
      </w:r>
      <w:r>
        <w:rPr>
          <w:rFonts w:ascii="宋体" w:hAnsi="宋体" w:eastAsia="宋体" w:cs="宋体"/>
          <w:color w:val="auto"/>
          <w:u w:val="single"/>
        </w:rPr>
        <w:t>-</w:t>
      </w:r>
      <w:r>
        <w:rPr>
          <w:rFonts w:hint="eastAsia" w:ascii="宋体" w:hAnsi="宋体" w:eastAsia="宋体" w:cs="宋体"/>
          <w:color w:val="auto"/>
          <w:u w:val="single"/>
          <w:lang w:val="en-US" w:eastAsia="zh-CN"/>
        </w:rPr>
        <w:t>15</w:t>
      </w:r>
      <w:r>
        <w:rPr>
          <w:rFonts w:ascii="宋体" w:hAnsi="宋体" w:eastAsia="宋体" w:cs="宋体"/>
          <w:color w:val="auto"/>
          <w:u w:val="single"/>
        </w:rPr>
        <w:t xml:space="preserve"> </w:t>
      </w:r>
      <w:r>
        <w:rPr>
          <w:rFonts w:hint="eastAsia" w:ascii="宋体" w:hAnsi="宋体" w:eastAsia="宋体" w:cs="宋体"/>
          <w:color w:val="auto"/>
          <w:u w:val="single"/>
        </w:rPr>
        <w:t>09</w:t>
      </w:r>
      <w:r>
        <w:rPr>
          <w:rFonts w:ascii="宋体" w:hAnsi="宋体" w:eastAsia="宋体" w:cs="宋体"/>
          <w:color w:val="auto"/>
          <w:u w:val="single"/>
        </w:rPr>
        <w:t>:</w:t>
      </w:r>
      <w:r>
        <w:rPr>
          <w:rFonts w:hint="eastAsia" w:ascii="宋体" w:hAnsi="宋体" w:eastAsia="宋体" w:cs="宋体"/>
          <w:color w:val="auto"/>
          <w:u w:val="single"/>
        </w:rPr>
        <w:t>30</w:t>
      </w:r>
      <w:r>
        <w:rPr>
          <w:rFonts w:hint="eastAsia" w:ascii="宋体" w:hAnsi="宋体" w:eastAsia="宋体" w:cs="宋体"/>
          <w:color w:val="auto"/>
        </w:rPr>
        <w:t>（北京时间）前递交投标文件。</w:t>
      </w:r>
    </w:p>
    <w:p w14:paraId="34A46054">
      <w:pPr>
        <w:keepNext/>
        <w:keepLines/>
        <w:spacing w:line="360" w:lineRule="auto"/>
        <w:outlineLvl w:val="1"/>
        <w:rPr>
          <w:rFonts w:ascii="宋体" w:hAnsi="宋体" w:eastAsia="宋体" w:cs="Times New Roman"/>
          <w:b/>
          <w:bCs/>
          <w:color w:val="auto"/>
          <w:kern w:val="0"/>
        </w:rPr>
      </w:pPr>
      <w:bookmarkStart w:id="2" w:name="_Toc164432880"/>
      <w:bookmarkStart w:id="3" w:name="_Toc120282391"/>
      <w:bookmarkStart w:id="4" w:name="_Toc3786"/>
      <w:bookmarkStart w:id="5" w:name="_Toc107396163"/>
      <w:bookmarkStart w:id="6" w:name="_Toc77658035"/>
      <w:bookmarkStart w:id="7" w:name="_Toc77504025"/>
      <w:bookmarkStart w:id="8" w:name="_Toc77116636"/>
      <w:r>
        <w:rPr>
          <w:rFonts w:hint="eastAsia" w:ascii="宋体" w:hAnsi="宋体" w:eastAsia="宋体" w:cs="宋体"/>
          <w:b/>
          <w:bCs/>
          <w:color w:val="auto"/>
          <w:kern w:val="0"/>
        </w:rPr>
        <w:t>一、项目基本情况</w:t>
      </w:r>
      <w:bookmarkEnd w:id="2"/>
      <w:bookmarkEnd w:id="3"/>
      <w:bookmarkEnd w:id="4"/>
      <w:bookmarkEnd w:id="5"/>
      <w:bookmarkEnd w:id="6"/>
      <w:bookmarkEnd w:id="7"/>
      <w:bookmarkEnd w:id="8"/>
    </w:p>
    <w:p w14:paraId="28191304">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项目编号：</w:t>
      </w:r>
      <w:r>
        <w:rPr>
          <w:rFonts w:hint="eastAsia" w:ascii="宋体" w:hAnsi="宋体" w:eastAsia="宋体" w:cs="宋体"/>
          <w:color w:val="auto"/>
          <w:lang w:eastAsia="zh-CN"/>
        </w:rPr>
        <w:t>ZTZC2024-G1-00346-YNYN-0004</w:t>
      </w:r>
      <w:r>
        <w:rPr>
          <w:rFonts w:hint="eastAsia" w:ascii="宋体" w:hAnsi="宋体" w:eastAsia="宋体" w:cs="宋体"/>
          <w:color w:val="auto"/>
        </w:rPr>
        <w:t xml:space="preserve"> 号</w:t>
      </w:r>
    </w:p>
    <w:p w14:paraId="6777DC62">
      <w:pPr>
        <w:adjustRightInd w:val="0"/>
        <w:spacing w:line="360" w:lineRule="auto"/>
        <w:ind w:firstLine="420" w:firstLineChars="200"/>
        <w:rPr>
          <w:rFonts w:hint="eastAsia" w:ascii="宋体" w:hAnsi="宋体" w:eastAsia="宋体" w:cs="Times New Roman"/>
          <w:color w:val="auto"/>
          <w:lang w:eastAsia="zh-CN"/>
        </w:rPr>
      </w:pPr>
      <w:r>
        <w:rPr>
          <w:rFonts w:hint="eastAsia" w:ascii="宋体" w:hAnsi="宋体" w:eastAsia="宋体" w:cs="宋体"/>
          <w:color w:val="auto"/>
        </w:rPr>
        <w:t>项目名称：</w:t>
      </w:r>
      <w:r>
        <w:rPr>
          <w:rFonts w:hint="eastAsia" w:ascii="宋体" w:hAnsi="宋体" w:eastAsia="宋体" w:cs="宋体"/>
          <w:color w:val="auto"/>
          <w:lang w:eastAsia="zh-CN"/>
        </w:rPr>
        <w:t>云南省昭通市基层防灾能力提升项目（21-30标段）24标段二次</w:t>
      </w:r>
    </w:p>
    <w:p w14:paraId="19339CC3">
      <w:pPr>
        <w:adjustRightInd w:val="0"/>
        <w:spacing w:line="360" w:lineRule="auto"/>
        <w:ind w:firstLine="420" w:firstLineChars="200"/>
        <w:rPr>
          <w:rFonts w:hint="default" w:ascii="宋体" w:hAnsi="宋体" w:eastAsia="宋体" w:cs="宋体"/>
          <w:color w:val="auto"/>
          <w:lang w:val="en-US" w:eastAsia="zh-CN"/>
        </w:rPr>
      </w:pPr>
      <w:r>
        <w:rPr>
          <w:rFonts w:hint="eastAsia" w:ascii="宋体" w:hAnsi="宋体" w:eastAsia="宋体" w:cs="宋体"/>
          <w:color w:val="auto"/>
        </w:rPr>
        <w:t>预算金额（万元）：395</w:t>
      </w:r>
      <w:r>
        <w:rPr>
          <w:rFonts w:hint="eastAsia" w:ascii="宋体" w:hAnsi="宋体" w:eastAsia="宋体" w:cs="宋体"/>
          <w:color w:val="auto"/>
          <w:lang w:val="en-US" w:eastAsia="zh-CN"/>
        </w:rPr>
        <w:t>.00</w:t>
      </w:r>
    </w:p>
    <w:p w14:paraId="66912B2D">
      <w:pPr>
        <w:adjustRightInd w:val="0"/>
        <w:spacing w:line="360" w:lineRule="auto"/>
        <w:ind w:firstLine="420" w:firstLineChars="200"/>
        <w:rPr>
          <w:rFonts w:hint="default" w:ascii="宋体" w:hAnsi="宋体" w:eastAsia="宋体" w:cs="宋体"/>
          <w:color w:val="auto"/>
          <w:lang w:val="en-US"/>
        </w:rPr>
      </w:pPr>
      <w:r>
        <w:rPr>
          <w:rFonts w:hint="eastAsia" w:ascii="宋体" w:hAnsi="宋体" w:eastAsia="宋体" w:cs="宋体"/>
          <w:color w:val="auto"/>
        </w:rPr>
        <w:t>最高限价（万元）：395</w:t>
      </w:r>
      <w:r>
        <w:rPr>
          <w:rFonts w:hint="eastAsia" w:ascii="宋体" w:hAnsi="宋体" w:eastAsia="宋体" w:cs="宋体"/>
          <w:color w:val="auto"/>
          <w:lang w:val="en-US" w:eastAsia="zh-CN"/>
        </w:rPr>
        <w:t>.00</w:t>
      </w:r>
    </w:p>
    <w:p w14:paraId="4A90CAC4">
      <w:pPr>
        <w:keepNext w:val="0"/>
        <w:keepLines w:val="0"/>
        <w:widowControl/>
        <w:suppressLineNumbers w:val="0"/>
        <w:spacing w:line="360" w:lineRule="auto"/>
        <w:jc w:val="left"/>
        <w:rPr>
          <w:rFonts w:ascii="宋体" w:hAnsi="宋体" w:eastAsia="宋体" w:cs="宋体"/>
          <w:color w:val="auto"/>
        </w:rPr>
      </w:pPr>
      <w:r>
        <w:rPr>
          <w:rFonts w:hint="eastAsia" w:ascii="宋体" w:hAnsi="宋体" w:eastAsia="宋体" w:cs="宋体"/>
          <w:color w:val="auto"/>
        </w:rPr>
        <w:t>采购需求：本次采购为云南省昭通市基层防灾能力提升项目</w:t>
      </w:r>
      <w:r>
        <w:rPr>
          <w:rFonts w:hint="eastAsia" w:ascii="宋体" w:hAnsi="宋体" w:eastAsia="宋体" w:cs="宋体"/>
          <w:color w:val="auto"/>
          <w:lang w:val="en-US" w:eastAsia="zh-CN"/>
        </w:rPr>
        <w:t>24</w:t>
      </w:r>
      <w:r>
        <w:rPr>
          <w:rFonts w:hint="eastAsia" w:ascii="宋体" w:hAnsi="宋体" w:eastAsia="宋体" w:cs="宋体"/>
          <w:color w:val="auto"/>
        </w:rPr>
        <w:t>标段</w:t>
      </w:r>
      <w:r>
        <w:rPr>
          <w:rFonts w:hint="eastAsia" w:ascii="宋体" w:hAnsi="宋体" w:eastAsia="宋体" w:cs="宋体"/>
          <w:color w:val="auto"/>
          <w:lang w:eastAsia="zh-CN"/>
        </w:rPr>
        <w:t>：中小型水罐消防车10台；森林火灾扑救特类车辆（高压喷雾车）1台</w:t>
      </w:r>
      <w:r>
        <w:rPr>
          <w:rFonts w:hint="eastAsia" w:ascii="宋体" w:hAnsi="宋体" w:eastAsia="宋体" w:cs="宋体"/>
          <w:color w:val="auto"/>
        </w:rPr>
        <w:t>；具体参数及要求详见招标文件第五章“采购需求”。</w:t>
      </w:r>
    </w:p>
    <w:p w14:paraId="30A653B9">
      <w:pPr>
        <w:wordWrap w:val="0"/>
        <w:topLinePunct/>
        <w:adjustRightInd w:val="0"/>
        <w:snapToGrid w:val="0"/>
        <w:spacing w:line="360" w:lineRule="auto"/>
        <w:ind w:firstLine="420" w:firstLineChars="200"/>
        <w:rPr>
          <w:rFonts w:ascii="宋体" w:hAnsi="宋体" w:eastAsia="宋体" w:cs="宋体"/>
          <w:color w:val="auto"/>
        </w:rPr>
      </w:pPr>
      <w:r>
        <w:rPr>
          <w:rFonts w:hint="eastAsia" w:ascii="宋体" w:hAnsi="宋体" w:eastAsia="宋体" w:cs="宋体"/>
          <w:color w:val="auto"/>
        </w:rPr>
        <w:t>质量标准：全新、符合国家质量标准、国内有关部门手续完备、具有生产厂家质量保证书（或合格证明）的货物，且一次性验收合格交付使用。</w:t>
      </w:r>
      <w:r>
        <w:rPr>
          <w:rFonts w:ascii="宋体" w:hAnsi="宋体" w:eastAsia="宋体" w:cs="宋体"/>
          <w:color w:val="auto"/>
        </w:rPr>
        <w:t xml:space="preserve"> </w:t>
      </w:r>
    </w:p>
    <w:p w14:paraId="206AD7C1">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交货地点：</w:t>
      </w:r>
      <w:r>
        <w:rPr>
          <w:rFonts w:hint="eastAsia" w:ascii="宋体" w:hAnsi="宋体" w:eastAsia="宋体" w:cs="Times New Roman"/>
          <w:color w:val="auto"/>
        </w:rPr>
        <w:t>采购人指定地点。</w:t>
      </w:r>
    </w:p>
    <w:p w14:paraId="58100411">
      <w:pPr>
        <w:adjustRightInd w:val="0"/>
        <w:spacing w:line="360" w:lineRule="auto"/>
        <w:ind w:firstLine="420" w:firstLineChars="200"/>
        <w:rPr>
          <w:rFonts w:ascii="宋体" w:hAnsi="宋体" w:eastAsia="宋体" w:cs="Times New Roman"/>
          <w:color w:val="auto"/>
          <w:kern w:val="0"/>
        </w:rPr>
      </w:pPr>
      <w:r>
        <w:rPr>
          <w:rFonts w:hint="eastAsia" w:ascii="宋体" w:hAnsi="宋体" w:eastAsia="宋体" w:cs="宋体"/>
          <w:color w:val="auto"/>
          <w:kern w:val="0"/>
        </w:rPr>
        <w:t>合同履行期限：自合同签订之日起</w:t>
      </w:r>
      <w:r>
        <w:rPr>
          <w:rFonts w:hint="eastAsia" w:ascii="宋体" w:hAnsi="宋体" w:eastAsia="宋体" w:cs="宋体"/>
          <w:color w:val="auto"/>
          <w:kern w:val="0"/>
          <w:lang w:val="en-US" w:eastAsia="zh-CN"/>
        </w:rPr>
        <w:t>60</w:t>
      </w:r>
      <w:r>
        <w:rPr>
          <w:rFonts w:hint="eastAsia" w:ascii="宋体" w:hAnsi="宋体" w:eastAsia="宋体" w:cs="宋体"/>
          <w:color w:val="auto"/>
          <w:kern w:val="0"/>
          <w:lang w:eastAsia="zh-CN"/>
        </w:rPr>
        <w:t>日历天</w:t>
      </w:r>
      <w:r>
        <w:rPr>
          <w:rFonts w:ascii="宋体" w:hAnsi="宋体" w:eastAsia="宋体" w:cs="宋体"/>
          <w:color w:val="auto"/>
          <w:kern w:val="0"/>
        </w:rPr>
        <w:t>天内完成安装、调试、验收合格并投入使用。</w:t>
      </w:r>
    </w:p>
    <w:p w14:paraId="02411C25">
      <w:pPr>
        <w:adjustRightInd w:val="0"/>
        <w:spacing w:line="360" w:lineRule="auto"/>
        <w:ind w:firstLine="420" w:firstLineChars="200"/>
        <w:rPr>
          <w:rFonts w:ascii="宋体" w:hAnsi="宋体" w:eastAsia="宋体" w:cs="Times New Roman"/>
          <w:color w:val="auto"/>
          <w:kern w:val="0"/>
        </w:rPr>
      </w:pPr>
      <w:r>
        <w:rPr>
          <w:rFonts w:hint="eastAsia" w:ascii="宋体" w:hAnsi="宋体" w:eastAsia="宋体" w:cs="宋体"/>
          <w:color w:val="auto"/>
          <w:kern w:val="0"/>
        </w:rPr>
        <w:t>本项目（否）接受联合体投标。</w:t>
      </w:r>
    </w:p>
    <w:p w14:paraId="138775B7">
      <w:pPr>
        <w:keepNext/>
        <w:keepLines/>
        <w:spacing w:line="360" w:lineRule="auto"/>
        <w:outlineLvl w:val="1"/>
        <w:rPr>
          <w:rFonts w:ascii="宋体" w:hAnsi="宋体" w:eastAsia="宋体" w:cs="Times New Roman"/>
          <w:b/>
          <w:bCs/>
          <w:color w:val="auto"/>
          <w:kern w:val="0"/>
        </w:rPr>
      </w:pPr>
      <w:bookmarkStart w:id="9" w:name="_Toc77658036"/>
      <w:bookmarkStart w:id="10" w:name="_Toc24326"/>
      <w:bookmarkStart w:id="11" w:name="_Toc77504026"/>
      <w:bookmarkStart w:id="12" w:name="_Toc77116637"/>
      <w:bookmarkStart w:id="13" w:name="_Toc164432881"/>
      <w:bookmarkStart w:id="14" w:name="_Toc107396164"/>
      <w:bookmarkStart w:id="15" w:name="_Toc120282392"/>
      <w:r>
        <w:rPr>
          <w:rFonts w:hint="eastAsia" w:ascii="宋体" w:hAnsi="宋体" w:eastAsia="宋体" w:cs="宋体"/>
          <w:b/>
          <w:bCs/>
          <w:color w:val="auto"/>
          <w:kern w:val="0"/>
        </w:rPr>
        <w:t>二、申请人的资格要求：</w:t>
      </w:r>
      <w:bookmarkEnd w:id="9"/>
      <w:bookmarkEnd w:id="10"/>
      <w:bookmarkEnd w:id="11"/>
      <w:bookmarkEnd w:id="12"/>
      <w:bookmarkEnd w:id="13"/>
      <w:bookmarkEnd w:id="14"/>
      <w:bookmarkEnd w:id="15"/>
    </w:p>
    <w:p w14:paraId="73B7CEBE">
      <w:pPr>
        <w:adjustRightInd w:val="0"/>
        <w:spacing w:line="360" w:lineRule="auto"/>
        <w:ind w:firstLine="420" w:firstLineChars="200"/>
        <w:rPr>
          <w:rFonts w:ascii="宋体" w:hAnsi="宋体" w:eastAsia="宋体" w:cs="Times New Roman"/>
          <w:color w:val="auto"/>
        </w:rPr>
      </w:pPr>
      <w:r>
        <w:rPr>
          <w:rFonts w:ascii="宋体" w:hAnsi="宋体" w:eastAsia="宋体" w:cs="宋体"/>
          <w:color w:val="auto"/>
        </w:rPr>
        <w:t>1.</w:t>
      </w:r>
      <w:r>
        <w:rPr>
          <w:rFonts w:hint="eastAsia" w:ascii="宋体" w:hAnsi="宋体" w:eastAsia="宋体" w:cs="宋体"/>
          <w:color w:val="auto"/>
        </w:rPr>
        <w:t>满足《中华人民共和国政府采购法》第二十二条规定；</w:t>
      </w:r>
    </w:p>
    <w:p w14:paraId="6C573CF7">
      <w:pPr>
        <w:adjustRightInd w:val="0"/>
        <w:spacing w:line="360" w:lineRule="auto"/>
        <w:ind w:firstLine="420" w:firstLineChars="200"/>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落实政府采购政策需满足的资格要求：无，本项目非专门面向中小企业采购。</w:t>
      </w:r>
    </w:p>
    <w:p w14:paraId="2628327B">
      <w:pPr>
        <w:adjustRightInd w:val="0"/>
        <w:spacing w:line="360"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本项目的特定资格要求：</w:t>
      </w:r>
    </w:p>
    <w:p w14:paraId="46A240B9">
      <w:pPr>
        <w:adjustRightInd w:val="0"/>
        <w:spacing w:line="360" w:lineRule="auto"/>
        <w:ind w:firstLine="420" w:firstLineChars="200"/>
        <w:rPr>
          <w:rFonts w:ascii="宋体" w:hAnsi="宋体" w:eastAsia="宋体" w:cs="宋体"/>
          <w:color w:val="auto"/>
        </w:rPr>
      </w:pPr>
      <w:r>
        <w:rPr>
          <w:rFonts w:ascii="宋体" w:hAnsi="宋体" w:eastAsia="宋体" w:cs="宋体"/>
          <w:color w:val="auto"/>
        </w:rPr>
        <w:t>3.1</w:t>
      </w:r>
      <w:r>
        <w:rPr>
          <w:rFonts w:hint="eastAsia" w:ascii="宋体" w:hAnsi="宋体" w:eastAsia="宋体" w:cs="宋体"/>
          <w:color w:val="auto"/>
        </w:rPr>
        <w:t>投标人在递交投标文件截止时间前未被列入“信用中国”网站</w:t>
      </w:r>
      <w:r>
        <w:rPr>
          <w:rFonts w:ascii="宋体" w:hAnsi="宋体" w:eastAsia="宋体" w:cs="宋体"/>
          <w:color w:val="auto"/>
        </w:rPr>
        <w:t>(www.creditchina.gov.cn) 失信被执行人、重大税收违法案件当事人名单，中国政府采购网(www.ccgp.gov.cn)政府采购严重违法失信行为记录名单。</w:t>
      </w:r>
    </w:p>
    <w:p w14:paraId="61E173AE">
      <w:pPr>
        <w:adjustRightInd w:val="0"/>
        <w:spacing w:line="360"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2单位负责人为同一人或者存在控股、管理关系的不同单位，不得同时参加本采购项目投标。</w:t>
      </w:r>
    </w:p>
    <w:p w14:paraId="2864AADE">
      <w:pPr>
        <w:adjustRightInd w:val="0"/>
        <w:spacing w:line="360"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3投标人不得存在下列情形之一：</w:t>
      </w:r>
    </w:p>
    <w:p w14:paraId="32413350">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）被暂停、取消投标或禁止参加采购活动且处于有效期内的；</w:t>
      </w:r>
    </w:p>
    <w:p w14:paraId="423999FD">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）处于被责令停产停业、暂扣或者吊销执照、暂扣或者吊销许可证、吊销资质证书状态；</w:t>
      </w:r>
    </w:p>
    <w:p w14:paraId="288ED6C6">
      <w:pPr>
        <w:adjustRightInd w:val="0"/>
        <w:spacing w:line="360" w:lineRule="auto"/>
        <w:ind w:firstLine="420" w:firstLineChars="200"/>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）进入清算程序，或被宣告破产，或其他丧失履约能力的情形。</w:t>
      </w:r>
    </w:p>
    <w:p w14:paraId="4C8616A5">
      <w:pPr>
        <w:keepNext/>
        <w:keepLines/>
        <w:spacing w:line="360" w:lineRule="auto"/>
        <w:outlineLvl w:val="1"/>
        <w:rPr>
          <w:rFonts w:ascii="宋体" w:hAnsi="宋体" w:eastAsia="宋体" w:cs="Times New Roman"/>
          <w:b/>
          <w:bCs/>
          <w:color w:val="auto"/>
          <w:kern w:val="0"/>
        </w:rPr>
      </w:pPr>
      <w:bookmarkStart w:id="16" w:name="_Toc11787"/>
      <w:bookmarkStart w:id="17" w:name="_Toc120282393"/>
      <w:bookmarkStart w:id="18" w:name="_Toc77658037"/>
      <w:bookmarkStart w:id="19" w:name="_Toc77116638"/>
      <w:bookmarkStart w:id="20" w:name="_Toc77504027"/>
      <w:bookmarkStart w:id="21" w:name="_Toc107396165"/>
      <w:bookmarkStart w:id="22" w:name="_Toc164432882"/>
      <w:r>
        <w:rPr>
          <w:rFonts w:hint="eastAsia" w:ascii="宋体" w:hAnsi="宋体" w:eastAsia="宋体" w:cs="宋体"/>
          <w:b/>
          <w:bCs/>
          <w:color w:val="auto"/>
          <w:kern w:val="0"/>
        </w:rPr>
        <w:t>三、获取招标文件</w:t>
      </w:r>
      <w:bookmarkEnd w:id="16"/>
      <w:bookmarkEnd w:id="17"/>
      <w:bookmarkEnd w:id="18"/>
      <w:bookmarkEnd w:id="19"/>
      <w:bookmarkEnd w:id="20"/>
      <w:bookmarkEnd w:id="21"/>
      <w:bookmarkEnd w:id="22"/>
    </w:p>
    <w:p w14:paraId="19AEC5FD">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时间：</w:t>
      </w:r>
      <w:r>
        <w:rPr>
          <w:rFonts w:ascii="宋体" w:hAnsi="宋体" w:eastAsia="宋体" w:cs="宋体"/>
          <w:color w:val="auto"/>
        </w:rPr>
        <w:t>2024-0</w:t>
      </w:r>
      <w:r>
        <w:rPr>
          <w:rFonts w:hint="eastAsia" w:ascii="宋体" w:hAnsi="宋体" w:eastAsia="宋体" w:cs="宋体"/>
          <w:color w:val="auto"/>
          <w:lang w:val="en-US" w:eastAsia="zh-CN"/>
        </w:rPr>
        <w:t>6</w:t>
      </w:r>
      <w:r>
        <w:rPr>
          <w:rFonts w:ascii="宋体" w:hAnsi="宋体" w:eastAsia="宋体" w:cs="宋体"/>
          <w:color w:val="auto"/>
        </w:rPr>
        <w:t>-</w:t>
      </w:r>
      <w:r>
        <w:rPr>
          <w:rFonts w:hint="eastAsia" w:ascii="宋体" w:hAnsi="宋体" w:eastAsia="宋体" w:cs="宋体"/>
          <w:color w:val="auto"/>
          <w:lang w:val="en-US" w:eastAsia="zh-CN"/>
        </w:rPr>
        <w:t>23</w:t>
      </w:r>
      <w:r>
        <w:rPr>
          <w:rFonts w:ascii="宋体" w:hAnsi="宋体" w:eastAsia="宋体" w:cs="宋体"/>
          <w:color w:val="auto"/>
        </w:rPr>
        <w:t xml:space="preserve"> 23:59至2024-</w:t>
      </w:r>
      <w:r>
        <w:rPr>
          <w:rFonts w:hint="eastAsia" w:ascii="宋体" w:hAnsi="宋体" w:eastAsia="宋体" w:cs="宋体"/>
          <w:color w:val="auto"/>
        </w:rPr>
        <w:t>0</w:t>
      </w:r>
      <w:r>
        <w:rPr>
          <w:rFonts w:hint="eastAsia" w:ascii="宋体" w:hAnsi="宋体" w:eastAsia="宋体" w:cs="宋体"/>
          <w:color w:val="auto"/>
          <w:lang w:val="en-US" w:eastAsia="zh-CN"/>
        </w:rPr>
        <w:t>7</w:t>
      </w:r>
      <w:r>
        <w:rPr>
          <w:rFonts w:ascii="宋体" w:hAnsi="宋体" w:eastAsia="宋体" w:cs="宋体"/>
          <w:color w:val="auto"/>
        </w:rPr>
        <w:t>-</w:t>
      </w:r>
      <w:r>
        <w:rPr>
          <w:rFonts w:hint="eastAsia" w:ascii="宋体" w:hAnsi="宋体" w:eastAsia="宋体" w:cs="宋体"/>
          <w:color w:val="auto"/>
          <w:lang w:val="en-US" w:eastAsia="zh-CN"/>
        </w:rPr>
        <w:t>01</w:t>
      </w:r>
      <w:r>
        <w:rPr>
          <w:rFonts w:ascii="宋体" w:hAnsi="宋体" w:eastAsia="宋体" w:cs="宋体"/>
          <w:color w:val="auto"/>
        </w:rPr>
        <w:t xml:space="preserve"> 23:59，每天上午00:00至11:59，下午12:00至23:59（北京时间，法定节假日除外）</w:t>
      </w:r>
    </w:p>
    <w:p w14:paraId="1DB7962A">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地点：政府采购云平台（网址：</w:t>
      </w:r>
      <w:r>
        <w:rPr>
          <w:rFonts w:ascii="宋体" w:hAnsi="宋体" w:eastAsia="宋体" w:cs="宋体"/>
          <w:color w:val="auto"/>
        </w:rPr>
        <w:t>https://www.zcygov.cn/）</w:t>
      </w:r>
    </w:p>
    <w:p w14:paraId="676738B0">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方式：凡有意参加投标者，请登录政府采购云平台（网址：</w:t>
      </w:r>
      <w:r>
        <w:rPr>
          <w:rFonts w:ascii="宋体" w:hAnsi="宋体" w:eastAsia="宋体" w:cs="宋体"/>
          <w:color w:val="auto"/>
        </w:rPr>
        <w:t>https://www.zcygov.cn/）在线申请获取采购文件（进入“项目采购”应用，在获取采购文件菜单中选择对应项目，申</w:t>
      </w:r>
      <w:bookmarkStart w:id="710" w:name="_GoBack"/>
      <w:bookmarkEnd w:id="710"/>
      <w:r>
        <w:rPr>
          <w:rFonts w:ascii="宋体" w:hAnsi="宋体" w:eastAsia="宋体" w:cs="宋体"/>
          <w:color w:val="auto"/>
        </w:rPr>
        <w:t>请获取采购文件）。投标人在获取采购文件前应进行注册及企业数字证书（CA）的办理；若投标人之前已经注册并办理过企业数字证书（CA）的，可以直接绑定，无需重复办理。投标人在注册办理过程中若有疑问，可以拨打客服热线4006727666咨询。</w:t>
      </w:r>
    </w:p>
    <w:p w14:paraId="185AACB3">
      <w:pPr>
        <w:adjustRightInd w:val="0"/>
        <w:spacing w:line="360" w:lineRule="auto"/>
        <w:ind w:firstLine="420" w:firstLineChars="200"/>
        <w:rPr>
          <w:rFonts w:ascii="宋体" w:hAnsi="宋体" w:eastAsia="宋体" w:cs="宋体"/>
          <w:color w:val="auto"/>
        </w:rPr>
      </w:pPr>
      <w:r>
        <w:rPr>
          <w:rFonts w:hint="eastAsia" w:ascii="宋体" w:hAnsi="宋体" w:eastAsia="宋体" w:cs="宋体"/>
          <w:color w:val="auto"/>
        </w:rPr>
        <w:t>售价（元）：</w:t>
      </w:r>
      <w:r>
        <w:rPr>
          <w:rFonts w:ascii="宋体" w:hAnsi="宋体" w:eastAsia="宋体" w:cs="宋体"/>
          <w:color w:val="auto"/>
        </w:rPr>
        <w:t>0</w:t>
      </w:r>
    </w:p>
    <w:p w14:paraId="16F907F4">
      <w:pPr>
        <w:keepNext/>
        <w:keepLines/>
        <w:spacing w:line="360" w:lineRule="auto"/>
        <w:outlineLvl w:val="1"/>
        <w:rPr>
          <w:rFonts w:ascii="宋体" w:hAnsi="宋体" w:eastAsia="宋体" w:cs="Times New Roman"/>
          <w:b/>
          <w:bCs/>
          <w:color w:val="auto"/>
          <w:kern w:val="0"/>
        </w:rPr>
      </w:pPr>
      <w:bookmarkStart w:id="23" w:name="_Toc164432883"/>
      <w:bookmarkStart w:id="24" w:name="_Toc77658038"/>
      <w:bookmarkStart w:id="25" w:name="_Toc107396166"/>
      <w:bookmarkStart w:id="26" w:name="_Toc77116639"/>
      <w:bookmarkStart w:id="27" w:name="_Toc13054"/>
      <w:bookmarkStart w:id="28" w:name="_Toc120282394"/>
      <w:bookmarkStart w:id="29" w:name="_Toc77504028"/>
      <w:r>
        <w:rPr>
          <w:rFonts w:hint="eastAsia" w:ascii="宋体" w:hAnsi="宋体" w:eastAsia="宋体" w:cs="宋体"/>
          <w:b/>
          <w:bCs/>
          <w:color w:val="auto"/>
          <w:kern w:val="0"/>
        </w:rPr>
        <w:t>四、提交投标文件截止时间、开标时间和地点</w:t>
      </w:r>
      <w:bookmarkEnd w:id="23"/>
      <w:bookmarkEnd w:id="24"/>
      <w:bookmarkEnd w:id="25"/>
      <w:bookmarkEnd w:id="26"/>
      <w:bookmarkEnd w:id="27"/>
      <w:bookmarkEnd w:id="28"/>
      <w:bookmarkEnd w:id="29"/>
    </w:p>
    <w:p w14:paraId="56BB2E39">
      <w:pPr>
        <w:adjustRightInd w:val="0"/>
        <w:spacing w:line="360" w:lineRule="auto"/>
        <w:ind w:firstLine="420" w:firstLineChars="200"/>
        <w:rPr>
          <w:rFonts w:ascii="宋体" w:hAnsi="宋体" w:eastAsia="宋体" w:cs="Times New Roman"/>
          <w:color w:val="auto"/>
        </w:rPr>
      </w:pPr>
      <w:bookmarkStart w:id="30" w:name="_Toc107396167"/>
      <w:bookmarkStart w:id="31" w:name="_Toc77116640"/>
      <w:bookmarkStart w:id="32" w:name="_Toc77658039"/>
      <w:bookmarkStart w:id="33" w:name="_Toc120282395"/>
      <w:bookmarkStart w:id="34" w:name="_Toc23350"/>
      <w:bookmarkStart w:id="35" w:name="_Toc77504029"/>
      <w:r>
        <w:rPr>
          <w:rFonts w:hint="eastAsia" w:ascii="宋体" w:hAnsi="宋体" w:eastAsia="宋体" w:cs="宋体"/>
          <w:color w:val="auto"/>
        </w:rPr>
        <w:t>2024-07-15 09:30（北京时间）</w:t>
      </w:r>
    </w:p>
    <w:p w14:paraId="4CFB712B">
      <w:pPr>
        <w:adjustRightInd w:val="0"/>
        <w:spacing w:line="360" w:lineRule="auto"/>
        <w:ind w:firstLine="420" w:firstLineChars="200"/>
        <w:rPr>
          <w:rFonts w:ascii="宋体" w:hAnsi="宋体" w:eastAsia="宋体" w:cs="宋体"/>
          <w:color w:val="auto"/>
        </w:rPr>
      </w:pPr>
      <w:bookmarkStart w:id="36" w:name="_Toc31379"/>
      <w:r>
        <w:rPr>
          <w:rFonts w:hint="eastAsia" w:ascii="宋体" w:hAnsi="宋体" w:eastAsia="宋体" w:cs="宋体"/>
          <w:color w:val="auto"/>
        </w:rPr>
        <w:t>地点：</w:t>
      </w:r>
      <w:bookmarkEnd w:id="36"/>
      <w:r>
        <w:rPr>
          <w:rFonts w:hint="eastAsia" w:ascii="宋体" w:hAnsi="宋体" w:eastAsia="宋体" w:cs="宋体"/>
          <w:color w:val="auto"/>
        </w:rPr>
        <w:t>“政采云”平台开标大厅</w:t>
      </w:r>
    </w:p>
    <w:p w14:paraId="2F4D8D18">
      <w:pPr>
        <w:adjustRightInd w:val="0"/>
        <w:spacing w:line="360" w:lineRule="auto"/>
        <w:ind w:firstLine="420" w:firstLineChars="200"/>
        <w:rPr>
          <w:rFonts w:ascii="宋体" w:hAnsi="宋体" w:eastAsia="宋体" w:cs="宋体"/>
          <w:color w:val="auto"/>
        </w:rPr>
      </w:pPr>
      <w:r>
        <w:rPr>
          <w:rFonts w:hint="eastAsia" w:ascii="宋体" w:hAnsi="宋体" w:eastAsia="宋体" w:cs="宋体"/>
          <w:color w:val="auto"/>
        </w:rPr>
        <w:t>注：供应商应按照本项目采购文件和</w:t>
      </w:r>
      <w:r>
        <w:rPr>
          <w:rFonts w:ascii="宋体" w:hAnsi="宋体" w:eastAsia="宋体" w:cs="宋体"/>
          <w:color w:val="auto"/>
        </w:rPr>
        <w:t>"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及联系方式。</w:t>
      </w:r>
    </w:p>
    <w:p w14:paraId="3CA8414C">
      <w:pPr>
        <w:keepNext/>
        <w:keepLines/>
        <w:spacing w:line="360" w:lineRule="auto"/>
        <w:outlineLvl w:val="1"/>
        <w:rPr>
          <w:rFonts w:ascii="宋体" w:hAnsi="宋体" w:eastAsia="宋体" w:cs="Times New Roman"/>
          <w:b/>
          <w:bCs/>
          <w:color w:val="auto"/>
          <w:kern w:val="0"/>
        </w:rPr>
      </w:pPr>
      <w:bookmarkStart w:id="37" w:name="_Toc164432884"/>
      <w:r>
        <w:rPr>
          <w:rFonts w:hint="eastAsia" w:ascii="宋体" w:hAnsi="宋体" w:eastAsia="宋体" w:cs="宋体"/>
          <w:b/>
          <w:bCs/>
          <w:color w:val="auto"/>
          <w:kern w:val="0"/>
        </w:rPr>
        <w:t>五、公告期限</w:t>
      </w:r>
      <w:bookmarkEnd w:id="30"/>
      <w:bookmarkEnd w:id="31"/>
      <w:bookmarkEnd w:id="32"/>
      <w:bookmarkEnd w:id="33"/>
      <w:bookmarkEnd w:id="34"/>
      <w:bookmarkEnd w:id="35"/>
      <w:bookmarkEnd w:id="37"/>
    </w:p>
    <w:p w14:paraId="7DA50188">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自本公告发布之日起</w:t>
      </w:r>
      <w:r>
        <w:rPr>
          <w:rFonts w:ascii="宋体" w:hAnsi="宋体" w:eastAsia="宋体" w:cs="宋体"/>
          <w:color w:val="auto"/>
        </w:rPr>
        <w:t>5</w:t>
      </w:r>
      <w:r>
        <w:rPr>
          <w:rFonts w:hint="eastAsia" w:ascii="宋体" w:hAnsi="宋体" w:eastAsia="宋体" w:cs="宋体"/>
          <w:color w:val="auto"/>
        </w:rPr>
        <w:t>个工作日。</w:t>
      </w:r>
    </w:p>
    <w:p w14:paraId="307667E0">
      <w:pPr>
        <w:keepNext/>
        <w:keepLines/>
        <w:spacing w:line="360" w:lineRule="auto"/>
        <w:outlineLvl w:val="1"/>
        <w:rPr>
          <w:rFonts w:ascii="宋体" w:hAnsi="宋体" w:eastAsia="宋体" w:cs="Times New Roman"/>
          <w:b/>
          <w:bCs/>
          <w:color w:val="auto"/>
          <w:kern w:val="0"/>
        </w:rPr>
      </w:pPr>
      <w:bookmarkStart w:id="38" w:name="_Toc107396168"/>
      <w:bookmarkStart w:id="39" w:name="_Toc77658040"/>
      <w:bookmarkStart w:id="40" w:name="_Toc8981"/>
      <w:bookmarkStart w:id="41" w:name="_Toc120282396"/>
      <w:bookmarkStart w:id="42" w:name="_Toc164432885"/>
      <w:bookmarkStart w:id="43" w:name="_Toc77504030"/>
      <w:bookmarkStart w:id="44" w:name="_Toc77116641"/>
      <w:r>
        <w:rPr>
          <w:rFonts w:hint="eastAsia" w:ascii="宋体" w:hAnsi="宋体" w:eastAsia="宋体" w:cs="宋体"/>
          <w:b/>
          <w:bCs/>
          <w:color w:val="auto"/>
          <w:kern w:val="0"/>
        </w:rPr>
        <w:t>六、其他补充事宜</w:t>
      </w:r>
      <w:bookmarkEnd w:id="38"/>
      <w:bookmarkEnd w:id="39"/>
      <w:bookmarkEnd w:id="40"/>
      <w:bookmarkEnd w:id="41"/>
      <w:bookmarkEnd w:id="42"/>
      <w:bookmarkEnd w:id="43"/>
      <w:bookmarkEnd w:id="44"/>
    </w:p>
    <w:p w14:paraId="6489B0C4">
      <w:pPr>
        <w:adjustRightInd w:val="0"/>
        <w:spacing w:line="360" w:lineRule="auto"/>
        <w:ind w:firstLine="420" w:firstLineChars="200"/>
        <w:rPr>
          <w:rFonts w:ascii="宋体" w:hAnsi="宋体" w:eastAsia="宋体" w:cs="Times New Roman"/>
          <w:color w:val="auto"/>
        </w:rPr>
      </w:pPr>
      <w:r>
        <w:rPr>
          <w:rFonts w:hint="eastAsia" w:ascii="宋体" w:hAnsi="宋体" w:eastAsia="宋体" w:cs="宋体"/>
          <w:color w:val="auto"/>
        </w:rPr>
        <w:t>开标方式：网上开标</w:t>
      </w:r>
    </w:p>
    <w:p w14:paraId="43F842AE">
      <w:pPr>
        <w:adjustRightInd w:val="0"/>
        <w:spacing w:line="360" w:lineRule="auto"/>
        <w:ind w:firstLine="420" w:firstLineChars="200"/>
        <w:rPr>
          <w:rFonts w:hint="eastAsia" w:ascii="宋体" w:hAnsi="宋体" w:eastAsia="宋体" w:cs="宋体"/>
          <w:color w:val="auto"/>
          <w:lang w:eastAsia="zh-CN"/>
        </w:rPr>
      </w:pPr>
      <w:r>
        <w:rPr>
          <w:rFonts w:hint="eastAsia" w:ascii="宋体" w:hAnsi="宋体" w:eastAsia="宋体" w:cs="宋体"/>
          <w:color w:val="auto"/>
        </w:rPr>
        <w:t>是否需要缴纳投标保证金：</w:t>
      </w:r>
      <w:r>
        <w:rPr>
          <w:rFonts w:hint="eastAsia" w:ascii="宋体" w:hAnsi="宋体" w:eastAsia="宋体" w:cs="宋体"/>
          <w:color w:val="auto"/>
          <w:lang w:val="en-US" w:eastAsia="zh-CN"/>
        </w:rPr>
        <w:t>否</w:t>
      </w:r>
    </w:p>
    <w:p w14:paraId="00CD07C1">
      <w:pPr>
        <w:adjustRightInd w:val="0"/>
        <w:snapToGrid w:val="0"/>
        <w:spacing w:line="360" w:lineRule="auto"/>
        <w:ind w:firstLine="420" w:firstLineChars="200"/>
        <w:rPr>
          <w:rFonts w:ascii="宋体" w:hAnsi="宋体" w:eastAsia="宋体" w:cs="宋体"/>
          <w:color w:val="auto"/>
        </w:rPr>
      </w:pPr>
      <w:r>
        <w:rPr>
          <w:rFonts w:hint="eastAsia" w:ascii="宋体" w:hAnsi="宋体" w:eastAsia="宋体" w:cs="宋体"/>
          <w:color w:val="auto"/>
        </w:rPr>
        <w:t>其他</w:t>
      </w:r>
    </w:p>
    <w:p w14:paraId="37F0340C">
      <w:pPr>
        <w:adjustRightInd w:val="0"/>
        <w:snapToGrid w:val="0"/>
        <w:spacing w:line="360" w:lineRule="auto"/>
        <w:ind w:firstLine="420" w:firstLineChars="200"/>
        <w:rPr>
          <w:rFonts w:ascii="宋体" w:hAnsi="宋体" w:eastAsia="宋体" w:cs="宋体"/>
          <w:color w:val="auto"/>
        </w:rPr>
      </w:pPr>
      <w:r>
        <w:rPr>
          <w:rFonts w:hint="eastAsia" w:ascii="宋体" w:hAnsi="宋体" w:eastAsia="宋体" w:cs="宋体"/>
          <w:color w:val="auto"/>
        </w:rPr>
        <w:t>本项目为不见面招标，供应商无需到达现场；</w:t>
      </w:r>
    </w:p>
    <w:p w14:paraId="43F87B09">
      <w:pPr>
        <w:adjustRightInd w:val="0"/>
        <w:snapToGrid w:val="0"/>
        <w:spacing w:line="360" w:lineRule="auto"/>
        <w:ind w:firstLine="420" w:firstLineChars="200"/>
        <w:rPr>
          <w:rFonts w:ascii="宋体" w:hAnsi="宋体" w:eastAsia="宋体" w:cs="宋体"/>
          <w:color w:val="auto"/>
        </w:rPr>
      </w:pPr>
      <w:r>
        <w:rPr>
          <w:rFonts w:hint="eastAsia" w:ascii="宋体" w:hAnsi="宋体" w:eastAsia="宋体" w:cs="宋体"/>
          <w:color w:val="auto"/>
        </w:rPr>
        <w:t>本项目实行网上投标，采用电子投标文件；</w:t>
      </w:r>
    </w:p>
    <w:p w14:paraId="3FB2AAFB">
      <w:pPr>
        <w:wordWrap w:val="0"/>
        <w:adjustRightInd w:val="0"/>
        <w:snapToGrid w:val="0"/>
        <w:spacing w:line="360" w:lineRule="auto"/>
        <w:ind w:firstLine="420" w:firstLineChars="200"/>
        <w:rPr>
          <w:rFonts w:ascii="宋体" w:hAnsi="宋体" w:eastAsia="宋体" w:cs="宋体"/>
          <w:color w:val="auto"/>
        </w:rPr>
      </w:pPr>
      <w:r>
        <w:rPr>
          <w:rFonts w:hint="eastAsia" w:ascii="宋体" w:hAnsi="宋体" w:eastAsia="宋体" w:cs="宋体"/>
          <w:color w:val="auto"/>
        </w:rPr>
        <w:t>各供应商应在采购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p>
    <w:p w14:paraId="1CFE0198">
      <w:pPr>
        <w:wordWrap w:val="0"/>
        <w:adjustRightInd w:val="0"/>
        <w:snapToGrid w:val="0"/>
        <w:spacing w:line="360" w:lineRule="auto"/>
        <w:ind w:firstLine="420" w:firstLineChars="200"/>
        <w:rPr>
          <w:rFonts w:ascii="宋体" w:hAnsi="宋体" w:eastAsia="宋体" w:cs="宋体"/>
          <w:color w:val="auto"/>
        </w:rPr>
      </w:pPr>
      <w:r>
        <w:rPr>
          <w:rFonts w:hint="eastAsia" w:ascii="宋体" w:hAnsi="宋体" w:eastAsia="宋体" w:cs="宋体"/>
          <w:color w:val="auto"/>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5141191C">
      <w:pPr>
        <w:adjustRightInd w:val="0"/>
        <w:spacing w:line="360" w:lineRule="auto"/>
        <w:ind w:firstLine="420" w:firstLineChars="200"/>
        <w:rPr>
          <w:rFonts w:ascii="宋体" w:hAnsi="宋体" w:eastAsia="宋体" w:cs="宋体"/>
          <w:color w:val="auto"/>
        </w:rPr>
      </w:pPr>
      <w:r>
        <w:rPr>
          <w:rFonts w:hint="eastAsia" w:ascii="宋体" w:hAnsi="宋体" w:eastAsia="宋体" w:cs="宋体"/>
          <w:color w:val="auto"/>
        </w:rPr>
        <w:t>本次公告在</w:t>
      </w:r>
      <w:r>
        <w:rPr>
          <w:rFonts w:ascii="宋体" w:hAnsi="宋体" w:eastAsia="宋体" w:cs="宋体"/>
          <w:color w:val="auto"/>
        </w:rPr>
        <w:t>云南省政府采购网（网址：http://www.yngp.com/）</w:t>
      </w:r>
      <w:r>
        <w:rPr>
          <w:rFonts w:hint="eastAsia" w:ascii="宋体" w:hAnsi="宋体" w:eastAsia="宋体" w:cs="宋体"/>
          <w:color w:val="auto"/>
        </w:rPr>
        <w:t>上发布，我公司对其他网站或媒体转载的公告及公告内容不承担任何责任</w:t>
      </w:r>
      <w:r>
        <w:rPr>
          <w:rFonts w:ascii="宋体" w:hAnsi="宋体" w:eastAsia="宋体" w:cs="宋体"/>
          <w:color w:val="auto"/>
        </w:rPr>
        <w:t>。</w:t>
      </w:r>
    </w:p>
    <w:p w14:paraId="1867426A">
      <w:pPr>
        <w:pStyle w:val="3"/>
        <w:spacing w:before="0" w:after="0" w:line="360" w:lineRule="auto"/>
        <w:rPr>
          <w:rFonts w:ascii="宋体" w:hAnsi="宋体" w:eastAsia="宋体" w:cs="Times New Roman"/>
          <w:b w:val="0"/>
          <w:bCs w:val="0"/>
          <w:color w:val="auto"/>
          <w:sz w:val="21"/>
          <w:szCs w:val="21"/>
        </w:rPr>
      </w:pPr>
      <w:bookmarkStart w:id="45" w:name="_Toc7764"/>
      <w:bookmarkStart w:id="46" w:name="_Toc120282397"/>
      <w:bookmarkStart w:id="47" w:name="_Toc77658041"/>
      <w:bookmarkStart w:id="48" w:name="_Toc77116642"/>
      <w:bookmarkStart w:id="49" w:name="_Toc107396169"/>
      <w:bookmarkStart w:id="50" w:name="_Toc77504031"/>
      <w:bookmarkStart w:id="51" w:name="_Toc164432886"/>
      <w:r>
        <w:rPr>
          <w:rFonts w:hint="eastAsia" w:ascii="宋体" w:hAnsi="宋体" w:eastAsia="宋体" w:cs="宋体"/>
          <w:color w:val="auto"/>
          <w:sz w:val="21"/>
          <w:szCs w:val="21"/>
        </w:rPr>
        <w:t>七、</w:t>
      </w:r>
      <w:r>
        <w:rPr>
          <w:rFonts w:hint="eastAsia" w:ascii="宋体" w:hAnsi="宋体" w:eastAsia="宋体" w:cs="宋体"/>
          <w:b w:val="0"/>
          <w:bCs w:val="0"/>
          <w:color w:val="auto"/>
          <w:sz w:val="21"/>
          <w:szCs w:val="21"/>
        </w:rPr>
        <w:t>对本次招标提出询问，请按以下方式联系。</w:t>
      </w:r>
      <w:bookmarkEnd w:id="45"/>
      <w:bookmarkEnd w:id="46"/>
      <w:bookmarkEnd w:id="47"/>
      <w:bookmarkEnd w:id="48"/>
      <w:bookmarkEnd w:id="49"/>
      <w:bookmarkEnd w:id="50"/>
      <w:bookmarkEnd w:id="51"/>
    </w:p>
    <w:p w14:paraId="12236419">
      <w:pPr>
        <w:spacing w:line="360" w:lineRule="auto"/>
        <w:ind w:firstLine="420"/>
        <w:rPr>
          <w:rFonts w:ascii="宋体" w:hAnsi="宋体" w:eastAsia="宋体" w:cs="Times New Roman"/>
          <w:color w:val="auto"/>
        </w:rPr>
      </w:pPr>
      <w:r>
        <w:rPr>
          <w:rFonts w:ascii="宋体" w:hAnsi="宋体" w:eastAsia="宋体" w:cs="宋体"/>
          <w:color w:val="auto"/>
        </w:rPr>
        <w:t>1.</w:t>
      </w:r>
      <w:r>
        <w:rPr>
          <w:rFonts w:hint="eastAsia" w:ascii="宋体" w:hAnsi="宋体" w:eastAsia="宋体" w:cs="宋体"/>
          <w:color w:val="auto"/>
        </w:rPr>
        <w:t>采购人信息</w:t>
      </w:r>
    </w:p>
    <w:p w14:paraId="49A6ADBC">
      <w:pPr>
        <w:spacing w:line="360" w:lineRule="auto"/>
        <w:ind w:firstLine="420"/>
        <w:rPr>
          <w:rFonts w:ascii="宋体" w:hAnsi="宋体" w:eastAsia="宋体" w:cs="Times New Roman"/>
          <w:color w:val="auto"/>
        </w:rPr>
      </w:pPr>
      <w:r>
        <w:rPr>
          <w:rFonts w:hint="eastAsia" w:ascii="宋体" w:hAnsi="宋体" w:eastAsia="宋体" w:cs="宋体"/>
          <w:color w:val="auto"/>
        </w:rPr>
        <w:t>名称：昭通市应急管理局</w:t>
      </w:r>
    </w:p>
    <w:p w14:paraId="121A3DF8">
      <w:pPr>
        <w:spacing w:line="360" w:lineRule="auto"/>
        <w:ind w:firstLine="420"/>
        <w:rPr>
          <w:rFonts w:ascii="宋体" w:hAnsi="宋体" w:eastAsia="宋体" w:cs="Times New Roman"/>
          <w:color w:val="auto"/>
        </w:rPr>
      </w:pPr>
      <w:r>
        <w:rPr>
          <w:rFonts w:hint="eastAsia" w:ascii="宋体" w:hAnsi="宋体" w:eastAsia="宋体" w:cs="宋体"/>
          <w:color w:val="auto"/>
        </w:rPr>
        <w:t>地</w:t>
      </w:r>
      <w:r>
        <w:rPr>
          <w:rFonts w:ascii="宋体" w:hAnsi="宋体" w:eastAsia="宋体" w:cs="宋体"/>
          <w:color w:val="auto"/>
        </w:rPr>
        <w:t xml:space="preserve"> </w:t>
      </w:r>
      <w:r>
        <w:rPr>
          <w:rFonts w:hint="eastAsia" w:ascii="宋体" w:hAnsi="宋体" w:eastAsia="宋体" w:cs="宋体"/>
          <w:color w:val="auto"/>
        </w:rPr>
        <w:t>址：昭通市昭阳区昭阳大道</w:t>
      </w:r>
      <w:r>
        <w:rPr>
          <w:rFonts w:ascii="宋体" w:hAnsi="宋体" w:eastAsia="宋体" w:cs="宋体"/>
          <w:color w:val="auto"/>
        </w:rPr>
        <w:t>378号</w:t>
      </w:r>
    </w:p>
    <w:p w14:paraId="32E482D3">
      <w:pPr>
        <w:spacing w:line="360" w:lineRule="auto"/>
        <w:ind w:firstLine="420"/>
        <w:rPr>
          <w:rFonts w:ascii="宋体" w:hAnsi="宋体" w:eastAsia="宋体" w:cs="宋体"/>
          <w:color w:val="auto"/>
        </w:rPr>
      </w:pPr>
      <w:r>
        <w:rPr>
          <w:rFonts w:hint="eastAsia" w:ascii="宋体" w:hAnsi="宋体" w:eastAsia="宋体" w:cs="宋体"/>
          <w:color w:val="auto"/>
        </w:rPr>
        <w:t>联系方式：</w:t>
      </w:r>
      <w:r>
        <w:rPr>
          <w:rFonts w:ascii="宋体" w:hAnsi="宋体" w:eastAsia="宋体" w:cs="宋体"/>
          <w:color w:val="auto"/>
        </w:rPr>
        <w:t>0870-2856803</w:t>
      </w:r>
    </w:p>
    <w:p w14:paraId="5368066B">
      <w:pPr>
        <w:spacing w:line="360" w:lineRule="auto"/>
        <w:ind w:firstLine="420"/>
        <w:rPr>
          <w:rFonts w:ascii="宋体" w:hAnsi="宋体" w:eastAsia="宋体" w:cs="宋体"/>
          <w:color w:val="auto"/>
        </w:rPr>
      </w:pPr>
    </w:p>
    <w:p w14:paraId="0AAA46F1">
      <w:pPr>
        <w:spacing w:line="360" w:lineRule="auto"/>
        <w:ind w:firstLine="420"/>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采购代理机构信息</w:t>
      </w:r>
    </w:p>
    <w:p w14:paraId="7032604F">
      <w:pPr>
        <w:spacing w:line="360" w:lineRule="auto"/>
        <w:ind w:firstLine="420"/>
        <w:rPr>
          <w:rFonts w:hint="eastAsia" w:ascii="宋体" w:hAnsi="宋体" w:eastAsia="宋体" w:cs="Times New Roman"/>
          <w:color w:val="auto"/>
          <w:lang w:eastAsia="zh-CN"/>
        </w:rPr>
      </w:pPr>
      <w:r>
        <w:rPr>
          <w:rFonts w:hint="eastAsia" w:ascii="宋体" w:hAnsi="宋体" w:eastAsia="宋体" w:cs="宋体"/>
          <w:color w:val="auto"/>
        </w:rPr>
        <w:t>名称：</w:t>
      </w:r>
      <w:r>
        <w:rPr>
          <w:rFonts w:hint="eastAsia" w:ascii="宋体" w:hAnsi="宋体" w:eastAsia="宋体" w:cs="宋体"/>
          <w:color w:val="auto"/>
          <w:lang w:eastAsia="zh-CN"/>
        </w:rPr>
        <w:t>云南耀宁招标咨询有限公司</w:t>
      </w:r>
    </w:p>
    <w:p w14:paraId="275B5270">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rPr>
        <w:t>地</w:t>
      </w:r>
      <w:r>
        <w:rPr>
          <w:rFonts w:ascii="宋体" w:hAnsi="宋体" w:eastAsia="宋体" w:cs="宋体"/>
          <w:color w:val="auto"/>
        </w:rPr>
        <w:t xml:space="preserve"> </w:t>
      </w:r>
      <w:r>
        <w:rPr>
          <w:rFonts w:hint="eastAsia" w:ascii="宋体" w:hAnsi="宋体" w:eastAsia="宋体" w:cs="宋体"/>
          <w:color w:val="auto"/>
        </w:rPr>
        <w:t>址：</w:t>
      </w:r>
      <w:r>
        <w:rPr>
          <w:rFonts w:hint="eastAsia" w:ascii="宋体" w:hAnsi="宋体" w:eastAsia="宋体" w:cs="宋体"/>
          <w:color w:val="auto"/>
          <w:lang w:eastAsia="zh-CN"/>
        </w:rPr>
        <w:t>昭通市昭阳区官坝社区乌蒙古镇4号地块一期13栋07号</w:t>
      </w:r>
    </w:p>
    <w:p w14:paraId="46E223AC">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rPr>
        <w:t>联系方式：</w:t>
      </w:r>
      <w:r>
        <w:rPr>
          <w:rFonts w:hint="eastAsia" w:ascii="宋体" w:hAnsi="宋体" w:eastAsia="宋体" w:cs="宋体"/>
          <w:color w:val="auto"/>
          <w:lang w:eastAsia="zh-CN"/>
        </w:rPr>
        <w:t>18087082342  19038708808</w:t>
      </w:r>
    </w:p>
    <w:p w14:paraId="55B8FF6F">
      <w:pPr>
        <w:spacing w:line="360" w:lineRule="auto"/>
        <w:ind w:firstLine="420"/>
        <w:rPr>
          <w:rFonts w:ascii="宋体" w:hAnsi="宋体" w:eastAsia="宋体" w:cs="宋体"/>
          <w:color w:val="auto"/>
        </w:rPr>
      </w:pPr>
    </w:p>
    <w:p w14:paraId="6AED3079">
      <w:pPr>
        <w:spacing w:line="360" w:lineRule="auto"/>
        <w:ind w:firstLine="42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项目联系方式</w:t>
      </w:r>
    </w:p>
    <w:p w14:paraId="198D09E2">
      <w:pPr>
        <w:spacing w:line="360" w:lineRule="auto"/>
        <w:ind w:firstLine="420"/>
        <w:rPr>
          <w:rFonts w:hint="eastAsia" w:ascii="宋体" w:hAnsi="宋体" w:eastAsia="宋体" w:cs="Times New Roman"/>
          <w:color w:val="auto"/>
          <w:lang w:eastAsia="zh-CN"/>
        </w:rPr>
      </w:pPr>
      <w:r>
        <w:rPr>
          <w:rFonts w:hint="eastAsia" w:ascii="宋体" w:hAnsi="宋体" w:eastAsia="宋体" w:cs="宋体"/>
          <w:color w:val="auto"/>
        </w:rPr>
        <w:t>项目联系人：</w:t>
      </w:r>
      <w:r>
        <w:rPr>
          <w:rFonts w:hint="eastAsia" w:ascii="宋体" w:hAnsi="宋体" w:eastAsia="宋体" w:cs="宋体"/>
          <w:color w:val="auto"/>
          <w:lang w:eastAsia="zh-CN"/>
        </w:rPr>
        <w:t>李工</w:t>
      </w:r>
    </w:p>
    <w:p w14:paraId="7958B455">
      <w:pPr>
        <w:spacing w:line="360" w:lineRule="auto"/>
        <w:ind w:firstLine="420"/>
        <w:rPr>
          <w:rFonts w:hint="eastAsia" w:ascii="宋体" w:hAnsi="宋体" w:eastAsia="宋体" w:cs="宋体"/>
          <w:color w:val="auto"/>
          <w:lang w:eastAsia="zh-CN"/>
        </w:rPr>
      </w:pPr>
      <w:r>
        <w:rPr>
          <w:rFonts w:hint="eastAsia" w:ascii="宋体" w:hAnsi="宋体" w:eastAsia="宋体" w:cs="宋体"/>
          <w:color w:val="auto"/>
        </w:rPr>
        <w:t>电</w:t>
      </w:r>
      <w:r>
        <w:rPr>
          <w:rFonts w:ascii="宋体" w:hAnsi="宋体" w:eastAsia="宋体" w:cs="宋体"/>
          <w:color w:val="auto"/>
        </w:rPr>
        <w:t xml:space="preserve"> </w:t>
      </w:r>
      <w:r>
        <w:rPr>
          <w:rFonts w:hint="eastAsia" w:ascii="宋体" w:hAnsi="宋体" w:eastAsia="宋体" w:cs="宋体"/>
          <w:color w:val="auto"/>
        </w:rPr>
        <w:t>话：</w:t>
      </w:r>
      <w:r>
        <w:rPr>
          <w:rFonts w:hint="eastAsia" w:ascii="宋体" w:hAnsi="宋体" w:eastAsia="宋体" w:cs="宋体"/>
          <w:color w:val="auto"/>
          <w:lang w:eastAsia="zh-CN"/>
        </w:rPr>
        <w:t>18087082342  19038708808</w:t>
      </w:r>
    </w:p>
    <w:p w14:paraId="30E4F7A9">
      <w:pPr>
        <w:pStyle w:val="2"/>
        <w:spacing w:before="0" w:after="0" w:line="360" w:lineRule="auto"/>
        <w:jc w:val="center"/>
        <w:rPr>
          <w:rFonts w:ascii="宋体" w:hAnsi="宋体" w:cs="宋体"/>
          <w:color w:val="auto"/>
          <w:sz w:val="36"/>
          <w:szCs w:val="36"/>
        </w:rPr>
      </w:pPr>
      <w:r>
        <w:rPr>
          <w:rFonts w:ascii="宋体" w:hAnsi="宋体" w:cs="宋体"/>
          <w:color w:val="auto"/>
        </w:rPr>
        <w:br w:type="page"/>
      </w:r>
      <w:bookmarkEnd w:id="1"/>
      <w:bookmarkStart w:id="52" w:name="_Toc164432887"/>
      <w:r>
        <w:rPr>
          <w:rFonts w:hint="eastAsia" w:ascii="宋体" w:hAnsi="宋体" w:cs="宋体"/>
          <w:color w:val="auto"/>
          <w:sz w:val="36"/>
          <w:szCs w:val="36"/>
        </w:rPr>
        <w:t>第二章</w:t>
      </w:r>
      <w:r>
        <w:rPr>
          <w:rFonts w:ascii="宋体" w:hAnsi="宋体" w:cs="宋体"/>
          <w:color w:val="auto"/>
          <w:sz w:val="36"/>
          <w:szCs w:val="36"/>
        </w:rPr>
        <w:t xml:space="preserve"> </w:t>
      </w:r>
      <w:r>
        <w:rPr>
          <w:rFonts w:hint="eastAsia" w:ascii="宋体" w:hAnsi="宋体" w:cs="宋体"/>
          <w:color w:val="auto"/>
          <w:sz w:val="36"/>
          <w:szCs w:val="36"/>
        </w:rPr>
        <w:t>投标人须知</w:t>
      </w:r>
      <w:bookmarkEnd w:id="52"/>
    </w:p>
    <w:p w14:paraId="65B4F1C1">
      <w:pPr>
        <w:pStyle w:val="3"/>
        <w:spacing w:before="0" w:after="0" w:line="360" w:lineRule="auto"/>
        <w:jc w:val="center"/>
        <w:rPr>
          <w:rFonts w:ascii="宋体" w:hAnsi="宋体" w:eastAsia="宋体" w:cs="Times New Roman"/>
          <w:color w:val="auto"/>
          <w:sz w:val="28"/>
          <w:szCs w:val="28"/>
        </w:rPr>
      </w:pPr>
      <w:bookmarkStart w:id="53" w:name="_Toc77116644"/>
      <w:bookmarkStart w:id="54" w:name="_Toc107396171"/>
      <w:bookmarkStart w:id="55" w:name="_Toc70424824"/>
      <w:bookmarkStart w:id="56" w:name="_Toc77504033"/>
      <w:bookmarkStart w:id="57" w:name="_Toc77658043"/>
      <w:bookmarkStart w:id="58" w:name="_Toc120282399"/>
      <w:bookmarkStart w:id="59" w:name="_Toc8512"/>
      <w:r>
        <w:rPr>
          <w:rFonts w:hint="eastAsia" w:ascii="宋体" w:hAnsi="宋体" w:eastAsia="宋体" w:cs="宋体"/>
          <w:color w:val="auto"/>
          <w:sz w:val="28"/>
          <w:szCs w:val="28"/>
        </w:rPr>
        <w:t xml:space="preserve"> </w:t>
      </w:r>
      <w:bookmarkStart w:id="60" w:name="_Toc164432888"/>
      <w:r>
        <w:rPr>
          <w:rFonts w:hint="eastAsia" w:ascii="宋体" w:hAnsi="宋体" w:eastAsia="宋体" w:cs="宋体"/>
          <w:color w:val="auto"/>
          <w:sz w:val="28"/>
          <w:szCs w:val="28"/>
        </w:rPr>
        <w:t>投标人须知前附表</w:t>
      </w:r>
      <w:bookmarkEnd w:id="53"/>
      <w:bookmarkEnd w:id="54"/>
      <w:bookmarkEnd w:id="55"/>
      <w:bookmarkEnd w:id="56"/>
      <w:bookmarkEnd w:id="57"/>
      <w:bookmarkEnd w:id="58"/>
      <w:bookmarkEnd w:id="59"/>
      <w:bookmarkEnd w:id="60"/>
    </w:p>
    <w:tbl>
      <w:tblPr>
        <w:tblStyle w:val="39"/>
        <w:tblW w:w="935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693"/>
        <w:gridCol w:w="5670"/>
      </w:tblGrid>
      <w:tr w14:paraId="2A33634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92" w:type="dxa"/>
            <w:tcBorders>
              <w:top w:val="thinThickSmallGap" w:color="auto" w:sz="12" w:space="0"/>
            </w:tcBorders>
            <w:vAlign w:val="center"/>
          </w:tcPr>
          <w:p w14:paraId="32D10631">
            <w:pPr>
              <w:jc w:val="center"/>
              <w:rPr>
                <w:rFonts w:ascii="宋体" w:hAnsi="宋体" w:eastAsia="宋体" w:cs="Times New Roman"/>
                <w:b/>
                <w:bCs/>
                <w:color w:val="auto"/>
              </w:rPr>
            </w:pPr>
            <w:r>
              <w:rPr>
                <w:rFonts w:hint="eastAsia" w:ascii="宋体" w:hAnsi="宋体" w:eastAsia="宋体" w:cs="宋体"/>
                <w:b/>
                <w:bCs/>
                <w:color w:val="auto"/>
              </w:rPr>
              <w:t>条款号</w:t>
            </w:r>
          </w:p>
        </w:tc>
        <w:tc>
          <w:tcPr>
            <w:tcW w:w="2693" w:type="dxa"/>
            <w:tcBorders>
              <w:top w:val="thinThickSmallGap" w:color="auto" w:sz="12" w:space="0"/>
            </w:tcBorders>
            <w:vAlign w:val="center"/>
          </w:tcPr>
          <w:p w14:paraId="05323418">
            <w:pPr>
              <w:jc w:val="center"/>
              <w:rPr>
                <w:rFonts w:ascii="宋体" w:hAnsi="宋体" w:eastAsia="宋体" w:cs="Times New Roman"/>
                <w:b/>
                <w:bCs/>
                <w:color w:val="auto"/>
              </w:rPr>
            </w:pPr>
            <w:r>
              <w:rPr>
                <w:rFonts w:hint="eastAsia" w:ascii="宋体" w:hAnsi="宋体" w:eastAsia="宋体" w:cs="宋体"/>
                <w:b/>
                <w:bCs/>
                <w:color w:val="auto"/>
              </w:rPr>
              <w:t>条款内容</w:t>
            </w:r>
          </w:p>
        </w:tc>
        <w:tc>
          <w:tcPr>
            <w:tcW w:w="5670" w:type="dxa"/>
            <w:tcBorders>
              <w:top w:val="thinThickSmallGap" w:color="auto" w:sz="12" w:space="0"/>
            </w:tcBorders>
            <w:vAlign w:val="center"/>
          </w:tcPr>
          <w:p w14:paraId="3153E5A2">
            <w:pPr>
              <w:jc w:val="center"/>
              <w:rPr>
                <w:rFonts w:ascii="宋体" w:hAnsi="宋体" w:eastAsia="宋体" w:cs="Times New Roman"/>
                <w:b/>
                <w:bCs/>
                <w:color w:val="auto"/>
              </w:rPr>
            </w:pPr>
            <w:r>
              <w:rPr>
                <w:rFonts w:hint="eastAsia" w:ascii="宋体" w:hAnsi="宋体" w:eastAsia="宋体" w:cs="宋体"/>
                <w:b/>
                <w:bCs/>
                <w:color w:val="auto"/>
              </w:rPr>
              <w:t>编列内容</w:t>
            </w:r>
          </w:p>
        </w:tc>
      </w:tr>
      <w:tr w14:paraId="1BB8DF3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00E05CA">
            <w:pPr>
              <w:spacing w:before="156" w:beforeLines="50" w:line="360" w:lineRule="auto"/>
              <w:jc w:val="center"/>
              <w:rPr>
                <w:rFonts w:ascii="宋体" w:hAnsi="宋体" w:eastAsia="宋体" w:cs="宋体"/>
                <w:color w:val="auto"/>
              </w:rPr>
            </w:pPr>
            <w:r>
              <w:rPr>
                <w:rFonts w:ascii="宋体" w:hAnsi="宋体" w:eastAsia="宋体" w:cs="宋体"/>
                <w:color w:val="auto"/>
              </w:rPr>
              <w:t>1.1.2</w:t>
            </w:r>
          </w:p>
        </w:tc>
        <w:tc>
          <w:tcPr>
            <w:tcW w:w="2693" w:type="dxa"/>
            <w:vAlign w:val="center"/>
          </w:tcPr>
          <w:p w14:paraId="07651740">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采购人</w:t>
            </w:r>
          </w:p>
        </w:tc>
        <w:tc>
          <w:tcPr>
            <w:tcW w:w="5670" w:type="dxa"/>
            <w:vAlign w:val="center"/>
          </w:tcPr>
          <w:p w14:paraId="14846A4B">
            <w:pPr>
              <w:spacing w:before="156" w:beforeLines="50" w:line="360" w:lineRule="auto"/>
              <w:rPr>
                <w:rFonts w:ascii="宋体" w:hAnsi="宋体" w:eastAsia="宋体" w:cs="Times New Roman"/>
                <w:color w:val="auto"/>
              </w:rPr>
            </w:pPr>
            <w:r>
              <w:rPr>
                <w:rFonts w:hint="eastAsia" w:ascii="宋体" w:hAnsi="宋体" w:eastAsia="宋体" w:cs="宋体"/>
                <w:color w:val="auto"/>
              </w:rPr>
              <w:t>名</w:t>
            </w:r>
            <w:r>
              <w:rPr>
                <w:rFonts w:ascii="宋体" w:hAnsi="宋体" w:eastAsia="宋体" w:cs="宋体"/>
                <w:color w:val="auto"/>
              </w:rPr>
              <w:t xml:space="preserve">  </w:t>
            </w:r>
            <w:r>
              <w:rPr>
                <w:rFonts w:hint="eastAsia" w:ascii="宋体" w:hAnsi="宋体" w:eastAsia="宋体" w:cs="宋体"/>
                <w:color w:val="auto"/>
              </w:rPr>
              <w:t>称：昭通市应急管理局</w:t>
            </w:r>
          </w:p>
          <w:p w14:paraId="0474C570">
            <w:pPr>
              <w:spacing w:before="156" w:beforeLines="50" w:line="360" w:lineRule="auto"/>
              <w:rPr>
                <w:rFonts w:ascii="宋体" w:hAnsi="宋体" w:eastAsia="宋体" w:cs="宋体"/>
                <w:color w:val="auto"/>
              </w:rPr>
            </w:pPr>
            <w:r>
              <w:rPr>
                <w:rFonts w:hint="eastAsia" w:ascii="宋体" w:hAnsi="宋体" w:eastAsia="宋体" w:cs="宋体"/>
                <w:color w:val="auto"/>
              </w:rPr>
              <w:t>地</w:t>
            </w:r>
            <w:r>
              <w:rPr>
                <w:rFonts w:ascii="宋体" w:hAnsi="宋体" w:eastAsia="宋体" w:cs="宋体"/>
                <w:color w:val="auto"/>
              </w:rPr>
              <w:t xml:space="preserve">  </w:t>
            </w:r>
            <w:r>
              <w:rPr>
                <w:rFonts w:hint="eastAsia" w:ascii="宋体" w:hAnsi="宋体" w:eastAsia="宋体" w:cs="宋体"/>
                <w:color w:val="auto"/>
              </w:rPr>
              <w:t>址：昭通市昭阳区昭阳大道</w:t>
            </w:r>
            <w:r>
              <w:rPr>
                <w:rFonts w:ascii="宋体" w:hAnsi="宋体" w:eastAsia="宋体" w:cs="宋体"/>
                <w:color w:val="auto"/>
              </w:rPr>
              <w:t>378号</w:t>
            </w:r>
          </w:p>
          <w:p w14:paraId="4E04E5FF">
            <w:pPr>
              <w:spacing w:before="156" w:beforeLines="50" w:line="360" w:lineRule="auto"/>
              <w:rPr>
                <w:rFonts w:ascii="宋体" w:hAnsi="宋体" w:eastAsia="宋体" w:cs="宋体"/>
                <w:color w:val="auto"/>
              </w:rPr>
            </w:pPr>
            <w:r>
              <w:rPr>
                <w:rFonts w:hint="eastAsia" w:ascii="宋体" w:hAnsi="宋体" w:eastAsia="宋体" w:cs="宋体"/>
                <w:color w:val="auto"/>
              </w:rPr>
              <w:t>联系人：孔令斌</w:t>
            </w:r>
          </w:p>
          <w:p w14:paraId="7E0B8386">
            <w:pPr>
              <w:spacing w:before="156" w:beforeLines="50" w:line="360" w:lineRule="auto"/>
              <w:rPr>
                <w:rFonts w:ascii="宋体" w:hAnsi="宋体" w:eastAsia="宋体" w:cs="宋体"/>
                <w:color w:val="auto"/>
              </w:rPr>
            </w:pPr>
            <w:r>
              <w:rPr>
                <w:rFonts w:hint="eastAsia" w:ascii="宋体" w:hAnsi="宋体" w:eastAsia="宋体" w:cs="宋体"/>
                <w:color w:val="auto"/>
              </w:rPr>
              <w:t>电</w:t>
            </w:r>
            <w:r>
              <w:rPr>
                <w:rFonts w:ascii="宋体" w:hAnsi="宋体" w:eastAsia="宋体" w:cs="宋体"/>
                <w:color w:val="auto"/>
              </w:rPr>
              <w:t xml:space="preserve">  </w:t>
            </w:r>
            <w:r>
              <w:rPr>
                <w:rFonts w:hint="eastAsia" w:ascii="宋体" w:hAnsi="宋体" w:eastAsia="宋体" w:cs="宋体"/>
                <w:color w:val="auto"/>
              </w:rPr>
              <w:t>话：</w:t>
            </w:r>
            <w:r>
              <w:rPr>
                <w:rFonts w:ascii="宋体" w:hAnsi="宋体" w:eastAsia="宋体" w:cs="宋体"/>
                <w:color w:val="auto"/>
              </w:rPr>
              <w:t>0870-2856803</w:t>
            </w:r>
          </w:p>
        </w:tc>
      </w:tr>
      <w:tr w14:paraId="7119933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CE4375A">
            <w:pPr>
              <w:spacing w:before="156" w:beforeLines="50" w:line="360" w:lineRule="auto"/>
              <w:jc w:val="center"/>
              <w:rPr>
                <w:rFonts w:ascii="宋体" w:hAnsi="宋体" w:eastAsia="宋体" w:cs="宋体"/>
                <w:color w:val="auto"/>
              </w:rPr>
            </w:pPr>
            <w:r>
              <w:rPr>
                <w:rFonts w:ascii="宋体" w:hAnsi="宋体" w:eastAsia="宋体" w:cs="宋体"/>
                <w:color w:val="auto"/>
              </w:rPr>
              <w:t>1.1.3</w:t>
            </w:r>
          </w:p>
        </w:tc>
        <w:tc>
          <w:tcPr>
            <w:tcW w:w="2693" w:type="dxa"/>
            <w:vAlign w:val="center"/>
          </w:tcPr>
          <w:p w14:paraId="3875EA40">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采购代理机构</w:t>
            </w:r>
          </w:p>
        </w:tc>
        <w:tc>
          <w:tcPr>
            <w:tcW w:w="5670" w:type="dxa"/>
            <w:vAlign w:val="center"/>
          </w:tcPr>
          <w:p w14:paraId="5661476F">
            <w:pPr>
              <w:spacing w:before="156" w:beforeLines="50" w:line="360" w:lineRule="auto"/>
              <w:rPr>
                <w:rFonts w:hint="eastAsia" w:ascii="宋体" w:hAnsi="宋体" w:eastAsia="宋体" w:cs="Times New Roman"/>
                <w:color w:val="auto"/>
                <w:lang w:eastAsia="zh-CN"/>
              </w:rPr>
            </w:pPr>
            <w:r>
              <w:rPr>
                <w:rFonts w:hint="eastAsia" w:ascii="宋体" w:hAnsi="宋体" w:eastAsia="宋体" w:cs="宋体"/>
                <w:color w:val="auto"/>
              </w:rPr>
              <w:t>名</w:t>
            </w:r>
            <w:r>
              <w:rPr>
                <w:rFonts w:ascii="宋体" w:hAnsi="宋体" w:eastAsia="宋体" w:cs="宋体"/>
                <w:color w:val="auto"/>
              </w:rPr>
              <w:t xml:space="preserve">  </w:t>
            </w:r>
            <w:r>
              <w:rPr>
                <w:rFonts w:hint="eastAsia" w:ascii="宋体" w:hAnsi="宋体" w:eastAsia="宋体" w:cs="宋体"/>
                <w:color w:val="auto"/>
              </w:rPr>
              <w:t>称：</w:t>
            </w:r>
            <w:r>
              <w:rPr>
                <w:rFonts w:hint="eastAsia" w:ascii="宋体" w:hAnsi="宋体" w:eastAsia="宋体" w:cs="宋体"/>
                <w:color w:val="auto"/>
                <w:lang w:eastAsia="zh-CN"/>
              </w:rPr>
              <w:t>云南耀宁招标咨询有限公司</w:t>
            </w:r>
          </w:p>
          <w:p w14:paraId="622F3C4D">
            <w:pPr>
              <w:spacing w:before="156" w:beforeLines="50" w:line="360" w:lineRule="auto"/>
              <w:rPr>
                <w:rFonts w:hint="eastAsia" w:ascii="宋体" w:hAnsi="宋体" w:eastAsia="宋体" w:cs="宋体"/>
                <w:color w:val="auto"/>
                <w:lang w:eastAsia="zh-CN"/>
              </w:rPr>
            </w:pPr>
            <w:r>
              <w:rPr>
                <w:rFonts w:hint="eastAsia" w:ascii="宋体" w:hAnsi="宋体" w:eastAsia="宋体" w:cs="宋体"/>
                <w:color w:val="auto"/>
              </w:rPr>
              <w:t>地</w:t>
            </w:r>
            <w:r>
              <w:rPr>
                <w:rFonts w:ascii="宋体" w:hAnsi="宋体" w:eastAsia="宋体" w:cs="宋体"/>
                <w:color w:val="auto"/>
              </w:rPr>
              <w:t xml:space="preserve">  </w:t>
            </w:r>
            <w:r>
              <w:rPr>
                <w:rFonts w:hint="eastAsia" w:ascii="宋体" w:hAnsi="宋体" w:eastAsia="宋体" w:cs="宋体"/>
                <w:color w:val="auto"/>
              </w:rPr>
              <w:t>址：</w:t>
            </w:r>
            <w:r>
              <w:rPr>
                <w:rFonts w:hint="eastAsia" w:ascii="宋体" w:hAnsi="宋体" w:eastAsia="宋体" w:cs="宋体"/>
                <w:color w:val="auto"/>
                <w:lang w:eastAsia="zh-CN"/>
              </w:rPr>
              <w:t>昭通市昭阳区官坝社区乌蒙古镇4号地块一期13栋07号</w:t>
            </w:r>
          </w:p>
          <w:p w14:paraId="5DD3F8C7">
            <w:pPr>
              <w:spacing w:before="156" w:beforeLines="50" w:line="360" w:lineRule="auto"/>
              <w:rPr>
                <w:rFonts w:hint="eastAsia" w:ascii="宋体" w:hAnsi="宋体" w:eastAsia="宋体" w:cs="Times New Roman"/>
                <w:color w:val="auto"/>
                <w:lang w:eastAsia="zh-CN"/>
              </w:rPr>
            </w:pPr>
            <w:r>
              <w:rPr>
                <w:rFonts w:hint="eastAsia" w:ascii="宋体" w:hAnsi="宋体" w:eastAsia="宋体" w:cs="宋体"/>
                <w:color w:val="auto"/>
              </w:rPr>
              <w:t>联系人：</w:t>
            </w:r>
            <w:r>
              <w:rPr>
                <w:rFonts w:hint="eastAsia" w:ascii="宋体" w:hAnsi="宋体" w:eastAsia="宋体" w:cs="宋体"/>
                <w:color w:val="auto"/>
                <w:lang w:eastAsia="zh-CN"/>
              </w:rPr>
              <w:t>李工</w:t>
            </w:r>
          </w:p>
          <w:p w14:paraId="1134A6F9">
            <w:pPr>
              <w:spacing w:before="156" w:beforeLines="50" w:line="360" w:lineRule="auto"/>
              <w:rPr>
                <w:rFonts w:ascii="宋体" w:hAnsi="宋体" w:eastAsia="宋体" w:cs="Times New Roman"/>
                <w:color w:val="auto"/>
              </w:rPr>
            </w:pPr>
            <w:r>
              <w:rPr>
                <w:rFonts w:hint="eastAsia" w:ascii="宋体" w:hAnsi="宋体" w:eastAsia="宋体" w:cs="宋体"/>
                <w:color w:val="auto"/>
              </w:rPr>
              <w:t>电</w:t>
            </w:r>
            <w:r>
              <w:rPr>
                <w:rFonts w:ascii="宋体" w:hAnsi="宋体" w:eastAsia="宋体" w:cs="宋体"/>
                <w:color w:val="auto"/>
              </w:rPr>
              <w:t xml:space="preserve">  </w:t>
            </w:r>
            <w:r>
              <w:rPr>
                <w:rFonts w:hint="eastAsia" w:ascii="宋体" w:hAnsi="宋体" w:eastAsia="宋体" w:cs="宋体"/>
                <w:color w:val="auto"/>
              </w:rPr>
              <w:t>话：</w:t>
            </w:r>
            <w:r>
              <w:rPr>
                <w:rFonts w:hint="eastAsia" w:ascii="宋体" w:hAnsi="宋体" w:eastAsia="宋体" w:cs="宋体"/>
                <w:color w:val="auto"/>
                <w:lang w:eastAsia="zh-CN"/>
              </w:rPr>
              <w:t>18087082342  19038708808</w:t>
            </w:r>
            <w:r>
              <w:rPr>
                <w:rFonts w:ascii="宋体" w:hAnsi="宋体" w:eastAsia="宋体" w:cs="宋体"/>
                <w:color w:val="auto"/>
              </w:rPr>
              <w:t xml:space="preserve">   </w:t>
            </w:r>
          </w:p>
        </w:tc>
      </w:tr>
      <w:tr w14:paraId="6D2DA0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7111AFC">
            <w:pPr>
              <w:spacing w:before="156" w:beforeLines="50" w:line="360" w:lineRule="auto"/>
              <w:jc w:val="center"/>
              <w:rPr>
                <w:rFonts w:ascii="宋体" w:hAnsi="宋体" w:eastAsia="宋体" w:cs="宋体"/>
                <w:color w:val="auto"/>
              </w:rPr>
            </w:pPr>
            <w:r>
              <w:rPr>
                <w:rFonts w:ascii="宋体" w:hAnsi="宋体" w:eastAsia="宋体" w:cs="宋体"/>
                <w:color w:val="auto"/>
              </w:rPr>
              <w:t>1.1.4</w:t>
            </w:r>
          </w:p>
        </w:tc>
        <w:tc>
          <w:tcPr>
            <w:tcW w:w="2693" w:type="dxa"/>
            <w:vAlign w:val="center"/>
          </w:tcPr>
          <w:p w14:paraId="1CB84CDE">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招标项目名称</w:t>
            </w:r>
          </w:p>
        </w:tc>
        <w:tc>
          <w:tcPr>
            <w:tcW w:w="5670" w:type="dxa"/>
            <w:vAlign w:val="center"/>
          </w:tcPr>
          <w:p w14:paraId="43F091DE">
            <w:pPr>
              <w:spacing w:before="156" w:beforeLines="50" w:line="360" w:lineRule="auto"/>
              <w:rPr>
                <w:rFonts w:hint="eastAsia" w:ascii="宋体" w:hAnsi="宋体" w:eastAsia="宋体" w:cs="Times New Roman"/>
                <w:color w:val="auto"/>
                <w:lang w:eastAsia="zh-CN"/>
              </w:rPr>
            </w:pPr>
            <w:r>
              <w:rPr>
                <w:rFonts w:hint="eastAsia" w:ascii="宋体" w:hAnsi="宋体" w:eastAsia="宋体" w:cs="宋体"/>
                <w:color w:val="auto"/>
                <w:lang w:eastAsia="zh-CN"/>
              </w:rPr>
              <w:t>云南省昭通市基层防灾能力提升项目（21-30标段）24标段二次</w:t>
            </w:r>
          </w:p>
        </w:tc>
      </w:tr>
      <w:tr w14:paraId="11001F4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C72080A">
            <w:pPr>
              <w:spacing w:before="156" w:beforeLines="50" w:line="360" w:lineRule="auto"/>
              <w:jc w:val="center"/>
              <w:rPr>
                <w:rFonts w:ascii="宋体" w:hAnsi="宋体" w:eastAsia="宋体" w:cs="宋体"/>
                <w:color w:val="auto"/>
              </w:rPr>
            </w:pPr>
            <w:r>
              <w:rPr>
                <w:rFonts w:ascii="宋体" w:hAnsi="宋体" w:eastAsia="宋体" w:cs="宋体"/>
                <w:color w:val="auto"/>
              </w:rPr>
              <w:t>1.1.5</w:t>
            </w:r>
          </w:p>
        </w:tc>
        <w:tc>
          <w:tcPr>
            <w:tcW w:w="2693" w:type="dxa"/>
            <w:vAlign w:val="center"/>
          </w:tcPr>
          <w:p w14:paraId="22087E1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交货地点</w:t>
            </w:r>
          </w:p>
        </w:tc>
        <w:tc>
          <w:tcPr>
            <w:tcW w:w="5670" w:type="dxa"/>
            <w:vAlign w:val="center"/>
          </w:tcPr>
          <w:p w14:paraId="1CC67EB7">
            <w:pPr>
              <w:spacing w:before="156" w:beforeLines="50" w:line="360" w:lineRule="auto"/>
              <w:rPr>
                <w:rFonts w:ascii="宋体" w:hAnsi="宋体" w:eastAsia="宋体" w:cs="Times New Roman"/>
                <w:color w:val="auto"/>
              </w:rPr>
            </w:pPr>
            <w:bookmarkStart w:id="61" w:name="_Hlk167350764"/>
            <w:r>
              <w:rPr>
                <w:rFonts w:hint="eastAsia" w:ascii="宋体" w:hAnsi="宋体" w:eastAsia="宋体" w:cs="宋体"/>
                <w:color w:val="auto"/>
              </w:rPr>
              <w:t>采购人指定地点。</w:t>
            </w:r>
            <w:bookmarkEnd w:id="61"/>
          </w:p>
        </w:tc>
      </w:tr>
      <w:tr w14:paraId="60427F7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1F3D904">
            <w:pPr>
              <w:spacing w:before="156" w:beforeLines="50" w:line="360" w:lineRule="auto"/>
              <w:jc w:val="center"/>
              <w:rPr>
                <w:rFonts w:ascii="宋体" w:hAnsi="宋体" w:eastAsia="宋体" w:cs="宋体"/>
                <w:color w:val="auto"/>
              </w:rPr>
            </w:pPr>
            <w:r>
              <w:rPr>
                <w:rFonts w:ascii="宋体" w:hAnsi="宋体" w:eastAsia="宋体" w:cs="宋体"/>
                <w:color w:val="auto"/>
              </w:rPr>
              <w:t>1.2.1</w:t>
            </w:r>
          </w:p>
        </w:tc>
        <w:tc>
          <w:tcPr>
            <w:tcW w:w="2693" w:type="dxa"/>
            <w:vAlign w:val="center"/>
          </w:tcPr>
          <w:p w14:paraId="42106BD0">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资金来源</w:t>
            </w:r>
          </w:p>
        </w:tc>
        <w:tc>
          <w:tcPr>
            <w:tcW w:w="5670" w:type="dxa"/>
            <w:vAlign w:val="center"/>
          </w:tcPr>
          <w:p w14:paraId="7CF67BCE">
            <w:pPr>
              <w:spacing w:before="156" w:beforeLines="50" w:line="360" w:lineRule="auto"/>
              <w:rPr>
                <w:rFonts w:ascii="宋体" w:hAnsi="宋体" w:eastAsia="宋体" w:cs="Times New Roman"/>
                <w:color w:val="auto"/>
              </w:rPr>
            </w:pPr>
            <w:r>
              <w:rPr>
                <w:rFonts w:hint="eastAsia" w:ascii="宋体" w:hAnsi="宋体" w:eastAsia="宋体" w:cs="宋体"/>
                <w:color w:val="auto"/>
              </w:rPr>
              <w:t>财政资金</w:t>
            </w:r>
          </w:p>
        </w:tc>
      </w:tr>
      <w:tr w14:paraId="16B7C02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29E9FAE">
            <w:pPr>
              <w:spacing w:before="156" w:beforeLines="50" w:line="360" w:lineRule="auto"/>
              <w:jc w:val="center"/>
              <w:rPr>
                <w:rFonts w:ascii="宋体" w:hAnsi="宋体" w:eastAsia="宋体" w:cs="宋体"/>
                <w:color w:val="auto"/>
              </w:rPr>
            </w:pPr>
            <w:r>
              <w:rPr>
                <w:rFonts w:ascii="宋体" w:hAnsi="宋体" w:eastAsia="宋体" w:cs="宋体"/>
                <w:color w:val="auto"/>
              </w:rPr>
              <w:t>1.2.2</w:t>
            </w:r>
          </w:p>
        </w:tc>
        <w:tc>
          <w:tcPr>
            <w:tcW w:w="2693" w:type="dxa"/>
            <w:vAlign w:val="center"/>
          </w:tcPr>
          <w:p w14:paraId="5766B86D">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资金落实情况</w:t>
            </w:r>
          </w:p>
        </w:tc>
        <w:tc>
          <w:tcPr>
            <w:tcW w:w="5670" w:type="dxa"/>
            <w:vAlign w:val="center"/>
          </w:tcPr>
          <w:p w14:paraId="5443E5AD">
            <w:pPr>
              <w:spacing w:before="156" w:beforeLines="50" w:line="360" w:lineRule="auto"/>
              <w:rPr>
                <w:rFonts w:ascii="宋体" w:hAnsi="宋体" w:eastAsia="宋体" w:cs="Times New Roman"/>
                <w:color w:val="auto"/>
              </w:rPr>
            </w:pPr>
            <w:r>
              <w:rPr>
                <w:rFonts w:hint="eastAsia" w:ascii="宋体" w:hAnsi="宋体" w:eastAsia="宋体" w:cs="宋体"/>
                <w:color w:val="auto"/>
              </w:rPr>
              <w:t>已落实</w:t>
            </w:r>
          </w:p>
        </w:tc>
      </w:tr>
      <w:tr w14:paraId="55D6C1F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70E6380">
            <w:pPr>
              <w:spacing w:before="156" w:beforeLines="50" w:line="360" w:lineRule="auto"/>
              <w:jc w:val="center"/>
              <w:rPr>
                <w:rFonts w:ascii="宋体" w:hAnsi="宋体" w:eastAsia="宋体" w:cs="宋体"/>
                <w:color w:val="auto"/>
              </w:rPr>
            </w:pPr>
            <w:r>
              <w:rPr>
                <w:rFonts w:ascii="宋体" w:hAnsi="宋体" w:eastAsia="宋体" w:cs="宋体"/>
                <w:color w:val="auto"/>
              </w:rPr>
              <w:t>1.3.1</w:t>
            </w:r>
          </w:p>
        </w:tc>
        <w:tc>
          <w:tcPr>
            <w:tcW w:w="2693" w:type="dxa"/>
            <w:vAlign w:val="center"/>
          </w:tcPr>
          <w:p w14:paraId="315CEC5B">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采购范围</w:t>
            </w:r>
          </w:p>
        </w:tc>
        <w:tc>
          <w:tcPr>
            <w:tcW w:w="5670" w:type="dxa"/>
            <w:vAlign w:val="center"/>
          </w:tcPr>
          <w:p w14:paraId="52294B2A">
            <w:pPr>
              <w:wordWrap w:val="0"/>
              <w:topLinePunct/>
              <w:adjustRightInd w:val="0"/>
              <w:snapToGrid w:val="0"/>
              <w:spacing w:line="360" w:lineRule="auto"/>
              <w:rPr>
                <w:rFonts w:ascii="宋体" w:hAnsi="宋体" w:eastAsia="宋体" w:cs="宋体"/>
                <w:color w:val="auto"/>
              </w:rPr>
            </w:pPr>
            <w:r>
              <w:rPr>
                <w:rFonts w:hint="eastAsia" w:ascii="宋体" w:hAnsi="宋体" w:eastAsia="宋体" w:cs="宋体"/>
                <w:color w:val="auto"/>
                <w:lang w:eastAsia="zh-CN"/>
              </w:rPr>
              <w:t>本次采购为云南省昭通市基层防灾能力提升项目24标段：中小型水罐消防车10台；森林火灾扑救特类车辆（高压喷雾车）1台；具体参数及要求详见招标文件第五章“采购需求”</w:t>
            </w:r>
          </w:p>
        </w:tc>
      </w:tr>
      <w:tr w14:paraId="5EA6009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B827395">
            <w:pPr>
              <w:spacing w:before="156" w:beforeLines="50" w:line="360" w:lineRule="auto"/>
              <w:jc w:val="center"/>
              <w:rPr>
                <w:rFonts w:ascii="宋体" w:hAnsi="宋体" w:eastAsia="宋体" w:cs="宋体"/>
                <w:color w:val="auto"/>
              </w:rPr>
            </w:pPr>
            <w:r>
              <w:rPr>
                <w:rFonts w:ascii="宋体" w:hAnsi="宋体" w:eastAsia="宋体" w:cs="宋体"/>
                <w:color w:val="auto"/>
              </w:rPr>
              <w:t>1.3.2</w:t>
            </w:r>
          </w:p>
        </w:tc>
        <w:tc>
          <w:tcPr>
            <w:tcW w:w="2693" w:type="dxa"/>
            <w:vAlign w:val="center"/>
          </w:tcPr>
          <w:p w14:paraId="4F3C42C7">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合同履行期限</w:t>
            </w:r>
          </w:p>
        </w:tc>
        <w:tc>
          <w:tcPr>
            <w:tcW w:w="5670" w:type="dxa"/>
            <w:vAlign w:val="center"/>
          </w:tcPr>
          <w:p w14:paraId="6447F401">
            <w:pPr>
              <w:spacing w:before="156" w:beforeLines="50" w:line="360" w:lineRule="auto"/>
              <w:rPr>
                <w:rFonts w:ascii="宋体" w:hAnsi="宋体" w:eastAsia="宋体" w:cs="Times New Roman"/>
                <w:color w:val="auto"/>
              </w:rPr>
            </w:pPr>
            <w:r>
              <w:rPr>
                <w:rFonts w:hint="eastAsia" w:ascii="宋体" w:hAnsi="宋体" w:eastAsia="宋体" w:cs="宋体"/>
                <w:color w:val="auto"/>
                <w:kern w:val="0"/>
              </w:rPr>
              <w:t>自合同签订之日起</w:t>
            </w:r>
            <w:r>
              <w:rPr>
                <w:rFonts w:hint="eastAsia" w:ascii="宋体" w:hAnsi="宋体" w:eastAsia="宋体" w:cs="宋体"/>
                <w:color w:val="auto"/>
                <w:kern w:val="0"/>
                <w:lang w:val="en-US" w:eastAsia="zh-CN"/>
              </w:rPr>
              <w:t>60</w:t>
            </w:r>
            <w:r>
              <w:rPr>
                <w:rFonts w:hint="eastAsia" w:ascii="宋体" w:hAnsi="宋体" w:eastAsia="宋体" w:cs="宋体"/>
                <w:color w:val="auto"/>
                <w:kern w:val="0"/>
                <w:lang w:eastAsia="zh-CN"/>
              </w:rPr>
              <w:t>日历天</w:t>
            </w:r>
            <w:r>
              <w:rPr>
                <w:rFonts w:ascii="宋体" w:hAnsi="宋体" w:eastAsia="宋体" w:cs="宋体"/>
                <w:color w:val="auto"/>
                <w:kern w:val="0"/>
              </w:rPr>
              <w:t>天内完成安装、调试、验收合格并投入使用。</w:t>
            </w:r>
          </w:p>
        </w:tc>
      </w:tr>
      <w:tr w14:paraId="141C48C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8177CE3">
            <w:pPr>
              <w:spacing w:before="156" w:beforeLines="50" w:line="360" w:lineRule="auto"/>
              <w:jc w:val="center"/>
              <w:rPr>
                <w:rFonts w:ascii="宋体" w:hAnsi="宋体" w:eastAsia="宋体" w:cs="宋体"/>
                <w:color w:val="auto"/>
              </w:rPr>
            </w:pPr>
            <w:r>
              <w:rPr>
                <w:rFonts w:ascii="宋体" w:hAnsi="宋体" w:eastAsia="宋体" w:cs="宋体"/>
                <w:color w:val="auto"/>
              </w:rPr>
              <w:t>1.3.3</w:t>
            </w:r>
          </w:p>
        </w:tc>
        <w:tc>
          <w:tcPr>
            <w:tcW w:w="2693" w:type="dxa"/>
            <w:vAlign w:val="center"/>
          </w:tcPr>
          <w:p w14:paraId="765EE2A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质量标准</w:t>
            </w:r>
          </w:p>
        </w:tc>
        <w:tc>
          <w:tcPr>
            <w:tcW w:w="5670" w:type="dxa"/>
            <w:vAlign w:val="center"/>
          </w:tcPr>
          <w:p w14:paraId="526E363A">
            <w:pPr>
              <w:spacing w:before="156" w:beforeLines="50" w:line="360" w:lineRule="auto"/>
              <w:rPr>
                <w:rFonts w:ascii="宋体" w:hAnsi="宋体" w:eastAsia="宋体" w:cs="宋体"/>
                <w:color w:val="auto"/>
              </w:rPr>
            </w:pPr>
            <w:r>
              <w:rPr>
                <w:rFonts w:hint="eastAsia" w:ascii="宋体" w:hAnsi="宋体" w:eastAsia="宋体" w:cs="宋体"/>
                <w:color w:val="auto"/>
              </w:rPr>
              <w:t>全新、符合国家质量标准、国内有关部门手续完备、具有生产厂家质量保证书（或合格证明）的货物，且一次性验收合格交付使用</w:t>
            </w:r>
            <w:r>
              <w:rPr>
                <w:rFonts w:ascii="宋体" w:hAnsi="宋体" w:eastAsia="宋体" w:cs="宋体"/>
                <w:color w:val="auto"/>
              </w:rPr>
              <w:t>。</w:t>
            </w:r>
          </w:p>
        </w:tc>
      </w:tr>
      <w:tr w14:paraId="62838CF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4EA4F8A">
            <w:pPr>
              <w:spacing w:before="156" w:beforeLines="50" w:line="360" w:lineRule="auto"/>
              <w:jc w:val="center"/>
              <w:rPr>
                <w:rFonts w:ascii="宋体" w:hAnsi="宋体" w:eastAsia="宋体" w:cs="宋体"/>
                <w:color w:val="auto"/>
              </w:rPr>
            </w:pPr>
            <w:r>
              <w:rPr>
                <w:rFonts w:ascii="宋体" w:hAnsi="宋体" w:eastAsia="宋体" w:cs="宋体"/>
                <w:color w:val="auto"/>
              </w:rPr>
              <w:t>1.4.1</w:t>
            </w:r>
          </w:p>
        </w:tc>
        <w:tc>
          <w:tcPr>
            <w:tcW w:w="2693" w:type="dxa"/>
            <w:vAlign w:val="center"/>
          </w:tcPr>
          <w:p w14:paraId="4C996E8F">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投标人资格要求</w:t>
            </w:r>
          </w:p>
        </w:tc>
        <w:tc>
          <w:tcPr>
            <w:tcW w:w="5670" w:type="dxa"/>
            <w:vAlign w:val="center"/>
          </w:tcPr>
          <w:p w14:paraId="26A8AFDE">
            <w:pPr>
              <w:spacing w:before="156" w:beforeLines="50" w:line="360" w:lineRule="auto"/>
              <w:rPr>
                <w:rFonts w:ascii="宋体" w:hAnsi="宋体" w:eastAsia="宋体" w:cs="Times New Roman"/>
                <w:color w:val="auto"/>
              </w:rPr>
            </w:pPr>
            <w:r>
              <w:rPr>
                <w:rFonts w:hint="eastAsia" w:ascii="宋体" w:hAnsi="宋体" w:eastAsia="宋体" w:cs="宋体"/>
                <w:color w:val="auto"/>
              </w:rPr>
              <w:t>（一）满足《中华人民共和国政府采购法》第二十二条规定：</w:t>
            </w:r>
          </w:p>
          <w:p w14:paraId="78D250C5">
            <w:pPr>
              <w:adjustRightInd w:val="0"/>
              <w:spacing w:line="360" w:lineRule="auto"/>
              <w:jc w:val="left"/>
              <w:rPr>
                <w:rFonts w:ascii="宋体" w:hAnsi="宋体" w:eastAsia="宋体" w:cs="宋体"/>
                <w:color w:val="auto"/>
              </w:rPr>
            </w:pPr>
            <w:r>
              <w:rPr>
                <w:rFonts w:hint="eastAsia" w:ascii="宋体" w:hAnsi="宋体" w:eastAsia="宋体" w:cs="宋体"/>
                <w:color w:val="auto"/>
              </w:rPr>
              <w:t>1.1具有独立承担民事责任的能力。提供法人或者其他组织的营业执照等证明文件。</w:t>
            </w:r>
          </w:p>
          <w:p w14:paraId="7D0FD979">
            <w:pPr>
              <w:adjustRightInd w:val="0"/>
              <w:spacing w:line="360" w:lineRule="auto"/>
              <w:jc w:val="left"/>
              <w:rPr>
                <w:rFonts w:ascii="宋体" w:hAnsi="宋体" w:eastAsia="宋体" w:cs="宋体"/>
                <w:color w:val="auto"/>
              </w:rPr>
            </w:pPr>
            <w:r>
              <w:rPr>
                <w:rFonts w:hint="eastAsia" w:ascii="宋体" w:hAnsi="宋体" w:eastAsia="宋体" w:cs="宋体"/>
                <w:color w:val="auto"/>
              </w:rPr>
              <w:t>1.2具有良好的商业信誉和健全的财务会计制度。供应商须提供2022年或2023年经审计的财务报告（包括资产负债表、利润表、现金流量表、所有者权益变动表及其附注），新成立不满1年的供应商提供自成立至今的财务报表；</w:t>
            </w:r>
          </w:p>
          <w:p w14:paraId="5C1E019B">
            <w:pPr>
              <w:adjustRightInd w:val="0"/>
              <w:spacing w:line="360" w:lineRule="auto"/>
              <w:jc w:val="left"/>
              <w:rPr>
                <w:rFonts w:ascii="宋体" w:hAnsi="宋体" w:eastAsia="宋体" w:cs="宋体"/>
                <w:color w:val="auto"/>
              </w:rPr>
            </w:pPr>
            <w:r>
              <w:rPr>
                <w:rFonts w:hint="eastAsia" w:ascii="宋体" w:hAnsi="宋体" w:eastAsia="宋体" w:cs="宋体"/>
                <w:color w:val="auto"/>
              </w:rPr>
              <w:t>1.3具有履行合同所必需的设备和专业技术能力。提供具备履行合同所必需的设备和专业技术能力的证明材料。</w:t>
            </w:r>
          </w:p>
          <w:p w14:paraId="4DAC04D5">
            <w:pPr>
              <w:adjustRightInd w:val="0"/>
              <w:spacing w:line="360" w:lineRule="auto"/>
              <w:jc w:val="left"/>
              <w:rPr>
                <w:rFonts w:ascii="宋体" w:hAnsi="宋体" w:eastAsia="宋体" w:cs="宋体"/>
                <w:color w:val="auto"/>
              </w:rPr>
            </w:pPr>
            <w:r>
              <w:rPr>
                <w:rFonts w:hint="eastAsia" w:ascii="宋体" w:hAnsi="宋体" w:eastAsia="宋体" w:cs="宋体"/>
                <w:color w:val="auto"/>
              </w:rPr>
              <w:t>1.4有依法缴纳税收和社会保障资金的良好记录。提供2023年6月至今任意3个月依法缴纳税收和缴纳社会保障资金的证明（成立未满3个月的提供成立以来的税收和社会保障资金缴纳凭据；依法免税或不需要缴纳社会保障资金的供应商，应提供相应文件证明其依法免税或不需要缴纳社会保障资金）。</w:t>
            </w:r>
          </w:p>
          <w:p w14:paraId="7E7DC88F">
            <w:pPr>
              <w:adjustRightInd w:val="0"/>
              <w:spacing w:line="360" w:lineRule="auto"/>
              <w:jc w:val="left"/>
              <w:rPr>
                <w:rFonts w:ascii="宋体" w:hAnsi="宋体" w:eastAsia="宋体" w:cs="宋体"/>
                <w:color w:val="auto"/>
              </w:rPr>
            </w:pPr>
            <w:r>
              <w:rPr>
                <w:rFonts w:hint="eastAsia" w:ascii="宋体" w:hAnsi="宋体" w:eastAsia="宋体" w:cs="宋体"/>
                <w:color w:val="auto"/>
              </w:rPr>
              <w:t>1.5参加政府采购活动前三年内，在经营活动中没有重大违法记录。提供参加政府采购活动前三年内在经营活动中没有重大违法记录的书面声明。</w:t>
            </w:r>
          </w:p>
          <w:p w14:paraId="04ED420B">
            <w:pPr>
              <w:adjustRightInd w:val="0"/>
              <w:spacing w:line="360" w:lineRule="auto"/>
              <w:jc w:val="left"/>
              <w:rPr>
                <w:rFonts w:ascii="宋体" w:hAnsi="宋体" w:eastAsia="宋体" w:cs="宋体"/>
                <w:color w:val="auto"/>
              </w:rPr>
            </w:pPr>
            <w:r>
              <w:rPr>
                <w:rFonts w:hint="eastAsia" w:ascii="宋体" w:hAnsi="宋体" w:eastAsia="宋体" w:cs="宋体"/>
                <w:color w:val="auto"/>
              </w:rPr>
              <w:t>1.6法律、行政法规规定的其他条件。</w:t>
            </w:r>
          </w:p>
          <w:p w14:paraId="5CA567EE">
            <w:pPr>
              <w:adjustRightInd w:val="0"/>
              <w:spacing w:line="360" w:lineRule="auto"/>
              <w:jc w:val="left"/>
              <w:rPr>
                <w:rFonts w:ascii="宋体" w:hAnsi="宋体" w:eastAsia="宋体" w:cs="宋体"/>
                <w:color w:val="auto"/>
              </w:rPr>
            </w:pPr>
            <w:r>
              <w:rPr>
                <w:rFonts w:hint="eastAsia" w:ascii="宋体" w:hAnsi="宋体" w:eastAsia="宋体" w:cs="宋体"/>
                <w:color w:val="auto"/>
              </w:rPr>
              <w:t>（二）</w:t>
            </w:r>
            <w:r>
              <w:rPr>
                <w:rFonts w:ascii="宋体" w:hAnsi="宋体" w:eastAsia="宋体" w:cs="宋体"/>
                <w:color w:val="auto"/>
              </w:rPr>
              <w:t>落实政府采购政策需满足的资格要求：</w:t>
            </w:r>
            <w:r>
              <w:rPr>
                <w:rFonts w:hint="eastAsia" w:ascii="宋体" w:hAnsi="宋体" w:eastAsia="宋体" w:cs="宋体"/>
                <w:color w:val="auto"/>
              </w:rPr>
              <w:t>无，本项目非专门面向中小企业采购。</w:t>
            </w:r>
          </w:p>
          <w:p w14:paraId="72731336">
            <w:pPr>
              <w:adjustRightInd w:val="0"/>
              <w:spacing w:line="360" w:lineRule="auto"/>
              <w:jc w:val="left"/>
              <w:rPr>
                <w:rFonts w:ascii="宋体" w:hAnsi="宋体" w:eastAsia="宋体" w:cs="宋体"/>
                <w:color w:val="auto"/>
              </w:rPr>
            </w:pPr>
            <w:r>
              <w:rPr>
                <w:rFonts w:hint="eastAsia" w:ascii="宋体" w:hAnsi="宋体" w:eastAsia="宋体" w:cs="宋体"/>
                <w:color w:val="auto"/>
              </w:rPr>
              <w:t>（三）特定资格要求：</w:t>
            </w:r>
          </w:p>
          <w:p w14:paraId="2FCA8955">
            <w:pPr>
              <w:spacing w:before="156" w:beforeLines="50" w:line="360" w:lineRule="auto"/>
              <w:rPr>
                <w:rFonts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投标人在递交投标文件截止时间前未被列入“信用中国”网站(www.creditchina.gov.cn)失信被执行人、重大税收违法案件当事人名单，中国政府采购网(www.ccgp.gov.cn) 政府采购严重违法失信行为记录名单。</w:t>
            </w:r>
          </w:p>
          <w:p w14:paraId="551B2557">
            <w:pPr>
              <w:spacing w:before="156" w:beforeLines="50" w:line="360" w:lineRule="auto"/>
              <w:rPr>
                <w:rFonts w:ascii="宋体" w:hAnsi="宋体" w:eastAsia="宋体" w:cs="Times New Roman"/>
                <w:color w:val="auto"/>
              </w:rPr>
            </w:pPr>
            <w:r>
              <w:rPr>
                <w:rFonts w:hint="eastAsia" w:ascii="宋体" w:hAnsi="宋体" w:eastAsia="宋体" w:cs="宋体"/>
                <w:color w:val="auto"/>
              </w:rPr>
              <w:t>2</w:t>
            </w:r>
            <w:r>
              <w:rPr>
                <w:rFonts w:ascii="宋体" w:hAnsi="宋体" w:eastAsia="宋体" w:cs="宋体"/>
                <w:color w:val="auto"/>
              </w:rPr>
              <w:t>.</w:t>
            </w:r>
            <w:r>
              <w:rPr>
                <w:rFonts w:hint="eastAsia" w:ascii="宋体" w:hAnsi="宋体" w:eastAsia="宋体" w:cs="宋体"/>
                <w:color w:val="auto"/>
              </w:rPr>
              <w:t>单位负责人为同一人或者存在控股、管理关系的不同单位，不得同时参加本采购项目投标。</w:t>
            </w:r>
          </w:p>
          <w:p w14:paraId="607ACE7B">
            <w:pPr>
              <w:spacing w:before="156" w:beforeLines="50" w:line="360" w:lineRule="auto"/>
              <w:rPr>
                <w:rFonts w:ascii="宋体" w:hAnsi="宋体" w:eastAsia="宋体" w:cs="Times New Roman"/>
                <w:color w:val="auto"/>
              </w:rPr>
            </w:pPr>
            <w:r>
              <w:rPr>
                <w:rFonts w:hint="eastAsia" w:ascii="宋体" w:hAnsi="宋体" w:eastAsia="宋体" w:cs="宋体"/>
                <w:color w:val="auto"/>
              </w:rPr>
              <w:t>3</w:t>
            </w:r>
            <w:r>
              <w:rPr>
                <w:rFonts w:ascii="宋体" w:hAnsi="宋体" w:eastAsia="宋体" w:cs="宋体"/>
                <w:color w:val="auto"/>
              </w:rPr>
              <w:t>.</w:t>
            </w:r>
            <w:r>
              <w:rPr>
                <w:rFonts w:hint="eastAsia" w:ascii="宋体" w:hAnsi="宋体" w:eastAsia="宋体" w:cs="宋体"/>
                <w:color w:val="auto"/>
              </w:rPr>
              <w:t>投标人不得存在下列情形之一：</w:t>
            </w:r>
          </w:p>
          <w:p w14:paraId="4A1A99DE">
            <w:pPr>
              <w:spacing w:before="156" w:beforeLines="5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）被暂停、取消投标或禁止参加采购活动且处于有效期内的；</w:t>
            </w:r>
          </w:p>
          <w:p w14:paraId="0E5604B8">
            <w:pPr>
              <w:spacing w:before="156" w:beforeLines="5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）处于被责令停产停业、暂扣或者吊销执照、暂扣或者吊销许可证、吊销资质证书状态；</w:t>
            </w:r>
          </w:p>
          <w:p w14:paraId="0BE2E0BD">
            <w:pPr>
              <w:spacing w:before="156" w:beforeLines="50" w:line="360" w:lineRule="auto"/>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）进入清算程序，或被宣告破产，或其他丧失履约能力的情形。</w:t>
            </w:r>
          </w:p>
        </w:tc>
      </w:tr>
      <w:tr w14:paraId="3F2AA36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DFE0712">
            <w:pPr>
              <w:spacing w:before="156" w:beforeLines="50" w:line="360" w:lineRule="auto"/>
              <w:jc w:val="center"/>
              <w:rPr>
                <w:rFonts w:ascii="宋体" w:hAnsi="宋体" w:eastAsia="宋体" w:cs="宋体"/>
                <w:color w:val="auto"/>
              </w:rPr>
            </w:pPr>
            <w:r>
              <w:rPr>
                <w:rFonts w:ascii="宋体" w:hAnsi="宋体" w:eastAsia="宋体" w:cs="宋体"/>
                <w:color w:val="auto"/>
              </w:rPr>
              <w:t>1.4.2</w:t>
            </w:r>
          </w:p>
        </w:tc>
        <w:tc>
          <w:tcPr>
            <w:tcW w:w="2693" w:type="dxa"/>
            <w:vAlign w:val="center"/>
          </w:tcPr>
          <w:p w14:paraId="681993C7">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是否接受联合体</w:t>
            </w:r>
          </w:p>
        </w:tc>
        <w:tc>
          <w:tcPr>
            <w:tcW w:w="5670" w:type="dxa"/>
            <w:vAlign w:val="center"/>
          </w:tcPr>
          <w:p w14:paraId="44A30520">
            <w:pPr>
              <w:spacing w:before="156" w:beforeLines="50" w:line="360" w:lineRule="auto"/>
              <w:rPr>
                <w:rFonts w:ascii="宋体" w:hAnsi="宋体" w:eastAsia="宋体" w:cs="Times New Roman"/>
                <w:color w:val="auto"/>
              </w:rPr>
            </w:pPr>
            <w:r>
              <w:rPr>
                <w:rFonts w:hint="eastAsia" w:ascii="宋体" w:hAnsi="宋体" w:eastAsia="宋体" w:cs="宋体"/>
                <w:color w:val="auto"/>
              </w:rPr>
              <w:t>■不接受</w:t>
            </w:r>
          </w:p>
          <w:p w14:paraId="38C9FA8B">
            <w:pPr>
              <w:spacing w:before="156" w:beforeLines="50" w:line="360" w:lineRule="auto"/>
              <w:rPr>
                <w:rFonts w:ascii="宋体" w:hAnsi="宋体" w:eastAsia="宋体" w:cs="Times New Roman"/>
                <w:color w:val="auto"/>
              </w:rPr>
            </w:pPr>
            <w:r>
              <w:rPr>
                <w:rFonts w:hint="eastAsia" w:ascii="宋体" w:hAnsi="宋体" w:eastAsia="宋体" w:cs="宋体"/>
                <w:color w:val="auto"/>
              </w:rPr>
              <w:t>□接受，应满足下列要求：</w:t>
            </w:r>
          </w:p>
        </w:tc>
      </w:tr>
      <w:tr w14:paraId="6CD46C7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CF7EFAE">
            <w:pPr>
              <w:spacing w:before="156" w:beforeLines="50" w:line="360" w:lineRule="auto"/>
              <w:jc w:val="center"/>
              <w:rPr>
                <w:rFonts w:ascii="宋体" w:hAnsi="宋体" w:eastAsia="宋体" w:cs="宋体"/>
                <w:color w:val="auto"/>
              </w:rPr>
            </w:pPr>
            <w:r>
              <w:rPr>
                <w:rFonts w:ascii="宋体" w:hAnsi="宋体" w:eastAsia="宋体" w:cs="宋体"/>
                <w:color w:val="auto"/>
              </w:rPr>
              <w:t>1.9.1</w:t>
            </w:r>
          </w:p>
        </w:tc>
        <w:tc>
          <w:tcPr>
            <w:tcW w:w="2693" w:type="dxa"/>
            <w:vAlign w:val="center"/>
          </w:tcPr>
          <w:p w14:paraId="4AECADBF">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踏勘现场</w:t>
            </w:r>
          </w:p>
        </w:tc>
        <w:tc>
          <w:tcPr>
            <w:tcW w:w="5670" w:type="dxa"/>
            <w:vAlign w:val="center"/>
          </w:tcPr>
          <w:p w14:paraId="696C1A68">
            <w:pPr>
              <w:spacing w:before="156" w:beforeLines="50" w:line="360" w:lineRule="auto"/>
              <w:rPr>
                <w:rFonts w:ascii="宋体" w:hAnsi="宋体" w:eastAsia="宋体" w:cs="Times New Roman"/>
                <w:color w:val="auto"/>
              </w:rPr>
            </w:pPr>
            <w:r>
              <w:rPr>
                <w:rFonts w:hint="eastAsia" w:ascii="宋体" w:hAnsi="宋体" w:eastAsia="宋体" w:cs="宋体"/>
                <w:color w:val="auto"/>
              </w:rPr>
              <w:t>■不组织</w:t>
            </w:r>
          </w:p>
          <w:p w14:paraId="701289B3">
            <w:pPr>
              <w:spacing w:before="156" w:beforeLines="50" w:line="360" w:lineRule="auto"/>
              <w:rPr>
                <w:rFonts w:ascii="宋体" w:hAnsi="宋体" w:eastAsia="宋体" w:cs="Times New Roman"/>
                <w:color w:val="auto"/>
              </w:rPr>
            </w:pPr>
            <w:r>
              <w:rPr>
                <w:rFonts w:hint="eastAsia" w:ascii="宋体" w:hAnsi="宋体" w:eastAsia="宋体" w:cs="宋体"/>
                <w:color w:val="auto"/>
              </w:rPr>
              <w:t>□组织，踏勘时间：</w:t>
            </w:r>
          </w:p>
          <w:p w14:paraId="38196FE9">
            <w:pPr>
              <w:spacing w:before="156" w:beforeLines="50" w:line="360" w:lineRule="auto"/>
              <w:ind w:firstLine="840" w:firstLineChars="400"/>
              <w:rPr>
                <w:rFonts w:ascii="宋体" w:hAnsi="宋体" w:eastAsia="宋体" w:cs="Times New Roman"/>
                <w:color w:val="auto"/>
              </w:rPr>
            </w:pPr>
            <w:r>
              <w:rPr>
                <w:rFonts w:hint="eastAsia" w:ascii="宋体" w:hAnsi="宋体" w:eastAsia="宋体" w:cs="宋体"/>
                <w:color w:val="auto"/>
              </w:rPr>
              <w:t>踏勘集中地点：</w:t>
            </w:r>
          </w:p>
        </w:tc>
      </w:tr>
      <w:tr w14:paraId="0EF284A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E9BB52A">
            <w:pPr>
              <w:spacing w:before="156" w:beforeLines="50" w:line="360" w:lineRule="auto"/>
              <w:jc w:val="center"/>
              <w:rPr>
                <w:rFonts w:ascii="宋体" w:hAnsi="宋体" w:eastAsia="宋体" w:cs="宋体"/>
                <w:color w:val="auto"/>
              </w:rPr>
            </w:pPr>
            <w:r>
              <w:rPr>
                <w:rFonts w:ascii="宋体" w:hAnsi="宋体" w:eastAsia="宋体" w:cs="宋体"/>
                <w:color w:val="auto"/>
              </w:rPr>
              <w:t>1.10</w:t>
            </w:r>
          </w:p>
        </w:tc>
        <w:tc>
          <w:tcPr>
            <w:tcW w:w="2693" w:type="dxa"/>
            <w:vAlign w:val="center"/>
          </w:tcPr>
          <w:p w14:paraId="19FBFB8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投标预备会</w:t>
            </w:r>
          </w:p>
        </w:tc>
        <w:tc>
          <w:tcPr>
            <w:tcW w:w="5670" w:type="dxa"/>
            <w:vAlign w:val="center"/>
          </w:tcPr>
          <w:p w14:paraId="476CD34A">
            <w:pPr>
              <w:spacing w:before="156" w:beforeLines="50" w:line="360" w:lineRule="auto"/>
              <w:rPr>
                <w:rFonts w:ascii="宋体" w:hAnsi="宋体" w:eastAsia="宋体" w:cs="Times New Roman"/>
                <w:color w:val="auto"/>
              </w:rPr>
            </w:pPr>
            <w:r>
              <w:rPr>
                <w:rFonts w:hint="eastAsia" w:ascii="宋体" w:hAnsi="宋体" w:eastAsia="宋体" w:cs="宋体"/>
                <w:color w:val="auto"/>
              </w:rPr>
              <w:t>■不召开</w:t>
            </w:r>
          </w:p>
          <w:p w14:paraId="41D27D2B">
            <w:pPr>
              <w:spacing w:before="156" w:beforeLines="50" w:line="360" w:lineRule="auto"/>
              <w:rPr>
                <w:rFonts w:ascii="宋体" w:hAnsi="宋体" w:eastAsia="宋体" w:cs="Times New Roman"/>
                <w:color w:val="auto"/>
              </w:rPr>
            </w:pPr>
            <w:r>
              <w:rPr>
                <w:rFonts w:hint="eastAsia" w:ascii="宋体" w:hAnsi="宋体" w:eastAsia="宋体" w:cs="宋体"/>
                <w:color w:val="auto"/>
              </w:rPr>
              <w:t>□召开，召开时间：</w:t>
            </w:r>
          </w:p>
          <w:p w14:paraId="15DE594E">
            <w:pPr>
              <w:spacing w:before="156" w:beforeLines="50" w:line="360" w:lineRule="auto"/>
              <w:ind w:firstLine="840" w:firstLineChars="400"/>
              <w:rPr>
                <w:rFonts w:ascii="宋体" w:hAnsi="宋体" w:eastAsia="宋体" w:cs="Times New Roman"/>
                <w:color w:val="auto"/>
              </w:rPr>
            </w:pPr>
            <w:r>
              <w:rPr>
                <w:rFonts w:hint="eastAsia" w:ascii="宋体" w:hAnsi="宋体" w:eastAsia="宋体" w:cs="宋体"/>
                <w:color w:val="auto"/>
              </w:rPr>
              <w:t>召开地点：</w:t>
            </w:r>
          </w:p>
        </w:tc>
      </w:tr>
      <w:tr w14:paraId="6B79D51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3F9A4CE">
            <w:pPr>
              <w:spacing w:before="156" w:beforeLines="50" w:line="360" w:lineRule="auto"/>
              <w:jc w:val="center"/>
              <w:rPr>
                <w:rFonts w:ascii="宋体" w:hAnsi="宋体" w:eastAsia="宋体" w:cs="宋体"/>
                <w:color w:val="auto"/>
              </w:rPr>
            </w:pPr>
            <w:r>
              <w:rPr>
                <w:rFonts w:ascii="宋体" w:hAnsi="宋体" w:eastAsia="宋体" w:cs="宋体"/>
                <w:color w:val="auto"/>
              </w:rPr>
              <w:t>1.12.2</w:t>
            </w:r>
          </w:p>
        </w:tc>
        <w:tc>
          <w:tcPr>
            <w:tcW w:w="2693" w:type="dxa"/>
            <w:vAlign w:val="center"/>
          </w:tcPr>
          <w:p w14:paraId="5CDC8324">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对非关键条款的偏差</w:t>
            </w:r>
          </w:p>
        </w:tc>
        <w:tc>
          <w:tcPr>
            <w:tcW w:w="5670" w:type="dxa"/>
            <w:vAlign w:val="center"/>
          </w:tcPr>
          <w:p w14:paraId="07BF00B1">
            <w:pPr>
              <w:spacing w:before="156" w:beforeLines="50" w:line="360" w:lineRule="auto"/>
              <w:rPr>
                <w:rFonts w:ascii="宋体" w:hAnsi="宋体" w:eastAsia="宋体" w:cs="Times New Roman"/>
                <w:color w:val="auto"/>
              </w:rPr>
            </w:pPr>
            <w:r>
              <w:rPr>
                <w:rFonts w:hint="eastAsia" w:ascii="宋体" w:hAnsi="宋体" w:eastAsia="宋体" w:cs="宋体"/>
                <w:color w:val="auto"/>
              </w:rPr>
              <w:t>允许偏差的范围：满足使用功能条件下允许细微偏差</w:t>
            </w:r>
          </w:p>
          <w:p w14:paraId="38168660">
            <w:pPr>
              <w:spacing w:before="156" w:beforeLines="50" w:line="360" w:lineRule="auto"/>
              <w:rPr>
                <w:rFonts w:ascii="宋体" w:hAnsi="宋体" w:eastAsia="宋体" w:cs="Times New Roman"/>
                <w:color w:val="auto"/>
              </w:rPr>
            </w:pPr>
            <w:r>
              <w:rPr>
                <w:rFonts w:hint="eastAsia" w:ascii="宋体" w:hAnsi="宋体" w:eastAsia="宋体" w:cs="宋体"/>
                <w:color w:val="auto"/>
              </w:rPr>
              <w:t>允许偏差的项数：</w:t>
            </w:r>
            <w:r>
              <w:rPr>
                <w:rFonts w:ascii="宋体" w:hAnsi="宋体" w:eastAsia="宋体" w:cs="宋体"/>
                <w:color w:val="auto"/>
                <w:u w:val="single"/>
              </w:rPr>
              <w:t xml:space="preserve">/ </w:t>
            </w:r>
            <w:r>
              <w:rPr>
                <w:rFonts w:hint="eastAsia" w:ascii="宋体" w:hAnsi="宋体" w:eastAsia="宋体" w:cs="宋体"/>
                <w:color w:val="auto"/>
              </w:rPr>
              <w:t>项</w:t>
            </w:r>
          </w:p>
        </w:tc>
      </w:tr>
      <w:tr w14:paraId="7F68C0D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69D371B">
            <w:pPr>
              <w:spacing w:before="156" w:beforeLines="50" w:line="360" w:lineRule="auto"/>
              <w:jc w:val="center"/>
              <w:rPr>
                <w:rFonts w:ascii="宋体" w:hAnsi="宋体" w:eastAsia="宋体" w:cs="宋体"/>
                <w:color w:val="auto"/>
              </w:rPr>
            </w:pPr>
            <w:r>
              <w:rPr>
                <w:rFonts w:ascii="宋体" w:hAnsi="宋体" w:eastAsia="宋体" w:cs="宋体"/>
                <w:color w:val="auto"/>
              </w:rPr>
              <w:t>2.1</w:t>
            </w:r>
          </w:p>
        </w:tc>
        <w:tc>
          <w:tcPr>
            <w:tcW w:w="2693" w:type="dxa"/>
            <w:vAlign w:val="center"/>
          </w:tcPr>
          <w:p w14:paraId="72E0E6A9">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构成招标文件的其他资料</w:t>
            </w:r>
          </w:p>
        </w:tc>
        <w:tc>
          <w:tcPr>
            <w:tcW w:w="5670" w:type="dxa"/>
            <w:vAlign w:val="center"/>
          </w:tcPr>
          <w:p w14:paraId="58828D7E">
            <w:pPr>
              <w:spacing w:before="156" w:beforeLines="50" w:line="360" w:lineRule="auto"/>
              <w:rPr>
                <w:rFonts w:ascii="宋体" w:hAnsi="宋体" w:eastAsia="宋体" w:cs="Times New Roman"/>
                <w:color w:val="auto"/>
              </w:rPr>
            </w:pPr>
            <w:r>
              <w:rPr>
                <w:rFonts w:hint="eastAsia" w:ascii="宋体" w:hAnsi="宋体" w:eastAsia="宋体" w:cs="宋体"/>
                <w:color w:val="auto"/>
              </w:rPr>
              <w:t>资料名称：</w:t>
            </w:r>
            <w:r>
              <w:rPr>
                <w:rFonts w:ascii="宋体" w:hAnsi="宋体" w:eastAsia="宋体" w:cs="宋体"/>
                <w:color w:val="auto"/>
                <w:u w:val="single"/>
              </w:rPr>
              <w:t xml:space="preserve"> </w:t>
            </w:r>
            <w:r>
              <w:rPr>
                <w:rFonts w:hint="eastAsia" w:ascii="宋体" w:hAnsi="宋体" w:eastAsia="宋体" w:cs="宋体"/>
                <w:color w:val="auto"/>
                <w:u w:val="single"/>
              </w:rPr>
              <w:t>澄清、修改等补充文件</w:t>
            </w:r>
          </w:p>
        </w:tc>
      </w:tr>
      <w:tr w14:paraId="3B9A327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7B27C7B">
            <w:pPr>
              <w:spacing w:before="156" w:beforeLines="50" w:line="360" w:lineRule="auto"/>
              <w:jc w:val="center"/>
              <w:rPr>
                <w:rFonts w:ascii="宋体" w:hAnsi="宋体" w:eastAsia="宋体" w:cs="宋体"/>
                <w:color w:val="auto"/>
              </w:rPr>
            </w:pPr>
            <w:r>
              <w:rPr>
                <w:rFonts w:ascii="宋体" w:hAnsi="宋体" w:eastAsia="宋体" w:cs="宋体"/>
                <w:color w:val="auto"/>
              </w:rPr>
              <w:t>2.2.1</w:t>
            </w:r>
          </w:p>
        </w:tc>
        <w:tc>
          <w:tcPr>
            <w:tcW w:w="2693" w:type="dxa"/>
            <w:vAlign w:val="center"/>
          </w:tcPr>
          <w:p w14:paraId="3292BA01">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投标人要求澄清招标文件的时间</w:t>
            </w:r>
          </w:p>
        </w:tc>
        <w:tc>
          <w:tcPr>
            <w:tcW w:w="5670" w:type="dxa"/>
            <w:vAlign w:val="center"/>
          </w:tcPr>
          <w:p w14:paraId="4F1C31CB">
            <w:pPr>
              <w:spacing w:before="156" w:beforeLines="50" w:line="360" w:lineRule="auto"/>
              <w:rPr>
                <w:rFonts w:ascii="宋体" w:hAnsi="宋体" w:eastAsia="宋体" w:cs="Times New Roman"/>
                <w:color w:val="auto"/>
              </w:rPr>
            </w:pPr>
            <w:r>
              <w:rPr>
                <w:rFonts w:hint="eastAsia" w:ascii="宋体" w:hAnsi="宋体" w:eastAsia="宋体" w:cs="宋体"/>
                <w:color w:val="auto"/>
              </w:rPr>
              <w:t>截止时间：</w:t>
            </w:r>
            <w:r>
              <w:rPr>
                <w:rFonts w:hint="eastAsia" w:ascii="宋体" w:hAnsi="宋体" w:eastAsia="宋体" w:cs="宋体"/>
                <w:color w:val="auto"/>
                <w:u w:val="single"/>
              </w:rPr>
              <w:t>获取采购文件期限届满之日起</w:t>
            </w:r>
            <w:r>
              <w:rPr>
                <w:rFonts w:ascii="宋体" w:hAnsi="宋体" w:eastAsia="宋体" w:cs="宋体"/>
                <w:color w:val="auto"/>
                <w:u w:val="single"/>
              </w:rPr>
              <w:t>7</w:t>
            </w:r>
            <w:r>
              <w:rPr>
                <w:rFonts w:hint="eastAsia" w:ascii="宋体" w:hAnsi="宋体" w:eastAsia="宋体" w:cs="宋体"/>
                <w:color w:val="auto"/>
                <w:u w:val="single"/>
              </w:rPr>
              <w:t>个工作日内</w:t>
            </w:r>
          </w:p>
        </w:tc>
      </w:tr>
      <w:tr w14:paraId="02162E6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65FA1E1">
            <w:pPr>
              <w:spacing w:before="156" w:beforeLines="50" w:line="360" w:lineRule="auto"/>
              <w:jc w:val="center"/>
              <w:rPr>
                <w:rFonts w:ascii="宋体" w:hAnsi="宋体" w:eastAsia="宋体" w:cs="宋体"/>
                <w:color w:val="auto"/>
              </w:rPr>
            </w:pPr>
            <w:r>
              <w:rPr>
                <w:rFonts w:ascii="宋体" w:hAnsi="宋体" w:eastAsia="宋体" w:cs="宋体"/>
                <w:color w:val="auto"/>
              </w:rPr>
              <w:t>3.1.1</w:t>
            </w:r>
          </w:p>
        </w:tc>
        <w:tc>
          <w:tcPr>
            <w:tcW w:w="2693" w:type="dxa"/>
            <w:vAlign w:val="center"/>
          </w:tcPr>
          <w:p w14:paraId="229F3E0E">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构成投标文件的其他资料</w:t>
            </w:r>
          </w:p>
        </w:tc>
        <w:tc>
          <w:tcPr>
            <w:tcW w:w="5670" w:type="dxa"/>
            <w:vAlign w:val="center"/>
          </w:tcPr>
          <w:p w14:paraId="3E2E6F23">
            <w:pPr>
              <w:spacing w:before="156" w:beforeLines="50" w:line="360" w:lineRule="auto"/>
              <w:rPr>
                <w:rFonts w:ascii="宋体" w:hAnsi="宋体" w:eastAsia="宋体" w:cs="Times New Roman"/>
                <w:color w:val="auto"/>
              </w:rPr>
            </w:pPr>
            <w:r>
              <w:rPr>
                <w:rFonts w:hint="eastAsia" w:ascii="宋体" w:hAnsi="宋体" w:eastAsia="宋体" w:cs="宋体"/>
                <w:color w:val="auto"/>
              </w:rPr>
              <w:t>资料名称：</w:t>
            </w:r>
            <w:r>
              <w:rPr>
                <w:rFonts w:ascii="宋体" w:hAnsi="宋体" w:eastAsia="宋体" w:cs="宋体"/>
                <w:color w:val="auto"/>
                <w:u w:val="single"/>
              </w:rPr>
              <w:t xml:space="preserve"> </w:t>
            </w:r>
            <w:r>
              <w:rPr>
                <w:rFonts w:hint="eastAsia" w:ascii="宋体" w:hAnsi="宋体" w:eastAsia="宋体" w:cs="宋体"/>
                <w:color w:val="auto"/>
                <w:u w:val="single"/>
              </w:rPr>
              <w:t>澄清、说明和补正</w:t>
            </w:r>
          </w:p>
        </w:tc>
      </w:tr>
      <w:tr w14:paraId="220E366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5E4C409">
            <w:pPr>
              <w:spacing w:before="156" w:beforeLines="50" w:line="360" w:lineRule="auto"/>
              <w:jc w:val="center"/>
              <w:rPr>
                <w:rFonts w:ascii="宋体" w:hAnsi="宋体" w:eastAsia="宋体" w:cs="宋体"/>
                <w:color w:val="auto"/>
              </w:rPr>
            </w:pPr>
            <w:r>
              <w:rPr>
                <w:rFonts w:ascii="宋体" w:hAnsi="宋体" w:eastAsia="宋体" w:cs="宋体"/>
                <w:color w:val="auto"/>
              </w:rPr>
              <w:t>3.2.2</w:t>
            </w:r>
          </w:p>
        </w:tc>
        <w:tc>
          <w:tcPr>
            <w:tcW w:w="2693" w:type="dxa"/>
            <w:vAlign w:val="center"/>
          </w:tcPr>
          <w:p w14:paraId="186FFFC8">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采购标的数量增减幅度</w:t>
            </w:r>
          </w:p>
        </w:tc>
        <w:tc>
          <w:tcPr>
            <w:tcW w:w="5670" w:type="dxa"/>
            <w:vAlign w:val="center"/>
          </w:tcPr>
          <w:p w14:paraId="02E31A08">
            <w:pPr>
              <w:spacing w:before="156" w:beforeLines="50" w:line="360" w:lineRule="auto"/>
              <w:rPr>
                <w:rFonts w:ascii="宋体" w:hAnsi="宋体" w:eastAsia="宋体" w:cs="宋体"/>
                <w:color w:val="auto"/>
              </w:rPr>
            </w:pPr>
            <w:r>
              <w:rPr>
                <w:rFonts w:hint="eastAsia" w:ascii="宋体" w:hAnsi="宋体" w:eastAsia="宋体" w:cs="宋体"/>
                <w:color w:val="auto"/>
              </w:rPr>
              <w:t>采购标的数量增减幅度：</w:t>
            </w:r>
            <w:r>
              <w:rPr>
                <w:rFonts w:ascii="宋体" w:hAnsi="宋体" w:eastAsia="宋体" w:cs="宋体"/>
                <w:color w:val="auto"/>
                <w:u w:val="single"/>
              </w:rPr>
              <w:t xml:space="preserve">/ </w:t>
            </w:r>
            <w:r>
              <w:rPr>
                <w:rFonts w:ascii="宋体" w:hAnsi="宋体" w:eastAsia="宋体" w:cs="宋体"/>
                <w:color w:val="auto"/>
              </w:rPr>
              <w:t>%</w:t>
            </w:r>
          </w:p>
        </w:tc>
      </w:tr>
      <w:tr w14:paraId="2346713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622B44A">
            <w:pPr>
              <w:spacing w:before="156" w:beforeLines="50" w:line="360" w:lineRule="auto"/>
              <w:jc w:val="center"/>
              <w:rPr>
                <w:rFonts w:ascii="宋体" w:hAnsi="宋体" w:eastAsia="宋体" w:cs="宋体"/>
                <w:color w:val="auto"/>
              </w:rPr>
            </w:pPr>
            <w:r>
              <w:rPr>
                <w:rFonts w:ascii="宋体" w:hAnsi="宋体" w:eastAsia="宋体" w:cs="宋体"/>
                <w:color w:val="auto"/>
              </w:rPr>
              <w:t>3.2.3</w:t>
            </w:r>
          </w:p>
        </w:tc>
        <w:tc>
          <w:tcPr>
            <w:tcW w:w="2693" w:type="dxa"/>
            <w:vAlign w:val="center"/>
          </w:tcPr>
          <w:p w14:paraId="25F94B58">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最高限价或其计算方法</w:t>
            </w:r>
          </w:p>
        </w:tc>
        <w:tc>
          <w:tcPr>
            <w:tcW w:w="5670" w:type="dxa"/>
            <w:vAlign w:val="center"/>
          </w:tcPr>
          <w:p w14:paraId="5326F61A">
            <w:pPr>
              <w:spacing w:before="156" w:beforeLines="50" w:line="360" w:lineRule="auto"/>
              <w:rPr>
                <w:rFonts w:ascii="宋体" w:hAnsi="宋体" w:eastAsia="宋体" w:cs="Times New Roman"/>
                <w:color w:val="auto"/>
              </w:rPr>
            </w:pPr>
            <w:r>
              <w:rPr>
                <w:rFonts w:hint="eastAsia" w:ascii="宋体" w:hAnsi="宋体" w:eastAsia="宋体" w:cs="宋体"/>
                <w:color w:val="auto"/>
              </w:rPr>
              <w:t>□无</w:t>
            </w:r>
          </w:p>
          <w:p w14:paraId="2CD64493">
            <w:pPr>
              <w:spacing w:before="156" w:beforeLines="50" w:line="360" w:lineRule="auto"/>
              <w:rPr>
                <w:rFonts w:ascii="宋体" w:hAnsi="宋体" w:eastAsia="宋体" w:cs="Times New Roman"/>
                <w:color w:val="auto"/>
              </w:rPr>
            </w:pPr>
            <w:r>
              <w:rPr>
                <w:rFonts w:hint="eastAsia" w:ascii="宋体" w:hAnsi="宋体" w:eastAsia="宋体" w:cs="宋体"/>
                <w:color w:val="auto"/>
              </w:rPr>
              <w:t>■有，最高限价或其计算方法：</w:t>
            </w:r>
          </w:p>
          <w:p w14:paraId="4DF7D0CC">
            <w:pPr>
              <w:spacing w:before="156" w:beforeLines="50" w:line="360" w:lineRule="auto"/>
              <w:ind w:firstLine="211" w:firstLineChars="100"/>
              <w:rPr>
                <w:rFonts w:ascii="宋体" w:hAnsi="宋体" w:eastAsia="宋体" w:cs="宋体"/>
                <w:b/>
                <w:bCs/>
                <w:color w:val="auto"/>
                <w:u w:val="single"/>
              </w:rPr>
            </w:pPr>
            <w:r>
              <w:rPr>
                <w:rFonts w:hint="eastAsia" w:ascii="宋体" w:hAnsi="宋体" w:eastAsia="宋体" w:cs="宋体"/>
                <w:b/>
                <w:bCs/>
                <w:color w:val="auto"/>
                <w:u w:val="single"/>
                <w:lang w:val="en-US" w:eastAsia="zh-CN"/>
              </w:rPr>
              <w:t>2</w:t>
            </w:r>
            <w:r>
              <w:rPr>
                <w:rFonts w:hint="eastAsia" w:ascii="宋体" w:hAnsi="宋体" w:eastAsia="宋体" w:cs="宋体"/>
                <w:b/>
                <w:bCs/>
                <w:color w:val="auto"/>
                <w:u w:val="single"/>
              </w:rPr>
              <w:t>4标段最高限价：</w:t>
            </w:r>
            <w:r>
              <w:rPr>
                <w:rFonts w:hint="eastAsia" w:ascii="宋体" w:hAnsi="宋体" w:eastAsia="宋体" w:cs="宋体"/>
                <w:b/>
                <w:bCs/>
                <w:color w:val="auto"/>
                <w:u w:val="single"/>
                <w:lang w:val="en-US" w:eastAsia="zh-CN"/>
              </w:rPr>
              <w:t>3950000.00</w:t>
            </w:r>
            <w:r>
              <w:rPr>
                <w:rFonts w:ascii="宋体" w:hAnsi="宋体" w:eastAsia="宋体" w:cs="宋体"/>
                <w:b/>
                <w:bCs/>
                <w:color w:val="auto"/>
                <w:u w:val="single"/>
              </w:rPr>
              <w:t>元（大写：</w:t>
            </w:r>
            <w:r>
              <w:rPr>
                <w:rFonts w:hint="eastAsia" w:ascii="宋体" w:hAnsi="宋体" w:eastAsia="宋体" w:cs="宋体"/>
                <w:b/>
                <w:bCs/>
                <w:color w:val="auto"/>
                <w:u w:val="single"/>
                <w:lang w:val="en-US" w:eastAsia="zh-CN"/>
              </w:rPr>
              <w:t>叁佰玖拾伍万元整</w:t>
            </w:r>
            <w:r>
              <w:rPr>
                <w:rFonts w:ascii="宋体" w:hAnsi="宋体" w:eastAsia="宋体" w:cs="宋体"/>
                <w:b/>
                <w:bCs/>
                <w:color w:val="auto"/>
                <w:u w:val="single"/>
              </w:rPr>
              <w:t>）。</w:t>
            </w:r>
          </w:p>
          <w:p w14:paraId="0DB94D9E">
            <w:pPr>
              <w:spacing w:before="156" w:beforeLines="50" w:line="360" w:lineRule="auto"/>
              <w:ind w:firstLine="211" w:firstLineChars="100"/>
              <w:rPr>
                <w:rFonts w:ascii="宋体" w:hAnsi="宋体" w:eastAsia="宋体" w:cs="Times New Roman"/>
                <w:color w:val="auto"/>
              </w:rPr>
            </w:pPr>
            <w:r>
              <w:rPr>
                <w:rFonts w:hint="eastAsia" w:ascii="宋体" w:hAnsi="宋体" w:eastAsia="宋体" w:cs="宋体"/>
                <w:b/>
                <w:bCs/>
                <w:color w:val="auto"/>
                <w:u w:val="single"/>
              </w:rPr>
              <w:t>投标人投标报价应不高于最高限价，否则其投标文件将被视为无效。</w:t>
            </w:r>
          </w:p>
        </w:tc>
      </w:tr>
      <w:tr w14:paraId="00316C0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016ED13">
            <w:pPr>
              <w:spacing w:before="156" w:beforeLines="50" w:line="360" w:lineRule="auto"/>
              <w:jc w:val="center"/>
              <w:rPr>
                <w:rFonts w:ascii="宋体" w:hAnsi="宋体" w:eastAsia="宋体" w:cs="宋体"/>
                <w:color w:val="auto"/>
              </w:rPr>
            </w:pPr>
            <w:r>
              <w:rPr>
                <w:rFonts w:ascii="宋体" w:hAnsi="宋体" w:eastAsia="宋体" w:cs="宋体"/>
                <w:color w:val="auto"/>
              </w:rPr>
              <w:t>3.2.4</w:t>
            </w:r>
          </w:p>
        </w:tc>
        <w:tc>
          <w:tcPr>
            <w:tcW w:w="2693" w:type="dxa"/>
            <w:vAlign w:val="center"/>
          </w:tcPr>
          <w:p w14:paraId="54818B1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投标报价的其他要求</w:t>
            </w:r>
          </w:p>
        </w:tc>
        <w:tc>
          <w:tcPr>
            <w:tcW w:w="5670" w:type="dxa"/>
            <w:vAlign w:val="center"/>
          </w:tcPr>
          <w:p w14:paraId="506104E8">
            <w:pPr>
              <w:spacing w:before="156" w:beforeLines="50" w:line="360" w:lineRule="auto"/>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）报价应包括为完成合同范围内所有货物供货所需的运输费、人工费、材料费、安装调试费、培训费、服务费（含质保期内售后）、管理费、利润、税金、保险、其他政策性文件规定费用等一切费用。</w:t>
            </w:r>
          </w:p>
          <w:p w14:paraId="5B410FFF">
            <w:pPr>
              <w:spacing w:before="156" w:beforeLines="5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投标人应依据招标文件要求，按国家及行业现行标准及规范，结合投标人自身实力情况自行测算出满足采购需求的报价。投标人所报的各分项投标单价在合同执行期间是固定不变的，不得以任何理由予以变更。任何包含价格调整要求的投标将被认定为非实质响应招标文件而被否决。</w:t>
            </w:r>
          </w:p>
          <w:p w14:paraId="5E3B93D7">
            <w:pPr>
              <w:spacing w:before="156" w:beforeLines="5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评标委员会经过对投标人的报价进行比较或基于专业经验认为某一投标人的报价过低，可能对其履约造成影响时，应当要求该投标人作出书面说明并提供相应的证明材料，如成本构成表，包含但不限于生产成本（如原材成本、生产设备损耗成本、安装成本等）、管理成本（人员工资、福利、社保等）、运输成本（汽油、过路费等）、税费等，并列明计算过程。投标人不能合理说明或者不能提供相应证明材料的，其投标文件将被视为无效。</w:t>
            </w:r>
          </w:p>
        </w:tc>
      </w:tr>
      <w:tr w14:paraId="3B5A95D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BBAB662">
            <w:pPr>
              <w:spacing w:before="156" w:beforeLines="50" w:line="360" w:lineRule="auto"/>
              <w:jc w:val="center"/>
              <w:rPr>
                <w:rFonts w:ascii="宋体" w:hAnsi="宋体" w:eastAsia="宋体" w:cs="宋体"/>
                <w:color w:val="auto"/>
              </w:rPr>
            </w:pPr>
            <w:r>
              <w:rPr>
                <w:rFonts w:ascii="宋体" w:hAnsi="宋体" w:eastAsia="宋体" w:cs="宋体"/>
                <w:color w:val="auto"/>
              </w:rPr>
              <w:t>3.3.1</w:t>
            </w:r>
          </w:p>
        </w:tc>
        <w:tc>
          <w:tcPr>
            <w:tcW w:w="2693" w:type="dxa"/>
            <w:vAlign w:val="center"/>
          </w:tcPr>
          <w:p w14:paraId="7693276D">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投标文件有效期</w:t>
            </w:r>
          </w:p>
        </w:tc>
        <w:tc>
          <w:tcPr>
            <w:tcW w:w="5670" w:type="dxa"/>
            <w:vAlign w:val="center"/>
          </w:tcPr>
          <w:p w14:paraId="3882977C">
            <w:pPr>
              <w:spacing w:before="156" w:beforeLines="50" w:line="360" w:lineRule="auto"/>
              <w:rPr>
                <w:rFonts w:ascii="宋体" w:hAnsi="宋体" w:eastAsia="宋体" w:cs="Times New Roman"/>
                <w:color w:val="auto"/>
              </w:rPr>
            </w:pPr>
            <w:r>
              <w:rPr>
                <w:rFonts w:ascii="宋体" w:hAnsi="宋体" w:eastAsia="宋体" w:cs="宋体"/>
                <w:color w:val="auto"/>
              </w:rPr>
              <w:t>90</w:t>
            </w:r>
            <w:r>
              <w:rPr>
                <w:rFonts w:hint="eastAsia" w:ascii="宋体" w:hAnsi="宋体" w:eastAsia="宋体" w:cs="宋体"/>
                <w:color w:val="auto"/>
              </w:rPr>
              <w:t>日历天</w:t>
            </w:r>
          </w:p>
        </w:tc>
      </w:tr>
      <w:tr w14:paraId="12FD752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2795265">
            <w:pPr>
              <w:spacing w:before="156" w:beforeLines="50" w:line="360" w:lineRule="auto"/>
              <w:jc w:val="center"/>
              <w:rPr>
                <w:rFonts w:ascii="宋体" w:hAnsi="宋体" w:eastAsia="宋体" w:cs="宋体"/>
                <w:color w:val="auto"/>
              </w:rPr>
            </w:pPr>
            <w:r>
              <w:rPr>
                <w:rFonts w:ascii="宋体" w:hAnsi="宋体" w:eastAsia="宋体" w:cs="宋体"/>
                <w:color w:val="auto"/>
              </w:rPr>
              <w:t>3.4.1</w:t>
            </w:r>
          </w:p>
        </w:tc>
        <w:tc>
          <w:tcPr>
            <w:tcW w:w="2693" w:type="dxa"/>
            <w:vAlign w:val="center"/>
          </w:tcPr>
          <w:p w14:paraId="36D3647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投标保证金</w:t>
            </w:r>
          </w:p>
        </w:tc>
        <w:tc>
          <w:tcPr>
            <w:tcW w:w="5670" w:type="dxa"/>
            <w:vAlign w:val="center"/>
          </w:tcPr>
          <w:p w14:paraId="0D0D2FBB">
            <w:pPr>
              <w:spacing w:before="156" w:beforeLines="50" w:line="360" w:lineRule="auto"/>
              <w:rPr>
                <w:rFonts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rPr>
              <w:t>不要求递交</w:t>
            </w:r>
          </w:p>
          <w:p w14:paraId="42BB0918">
            <w:pPr>
              <w:spacing w:before="156" w:beforeLines="50" w:line="360" w:lineRule="auto"/>
              <w:rPr>
                <w:color w:val="auto"/>
              </w:rPr>
            </w:pPr>
            <w:r>
              <w:rPr>
                <w:rFonts w:hint="eastAsia" w:ascii="宋体" w:hAnsi="宋体" w:eastAsia="宋体" w:cs="宋体"/>
                <w:color w:val="auto"/>
                <w:lang w:eastAsia="zh-CN"/>
              </w:rPr>
              <w:t>□</w:t>
            </w:r>
            <w:r>
              <w:rPr>
                <w:rFonts w:hint="eastAsia" w:ascii="宋体" w:hAnsi="宋体" w:eastAsia="宋体" w:cs="宋体"/>
                <w:color w:val="auto"/>
              </w:rPr>
              <w:t>要求递交</w:t>
            </w:r>
          </w:p>
        </w:tc>
      </w:tr>
      <w:tr w14:paraId="2F26623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FBDEFD3">
            <w:pPr>
              <w:spacing w:before="156" w:beforeLines="50" w:line="360" w:lineRule="auto"/>
              <w:jc w:val="center"/>
              <w:rPr>
                <w:rFonts w:ascii="宋体" w:hAnsi="宋体" w:eastAsia="宋体" w:cs="宋体"/>
                <w:color w:val="auto"/>
              </w:rPr>
            </w:pPr>
            <w:r>
              <w:rPr>
                <w:rFonts w:ascii="宋体" w:hAnsi="宋体" w:eastAsia="宋体" w:cs="宋体"/>
                <w:color w:val="auto"/>
              </w:rPr>
              <w:t>3.6.2</w:t>
            </w:r>
          </w:p>
        </w:tc>
        <w:tc>
          <w:tcPr>
            <w:tcW w:w="2693" w:type="dxa"/>
            <w:vAlign w:val="center"/>
          </w:tcPr>
          <w:p w14:paraId="43911480">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投标方案数量</w:t>
            </w:r>
          </w:p>
        </w:tc>
        <w:tc>
          <w:tcPr>
            <w:tcW w:w="5670" w:type="dxa"/>
            <w:vAlign w:val="center"/>
          </w:tcPr>
          <w:p w14:paraId="4D778134">
            <w:pPr>
              <w:spacing w:before="156" w:beforeLines="50" w:line="360" w:lineRule="auto"/>
              <w:rPr>
                <w:rFonts w:ascii="宋体" w:hAnsi="宋体" w:eastAsia="宋体" w:cs="Times New Roman"/>
                <w:color w:val="auto"/>
              </w:rPr>
            </w:pPr>
            <w:r>
              <w:rPr>
                <w:rFonts w:hint="eastAsia" w:ascii="宋体" w:hAnsi="宋体" w:eastAsia="宋体" w:cs="宋体"/>
                <w:color w:val="auto"/>
              </w:rPr>
              <w:t>■投标人只能提出唯一投标方案</w:t>
            </w:r>
          </w:p>
          <w:p w14:paraId="693C50D1">
            <w:pPr>
              <w:spacing w:before="156" w:beforeLines="50" w:line="360" w:lineRule="auto"/>
              <w:rPr>
                <w:rFonts w:ascii="宋体" w:hAnsi="宋体" w:eastAsia="宋体" w:cs="Times New Roman"/>
                <w:color w:val="auto"/>
              </w:rPr>
            </w:pPr>
            <w:r>
              <w:rPr>
                <w:rFonts w:hint="eastAsia" w:ascii="宋体" w:hAnsi="宋体" w:eastAsia="宋体" w:cs="宋体"/>
                <w:color w:val="auto"/>
              </w:rPr>
              <w:t>□投标人可提出多个投标方案</w:t>
            </w:r>
          </w:p>
        </w:tc>
      </w:tr>
      <w:tr w14:paraId="297332B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E90948C">
            <w:pPr>
              <w:spacing w:before="156" w:beforeLines="50" w:line="360" w:lineRule="auto"/>
              <w:jc w:val="center"/>
              <w:rPr>
                <w:rFonts w:ascii="宋体" w:hAnsi="宋体" w:eastAsia="宋体" w:cs="宋体"/>
                <w:color w:val="auto"/>
              </w:rPr>
            </w:pPr>
            <w:r>
              <w:rPr>
                <w:rFonts w:ascii="宋体" w:hAnsi="宋体" w:eastAsia="宋体" w:cs="宋体"/>
                <w:color w:val="auto"/>
              </w:rPr>
              <w:t>3.7.1</w:t>
            </w:r>
          </w:p>
        </w:tc>
        <w:tc>
          <w:tcPr>
            <w:tcW w:w="2693" w:type="dxa"/>
            <w:vAlign w:val="center"/>
          </w:tcPr>
          <w:p w14:paraId="796B1174">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电子投标文件要求</w:t>
            </w:r>
          </w:p>
        </w:tc>
        <w:tc>
          <w:tcPr>
            <w:tcW w:w="5670" w:type="dxa"/>
            <w:vAlign w:val="center"/>
          </w:tcPr>
          <w:p w14:paraId="393DBD8F">
            <w:pPr>
              <w:spacing w:before="156" w:beforeLines="50" w:line="360" w:lineRule="auto"/>
              <w:rPr>
                <w:rFonts w:ascii="宋体" w:hAnsi="宋体" w:eastAsia="宋体" w:cs="Times New Roman"/>
                <w:color w:val="auto"/>
              </w:rPr>
            </w:pPr>
            <w:r>
              <w:rPr>
                <w:rFonts w:hint="eastAsia" w:ascii="宋体" w:hAnsi="宋体" w:eastAsia="宋体" w:cs="宋体"/>
                <w:color w:val="auto"/>
              </w:rPr>
              <w:t>投标人应当在投标文件提交截止时间前完成电子投标文件的上传、提交，投标文件提交截止时间以后上传提交的，视为无效。</w:t>
            </w:r>
          </w:p>
        </w:tc>
      </w:tr>
      <w:tr w14:paraId="60E503A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6435231">
            <w:pPr>
              <w:spacing w:before="156" w:beforeLines="50" w:line="360" w:lineRule="auto"/>
              <w:jc w:val="center"/>
              <w:rPr>
                <w:rFonts w:ascii="宋体" w:hAnsi="宋体" w:eastAsia="宋体" w:cs="宋体"/>
                <w:color w:val="auto"/>
              </w:rPr>
            </w:pPr>
            <w:r>
              <w:rPr>
                <w:rFonts w:ascii="宋体" w:hAnsi="宋体" w:eastAsia="宋体" w:cs="宋体"/>
                <w:color w:val="auto"/>
              </w:rPr>
              <w:t>3.7.2</w:t>
            </w:r>
          </w:p>
        </w:tc>
        <w:tc>
          <w:tcPr>
            <w:tcW w:w="2693" w:type="dxa"/>
            <w:vAlign w:val="center"/>
          </w:tcPr>
          <w:p w14:paraId="125B071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投标文件电子签章及电子签名要求</w:t>
            </w:r>
          </w:p>
        </w:tc>
        <w:tc>
          <w:tcPr>
            <w:tcW w:w="5670" w:type="dxa"/>
            <w:vAlign w:val="center"/>
          </w:tcPr>
          <w:p w14:paraId="2D5EE987">
            <w:pPr>
              <w:spacing w:before="156" w:beforeLines="50" w:line="360" w:lineRule="auto"/>
              <w:rPr>
                <w:rFonts w:ascii="宋体" w:hAnsi="宋体" w:eastAsia="宋体" w:cs="Times New Roman"/>
                <w:color w:val="auto"/>
              </w:rPr>
            </w:pPr>
            <w:r>
              <w:rPr>
                <w:rFonts w:hint="eastAsia" w:ascii="宋体" w:hAnsi="宋体" w:eastAsia="宋体" w:cs="宋体"/>
                <w:color w:val="auto"/>
              </w:rPr>
              <w:t>按照投标文件格式，采用单位和个人数字证书电子签章及电子签名。</w:t>
            </w:r>
          </w:p>
          <w:p w14:paraId="5B5C5F98">
            <w:pPr>
              <w:spacing w:before="156" w:beforeLines="50" w:line="360" w:lineRule="auto"/>
              <w:rPr>
                <w:rFonts w:ascii="宋体" w:hAnsi="宋体" w:eastAsia="宋体" w:cs="Times New Roman"/>
                <w:b/>
                <w:bCs/>
                <w:color w:val="auto"/>
              </w:rPr>
            </w:pPr>
            <w:r>
              <w:rPr>
                <w:rFonts w:hint="eastAsia" w:ascii="宋体" w:hAnsi="宋体" w:eastAsia="宋体" w:cs="宋体"/>
                <w:b/>
                <w:bCs/>
                <w:color w:val="auto"/>
              </w:rPr>
              <w:t>注：投标文件中表述为“盖单位章”或“签字”之处，需提供加盖单位鲜章或手写签名的原件扫描件。</w:t>
            </w:r>
          </w:p>
        </w:tc>
      </w:tr>
      <w:tr w14:paraId="597241F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0AA7897">
            <w:pPr>
              <w:spacing w:before="156" w:beforeLines="50" w:line="360" w:lineRule="auto"/>
              <w:jc w:val="center"/>
              <w:rPr>
                <w:rFonts w:ascii="宋体" w:hAnsi="宋体" w:eastAsia="宋体" w:cs="宋体"/>
                <w:color w:val="auto"/>
              </w:rPr>
            </w:pPr>
            <w:r>
              <w:rPr>
                <w:rFonts w:ascii="宋体" w:hAnsi="宋体" w:eastAsia="宋体" w:cs="宋体"/>
                <w:color w:val="auto"/>
              </w:rPr>
              <w:t>4.2.1</w:t>
            </w:r>
          </w:p>
        </w:tc>
        <w:tc>
          <w:tcPr>
            <w:tcW w:w="2693" w:type="dxa"/>
            <w:vAlign w:val="center"/>
          </w:tcPr>
          <w:p w14:paraId="761FD75D">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递交投标文件截止时间</w:t>
            </w:r>
          </w:p>
        </w:tc>
        <w:tc>
          <w:tcPr>
            <w:tcW w:w="5670" w:type="dxa"/>
            <w:vAlign w:val="center"/>
          </w:tcPr>
          <w:p w14:paraId="57F19CD7">
            <w:pPr>
              <w:spacing w:before="156" w:beforeLines="50" w:line="360" w:lineRule="auto"/>
              <w:rPr>
                <w:rFonts w:ascii="宋体" w:hAnsi="宋体" w:eastAsia="宋体" w:cs="Times New Roman"/>
                <w:color w:val="auto"/>
              </w:rPr>
            </w:pPr>
            <w:r>
              <w:rPr>
                <w:rFonts w:hint="eastAsia" w:ascii="宋体" w:hAnsi="宋体" w:eastAsia="宋体" w:cs="宋体"/>
                <w:color w:val="auto"/>
              </w:rPr>
              <w:t>时间：2024-07-15 09:30</w:t>
            </w:r>
            <w:r>
              <w:rPr>
                <w:rFonts w:hint="eastAsia" w:ascii="宋体" w:hAnsi="宋体" w:eastAsia="宋体" w:cs="宋体"/>
                <w:color w:val="auto"/>
                <w:u w:val="single"/>
              </w:rPr>
              <w:t>时</w:t>
            </w:r>
          </w:p>
        </w:tc>
      </w:tr>
      <w:tr w14:paraId="6811E35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EB84627">
            <w:pPr>
              <w:spacing w:before="156" w:beforeLines="50" w:line="360" w:lineRule="auto"/>
              <w:jc w:val="center"/>
              <w:rPr>
                <w:rFonts w:ascii="宋体" w:hAnsi="宋体" w:eastAsia="宋体" w:cs="宋体"/>
                <w:color w:val="auto"/>
              </w:rPr>
            </w:pPr>
            <w:r>
              <w:rPr>
                <w:rFonts w:ascii="宋体" w:hAnsi="宋体" w:eastAsia="宋体" w:cs="宋体"/>
                <w:color w:val="auto"/>
              </w:rPr>
              <w:t>5.1</w:t>
            </w:r>
          </w:p>
        </w:tc>
        <w:tc>
          <w:tcPr>
            <w:tcW w:w="2693" w:type="dxa"/>
            <w:vAlign w:val="center"/>
          </w:tcPr>
          <w:p w14:paraId="4B0F178D">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开标时间和地点</w:t>
            </w:r>
          </w:p>
        </w:tc>
        <w:tc>
          <w:tcPr>
            <w:tcW w:w="5670" w:type="dxa"/>
            <w:vAlign w:val="center"/>
          </w:tcPr>
          <w:p w14:paraId="78772C67">
            <w:pPr>
              <w:wordWrap w:val="0"/>
              <w:spacing w:before="156" w:beforeLines="50" w:line="360" w:lineRule="auto"/>
              <w:rPr>
                <w:rFonts w:ascii="宋体" w:hAnsi="宋体" w:eastAsia="宋体" w:cs="Times New Roman"/>
                <w:color w:val="auto"/>
              </w:rPr>
            </w:pPr>
            <w:r>
              <w:rPr>
                <w:rFonts w:hint="eastAsia" w:ascii="宋体" w:hAnsi="宋体" w:eastAsia="宋体" w:cs="宋体"/>
                <w:color w:val="auto"/>
              </w:rPr>
              <w:t>开标时间：同递交投标文件截止时间</w:t>
            </w:r>
          </w:p>
          <w:p w14:paraId="0C4738E1">
            <w:pPr>
              <w:wordWrap w:val="0"/>
              <w:spacing w:before="156" w:beforeLines="50" w:line="360" w:lineRule="auto"/>
              <w:rPr>
                <w:rFonts w:ascii="宋体" w:hAnsi="宋体" w:eastAsia="宋体" w:cs="Times New Roman"/>
                <w:color w:val="auto"/>
              </w:rPr>
            </w:pPr>
            <w:r>
              <w:rPr>
                <w:rFonts w:hint="eastAsia" w:ascii="宋体" w:hAnsi="宋体" w:eastAsia="宋体" w:cs="宋体"/>
                <w:color w:val="auto"/>
              </w:rPr>
              <w:t>开标地点：政府采购云平台（网址：</w:t>
            </w:r>
            <w:r>
              <w:rPr>
                <w:rFonts w:ascii="宋体" w:hAnsi="宋体" w:eastAsia="宋体" w:cs="宋体"/>
                <w:color w:val="auto"/>
              </w:rPr>
              <w:t>https://www.zcygov.cn/）</w:t>
            </w:r>
            <w:r>
              <w:rPr>
                <w:rFonts w:hint="eastAsia" w:ascii="宋体" w:hAnsi="宋体" w:eastAsia="宋体" w:cs="宋体"/>
                <w:color w:val="auto"/>
              </w:rPr>
              <w:t>。</w:t>
            </w:r>
          </w:p>
        </w:tc>
      </w:tr>
      <w:tr w14:paraId="6663321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F575422">
            <w:pPr>
              <w:spacing w:before="156" w:beforeLines="50" w:line="360" w:lineRule="auto"/>
              <w:jc w:val="center"/>
              <w:rPr>
                <w:rFonts w:ascii="宋体" w:hAnsi="宋体" w:eastAsia="宋体" w:cs="宋体"/>
                <w:color w:val="auto"/>
              </w:rPr>
            </w:pPr>
            <w:r>
              <w:rPr>
                <w:rFonts w:ascii="宋体" w:hAnsi="宋体" w:eastAsia="宋体" w:cs="宋体"/>
                <w:color w:val="auto"/>
              </w:rPr>
              <w:t>5.2</w:t>
            </w:r>
          </w:p>
        </w:tc>
        <w:tc>
          <w:tcPr>
            <w:tcW w:w="2693" w:type="dxa"/>
            <w:vAlign w:val="center"/>
          </w:tcPr>
          <w:p w14:paraId="148AE35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开标程序</w:t>
            </w:r>
          </w:p>
        </w:tc>
        <w:tc>
          <w:tcPr>
            <w:tcW w:w="5670" w:type="dxa"/>
            <w:vAlign w:val="center"/>
          </w:tcPr>
          <w:p w14:paraId="164E9D77">
            <w:pPr>
              <w:spacing w:before="156" w:beforeLines="50" w:line="360" w:lineRule="auto"/>
              <w:rPr>
                <w:rFonts w:ascii="宋体" w:hAnsi="宋体" w:eastAsia="宋体" w:cs="宋体"/>
                <w:color w:val="auto"/>
              </w:rPr>
            </w:pPr>
            <w:r>
              <w:rPr>
                <w:rFonts w:hint="eastAsia" w:ascii="宋体" w:hAnsi="宋体" w:eastAsia="宋体" w:cs="宋体"/>
                <w:color w:val="auto"/>
              </w:rPr>
              <w:t>至投标文件提交截止时间止，采购代理机构的工作人员登录政府采购云平台，按照政府采购云平台的操作流程完成开标程序。</w:t>
            </w:r>
          </w:p>
          <w:p w14:paraId="516ABBEC">
            <w:pPr>
              <w:spacing w:before="156" w:beforeLines="50" w:line="360" w:lineRule="auto"/>
              <w:rPr>
                <w:rFonts w:ascii="宋体" w:hAnsi="宋体" w:eastAsia="宋体" w:cs="Times New Roman"/>
                <w:color w:val="auto"/>
              </w:rPr>
            </w:pPr>
            <w:r>
              <w:rPr>
                <w:rFonts w:hint="eastAsia" w:ascii="宋体" w:hAnsi="宋体" w:eastAsia="宋体" w:cs="宋体"/>
                <w:color w:val="auto"/>
              </w:rPr>
              <w:t>注：因供应商原因造成投标文件未解密的，视为撤销其投标文件。</w:t>
            </w:r>
          </w:p>
        </w:tc>
      </w:tr>
      <w:tr w14:paraId="520E87C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A85FE39">
            <w:pPr>
              <w:spacing w:before="156" w:beforeLines="50" w:line="360" w:lineRule="auto"/>
              <w:jc w:val="center"/>
              <w:rPr>
                <w:rFonts w:ascii="宋体" w:hAnsi="宋体" w:eastAsia="宋体" w:cs="宋体"/>
                <w:color w:val="auto"/>
              </w:rPr>
            </w:pPr>
            <w:r>
              <w:rPr>
                <w:rFonts w:ascii="宋体" w:hAnsi="宋体" w:eastAsia="宋体" w:cs="宋体"/>
                <w:color w:val="auto"/>
              </w:rPr>
              <w:t>6.1.1</w:t>
            </w:r>
          </w:p>
        </w:tc>
        <w:tc>
          <w:tcPr>
            <w:tcW w:w="2693" w:type="dxa"/>
            <w:vAlign w:val="center"/>
          </w:tcPr>
          <w:p w14:paraId="672E91DF">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评标委员会的组建</w:t>
            </w:r>
          </w:p>
        </w:tc>
        <w:tc>
          <w:tcPr>
            <w:tcW w:w="5670" w:type="dxa"/>
            <w:vAlign w:val="center"/>
          </w:tcPr>
          <w:p w14:paraId="42D0F37C">
            <w:pPr>
              <w:spacing w:before="156" w:beforeLines="50" w:line="360" w:lineRule="auto"/>
              <w:rPr>
                <w:rFonts w:ascii="宋体" w:hAnsi="宋体" w:eastAsia="宋体" w:cs="Times New Roman"/>
                <w:color w:val="auto"/>
              </w:rPr>
            </w:pPr>
            <w:r>
              <w:rPr>
                <w:rFonts w:hint="eastAsia" w:ascii="宋体" w:hAnsi="宋体" w:eastAsia="宋体" w:cs="宋体"/>
                <w:color w:val="auto"/>
              </w:rPr>
              <w:t>评标委员会构成：</w:t>
            </w:r>
            <w:r>
              <w:rPr>
                <w:rFonts w:hint="eastAsia" w:ascii="宋体" w:hAnsi="宋体" w:eastAsia="宋体" w:cs="宋体"/>
                <w:color w:val="auto"/>
                <w:u w:val="single"/>
                <w:lang w:val="en-US" w:eastAsia="zh-CN"/>
              </w:rPr>
              <w:t>5</w:t>
            </w:r>
            <w:r>
              <w:rPr>
                <w:rFonts w:hint="eastAsia" w:ascii="宋体" w:hAnsi="宋体" w:eastAsia="宋体" w:cs="宋体"/>
                <w:color w:val="auto"/>
              </w:rPr>
              <w:t>人，其中采购人代表</w:t>
            </w:r>
            <w:r>
              <w:rPr>
                <w:rFonts w:hint="eastAsia" w:ascii="宋体" w:hAnsi="宋体" w:eastAsia="宋体" w:cs="宋体"/>
                <w:color w:val="auto"/>
                <w:u w:val="single"/>
                <w:lang w:val="en-US" w:eastAsia="zh-CN"/>
              </w:rPr>
              <w:t>1</w:t>
            </w:r>
            <w:r>
              <w:rPr>
                <w:rFonts w:hint="eastAsia" w:ascii="宋体" w:hAnsi="宋体" w:eastAsia="宋体" w:cs="宋体"/>
                <w:color w:val="auto"/>
              </w:rPr>
              <w:t>人，在云南省政府采购评审专家库中随机抽取</w:t>
            </w:r>
            <w:r>
              <w:rPr>
                <w:rFonts w:hint="eastAsia" w:ascii="宋体" w:hAnsi="宋体" w:eastAsia="宋体" w:cs="宋体"/>
                <w:color w:val="auto"/>
                <w:u w:val="single"/>
                <w:lang w:val="en-US" w:eastAsia="zh-CN"/>
              </w:rPr>
              <w:t>4</w:t>
            </w:r>
            <w:r>
              <w:rPr>
                <w:rFonts w:ascii="宋体" w:hAnsi="宋体" w:eastAsia="宋体" w:cs="宋体"/>
                <w:color w:val="auto"/>
              </w:rPr>
              <w:t>人。</w:t>
            </w:r>
            <w:r>
              <w:rPr>
                <w:rFonts w:hint="eastAsia" w:ascii="宋体" w:hAnsi="宋体" w:eastAsia="宋体" w:cs="宋体"/>
                <w:color w:val="auto"/>
              </w:rPr>
              <w:t>评审专家不得少于成员总数的三分之二。</w:t>
            </w:r>
          </w:p>
        </w:tc>
      </w:tr>
      <w:tr w14:paraId="4A38374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1A50E6F">
            <w:pPr>
              <w:spacing w:before="156" w:beforeLines="50" w:line="360" w:lineRule="auto"/>
              <w:jc w:val="center"/>
              <w:rPr>
                <w:rFonts w:ascii="宋体" w:hAnsi="宋体" w:eastAsia="宋体" w:cs="宋体"/>
                <w:color w:val="auto"/>
              </w:rPr>
            </w:pPr>
            <w:r>
              <w:rPr>
                <w:rFonts w:ascii="宋体" w:hAnsi="宋体" w:eastAsia="宋体" w:cs="宋体"/>
                <w:color w:val="auto"/>
              </w:rPr>
              <w:t>6.3.2</w:t>
            </w:r>
          </w:p>
        </w:tc>
        <w:tc>
          <w:tcPr>
            <w:tcW w:w="2693" w:type="dxa"/>
            <w:vAlign w:val="center"/>
          </w:tcPr>
          <w:p w14:paraId="528B86EC">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评标委员会推荐中标候选人的人数</w:t>
            </w:r>
          </w:p>
        </w:tc>
        <w:tc>
          <w:tcPr>
            <w:tcW w:w="5670" w:type="dxa"/>
            <w:vAlign w:val="center"/>
          </w:tcPr>
          <w:p w14:paraId="319AC5ED">
            <w:pPr>
              <w:spacing w:before="156" w:beforeLines="50" w:line="360" w:lineRule="auto"/>
              <w:rPr>
                <w:rFonts w:ascii="宋体" w:hAnsi="宋体" w:eastAsia="宋体" w:cs="Times New Roman"/>
                <w:color w:val="auto"/>
              </w:rPr>
            </w:pPr>
            <w:r>
              <w:rPr>
                <w:rFonts w:ascii="宋体" w:hAnsi="宋体" w:eastAsia="宋体" w:cs="宋体"/>
                <w:color w:val="auto"/>
                <w:u w:val="single"/>
              </w:rPr>
              <w:t>3</w:t>
            </w:r>
            <w:r>
              <w:rPr>
                <w:rFonts w:hint="eastAsia" w:ascii="宋体" w:hAnsi="宋体" w:eastAsia="宋体" w:cs="宋体"/>
                <w:color w:val="auto"/>
              </w:rPr>
              <w:t>人</w:t>
            </w:r>
          </w:p>
        </w:tc>
      </w:tr>
      <w:tr w14:paraId="7F8532C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F7173E9">
            <w:pPr>
              <w:spacing w:before="156" w:beforeLines="50" w:line="360" w:lineRule="auto"/>
              <w:jc w:val="center"/>
              <w:rPr>
                <w:rFonts w:ascii="宋体" w:hAnsi="宋体" w:eastAsia="宋体" w:cs="宋体"/>
                <w:color w:val="auto"/>
              </w:rPr>
            </w:pPr>
            <w:r>
              <w:rPr>
                <w:rFonts w:ascii="宋体" w:hAnsi="宋体" w:eastAsia="宋体" w:cs="宋体"/>
                <w:color w:val="auto"/>
              </w:rPr>
              <w:t>7.3</w:t>
            </w:r>
          </w:p>
        </w:tc>
        <w:tc>
          <w:tcPr>
            <w:tcW w:w="2693" w:type="dxa"/>
            <w:vAlign w:val="center"/>
          </w:tcPr>
          <w:p w14:paraId="7A9F6E65">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中标结果公告</w:t>
            </w:r>
          </w:p>
        </w:tc>
        <w:tc>
          <w:tcPr>
            <w:tcW w:w="5670" w:type="dxa"/>
            <w:vAlign w:val="center"/>
          </w:tcPr>
          <w:p w14:paraId="3EE03D43">
            <w:pPr>
              <w:spacing w:before="156" w:beforeLines="50" w:line="360" w:lineRule="auto"/>
              <w:rPr>
                <w:rFonts w:ascii="宋体" w:hAnsi="宋体" w:eastAsia="宋体" w:cs="Times New Roman"/>
                <w:color w:val="auto"/>
              </w:rPr>
            </w:pPr>
            <w:r>
              <w:rPr>
                <w:rFonts w:hint="eastAsia" w:ascii="宋体" w:hAnsi="宋体" w:eastAsia="宋体" w:cs="宋体"/>
                <w:color w:val="auto"/>
              </w:rPr>
              <w:t>公示媒介：</w:t>
            </w:r>
            <w:r>
              <w:rPr>
                <w:rFonts w:hint="eastAsia" w:ascii="宋体" w:hAnsi="宋体" w:eastAsia="宋体" w:cs="宋体"/>
                <w:color w:val="auto"/>
                <w:u w:val="single"/>
              </w:rPr>
              <w:t>与发布招标公告同一媒介</w:t>
            </w:r>
          </w:p>
          <w:p w14:paraId="3D8B9C24">
            <w:pPr>
              <w:spacing w:before="156" w:beforeLines="50" w:line="360" w:lineRule="auto"/>
              <w:rPr>
                <w:rFonts w:ascii="宋体" w:hAnsi="宋体" w:eastAsia="宋体" w:cs="Times New Roman"/>
                <w:color w:val="auto"/>
              </w:rPr>
            </w:pPr>
            <w:r>
              <w:rPr>
                <w:rFonts w:hint="eastAsia" w:ascii="宋体" w:hAnsi="宋体" w:eastAsia="宋体" w:cs="宋体"/>
                <w:color w:val="auto"/>
              </w:rPr>
              <w:t>公示期限：</w:t>
            </w:r>
            <w:r>
              <w:rPr>
                <w:rFonts w:ascii="宋体" w:hAnsi="宋体" w:eastAsia="宋体" w:cs="宋体"/>
                <w:color w:val="auto"/>
                <w:u w:val="single"/>
              </w:rPr>
              <w:t>1</w:t>
            </w:r>
            <w:r>
              <w:rPr>
                <w:rFonts w:hint="eastAsia" w:ascii="宋体" w:hAnsi="宋体" w:eastAsia="宋体" w:cs="宋体"/>
                <w:color w:val="auto"/>
                <w:u w:val="single"/>
              </w:rPr>
              <w:t>个工作日</w:t>
            </w:r>
            <w:r>
              <w:rPr>
                <w:rFonts w:ascii="宋体" w:hAnsi="宋体" w:eastAsia="宋体" w:cs="宋体"/>
                <w:color w:val="auto"/>
                <w:u w:val="single"/>
              </w:rPr>
              <w:t xml:space="preserve"> </w:t>
            </w:r>
          </w:p>
          <w:p w14:paraId="634D972D">
            <w:pPr>
              <w:spacing w:before="156" w:beforeLines="50" w:line="360" w:lineRule="auto"/>
              <w:rPr>
                <w:rFonts w:ascii="宋体" w:hAnsi="宋体" w:eastAsia="宋体" w:cs="Times New Roman"/>
                <w:color w:val="auto"/>
              </w:rPr>
            </w:pPr>
            <w:r>
              <w:rPr>
                <w:rFonts w:hint="eastAsia" w:ascii="宋体" w:hAnsi="宋体" w:eastAsia="宋体" w:cs="宋体"/>
                <w:color w:val="auto"/>
              </w:rPr>
              <w:t>其他应公示的内容：</w:t>
            </w:r>
            <w:r>
              <w:rPr>
                <w:rFonts w:ascii="宋体" w:hAnsi="宋体" w:eastAsia="宋体" w:cs="宋体"/>
                <w:color w:val="auto"/>
                <w:u w:val="single"/>
              </w:rPr>
              <w:t xml:space="preserve"> </w:t>
            </w:r>
            <w:r>
              <w:rPr>
                <w:rFonts w:hint="eastAsia" w:ascii="宋体" w:hAnsi="宋体" w:eastAsia="宋体" w:cs="宋体"/>
                <w:color w:val="auto"/>
                <w:u w:val="single"/>
              </w:rPr>
              <w:t>主要标的信息、评审专家名单等</w:t>
            </w:r>
          </w:p>
        </w:tc>
      </w:tr>
      <w:tr w14:paraId="1F7FC1A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31D5200">
            <w:pPr>
              <w:spacing w:before="156" w:beforeLines="50" w:line="360" w:lineRule="auto"/>
              <w:jc w:val="center"/>
              <w:rPr>
                <w:rFonts w:ascii="宋体" w:hAnsi="宋体" w:eastAsia="宋体" w:cs="宋体"/>
                <w:color w:val="auto"/>
              </w:rPr>
            </w:pPr>
            <w:r>
              <w:rPr>
                <w:rFonts w:ascii="宋体" w:hAnsi="宋体" w:eastAsia="宋体" w:cs="宋体"/>
                <w:color w:val="auto"/>
              </w:rPr>
              <w:t>7.5</w:t>
            </w:r>
          </w:p>
        </w:tc>
        <w:tc>
          <w:tcPr>
            <w:tcW w:w="2693" w:type="dxa"/>
            <w:vAlign w:val="center"/>
          </w:tcPr>
          <w:p w14:paraId="159E3BB8">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履约保证金</w:t>
            </w:r>
          </w:p>
        </w:tc>
        <w:tc>
          <w:tcPr>
            <w:tcW w:w="5670" w:type="dxa"/>
            <w:vAlign w:val="center"/>
          </w:tcPr>
          <w:p w14:paraId="67C69448">
            <w:pPr>
              <w:spacing w:before="156" w:beforeLines="50" w:line="360" w:lineRule="auto"/>
              <w:rPr>
                <w:rFonts w:ascii="宋体" w:hAnsi="宋体" w:eastAsia="宋体" w:cs="Times New Roman"/>
                <w:color w:val="auto"/>
              </w:rPr>
            </w:pPr>
            <w:r>
              <w:rPr>
                <w:rFonts w:hint="eastAsia" w:ascii="宋体" w:hAnsi="宋体" w:eastAsia="宋体" w:cs="宋体"/>
                <w:color w:val="auto"/>
              </w:rPr>
              <w:t>■不要求递交</w:t>
            </w:r>
          </w:p>
          <w:p w14:paraId="4D7415D0">
            <w:pPr>
              <w:spacing w:before="156" w:beforeLines="50" w:line="360" w:lineRule="auto"/>
              <w:rPr>
                <w:rFonts w:ascii="宋体" w:hAnsi="宋体" w:eastAsia="宋体" w:cs="Times New Roman"/>
                <w:color w:val="auto"/>
              </w:rPr>
            </w:pPr>
            <w:r>
              <w:rPr>
                <w:rFonts w:hint="eastAsia" w:ascii="宋体" w:hAnsi="宋体" w:eastAsia="宋体" w:cs="宋体"/>
                <w:color w:val="auto"/>
              </w:rPr>
              <w:t>□要求递交</w:t>
            </w:r>
          </w:p>
        </w:tc>
      </w:tr>
      <w:tr w14:paraId="7472891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A27D199">
            <w:pPr>
              <w:spacing w:before="156" w:beforeLines="50" w:line="360" w:lineRule="auto"/>
              <w:jc w:val="center"/>
              <w:rPr>
                <w:rFonts w:ascii="宋体" w:hAnsi="宋体" w:eastAsia="宋体" w:cs="宋体"/>
                <w:color w:val="auto"/>
              </w:rPr>
            </w:pPr>
            <w:r>
              <w:rPr>
                <w:rFonts w:ascii="宋体" w:hAnsi="宋体" w:eastAsia="宋体" w:cs="宋体"/>
                <w:color w:val="auto"/>
              </w:rPr>
              <w:t>10.1</w:t>
            </w:r>
          </w:p>
        </w:tc>
        <w:tc>
          <w:tcPr>
            <w:tcW w:w="2693" w:type="dxa"/>
            <w:vAlign w:val="center"/>
          </w:tcPr>
          <w:p w14:paraId="69C94C26">
            <w:pPr>
              <w:spacing w:before="156" w:beforeLines="50" w:line="360" w:lineRule="auto"/>
              <w:jc w:val="center"/>
              <w:rPr>
                <w:rFonts w:ascii="宋体" w:hAnsi="宋体" w:eastAsia="宋体" w:cs="Times New Roman"/>
                <w:color w:val="auto"/>
              </w:rPr>
            </w:pPr>
            <w:r>
              <w:rPr>
                <w:rFonts w:hint="eastAsia" w:ascii="宋体" w:hAnsi="宋体" w:eastAsia="宋体" w:cs="宋体"/>
                <w:color w:val="auto"/>
              </w:rPr>
              <w:t>采购代理服务费</w:t>
            </w:r>
          </w:p>
        </w:tc>
        <w:tc>
          <w:tcPr>
            <w:tcW w:w="5670" w:type="dxa"/>
            <w:vAlign w:val="center"/>
          </w:tcPr>
          <w:p w14:paraId="6E64094D">
            <w:pPr>
              <w:spacing w:before="156" w:beforeLines="50" w:line="360" w:lineRule="auto"/>
              <w:rPr>
                <w:rFonts w:ascii="宋体" w:hAnsi="宋体" w:eastAsia="宋体" w:cs="Times New Roman"/>
                <w:color w:val="auto"/>
              </w:rPr>
            </w:pPr>
            <w:r>
              <w:rPr>
                <w:rFonts w:hint="eastAsia" w:ascii="宋体" w:hAnsi="宋体" w:eastAsia="宋体" w:cs="宋体"/>
                <w:color w:val="auto"/>
              </w:rPr>
              <w:t>□不要求承担</w:t>
            </w:r>
          </w:p>
          <w:p w14:paraId="41AEC27E">
            <w:pPr>
              <w:spacing w:before="156" w:beforeLines="50" w:line="360" w:lineRule="auto"/>
              <w:rPr>
                <w:rFonts w:ascii="宋体" w:hAnsi="宋体" w:eastAsia="宋体" w:cs="Times New Roman"/>
                <w:color w:val="auto"/>
              </w:rPr>
            </w:pPr>
            <w:r>
              <w:rPr>
                <w:rFonts w:hint="eastAsia" w:ascii="宋体" w:hAnsi="宋体" w:eastAsia="宋体" w:cs="宋体"/>
                <w:color w:val="auto"/>
              </w:rPr>
              <w:t>■要求承担</w:t>
            </w:r>
          </w:p>
          <w:p w14:paraId="21612FFB">
            <w:pPr>
              <w:spacing w:before="156" w:beforeLines="50" w:line="360" w:lineRule="auto"/>
              <w:rPr>
                <w:rFonts w:ascii="宋体" w:hAnsi="宋体" w:eastAsia="宋体" w:cs="宋体"/>
                <w:color w:val="auto"/>
                <w:u w:val="single"/>
              </w:rPr>
            </w:pPr>
            <w:r>
              <w:rPr>
                <w:rFonts w:hint="eastAsia" w:ascii="宋体" w:hAnsi="宋体" w:eastAsia="宋体" w:cs="宋体"/>
                <w:color w:val="auto"/>
              </w:rPr>
              <w:t>费用标准或金额：</w:t>
            </w:r>
            <w:r>
              <w:rPr>
                <w:rFonts w:hint="eastAsia" w:ascii="宋体" w:hAnsi="宋体" w:eastAsia="宋体" w:cs="宋体"/>
                <w:color w:val="auto"/>
                <w:u w:val="single"/>
              </w:rPr>
              <w:t>按云建招协〔</w:t>
            </w:r>
            <w:r>
              <w:rPr>
                <w:rFonts w:ascii="宋体" w:hAnsi="宋体" w:eastAsia="宋体" w:cs="宋体"/>
                <w:color w:val="auto"/>
                <w:u w:val="single"/>
              </w:rPr>
              <w:t>2023〕51号文附件《云南省建设工程招标代理服务收费指导意见（试行）》标准计算后，由中标人支付。</w:t>
            </w:r>
          </w:p>
          <w:p w14:paraId="1A1FF874">
            <w:pPr>
              <w:spacing w:before="156" w:beforeLines="50" w:line="360" w:lineRule="auto"/>
              <w:rPr>
                <w:rFonts w:ascii="宋体" w:hAnsi="宋体" w:eastAsia="宋体" w:cs="Times New Roman"/>
                <w:color w:val="auto"/>
              </w:rPr>
            </w:pPr>
            <w:r>
              <w:rPr>
                <w:rFonts w:hint="eastAsia" w:ascii="宋体" w:hAnsi="宋体" w:eastAsia="宋体" w:cs="宋体"/>
                <w:color w:val="auto"/>
              </w:rPr>
              <w:t>交费时间：</w:t>
            </w:r>
            <w:r>
              <w:rPr>
                <w:rFonts w:hint="eastAsia" w:ascii="宋体" w:hAnsi="宋体" w:eastAsia="宋体" w:cs="宋体"/>
                <w:color w:val="auto"/>
                <w:u w:val="single"/>
              </w:rPr>
              <w:t>中标人领取中标通知书前一次性足额支付给采购代理机构</w:t>
            </w:r>
          </w:p>
          <w:p w14:paraId="2E7975ED">
            <w:pPr>
              <w:spacing w:before="156" w:beforeLines="50" w:line="360" w:lineRule="auto"/>
              <w:rPr>
                <w:rFonts w:ascii="宋体" w:hAnsi="宋体" w:eastAsia="宋体" w:cs="Times New Roman"/>
                <w:color w:val="auto"/>
              </w:rPr>
            </w:pPr>
            <w:r>
              <w:rPr>
                <w:rFonts w:hint="eastAsia" w:ascii="宋体" w:hAnsi="宋体" w:eastAsia="宋体" w:cs="宋体"/>
                <w:color w:val="auto"/>
              </w:rPr>
              <w:t>交费方式：</w:t>
            </w:r>
            <w:r>
              <w:rPr>
                <w:rFonts w:hint="eastAsia" w:ascii="宋体" w:hAnsi="宋体" w:eastAsia="宋体" w:cs="宋体"/>
                <w:color w:val="auto"/>
                <w:u w:val="single"/>
              </w:rPr>
              <w:t>现金或银行转账</w:t>
            </w:r>
            <w:r>
              <w:rPr>
                <w:rFonts w:ascii="宋体" w:hAnsi="宋体" w:eastAsia="宋体" w:cs="宋体"/>
                <w:color w:val="auto"/>
                <w:u w:val="single"/>
              </w:rPr>
              <w:t xml:space="preserve"> </w:t>
            </w:r>
          </w:p>
        </w:tc>
      </w:tr>
      <w:tr w14:paraId="164D576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0F4DE2A">
            <w:pPr>
              <w:spacing w:before="156" w:beforeLines="50" w:line="360" w:lineRule="auto"/>
              <w:jc w:val="center"/>
              <w:rPr>
                <w:rFonts w:ascii="宋体" w:hAnsi="宋体" w:eastAsia="宋体" w:cs="宋体"/>
                <w:color w:val="auto"/>
              </w:rPr>
            </w:pPr>
            <w:r>
              <w:rPr>
                <w:rFonts w:ascii="宋体" w:hAnsi="宋体" w:eastAsia="宋体" w:cs="宋体"/>
                <w:color w:val="auto"/>
              </w:rPr>
              <w:t>10.2</w:t>
            </w:r>
          </w:p>
        </w:tc>
        <w:tc>
          <w:tcPr>
            <w:tcW w:w="8363" w:type="dxa"/>
            <w:gridSpan w:val="2"/>
            <w:vAlign w:val="center"/>
          </w:tcPr>
          <w:p w14:paraId="31DC2ED5">
            <w:pPr>
              <w:spacing w:before="156" w:beforeLines="50" w:line="360" w:lineRule="auto"/>
              <w:rPr>
                <w:rFonts w:ascii="宋体" w:hAnsi="宋体" w:eastAsia="宋体" w:cs="Times New Roman"/>
                <w:color w:val="auto"/>
              </w:rPr>
            </w:pPr>
            <w:r>
              <w:rPr>
                <w:rFonts w:hint="eastAsia" w:ascii="宋体" w:hAnsi="宋体" w:eastAsia="宋体" w:cs="宋体"/>
                <w:color w:val="auto"/>
              </w:rPr>
              <w:t>需要补充的其他内容</w:t>
            </w:r>
          </w:p>
        </w:tc>
      </w:tr>
      <w:tr w14:paraId="738A927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D2685F1">
            <w:pPr>
              <w:spacing w:before="156" w:beforeLines="50" w:line="360" w:lineRule="auto"/>
              <w:jc w:val="center"/>
              <w:rPr>
                <w:rFonts w:ascii="宋体" w:hAnsi="宋体" w:eastAsia="宋体" w:cs="宋体"/>
                <w:color w:val="auto"/>
              </w:rPr>
            </w:pPr>
            <w:r>
              <w:rPr>
                <w:rFonts w:ascii="宋体" w:hAnsi="宋体" w:eastAsia="宋体" w:cs="宋体"/>
                <w:color w:val="auto"/>
              </w:rPr>
              <w:t>10.2.1</w:t>
            </w:r>
          </w:p>
        </w:tc>
        <w:tc>
          <w:tcPr>
            <w:tcW w:w="8363" w:type="dxa"/>
            <w:gridSpan w:val="2"/>
            <w:vAlign w:val="center"/>
          </w:tcPr>
          <w:p w14:paraId="57949947">
            <w:pPr>
              <w:spacing w:before="93" w:beforeLines="30" w:line="312" w:lineRule="auto"/>
              <w:rPr>
                <w:rFonts w:ascii="宋体" w:hAnsi="宋体" w:eastAsia="宋体" w:cs="Times New Roman"/>
                <w:color w:val="auto"/>
              </w:rPr>
            </w:pPr>
            <w:r>
              <w:rPr>
                <w:rFonts w:hint="eastAsia" w:ascii="宋体" w:hAnsi="宋体" w:eastAsia="宋体" w:cs="宋体"/>
                <w:color w:val="auto"/>
              </w:rPr>
              <w:t>价格扣除</w:t>
            </w:r>
          </w:p>
          <w:p w14:paraId="55CB92F1">
            <w:pPr>
              <w:spacing w:before="93" w:beforeLines="30" w:line="312" w:lineRule="auto"/>
              <w:ind w:firstLine="420" w:firstLineChars="200"/>
              <w:rPr>
                <w:rFonts w:ascii="宋体" w:hAnsi="宋体" w:eastAsia="宋体" w:cs="Times New Roman"/>
                <w:color w:val="auto"/>
              </w:rPr>
            </w:pPr>
            <w:r>
              <w:rPr>
                <w:rFonts w:ascii="宋体" w:hAnsi="宋体" w:eastAsia="宋体" w:cs="宋体"/>
                <w:color w:val="auto"/>
              </w:rPr>
              <w:t>1.</w:t>
            </w:r>
            <w:r>
              <w:rPr>
                <w:rFonts w:hint="eastAsia" w:ascii="宋体" w:hAnsi="宋体" w:eastAsia="宋体" w:cs="宋体"/>
                <w:color w:val="auto"/>
              </w:rPr>
              <w:t>根据《政府采购促进中小企业发展暂行办法》（财库〔</w:t>
            </w:r>
            <w:r>
              <w:rPr>
                <w:rFonts w:ascii="宋体" w:hAnsi="宋体" w:eastAsia="宋体" w:cs="宋体"/>
                <w:color w:val="auto"/>
              </w:rPr>
              <w:t>2020</w:t>
            </w:r>
            <w:r>
              <w:rPr>
                <w:rFonts w:hint="eastAsia" w:ascii="宋体" w:hAnsi="宋体" w:eastAsia="宋体" w:cs="宋体"/>
                <w:color w:val="auto"/>
              </w:rPr>
              <w:t>〕</w:t>
            </w:r>
            <w:r>
              <w:rPr>
                <w:rFonts w:ascii="宋体" w:hAnsi="宋体" w:eastAsia="宋体" w:cs="宋体"/>
                <w:color w:val="auto"/>
              </w:rPr>
              <w:t>46</w:t>
            </w:r>
            <w:r>
              <w:rPr>
                <w:rFonts w:hint="eastAsia" w:ascii="宋体" w:hAnsi="宋体" w:eastAsia="宋体" w:cs="宋体"/>
                <w:color w:val="auto"/>
              </w:rPr>
              <w:t>号）、《财政部</w:t>
            </w:r>
            <w:r>
              <w:rPr>
                <w:rFonts w:ascii="宋体" w:hAnsi="宋体" w:eastAsia="宋体" w:cs="宋体"/>
                <w:color w:val="auto"/>
              </w:rPr>
              <w:t xml:space="preserve"> </w:t>
            </w:r>
            <w:r>
              <w:rPr>
                <w:rFonts w:hint="eastAsia" w:ascii="宋体" w:hAnsi="宋体" w:eastAsia="宋体" w:cs="宋体"/>
                <w:color w:val="auto"/>
              </w:rPr>
              <w:t>司法部关于政府采购支持监狱企业发展有关问题的通知》（财库〔</w:t>
            </w:r>
            <w:r>
              <w:rPr>
                <w:rFonts w:ascii="宋体" w:hAnsi="宋体" w:eastAsia="宋体" w:cs="宋体"/>
                <w:color w:val="auto"/>
              </w:rPr>
              <w:t>2014</w:t>
            </w:r>
            <w:r>
              <w:rPr>
                <w:rFonts w:hint="eastAsia" w:ascii="宋体" w:hAnsi="宋体" w:eastAsia="宋体" w:cs="宋体"/>
                <w:color w:val="auto"/>
              </w:rPr>
              <w:t>〕</w:t>
            </w:r>
            <w:r>
              <w:rPr>
                <w:rFonts w:ascii="宋体" w:hAnsi="宋体" w:eastAsia="宋体" w:cs="宋体"/>
                <w:color w:val="auto"/>
              </w:rPr>
              <w:t>68</w:t>
            </w:r>
            <w:r>
              <w:rPr>
                <w:rFonts w:hint="eastAsia" w:ascii="宋体" w:hAnsi="宋体" w:eastAsia="宋体" w:cs="宋体"/>
                <w:color w:val="auto"/>
              </w:rPr>
              <w:t>号）和《财政部</w:t>
            </w:r>
            <w:r>
              <w:rPr>
                <w:rFonts w:ascii="宋体" w:hAnsi="宋体" w:eastAsia="宋体" w:cs="宋体"/>
                <w:color w:val="auto"/>
              </w:rPr>
              <w:t xml:space="preserve"> </w:t>
            </w:r>
            <w:r>
              <w:rPr>
                <w:rFonts w:hint="eastAsia" w:ascii="宋体" w:hAnsi="宋体" w:eastAsia="宋体" w:cs="宋体"/>
                <w:color w:val="auto"/>
              </w:rPr>
              <w:t>民政部</w:t>
            </w:r>
            <w:r>
              <w:rPr>
                <w:rFonts w:ascii="宋体" w:hAnsi="宋体" w:eastAsia="宋体" w:cs="宋体"/>
                <w:color w:val="auto"/>
              </w:rPr>
              <w:t xml:space="preserve"> </w:t>
            </w:r>
            <w:r>
              <w:rPr>
                <w:rFonts w:hint="eastAsia" w:ascii="宋体" w:hAnsi="宋体" w:eastAsia="宋体" w:cs="宋体"/>
                <w:color w:val="auto"/>
              </w:rPr>
              <w:t>中国残疾人联合会关于促进残疾人就业政府采购政策的通知》（财库〔</w:t>
            </w:r>
            <w:r>
              <w:rPr>
                <w:rFonts w:ascii="宋体" w:hAnsi="宋体" w:eastAsia="宋体" w:cs="宋体"/>
                <w:color w:val="auto"/>
              </w:rPr>
              <w:t>2017</w:t>
            </w:r>
            <w:r>
              <w:rPr>
                <w:rFonts w:hint="eastAsia" w:ascii="宋体" w:hAnsi="宋体" w:eastAsia="宋体" w:cs="宋体"/>
                <w:color w:val="auto"/>
              </w:rPr>
              <w:t>〕</w:t>
            </w:r>
            <w:r>
              <w:rPr>
                <w:rFonts w:ascii="宋体" w:hAnsi="宋体" w:eastAsia="宋体" w:cs="宋体"/>
                <w:color w:val="auto"/>
              </w:rPr>
              <w:t>141</w:t>
            </w:r>
            <w:r>
              <w:rPr>
                <w:rFonts w:hint="eastAsia" w:ascii="宋体" w:hAnsi="宋体" w:eastAsia="宋体" w:cs="宋体"/>
                <w:color w:val="auto"/>
              </w:rPr>
              <w:t>号）的规定，对符合规定的小微企业（监狱企业、残疾人福利性单位）报价给予</w:t>
            </w:r>
            <w:r>
              <w:rPr>
                <w:rFonts w:ascii="宋体" w:hAnsi="宋体" w:eastAsia="宋体" w:cs="宋体"/>
                <w:color w:val="auto"/>
              </w:rPr>
              <w:t>10%</w:t>
            </w:r>
            <w:r>
              <w:rPr>
                <w:rFonts w:hint="eastAsia" w:ascii="宋体" w:hAnsi="宋体" w:eastAsia="宋体" w:cs="宋体"/>
                <w:color w:val="auto"/>
              </w:rPr>
              <w:t>的扣除，用扣除后的价格参加评审。</w:t>
            </w:r>
          </w:p>
          <w:p w14:paraId="4CAC94AE">
            <w:pPr>
              <w:spacing w:before="93" w:beforeLines="30" w:line="312" w:lineRule="auto"/>
              <w:ind w:firstLine="420" w:firstLineChars="200"/>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不享受本条规定的价格扣除情形：</w:t>
            </w:r>
          </w:p>
          <w:p w14:paraId="4FB95375">
            <w:pPr>
              <w:spacing w:before="93" w:beforeLines="30" w:line="312"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）中小企业参加政府采购活动，未出具《中小企业声明函》的，或投标人提供的货物既有中小企业制造货物，也有大型企业制造货物的；</w:t>
            </w:r>
          </w:p>
          <w:p w14:paraId="32D72BD9">
            <w:pPr>
              <w:spacing w:before="93" w:beforeLines="30" w:line="312"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）监狱企业未出具省级以上监狱管理局、戒毒管理局（含新疆生产建设兵团）出具的属于监狱企业的证明文件的；</w:t>
            </w:r>
          </w:p>
          <w:p w14:paraId="0D0FEA56">
            <w:pPr>
              <w:spacing w:before="93" w:beforeLines="30" w:line="312"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）残疾人福利性单位未出具《残疾人福利性单位声明函》的。</w:t>
            </w:r>
          </w:p>
          <w:p w14:paraId="3B6B74B6">
            <w:pPr>
              <w:spacing w:before="93" w:beforeLines="30" w:line="312"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对于同时属于小微企业、监狱企业或残疾人福利性单位的，不重复享受价格扣除。</w:t>
            </w:r>
          </w:p>
          <w:p w14:paraId="5C6DA008">
            <w:pPr>
              <w:spacing w:before="93" w:beforeLines="30" w:line="312" w:lineRule="auto"/>
              <w:ind w:firstLine="420" w:firstLineChars="200"/>
              <w:rPr>
                <w:rFonts w:ascii="宋体" w:hAnsi="宋体" w:eastAsia="宋体" w:cs="Times New Roman"/>
                <w:color w:val="auto"/>
              </w:rPr>
            </w:pPr>
            <w:r>
              <w:rPr>
                <w:rFonts w:ascii="宋体" w:hAnsi="宋体" w:eastAsia="宋体" w:cs="宋体"/>
                <w:color w:val="auto"/>
              </w:rPr>
              <w:t>4.</w:t>
            </w:r>
            <w:r>
              <w:rPr>
                <w:rFonts w:hint="eastAsia" w:ascii="宋体" w:hAnsi="宋体" w:eastAsia="宋体" w:cs="宋体"/>
                <w:color w:val="auto"/>
              </w:rPr>
              <w:t>投标人提供声明函内容不实的，属于提供虚假材料谋取中标、成交，依照《中华人民共和国政府采购法》等国家有关规定追究相应责任。</w:t>
            </w:r>
          </w:p>
        </w:tc>
      </w:tr>
      <w:tr w14:paraId="5F57A48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C4E59F5">
            <w:pPr>
              <w:spacing w:before="156" w:beforeLines="50" w:line="360" w:lineRule="auto"/>
              <w:jc w:val="center"/>
              <w:rPr>
                <w:rFonts w:ascii="宋体" w:hAnsi="宋体" w:eastAsia="宋体" w:cs="宋体"/>
                <w:color w:val="auto"/>
              </w:rPr>
            </w:pPr>
            <w:r>
              <w:rPr>
                <w:rFonts w:hint="eastAsia" w:ascii="宋体" w:hAnsi="宋体" w:eastAsia="宋体" w:cs="宋体"/>
                <w:color w:val="auto"/>
              </w:rPr>
              <w:t>1</w:t>
            </w:r>
            <w:r>
              <w:rPr>
                <w:rFonts w:ascii="宋体" w:hAnsi="宋体" w:eastAsia="宋体" w:cs="宋体"/>
                <w:color w:val="auto"/>
              </w:rPr>
              <w:t>0.2.2</w:t>
            </w:r>
          </w:p>
        </w:tc>
        <w:tc>
          <w:tcPr>
            <w:tcW w:w="8363" w:type="dxa"/>
            <w:gridSpan w:val="2"/>
            <w:vAlign w:val="center"/>
          </w:tcPr>
          <w:p w14:paraId="05841908">
            <w:pPr>
              <w:spacing w:before="93" w:beforeLines="30" w:line="312" w:lineRule="auto"/>
              <w:rPr>
                <w:rFonts w:ascii="宋体" w:hAnsi="宋体" w:eastAsia="宋体" w:cs="宋体"/>
                <w:color w:val="auto"/>
              </w:rPr>
            </w:pPr>
            <w:r>
              <w:rPr>
                <w:rFonts w:hint="eastAsia" w:ascii="宋体" w:hAnsi="宋体" w:eastAsia="宋体" w:cs="宋体"/>
                <w:color w:val="auto"/>
              </w:rPr>
              <w:t>节能产品、环境标志产品</w:t>
            </w:r>
          </w:p>
          <w:p w14:paraId="7356CBBC">
            <w:pPr>
              <w:spacing w:before="93" w:beforeLines="30" w:line="312" w:lineRule="auto"/>
              <w:rPr>
                <w:rFonts w:ascii="宋体" w:hAnsi="宋体" w:eastAsia="宋体" w:cs="宋体"/>
                <w:color w:val="auto"/>
              </w:rPr>
            </w:pPr>
            <w:r>
              <w:rPr>
                <w:rFonts w:hint="eastAsia" w:ascii="宋体" w:hAnsi="宋体" w:eastAsia="宋体" w:cs="宋体"/>
                <w:color w:val="auto"/>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tc>
      </w:tr>
    </w:tbl>
    <w:p w14:paraId="517F7BAC">
      <w:pPr>
        <w:pStyle w:val="3"/>
        <w:spacing w:before="0" w:after="0" w:line="360" w:lineRule="auto"/>
        <w:rPr>
          <w:rFonts w:ascii="宋体" w:hAnsi="宋体" w:eastAsia="宋体" w:cs="宋体"/>
          <w:color w:val="auto"/>
          <w:sz w:val="21"/>
          <w:szCs w:val="21"/>
        </w:rPr>
      </w:pPr>
      <w:bookmarkStart w:id="62" w:name="_Toc77504034"/>
      <w:bookmarkStart w:id="63" w:name="_Toc70424825"/>
      <w:bookmarkStart w:id="64" w:name="_Toc11087"/>
      <w:bookmarkStart w:id="65" w:name="_Toc77116645"/>
      <w:bookmarkStart w:id="66" w:name="_Toc77658044"/>
      <w:r>
        <w:rPr>
          <w:rFonts w:ascii="宋体" w:hAnsi="宋体" w:eastAsia="宋体" w:cs="Times New Roman"/>
          <w:color w:val="auto"/>
        </w:rPr>
        <w:br w:type="page"/>
      </w:r>
      <w:bookmarkEnd w:id="62"/>
      <w:bookmarkEnd w:id="63"/>
      <w:bookmarkEnd w:id="64"/>
      <w:bookmarkEnd w:id="65"/>
      <w:bookmarkEnd w:id="66"/>
      <w:bookmarkStart w:id="67" w:name="_Toc120282400"/>
      <w:bookmarkStart w:id="68" w:name="_Toc107396172"/>
      <w:bookmarkStart w:id="69" w:name="_Toc164432889"/>
      <w:r>
        <w:rPr>
          <w:rFonts w:ascii="宋体" w:hAnsi="宋体" w:eastAsia="宋体" w:cs="宋体"/>
          <w:color w:val="auto"/>
          <w:sz w:val="21"/>
          <w:szCs w:val="21"/>
        </w:rPr>
        <w:t xml:space="preserve">1. </w:t>
      </w:r>
      <w:r>
        <w:rPr>
          <w:rFonts w:hint="eastAsia" w:ascii="宋体" w:hAnsi="宋体" w:eastAsia="宋体" w:cs="宋体"/>
          <w:color w:val="auto"/>
          <w:sz w:val="21"/>
          <w:szCs w:val="21"/>
        </w:rPr>
        <w:t>总则</w:t>
      </w:r>
      <w:bookmarkEnd w:id="67"/>
      <w:bookmarkEnd w:id="68"/>
      <w:bookmarkEnd w:id="69"/>
    </w:p>
    <w:p w14:paraId="3E50C30C">
      <w:pPr>
        <w:pStyle w:val="4"/>
        <w:spacing w:before="0" w:after="0" w:line="360" w:lineRule="auto"/>
        <w:rPr>
          <w:rFonts w:ascii="宋体"/>
          <w:color w:val="auto"/>
          <w:sz w:val="21"/>
          <w:szCs w:val="21"/>
        </w:rPr>
      </w:pPr>
      <w:bookmarkStart w:id="70" w:name="_Toc107396173"/>
      <w:bookmarkStart w:id="71" w:name="_Toc77658045"/>
      <w:bookmarkStart w:id="72" w:name="_Toc120282401"/>
      <w:bookmarkStart w:id="73" w:name="_Toc77504035"/>
      <w:bookmarkStart w:id="74" w:name="_Toc70424826"/>
      <w:bookmarkStart w:id="75" w:name="_Toc77116646"/>
      <w:bookmarkStart w:id="76" w:name="_Toc16857"/>
      <w:bookmarkStart w:id="77" w:name="_Toc164432890"/>
      <w:r>
        <w:rPr>
          <w:rFonts w:ascii="宋体" w:hAnsi="宋体" w:cs="宋体"/>
          <w:color w:val="auto"/>
          <w:sz w:val="21"/>
          <w:szCs w:val="21"/>
        </w:rPr>
        <w:t xml:space="preserve">1.1 </w:t>
      </w:r>
      <w:r>
        <w:rPr>
          <w:rFonts w:hint="eastAsia" w:ascii="宋体" w:hAnsi="宋体" w:cs="宋体"/>
          <w:color w:val="auto"/>
          <w:sz w:val="21"/>
          <w:szCs w:val="21"/>
        </w:rPr>
        <w:t>项目概况</w:t>
      </w:r>
      <w:bookmarkEnd w:id="70"/>
      <w:bookmarkEnd w:id="71"/>
      <w:bookmarkEnd w:id="72"/>
      <w:bookmarkEnd w:id="73"/>
      <w:bookmarkEnd w:id="74"/>
      <w:bookmarkEnd w:id="75"/>
      <w:bookmarkEnd w:id="76"/>
      <w:bookmarkEnd w:id="77"/>
    </w:p>
    <w:p w14:paraId="6C3CCA0A">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1.1.1 </w:t>
      </w:r>
      <w:r>
        <w:rPr>
          <w:rFonts w:hint="eastAsia" w:ascii="宋体" w:hAnsi="宋体" w:eastAsia="宋体" w:cs="宋体"/>
          <w:color w:val="auto"/>
        </w:rPr>
        <w:t>根据《中华人民共和国政府采购法》、《中华人民共和国政府采购法实施条例》、《政府采购货物和服务招标投标管理办法》（财政部令第</w:t>
      </w:r>
      <w:r>
        <w:rPr>
          <w:rFonts w:ascii="宋体" w:hAnsi="宋体" w:eastAsia="宋体" w:cs="宋体"/>
          <w:color w:val="auto"/>
        </w:rPr>
        <w:t>87</w:t>
      </w:r>
      <w:r>
        <w:rPr>
          <w:rFonts w:hint="eastAsia" w:ascii="宋体" w:hAnsi="宋体" w:eastAsia="宋体" w:cs="宋体"/>
          <w:color w:val="auto"/>
        </w:rPr>
        <w:t>号）等有关法律、法规和规章的规定，本招标项目已具备招标条件，现对该项目进行公开招标。</w:t>
      </w:r>
    </w:p>
    <w:p w14:paraId="51859925">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1.1.2 </w:t>
      </w:r>
      <w:r>
        <w:rPr>
          <w:rFonts w:hint="eastAsia" w:ascii="宋体" w:hAnsi="宋体" w:eastAsia="宋体" w:cs="宋体"/>
          <w:color w:val="auto"/>
        </w:rPr>
        <w:t>采购人：见投标人须知前附表。</w:t>
      </w:r>
    </w:p>
    <w:p w14:paraId="24C2F9FB">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1.1.3 </w:t>
      </w:r>
      <w:r>
        <w:rPr>
          <w:rFonts w:hint="eastAsia" w:ascii="宋体" w:hAnsi="宋体" w:eastAsia="宋体" w:cs="宋体"/>
          <w:color w:val="auto"/>
        </w:rPr>
        <w:t>采购代理机构：见投标人须知前附表。</w:t>
      </w:r>
    </w:p>
    <w:p w14:paraId="4ED52D96">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1.1.4 </w:t>
      </w:r>
      <w:r>
        <w:rPr>
          <w:rFonts w:hint="eastAsia" w:ascii="宋体" w:hAnsi="宋体" w:eastAsia="宋体" w:cs="宋体"/>
          <w:color w:val="auto"/>
        </w:rPr>
        <w:t>招标项目名称：见投标人须知前附表。</w:t>
      </w:r>
    </w:p>
    <w:p w14:paraId="5C5360E3">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1.1.5 </w:t>
      </w:r>
      <w:r>
        <w:rPr>
          <w:rFonts w:hint="eastAsia" w:ascii="宋体" w:hAnsi="宋体" w:eastAsia="宋体" w:cs="宋体"/>
          <w:color w:val="auto"/>
        </w:rPr>
        <w:t>交货地点：见投标人须知前附表。</w:t>
      </w:r>
    </w:p>
    <w:p w14:paraId="5ACA9AF0">
      <w:pPr>
        <w:pStyle w:val="4"/>
        <w:spacing w:before="0" w:after="0" w:line="360" w:lineRule="auto"/>
        <w:rPr>
          <w:rFonts w:ascii="宋体"/>
          <w:color w:val="auto"/>
          <w:sz w:val="21"/>
          <w:szCs w:val="21"/>
        </w:rPr>
      </w:pPr>
      <w:bookmarkStart w:id="78" w:name="_Toc120282402"/>
      <w:bookmarkStart w:id="79" w:name="_Toc164432891"/>
      <w:bookmarkStart w:id="80" w:name="_Toc77504036"/>
      <w:bookmarkStart w:id="81" w:name="_Toc77116647"/>
      <w:bookmarkStart w:id="82" w:name="_Toc77658046"/>
      <w:bookmarkStart w:id="83" w:name="_Toc70424827"/>
      <w:bookmarkStart w:id="84" w:name="_Toc17033"/>
      <w:bookmarkStart w:id="85" w:name="_Toc107396174"/>
      <w:r>
        <w:rPr>
          <w:rFonts w:ascii="宋体" w:hAnsi="宋体" w:cs="宋体"/>
          <w:color w:val="auto"/>
          <w:sz w:val="21"/>
          <w:szCs w:val="21"/>
        </w:rPr>
        <w:t xml:space="preserve">1.2 </w:t>
      </w:r>
      <w:r>
        <w:rPr>
          <w:rFonts w:hint="eastAsia" w:ascii="宋体" w:hAnsi="宋体" w:cs="宋体"/>
          <w:color w:val="auto"/>
          <w:sz w:val="21"/>
          <w:szCs w:val="21"/>
        </w:rPr>
        <w:t>招标项目的资金来源及落实情况</w:t>
      </w:r>
      <w:bookmarkEnd w:id="78"/>
      <w:bookmarkEnd w:id="79"/>
      <w:bookmarkEnd w:id="80"/>
      <w:bookmarkEnd w:id="81"/>
      <w:bookmarkEnd w:id="82"/>
      <w:bookmarkEnd w:id="83"/>
      <w:bookmarkEnd w:id="84"/>
      <w:bookmarkEnd w:id="85"/>
    </w:p>
    <w:p w14:paraId="084AA5BD">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1.2.1 </w:t>
      </w:r>
      <w:r>
        <w:rPr>
          <w:rFonts w:hint="eastAsia" w:ascii="宋体" w:hAnsi="宋体" w:eastAsia="宋体" w:cs="宋体"/>
          <w:color w:val="auto"/>
        </w:rPr>
        <w:t>资金来源：见投标人须知前附表。</w:t>
      </w:r>
    </w:p>
    <w:p w14:paraId="5A26252E">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1.2.2 </w:t>
      </w:r>
      <w:r>
        <w:rPr>
          <w:rFonts w:hint="eastAsia" w:ascii="宋体" w:hAnsi="宋体" w:eastAsia="宋体" w:cs="宋体"/>
          <w:color w:val="auto"/>
        </w:rPr>
        <w:t>资金落实情况：见投标人须知前附表。</w:t>
      </w:r>
    </w:p>
    <w:p w14:paraId="0F7448C3">
      <w:pPr>
        <w:pStyle w:val="4"/>
        <w:spacing w:before="0" w:after="0" w:line="360" w:lineRule="auto"/>
        <w:rPr>
          <w:rFonts w:ascii="宋体"/>
          <w:color w:val="auto"/>
          <w:sz w:val="21"/>
          <w:szCs w:val="21"/>
        </w:rPr>
      </w:pPr>
      <w:bookmarkStart w:id="86" w:name="_Toc107396175"/>
      <w:bookmarkStart w:id="87" w:name="_Toc77504037"/>
      <w:bookmarkStart w:id="88" w:name="_Toc77658047"/>
      <w:bookmarkStart w:id="89" w:name="_Toc164432892"/>
      <w:bookmarkStart w:id="90" w:name="_Toc70424828"/>
      <w:bookmarkStart w:id="91" w:name="_Toc77116648"/>
      <w:bookmarkStart w:id="92" w:name="_Toc3133"/>
      <w:bookmarkStart w:id="93" w:name="_Toc120282403"/>
      <w:r>
        <w:rPr>
          <w:rFonts w:ascii="宋体" w:hAnsi="宋体" w:cs="宋体"/>
          <w:color w:val="auto"/>
          <w:sz w:val="21"/>
          <w:szCs w:val="21"/>
        </w:rPr>
        <w:t xml:space="preserve">1.3 </w:t>
      </w:r>
      <w:r>
        <w:rPr>
          <w:rFonts w:hint="eastAsia" w:ascii="宋体" w:hAnsi="宋体" w:cs="宋体"/>
          <w:color w:val="auto"/>
          <w:sz w:val="21"/>
          <w:szCs w:val="21"/>
        </w:rPr>
        <w:t>采购范围、</w:t>
      </w:r>
      <w:r>
        <w:rPr>
          <w:rFonts w:hint="eastAsia" w:ascii="宋体" w:hAnsi="宋体" w:cs="宋体"/>
          <w:color w:val="auto"/>
          <w:sz w:val="21"/>
          <w:szCs w:val="21"/>
          <w:lang w:eastAsia="zh-CN"/>
        </w:rPr>
        <w:t>合同履行期限</w:t>
      </w:r>
      <w:r>
        <w:rPr>
          <w:rFonts w:hint="eastAsia" w:ascii="宋体" w:hAnsi="宋体" w:cs="宋体"/>
          <w:color w:val="auto"/>
          <w:sz w:val="21"/>
          <w:szCs w:val="21"/>
        </w:rPr>
        <w:t>及质量标准</w:t>
      </w:r>
      <w:bookmarkEnd w:id="86"/>
      <w:bookmarkEnd w:id="87"/>
      <w:bookmarkEnd w:id="88"/>
      <w:bookmarkEnd w:id="89"/>
      <w:bookmarkEnd w:id="90"/>
      <w:bookmarkEnd w:id="91"/>
      <w:bookmarkEnd w:id="92"/>
      <w:bookmarkEnd w:id="93"/>
    </w:p>
    <w:p w14:paraId="287CABFC">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1.3.1 </w:t>
      </w:r>
      <w:r>
        <w:rPr>
          <w:rFonts w:hint="eastAsia" w:ascii="宋体" w:hAnsi="宋体" w:eastAsia="宋体" w:cs="宋体"/>
          <w:color w:val="auto"/>
        </w:rPr>
        <w:t>采购范围：见投标人须知前附表。</w:t>
      </w:r>
    </w:p>
    <w:p w14:paraId="24ED448D">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1.3.2 </w:t>
      </w:r>
      <w:r>
        <w:rPr>
          <w:rFonts w:hint="eastAsia" w:ascii="宋体" w:hAnsi="宋体" w:eastAsia="宋体" w:cs="宋体"/>
          <w:color w:val="auto"/>
        </w:rPr>
        <w:t>合同履行期限：见投标人须知前附表。</w:t>
      </w:r>
    </w:p>
    <w:p w14:paraId="56F31B53">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1.3.3 </w:t>
      </w:r>
      <w:r>
        <w:rPr>
          <w:rFonts w:hint="eastAsia" w:ascii="宋体" w:hAnsi="宋体" w:eastAsia="宋体" w:cs="宋体"/>
          <w:color w:val="auto"/>
        </w:rPr>
        <w:t>服务标准：见投标人须知前附表。</w:t>
      </w:r>
    </w:p>
    <w:p w14:paraId="49E50004">
      <w:pPr>
        <w:pStyle w:val="4"/>
        <w:spacing w:before="0" w:after="0" w:line="360" w:lineRule="auto"/>
        <w:rPr>
          <w:rFonts w:ascii="宋体"/>
          <w:color w:val="auto"/>
          <w:sz w:val="21"/>
          <w:szCs w:val="21"/>
        </w:rPr>
      </w:pPr>
      <w:bookmarkStart w:id="94" w:name="_Toc77504038"/>
      <w:bookmarkStart w:id="95" w:name="_Toc107396176"/>
      <w:bookmarkStart w:id="96" w:name="_Toc16836"/>
      <w:bookmarkStart w:id="97" w:name="_Toc70424829"/>
      <w:bookmarkStart w:id="98" w:name="_Toc120282404"/>
      <w:bookmarkStart w:id="99" w:name="_Toc77116649"/>
      <w:bookmarkStart w:id="100" w:name="_Toc164432893"/>
      <w:bookmarkStart w:id="101" w:name="_Toc77658048"/>
      <w:r>
        <w:rPr>
          <w:rFonts w:ascii="宋体" w:hAnsi="宋体" w:cs="宋体"/>
          <w:color w:val="auto"/>
          <w:sz w:val="21"/>
          <w:szCs w:val="21"/>
        </w:rPr>
        <w:t xml:space="preserve">1.4 </w:t>
      </w:r>
      <w:r>
        <w:rPr>
          <w:rFonts w:hint="eastAsia" w:ascii="宋体" w:hAnsi="宋体" w:cs="宋体"/>
          <w:color w:val="auto"/>
          <w:sz w:val="21"/>
          <w:szCs w:val="21"/>
        </w:rPr>
        <w:t>投标人资格要求</w:t>
      </w:r>
      <w:bookmarkEnd w:id="94"/>
      <w:bookmarkEnd w:id="95"/>
      <w:bookmarkEnd w:id="96"/>
      <w:bookmarkEnd w:id="97"/>
      <w:bookmarkEnd w:id="98"/>
      <w:bookmarkEnd w:id="99"/>
      <w:bookmarkEnd w:id="100"/>
      <w:bookmarkEnd w:id="101"/>
    </w:p>
    <w:p w14:paraId="1B24B985">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1.4.1 </w:t>
      </w:r>
      <w:r>
        <w:rPr>
          <w:rFonts w:hint="eastAsia" w:ascii="宋体" w:hAnsi="宋体" w:eastAsia="宋体" w:cs="宋体"/>
          <w:color w:val="auto"/>
        </w:rPr>
        <w:t>投标人资格要求：见投标人须知前附表。</w:t>
      </w:r>
    </w:p>
    <w:p w14:paraId="3EA3FB29">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需要提交的相关证明材料见本章第</w:t>
      </w:r>
      <w:r>
        <w:rPr>
          <w:rFonts w:ascii="宋体" w:hAnsi="宋体" w:eastAsia="宋体" w:cs="宋体"/>
          <w:color w:val="auto"/>
        </w:rPr>
        <w:t>3.5</w:t>
      </w:r>
      <w:r>
        <w:rPr>
          <w:rFonts w:hint="eastAsia" w:ascii="宋体" w:hAnsi="宋体" w:eastAsia="宋体" w:cs="宋体"/>
          <w:color w:val="auto"/>
        </w:rPr>
        <w:t>款的规定。</w:t>
      </w:r>
    </w:p>
    <w:p w14:paraId="4085638F">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1.4.2 </w:t>
      </w:r>
      <w:r>
        <w:rPr>
          <w:rFonts w:hint="eastAsia" w:ascii="宋体" w:hAnsi="宋体" w:eastAsia="宋体" w:cs="宋体"/>
          <w:color w:val="auto"/>
        </w:rPr>
        <w:t>投标人须知前附表规定接受联合体投标的，联合体除应符合本章第</w:t>
      </w:r>
      <w:r>
        <w:rPr>
          <w:rFonts w:ascii="宋体" w:hAnsi="宋体" w:eastAsia="宋体" w:cs="宋体"/>
          <w:color w:val="auto"/>
        </w:rPr>
        <w:t>1.4.1</w:t>
      </w:r>
      <w:r>
        <w:rPr>
          <w:rFonts w:hint="eastAsia" w:ascii="宋体" w:hAnsi="宋体" w:eastAsia="宋体" w:cs="宋体"/>
          <w:color w:val="auto"/>
        </w:rPr>
        <w:t>项和投标人须知前附表的要求外，还应遵守以下规定：</w:t>
      </w:r>
    </w:p>
    <w:p w14:paraId="4EC5F7D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）联合体各方应按招标文件提供的格式签订联合体协议书，明确联合体牵头人和各方权利义务，并承诺就中标项目向采购人承担连带责任；</w:t>
      </w:r>
    </w:p>
    <w:p w14:paraId="6EAE444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）由同一专业的单位组成的联合体，按照资质等级较低的单位确定资质等级；</w:t>
      </w:r>
    </w:p>
    <w:p w14:paraId="7E9B9465">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）联合体各方不得再以自己名义单独或参加其他联合体在本招标项目中投标，否则各相关投标均无效。</w:t>
      </w:r>
    </w:p>
    <w:p w14:paraId="6A2B87CA">
      <w:pPr>
        <w:pStyle w:val="4"/>
        <w:spacing w:before="0" w:after="0" w:line="360" w:lineRule="auto"/>
        <w:rPr>
          <w:rFonts w:ascii="宋体"/>
          <w:color w:val="auto"/>
          <w:sz w:val="21"/>
          <w:szCs w:val="21"/>
        </w:rPr>
      </w:pPr>
      <w:bookmarkStart w:id="102" w:name="_Toc164432894"/>
      <w:bookmarkStart w:id="103" w:name="_Toc120282405"/>
      <w:bookmarkStart w:id="104" w:name="_Toc70424830"/>
      <w:bookmarkStart w:id="105" w:name="_Toc107396177"/>
      <w:bookmarkStart w:id="106" w:name="_Toc18299"/>
      <w:bookmarkStart w:id="107" w:name="_Toc77504039"/>
      <w:bookmarkStart w:id="108" w:name="_Toc77116650"/>
      <w:bookmarkStart w:id="109" w:name="_Toc77658049"/>
      <w:r>
        <w:rPr>
          <w:rFonts w:ascii="宋体" w:hAnsi="宋体" w:cs="宋体"/>
          <w:color w:val="auto"/>
          <w:sz w:val="21"/>
          <w:szCs w:val="21"/>
        </w:rPr>
        <w:t xml:space="preserve">1.5 </w:t>
      </w:r>
      <w:r>
        <w:rPr>
          <w:rFonts w:hint="eastAsia" w:ascii="宋体" w:hAnsi="宋体" w:cs="宋体"/>
          <w:color w:val="auto"/>
          <w:sz w:val="21"/>
          <w:szCs w:val="21"/>
        </w:rPr>
        <w:t>费用承担</w:t>
      </w:r>
      <w:bookmarkEnd w:id="102"/>
      <w:bookmarkEnd w:id="103"/>
      <w:bookmarkEnd w:id="104"/>
      <w:bookmarkEnd w:id="105"/>
      <w:bookmarkEnd w:id="106"/>
      <w:bookmarkEnd w:id="107"/>
      <w:bookmarkEnd w:id="108"/>
      <w:bookmarkEnd w:id="109"/>
    </w:p>
    <w:p w14:paraId="1E10E6B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投标人准备和参加投标活动所发生的各种费用由投标人自行承担。</w:t>
      </w:r>
    </w:p>
    <w:p w14:paraId="5937BCB2">
      <w:pPr>
        <w:pStyle w:val="4"/>
        <w:spacing w:before="0" w:after="0" w:line="360" w:lineRule="auto"/>
        <w:rPr>
          <w:rFonts w:ascii="宋体"/>
          <w:color w:val="auto"/>
          <w:sz w:val="21"/>
          <w:szCs w:val="21"/>
        </w:rPr>
      </w:pPr>
      <w:bookmarkStart w:id="110" w:name="_Toc164432895"/>
      <w:bookmarkStart w:id="111" w:name="_Toc77504040"/>
      <w:bookmarkStart w:id="112" w:name="_Toc107396178"/>
      <w:bookmarkStart w:id="113" w:name="_Toc77658050"/>
      <w:bookmarkStart w:id="114" w:name="_Toc70424831"/>
      <w:bookmarkStart w:id="115" w:name="_Toc120282406"/>
      <w:bookmarkStart w:id="116" w:name="_Toc26853"/>
      <w:bookmarkStart w:id="117" w:name="_Toc77116651"/>
      <w:r>
        <w:rPr>
          <w:rFonts w:ascii="宋体" w:hAnsi="宋体" w:cs="宋体"/>
          <w:color w:val="auto"/>
          <w:sz w:val="21"/>
          <w:szCs w:val="21"/>
        </w:rPr>
        <w:t xml:space="preserve">1.6 </w:t>
      </w:r>
      <w:r>
        <w:rPr>
          <w:rFonts w:hint="eastAsia" w:ascii="宋体" w:hAnsi="宋体" w:cs="宋体"/>
          <w:color w:val="auto"/>
          <w:sz w:val="21"/>
          <w:szCs w:val="21"/>
        </w:rPr>
        <w:t>保密</w:t>
      </w:r>
      <w:bookmarkEnd w:id="110"/>
      <w:bookmarkEnd w:id="111"/>
      <w:bookmarkEnd w:id="112"/>
      <w:bookmarkEnd w:id="113"/>
      <w:bookmarkEnd w:id="114"/>
      <w:bookmarkEnd w:id="115"/>
      <w:bookmarkEnd w:id="116"/>
      <w:bookmarkEnd w:id="117"/>
    </w:p>
    <w:p w14:paraId="4A42D18F">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参加招标投标活动的各方应对招标文件和投标文件中的商业和技术等秘密保密，否则应承担相应的法律责任。</w:t>
      </w:r>
    </w:p>
    <w:p w14:paraId="6C64F3C0">
      <w:pPr>
        <w:pStyle w:val="4"/>
        <w:spacing w:before="0" w:after="0" w:line="360" w:lineRule="auto"/>
        <w:rPr>
          <w:rFonts w:ascii="宋体"/>
          <w:color w:val="auto"/>
          <w:sz w:val="21"/>
          <w:szCs w:val="21"/>
        </w:rPr>
      </w:pPr>
      <w:bookmarkStart w:id="118" w:name="_Toc77116652"/>
      <w:bookmarkStart w:id="119" w:name="_Toc15525"/>
      <w:bookmarkStart w:id="120" w:name="_Toc107396179"/>
      <w:bookmarkStart w:id="121" w:name="_Toc77658051"/>
      <w:bookmarkStart w:id="122" w:name="_Toc164432896"/>
      <w:bookmarkStart w:id="123" w:name="_Toc70424832"/>
      <w:bookmarkStart w:id="124" w:name="_Toc120282407"/>
      <w:bookmarkStart w:id="125" w:name="_Toc77504041"/>
      <w:r>
        <w:rPr>
          <w:rFonts w:ascii="宋体" w:hAnsi="宋体" w:cs="宋体"/>
          <w:color w:val="auto"/>
          <w:sz w:val="21"/>
          <w:szCs w:val="21"/>
        </w:rPr>
        <w:t xml:space="preserve">1.7 </w:t>
      </w:r>
      <w:r>
        <w:rPr>
          <w:rFonts w:hint="eastAsia" w:ascii="宋体" w:hAnsi="宋体" w:cs="宋体"/>
          <w:color w:val="auto"/>
          <w:sz w:val="21"/>
          <w:szCs w:val="21"/>
        </w:rPr>
        <w:t>语言文字</w:t>
      </w:r>
      <w:bookmarkEnd w:id="118"/>
      <w:bookmarkEnd w:id="119"/>
      <w:bookmarkEnd w:id="120"/>
      <w:bookmarkEnd w:id="121"/>
      <w:bookmarkEnd w:id="122"/>
      <w:bookmarkEnd w:id="123"/>
      <w:bookmarkEnd w:id="124"/>
      <w:bookmarkEnd w:id="125"/>
    </w:p>
    <w:p w14:paraId="0CE43CEF">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招标投标文件使用的语言文字为中文。专用术语使用外文的，应附有中文注释。</w:t>
      </w:r>
    </w:p>
    <w:p w14:paraId="65446802">
      <w:pPr>
        <w:pStyle w:val="4"/>
        <w:spacing w:before="0" w:after="0" w:line="360" w:lineRule="auto"/>
        <w:rPr>
          <w:rFonts w:ascii="宋体"/>
          <w:color w:val="auto"/>
          <w:sz w:val="21"/>
          <w:szCs w:val="21"/>
        </w:rPr>
      </w:pPr>
      <w:bookmarkStart w:id="126" w:name="_Toc120282408"/>
      <w:bookmarkStart w:id="127" w:name="_Toc27224"/>
      <w:bookmarkStart w:id="128" w:name="_Toc164432897"/>
      <w:bookmarkStart w:id="129" w:name="_Toc77116653"/>
      <w:bookmarkStart w:id="130" w:name="_Toc77504042"/>
      <w:bookmarkStart w:id="131" w:name="_Toc77658052"/>
      <w:bookmarkStart w:id="132" w:name="_Toc70424833"/>
      <w:bookmarkStart w:id="133" w:name="_Toc107396180"/>
      <w:r>
        <w:rPr>
          <w:rFonts w:ascii="宋体" w:hAnsi="宋体" w:cs="宋体"/>
          <w:color w:val="auto"/>
          <w:sz w:val="21"/>
          <w:szCs w:val="21"/>
        </w:rPr>
        <w:t xml:space="preserve">1.8 </w:t>
      </w:r>
      <w:r>
        <w:rPr>
          <w:rFonts w:hint="eastAsia" w:ascii="宋体" w:hAnsi="宋体" w:cs="宋体"/>
          <w:color w:val="auto"/>
          <w:sz w:val="21"/>
          <w:szCs w:val="21"/>
        </w:rPr>
        <w:t>计量单位</w:t>
      </w:r>
      <w:bookmarkEnd w:id="126"/>
      <w:bookmarkEnd w:id="127"/>
      <w:bookmarkEnd w:id="128"/>
      <w:bookmarkEnd w:id="129"/>
      <w:bookmarkEnd w:id="130"/>
      <w:bookmarkEnd w:id="131"/>
      <w:bookmarkEnd w:id="132"/>
      <w:bookmarkEnd w:id="133"/>
    </w:p>
    <w:p w14:paraId="253B70C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所有计量均采用中华人民共和国法定计量单位。</w:t>
      </w:r>
    </w:p>
    <w:p w14:paraId="33712E8B">
      <w:pPr>
        <w:pStyle w:val="4"/>
        <w:spacing w:before="0" w:after="0" w:line="360" w:lineRule="auto"/>
        <w:rPr>
          <w:rFonts w:ascii="宋体"/>
          <w:color w:val="auto"/>
          <w:sz w:val="21"/>
          <w:szCs w:val="21"/>
        </w:rPr>
      </w:pPr>
      <w:bookmarkStart w:id="134" w:name="_Toc164432898"/>
      <w:bookmarkStart w:id="135" w:name="_Toc70424834"/>
      <w:bookmarkStart w:id="136" w:name="_Toc107396181"/>
      <w:bookmarkStart w:id="137" w:name="_Toc77658053"/>
      <w:bookmarkStart w:id="138" w:name="_Toc13211"/>
      <w:bookmarkStart w:id="139" w:name="_Toc120282409"/>
      <w:bookmarkStart w:id="140" w:name="_Toc77504043"/>
      <w:bookmarkStart w:id="141" w:name="_Toc77116654"/>
      <w:r>
        <w:rPr>
          <w:rFonts w:ascii="宋体" w:hAnsi="宋体" w:cs="宋体"/>
          <w:color w:val="auto"/>
          <w:sz w:val="21"/>
          <w:szCs w:val="21"/>
        </w:rPr>
        <w:t xml:space="preserve">1.9 </w:t>
      </w:r>
      <w:r>
        <w:rPr>
          <w:rFonts w:hint="eastAsia" w:ascii="宋体" w:hAnsi="宋体" w:cs="宋体"/>
          <w:color w:val="auto"/>
          <w:sz w:val="21"/>
          <w:szCs w:val="21"/>
        </w:rPr>
        <w:t>踏勘现场</w:t>
      </w:r>
      <w:bookmarkEnd w:id="134"/>
      <w:bookmarkEnd w:id="135"/>
      <w:bookmarkEnd w:id="136"/>
      <w:bookmarkEnd w:id="137"/>
      <w:bookmarkEnd w:id="138"/>
      <w:bookmarkEnd w:id="139"/>
      <w:bookmarkEnd w:id="140"/>
      <w:bookmarkEnd w:id="141"/>
    </w:p>
    <w:p w14:paraId="7141CD16">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1.9.1 </w:t>
      </w:r>
      <w:r>
        <w:rPr>
          <w:rFonts w:hint="eastAsia" w:ascii="宋体" w:hAnsi="宋体" w:eastAsia="宋体" w:cs="宋体"/>
          <w:color w:val="auto"/>
        </w:rPr>
        <w:t>投标人须知前附表规定组织踏勘现场的，采购人按投标人须知前附表规定的时间、地点组织投标人踏勘项目现场。部分投标人未按时参加踏勘现场的，不影响踏勘现场的正常进行。</w:t>
      </w:r>
    </w:p>
    <w:p w14:paraId="453BD5FA">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1.9.2 </w:t>
      </w:r>
      <w:r>
        <w:rPr>
          <w:rFonts w:hint="eastAsia" w:ascii="宋体" w:hAnsi="宋体" w:eastAsia="宋体" w:cs="宋体"/>
          <w:color w:val="auto"/>
        </w:rPr>
        <w:t>投标人可自愿参加踏勘现场活动。除采购人的原因外，采购人对投标人参加踏勘现场中所发生的人员伤亡和财产损失不承担责任。</w:t>
      </w:r>
    </w:p>
    <w:p w14:paraId="1CD3E264">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1.9.3 </w:t>
      </w:r>
      <w:r>
        <w:rPr>
          <w:rFonts w:hint="eastAsia" w:ascii="宋体" w:hAnsi="宋体" w:eastAsia="宋体" w:cs="宋体"/>
          <w:color w:val="auto"/>
        </w:rPr>
        <w:t>采购人在踏勘现场中介绍的工程场地和相关的周边环境情况，仅作为投标人编制投标文件的参考，采购人不对投标人据此作出的判断和决策负责。</w:t>
      </w:r>
    </w:p>
    <w:p w14:paraId="5A2ADA4A">
      <w:pPr>
        <w:pStyle w:val="4"/>
        <w:spacing w:before="0" w:after="0" w:line="360" w:lineRule="auto"/>
        <w:rPr>
          <w:rFonts w:ascii="宋体"/>
          <w:color w:val="auto"/>
          <w:sz w:val="21"/>
          <w:szCs w:val="21"/>
        </w:rPr>
      </w:pPr>
      <w:bookmarkStart w:id="142" w:name="_Toc77116655"/>
      <w:bookmarkStart w:id="143" w:name="_Toc70424835"/>
      <w:bookmarkStart w:id="144" w:name="_Toc77658054"/>
      <w:bookmarkStart w:id="145" w:name="_Toc164432899"/>
      <w:bookmarkStart w:id="146" w:name="_Toc14640"/>
      <w:bookmarkStart w:id="147" w:name="_Toc120282410"/>
      <w:bookmarkStart w:id="148" w:name="_Toc77504044"/>
      <w:bookmarkStart w:id="149" w:name="_Toc107396182"/>
      <w:r>
        <w:rPr>
          <w:rFonts w:ascii="宋体" w:hAnsi="宋体" w:cs="宋体"/>
          <w:color w:val="auto"/>
          <w:sz w:val="21"/>
          <w:szCs w:val="21"/>
        </w:rPr>
        <w:t xml:space="preserve">1.10 </w:t>
      </w:r>
      <w:r>
        <w:rPr>
          <w:rFonts w:hint="eastAsia" w:ascii="宋体" w:hAnsi="宋体" w:cs="宋体"/>
          <w:color w:val="auto"/>
          <w:sz w:val="21"/>
          <w:szCs w:val="21"/>
        </w:rPr>
        <w:t>投标预备会</w:t>
      </w:r>
      <w:bookmarkEnd w:id="142"/>
      <w:bookmarkEnd w:id="143"/>
      <w:bookmarkEnd w:id="144"/>
      <w:bookmarkEnd w:id="145"/>
      <w:bookmarkEnd w:id="146"/>
      <w:bookmarkEnd w:id="147"/>
      <w:bookmarkEnd w:id="148"/>
      <w:bookmarkEnd w:id="149"/>
    </w:p>
    <w:p w14:paraId="115560FD">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投标人须知前附表规定召开投标预备会的，采购人按投标人须知前附表规定的时间和地点召开投标预备会。</w:t>
      </w:r>
    </w:p>
    <w:p w14:paraId="30525548">
      <w:pPr>
        <w:pStyle w:val="4"/>
        <w:spacing w:before="0" w:after="0" w:line="360" w:lineRule="auto"/>
        <w:rPr>
          <w:rFonts w:ascii="宋体"/>
          <w:color w:val="auto"/>
          <w:sz w:val="21"/>
          <w:szCs w:val="21"/>
        </w:rPr>
      </w:pPr>
      <w:bookmarkStart w:id="150" w:name="_Toc70424836"/>
      <w:bookmarkStart w:id="151" w:name="_Toc77658055"/>
      <w:bookmarkStart w:id="152" w:name="_Toc77116656"/>
      <w:bookmarkStart w:id="153" w:name="_Toc120282411"/>
      <w:bookmarkStart w:id="154" w:name="_Toc15111"/>
      <w:bookmarkStart w:id="155" w:name="_Toc77504045"/>
      <w:bookmarkStart w:id="156" w:name="_Toc107396183"/>
      <w:bookmarkStart w:id="157" w:name="_Toc164432900"/>
      <w:r>
        <w:rPr>
          <w:rFonts w:ascii="宋体" w:hAnsi="宋体" w:cs="宋体"/>
          <w:color w:val="auto"/>
          <w:sz w:val="21"/>
          <w:szCs w:val="21"/>
        </w:rPr>
        <w:t xml:space="preserve">1.11 </w:t>
      </w:r>
      <w:r>
        <w:rPr>
          <w:rFonts w:hint="eastAsia" w:ascii="宋体" w:hAnsi="宋体" w:cs="宋体"/>
          <w:color w:val="auto"/>
          <w:sz w:val="21"/>
          <w:szCs w:val="21"/>
        </w:rPr>
        <w:t>分包</w:t>
      </w:r>
      <w:bookmarkEnd w:id="150"/>
      <w:bookmarkEnd w:id="151"/>
      <w:bookmarkEnd w:id="152"/>
      <w:bookmarkEnd w:id="153"/>
      <w:bookmarkEnd w:id="154"/>
      <w:bookmarkEnd w:id="155"/>
      <w:bookmarkEnd w:id="156"/>
      <w:bookmarkEnd w:id="157"/>
    </w:p>
    <w:p w14:paraId="4D64727A">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本项目严禁分包。</w:t>
      </w:r>
    </w:p>
    <w:p w14:paraId="4E995B31">
      <w:pPr>
        <w:pStyle w:val="4"/>
        <w:spacing w:before="0" w:after="0" w:line="360" w:lineRule="auto"/>
        <w:rPr>
          <w:rFonts w:ascii="宋体"/>
          <w:color w:val="auto"/>
          <w:sz w:val="21"/>
          <w:szCs w:val="21"/>
        </w:rPr>
      </w:pPr>
      <w:bookmarkStart w:id="158" w:name="_Toc164432901"/>
      <w:bookmarkStart w:id="159" w:name="_Toc77504046"/>
      <w:bookmarkStart w:id="160" w:name="_Toc107396184"/>
      <w:bookmarkStart w:id="161" w:name="_Toc77116657"/>
      <w:bookmarkStart w:id="162" w:name="_Toc77658056"/>
      <w:bookmarkStart w:id="163" w:name="_Toc6574"/>
      <w:bookmarkStart w:id="164" w:name="_Toc120282412"/>
      <w:bookmarkStart w:id="165" w:name="_Toc70424837"/>
      <w:r>
        <w:rPr>
          <w:rFonts w:ascii="宋体" w:hAnsi="宋体" w:cs="宋体"/>
          <w:color w:val="auto"/>
          <w:sz w:val="21"/>
          <w:szCs w:val="21"/>
        </w:rPr>
        <w:t xml:space="preserve">1.12 </w:t>
      </w:r>
      <w:r>
        <w:rPr>
          <w:rFonts w:hint="eastAsia" w:ascii="宋体" w:hAnsi="宋体" w:cs="宋体"/>
          <w:color w:val="auto"/>
          <w:sz w:val="21"/>
          <w:szCs w:val="21"/>
        </w:rPr>
        <w:t>响应和偏差</w:t>
      </w:r>
      <w:bookmarkEnd w:id="158"/>
      <w:bookmarkEnd w:id="159"/>
      <w:bookmarkEnd w:id="160"/>
      <w:bookmarkEnd w:id="161"/>
      <w:bookmarkEnd w:id="162"/>
      <w:bookmarkEnd w:id="163"/>
      <w:bookmarkEnd w:id="164"/>
      <w:bookmarkEnd w:id="165"/>
    </w:p>
    <w:p w14:paraId="78D39392">
      <w:pPr>
        <w:spacing w:line="360" w:lineRule="auto"/>
        <w:ind w:firstLine="420" w:firstLineChars="200"/>
        <w:rPr>
          <w:rFonts w:ascii="宋体" w:hAnsi="宋体" w:eastAsia="宋体" w:cs="Times New Roman"/>
          <w:color w:val="auto"/>
        </w:rPr>
      </w:pPr>
      <w:r>
        <w:rPr>
          <w:rFonts w:ascii="宋体" w:hAnsi="宋体" w:eastAsia="宋体" w:cs="宋体"/>
          <w:color w:val="auto"/>
        </w:rPr>
        <w:t>1.12.1</w:t>
      </w:r>
      <w:r>
        <w:rPr>
          <w:rFonts w:hint="eastAsia" w:ascii="宋体" w:hAnsi="宋体" w:eastAsia="宋体" w:cs="宋体"/>
          <w:color w:val="auto"/>
        </w:rPr>
        <w:t>投标文件应当对采购需求和合同草案中的关键条款作出满足性或更有利于采购人的响应，否则，投标人的投标文件将被视为无效。</w:t>
      </w:r>
    </w:p>
    <w:p w14:paraId="62F73C77">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1.12.2 </w:t>
      </w:r>
      <w:r>
        <w:rPr>
          <w:rFonts w:hint="eastAsia" w:ascii="宋体" w:hAnsi="宋体" w:eastAsia="宋体" w:cs="宋体"/>
          <w:color w:val="auto"/>
        </w:rPr>
        <w:t>投标人须知前附表规定了对非关键条款允许偏差的范围和可以偏差的项数的，如投标文件存在的偏差超出上述范围或项数，将被视为无效。</w:t>
      </w:r>
    </w:p>
    <w:p w14:paraId="3FF0433B">
      <w:pPr>
        <w:pStyle w:val="3"/>
        <w:spacing w:before="0" w:after="0" w:line="360" w:lineRule="auto"/>
        <w:rPr>
          <w:rFonts w:ascii="宋体" w:hAnsi="宋体" w:eastAsia="宋体" w:cs="Times New Roman"/>
          <w:color w:val="auto"/>
          <w:sz w:val="21"/>
          <w:szCs w:val="21"/>
        </w:rPr>
      </w:pPr>
      <w:bookmarkStart w:id="166" w:name="_Toc77116658"/>
      <w:bookmarkStart w:id="167" w:name="_Toc77658057"/>
      <w:bookmarkStart w:id="168" w:name="_Toc107396185"/>
      <w:bookmarkStart w:id="169" w:name="_Toc77504047"/>
      <w:bookmarkStart w:id="170" w:name="_Toc164432902"/>
      <w:bookmarkStart w:id="171" w:name="_Toc120282413"/>
      <w:bookmarkStart w:id="172" w:name="_Toc15715"/>
      <w:bookmarkStart w:id="173" w:name="_Toc70424838"/>
      <w:r>
        <w:rPr>
          <w:rFonts w:ascii="宋体" w:hAnsi="宋体" w:eastAsia="宋体" w:cs="宋体"/>
          <w:color w:val="auto"/>
          <w:sz w:val="21"/>
          <w:szCs w:val="21"/>
        </w:rPr>
        <w:t xml:space="preserve">2. </w:t>
      </w:r>
      <w:r>
        <w:rPr>
          <w:rFonts w:hint="eastAsia" w:ascii="宋体" w:hAnsi="宋体" w:eastAsia="宋体" w:cs="宋体"/>
          <w:color w:val="auto"/>
          <w:sz w:val="21"/>
          <w:szCs w:val="21"/>
        </w:rPr>
        <w:t>招标文件</w:t>
      </w:r>
      <w:bookmarkEnd w:id="166"/>
      <w:bookmarkEnd w:id="167"/>
      <w:bookmarkEnd w:id="168"/>
      <w:bookmarkEnd w:id="169"/>
      <w:bookmarkEnd w:id="170"/>
      <w:bookmarkEnd w:id="171"/>
      <w:bookmarkEnd w:id="172"/>
      <w:bookmarkEnd w:id="173"/>
    </w:p>
    <w:p w14:paraId="2CFB3358">
      <w:pPr>
        <w:pStyle w:val="4"/>
        <w:spacing w:before="0" w:after="0" w:line="360" w:lineRule="auto"/>
        <w:rPr>
          <w:rFonts w:ascii="宋体"/>
          <w:color w:val="auto"/>
          <w:sz w:val="21"/>
          <w:szCs w:val="21"/>
        </w:rPr>
      </w:pPr>
      <w:bookmarkStart w:id="174" w:name="_Toc164432903"/>
      <w:bookmarkStart w:id="175" w:name="_Toc107396186"/>
      <w:bookmarkStart w:id="176" w:name="_Toc77658058"/>
      <w:bookmarkStart w:id="177" w:name="_Toc3770"/>
      <w:bookmarkStart w:id="178" w:name="_Toc120282414"/>
      <w:bookmarkStart w:id="179" w:name="_Toc70424839"/>
      <w:bookmarkStart w:id="180" w:name="_Toc77116659"/>
      <w:bookmarkStart w:id="181" w:name="_Toc77504048"/>
      <w:r>
        <w:rPr>
          <w:rFonts w:ascii="宋体" w:hAnsi="宋体" w:cs="宋体"/>
          <w:color w:val="auto"/>
          <w:sz w:val="21"/>
          <w:szCs w:val="21"/>
        </w:rPr>
        <w:t xml:space="preserve">2.1 </w:t>
      </w:r>
      <w:r>
        <w:rPr>
          <w:rFonts w:hint="eastAsia" w:ascii="宋体" w:hAnsi="宋体" w:cs="宋体"/>
          <w:color w:val="auto"/>
          <w:sz w:val="21"/>
          <w:szCs w:val="21"/>
        </w:rPr>
        <w:t>招标文件的组成</w:t>
      </w:r>
      <w:bookmarkEnd w:id="174"/>
      <w:bookmarkEnd w:id="175"/>
      <w:bookmarkEnd w:id="176"/>
      <w:bookmarkEnd w:id="177"/>
      <w:bookmarkEnd w:id="178"/>
      <w:bookmarkEnd w:id="179"/>
      <w:bookmarkEnd w:id="180"/>
      <w:bookmarkEnd w:id="181"/>
    </w:p>
    <w:p w14:paraId="4DFDADDF">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本招标文件包括：</w:t>
      </w:r>
    </w:p>
    <w:p w14:paraId="3D1A9A94">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）招标公告；</w:t>
      </w:r>
    </w:p>
    <w:p w14:paraId="7FC11C00">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）投标人须知；</w:t>
      </w:r>
    </w:p>
    <w:p w14:paraId="289456D4">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）评标办法；</w:t>
      </w:r>
    </w:p>
    <w:p w14:paraId="2695D5C4">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4</w:t>
      </w:r>
      <w:r>
        <w:rPr>
          <w:rFonts w:hint="eastAsia" w:ascii="宋体" w:hAnsi="宋体" w:eastAsia="宋体" w:cs="宋体"/>
          <w:color w:val="auto"/>
        </w:rPr>
        <w:t>）合同草案；</w:t>
      </w:r>
    </w:p>
    <w:p w14:paraId="6ADDCC70">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5</w:t>
      </w:r>
      <w:r>
        <w:rPr>
          <w:rFonts w:hint="eastAsia" w:ascii="宋体" w:hAnsi="宋体" w:eastAsia="宋体" w:cs="宋体"/>
          <w:color w:val="auto"/>
        </w:rPr>
        <w:t>）采购需求；</w:t>
      </w:r>
    </w:p>
    <w:p w14:paraId="765D4038">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6</w:t>
      </w:r>
      <w:r>
        <w:rPr>
          <w:rFonts w:hint="eastAsia" w:ascii="宋体" w:hAnsi="宋体" w:eastAsia="宋体" w:cs="宋体"/>
          <w:color w:val="auto"/>
        </w:rPr>
        <w:t>）投标文件格式；</w:t>
      </w:r>
    </w:p>
    <w:p w14:paraId="7DBA345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7</w:t>
      </w:r>
      <w:r>
        <w:rPr>
          <w:rFonts w:hint="eastAsia" w:ascii="宋体" w:hAnsi="宋体" w:eastAsia="宋体" w:cs="宋体"/>
          <w:color w:val="auto"/>
        </w:rPr>
        <w:t>）投标人须知前附表规定的其他资料。</w:t>
      </w:r>
    </w:p>
    <w:p w14:paraId="52D66E22">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采购人依照本章规定，对招标文件所作的澄清、修改，构成招标文件的组成部分。</w:t>
      </w:r>
    </w:p>
    <w:p w14:paraId="587347B9">
      <w:pPr>
        <w:pStyle w:val="4"/>
        <w:spacing w:before="0" w:after="0" w:line="360" w:lineRule="auto"/>
        <w:rPr>
          <w:rFonts w:ascii="宋体"/>
          <w:color w:val="auto"/>
          <w:sz w:val="21"/>
          <w:szCs w:val="21"/>
        </w:rPr>
      </w:pPr>
      <w:bookmarkStart w:id="182" w:name="_Toc107396187"/>
      <w:bookmarkStart w:id="183" w:name="_Toc77658059"/>
      <w:bookmarkStart w:id="184" w:name="_Toc77116660"/>
      <w:bookmarkStart w:id="185" w:name="_Toc21576"/>
      <w:bookmarkStart w:id="186" w:name="_Toc164432904"/>
      <w:bookmarkStart w:id="187" w:name="_Toc70424840"/>
      <w:bookmarkStart w:id="188" w:name="_Toc77504049"/>
      <w:bookmarkStart w:id="189" w:name="_Toc120282415"/>
      <w:r>
        <w:rPr>
          <w:rFonts w:ascii="宋体" w:hAnsi="宋体" w:cs="宋体"/>
          <w:color w:val="auto"/>
          <w:sz w:val="21"/>
          <w:szCs w:val="21"/>
        </w:rPr>
        <w:t xml:space="preserve">2.2 </w:t>
      </w:r>
      <w:r>
        <w:rPr>
          <w:rFonts w:hint="eastAsia" w:ascii="宋体" w:hAnsi="宋体" w:cs="宋体"/>
          <w:color w:val="auto"/>
          <w:sz w:val="21"/>
          <w:szCs w:val="21"/>
        </w:rPr>
        <w:t>招标文件的澄清和修改</w:t>
      </w:r>
      <w:bookmarkEnd w:id="182"/>
      <w:bookmarkEnd w:id="183"/>
      <w:bookmarkEnd w:id="184"/>
      <w:bookmarkEnd w:id="185"/>
      <w:bookmarkEnd w:id="186"/>
      <w:bookmarkEnd w:id="187"/>
      <w:bookmarkEnd w:id="188"/>
      <w:bookmarkEnd w:id="189"/>
    </w:p>
    <w:p w14:paraId="69159541">
      <w:pPr>
        <w:spacing w:line="360" w:lineRule="auto"/>
        <w:ind w:firstLine="420" w:firstLineChars="200"/>
        <w:rPr>
          <w:rFonts w:cs="宋体" w:asciiTheme="minorEastAsia" w:hAnsiTheme="minorEastAsia" w:eastAsiaTheme="minorEastAsia"/>
          <w:color w:val="auto"/>
        </w:rPr>
      </w:pPr>
      <w:r>
        <w:rPr>
          <w:rFonts w:ascii="宋体" w:hAnsi="宋体" w:eastAsia="宋体" w:cs="宋体"/>
          <w:color w:val="auto"/>
        </w:rPr>
        <w:t>2.2.1</w:t>
      </w:r>
      <w:r>
        <w:rPr>
          <w:rFonts w:hint="eastAsia" w:cs="宋体" w:asciiTheme="minorEastAsia" w:hAnsiTheme="minorEastAsia" w:eastAsiaTheme="minorEastAsia"/>
          <w:color w:val="auto"/>
        </w:rPr>
        <w:t>供应商应仔细阅读和检查采购文件的全部内容。如发现缺页或附件不全，应及时向采购代理机构提出，以便补齐。</w:t>
      </w:r>
    </w:p>
    <w:p w14:paraId="20F8E974">
      <w:pPr>
        <w:spacing w:line="360" w:lineRule="auto"/>
        <w:ind w:firstLine="420" w:firstLineChars="200"/>
        <w:rPr>
          <w:rFonts w:cs="宋体" w:asciiTheme="minorEastAsia" w:hAnsiTheme="minorEastAsia" w:eastAsiaTheme="minorEastAsia"/>
          <w:color w:val="auto"/>
        </w:rPr>
      </w:pPr>
      <w:r>
        <w:rPr>
          <w:rFonts w:ascii="宋体" w:hAnsi="宋体" w:eastAsia="宋体" w:cs="宋体"/>
          <w:color w:val="auto"/>
        </w:rPr>
        <w:t xml:space="preserve">2.2.2 </w:t>
      </w:r>
      <w:r>
        <w:rPr>
          <w:rFonts w:hint="eastAsia" w:cs="宋体" w:asciiTheme="minorEastAsia" w:hAnsiTheme="minorEastAsia" w:eastAsiaTheme="minorEastAsia"/>
          <w:color w:val="auto"/>
        </w:rPr>
        <w:t>采购文件的澄清将在供应商须知前附表规定的招标截止时间前，在政府采购云平台通知所有获取采购文件的供应商，但不指明澄清问题的来源。澄清发出的时间距投标文件提交截止时间不足5日的，并且澄清内容影响投标文件编制的，将相应延长投标文件提交截止时间。</w:t>
      </w:r>
    </w:p>
    <w:p w14:paraId="4F0E1E50">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2.2.3 </w:t>
      </w:r>
      <w:r>
        <w:rPr>
          <w:rFonts w:hint="eastAsia" w:ascii="宋体" w:hAnsi="宋体" w:eastAsia="宋体" w:cs="宋体"/>
          <w:color w:val="auto"/>
        </w:rPr>
        <w:t>供应商在收到澄清通知后，应按供应商须知前附表规定的时间和形式通知采购人，确认已收到该澄清。</w:t>
      </w:r>
    </w:p>
    <w:p w14:paraId="67A18281">
      <w:pPr>
        <w:pStyle w:val="3"/>
        <w:spacing w:before="0" w:after="0" w:line="360" w:lineRule="auto"/>
        <w:rPr>
          <w:rFonts w:ascii="宋体" w:hAnsi="宋体" w:eastAsia="宋体" w:cs="Times New Roman"/>
          <w:color w:val="auto"/>
          <w:sz w:val="21"/>
          <w:szCs w:val="21"/>
        </w:rPr>
      </w:pPr>
      <w:bookmarkStart w:id="190" w:name="_Toc70424841"/>
      <w:bookmarkStart w:id="191" w:name="_Toc164432905"/>
      <w:bookmarkStart w:id="192" w:name="_Toc77658060"/>
      <w:bookmarkStart w:id="193" w:name="_Toc120282416"/>
      <w:bookmarkStart w:id="194" w:name="_Toc107396188"/>
      <w:bookmarkStart w:id="195" w:name="_Toc77504050"/>
      <w:bookmarkStart w:id="196" w:name="_Toc346"/>
      <w:bookmarkStart w:id="197" w:name="_Toc77116661"/>
      <w:r>
        <w:rPr>
          <w:rFonts w:ascii="宋体" w:hAnsi="宋体" w:eastAsia="宋体" w:cs="宋体"/>
          <w:color w:val="auto"/>
          <w:sz w:val="21"/>
          <w:szCs w:val="21"/>
        </w:rPr>
        <w:t xml:space="preserve">3. </w:t>
      </w:r>
      <w:r>
        <w:rPr>
          <w:rFonts w:hint="eastAsia" w:ascii="宋体" w:hAnsi="宋体" w:eastAsia="宋体" w:cs="宋体"/>
          <w:color w:val="auto"/>
          <w:sz w:val="21"/>
          <w:szCs w:val="21"/>
        </w:rPr>
        <w:t>投标文件</w:t>
      </w:r>
      <w:bookmarkEnd w:id="190"/>
      <w:bookmarkEnd w:id="191"/>
      <w:bookmarkEnd w:id="192"/>
      <w:bookmarkEnd w:id="193"/>
      <w:bookmarkEnd w:id="194"/>
      <w:bookmarkEnd w:id="195"/>
      <w:bookmarkEnd w:id="196"/>
      <w:bookmarkEnd w:id="197"/>
    </w:p>
    <w:p w14:paraId="243A3AE0">
      <w:pPr>
        <w:pStyle w:val="4"/>
        <w:spacing w:before="0" w:after="0" w:line="360" w:lineRule="auto"/>
        <w:rPr>
          <w:rFonts w:ascii="宋体"/>
          <w:color w:val="auto"/>
          <w:sz w:val="21"/>
          <w:szCs w:val="21"/>
        </w:rPr>
      </w:pPr>
      <w:bookmarkStart w:id="198" w:name="_Toc120282417"/>
      <w:bookmarkStart w:id="199" w:name="_Toc70424842"/>
      <w:bookmarkStart w:id="200" w:name="_Toc77658061"/>
      <w:bookmarkStart w:id="201" w:name="_Toc77116662"/>
      <w:bookmarkStart w:id="202" w:name="_Toc107396189"/>
      <w:bookmarkStart w:id="203" w:name="_Toc21955"/>
      <w:bookmarkStart w:id="204" w:name="_Toc164432906"/>
      <w:bookmarkStart w:id="205" w:name="_Toc77504051"/>
      <w:r>
        <w:rPr>
          <w:rFonts w:ascii="宋体" w:hAnsi="宋体" w:cs="宋体"/>
          <w:color w:val="auto"/>
          <w:sz w:val="21"/>
          <w:szCs w:val="21"/>
        </w:rPr>
        <w:t xml:space="preserve">3.1 </w:t>
      </w:r>
      <w:r>
        <w:rPr>
          <w:rFonts w:hint="eastAsia" w:ascii="宋体" w:hAnsi="宋体" w:cs="宋体"/>
          <w:color w:val="auto"/>
          <w:sz w:val="21"/>
          <w:szCs w:val="21"/>
        </w:rPr>
        <w:t>投标文件的组成</w:t>
      </w:r>
      <w:bookmarkEnd w:id="198"/>
      <w:bookmarkEnd w:id="199"/>
      <w:bookmarkEnd w:id="200"/>
      <w:bookmarkEnd w:id="201"/>
      <w:bookmarkEnd w:id="202"/>
      <w:bookmarkEnd w:id="203"/>
      <w:bookmarkEnd w:id="204"/>
      <w:bookmarkEnd w:id="205"/>
    </w:p>
    <w:p w14:paraId="33D37686">
      <w:pPr>
        <w:spacing w:line="360" w:lineRule="auto"/>
        <w:ind w:firstLine="420" w:firstLineChars="200"/>
        <w:rPr>
          <w:rFonts w:ascii="宋体" w:hAnsi="宋体" w:eastAsia="宋体"/>
          <w:color w:val="auto"/>
        </w:rPr>
      </w:pPr>
      <w:bookmarkStart w:id="206" w:name="_Toc23136"/>
      <w:bookmarkStart w:id="207" w:name="_Toc77116663"/>
      <w:bookmarkStart w:id="208" w:name="_Toc77658062"/>
      <w:bookmarkStart w:id="209" w:name="_Toc120282418"/>
      <w:bookmarkStart w:id="210" w:name="_Toc77504052"/>
      <w:bookmarkStart w:id="211" w:name="_Toc107396190"/>
      <w:bookmarkStart w:id="212" w:name="_Toc70424843"/>
      <w:r>
        <w:rPr>
          <w:rFonts w:hint="eastAsia" w:ascii="宋体" w:hAnsi="宋体" w:eastAsia="宋体"/>
          <w:color w:val="auto"/>
        </w:rPr>
        <w:t>3.1.1 投标文件资格审查部分详见第六章“投标文件格式”资格审查部分中的内容。</w:t>
      </w:r>
    </w:p>
    <w:p w14:paraId="4132489C">
      <w:pPr>
        <w:spacing w:line="360" w:lineRule="auto"/>
        <w:ind w:firstLine="420" w:firstLineChars="200"/>
        <w:rPr>
          <w:rFonts w:ascii="宋体" w:hAnsi="宋体" w:eastAsia="宋体"/>
          <w:color w:val="auto"/>
        </w:rPr>
      </w:pPr>
      <w:r>
        <w:rPr>
          <w:rFonts w:hint="eastAsia" w:ascii="宋体" w:hAnsi="宋体" w:eastAsia="宋体"/>
          <w:color w:val="auto"/>
        </w:rPr>
        <w:t>3.1.2 投标文件商务技术部分详见第六章“投标文件格式”商务技术部分中的内容。</w:t>
      </w:r>
    </w:p>
    <w:p w14:paraId="7DD3E180">
      <w:pPr>
        <w:spacing w:line="360" w:lineRule="auto"/>
        <w:ind w:firstLine="420" w:firstLineChars="200"/>
        <w:rPr>
          <w:rFonts w:ascii="宋体" w:hAnsi="宋体" w:eastAsia="宋体"/>
          <w:color w:val="auto"/>
        </w:rPr>
      </w:pPr>
      <w:r>
        <w:rPr>
          <w:rFonts w:hint="eastAsia" w:ascii="宋体" w:hAnsi="宋体" w:eastAsia="宋体"/>
          <w:color w:val="auto"/>
        </w:rPr>
        <w:t>供应商在评审过程中作出的符合法律法规和招标文件规定的澄清确认，构成投标文件的组成部分。</w:t>
      </w:r>
    </w:p>
    <w:p w14:paraId="61EEECAC">
      <w:pPr>
        <w:spacing w:line="360" w:lineRule="auto"/>
        <w:ind w:firstLine="420" w:firstLineChars="200"/>
        <w:rPr>
          <w:rFonts w:ascii="宋体" w:hAnsi="宋体" w:eastAsia="宋体"/>
          <w:color w:val="auto"/>
        </w:rPr>
      </w:pPr>
      <w:r>
        <w:rPr>
          <w:rFonts w:hint="eastAsia" w:ascii="宋体" w:hAnsi="宋体" w:eastAsia="宋体"/>
          <w:color w:val="auto"/>
        </w:rPr>
        <w:t>3.1.3 供应商须知前附表未要求提交</w:t>
      </w:r>
      <w:r>
        <w:rPr>
          <w:rFonts w:hint="eastAsia" w:ascii="宋体" w:hAnsi="宋体" w:eastAsia="宋体"/>
          <w:color w:val="auto"/>
          <w:lang w:eastAsia="zh-CN"/>
        </w:rPr>
        <w:t>投标保证金</w:t>
      </w:r>
      <w:r>
        <w:rPr>
          <w:rFonts w:hint="eastAsia" w:ascii="宋体" w:hAnsi="宋体" w:eastAsia="宋体"/>
          <w:color w:val="auto"/>
        </w:rPr>
        <w:t>的，投标文件不包括第六章“投标文件格式”商务技术部分中所指的</w:t>
      </w:r>
      <w:r>
        <w:rPr>
          <w:rFonts w:hint="eastAsia" w:ascii="宋体" w:hAnsi="宋体" w:eastAsia="宋体"/>
          <w:color w:val="auto"/>
          <w:lang w:eastAsia="zh-CN"/>
        </w:rPr>
        <w:t>投标保证金</w:t>
      </w:r>
      <w:r>
        <w:rPr>
          <w:rFonts w:hint="eastAsia" w:ascii="宋体" w:hAnsi="宋体" w:eastAsia="宋体"/>
          <w:color w:val="auto"/>
        </w:rPr>
        <w:t>。</w:t>
      </w:r>
    </w:p>
    <w:p w14:paraId="127A0CFC">
      <w:pPr>
        <w:pStyle w:val="4"/>
        <w:spacing w:before="0" w:after="0" w:line="360" w:lineRule="auto"/>
        <w:rPr>
          <w:rFonts w:ascii="宋体"/>
          <w:color w:val="auto"/>
          <w:sz w:val="21"/>
          <w:szCs w:val="21"/>
        </w:rPr>
      </w:pPr>
      <w:bookmarkStart w:id="213" w:name="_Toc164432907"/>
      <w:r>
        <w:rPr>
          <w:rFonts w:ascii="宋体" w:hAnsi="宋体" w:cs="宋体"/>
          <w:color w:val="auto"/>
          <w:sz w:val="21"/>
          <w:szCs w:val="21"/>
        </w:rPr>
        <w:t xml:space="preserve">3.2 </w:t>
      </w:r>
      <w:r>
        <w:rPr>
          <w:rFonts w:hint="eastAsia" w:ascii="宋体" w:hAnsi="宋体" w:cs="宋体"/>
          <w:color w:val="auto"/>
          <w:sz w:val="21"/>
          <w:szCs w:val="21"/>
        </w:rPr>
        <w:t>投标报价</w:t>
      </w:r>
      <w:bookmarkEnd w:id="206"/>
      <w:bookmarkEnd w:id="207"/>
      <w:bookmarkEnd w:id="208"/>
      <w:bookmarkEnd w:id="209"/>
      <w:bookmarkEnd w:id="210"/>
      <w:bookmarkEnd w:id="211"/>
      <w:bookmarkEnd w:id="212"/>
      <w:bookmarkEnd w:id="213"/>
    </w:p>
    <w:p w14:paraId="2F973F54">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3.2.1 </w:t>
      </w:r>
      <w:r>
        <w:rPr>
          <w:rFonts w:hint="eastAsia" w:ascii="宋体" w:hAnsi="宋体" w:eastAsia="宋体" w:cs="宋体"/>
          <w:color w:val="auto"/>
        </w:rPr>
        <w:t>投标人应按招标文件提供的格式（见第六章“投标文件格式”）在投标函和</w:t>
      </w:r>
      <w:r>
        <w:rPr>
          <w:rFonts w:hint="eastAsia" w:ascii="宋体" w:hAnsi="宋体" w:eastAsia="宋体" w:cs="宋体"/>
          <w:color w:val="auto"/>
          <w:lang w:val="en-US" w:eastAsia="zh-CN"/>
        </w:rPr>
        <w:t>报价一览表</w:t>
      </w:r>
      <w:r>
        <w:rPr>
          <w:rFonts w:hint="eastAsia" w:ascii="宋体" w:hAnsi="宋体" w:eastAsia="宋体" w:cs="宋体"/>
          <w:color w:val="auto"/>
        </w:rPr>
        <w:t>中进行报价。投标函中报价应为包含国家规定的增值税在内的含税价格，同时应列明增值税税率。采购人将根据项目情况，在第三章“评标办法”第</w:t>
      </w:r>
      <w:r>
        <w:rPr>
          <w:rFonts w:ascii="宋体" w:hAnsi="宋体" w:eastAsia="宋体" w:cs="宋体"/>
          <w:color w:val="auto"/>
        </w:rPr>
        <w:t>3.1.1</w:t>
      </w:r>
      <w:r>
        <w:rPr>
          <w:rFonts w:hint="eastAsia" w:ascii="宋体" w:hAnsi="宋体" w:eastAsia="宋体" w:cs="宋体"/>
          <w:color w:val="auto"/>
        </w:rPr>
        <w:t>项中选择按含税价格或不含税价格对投标人进行价格评审。</w:t>
      </w:r>
    </w:p>
    <w:p w14:paraId="02F0D616">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3.2.2 </w:t>
      </w:r>
      <w:r>
        <w:rPr>
          <w:rFonts w:hint="eastAsia" w:ascii="宋体" w:hAnsi="宋体" w:eastAsia="宋体" w:cs="宋体"/>
          <w:color w:val="auto"/>
        </w:rPr>
        <w:t>投标人应充分了解招标项目的总体情况以及影响报价的其他因素。对于货物和服务招标项目，采购人在签署采购合同时及合同履行过程中，有权在投标人须知前附表规定的幅度内对采购标的的数量进行增加或减少。</w:t>
      </w:r>
    </w:p>
    <w:p w14:paraId="2D78ABDD">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3.2.3 </w:t>
      </w:r>
      <w:r>
        <w:rPr>
          <w:rFonts w:hint="eastAsia" w:ascii="宋体" w:hAnsi="宋体" w:eastAsia="宋体" w:cs="宋体"/>
          <w:color w:val="auto"/>
        </w:rPr>
        <w:t>采购人设有最高限价的，投标人的投标报价不得超过最高限价。最高限价或最高限价计算方法在投标人须知前附表中载明。</w:t>
      </w:r>
    </w:p>
    <w:p w14:paraId="1A8EE2AC">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3.2.4 </w:t>
      </w:r>
      <w:r>
        <w:rPr>
          <w:rFonts w:hint="eastAsia" w:ascii="宋体" w:hAnsi="宋体" w:eastAsia="宋体" w:cs="宋体"/>
          <w:color w:val="auto"/>
        </w:rPr>
        <w:t>投标报价的其他要求见投标人须知前附表。</w:t>
      </w:r>
    </w:p>
    <w:p w14:paraId="76AC113C">
      <w:pPr>
        <w:pStyle w:val="4"/>
        <w:spacing w:before="0" w:after="0" w:line="360" w:lineRule="auto"/>
        <w:rPr>
          <w:rFonts w:ascii="宋体"/>
          <w:color w:val="auto"/>
          <w:sz w:val="21"/>
          <w:szCs w:val="21"/>
        </w:rPr>
      </w:pPr>
      <w:bookmarkStart w:id="214" w:name="_Toc107396191"/>
      <w:bookmarkStart w:id="215" w:name="_Toc18672"/>
      <w:bookmarkStart w:id="216" w:name="_Toc77116664"/>
      <w:bookmarkStart w:id="217" w:name="_Toc77658063"/>
      <w:bookmarkStart w:id="218" w:name="_Toc77504053"/>
      <w:bookmarkStart w:id="219" w:name="_Toc164432908"/>
      <w:bookmarkStart w:id="220" w:name="_Toc70424844"/>
      <w:bookmarkStart w:id="221" w:name="_Toc120282419"/>
      <w:r>
        <w:rPr>
          <w:rFonts w:ascii="宋体" w:hAnsi="宋体" w:cs="宋体"/>
          <w:color w:val="auto"/>
          <w:sz w:val="21"/>
          <w:szCs w:val="21"/>
        </w:rPr>
        <w:t xml:space="preserve">3.3 </w:t>
      </w:r>
      <w:r>
        <w:rPr>
          <w:rFonts w:hint="eastAsia" w:ascii="宋体" w:hAnsi="宋体" w:cs="宋体"/>
          <w:color w:val="auto"/>
          <w:sz w:val="21"/>
          <w:szCs w:val="21"/>
        </w:rPr>
        <w:t>投标文件有效期</w:t>
      </w:r>
      <w:bookmarkEnd w:id="214"/>
      <w:bookmarkEnd w:id="215"/>
      <w:bookmarkEnd w:id="216"/>
      <w:bookmarkEnd w:id="217"/>
      <w:bookmarkEnd w:id="218"/>
      <w:bookmarkEnd w:id="219"/>
      <w:bookmarkEnd w:id="220"/>
      <w:bookmarkEnd w:id="221"/>
    </w:p>
    <w:p w14:paraId="0BF727B8">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3.3.1 </w:t>
      </w:r>
      <w:r>
        <w:rPr>
          <w:rFonts w:hint="eastAsia" w:ascii="宋体" w:hAnsi="宋体" w:eastAsia="宋体" w:cs="宋体"/>
          <w:color w:val="auto"/>
        </w:rPr>
        <w:t>除投标人须知前附表另有规定外，投标文件有效期应为</w:t>
      </w:r>
      <w:r>
        <w:rPr>
          <w:rFonts w:ascii="宋体" w:hAnsi="宋体" w:eastAsia="宋体" w:cs="宋体"/>
          <w:color w:val="auto"/>
        </w:rPr>
        <w:t>90</w:t>
      </w:r>
      <w:r>
        <w:rPr>
          <w:rFonts w:hint="eastAsia" w:ascii="宋体" w:hAnsi="宋体" w:eastAsia="宋体" w:cs="宋体"/>
          <w:color w:val="auto"/>
        </w:rPr>
        <w:t>日，从招标文件规定的递交投标文件的截止时间开始计算。</w:t>
      </w:r>
    </w:p>
    <w:p w14:paraId="716DAAE3">
      <w:pPr>
        <w:spacing w:line="360" w:lineRule="auto"/>
        <w:ind w:firstLine="420" w:firstLineChars="200"/>
        <w:rPr>
          <w:rFonts w:ascii="宋体" w:hAnsi="宋体" w:eastAsia="宋体" w:cs="宋体"/>
          <w:color w:val="auto"/>
        </w:rPr>
      </w:pPr>
      <w:r>
        <w:rPr>
          <w:rFonts w:ascii="宋体" w:hAnsi="宋体" w:eastAsia="宋体" w:cs="宋体"/>
          <w:color w:val="auto"/>
        </w:rPr>
        <w:t xml:space="preserve">3.3.2 </w:t>
      </w:r>
      <w:bookmarkStart w:id="222" w:name="_Toc70424845"/>
      <w:bookmarkStart w:id="223" w:name="_Toc120282420"/>
      <w:bookmarkStart w:id="224" w:name="_Toc77658064"/>
      <w:bookmarkStart w:id="225" w:name="_Toc16949"/>
      <w:bookmarkStart w:id="226" w:name="_Toc107396192"/>
      <w:bookmarkStart w:id="227" w:name="_Toc77116665"/>
      <w:bookmarkStart w:id="228" w:name="_Toc77504054"/>
      <w:r>
        <w:rPr>
          <w:rFonts w:hint="eastAsia" w:ascii="宋体" w:hAnsi="宋体" w:eastAsia="宋体" w:cs="宋体"/>
          <w:color w:val="auto"/>
        </w:rPr>
        <w:t>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628C57E">
      <w:pPr>
        <w:pStyle w:val="4"/>
        <w:spacing w:before="0" w:after="0" w:line="360" w:lineRule="auto"/>
        <w:rPr>
          <w:rFonts w:ascii="宋体" w:hAnsi="宋体" w:cs="宋体"/>
          <w:color w:val="auto"/>
          <w:sz w:val="21"/>
          <w:szCs w:val="21"/>
        </w:rPr>
      </w:pPr>
      <w:bookmarkStart w:id="229" w:name="_Toc164432909"/>
      <w:r>
        <w:rPr>
          <w:rFonts w:ascii="宋体" w:hAnsi="宋体" w:cs="宋体"/>
          <w:color w:val="auto"/>
          <w:sz w:val="21"/>
          <w:szCs w:val="21"/>
        </w:rPr>
        <w:t xml:space="preserve">3.4 </w:t>
      </w:r>
      <w:r>
        <w:rPr>
          <w:rFonts w:hint="eastAsia" w:ascii="宋体" w:hAnsi="宋体" w:cs="宋体"/>
          <w:color w:val="auto"/>
          <w:sz w:val="21"/>
          <w:szCs w:val="21"/>
        </w:rPr>
        <w:t>投标保证金</w:t>
      </w:r>
      <w:bookmarkEnd w:id="222"/>
      <w:bookmarkEnd w:id="223"/>
      <w:bookmarkEnd w:id="224"/>
      <w:bookmarkEnd w:id="225"/>
      <w:bookmarkEnd w:id="226"/>
      <w:bookmarkEnd w:id="227"/>
      <w:bookmarkEnd w:id="228"/>
      <w:bookmarkEnd w:id="229"/>
    </w:p>
    <w:p w14:paraId="3A1DFB66">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3.4.1 </w:t>
      </w:r>
      <w:r>
        <w:rPr>
          <w:rFonts w:hint="eastAsia" w:ascii="宋体" w:hAnsi="宋体" w:eastAsia="宋体" w:cs="宋体"/>
          <w:color w:val="auto"/>
        </w:rPr>
        <w:t>投标人须知前附表规定要求递交投标保证金的，投标人在递交投标文件的同时，应按投标人须知前附表规定的金额、形式和第六章“投标文件格式”规定的投标保证金格式递交投标保证金，并作为其投标文件的组成部分。投标人不按要求递交投标保证金的，其投标文件将被视为无效。</w:t>
      </w:r>
    </w:p>
    <w:p w14:paraId="5F24801E">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3.4.2 </w:t>
      </w:r>
      <w:r>
        <w:rPr>
          <w:rFonts w:hint="eastAsia" w:ascii="宋体" w:hAnsi="宋体" w:eastAsia="宋体" w:cs="宋体"/>
          <w:color w:val="auto"/>
        </w:rPr>
        <w:t>除投标人须知前附表另有规定外，采购人最迟将在与中标人签订采购合同后</w:t>
      </w:r>
      <w:r>
        <w:rPr>
          <w:rFonts w:ascii="宋体" w:hAnsi="宋体" w:eastAsia="宋体" w:cs="宋体"/>
          <w:color w:val="auto"/>
        </w:rPr>
        <w:t>5</w:t>
      </w:r>
      <w:r>
        <w:rPr>
          <w:rFonts w:hint="eastAsia" w:ascii="宋体" w:hAnsi="宋体" w:eastAsia="宋体" w:cs="宋体"/>
          <w:color w:val="auto"/>
        </w:rPr>
        <w:t>日内，向未中标的投标人和中标人原额退还投标保证金。</w:t>
      </w:r>
    </w:p>
    <w:p w14:paraId="4C86AE3A">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3.4.3 </w:t>
      </w:r>
      <w:r>
        <w:rPr>
          <w:rFonts w:hint="eastAsia" w:ascii="宋体" w:hAnsi="宋体" w:eastAsia="宋体" w:cs="宋体"/>
          <w:color w:val="auto"/>
        </w:rPr>
        <w:t>有下列情形之一的，投标保证金将不予退还：</w:t>
      </w:r>
    </w:p>
    <w:p w14:paraId="50DF4B8A">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）投标人在投标文件有效期内撤销投标文件；</w:t>
      </w:r>
    </w:p>
    <w:p w14:paraId="1874C6E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）中标人在收到中标通知书后，无正当理由不与采购人订立合同，在签订合同时向采购人提出附加条件，或者不按照招标文件要求递交履约保证金；</w:t>
      </w:r>
    </w:p>
    <w:p w14:paraId="1834EB2D">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）发生投标人须知前附表规定的其他不予退还投标保证金的情形。</w:t>
      </w:r>
    </w:p>
    <w:p w14:paraId="2354551B">
      <w:pPr>
        <w:pStyle w:val="4"/>
        <w:spacing w:before="0" w:after="0" w:line="360" w:lineRule="auto"/>
        <w:rPr>
          <w:rFonts w:ascii="宋体"/>
          <w:color w:val="auto"/>
          <w:sz w:val="21"/>
          <w:szCs w:val="21"/>
        </w:rPr>
      </w:pPr>
      <w:bookmarkStart w:id="230" w:name="_Toc70424846"/>
      <w:bookmarkStart w:id="231" w:name="_Toc77116666"/>
      <w:bookmarkStart w:id="232" w:name="_Toc107396193"/>
      <w:bookmarkStart w:id="233" w:name="_Toc6389"/>
      <w:bookmarkStart w:id="234" w:name="_Toc164432910"/>
      <w:bookmarkStart w:id="235" w:name="_Toc77658065"/>
      <w:bookmarkStart w:id="236" w:name="_Toc77504055"/>
      <w:bookmarkStart w:id="237" w:name="_Toc120282421"/>
      <w:r>
        <w:rPr>
          <w:rFonts w:ascii="宋体" w:hAnsi="宋体" w:cs="宋体"/>
          <w:color w:val="auto"/>
          <w:sz w:val="21"/>
          <w:szCs w:val="21"/>
        </w:rPr>
        <w:t xml:space="preserve">3.5 </w:t>
      </w:r>
      <w:r>
        <w:rPr>
          <w:rFonts w:hint="eastAsia" w:ascii="宋体" w:hAnsi="宋体" w:cs="宋体"/>
          <w:color w:val="auto"/>
          <w:sz w:val="21"/>
          <w:szCs w:val="21"/>
        </w:rPr>
        <w:t>资格审查资料</w:t>
      </w:r>
      <w:bookmarkEnd w:id="230"/>
      <w:bookmarkEnd w:id="231"/>
      <w:bookmarkEnd w:id="232"/>
      <w:bookmarkEnd w:id="233"/>
      <w:bookmarkEnd w:id="234"/>
      <w:bookmarkEnd w:id="235"/>
      <w:bookmarkEnd w:id="236"/>
      <w:bookmarkEnd w:id="237"/>
    </w:p>
    <w:p w14:paraId="37FB208E">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除投标人须知前附表另有规定外，投标人应按下列规定提供资格审查资料，以证明其满足本章第</w:t>
      </w:r>
      <w:r>
        <w:rPr>
          <w:rFonts w:ascii="宋体" w:hAnsi="宋体" w:eastAsia="宋体" w:cs="宋体"/>
          <w:color w:val="auto"/>
        </w:rPr>
        <w:t>1.4</w:t>
      </w:r>
      <w:r>
        <w:rPr>
          <w:rFonts w:hint="eastAsia" w:ascii="宋体" w:hAnsi="宋体" w:eastAsia="宋体" w:cs="宋体"/>
          <w:color w:val="auto"/>
        </w:rPr>
        <w:t>款规定的各项资格要求。</w:t>
      </w:r>
    </w:p>
    <w:p w14:paraId="0A291B20">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3.5.1 </w:t>
      </w:r>
      <w:r>
        <w:rPr>
          <w:rFonts w:hint="eastAsia" w:ascii="宋体" w:hAnsi="宋体" w:eastAsia="宋体" w:cs="宋体"/>
          <w:color w:val="auto"/>
        </w:rPr>
        <w:t>满足《中华人民共和国政府采购法》第二十二条规定：见投标人须知前附表第</w:t>
      </w:r>
      <w:r>
        <w:rPr>
          <w:rFonts w:ascii="宋体" w:hAnsi="宋体" w:eastAsia="宋体" w:cs="宋体"/>
          <w:color w:val="auto"/>
        </w:rPr>
        <w:t>1.4.1</w:t>
      </w:r>
      <w:r>
        <w:rPr>
          <w:rFonts w:hint="eastAsia" w:ascii="宋体" w:hAnsi="宋体" w:eastAsia="宋体" w:cs="宋体"/>
          <w:color w:val="auto"/>
        </w:rPr>
        <w:t>项。</w:t>
      </w:r>
    </w:p>
    <w:p w14:paraId="6BF1C0D9">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3.5.2 </w:t>
      </w:r>
      <w:r>
        <w:rPr>
          <w:rFonts w:hint="eastAsia" w:ascii="宋体" w:hAnsi="宋体" w:eastAsia="宋体" w:cs="宋体"/>
          <w:color w:val="auto"/>
        </w:rPr>
        <w:t>特定资格要求：见投标人须知前附表第</w:t>
      </w:r>
      <w:r>
        <w:rPr>
          <w:rFonts w:ascii="宋体" w:hAnsi="宋体" w:eastAsia="宋体" w:cs="宋体"/>
          <w:color w:val="auto"/>
        </w:rPr>
        <w:t>1.4.1</w:t>
      </w:r>
      <w:r>
        <w:rPr>
          <w:rFonts w:hint="eastAsia" w:ascii="宋体" w:hAnsi="宋体" w:eastAsia="宋体" w:cs="宋体"/>
          <w:color w:val="auto"/>
        </w:rPr>
        <w:t>项。</w:t>
      </w:r>
    </w:p>
    <w:p w14:paraId="45290EA2">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3.5.3 </w:t>
      </w:r>
      <w:r>
        <w:rPr>
          <w:rFonts w:hint="eastAsia" w:ascii="宋体" w:hAnsi="宋体" w:eastAsia="宋体" w:cs="宋体"/>
          <w:color w:val="auto"/>
        </w:rPr>
        <w:t>投标人须知前附表规定接受联合体投标的，本章第</w:t>
      </w:r>
      <w:r>
        <w:rPr>
          <w:rFonts w:ascii="宋体" w:hAnsi="宋体" w:eastAsia="宋体" w:cs="宋体"/>
          <w:color w:val="auto"/>
        </w:rPr>
        <w:t>3.5.1</w:t>
      </w:r>
      <w:r>
        <w:rPr>
          <w:rFonts w:hint="eastAsia" w:ascii="宋体" w:hAnsi="宋体" w:eastAsia="宋体" w:cs="宋体"/>
          <w:color w:val="auto"/>
        </w:rPr>
        <w:t>项至第</w:t>
      </w:r>
      <w:r>
        <w:rPr>
          <w:rFonts w:ascii="宋体" w:hAnsi="宋体" w:eastAsia="宋体" w:cs="宋体"/>
          <w:color w:val="auto"/>
        </w:rPr>
        <w:t>3.5.2</w:t>
      </w:r>
      <w:r>
        <w:rPr>
          <w:rFonts w:hint="eastAsia" w:ascii="宋体" w:hAnsi="宋体" w:eastAsia="宋体" w:cs="宋体"/>
          <w:color w:val="auto"/>
        </w:rPr>
        <w:t>项规定的表格和资料应包括联合体各方相关情况。</w:t>
      </w:r>
    </w:p>
    <w:p w14:paraId="358DC108">
      <w:pPr>
        <w:pStyle w:val="4"/>
        <w:spacing w:before="0" w:after="0" w:line="360" w:lineRule="auto"/>
        <w:rPr>
          <w:rFonts w:ascii="宋体"/>
          <w:color w:val="auto"/>
          <w:sz w:val="21"/>
          <w:szCs w:val="21"/>
        </w:rPr>
      </w:pPr>
      <w:bookmarkStart w:id="238" w:name="_Toc77116667"/>
      <w:bookmarkStart w:id="239" w:name="_Toc107396194"/>
      <w:bookmarkStart w:id="240" w:name="_Toc164432911"/>
      <w:bookmarkStart w:id="241" w:name="_Toc77504056"/>
      <w:bookmarkStart w:id="242" w:name="_Toc70424847"/>
      <w:bookmarkStart w:id="243" w:name="_Toc77658066"/>
      <w:bookmarkStart w:id="244" w:name="_Toc120282422"/>
      <w:bookmarkStart w:id="245" w:name="_Toc22712"/>
      <w:r>
        <w:rPr>
          <w:rFonts w:ascii="宋体" w:hAnsi="宋体" w:cs="宋体"/>
          <w:color w:val="auto"/>
          <w:sz w:val="21"/>
          <w:szCs w:val="21"/>
        </w:rPr>
        <w:t xml:space="preserve">3.6 </w:t>
      </w:r>
      <w:r>
        <w:rPr>
          <w:rFonts w:hint="eastAsia" w:ascii="宋体" w:hAnsi="宋体" w:cs="宋体"/>
          <w:color w:val="auto"/>
          <w:sz w:val="21"/>
          <w:szCs w:val="21"/>
        </w:rPr>
        <w:t>投标方案</w:t>
      </w:r>
      <w:bookmarkEnd w:id="238"/>
      <w:bookmarkEnd w:id="239"/>
      <w:bookmarkEnd w:id="240"/>
      <w:bookmarkEnd w:id="241"/>
      <w:bookmarkEnd w:id="242"/>
      <w:bookmarkEnd w:id="243"/>
      <w:bookmarkEnd w:id="244"/>
      <w:bookmarkEnd w:id="245"/>
    </w:p>
    <w:p w14:paraId="51FE2BC8">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3.6.1 </w:t>
      </w:r>
      <w:r>
        <w:rPr>
          <w:rFonts w:hint="eastAsia" w:ascii="宋体" w:hAnsi="宋体" w:eastAsia="宋体" w:cs="宋体"/>
          <w:color w:val="auto"/>
        </w:rPr>
        <w:t>投标文件应当对招标文件中的实质性内容作出响应。</w:t>
      </w:r>
    </w:p>
    <w:p w14:paraId="334F3B5C">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3.6.2 </w:t>
      </w:r>
      <w:r>
        <w:rPr>
          <w:rFonts w:hint="eastAsia" w:ascii="宋体" w:hAnsi="宋体" w:eastAsia="宋体" w:cs="宋体"/>
          <w:color w:val="auto"/>
        </w:rPr>
        <w:t>除投标人须知前附表规定投标人只能提出唯一投标方案外，投标人可在递交的投标文件中提出多个投标方案。评标委员会认为中标人的备选投标方案优于其按照招标文件要求编制的投标方案的，采购人可以接受该备选投标方案。</w:t>
      </w:r>
    </w:p>
    <w:p w14:paraId="05B6F3C9">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3.6.3 </w:t>
      </w:r>
      <w:r>
        <w:rPr>
          <w:rFonts w:hint="eastAsia" w:ascii="宋体" w:hAnsi="宋体" w:eastAsia="宋体" w:cs="宋体"/>
          <w:color w:val="auto"/>
        </w:rPr>
        <w:t>投标文件对招标文件的全部偏差，均应在投标文件的商务偏差表中列明。投标文件偏差表中未列明的内容，将视为响应招标文件的要求；但如发现投标文件的其他部分与商务偏差表的描述不一致或投标人的响应缺乏支持性文件，则评标委员会有权要求投标人对相关问题进行澄清，并根据澄清结果对投标人的投标文件进行评审。</w:t>
      </w:r>
    </w:p>
    <w:p w14:paraId="6BA25F4C">
      <w:pPr>
        <w:pStyle w:val="4"/>
        <w:spacing w:before="0" w:after="0" w:line="360" w:lineRule="auto"/>
        <w:rPr>
          <w:rFonts w:ascii="宋体"/>
          <w:color w:val="auto"/>
          <w:sz w:val="21"/>
          <w:szCs w:val="21"/>
        </w:rPr>
      </w:pPr>
      <w:bookmarkStart w:id="246" w:name="_Toc164432912"/>
      <w:bookmarkStart w:id="247" w:name="_Toc77504057"/>
      <w:bookmarkStart w:id="248" w:name="_Toc120282423"/>
      <w:bookmarkStart w:id="249" w:name="_Toc70424848"/>
      <w:bookmarkStart w:id="250" w:name="_Toc107396195"/>
      <w:bookmarkStart w:id="251" w:name="_Toc27223"/>
      <w:bookmarkStart w:id="252" w:name="_Toc77658067"/>
      <w:bookmarkStart w:id="253" w:name="_Toc77116668"/>
      <w:r>
        <w:rPr>
          <w:rFonts w:ascii="宋体" w:hAnsi="宋体" w:cs="宋体"/>
          <w:color w:val="auto"/>
          <w:sz w:val="21"/>
          <w:szCs w:val="21"/>
        </w:rPr>
        <w:t xml:space="preserve">3.7 </w:t>
      </w:r>
      <w:r>
        <w:rPr>
          <w:rFonts w:hint="eastAsia" w:ascii="宋体" w:hAnsi="宋体" w:cs="宋体"/>
          <w:color w:val="auto"/>
          <w:sz w:val="21"/>
          <w:szCs w:val="21"/>
        </w:rPr>
        <w:t>投标文件的编制</w:t>
      </w:r>
      <w:bookmarkEnd w:id="246"/>
      <w:bookmarkEnd w:id="247"/>
      <w:bookmarkEnd w:id="248"/>
      <w:bookmarkEnd w:id="249"/>
      <w:bookmarkEnd w:id="250"/>
      <w:bookmarkEnd w:id="251"/>
      <w:bookmarkEnd w:id="252"/>
      <w:bookmarkEnd w:id="253"/>
    </w:p>
    <w:p w14:paraId="03A31D79">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3.7.1 </w:t>
      </w:r>
      <w:r>
        <w:rPr>
          <w:rFonts w:hint="eastAsia" w:ascii="宋体" w:hAnsi="宋体" w:eastAsia="宋体" w:cs="宋体"/>
          <w:color w:val="auto"/>
        </w:rPr>
        <w:t>投标文件应按第六章“投标文件格式”进行编写，如有必要，可以增加附页，作为投标文件的组成部分。</w:t>
      </w:r>
    </w:p>
    <w:p w14:paraId="263EA7E2">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3.7.2 </w:t>
      </w:r>
      <w:r>
        <w:rPr>
          <w:rFonts w:hint="eastAsia" w:ascii="宋体" w:hAnsi="宋体" w:eastAsia="宋体" w:cs="宋体"/>
          <w:color w:val="auto"/>
        </w:rPr>
        <w:t>投标文件电子签章及电子签名要求：见投标人须知前附表。</w:t>
      </w:r>
    </w:p>
    <w:p w14:paraId="25C9C4B3">
      <w:pPr>
        <w:pStyle w:val="3"/>
        <w:spacing w:before="0" w:after="0" w:line="360" w:lineRule="auto"/>
        <w:rPr>
          <w:rFonts w:ascii="宋体" w:hAnsi="宋体" w:eastAsia="宋体" w:cs="Times New Roman"/>
          <w:color w:val="auto"/>
          <w:sz w:val="21"/>
          <w:szCs w:val="21"/>
        </w:rPr>
      </w:pPr>
      <w:bookmarkStart w:id="254" w:name="_Toc70424849"/>
      <w:bookmarkStart w:id="255" w:name="_Toc164432913"/>
      <w:bookmarkStart w:id="256" w:name="_Toc77504058"/>
      <w:bookmarkStart w:id="257" w:name="_Toc120282424"/>
      <w:bookmarkStart w:id="258" w:name="_Toc77116669"/>
      <w:bookmarkStart w:id="259" w:name="_Toc11249"/>
      <w:bookmarkStart w:id="260" w:name="_Toc107396196"/>
      <w:bookmarkStart w:id="261" w:name="_Toc77658068"/>
      <w:r>
        <w:rPr>
          <w:rFonts w:ascii="宋体" w:hAnsi="宋体" w:eastAsia="宋体" w:cs="宋体"/>
          <w:color w:val="auto"/>
          <w:sz w:val="21"/>
          <w:szCs w:val="21"/>
        </w:rPr>
        <w:t xml:space="preserve">4. </w:t>
      </w:r>
      <w:r>
        <w:rPr>
          <w:rFonts w:hint="eastAsia" w:ascii="宋体" w:hAnsi="宋体" w:eastAsia="宋体" w:cs="宋体"/>
          <w:color w:val="auto"/>
          <w:sz w:val="21"/>
          <w:szCs w:val="21"/>
        </w:rPr>
        <w:t>投标文件的递交</w:t>
      </w:r>
      <w:bookmarkEnd w:id="254"/>
      <w:bookmarkEnd w:id="255"/>
      <w:bookmarkEnd w:id="256"/>
      <w:bookmarkEnd w:id="257"/>
      <w:bookmarkEnd w:id="258"/>
      <w:bookmarkEnd w:id="259"/>
      <w:bookmarkEnd w:id="260"/>
      <w:bookmarkEnd w:id="261"/>
    </w:p>
    <w:p w14:paraId="24B0DB4B">
      <w:pPr>
        <w:pStyle w:val="4"/>
        <w:spacing w:before="0" w:after="0" w:line="360" w:lineRule="auto"/>
        <w:rPr>
          <w:rFonts w:ascii="宋体"/>
          <w:color w:val="auto"/>
          <w:sz w:val="21"/>
          <w:szCs w:val="21"/>
        </w:rPr>
      </w:pPr>
      <w:bookmarkStart w:id="262" w:name="_Toc70424850"/>
      <w:bookmarkStart w:id="263" w:name="_Toc107396197"/>
      <w:bookmarkStart w:id="264" w:name="_Toc164432914"/>
      <w:bookmarkStart w:id="265" w:name="_Toc77658069"/>
      <w:bookmarkStart w:id="266" w:name="_Toc77504059"/>
      <w:bookmarkStart w:id="267" w:name="_Toc2098"/>
      <w:bookmarkStart w:id="268" w:name="_Toc120282425"/>
      <w:bookmarkStart w:id="269" w:name="_Toc77116670"/>
      <w:r>
        <w:rPr>
          <w:rFonts w:ascii="宋体" w:hAnsi="宋体" w:cs="宋体"/>
          <w:color w:val="auto"/>
          <w:sz w:val="21"/>
          <w:szCs w:val="21"/>
        </w:rPr>
        <w:t xml:space="preserve">4.1 </w:t>
      </w:r>
      <w:r>
        <w:rPr>
          <w:rFonts w:hint="eastAsia" w:ascii="宋体" w:hAnsi="宋体" w:cs="宋体"/>
          <w:color w:val="auto"/>
          <w:sz w:val="21"/>
          <w:szCs w:val="21"/>
        </w:rPr>
        <w:t>投标文件的</w:t>
      </w:r>
      <w:bookmarkEnd w:id="262"/>
      <w:r>
        <w:rPr>
          <w:rFonts w:hint="eastAsia" w:ascii="宋体" w:hAnsi="宋体" w:cs="宋体"/>
          <w:color w:val="auto"/>
          <w:sz w:val="21"/>
          <w:szCs w:val="21"/>
        </w:rPr>
        <w:t>加密</w:t>
      </w:r>
      <w:bookmarkEnd w:id="263"/>
      <w:bookmarkEnd w:id="264"/>
      <w:bookmarkEnd w:id="265"/>
      <w:bookmarkEnd w:id="266"/>
      <w:bookmarkEnd w:id="267"/>
      <w:bookmarkEnd w:id="268"/>
      <w:bookmarkEnd w:id="269"/>
    </w:p>
    <w:p w14:paraId="229B0C9E">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投标人对网上递交的投标文件应</w:t>
      </w:r>
      <w:r>
        <w:rPr>
          <w:rFonts w:hint="eastAsia" w:ascii="宋体" w:hAnsi="宋体" w:eastAsia="宋体" w:cs="宋体"/>
          <w:color w:val="auto"/>
          <w:lang w:val="zh-CN"/>
        </w:rPr>
        <w:t>使用数字证书进行</w:t>
      </w:r>
      <w:r>
        <w:rPr>
          <w:rFonts w:hint="eastAsia" w:ascii="宋体" w:hAnsi="宋体" w:eastAsia="宋体" w:cs="宋体"/>
          <w:color w:val="auto"/>
        </w:rPr>
        <w:t>加密。</w:t>
      </w:r>
    </w:p>
    <w:p w14:paraId="5D051B90">
      <w:pPr>
        <w:pStyle w:val="4"/>
        <w:spacing w:before="0" w:after="0" w:line="360" w:lineRule="auto"/>
        <w:rPr>
          <w:rFonts w:ascii="宋体"/>
          <w:color w:val="auto"/>
          <w:sz w:val="21"/>
          <w:szCs w:val="21"/>
        </w:rPr>
      </w:pPr>
      <w:bookmarkStart w:id="270" w:name="_Toc77116671"/>
      <w:bookmarkStart w:id="271" w:name="_Toc17143"/>
      <w:bookmarkStart w:id="272" w:name="_Toc120282426"/>
      <w:bookmarkStart w:id="273" w:name="_Toc77504060"/>
      <w:bookmarkStart w:id="274" w:name="_Toc107396198"/>
      <w:bookmarkStart w:id="275" w:name="_Toc70424851"/>
      <w:bookmarkStart w:id="276" w:name="_Toc77658070"/>
      <w:bookmarkStart w:id="277" w:name="_Toc164432915"/>
      <w:r>
        <w:rPr>
          <w:rFonts w:ascii="宋体" w:hAnsi="宋体" w:cs="宋体"/>
          <w:color w:val="auto"/>
          <w:sz w:val="21"/>
          <w:szCs w:val="21"/>
        </w:rPr>
        <w:t xml:space="preserve">4.2 </w:t>
      </w:r>
      <w:r>
        <w:rPr>
          <w:rFonts w:hint="eastAsia" w:ascii="宋体" w:hAnsi="宋体" w:cs="宋体"/>
          <w:color w:val="auto"/>
          <w:sz w:val="21"/>
          <w:szCs w:val="21"/>
        </w:rPr>
        <w:t>投标文件的递交</w:t>
      </w:r>
      <w:bookmarkEnd w:id="270"/>
      <w:bookmarkEnd w:id="271"/>
      <w:bookmarkEnd w:id="272"/>
      <w:bookmarkEnd w:id="273"/>
      <w:bookmarkEnd w:id="274"/>
      <w:bookmarkEnd w:id="275"/>
      <w:bookmarkEnd w:id="276"/>
      <w:bookmarkStart w:id="278" w:name="_Toc120282427"/>
      <w:bookmarkStart w:id="279" w:name="_Toc77116672"/>
      <w:bookmarkStart w:id="280" w:name="_Toc70424852"/>
      <w:bookmarkStart w:id="281" w:name="_Toc77658071"/>
      <w:bookmarkStart w:id="282" w:name="_Toc107396199"/>
      <w:bookmarkStart w:id="283" w:name="_Toc19453"/>
      <w:bookmarkStart w:id="284" w:name="_Toc77504061"/>
      <w:r>
        <w:rPr>
          <w:rFonts w:hint="eastAsia" w:ascii="宋体"/>
          <w:color w:val="auto"/>
          <w:sz w:val="21"/>
          <w:szCs w:val="21"/>
        </w:rPr>
        <w:t>：</w:t>
      </w:r>
      <w:r>
        <w:rPr>
          <w:rFonts w:hint="eastAsia" w:ascii="宋体" w:hAnsi="宋体" w:cs="宋体"/>
          <w:b w:val="0"/>
          <w:bCs w:val="0"/>
          <w:color w:val="auto"/>
          <w:kern w:val="2"/>
          <w:sz w:val="21"/>
          <w:szCs w:val="21"/>
        </w:rPr>
        <w:t>见投标人须知前附表。</w:t>
      </w:r>
      <w:bookmarkEnd w:id="277"/>
    </w:p>
    <w:p w14:paraId="32DFA731">
      <w:pPr>
        <w:pStyle w:val="4"/>
        <w:spacing w:before="0" w:after="0" w:line="360" w:lineRule="auto"/>
        <w:rPr>
          <w:rFonts w:ascii="宋体"/>
          <w:color w:val="auto"/>
          <w:sz w:val="21"/>
          <w:szCs w:val="21"/>
        </w:rPr>
      </w:pPr>
      <w:bookmarkStart w:id="285" w:name="_Toc164432916"/>
      <w:r>
        <w:rPr>
          <w:rFonts w:ascii="宋体" w:hAnsi="宋体" w:cs="宋体"/>
          <w:color w:val="auto"/>
          <w:sz w:val="21"/>
          <w:szCs w:val="21"/>
        </w:rPr>
        <w:t xml:space="preserve">4.3 </w:t>
      </w:r>
      <w:r>
        <w:rPr>
          <w:rFonts w:hint="eastAsia" w:ascii="宋体" w:hAnsi="宋体" w:cs="宋体"/>
          <w:color w:val="auto"/>
          <w:sz w:val="21"/>
          <w:szCs w:val="21"/>
        </w:rPr>
        <w:t>投标文件的修改与撤回</w:t>
      </w:r>
      <w:bookmarkEnd w:id="278"/>
      <w:bookmarkEnd w:id="279"/>
      <w:bookmarkEnd w:id="280"/>
      <w:bookmarkEnd w:id="281"/>
      <w:bookmarkEnd w:id="282"/>
      <w:bookmarkEnd w:id="283"/>
      <w:bookmarkEnd w:id="284"/>
      <w:bookmarkEnd w:id="285"/>
    </w:p>
    <w:p w14:paraId="34EDA59E">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4.3.1 </w:t>
      </w:r>
      <w:r>
        <w:rPr>
          <w:rFonts w:hint="eastAsia" w:ascii="宋体" w:hAnsi="宋体" w:eastAsia="宋体" w:cs="宋体"/>
          <w:color w:val="auto"/>
        </w:rPr>
        <w:t>在本章第</w:t>
      </w:r>
      <w:r>
        <w:rPr>
          <w:rFonts w:ascii="宋体" w:hAnsi="宋体" w:eastAsia="宋体" w:cs="宋体"/>
          <w:color w:val="auto"/>
        </w:rPr>
        <w:t>4.2.1</w:t>
      </w:r>
      <w:r>
        <w:rPr>
          <w:rFonts w:hint="eastAsia" w:ascii="宋体" w:hAnsi="宋体" w:eastAsia="宋体" w:cs="宋体"/>
          <w:color w:val="auto"/>
        </w:rPr>
        <w:t>项规定的递交投标文件的截止时间前，投标人可以修改或撤回已递交的投标文件。</w:t>
      </w:r>
    </w:p>
    <w:p w14:paraId="4CB19374">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4.3.2 </w:t>
      </w:r>
      <w:r>
        <w:rPr>
          <w:rFonts w:hint="eastAsia" w:ascii="宋体" w:hAnsi="宋体" w:eastAsia="宋体" w:cs="宋体"/>
          <w:color w:val="auto"/>
        </w:rPr>
        <w:t>投标人撤回投标文件的，可在规定时间内申请退还已缴纳的投标保证金。</w:t>
      </w:r>
    </w:p>
    <w:p w14:paraId="6D124834">
      <w:pPr>
        <w:spacing w:line="360" w:lineRule="auto"/>
        <w:ind w:firstLine="420" w:firstLineChars="200"/>
        <w:rPr>
          <w:rFonts w:ascii="宋体" w:hAnsi="宋体" w:eastAsia="宋体" w:cs="Times New Roman"/>
          <w:color w:val="auto"/>
        </w:rPr>
      </w:pPr>
      <w:r>
        <w:rPr>
          <w:rFonts w:ascii="宋体" w:hAnsi="宋体" w:eastAsia="宋体" w:cs="宋体"/>
          <w:color w:val="auto"/>
        </w:rPr>
        <w:t>4.3.3</w:t>
      </w:r>
      <w:r>
        <w:rPr>
          <w:rFonts w:hint="eastAsia" w:ascii="宋体" w:hAnsi="宋体" w:eastAsia="宋体" w:cs="宋体"/>
          <w:color w:val="auto"/>
        </w:rPr>
        <w:t>修改的投标文件应按照本章第</w:t>
      </w:r>
      <w:r>
        <w:rPr>
          <w:rFonts w:ascii="宋体" w:hAnsi="宋体" w:eastAsia="宋体" w:cs="宋体"/>
          <w:color w:val="auto"/>
        </w:rPr>
        <w:t>3</w:t>
      </w:r>
      <w:r>
        <w:rPr>
          <w:rFonts w:hint="eastAsia" w:ascii="宋体" w:hAnsi="宋体" w:eastAsia="宋体" w:cs="宋体"/>
          <w:color w:val="auto"/>
        </w:rPr>
        <w:t>条、第</w:t>
      </w:r>
      <w:r>
        <w:rPr>
          <w:rFonts w:ascii="宋体" w:hAnsi="宋体" w:eastAsia="宋体" w:cs="宋体"/>
          <w:color w:val="auto"/>
        </w:rPr>
        <w:t>4</w:t>
      </w:r>
      <w:r>
        <w:rPr>
          <w:rFonts w:hint="eastAsia" w:ascii="宋体" w:hAnsi="宋体" w:eastAsia="宋体" w:cs="宋体"/>
          <w:color w:val="auto"/>
        </w:rPr>
        <w:t>条规定进行编制和上传。</w:t>
      </w:r>
    </w:p>
    <w:p w14:paraId="6F550D79">
      <w:pPr>
        <w:pStyle w:val="3"/>
        <w:spacing w:before="0" w:after="0" w:line="360" w:lineRule="auto"/>
        <w:rPr>
          <w:rFonts w:ascii="宋体" w:hAnsi="宋体" w:eastAsia="宋体" w:cs="Times New Roman"/>
          <w:color w:val="auto"/>
          <w:sz w:val="21"/>
          <w:szCs w:val="21"/>
        </w:rPr>
      </w:pPr>
      <w:bookmarkStart w:id="286" w:name="_Toc70424853"/>
      <w:bookmarkStart w:id="287" w:name="_Toc107396200"/>
      <w:bookmarkStart w:id="288" w:name="_Toc164432917"/>
      <w:bookmarkStart w:id="289" w:name="_Toc77116673"/>
      <w:bookmarkStart w:id="290" w:name="_Toc77658072"/>
      <w:bookmarkStart w:id="291" w:name="_Toc77504062"/>
      <w:bookmarkStart w:id="292" w:name="_Toc120282428"/>
      <w:bookmarkStart w:id="293" w:name="_Toc19742"/>
      <w:r>
        <w:rPr>
          <w:rFonts w:ascii="宋体" w:hAnsi="宋体" w:eastAsia="宋体" w:cs="宋体"/>
          <w:color w:val="auto"/>
          <w:sz w:val="21"/>
          <w:szCs w:val="21"/>
        </w:rPr>
        <w:t xml:space="preserve">5. </w:t>
      </w:r>
      <w:bookmarkEnd w:id="286"/>
      <w:r>
        <w:rPr>
          <w:rFonts w:hint="eastAsia" w:ascii="宋体" w:hAnsi="宋体" w:eastAsia="宋体" w:cs="宋体"/>
          <w:color w:val="auto"/>
          <w:sz w:val="21"/>
          <w:szCs w:val="21"/>
        </w:rPr>
        <w:t>开标</w:t>
      </w:r>
      <w:bookmarkEnd w:id="287"/>
      <w:bookmarkEnd w:id="288"/>
      <w:bookmarkEnd w:id="289"/>
      <w:bookmarkEnd w:id="290"/>
      <w:bookmarkEnd w:id="291"/>
      <w:bookmarkEnd w:id="292"/>
      <w:bookmarkEnd w:id="293"/>
    </w:p>
    <w:p w14:paraId="211E8C7B">
      <w:pPr>
        <w:pStyle w:val="4"/>
        <w:spacing w:before="0" w:after="0" w:line="360" w:lineRule="auto"/>
        <w:rPr>
          <w:rFonts w:ascii="宋体"/>
          <w:color w:val="auto"/>
          <w:sz w:val="21"/>
          <w:szCs w:val="21"/>
        </w:rPr>
      </w:pPr>
      <w:bookmarkStart w:id="294" w:name="_Toc120282429"/>
      <w:bookmarkStart w:id="295" w:name="_Toc70424854"/>
      <w:bookmarkStart w:id="296" w:name="_Toc23696"/>
      <w:bookmarkStart w:id="297" w:name="_Toc77504063"/>
      <w:bookmarkStart w:id="298" w:name="_Toc77116674"/>
      <w:bookmarkStart w:id="299" w:name="_Toc107396201"/>
      <w:bookmarkStart w:id="300" w:name="_Toc77658073"/>
      <w:bookmarkStart w:id="301" w:name="_Toc164432918"/>
      <w:r>
        <w:rPr>
          <w:rFonts w:ascii="宋体" w:hAnsi="宋体" w:cs="宋体"/>
          <w:color w:val="auto"/>
          <w:sz w:val="21"/>
          <w:szCs w:val="21"/>
        </w:rPr>
        <w:t xml:space="preserve">5.1 </w:t>
      </w:r>
      <w:r>
        <w:rPr>
          <w:rFonts w:hint="eastAsia" w:ascii="宋体" w:hAnsi="宋体" w:cs="宋体"/>
          <w:color w:val="auto"/>
          <w:sz w:val="21"/>
          <w:szCs w:val="21"/>
        </w:rPr>
        <w:t>开标时间和地点</w:t>
      </w:r>
      <w:bookmarkEnd w:id="294"/>
      <w:bookmarkEnd w:id="295"/>
      <w:bookmarkEnd w:id="296"/>
      <w:bookmarkEnd w:id="297"/>
      <w:bookmarkEnd w:id="298"/>
      <w:bookmarkEnd w:id="299"/>
      <w:bookmarkEnd w:id="300"/>
      <w:bookmarkEnd w:id="301"/>
    </w:p>
    <w:p w14:paraId="4F4FCCA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采购人在本章第</w:t>
      </w:r>
      <w:r>
        <w:rPr>
          <w:rFonts w:ascii="宋体" w:hAnsi="宋体" w:eastAsia="宋体" w:cs="宋体"/>
          <w:color w:val="auto"/>
        </w:rPr>
        <w:t>4.2.1</w:t>
      </w:r>
      <w:r>
        <w:rPr>
          <w:rFonts w:hint="eastAsia" w:ascii="宋体" w:hAnsi="宋体" w:eastAsia="宋体" w:cs="宋体"/>
          <w:color w:val="auto"/>
        </w:rPr>
        <w:t>项规定的递交投标文件的截止时间和投标人须知前附表规定的地点公开开标，并邀请所有投标人的法定代表人（单位负责人）或其授权的代理人准时参加。投标人无须到现场开标，参加开标的投标人代表应当在网上签到以证明其出席，在投标截止时间前提前进入到“网上开标室”，并在规定时间内完成远程解密。</w:t>
      </w:r>
    </w:p>
    <w:p w14:paraId="1623AC6F">
      <w:pPr>
        <w:pStyle w:val="4"/>
        <w:spacing w:before="0" w:after="0" w:line="360" w:lineRule="auto"/>
        <w:rPr>
          <w:rFonts w:ascii="宋体" w:hAnsi="宋体" w:cs="宋体"/>
          <w:b w:val="0"/>
          <w:bCs w:val="0"/>
          <w:color w:val="auto"/>
          <w:kern w:val="2"/>
          <w:sz w:val="21"/>
          <w:szCs w:val="21"/>
        </w:rPr>
      </w:pPr>
      <w:bookmarkStart w:id="302" w:name="_Toc107396202"/>
      <w:bookmarkStart w:id="303" w:name="_Toc77658074"/>
      <w:bookmarkStart w:id="304" w:name="_Toc32614"/>
      <w:bookmarkStart w:id="305" w:name="_Toc120282430"/>
      <w:bookmarkStart w:id="306" w:name="_Toc70424855"/>
      <w:bookmarkStart w:id="307" w:name="_Toc77504064"/>
      <w:bookmarkStart w:id="308" w:name="_Toc77116675"/>
      <w:bookmarkStart w:id="309" w:name="_Toc164432919"/>
      <w:r>
        <w:rPr>
          <w:rFonts w:ascii="宋体" w:hAnsi="宋体" w:cs="宋体"/>
          <w:color w:val="auto"/>
          <w:sz w:val="21"/>
          <w:szCs w:val="21"/>
        </w:rPr>
        <w:t xml:space="preserve">5.2 </w:t>
      </w:r>
      <w:r>
        <w:rPr>
          <w:rFonts w:hint="eastAsia" w:ascii="宋体" w:hAnsi="宋体" w:cs="宋体"/>
          <w:color w:val="auto"/>
          <w:sz w:val="21"/>
          <w:szCs w:val="21"/>
        </w:rPr>
        <w:t>开标程序</w:t>
      </w:r>
      <w:bookmarkEnd w:id="302"/>
      <w:bookmarkEnd w:id="303"/>
      <w:bookmarkEnd w:id="304"/>
      <w:bookmarkEnd w:id="305"/>
      <w:bookmarkEnd w:id="306"/>
      <w:bookmarkEnd w:id="307"/>
      <w:bookmarkEnd w:id="308"/>
      <w:bookmarkStart w:id="310" w:name="_Toc77658075"/>
      <w:bookmarkStart w:id="311" w:name="_Toc77504065"/>
      <w:bookmarkStart w:id="312" w:name="_Toc107396203"/>
      <w:bookmarkStart w:id="313" w:name="_Toc18000"/>
      <w:bookmarkStart w:id="314" w:name="_Toc77116676"/>
      <w:bookmarkStart w:id="315" w:name="_Toc120282431"/>
      <w:r>
        <w:rPr>
          <w:rFonts w:hint="eastAsia" w:ascii="宋体" w:hAnsi="宋体" w:cs="宋体"/>
          <w:color w:val="auto"/>
          <w:sz w:val="21"/>
          <w:szCs w:val="21"/>
        </w:rPr>
        <w:t>：</w:t>
      </w:r>
      <w:r>
        <w:rPr>
          <w:rFonts w:hint="eastAsia" w:ascii="宋体" w:hAnsi="宋体" w:cs="宋体"/>
          <w:b w:val="0"/>
          <w:bCs w:val="0"/>
          <w:color w:val="auto"/>
          <w:kern w:val="2"/>
          <w:sz w:val="21"/>
          <w:szCs w:val="21"/>
        </w:rPr>
        <w:t>见投标人须知前附表。</w:t>
      </w:r>
      <w:bookmarkEnd w:id="309"/>
    </w:p>
    <w:p w14:paraId="6897ADC9">
      <w:pPr>
        <w:pStyle w:val="4"/>
        <w:spacing w:before="0" w:after="0" w:line="360" w:lineRule="auto"/>
        <w:rPr>
          <w:rFonts w:ascii="宋体"/>
          <w:color w:val="auto"/>
          <w:sz w:val="21"/>
          <w:szCs w:val="21"/>
        </w:rPr>
      </w:pPr>
      <w:bookmarkStart w:id="316" w:name="_Toc164432920"/>
      <w:r>
        <w:rPr>
          <w:rFonts w:ascii="宋体" w:hAnsi="宋体" w:cs="宋体"/>
          <w:color w:val="auto"/>
          <w:sz w:val="21"/>
          <w:szCs w:val="21"/>
        </w:rPr>
        <w:t xml:space="preserve">5.3 </w:t>
      </w:r>
      <w:r>
        <w:rPr>
          <w:rFonts w:hint="eastAsia" w:ascii="宋体" w:hAnsi="宋体" w:cs="宋体"/>
          <w:color w:val="auto"/>
          <w:sz w:val="21"/>
          <w:szCs w:val="21"/>
        </w:rPr>
        <w:t>开标异议</w:t>
      </w:r>
      <w:bookmarkEnd w:id="310"/>
      <w:bookmarkEnd w:id="311"/>
      <w:bookmarkEnd w:id="312"/>
      <w:bookmarkEnd w:id="313"/>
      <w:bookmarkEnd w:id="314"/>
      <w:bookmarkEnd w:id="315"/>
      <w:bookmarkEnd w:id="316"/>
    </w:p>
    <w:p w14:paraId="03E37D3A">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投标人对开标有异议的，应当在开标现场提出，采购人当场作出答复，并制作记录。</w:t>
      </w:r>
    </w:p>
    <w:p w14:paraId="25B12F5B">
      <w:pPr>
        <w:pStyle w:val="3"/>
        <w:spacing w:before="0" w:after="0" w:line="360" w:lineRule="auto"/>
        <w:rPr>
          <w:rFonts w:ascii="宋体" w:hAnsi="宋体" w:eastAsia="宋体" w:cs="Times New Roman"/>
          <w:color w:val="auto"/>
          <w:sz w:val="21"/>
          <w:szCs w:val="21"/>
        </w:rPr>
      </w:pPr>
      <w:bookmarkStart w:id="317" w:name="_Toc107396204"/>
      <w:bookmarkStart w:id="318" w:name="_Toc77116677"/>
      <w:bookmarkStart w:id="319" w:name="_Toc14974"/>
      <w:bookmarkStart w:id="320" w:name="_Toc120282432"/>
      <w:bookmarkStart w:id="321" w:name="_Toc77504066"/>
      <w:bookmarkStart w:id="322" w:name="_Toc77658076"/>
      <w:bookmarkStart w:id="323" w:name="_Toc164432921"/>
      <w:bookmarkStart w:id="324" w:name="_Hlk72489868"/>
      <w:r>
        <w:rPr>
          <w:rFonts w:ascii="宋体" w:hAnsi="宋体" w:eastAsia="宋体" w:cs="宋体"/>
          <w:color w:val="auto"/>
          <w:sz w:val="21"/>
          <w:szCs w:val="21"/>
        </w:rPr>
        <w:t xml:space="preserve">6. </w:t>
      </w:r>
      <w:r>
        <w:rPr>
          <w:rFonts w:hint="eastAsia" w:ascii="宋体" w:hAnsi="宋体" w:eastAsia="宋体" w:cs="宋体"/>
          <w:color w:val="auto"/>
          <w:sz w:val="21"/>
          <w:szCs w:val="21"/>
        </w:rPr>
        <w:t>评标</w:t>
      </w:r>
      <w:bookmarkEnd w:id="317"/>
      <w:bookmarkEnd w:id="318"/>
      <w:bookmarkEnd w:id="319"/>
      <w:bookmarkEnd w:id="320"/>
      <w:bookmarkEnd w:id="321"/>
      <w:bookmarkEnd w:id="322"/>
      <w:bookmarkEnd w:id="323"/>
    </w:p>
    <w:bookmarkEnd w:id="324"/>
    <w:p w14:paraId="21257617">
      <w:pPr>
        <w:pStyle w:val="4"/>
        <w:spacing w:before="0" w:after="0" w:line="360" w:lineRule="auto"/>
        <w:rPr>
          <w:rFonts w:ascii="宋体"/>
          <w:color w:val="auto"/>
          <w:sz w:val="21"/>
          <w:szCs w:val="21"/>
        </w:rPr>
      </w:pPr>
      <w:bookmarkStart w:id="325" w:name="_Toc70424857"/>
      <w:bookmarkStart w:id="326" w:name="_Toc15778"/>
      <w:bookmarkStart w:id="327" w:name="_Toc77116678"/>
      <w:bookmarkStart w:id="328" w:name="_Toc164432922"/>
      <w:bookmarkStart w:id="329" w:name="_Toc77658077"/>
      <w:bookmarkStart w:id="330" w:name="_Toc77504067"/>
      <w:bookmarkStart w:id="331" w:name="_Toc107396205"/>
      <w:bookmarkStart w:id="332" w:name="_Toc120282433"/>
      <w:r>
        <w:rPr>
          <w:rFonts w:ascii="宋体" w:hAnsi="宋体" w:cs="宋体"/>
          <w:color w:val="auto"/>
          <w:sz w:val="21"/>
          <w:szCs w:val="21"/>
        </w:rPr>
        <w:t xml:space="preserve">6.1 </w:t>
      </w:r>
      <w:r>
        <w:rPr>
          <w:rFonts w:hint="eastAsia" w:ascii="宋体" w:hAnsi="宋体" w:cs="宋体"/>
          <w:color w:val="auto"/>
          <w:sz w:val="21"/>
          <w:szCs w:val="21"/>
        </w:rPr>
        <w:t>评标委员会</w:t>
      </w:r>
      <w:bookmarkEnd w:id="325"/>
      <w:bookmarkEnd w:id="326"/>
      <w:bookmarkEnd w:id="327"/>
      <w:bookmarkEnd w:id="328"/>
      <w:bookmarkEnd w:id="329"/>
      <w:bookmarkEnd w:id="330"/>
      <w:bookmarkEnd w:id="331"/>
      <w:bookmarkEnd w:id="332"/>
    </w:p>
    <w:p w14:paraId="34D11715">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6.1.1 </w:t>
      </w:r>
      <w:r>
        <w:rPr>
          <w:rFonts w:hint="eastAsia" w:ascii="宋体" w:hAnsi="宋体" w:eastAsia="宋体" w:cs="宋体"/>
          <w:color w:val="auto"/>
        </w:rPr>
        <w:t>采购人将组建评标委员会，评标委员会成员人数见投标人须知前附表。</w:t>
      </w:r>
    </w:p>
    <w:p w14:paraId="592D47D3">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6.1.2 </w:t>
      </w:r>
      <w:r>
        <w:rPr>
          <w:rFonts w:hint="eastAsia" w:ascii="宋体" w:hAnsi="宋体" w:eastAsia="宋体" w:cs="宋体"/>
          <w:color w:val="auto"/>
        </w:rPr>
        <w:t>评标委员会成员有下列情形之一的，应当回避：</w:t>
      </w:r>
    </w:p>
    <w:p w14:paraId="745ABE48">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）投标人主要负责人或投标人主要负责人的近亲属；</w:t>
      </w:r>
    </w:p>
    <w:p w14:paraId="29C6DC6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）与投标人有经济利益关系或其他利害关系，可能影响公正评审的；</w:t>
      </w:r>
    </w:p>
    <w:p w14:paraId="3DE98362">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6.1.3 </w:t>
      </w:r>
      <w:r>
        <w:rPr>
          <w:rFonts w:hint="eastAsia" w:ascii="宋体" w:hAnsi="宋体" w:eastAsia="宋体" w:cs="宋体"/>
          <w:color w:val="auto"/>
        </w:rPr>
        <w:t>评标委员会组建后，评标委员会成员共同推选评标委员会组长，评标委员会组长负责组织评标工作。</w:t>
      </w:r>
    </w:p>
    <w:p w14:paraId="6BC2D2F1">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6.1.4 </w:t>
      </w:r>
      <w:r>
        <w:rPr>
          <w:rFonts w:hint="eastAsia" w:ascii="宋体" w:hAnsi="宋体" w:eastAsia="宋体" w:cs="宋体"/>
          <w:color w:val="auto"/>
        </w:rPr>
        <w:t>在评标过程中，评标委员会成员对需要共同认定的事项存在争议的，将按照少数服从多数的原则作出结论。持不同意见的评标委员会成员应当在评审报告上签署不同意见及理由，否则视为同意评审报告。</w:t>
      </w:r>
    </w:p>
    <w:p w14:paraId="6F16840E">
      <w:pPr>
        <w:pStyle w:val="4"/>
        <w:spacing w:before="0" w:after="0" w:line="360" w:lineRule="auto"/>
        <w:rPr>
          <w:rFonts w:ascii="宋体"/>
          <w:color w:val="auto"/>
          <w:sz w:val="21"/>
          <w:szCs w:val="21"/>
        </w:rPr>
      </w:pPr>
      <w:bookmarkStart w:id="333" w:name="_Toc70424858"/>
      <w:bookmarkStart w:id="334" w:name="_Toc77504068"/>
      <w:bookmarkStart w:id="335" w:name="_Toc9695"/>
      <w:bookmarkStart w:id="336" w:name="_Toc77658078"/>
      <w:bookmarkStart w:id="337" w:name="_Toc120282434"/>
      <w:bookmarkStart w:id="338" w:name="_Toc77116679"/>
      <w:bookmarkStart w:id="339" w:name="_Toc164432923"/>
      <w:bookmarkStart w:id="340" w:name="_Toc107396206"/>
      <w:r>
        <w:rPr>
          <w:rFonts w:ascii="宋体" w:hAnsi="宋体" w:cs="宋体"/>
          <w:color w:val="auto"/>
          <w:sz w:val="21"/>
          <w:szCs w:val="21"/>
        </w:rPr>
        <w:t xml:space="preserve">6.2 </w:t>
      </w:r>
      <w:bookmarkEnd w:id="333"/>
      <w:r>
        <w:rPr>
          <w:rFonts w:hint="eastAsia" w:ascii="宋体" w:hAnsi="宋体" w:cs="宋体"/>
          <w:color w:val="auto"/>
          <w:sz w:val="21"/>
          <w:szCs w:val="21"/>
        </w:rPr>
        <w:t>评标原则</w:t>
      </w:r>
      <w:bookmarkEnd w:id="334"/>
      <w:bookmarkEnd w:id="335"/>
      <w:bookmarkEnd w:id="336"/>
      <w:bookmarkEnd w:id="337"/>
      <w:bookmarkEnd w:id="338"/>
      <w:bookmarkEnd w:id="339"/>
      <w:bookmarkEnd w:id="340"/>
    </w:p>
    <w:p w14:paraId="5FA192C6">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评标活动遵循公平、公正、科学和择优的原则。</w:t>
      </w:r>
    </w:p>
    <w:p w14:paraId="5855BDB3">
      <w:pPr>
        <w:pStyle w:val="4"/>
        <w:spacing w:before="0" w:after="0" w:line="360" w:lineRule="auto"/>
        <w:rPr>
          <w:rFonts w:ascii="宋体"/>
          <w:color w:val="auto"/>
          <w:sz w:val="21"/>
          <w:szCs w:val="21"/>
        </w:rPr>
      </w:pPr>
      <w:bookmarkStart w:id="341" w:name="_Toc70424863"/>
      <w:bookmarkStart w:id="342" w:name="_Toc164432924"/>
      <w:bookmarkStart w:id="343" w:name="_Toc120282435"/>
      <w:bookmarkStart w:id="344" w:name="_Toc9752"/>
      <w:bookmarkStart w:id="345" w:name="_Toc107396207"/>
      <w:bookmarkStart w:id="346" w:name="_Toc77658079"/>
      <w:bookmarkStart w:id="347" w:name="_Toc77116680"/>
      <w:bookmarkStart w:id="348" w:name="_Toc77504069"/>
      <w:r>
        <w:rPr>
          <w:rFonts w:ascii="宋体" w:hAnsi="宋体" w:cs="宋体"/>
          <w:color w:val="auto"/>
          <w:sz w:val="21"/>
          <w:szCs w:val="21"/>
        </w:rPr>
        <w:t xml:space="preserve">6.3 </w:t>
      </w:r>
      <w:bookmarkEnd w:id="341"/>
      <w:r>
        <w:rPr>
          <w:rFonts w:hint="eastAsia" w:ascii="宋体" w:hAnsi="宋体" w:cs="宋体"/>
          <w:color w:val="auto"/>
          <w:sz w:val="21"/>
          <w:szCs w:val="21"/>
        </w:rPr>
        <w:t>评标</w:t>
      </w:r>
      <w:bookmarkEnd w:id="342"/>
      <w:bookmarkEnd w:id="343"/>
      <w:bookmarkEnd w:id="344"/>
      <w:bookmarkEnd w:id="345"/>
      <w:bookmarkEnd w:id="346"/>
      <w:bookmarkEnd w:id="347"/>
      <w:bookmarkEnd w:id="348"/>
    </w:p>
    <w:p w14:paraId="623083D1">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6.3.1 </w:t>
      </w:r>
      <w:r>
        <w:rPr>
          <w:rFonts w:hint="eastAsia" w:ascii="宋体" w:hAnsi="宋体" w:eastAsia="宋体" w:cs="宋体"/>
          <w:color w:val="auto"/>
        </w:rPr>
        <w:t>评标委员会按照第三章“评标办法”规定的方法、评审因素、标准和程序对投标文件进行评审。第三章“评标办法”没有规定的方法、评审因素和标准，不作为评标依据。</w:t>
      </w:r>
    </w:p>
    <w:p w14:paraId="36015558">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6.3.2 </w:t>
      </w:r>
      <w:r>
        <w:rPr>
          <w:rFonts w:hint="eastAsia" w:ascii="宋体" w:hAnsi="宋体" w:eastAsia="宋体" w:cs="宋体"/>
          <w:color w:val="auto"/>
        </w:rPr>
        <w:t>评标完成后，评标委员会应当向采购人提交书面评标报告和中标候选人名单。评标委员会推荐中标候选人的人数见投标人须知前附表。</w:t>
      </w:r>
    </w:p>
    <w:p w14:paraId="23CFC4DA">
      <w:pPr>
        <w:pStyle w:val="3"/>
        <w:spacing w:before="0" w:after="0" w:line="360" w:lineRule="auto"/>
        <w:rPr>
          <w:rFonts w:ascii="宋体" w:hAnsi="宋体" w:eastAsia="宋体" w:cs="Times New Roman"/>
          <w:color w:val="auto"/>
          <w:sz w:val="21"/>
          <w:szCs w:val="21"/>
        </w:rPr>
      </w:pPr>
      <w:bookmarkStart w:id="349" w:name="_Toc164432925"/>
      <w:bookmarkStart w:id="350" w:name="_Toc107396208"/>
      <w:bookmarkStart w:id="351" w:name="_Toc77658080"/>
      <w:bookmarkStart w:id="352" w:name="_Toc120282436"/>
      <w:bookmarkStart w:id="353" w:name="_Toc77504070"/>
      <w:bookmarkStart w:id="354" w:name="_Toc77116681"/>
      <w:bookmarkStart w:id="355" w:name="_Toc70424865"/>
      <w:bookmarkStart w:id="356" w:name="_Toc4302"/>
      <w:r>
        <w:rPr>
          <w:rFonts w:ascii="宋体" w:hAnsi="宋体" w:eastAsia="宋体" w:cs="宋体"/>
          <w:color w:val="auto"/>
          <w:sz w:val="21"/>
          <w:szCs w:val="21"/>
        </w:rPr>
        <w:t xml:space="preserve">7. </w:t>
      </w:r>
      <w:r>
        <w:rPr>
          <w:rFonts w:hint="eastAsia" w:ascii="宋体" w:hAnsi="宋体" w:eastAsia="宋体" w:cs="宋体"/>
          <w:color w:val="auto"/>
          <w:sz w:val="21"/>
          <w:szCs w:val="21"/>
        </w:rPr>
        <w:t>合同授予</w:t>
      </w:r>
      <w:bookmarkEnd w:id="349"/>
      <w:bookmarkEnd w:id="350"/>
      <w:bookmarkEnd w:id="351"/>
      <w:bookmarkEnd w:id="352"/>
      <w:bookmarkEnd w:id="353"/>
      <w:bookmarkEnd w:id="354"/>
      <w:bookmarkEnd w:id="355"/>
      <w:bookmarkEnd w:id="356"/>
    </w:p>
    <w:p w14:paraId="0D378396">
      <w:pPr>
        <w:pStyle w:val="4"/>
        <w:spacing w:before="0" w:after="0" w:line="360" w:lineRule="auto"/>
        <w:rPr>
          <w:rFonts w:ascii="宋体"/>
          <w:color w:val="auto"/>
          <w:sz w:val="21"/>
          <w:szCs w:val="21"/>
        </w:rPr>
      </w:pPr>
      <w:bookmarkStart w:id="357" w:name="_Toc70424866"/>
      <w:bookmarkStart w:id="358" w:name="_Toc120282437"/>
      <w:bookmarkStart w:id="359" w:name="_Toc77658081"/>
      <w:bookmarkStart w:id="360" w:name="_Toc164432926"/>
      <w:bookmarkStart w:id="361" w:name="_Toc3066"/>
      <w:bookmarkStart w:id="362" w:name="_Toc77504071"/>
      <w:bookmarkStart w:id="363" w:name="_Toc77116682"/>
      <w:bookmarkStart w:id="364" w:name="_Toc107396209"/>
      <w:r>
        <w:rPr>
          <w:rFonts w:ascii="宋体" w:hAnsi="宋体" w:cs="宋体"/>
          <w:color w:val="auto"/>
          <w:sz w:val="21"/>
          <w:szCs w:val="21"/>
        </w:rPr>
        <w:t xml:space="preserve">7.1 </w:t>
      </w:r>
      <w:r>
        <w:rPr>
          <w:rFonts w:hint="eastAsia" w:ascii="宋体" w:hAnsi="宋体" w:cs="宋体"/>
          <w:color w:val="auto"/>
          <w:sz w:val="21"/>
          <w:szCs w:val="21"/>
        </w:rPr>
        <w:t>中标候选人履约能力核查</w:t>
      </w:r>
      <w:bookmarkEnd w:id="357"/>
      <w:bookmarkEnd w:id="358"/>
      <w:bookmarkEnd w:id="359"/>
      <w:bookmarkEnd w:id="360"/>
      <w:bookmarkEnd w:id="361"/>
      <w:bookmarkEnd w:id="362"/>
      <w:bookmarkEnd w:id="363"/>
      <w:bookmarkEnd w:id="364"/>
    </w:p>
    <w:p w14:paraId="79E6E4EA">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采购人可对中标候选人的相关证明材料原件进行核验或组织现场考察，以确认中标候选人的生产经营、财务等实际状况与投标文件是否一致以及是否存在其他可能影响投标人履约能力的情况。</w:t>
      </w:r>
    </w:p>
    <w:p w14:paraId="77E23C91">
      <w:pPr>
        <w:pStyle w:val="4"/>
        <w:spacing w:before="0" w:after="0" w:line="360" w:lineRule="auto"/>
        <w:rPr>
          <w:rFonts w:ascii="宋体"/>
          <w:color w:val="auto"/>
          <w:sz w:val="21"/>
          <w:szCs w:val="21"/>
        </w:rPr>
      </w:pPr>
      <w:bookmarkStart w:id="365" w:name="_Toc77504072"/>
      <w:bookmarkStart w:id="366" w:name="_Toc107396210"/>
      <w:bookmarkStart w:id="367" w:name="_Toc77116683"/>
      <w:bookmarkStart w:id="368" w:name="_Toc120282438"/>
      <w:bookmarkStart w:id="369" w:name="_Toc164432927"/>
      <w:bookmarkStart w:id="370" w:name="_Toc12349"/>
      <w:bookmarkStart w:id="371" w:name="_Toc77658082"/>
      <w:bookmarkStart w:id="372" w:name="_Toc70424867"/>
      <w:r>
        <w:rPr>
          <w:rFonts w:ascii="宋体" w:hAnsi="宋体" w:cs="宋体"/>
          <w:color w:val="auto"/>
          <w:sz w:val="21"/>
          <w:szCs w:val="21"/>
        </w:rPr>
        <w:t xml:space="preserve">7.2 </w:t>
      </w:r>
      <w:r>
        <w:rPr>
          <w:rFonts w:hint="eastAsia" w:ascii="宋体" w:hAnsi="宋体" w:cs="宋体"/>
          <w:color w:val="auto"/>
          <w:sz w:val="21"/>
          <w:szCs w:val="21"/>
        </w:rPr>
        <w:t>确定中标人</w:t>
      </w:r>
      <w:bookmarkEnd w:id="365"/>
      <w:bookmarkEnd w:id="366"/>
      <w:bookmarkEnd w:id="367"/>
      <w:bookmarkEnd w:id="368"/>
      <w:bookmarkEnd w:id="369"/>
      <w:bookmarkEnd w:id="370"/>
      <w:bookmarkEnd w:id="371"/>
      <w:bookmarkEnd w:id="372"/>
    </w:p>
    <w:p w14:paraId="4B37F362">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采购人将依据评审报告及核查结果（如有），对中标候选人综合评估后确定中标人。</w:t>
      </w:r>
    </w:p>
    <w:p w14:paraId="12E43237">
      <w:pPr>
        <w:pStyle w:val="4"/>
        <w:spacing w:before="0" w:after="0" w:line="360" w:lineRule="auto"/>
        <w:rPr>
          <w:rFonts w:ascii="宋体"/>
          <w:color w:val="auto"/>
          <w:sz w:val="21"/>
          <w:szCs w:val="21"/>
        </w:rPr>
      </w:pPr>
      <w:bookmarkStart w:id="373" w:name="_Toc77116684"/>
      <w:bookmarkStart w:id="374" w:name="_Toc120282439"/>
      <w:bookmarkStart w:id="375" w:name="_Toc107396211"/>
      <w:bookmarkStart w:id="376" w:name="_Toc164432928"/>
      <w:bookmarkStart w:id="377" w:name="_Toc27410"/>
      <w:bookmarkStart w:id="378" w:name="_Toc77658083"/>
      <w:bookmarkStart w:id="379" w:name="_Toc70424868"/>
      <w:bookmarkStart w:id="380" w:name="_Toc77504073"/>
      <w:r>
        <w:rPr>
          <w:rFonts w:ascii="宋体" w:hAnsi="宋体" w:cs="宋体"/>
          <w:color w:val="auto"/>
          <w:sz w:val="21"/>
          <w:szCs w:val="21"/>
        </w:rPr>
        <w:t xml:space="preserve">7.3 </w:t>
      </w:r>
      <w:r>
        <w:rPr>
          <w:rFonts w:hint="eastAsia" w:ascii="宋体" w:hAnsi="宋体" w:cs="宋体"/>
          <w:color w:val="auto"/>
          <w:sz w:val="21"/>
          <w:szCs w:val="21"/>
        </w:rPr>
        <w:t>发布中标结果公告</w:t>
      </w:r>
      <w:bookmarkEnd w:id="373"/>
      <w:bookmarkEnd w:id="374"/>
      <w:bookmarkEnd w:id="375"/>
      <w:bookmarkEnd w:id="376"/>
      <w:bookmarkEnd w:id="377"/>
      <w:bookmarkEnd w:id="378"/>
      <w:bookmarkEnd w:id="379"/>
      <w:bookmarkEnd w:id="380"/>
    </w:p>
    <w:p w14:paraId="77E4B504">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采购人将在投标人须知前附表规定的公告媒介发布中标结果公告，公告信息包括中标人名称、中标报价及投标人须知前附表规定的其他内容。</w:t>
      </w:r>
    </w:p>
    <w:p w14:paraId="6F72FAAF">
      <w:pPr>
        <w:pStyle w:val="4"/>
        <w:spacing w:before="0" w:after="0" w:line="360" w:lineRule="auto"/>
        <w:rPr>
          <w:rFonts w:ascii="宋体"/>
          <w:color w:val="auto"/>
          <w:sz w:val="21"/>
          <w:szCs w:val="21"/>
        </w:rPr>
      </w:pPr>
      <w:bookmarkStart w:id="381" w:name="_Toc120282440"/>
      <w:bookmarkStart w:id="382" w:name="_Toc77116685"/>
      <w:bookmarkStart w:id="383" w:name="_Toc164432929"/>
      <w:bookmarkStart w:id="384" w:name="_Toc77658084"/>
      <w:bookmarkStart w:id="385" w:name="_Toc77504074"/>
      <w:bookmarkStart w:id="386" w:name="_Toc18660"/>
      <w:bookmarkStart w:id="387" w:name="_Toc107396212"/>
      <w:bookmarkStart w:id="388" w:name="_Toc70424869"/>
      <w:r>
        <w:rPr>
          <w:rFonts w:ascii="宋体" w:hAnsi="宋体" w:cs="宋体"/>
          <w:color w:val="auto"/>
          <w:sz w:val="21"/>
          <w:szCs w:val="21"/>
        </w:rPr>
        <w:t xml:space="preserve">7.4 </w:t>
      </w:r>
      <w:r>
        <w:rPr>
          <w:rFonts w:hint="eastAsia" w:ascii="宋体" w:hAnsi="宋体" w:cs="宋体"/>
          <w:color w:val="auto"/>
          <w:sz w:val="21"/>
          <w:szCs w:val="21"/>
        </w:rPr>
        <w:t>发出中标通知书</w:t>
      </w:r>
      <w:bookmarkEnd w:id="381"/>
      <w:bookmarkEnd w:id="382"/>
      <w:bookmarkEnd w:id="383"/>
      <w:bookmarkEnd w:id="384"/>
      <w:bookmarkEnd w:id="385"/>
      <w:bookmarkEnd w:id="386"/>
      <w:bookmarkEnd w:id="387"/>
      <w:bookmarkEnd w:id="388"/>
    </w:p>
    <w:p w14:paraId="38E9DDEF">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发布中标结果公告的同时，采购人或者采购代理机构以书面形式向中标人发出中标通知书。</w:t>
      </w:r>
    </w:p>
    <w:p w14:paraId="360B725B">
      <w:pPr>
        <w:pStyle w:val="4"/>
        <w:spacing w:before="0" w:after="0" w:line="360" w:lineRule="auto"/>
        <w:rPr>
          <w:rFonts w:ascii="宋体"/>
          <w:color w:val="auto"/>
          <w:sz w:val="21"/>
          <w:szCs w:val="21"/>
        </w:rPr>
      </w:pPr>
      <w:bookmarkStart w:id="389" w:name="_Toc70424870"/>
      <w:bookmarkStart w:id="390" w:name="_Toc77116686"/>
      <w:bookmarkStart w:id="391" w:name="_Toc107396213"/>
      <w:bookmarkStart w:id="392" w:name="_Toc77504075"/>
      <w:bookmarkStart w:id="393" w:name="_Toc77658085"/>
      <w:bookmarkStart w:id="394" w:name="_Toc120282441"/>
      <w:bookmarkStart w:id="395" w:name="_Toc13547"/>
      <w:bookmarkStart w:id="396" w:name="_Toc164432930"/>
      <w:r>
        <w:rPr>
          <w:rFonts w:ascii="宋体" w:hAnsi="宋体" w:cs="宋体"/>
          <w:color w:val="auto"/>
          <w:sz w:val="21"/>
          <w:szCs w:val="21"/>
        </w:rPr>
        <w:t xml:space="preserve">7.5 </w:t>
      </w:r>
      <w:r>
        <w:rPr>
          <w:rFonts w:hint="eastAsia" w:ascii="宋体" w:hAnsi="宋体" w:cs="宋体"/>
          <w:color w:val="auto"/>
          <w:sz w:val="21"/>
          <w:szCs w:val="21"/>
        </w:rPr>
        <w:t>履约保证金</w:t>
      </w:r>
      <w:bookmarkEnd w:id="389"/>
      <w:bookmarkEnd w:id="390"/>
      <w:bookmarkEnd w:id="391"/>
      <w:bookmarkEnd w:id="392"/>
      <w:bookmarkEnd w:id="393"/>
      <w:bookmarkEnd w:id="394"/>
      <w:bookmarkEnd w:id="395"/>
      <w:bookmarkEnd w:id="396"/>
    </w:p>
    <w:p w14:paraId="5235270F">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投标人须知前附表规定递交履约保证金的，中标人应按投标人须知前附表规定的形式、有效期限和递交时间向采购人递交履约保证金。</w:t>
      </w:r>
    </w:p>
    <w:p w14:paraId="218F3F62">
      <w:pPr>
        <w:pStyle w:val="4"/>
        <w:spacing w:before="0" w:after="0" w:line="360" w:lineRule="auto"/>
        <w:rPr>
          <w:rFonts w:ascii="宋体"/>
          <w:color w:val="auto"/>
          <w:sz w:val="21"/>
          <w:szCs w:val="21"/>
        </w:rPr>
      </w:pPr>
      <w:bookmarkStart w:id="397" w:name="_Toc77504076"/>
      <w:bookmarkStart w:id="398" w:name="_Toc3857"/>
      <w:bookmarkStart w:id="399" w:name="_Toc164432931"/>
      <w:bookmarkStart w:id="400" w:name="_Toc120282442"/>
      <w:bookmarkStart w:id="401" w:name="_Toc77116687"/>
      <w:bookmarkStart w:id="402" w:name="_Toc107396214"/>
      <w:bookmarkStart w:id="403" w:name="_Toc70424871"/>
      <w:bookmarkStart w:id="404" w:name="_Toc77658086"/>
      <w:r>
        <w:rPr>
          <w:rFonts w:ascii="宋体" w:hAnsi="宋体" w:cs="宋体"/>
          <w:color w:val="auto"/>
          <w:sz w:val="21"/>
          <w:szCs w:val="21"/>
        </w:rPr>
        <w:t xml:space="preserve">7.6 </w:t>
      </w:r>
      <w:r>
        <w:rPr>
          <w:rFonts w:hint="eastAsia" w:ascii="宋体" w:hAnsi="宋体" w:cs="宋体"/>
          <w:color w:val="auto"/>
          <w:sz w:val="21"/>
          <w:szCs w:val="21"/>
        </w:rPr>
        <w:t>签订合同</w:t>
      </w:r>
      <w:bookmarkEnd w:id="397"/>
      <w:bookmarkEnd w:id="398"/>
      <w:bookmarkEnd w:id="399"/>
      <w:bookmarkEnd w:id="400"/>
      <w:bookmarkEnd w:id="401"/>
      <w:bookmarkEnd w:id="402"/>
      <w:bookmarkEnd w:id="403"/>
      <w:bookmarkEnd w:id="404"/>
    </w:p>
    <w:p w14:paraId="4445E008">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7.6.1 </w:t>
      </w:r>
      <w:r>
        <w:rPr>
          <w:rFonts w:hint="eastAsia" w:ascii="宋体" w:hAnsi="宋体" w:eastAsia="宋体" w:cs="宋体"/>
          <w:color w:val="auto"/>
        </w:rPr>
        <w:t>采购人和中标人应当在</w:t>
      </w:r>
      <w:r>
        <w:rPr>
          <w:rFonts w:hint="eastAsia" w:ascii="宋体" w:hAnsi="宋体" w:eastAsia="宋体" w:cs="宋体"/>
          <w:color w:val="auto"/>
          <w:u w:val="single"/>
        </w:rPr>
        <w:t>中标通知书发出之日起三十日内</w:t>
      </w:r>
      <w:r>
        <w:rPr>
          <w:rFonts w:hint="eastAsia" w:ascii="宋体" w:hAnsi="宋体" w:eastAsia="宋体" w:cs="宋体"/>
          <w:color w:val="auto"/>
        </w:rPr>
        <w:t>，根据招标文件和中标人的投标文件订立书面合同。中标人无正当理由拒绝签订合同，在签订合同时向采购人提出附加条件，或者不按照招标文件要求递交履约保证金的，采购人取消其中标资格，其投标保证金不予退还；给采购人造成的损失超过投标保证金数额的，中标人还应当对超过部分予以赔偿。</w:t>
      </w:r>
    </w:p>
    <w:p w14:paraId="0E33672C">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7.6.2 </w:t>
      </w:r>
      <w:r>
        <w:rPr>
          <w:rFonts w:hint="eastAsia" w:ascii="宋体" w:hAnsi="宋体" w:eastAsia="宋体" w:cs="宋体"/>
          <w:color w:val="auto"/>
        </w:rPr>
        <w:t>发出中标通知书后，采购人无正当理由拒绝签订合同，或者在签订合同时向中标人提出附加条件的，采购人向中标人退还投标保证金；给中标人造成损失的，还应当赔偿损失。</w:t>
      </w:r>
    </w:p>
    <w:p w14:paraId="2BB919B3">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7.6.3 </w:t>
      </w:r>
      <w:r>
        <w:rPr>
          <w:rFonts w:hint="eastAsia" w:ascii="宋体" w:hAnsi="宋体" w:eastAsia="宋体" w:cs="宋体"/>
          <w:color w:val="auto"/>
        </w:rPr>
        <w:t>联合体中标的，联合体各方应当共同与采购人签订合同，就中标项目向采购人承担连带责任。</w:t>
      </w:r>
    </w:p>
    <w:p w14:paraId="5774A267">
      <w:pPr>
        <w:pStyle w:val="4"/>
        <w:spacing w:before="0" w:after="0" w:line="360" w:lineRule="auto"/>
        <w:rPr>
          <w:rFonts w:ascii="宋体"/>
          <w:color w:val="auto"/>
          <w:sz w:val="21"/>
          <w:szCs w:val="21"/>
        </w:rPr>
      </w:pPr>
      <w:bookmarkStart w:id="405" w:name="_Toc70424872"/>
      <w:bookmarkStart w:id="406" w:name="_Toc107396215"/>
      <w:bookmarkStart w:id="407" w:name="_Toc23003"/>
      <w:bookmarkStart w:id="408" w:name="_Toc120282443"/>
      <w:bookmarkStart w:id="409" w:name="_Toc77658087"/>
      <w:bookmarkStart w:id="410" w:name="_Toc164432932"/>
      <w:bookmarkStart w:id="411" w:name="_Toc77504077"/>
      <w:bookmarkStart w:id="412" w:name="_Toc77116688"/>
      <w:r>
        <w:rPr>
          <w:rFonts w:ascii="宋体" w:hAnsi="宋体" w:cs="宋体"/>
          <w:color w:val="auto"/>
          <w:sz w:val="21"/>
          <w:szCs w:val="21"/>
        </w:rPr>
        <w:t xml:space="preserve">7.7 </w:t>
      </w:r>
      <w:r>
        <w:rPr>
          <w:rFonts w:hint="eastAsia" w:ascii="宋体" w:hAnsi="宋体" w:cs="宋体"/>
          <w:color w:val="auto"/>
          <w:sz w:val="21"/>
          <w:szCs w:val="21"/>
        </w:rPr>
        <w:t>特殊情形处理</w:t>
      </w:r>
      <w:bookmarkEnd w:id="405"/>
      <w:bookmarkEnd w:id="406"/>
      <w:bookmarkEnd w:id="407"/>
      <w:bookmarkEnd w:id="408"/>
      <w:bookmarkEnd w:id="409"/>
      <w:bookmarkEnd w:id="410"/>
      <w:bookmarkEnd w:id="411"/>
      <w:bookmarkEnd w:id="412"/>
    </w:p>
    <w:p w14:paraId="0B52CB7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因投标人对中标结果提出异议、中标人无正当理由拒绝签订合同、中标人在签订合同时向采购人提出附加条件或者不按照招标文件要求递交履约保证金等导致采购人变更中标结果的，采购人应按照本条规定的程序重新选择确定中标人并进行公告。</w:t>
      </w:r>
    </w:p>
    <w:p w14:paraId="0B27A588">
      <w:pPr>
        <w:pStyle w:val="3"/>
        <w:spacing w:before="0" w:after="0" w:line="360" w:lineRule="auto"/>
        <w:rPr>
          <w:rFonts w:ascii="宋体" w:hAnsi="宋体" w:eastAsia="宋体" w:cs="Times New Roman"/>
          <w:color w:val="auto"/>
          <w:sz w:val="21"/>
          <w:szCs w:val="21"/>
        </w:rPr>
      </w:pPr>
      <w:bookmarkStart w:id="413" w:name="_Toc70424873"/>
      <w:bookmarkStart w:id="414" w:name="_Toc77116689"/>
      <w:bookmarkStart w:id="415" w:name="_Toc164432933"/>
      <w:bookmarkStart w:id="416" w:name="_Toc107396216"/>
      <w:bookmarkStart w:id="417" w:name="_Toc4602"/>
      <w:bookmarkStart w:id="418" w:name="_Toc120282444"/>
      <w:bookmarkStart w:id="419" w:name="_Toc77658088"/>
      <w:bookmarkStart w:id="420" w:name="_Toc77504078"/>
      <w:r>
        <w:rPr>
          <w:rFonts w:ascii="宋体" w:hAnsi="宋体" w:eastAsia="宋体" w:cs="宋体"/>
          <w:color w:val="auto"/>
          <w:sz w:val="21"/>
          <w:szCs w:val="21"/>
        </w:rPr>
        <w:t xml:space="preserve">8. </w:t>
      </w:r>
      <w:bookmarkEnd w:id="413"/>
      <w:r>
        <w:rPr>
          <w:rFonts w:hint="eastAsia" w:ascii="宋体" w:hAnsi="宋体" w:eastAsia="宋体" w:cs="宋体"/>
          <w:color w:val="auto"/>
          <w:sz w:val="21"/>
          <w:szCs w:val="21"/>
        </w:rPr>
        <w:t>质疑</w:t>
      </w:r>
      <w:bookmarkEnd w:id="414"/>
      <w:r>
        <w:rPr>
          <w:rFonts w:hint="eastAsia" w:ascii="宋体" w:hAnsi="宋体" w:eastAsia="宋体" w:cs="宋体"/>
          <w:color w:val="auto"/>
          <w:sz w:val="21"/>
          <w:szCs w:val="21"/>
        </w:rPr>
        <w:t>和投诉</w:t>
      </w:r>
      <w:bookmarkEnd w:id="415"/>
      <w:bookmarkEnd w:id="416"/>
      <w:bookmarkEnd w:id="417"/>
      <w:bookmarkEnd w:id="418"/>
      <w:bookmarkEnd w:id="419"/>
      <w:bookmarkEnd w:id="420"/>
    </w:p>
    <w:p w14:paraId="640CC9C2">
      <w:pPr>
        <w:pStyle w:val="4"/>
        <w:spacing w:before="0" w:after="0" w:line="360" w:lineRule="auto"/>
        <w:rPr>
          <w:rFonts w:ascii="宋体"/>
          <w:color w:val="auto"/>
          <w:sz w:val="21"/>
          <w:szCs w:val="21"/>
        </w:rPr>
      </w:pPr>
      <w:bookmarkStart w:id="421" w:name="_Toc70424874"/>
      <w:bookmarkStart w:id="422" w:name="_Toc77658089"/>
      <w:bookmarkStart w:id="423" w:name="_Toc120282445"/>
      <w:bookmarkStart w:id="424" w:name="_Toc77504079"/>
      <w:bookmarkStart w:id="425" w:name="_Toc164432934"/>
      <w:bookmarkStart w:id="426" w:name="_Toc29588"/>
      <w:bookmarkStart w:id="427" w:name="_Toc107396217"/>
      <w:bookmarkStart w:id="428" w:name="_Toc77116690"/>
      <w:r>
        <w:rPr>
          <w:rFonts w:ascii="宋体" w:hAnsi="宋体" w:cs="宋体"/>
          <w:color w:val="auto"/>
          <w:sz w:val="21"/>
          <w:szCs w:val="21"/>
        </w:rPr>
        <w:t xml:space="preserve">8.1 </w:t>
      </w:r>
      <w:r>
        <w:rPr>
          <w:rFonts w:hint="eastAsia" w:ascii="宋体" w:hAnsi="宋体" w:cs="宋体"/>
          <w:color w:val="auto"/>
          <w:sz w:val="21"/>
          <w:szCs w:val="21"/>
        </w:rPr>
        <w:t>提出</w:t>
      </w:r>
      <w:bookmarkEnd w:id="421"/>
      <w:r>
        <w:rPr>
          <w:rFonts w:hint="eastAsia" w:ascii="宋体" w:hAnsi="宋体" w:cs="宋体"/>
          <w:color w:val="auto"/>
          <w:sz w:val="21"/>
          <w:szCs w:val="21"/>
        </w:rPr>
        <w:t>质疑</w:t>
      </w:r>
      <w:bookmarkEnd w:id="422"/>
      <w:bookmarkEnd w:id="423"/>
      <w:bookmarkEnd w:id="424"/>
      <w:bookmarkEnd w:id="425"/>
      <w:bookmarkEnd w:id="426"/>
      <w:bookmarkEnd w:id="427"/>
      <w:bookmarkEnd w:id="428"/>
    </w:p>
    <w:p w14:paraId="6537B1B4">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投标人认为招标文件、采购过程、中标结果使自己的权益受到损害的，可以在知道或者应知其权益受到损害之日起</w:t>
      </w:r>
      <w:r>
        <w:rPr>
          <w:rFonts w:ascii="宋体" w:hAnsi="宋体" w:eastAsia="宋体" w:cs="宋体"/>
          <w:color w:val="auto"/>
        </w:rPr>
        <w:t>7</w:t>
      </w:r>
      <w:r>
        <w:rPr>
          <w:rFonts w:hint="eastAsia" w:ascii="宋体" w:hAnsi="宋体" w:eastAsia="宋体" w:cs="宋体"/>
          <w:color w:val="auto"/>
        </w:rPr>
        <w:t>个工作日内，以书面形式向采购人、采购代理机构提出质疑。</w:t>
      </w:r>
    </w:p>
    <w:p w14:paraId="2839A1BD">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投标人应在法定质疑期内一次性提出针对同一招标程序环节的质疑，否则采购人、采购代理机构有权拒绝回复。</w:t>
      </w:r>
    </w:p>
    <w:p w14:paraId="3D36E9A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提出质疑的投标人应当是参与所质疑项目采购活动的投标人。</w:t>
      </w:r>
    </w:p>
    <w:p w14:paraId="7E0C5092">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潜在投标人已依法获取其可质疑的采购文件的，可以对该文件提出质疑。对采购文件提出质疑的，应当在获取采购文件或者采购文件公告期限届满之日起</w:t>
      </w:r>
      <w:r>
        <w:rPr>
          <w:rFonts w:ascii="宋体" w:hAnsi="宋体" w:eastAsia="宋体" w:cs="宋体"/>
          <w:color w:val="auto"/>
        </w:rPr>
        <w:t>7</w:t>
      </w:r>
      <w:r>
        <w:rPr>
          <w:rFonts w:hint="eastAsia" w:ascii="宋体" w:hAnsi="宋体" w:eastAsia="宋体" w:cs="宋体"/>
          <w:color w:val="auto"/>
        </w:rPr>
        <w:t>个工作日内提出。</w:t>
      </w:r>
    </w:p>
    <w:p w14:paraId="29ECE1A0">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投标人提出质疑应当提交质疑函和必要的证明材料。质疑函应当包括下列内容：</w:t>
      </w:r>
    </w:p>
    <w:p w14:paraId="19AD35C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（一）投标人的姓名或者名称、地址、邮编、联系人及联系电话；</w:t>
      </w:r>
    </w:p>
    <w:p w14:paraId="57017EF9">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（二）质疑项目的名称、编号；</w:t>
      </w:r>
    </w:p>
    <w:p w14:paraId="5A1FA62F">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（三）具体、明确的质疑事项和与质疑事项相关的请求；</w:t>
      </w:r>
    </w:p>
    <w:p w14:paraId="5FA8D68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（四）事实依据；</w:t>
      </w:r>
    </w:p>
    <w:p w14:paraId="093BA7EA">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（五）必要的法律依据；</w:t>
      </w:r>
    </w:p>
    <w:p w14:paraId="7B2D914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（六）提出质疑的日期。</w:t>
      </w:r>
    </w:p>
    <w:p w14:paraId="5FD126E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投标人为自然人的，应当由本人签字；投标人为法人或者其他组织的，应当由法定代表人、主要负责人，或者其授权代表签字或者盖章，并加盖公章。</w:t>
      </w:r>
    </w:p>
    <w:p w14:paraId="400685E7">
      <w:pPr>
        <w:pStyle w:val="4"/>
        <w:spacing w:before="0" w:after="0" w:line="360" w:lineRule="auto"/>
        <w:rPr>
          <w:rFonts w:ascii="宋体"/>
          <w:color w:val="auto"/>
          <w:sz w:val="21"/>
          <w:szCs w:val="21"/>
        </w:rPr>
      </w:pPr>
      <w:bookmarkStart w:id="429" w:name="_Toc120282446"/>
      <w:bookmarkStart w:id="430" w:name="_Toc30359"/>
      <w:bookmarkStart w:id="431" w:name="_Toc107396218"/>
      <w:bookmarkStart w:id="432" w:name="_Toc77658090"/>
      <w:bookmarkStart w:id="433" w:name="_Toc77116691"/>
      <w:bookmarkStart w:id="434" w:name="_Toc164432935"/>
      <w:bookmarkStart w:id="435" w:name="_Toc70424875"/>
      <w:bookmarkStart w:id="436" w:name="_Toc77504080"/>
      <w:r>
        <w:rPr>
          <w:rFonts w:ascii="宋体" w:hAnsi="宋体" w:cs="宋体"/>
          <w:color w:val="auto"/>
          <w:sz w:val="21"/>
          <w:szCs w:val="21"/>
        </w:rPr>
        <w:t xml:space="preserve">8.2 </w:t>
      </w:r>
      <w:r>
        <w:rPr>
          <w:rFonts w:hint="eastAsia" w:ascii="宋体" w:hAnsi="宋体" w:cs="宋体"/>
          <w:color w:val="auto"/>
          <w:sz w:val="21"/>
          <w:szCs w:val="21"/>
        </w:rPr>
        <w:t>质疑处理</w:t>
      </w:r>
      <w:bookmarkEnd w:id="429"/>
      <w:bookmarkEnd w:id="430"/>
      <w:bookmarkEnd w:id="431"/>
      <w:bookmarkEnd w:id="432"/>
      <w:bookmarkEnd w:id="433"/>
      <w:bookmarkEnd w:id="434"/>
      <w:bookmarkEnd w:id="435"/>
      <w:bookmarkEnd w:id="436"/>
    </w:p>
    <w:p w14:paraId="0998D5B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采购人、采购代理机构不得拒收质疑投标人在法定质疑期内发出的质疑函，应当在收到质疑函后</w:t>
      </w:r>
      <w:r>
        <w:rPr>
          <w:rFonts w:ascii="宋体" w:hAnsi="宋体" w:eastAsia="宋体" w:cs="宋体"/>
          <w:color w:val="auto"/>
        </w:rPr>
        <w:t>7</w:t>
      </w:r>
      <w:r>
        <w:rPr>
          <w:rFonts w:hint="eastAsia" w:ascii="宋体" w:hAnsi="宋体" w:eastAsia="宋体" w:cs="宋体"/>
          <w:color w:val="auto"/>
        </w:rPr>
        <w:t>个工作日内作出答复，并以书面形式通知质疑投标人和其他有关投标人。</w:t>
      </w:r>
    </w:p>
    <w:p w14:paraId="2A7F7886">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投标人对评审过程、中标结果提出质疑的，采购人、采购代理机构可以组织原评标委员会协助答复质疑。</w:t>
      </w:r>
    </w:p>
    <w:p w14:paraId="1613E19C">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采购人、采购代理机构认为投标人质疑不成立，或者成立但未对中标结果构成影响的，继续开展采购活动；认为投标人质疑成立且影响或者可能影响中标结果的，按照下列情况处理：</w:t>
      </w:r>
    </w:p>
    <w:p w14:paraId="75112E4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（一）对招标文件提出的质疑，依法通过澄清或者修改可以继续开展采购活动的，澄清或者修改采购文件后继续开展采购活动；否则应当修改采购文件后重新开展采购活动。</w:t>
      </w:r>
    </w:p>
    <w:p w14:paraId="6DB4184F">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（二）对采购过程、中标结果提出的质疑，合格投标人符合法定数量时，可以从合格的中标候选人中另行确定中标人的，应当依法另行确定中标人；否则应当重新开展采购活动。</w:t>
      </w:r>
    </w:p>
    <w:p w14:paraId="74874538">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质疑答复导致中标结果改变的，采购人或者采购代理机构应当将有关情况书面报告本级财政部门。</w:t>
      </w:r>
    </w:p>
    <w:p w14:paraId="0870CD75">
      <w:pPr>
        <w:pStyle w:val="4"/>
        <w:spacing w:before="0" w:after="0" w:line="360" w:lineRule="auto"/>
        <w:rPr>
          <w:rFonts w:ascii="宋体"/>
          <w:color w:val="auto"/>
          <w:sz w:val="21"/>
          <w:szCs w:val="21"/>
        </w:rPr>
      </w:pPr>
      <w:bookmarkStart w:id="437" w:name="_Toc120282447"/>
      <w:bookmarkStart w:id="438" w:name="_Toc77504081"/>
      <w:bookmarkStart w:id="439" w:name="_Toc164432936"/>
      <w:bookmarkStart w:id="440" w:name="_Toc77658091"/>
      <w:bookmarkStart w:id="441" w:name="_Toc25872"/>
      <w:bookmarkStart w:id="442" w:name="_Toc107396219"/>
      <w:r>
        <w:rPr>
          <w:rFonts w:ascii="宋体" w:hAnsi="宋体" w:cs="宋体"/>
          <w:color w:val="auto"/>
          <w:sz w:val="21"/>
          <w:szCs w:val="21"/>
        </w:rPr>
        <w:t xml:space="preserve">8.3 </w:t>
      </w:r>
      <w:r>
        <w:rPr>
          <w:rFonts w:hint="eastAsia" w:ascii="宋体" w:hAnsi="宋体" w:cs="宋体"/>
          <w:color w:val="auto"/>
          <w:sz w:val="21"/>
          <w:szCs w:val="21"/>
        </w:rPr>
        <w:t>投诉</w:t>
      </w:r>
      <w:bookmarkEnd w:id="437"/>
      <w:bookmarkEnd w:id="438"/>
      <w:bookmarkEnd w:id="439"/>
      <w:bookmarkEnd w:id="440"/>
      <w:bookmarkEnd w:id="441"/>
      <w:bookmarkEnd w:id="442"/>
    </w:p>
    <w:p w14:paraId="203CEFB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质疑投标人对采购人、采购代理机构的答复不满意，或者采购人、采购代理机构未在规定时间内作出答复的，可以在答复期满后</w:t>
      </w:r>
      <w:r>
        <w:rPr>
          <w:rFonts w:ascii="宋体" w:hAnsi="宋体" w:eastAsia="宋体" w:cs="宋体"/>
          <w:color w:val="auto"/>
        </w:rPr>
        <w:t>15</w:t>
      </w:r>
      <w:r>
        <w:rPr>
          <w:rFonts w:hint="eastAsia" w:ascii="宋体" w:hAnsi="宋体" w:eastAsia="宋体" w:cs="宋体"/>
          <w:color w:val="auto"/>
        </w:rPr>
        <w:t>个工作日内向财政部门提起投诉。</w:t>
      </w:r>
    </w:p>
    <w:p w14:paraId="4967154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投标人投诉的事项不得超出已质疑事项的范围，但基于质疑答复内容提出的投诉事项除外。</w:t>
      </w:r>
    </w:p>
    <w:p w14:paraId="1065D02D">
      <w:pPr>
        <w:pStyle w:val="3"/>
        <w:spacing w:before="0" w:after="0" w:line="360" w:lineRule="auto"/>
        <w:rPr>
          <w:rFonts w:ascii="宋体" w:hAnsi="宋体" w:eastAsia="宋体" w:cs="Times New Roman"/>
          <w:color w:val="auto"/>
          <w:sz w:val="21"/>
          <w:szCs w:val="21"/>
        </w:rPr>
      </w:pPr>
      <w:bookmarkStart w:id="443" w:name="_Toc70424876"/>
      <w:bookmarkStart w:id="444" w:name="_Toc77658092"/>
      <w:bookmarkStart w:id="445" w:name="_Toc107396220"/>
      <w:bookmarkStart w:id="446" w:name="_Toc164432937"/>
      <w:bookmarkStart w:id="447" w:name="_Toc120282448"/>
      <w:bookmarkStart w:id="448" w:name="_Toc9802"/>
      <w:bookmarkStart w:id="449" w:name="_Toc77116692"/>
      <w:bookmarkStart w:id="450" w:name="_Toc77504082"/>
      <w:r>
        <w:rPr>
          <w:rFonts w:ascii="宋体" w:hAnsi="宋体" w:eastAsia="宋体" w:cs="宋体"/>
          <w:color w:val="auto"/>
          <w:sz w:val="21"/>
          <w:szCs w:val="21"/>
        </w:rPr>
        <w:t xml:space="preserve">9. </w:t>
      </w:r>
      <w:r>
        <w:rPr>
          <w:rFonts w:hint="eastAsia" w:ascii="宋体" w:hAnsi="宋体" w:eastAsia="宋体" w:cs="宋体"/>
          <w:color w:val="auto"/>
          <w:sz w:val="21"/>
          <w:szCs w:val="21"/>
        </w:rPr>
        <w:t>纪律要求</w:t>
      </w:r>
      <w:bookmarkEnd w:id="443"/>
      <w:bookmarkEnd w:id="444"/>
      <w:bookmarkEnd w:id="445"/>
      <w:bookmarkEnd w:id="446"/>
      <w:bookmarkEnd w:id="447"/>
      <w:bookmarkEnd w:id="448"/>
      <w:bookmarkEnd w:id="449"/>
      <w:bookmarkEnd w:id="450"/>
    </w:p>
    <w:p w14:paraId="417508AD">
      <w:pPr>
        <w:pStyle w:val="4"/>
        <w:spacing w:before="0" w:after="0" w:line="360" w:lineRule="auto"/>
        <w:rPr>
          <w:rFonts w:ascii="宋体"/>
          <w:color w:val="auto"/>
          <w:sz w:val="21"/>
          <w:szCs w:val="21"/>
        </w:rPr>
      </w:pPr>
      <w:bookmarkStart w:id="451" w:name="_Toc77504083"/>
      <w:bookmarkStart w:id="452" w:name="_Toc164432938"/>
      <w:bookmarkStart w:id="453" w:name="_Toc120282449"/>
      <w:bookmarkStart w:id="454" w:name="_Toc70424877"/>
      <w:bookmarkStart w:id="455" w:name="_Toc107396221"/>
      <w:bookmarkStart w:id="456" w:name="_Toc77116693"/>
      <w:bookmarkStart w:id="457" w:name="_Toc8985"/>
      <w:bookmarkStart w:id="458" w:name="_Toc77658093"/>
      <w:r>
        <w:rPr>
          <w:rFonts w:ascii="宋体" w:hAnsi="宋体" w:cs="宋体"/>
          <w:color w:val="auto"/>
          <w:sz w:val="21"/>
          <w:szCs w:val="21"/>
        </w:rPr>
        <w:t xml:space="preserve">9.1 </w:t>
      </w:r>
      <w:r>
        <w:rPr>
          <w:rFonts w:hint="eastAsia" w:ascii="宋体" w:hAnsi="宋体" w:cs="宋体"/>
          <w:color w:val="auto"/>
          <w:sz w:val="21"/>
          <w:szCs w:val="21"/>
        </w:rPr>
        <w:t>对采购人的纪律要求</w:t>
      </w:r>
      <w:bookmarkEnd w:id="451"/>
      <w:bookmarkEnd w:id="452"/>
      <w:bookmarkEnd w:id="453"/>
      <w:bookmarkEnd w:id="454"/>
      <w:bookmarkEnd w:id="455"/>
      <w:bookmarkEnd w:id="456"/>
      <w:bookmarkEnd w:id="457"/>
      <w:bookmarkEnd w:id="458"/>
    </w:p>
    <w:p w14:paraId="19927672">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采购人不得泄露招标投标活动中应当保密的情况和资料，不得与投标人串通损害国家利益、社会公共利益或者他人合法利益。</w:t>
      </w:r>
    </w:p>
    <w:p w14:paraId="5AE5BB0F">
      <w:pPr>
        <w:pStyle w:val="4"/>
        <w:spacing w:before="0" w:after="0" w:line="360" w:lineRule="auto"/>
        <w:rPr>
          <w:rFonts w:ascii="宋体"/>
          <w:color w:val="auto"/>
          <w:sz w:val="21"/>
          <w:szCs w:val="21"/>
        </w:rPr>
      </w:pPr>
      <w:bookmarkStart w:id="459" w:name="_Toc77116694"/>
      <w:bookmarkStart w:id="460" w:name="_Toc77658094"/>
      <w:bookmarkStart w:id="461" w:name="_Toc70424878"/>
      <w:bookmarkStart w:id="462" w:name="_Toc77504084"/>
      <w:bookmarkStart w:id="463" w:name="_Toc30696"/>
      <w:bookmarkStart w:id="464" w:name="_Toc107396222"/>
      <w:bookmarkStart w:id="465" w:name="_Toc164432939"/>
      <w:bookmarkStart w:id="466" w:name="_Toc120282450"/>
      <w:r>
        <w:rPr>
          <w:rFonts w:ascii="宋体" w:hAnsi="宋体" w:cs="宋体"/>
          <w:color w:val="auto"/>
          <w:sz w:val="21"/>
          <w:szCs w:val="21"/>
        </w:rPr>
        <w:t xml:space="preserve">9.2 </w:t>
      </w:r>
      <w:r>
        <w:rPr>
          <w:rFonts w:hint="eastAsia" w:ascii="宋体" w:hAnsi="宋体" w:cs="宋体"/>
          <w:color w:val="auto"/>
          <w:sz w:val="21"/>
          <w:szCs w:val="21"/>
        </w:rPr>
        <w:t>对投标人的纪律要求</w:t>
      </w:r>
      <w:bookmarkEnd w:id="459"/>
      <w:bookmarkEnd w:id="460"/>
      <w:bookmarkEnd w:id="461"/>
      <w:bookmarkEnd w:id="462"/>
      <w:bookmarkEnd w:id="463"/>
      <w:bookmarkEnd w:id="464"/>
      <w:bookmarkEnd w:id="465"/>
      <w:bookmarkEnd w:id="466"/>
    </w:p>
    <w:p w14:paraId="0709BD3E">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投标人不得相互串通或者与采购人串通，不得向采购人或者评标委员会成员行贿谋取中标，不得以他人名义投标或者以其他方式弄虚作假骗取中标；投标人不得以任何方式干扰、影响评标工作。</w:t>
      </w:r>
    </w:p>
    <w:p w14:paraId="28C53855">
      <w:pPr>
        <w:pStyle w:val="4"/>
        <w:spacing w:before="0" w:after="0" w:line="360" w:lineRule="auto"/>
        <w:rPr>
          <w:rFonts w:ascii="宋体"/>
          <w:color w:val="auto"/>
          <w:sz w:val="21"/>
          <w:szCs w:val="21"/>
        </w:rPr>
      </w:pPr>
      <w:bookmarkStart w:id="467" w:name="_Toc70424879"/>
      <w:bookmarkStart w:id="468" w:name="_Toc107396223"/>
      <w:bookmarkStart w:id="469" w:name="_Toc120282451"/>
      <w:bookmarkStart w:id="470" w:name="_Toc77504085"/>
      <w:bookmarkStart w:id="471" w:name="_Toc164432940"/>
      <w:bookmarkStart w:id="472" w:name="_Toc77116695"/>
      <w:bookmarkStart w:id="473" w:name="_Toc12724"/>
      <w:bookmarkStart w:id="474" w:name="_Toc77658095"/>
      <w:r>
        <w:rPr>
          <w:rFonts w:ascii="宋体" w:hAnsi="宋体" w:cs="宋体"/>
          <w:color w:val="auto"/>
          <w:sz w:val="21"/>
          <w:szCs w:val="21"/>
        </w:rPr>
        <w:t xml:space="preserve">9.3 </w:t>
      </w:r>
      <w:r>
        <w:rPr>
          <w:rFonts w:hint="eastAsia" w:ascii="宋体" w:hAnsi="宋体" w:cs="宋体"/>
          <w:color w:val="auto"/>
          <w:sz w:val="21"/>
          <w:szCs w:val="21"/>
        </w:rPr>
        <w:t>对评标委员会成员的纪律要求</w:t>
      </w:r>
      <w:bookmarkEnd w:id="467"/>
      <w:bookmarkEnd w:id="468"/>
      <w:bookmarkEnd w:id="469"/>
      <w:bookmarkEnd w:id="470"/>
      <w:bookmarkEnd w:id="471"/>
      <w:bookmarkEnd w:id="472"/>
      <w:bookmarkEnd w:id="473"/>
      <w:bookmarkEnd w:id="474"/>
    </w:p>
    <w:p w14:paraId="50AD6F1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339B7C1F">
      <w:pPr>
        <w:pStyle w:val="4"/>
        <w:spacing w:before="0" w:after="0" w:line="360" w:lineRule="auto"/>
        <w:rPr>
          <w:rFonts w:ascii="宋体"/>
          <w:color w:val="auto"/>
          <w:sz w:val="21"/>
          <w:szCs w:val="21"/>
        </w:rPr>
      </w:pPr>
      <w:bookmarkStart w:id="475" w:name="_Toc19931"/>
      <w:bookmarkStart w:id="476" w:name="_Toc107396224"/>
      <w:bookmarkStart w:id="477" w:name="_Toc70424880"/>
      <w:bookmarkStart w:id="478" w:name="_Toc120282452"/>
      <w:bookmarkStart w:id="479" w:name="_Toc77658096"/>
      <w:bookmarkStart w:id="480" w:name="_Toc164432941"/>
      <w:bookmarkStart w:id="481" w:name="_Toc77116696"/>
      <w:bookmarkStart w:id="482" w:name="_Toc77504086"/>
      <w:r>
        <w:rPr>
          <w:rFonts w:ascii="宋体" w:hAnsi="宋体" w:cs="宋体"/>
          <w:color w:val="auto"/>
          <w:sz w:val="21"/>
          <w:szCs w:val="21"/>
        </w:rPr>
        <w:t xml:space="preserve">9.4 </w:t>
      </w:r>
      <w:r>
        <w:rPr>
          <w:rFonts w:hint="eastAsia" w:ascii="宋体" w:hAnsi="宋体" w:cs="宋体"/>
          <w:color w:val="auto"/>
          <w:sz w:val="21"/>
          <w:szCs w:val="21"/>
        </w:rPr>
        <w:t>对与评标活动有关的工作人员的纪律要求</w:t>
      </w:r>
      <w:bookmarkEnd w:id="475"/>
      <w:bookmarkEnd w:id="476"/>
      <w:bookmarkEnd w:id="477"/>
      <w:bookmarkEnd w:id="478"/>
      <w:bookmarkEnd w:id="479"/>
      <w:bookmarkEnd w:id="480"/>
      <w:bookmarkEnd w:id="481"/>
      <w:bookmarkEnd w:id="482"/>
    </w:p>
    <w:p w14:paraId="7A4A6435">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47839A9">
      <w:pPr>
        <w:pStyle w:val="3"/>
        <w:spacing w:before="0" w:after="0" w:line="360" w:lineRule="auto"/>
        <w:rPr>
          <w:rFonts w:ascii="宋体" w:hAnsi="宋体" w:eastAsia="宋体" w:cs="Times New Roman"/>
          <w:color w:val="auto"/>
          <w:sz w:val="21"/>
          <w:szCs w:val="21"/>
        </w:rPr>
      </w:pPr>
      <w:bookmarkStart w:id="483" w:name="_Toc70424881"/>
      <w:bookmarkStart w:id="484" w:name="_Toc77116697"/>
      <w:bookmarkStart w:id="485" w:name="_Toc1588"/>
      <w:bookmarkStart w:id="486" w:name="_Toc107396225"/>
      <w:bookmarkStart w:id="487" w:name="_Toc164432942"/>
      <w:bookmarkStart w:id="488" w:name="_Toc77504087"/>
      <w:bookmarkStart w:id="489" w:name="_Toc120282453"/>
      <w:bookmarkStart w:id="490" w:name="_Toc77658097"/>
      <w:r>
        <w:rPr>
          <w:rFonts w:ascii="宋体" w:hAnsi="宋体" w:eastAsia="宋体" w:cs="宋体"/>
          <w:color w:val="auto"/>
          <w:sz w:val="21"/>
          <w:szCs w:val="21"/>
        </w:rPr>
        <w:t xml:space="preserve">10. </w:t>
      </w:r>
      <w:r>
        <w:rPr>
          <w:rFonts w:hint="eastAsia" w:ascii="宋体" w:hAnsi="宋体" w:eastAsia="宋体" w:cs="宋体"/>
          <w:color w:val="auto"/>
          <w:sz w:val="21"/>
          <w:szCs w:val="21"/>
        </w:rPr>
        <w:t>需要补充的其他内容</w:t>
      </w:r>
      <w:bookmarkEnd w:id="483"/>
      <w:bookmarkEnd w:id="484"/>
      <w:bookmarkEnd w:id="485"/>
      <w:bookmarkEnd w:id="486"/>
      <w:bookmarkEnd w:id="487"/>
      <w:bookmarkEnd w:id="488"/>
      <w:bookmarkEnd w:id="489"/>
      <w:bookmarkEnd w:id="490"/>
    </w:p>
    <w:p w14:paraId="519DE073">
      <w:pPr>
        <w:pStyle w:val="4"/>
        <w:spacing w:before="0" w:after="0" w:line="360" w:lineRule="auto"/>
        <w:rPr>
          <w:rFonts w:ascii="宋体"/>
          <w:color w:val="auto"/>
          <w:sz w:val="21"/>
          <w:szCs w:val="21"/>
        </w:rPr>
      </w:pPr>
      <w:bookmarkStart w:id="491" w:name="_Toc14960"/>
      <w:bookmarkStart w:id="492" w:name="_Toc120282454"/>
      <w:bookmarkStart w:id="493" w:name="_Toc70424882"/>
      <w:bookmarkStart w:id="494" w:name="_Toc77658098"/>
      <w:bookmarkStart w:id="495" w:name="_Toc77116698"/>
      <w:bookmarkStart w:id="496" w:name="_Toc164432943"/>
      <w:bookmarkStart w:id="497" w:name="_Toc77504088"/>
      <w:bookmarkStart w:id="498" w:name="_Toc107396226"/>
      <w:r>
        <w:rPr>
          <w:rFonts w:ascii="宋体" w:hAnsi="宋体" w:cs="宋体"/>
          <w:color w:val="auto"/>
          <w:sz w:val="21"/>
          <w:szCs w:val="21"/>
        </w:rPr>
        <w:t xml:space="preserve">10.1 </w:t>
      </w:r>
      <w:r>
        <w:rPr>
          <w:rFonts w:hint="eastAsia" w:ascii="宋体" w:hAnsi="宋体" w:cs="宋体"/>
          <w:color w:val="auto"/>
          <w:sz w:val="21"/>
          <w:szCs w:val="21"/>
        </w:rPr>
        <w:t>采购代理服务费</w:t>
      </w:r>
      <w:bookmarkEnd w:id="491"/>
      <w:bookmarkEnd w:id="492"/>
      <w:bookmarkEnd w:id="493"/>
      <w:bookmarkEnd w:id="494"/>
      <w:bookmarkEnd w:id="495"/>
      <w:bookmarkEnd w:id="496"/>
      <w:bookmarkEnd w:id="497"/>
      <w:bookmarkEnd w:id="498"/>
    </w:p>
    <w:p w14:paraId="74E3FCF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投标人须知前附表规定由</w:t>
      </w:r>
      <w:r>
        <w:rPr>
          <w:rFonts w:hint="eastAsia" w:ascii="宋体" w:hAnsi="宋体" w:eastAsia="宋体" w:cs="宋体"/>
          <w:color w:val="auto"/>
          <w:lang w:val="en-US" w:eastAsia="zh-CN"/>
        </w:rPr>
        <w:t>中标人</w:t>
      </w:r>
      <w:r>
        <w:rPr>
          <w:rFonts w:hint="eastAsia" w:ascii="宋体" w:hAnsi="宋体" w:eastAsia="宋体" w:cs="宋体"/>
          <w:color w:val="auto"/>
        </w:rPr>
        <w:t>承担采购代理服务费的，</w:t>
      </w:r>
      <w:r>
        <w:rPr>
          <w:rFonts w:hint="eastAsia" w:ascii="宋体" w:hAnsi="宋体" w:eastAsia="宋体" w:cs="宋体"/>
          <w:color w:val="auto"/>
          <w:lang w:val="en-US" w:eastAsia="zh-CN"/>
        </w:rPr>
        <w:t>中标人</w:t>
      </w:r>
      <w:r>
        <w:rPr>
          <w:rFonts w:hint="eastAsia" w:ascii="宋体" w:hAnsi="宋体" w:eastAsia="宋体" w:cs="宋体"/>
          <w:color w:val="auto"/>
        </w:rPr>
        <w:t>应按照投标人须知前附表规定的费用标准或金额、交费时间和方式向采购代理机构支付代理服务费。</w:t>
      </w:r>
    </w:p>
    <w:p w14:paraId="78F00180">
      <w:pPr>
        <w:pStyle w:val="4"/>
        <w:spacing w:before="0" w:after="0" w:line="360" w:lineRule="auto"/>
        <w:rPr>
          <w:rFonts w:ascii="宋体"/>
          <w:color w:val="auto"/>
          <w:sz w:val="21"/>
          <w:szCs w:val="21"/>
        </w:rPr>
      </w:pPr>
      <w:bookmarkStart w:id="499" w:name="_Toc120282455"/>
      <w:bookmarkStart w:id="500" w:name="_Toc15058"/>
      <w:bookmarkStart w:id="501" w:name="_Toc107396227"/>
      <w:bookmarkStart w:id="502" w:name="_Toc77116699"/>
      <w:bookmarkStart w:id="503" w:name="_Toc164432944"/>
      <w:bookmarkStart w:id="504" w:name="_Toc77504089"/>
      <w:bookmarkStart w:id="505" w:name="_Toc77658099"/>
      <w:bookmarkStart w:id="506" w:name="_Toc70424883"/>
      <w:r>
        <w:rPr>
          <w:rFonts w:ascii="宋体" w:hAnsi="宋体" w:cs="宋体"/>
          <w:color w:val="auto"/>
          <w:sz w:val="21"/>
          <w:szCs w:val="21"/>
        </w:rPr>
        <w:t xml:space="preserve">10.2 </w:t>
      </w:r>
      <w:r>
        <w:rPr>
          <w:rFonts w:hint="eastAsia" w:ascii="宋体" w:hAnsi="宋体" w:cs="宋体"/>
          <w:color w:val="auto"/>
          <w:sz w:val="21"/>
          <w:szCs w:val="21"/>
        </w:rPr>
        <w:t>其他</w:t>
      </w:r>
      <w:bookmarkEnd w:id="499"/>
      <w:bookmarkEnd w:id="500"/>
      <w:bookmarkEnd w:id="501"/>
      <w:bookmarkEnd w:id="502"/>
      <w:bookmarkEnd w:id="503"/>
      <w:bookmarkEnd w:id="504"/>
      <w:bookmarkEnd w:id="505"/>
      <w:bookmarkEnd w:id="506"/>
    </w:p>
    <w:p w14:paraId="606E5D1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需要补充的其他内容：见投标人须知前附表。</w:t>
      </w:r>
    </w:p>
    <w:p w14:paraId="2F5CF432">
      <w:pPr>
        <w:spacing w:line="360" w:lineRule="auto"/>
        <w:rPr>
          <w:rFonts w:ascii="宋体" w:hAnsi="宋体" w:eastAsia="宋体" w:cs="Times New Roman"/>
          <w:color w:val="auto"/>
        </w:rPr>
      </w:pPr>
    </w:p>
    <w:p w14:paraId="45EDA6B3">
      <w:pPr>
        <w:pStyle w:val="2"/>
        <w:spacing w:before="0" w:after="0" w:line="360" w:lineRule="auto"/>
        <w:jc w:val="center"/>
        <w:rPr>
          <w:rFonts w:ascii="宋体" w:hAnsi="宋体" w:cs="宋体"/>
          <w:color w:val="auto"/>
          <w:sz w:val="36"/>
          <w:szCs w:val="36"/>
        </w:rPr>
      </w:pPr>
      <w:r>
        <w:rPr>
          <w:rFonts w:ascii="宋体" w:hAnsi="宋体"/>
          <w:color w:val="auto"/>
        </w:rPr>
        <w:br w:type="page"/>
      </w:r>
      <w:bookmarkStart w:id="507" w:name="_Toc164432945"/>
      <w:r>
        <w:rPr>
          <w:rFonts w:hint="eastAsia" w:ascii="宋体" w:hAnsi="宋体" w:cs="宋体"/>
          <w:color w:val="auto"/>
          <w:sz w:val="36"/>
          <w:szCs w:val="36"/>
        </w:rPr>
        <w:t>第三章</w:t>
      </w:r>
      <w:r>
        <w:rPr>
          <w:rFonts w:ascii="宋体" w:hAnsi="宋体" w:cs="宋体"/>
          <w:color w:val="auto"/>
          <w:sz w:val="36"/>
          <w:szCs w:val="36"/>
        </w:rPr>
        <w:t xml:space="preserve"> </w:t>
      </w:r>
      <w:r>
        <w:rPr>
          <w:rFonts w:hint="eastAsia" w:ascii="宋体" w:hAnsi="宋体" w:cs="宋体"/>
          <w:color w:val="auto"/>
          <w:sz w:val="36"/>
          <w:szCs w:val="36"/>
        </w:rPr>
        <w:t>评标办法</w:t>
      </w:r>
      <w:bookmarkEnd w:id="507"/>
    </w:p>
    <w:p w14:paraId="4FB9324F">
      <w:pPr>
        <w:pStyle w:val="3"/>
        <w:spacing w:before="0" w:after="0" w:line="360" w:lineRule="auto"/>
        <w:jc w:val="center"/>
        <w:rPr>
          <w:rFonts w:ascii="宋体" w:hAnsi="宋体" w:eastAsia="宋体" w:cs="Times New Roman"/>
          <w:color w:val="auto"/>
          <w:sz w:val="28"/>
          <w:szCs w:val="28"/>
        </w:rPr>
      </w:pPr>
      <w:bookmarkStart w:id="508" w:name="_Toc164432946"/>
      <w:r>
        <w:rPr>
          <w:rFonts w:hint="eastAsia" w:ascii="宋体" w:hAnsi="宋体" w:eastAsia="宋体" w:cs="宋体"/>
          <w:color w:val="auto"/>
          <w:sz w:val="28"/>
          <w:szCs w:val="28"/>
        </w:rPr>
        <w:t>评标办法前附表</w:t>
      </w:r>
      <w:bookmarkEnd w:id="508"/>
    </w:p>
    <w:p w14:paraId="1B7531FF">
      <w:pPr>
        <w:pStyle w:val="3"/>
        <w:spacing w:before="0" w:after="0" w:line="360" w:lineRule="auto"/>
        <w:jc w:val="center"/>
        <w:rPr>
          <w:rFonts w:ascii="宋体" w:hAnsi="宋体" w:eastAsia="宋体" w:cs="宋体"/>
          <w:color w:val="auto"/>
          <w:sz w:val="22"/>
          <w:szCs w:val="22"/>
        </w:rPr>
      </w:pPr>
      <w:r>
        <w:rPr>
          <w:rFonts w:hint="eastAsia" w:ascii="宋体" w:hAnsi="宋体" w:eastAsia="宋体" w:cs="宋体"/>
          <w:color w:val="auto"/>
          <w:sz w:val="22"/>
          <w:szCs w:val="22"/>
        </w:rPr>
        <w:t>资格审查部分</w:t>
      </w:r>
    </w:p>
    <w:p w14:paraId="61A82F0D">
      <w:pPr>
        <w:pStyle w:val="18"/>
        <w:widowControl/>
        <w:spacing w:line="560" w:lineRule="exact"/>
        <w:ind w:left="0" w:leftChars="0" w:firstLine="420" w:firstLineChars="200"/>
        <w:jc w:val="left"/>
        <w:rPr>
          <w:rFonts w:ascii="宋体" w:hAnsi="宋体"/>
          <w:color w:val="auto"/>
        </w:rPr>
      </w:pPr>
      <w:r>
        <w:rPr>
          <w:rFonts w:hint="eastAsia" w:ascii="宋体" w:hAnsi="宋体"/>
          <w:color w:val="auto"/>
        </w:rPr>
        <w:t>投标文件出现不满足下列各项评审内容及标准要求之一的，则资格评审为不合格。合格投标人不足</w:t>
      </w:r>
      <w:r>
        <w:rPr>
          <w:rFonts w:ascii="宋体" w:hAnsi="宋体"/>
          <w:color w:val="auto"/>
        </w:rPr>
        <w:t>3家的，不得评标。下列各项评审内容及标准均为招标文件的实质性要求，投标文件响应各款所列材料在开标后不得澄清、后补。</w:t>
      </w:r>
    </w:p>
    <w:tbl>
      <w:tblPr>
        <w:tblStyle w:val="39"/>
        <w:tblW w:w="5000" w:type="pct"/>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72"/>
        <w:gridCol w:w="1144"/>
        <w:gridCol w:w="2558"/>
        <w:gridCol w:w="5288"/>
      </w:tblGrid>
      <w:tr w14:paraId="73C850D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1062" w:type="pct"/>
            <w:gridSpan w:val="2"/>
            <w:vAlign w:val="center"/>
          </w:tcPr>
          <w:p w14:paraId="645FF597">
            <w:pPr>
              <w:pStyle w:val="18"/>
              <w:spacing w:line="400" w:lineRule="exact"/>
              <w:ind w:left="0" w:leftChars="0"/>
              <w:jc w:val="center"/>
              <w:rPr>
                <w:rFonts w:ascii="宋体" w:hAnsi="宋体"/>
                <w:b/>
                <w:bCs/>
                <w:color w:val="auto"/>
              </w:rPr>
            </w:pPr>
            <w:r>
              <w:rPr>
                <w:rFonts w:hint="eastAsia" w:ascii="宋体" w:hAnsi="宋体"/>
                <w:b/>
                <w:bCs/>
                <w:color w:val="auto"/>
              </w:rPr>
              <w:t>条款号</w:t>
            </w:r>
          </w:p>
        </w:tc>
        <w:tc>
          <w:tcPr>
            <w:tcW w:w="1284" w:type="pct"/>
            <w:vAlign w:val="center"/>
          </w:tcPr>
          <w:p w14:paraId="44C50BAC">
            <w:pPr>
              <w:pStyle w:val="18"/>
              <w:spacing w:line="400" w:lineRule="exact"/>
              <w:ind w:left="0" w:leftChars="0"/>
              <w:jc w:val="center"/>
              <w:rPr>
                <w:rFonts w:ascii="宋体" w:hAnsi="宋体"/>
                <w:b/>
                <w:bCs/>
                <w:color w:val="auto"/>
              </w:rPr>
            </w:pPr>
            <w:r>
              <w:rPr>
                <w:rFonts w:hint="eastAsia" w:ascii="宋体" w:hAnsi="宋体"/>
                <w:b/>
                <w:bCs/>
                <w:color w:val="auto"/>
              </w:rPr>
              <w:t>评审因素</w:t>
            </w:r>
          </w:p>
        </w:tc>
        <w:tc>
          <w:tcPr>
            <w:tcW w:w="2654" w:type="pct"/>
            <w:vAlign w:val="center"/>
          </w:tcPr>
          <w:p w14:paraId="6E9751FD">
            <w:pPr>
              <w:pStyle w:val="18"/>
              <w:spacing w:line="400" w:lineRule="exact"/>
              <w:ind w:left="0" w:leftChars="0"/>
              <w:jc w:val="center"/>
              <w:rPr>
                <w:rFonts w:ascii="宋体" w:hAnsi="宋体"/>
                <w:b/>
                <w:bCs/>
                <w:color w:val="auto"/>
              </w:rPr>
            </w:pPr>
            <w:r>
              <w:rPr>
                <w:rFonts w:hint="eastAsia" w:ascii="宋体" w:hAnsi="宋体"/>
                <w:b/>
                <w:bCs/>
                <w:color w:val="auto"/>
              </w:rPr>
              <w:t>评审标准</w:t>
            </w:r>
          </w:p>
        </w:tc>
      </w:tr>
      <w:tr w14:paraId="639D137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Align w:val="center"/>
          </w:tcPr>
          <w:p w14:paraId="35F31381">
            <w:pPr>
              <w:spacing w:before="124" w:beforeLines="40" w:line="360" w:lineRule="auto"/>
              <w:jc w:val="center"/>
              <w:rPr>
                <w:rFonts w:ascii="宋体" w:hAnsi="宋体" w:eastAsia="宋体"/>
                <w:b/>
                <w:bCs/>
                <w:color w:val="auto"/>
              </w:rPr>
            </w:pPr>
            <w:r>
              <w:rPr>
                <w:rFonts w:hint="eastAsia" w:ascii="宋体" w:hAnsi="宋体" w:eastAsia="宋体"/>
                <w:b/>
                <w:bCs/>
                <w:color w:val="auto"/>
              </w:rPr>
              <w:t>1</w:t>
            </w:r>
          </w:p>
        </w:tc>
        <w:tc>
          <w:tcPr>
            <w:tcW w:w="574" w:type="pct"/>
            <w:vAlign w:val="center"/>
          </w:tcPr>
          <w:p w14:paraId="54C2B416">
            <w:pPr>
              <w:wordWrap w:val="0"/>
              <w:spacing w:before="124" w:beforeLines="40" w:line="360" w:lineRule="auto"/>
              <w:jc w:val="center"/>
              <w:rPr>
                <w:rFonts w:ascii="宋体" w:hAnsi="宋体" w:eastAsia="宋体"/>
                <w:b/>
                <w:bCs/>
                <w:color w:val="auto"/>
              </w:rPr>
            </w:pPr>
            <w:r>
              <w:rPr>
                <w:rFonts w:hint="eastAsia" w:ascii="宋体" w:hAnsi="宋体" w:eastAsia="宋体"/>
                <w:b/>
                <w:bCs/>
                <w:color w:val="auto"/>
              </w:rPr>
              <w:t>评审方法</w:t>
            </w:r>
          </w:p>
        </w:tc>
        <w:tc>
          <w:tcPr>
            <w:tcW w:w="1284" w:type="pct"/>
            <w:vAlign w:val="center"/>
          </w:tcPr>
          <w:p w14:paraId="1D7E8791">
            <w:pPr>
              <w:spacing w:before="124" w:beforeLines="40" w:line="360" w:lineRule="auto"/>
              <w:jc w:val="center"/>
              <w:rPr>
                <w:rFonts w:ascii="宋体" w:hAnsi="宋体" w:eastAsia="宋体"/>
                <w:b/>
                <w:bCs/>
                <w:color w:val="auto"/>
              </w:rPr>
            </w:pPr>
            <w:r>
              <w:rPr>
                <w:rFonts w:hint="eastAsia" w:ascii="宋体" w:hAnsi="宋体" w:eastAsia="宋体"/>
                <w:b/>
                <w:bCs/>
                <w:color w:val="auto"/>
              </w:rPr>
              <w:t>评审内容</w:t>
            </w:r>
          </w:p>
        </w:tc>
        <w:tc>
          <w:tcPr>
            <w:tcW w:w="2654" w:type="pct"/>
            <w:vAlign w:val="center"/>
          </w:tcPr>
          <w:p w14:paraId="30303499">
            <w:pPr>
              <w:spacing w:before="124" w:beforeLines="40" w:line="360" w:lineRule="auto"/>
              <w:jc w:val="center"/>
              <w:rPr>
                <w:rFonts w:ascii="宋体" w:hAnsi="宋体" w:eastAsia="宋体" w:cs="宋体"/>
                <w:b/>
                <w:bCs/>
                <w:color w:val="auto"/>
              </w:rPr>
            </w:pPr>
            <w:r>
              <w:rPr>
                <w:rFonts w:hint="eastAsia" w:ascii="宋体" w:hAnsi="宋体" w:eastAsia="宋体"/>
                <w:b/>
                <w:bCs/>
                <w:color w:val="auto"/>
              </w:rPr>
              <w:t>综合评分法</w:t>
            </w:r>
          </w:p>
        </w:tc>
      </w:tr>
      <w:tr w14:paraId="067C2BE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restart"/>
            <w:vAlign w:val="center"/>
          </w:tcPr>
          <w:p w14:paraId="594CAB60">
            <w:pPr>
              <w:spacing w:before="124" w:beforeLines="40" w:line="360" w:lineRule="auto"/>
              <w:jc w:val="left"/>
              <w:rPr>
                <w:rFonts w:ascii="宋体" w:hAnsi="宋体" w:eastAsia="宋体"/>
                <w:color w:val="auto"/>
              </w:rPr>
            </w:pPr>
            <w:r>
              <w:rPr>
                <w:rFonts w:hint="eastAsia" w:ascii="宋体" w:hAnsi="宋体" w:eastAsia="宋体"/>
                <w:color w:val="auto"/>
              </w:rPr>
              <w:t>2.1.1</w:t>
            </w:r>
          </w:p>
        </w:tc>
        <w:tc>
          <w:tcPr>
            <w:tcW w:w="574" w:type="pct"/>
            <w:vMerge w:val="restart"/>
            <w:vAlign w:val="center"/>
          </w:tcPr>
          <w:p w14:paraId="23CA378C">
            <w:pPr>
              <w:wordWrap w:val="0"/>
              <w:spacing w:before="124" w:beforeLines="40" w:line="360" w:lineRule="auto"/>
              <w:jc w:val="center"/>
              <w:rPr>
                <w:rFonts w:ascii="宋体" w:hAnsi="宋体" w:eastAsia="宋体"/>
                <w:color w:val="auto"/>
              </w:rPr>
            </w:pPr>
            <w:r>
              <w:rPr>
                <w:rFonts w:hint="eastAsia" w:ascii="宋体" w:hAnsi="宋体" w:eastAsia="宋体"/>
                <w:color w:val="auto"/>
              </w:rPr>
              <w:t>资格审查标准</w:t>
            </w:r>
          </w:p>
        </w:tc>
        <w:tc>
          <w:tcPr>
            <w:tcW w:w="1284" w:type="pct"/>
            <w:vAlign w:val="center"/>
          </w:tcPr>
          <w:p w14:paraId="1F8FFD4C">
            <w:pPr>
              <w:wordWrap w:val="0"/>
              <w:spacing w:before="124" w:beforeLines="40" w:line="360" w:lineRule="auto"/>
              <w:jc w:val="left"/>
              <w:rPr>
                <w:rFonts w:ascii="宋体" w:hAnsi="宋体" w:eastAsia="宋体"/>
                <w:color w:val="auto"/>
              </w:rPr>
            </w:pPr>
            <w:r>
              <w:rPr>
                <w:rFonts w:hint="eastAsia" w:ascii="宋体" w:hAnsi="宋体" w:eastAsia="宋体"/>
                <w:color w:val="auto"/>
              </w:rPr>
              <w:t>满足《中华人民共和国政府采购法》第二十二条规定</w:t>
            </w:r>
          </w:p>
        </w:tc>
        <w:tc>
          <w:tcPr>
            <w:tcW w:w="2654" w:type="pct"/>
            <w:vAlign w:val="center"/>
          </w:tcPr>
          <w:p w14:paraId="1CB04664">
            <w:pPr>
              <w:adjustRightInd w:val="0"/>
              <w:spacing w:line="360" w:lineRule="auto"/>
              <w:rPr>
                <w:rFonts w:ascii="宋体" w:hAnsi="宋体" w:eastAsia="宋体" w:cs="宋体"/>
                <w:color w:val="auto"/>
              </w:rPr>
            </w:pPr>
            <w:r>
              <w:rPr>
                <w:rFonts w:hint="eastAsia" w:ascii="宋体" w:hAnsi="宋体" w:eastAsia="宋体" w:cs="宋体"/>
                <w:color w:val="auto"/>
              </w:rPr>
              <w:t>1.1具有独立承担民事责任的能力。提供法人或者其他组织的营业执照等证明文件。</w:t>
            </w:r>
          </w:p>
          <w:p w14:paraId="6F2E5315">
            <w:pPr>
              <w:adjustRightInd w:val="0"/>
              <w:spacing w:line="360" w:lineRule="auto"/>
              <w:rPr>
                <w:rFonts w:ascii="宋体" w:hAnsi="宋体" w:eastAsia="宋体" w:cs="宋体"/>
                <w:color w:val="auto"/>
              </w:rPr>
            </w:pPr>
            <w:r>
              <w:rPr>
                <w:rFonts w:hint="eastAsia" w:ascii="宋体" w:hAnsi="宋体" w:eastAsia="宋体" w:cs="宋体"/>
                <w:color w:val="auto"/>
              </w:rPr>
              <w:t>1.2具有良好的商业信誉和健全的财务会计制度。供应商须提供2022年或2023年经审计的财务报告（包括资产负债表、利润表、现金流量表、所有者权益变动表及其附注），新成立不满1年的供应商提供自成立至今的财务报表；</w:t>
            </w:r>
          </w:p>
          <w:p w14:paraId="0598E838">
            <w:pPr>
              <w:adjustRightInd w:val="0"/>
              <w:spacing w:line="360" w:lineRule="auto"/>
              <w:rPr>
                <w:rFonts w:ascii="宋体" w:hAnsi="宋体" w:eastAsia="宋体" w:cs="宋体"/>
                <w:color w:val="auto"/>
              </w:rPr>
            </w:pPr>
            <w:r>
              <w:rPr>
                <w:rFonts w:hint="eastAsia" w:ascii="宋体" w:hAnsi="宋体" w:eastAsia="宋体" w:cs="宋体"/>
                <w:color w:val="auto"/>
              </w:rPr>
              <w:t>1.3具有履行合同所必需的设备和专业技术能力。提供具备履行合同所必需的设备和专业技术能力的证明材料。</w:t>
            </w:r>
          </w:p>
          <w:p w14:paraId="4D6BDA51">
            <w:pPr>
              <w:adjustRightInd w:val="0"/>
              <w:spacing w:line="360" w:lineRule="auto"/>
              <w:rPr>
                <w:rFonts w:ascii="宋体" w:hAnsi="宋体" w:eastAsia="宋体" w:cs="宋体"/>
                <w:color w:val="auto"/>
              </w:rPr>
            </w:pPr>
            <w:r>
              <w:rPr>
                <w:rFonts w:hint="eastAsia" w:ascii="宋体" w:hAnsi="宋体" w:eastAsia="宋体" w:cs="宋体"/>
                <w:color w:val="auto"/>
              </w:rPr>
              <w:t>1.4有依法缴纳税收和社会保障资金的良好记录。提供2023年6月至今任意3个月依法缴纳税收和缴纳社会保障资金的证明（成立未满3个月的提供成立以来的税收和社会保障资金缴纳凭据；依法免税或不需要缴纳社会保障资金的供应商，应提供相应文件证明其依法免税或不需要缴纳社会保障资金）。</w:t>
            </w:r>
          </w:p>
          <w:p w14:paraId="7651071D">
            <w:pPr>
              <w:adjustRightInd w:val="0"/>
              <w:spacing w:line="360" w:lineRule="auto"/>
              <w:rPr>
                <w:rFonts w:ascii="宋体" w:hAnsi="宋体" w:eastAsia="宋体" w:cs="宋体"/>
                <w:color w:val="auto"/>
              </w:rPr>
            </w:pPr>
            <w:r>
              <w:rPr>
                <w:rFonts w:hint="eastAsia" w:ascii="宋体" w:hAnsi="宋体" w:eastAsia="宋体" w:cs="宋体"/>
                <w:color w:val="auto"/>
              </w:rPr>
              <w:t>1.5参加政府采购活动前三年内，在经营活动中没有重大违法记录。提供参加政府采购活动前三年内在经营活动中没有重大违法记录的书面声明。</w:t>
            </w:r>
          </w:p>
          <w:p w14:paraId="084912FC">
            <w:pPr>
              <w:adjustRightInd w:val="0"/>
              <w:spacing w:line="360" w:lineRule="auto"/>
              <w:rPr>
                <w:rFonts w:ascii="宋体" w:hAnsi="宋体" w:eastAsia="宋体" w:cs="宋体"/>
                <w:color w:val="auto"/>
              </w:rPr>
            </w:pPr>
            <w:r>
              <w:rPr>
                <w:rFonts w:hint="eastAsia" w:ascii="宋体" w:hAnsi="宋体" w:eastAsia="宋体" w:cs="宋体"/>
                <w:color w:val="auto"/>
              </w:rPr>
              <w:t>1.6法律、行政法规规定的其他条件。</w:t>
            </w:r>
          </w:p>
        </w:tc>
      </w:tr>
      <w:tr w14:paraId="2D00EF2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46EE94C0">
            <w:pPr>
              <w:wordWrap w:val="0"/>
              <w:spacing w:before="124" w:beforeLines="40" w:line="360" w:lineRule="auto"/>
              <w:jc w:val="left"/>
              <w:rPr>
                <w:rFonts w:ascii="宋体" w:hAnsi="宋体" w:eastAsia="宋体"/>
                <w:color w:val="auto"/>
              </w:rPr>
            </w:pPr>
          </w:p>
        </w:tc>
        <w:tc>
          <w:tcPr>
            <w:tcW w:w="574" w:type="pct"/>
            <w:vMerge w:val="continue"/>
          </w:tcPr>
          <w:p w14:paraId="5FE80314">
            <w:pPr>
              <w:wordWrap w:val="0"/>
              <w:spacing w:before="124" w:beforeLines="40" w:line="360" w:lineRule="auto"/>
              <w:jc w:val="left"/>
              <w:rPr>
                <w:rFonts w:ascii="宋体" w:hAnsi="宋体" w:eastAsia="宋体"/>
                <w:color w:val="auto"/>
              </w:rPr>
            </w:pPr>
          </w:p>
        </w:tc>
        <w:tc>
          <w:tcPr>
            <w:tcW w:w="1284" w:type="pct"/>
            <w:vAlign w:val="center"/>
          </w:tcPr>
          <w:p w14:paraId="0E496932">
            <w:pPr>
              <w:wordWrap w:val="0"/>
              <w:spacing w:before="124" w:beforeLines="40" w:line="360" w:lineRule="auto"/>
              <w:jc w:val="left"/>
              <w:rPr>
                <w:rFonts w:ascii="宋体" w:hAnsi="宋体" w:eastAsia="宋体"/>
                <w:color w:val="auto"/>
              </w:rPr>
            </w:pPr>
            <w:r>
              <w:rPr>
                <w:rFonts w:hint="eastAsia" w:ascii="宋体" w:hAnsi="宋体" w:eastAsia="宋体"/>
                <w:color w:val="auto"/>
              </w:rPr>
              <w:t>落实政府采购政策需满足的资格要求</w:t>
            </w:r>
          </w:p>
        </w:tc>
        <w:tc>
          <w:tcPr>
            <w:tcW w:w="2654" w:type="pct"/>
            <w:vAlign w:val="center"/>
          </w:tcPr>
          <w:p w14:paraId="7CB8173D">
            <w:pPr>
              <w:wordWrap w:val="0"/>
              <w:spacing w:before="124" w:beforeLines="40" w:line="360" w:lineRule="auto"/>
              <w:jc w:val="left"/>
              <w:rPr>
                <w:rFonts w:ascii="宋体" w:hAnsi="宋体" w:eastAsia="宋体"/>
                <w:color w:val="auto"/>
              </w:rPr>
            </w:pPr>
            <w:r>
              <w:rPr>
                <w:rFonts w:hint="eastAsia" w:ascii="宋体" w:hAnsi="宋体" w:eastAsia="宋体"/>
                <w:color w:val="auto"/>
              </w:rPr>
              <w:t>无，本项目非专门面向中小企业采购。供应商</w:t>
            </w:r>
            <w:r>
              <w:rPr>
                <w:rFonts w:hint="eastAsia" w:ascii="宋体" w:hAnsi="宋体" w:eastAsia="宋体"/>
                <w:color w:val="auto"/>
                <w:lang w:val="en-US" w:eastAsia="zh-CN"/>
              </w:rPr>
              <w:t>若</w:t>
            </w:r>
            <w:r>
              <w:rPr>
                <w:rFonts w:hint="eastAsia" w:ascii="宋体" w:hAnsi="宋体" w:eastAsia="宋体"/>
                <w:color w:val="auto"/>
              </w:rPr>
              <w:t>为中小微企业或监狱企业或残疾人福利性单位。需按要求提供《中小企业声明函》、残疾人福利性单位声明函、监狱企业证明文件，残疾人福利性单位、监狱企业视同小型或微型企业。</w:t>
            </w:r>
          </w:p>
        </w:tc>
      </w:tr>
      <w:tr w14:paraId="62F27B6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06B676A4">
            <w:pPr>
              <w:wordWrap w:val="0"/>
              <w:spacing w:before="124" w:beforeLines="40" w:line="360" w:lineRule="auto"/>
              <w:jc w:val="left"/>
              <w:rPr>
                <w:rFonts w:ascii="宋体" w:hAnsi="宋体" w:eastAsia="宋体"/>
                <w:color w:val="auto"/>
              </w:rPr>
            </w:pPr>
          </w:p>
        </w:tc>
        <w:tc>
          <w:tcPr>
            <w:tcW w:w="574" w:type="pct"/>
            <w:vMerge w:val="continue"/>
          </w:tcPr>
          <w:p w14:paraId="0C01FCF2">
            <w:pPr>
              <w:wordWrap w:val="0"/>
              <w:spacing w:before="124" w:beforeLines="40" w:line="360" w:lineRule="auto"/>
              <w:jc w:val="left"/>
              <w:rPr>
                <w:rFonts w:ascii="宋体" w:hAnsi="宋体" w:eastAsia="宋体"/>
                <w:color w:val="auto"/>
              </w:rPr>
            </w:pPr>
          </w:p>
        </w:tc>
        <w:tc>
          <w:tcPr>
            <w:tcW w:w="1284" w:type="pct"/>
            <w:vAlign w:val="center"/>
          </w:tcPr>
          <w:p w14:paraId="5B4C3C72">
            <w:pPr>
              <w:wordWrap w:val="0"/>
              <w:spacing w:before="124" w:beforeLines="40" w:line="360" w:lineRule="auto"/>
              <w:jc w:val="left"/>
              <w:rPr>
                <w:rFonts w:ascii="宋体" w:hAnsi="宋体" w:eastAsia="宋体" w:cs="宋体"/>
                <w:color w:val="auto"/>
              </w:rPr>
            </w:pPr>
            <w:r>
              <w:rPr>
                <w:rFonts w:hint="eastAsia" w:ascii="宋体" w:hAnsi="宋体" w:eastAsia="宋体" w:cs="宋体"/>
                <w:color w:val="auto"/>
              </w:rPr>
              <w:t>本项目的特定资格要求</w:t>
            </w:r>
          </w:p>
        </w:tc>
        <w:tc>
          <w:tcPr>
            <w:tcW w:w="2654" w:type="pct"/>
            <w:vAlign w:val="center"/>
          </w:tcPr>
          <w:p w14:paraId="654B07BD">
            <w:pPr>
              <w:wordWrap w:val="0"/>
              <w:spacing w:before="124" w:beforeLines="40" w:line="360" w:lineRule="auto"/>
              <w:jc w:val="left"/>
              <w:rPr>
                <w:rFonts w:ascii="宋体" w:hAnsi="宋体" w:eastAsia="宋体" w:cs="宋体"/>
                <w:color w:val="auto"/>
              </w:rPr>
            </w:pPr>
            <w:r>
              <w:rPr>
                <w:rFonts w:hint="eastAsia" w:ascii="宋体" w:hAnsi="宋体" w:eastAsia="宋体" w:cs="宋体"/>
                <w:color w:val="auto"/>
              </w:rPr>
              <w:t>1、</w:t>
            </w:r>
            <w:r>
              <w:rPr>
                <w:rFonts w:ascii="宋体" w:hAnsi="宋体" w:eastAsia="宋体" w:cs="宋体"/>
                <w:color w:val="auto"/>
              </w:rPr>
              <w:t>供应商在递交投标文件截止时间前未被列入“信用中国”网站(www.creditchina.gov.cn)失信被执行人、重大税收违法案件当事人名单，中国政府采购网(www.ccgp.gov.cn)政府采购严重违法失信行为记录名单。</w:t>
            </w:r>
          </w:p>
          <w:p w14:paraId="2A4B7B20">
            <w:pPr>
              <w:wordWrap w:val="0"/>
              <w:spacing w:before="124" w:beforeLines="40" w:line="360" w:lineRule="auto"/>
              <w:jc w:val="left"/>
              <w:rPr>
                <w:rFonts w:ascii="宋体" w:hAnsi="宋体" w:eastAsia="宋体" w:cs="宋体"/>
                <w:color w:val="auto"/>
              </w:rPr>
            </w:pPr>
            <w:r>
              <w:rPr>
                <w:rFonts w:hint="eastAsia" w:ascii="宋体" w:hAnsi="宋体" w:eastAsia="宋体" w:cs="宋体"/>
                <w:color w:val="auto"/>
              </w:rPr>
              <w:t>2、</w:t>
            </w:r>
            <w:r>
              <w:rPr>
                <w:rFonts w:ascii="宋体" w:hAnsi="宋体" w:eastAsia="宋体" w:cs="宋体"/>
                <w:color w:val="auto"/>
              </w:rPr>
              <w:t>单位负责人为同一人或者存在控股、管理关系的不同单位，不得同时参加本采购项目投标。</w:t>
            </w:r>
          </w:p>
          <w:p w14:paraId="31A13BC1">
            <w:pPr>
              <w:wordWrap w:val="0"/>
              <w:spacing w:before="124" w:beforeLines="40" w:line="360" w:lineRule="auto"/>
              <w:jc w:val="left"/>
              <w:rPr>
                <w:rFonts w:ascii="宋体" w:hAnsi="宋体" w:eastAsia="宋体" w:cs="宋体"/>
                <w:color w:val="auto"/>
              </w:rPr>
            </w:pPr>
            <w:r>
              <w:rPr>
                <w:rFonts w:hint="eastAsia" w:ascii="宋体" w:hAnsi="宋体" w:eastAsia="宋体" w:cs="宋体"/>
                <w:color w:val="auto"/>
              </w:rPr>
              <w:t>3、</w:t>
            </w:r>
            <w:r>
              <w:rPr>
                <w:rFonts w:ascii="宋体" w:hAnsi="宋体" w:eastAsia="宋体" w:cs="宋体"/>
                <w:color w:val="auto"/>
              </w:rPr>
              <w:t>供应商不得存在下列情形之一：</w:t>
            </w:r>
          </w:p>
          <w:p w14:paraId="12670568">
            <w:pPr>
              <w:wordWrap w:val="0"/>
              <w:spacing w:before="124" w:beforeLines="40" w:line="360" w:lineRule="auto"/>
              <w:jc w:val="left"/>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1）被暂停、取消投标或禁止参加采购活动且处于有效期内的；</w:t>
            </w:r>
          </w:p>
          <w:p w14:paraId="0010E634">
            <w:pPr>
              <w:wordWrap w:val="0"/>
              <w:spacing w:before="124" w:beforeLines="40" w:line="360" w:lineRule="auto"/>
              <w:jc w:val="left"/>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2）处于被责令停产停业、暂扣或者吊销执照、暂扣或者吊销许可证、吊销资质证书状态；</w:t>
            </w:r>
          </w:p>
          <w:p w14:paraId="190133A3">
            <w:pPr>
              <w:wordWrap w:val="0"/>
              <w:spacing w:before="124" w:beforeLines="40" w:line="360" w:lineRule="auto"/>
              <w:jc w:val="left"/>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3）进入清算程序，或被宣告破产，或其他丧失履约能力的情形。</w:t>
            </w:r>
          </w:p>
        </w:tc>
      </w:tr>
    </w:tbl>
    <w:p w14:paraId="7DB1A5C7">
      <w:pPr>
        <w:pStyle w:val="2"/>
        <w:spacing w:before="0" w:after="0" w:line="360" w:lineRule="auto"/>
        <w:jc w:val="center"/>
        <w:rPr>
          <w:rFonts w:ascii="宋体" w:hAnsi="宋体" w:cs="宋体"/>
          <w:color w:val="auto"/>
          <w:sz w:val="36"/>
          <w:szCs w:val="36"/>
        </w:rPr>
      </w:pPr>
      <w:r>
        <w:rPr>
          <w:rFonts w:ascii="宋体" w:hAnsi="宋体" w:cs="宋体"/>
          <w:color w:val="auto"/>
          <w:sz w:val="36"/>
          <w:szCs w:val="36"/>
        </w:rPr>
        <w:br w:type="page"/>
      </w:r>
    </w:p>
    <w:p w14:paraId="69E5FF45">
      <w:pPr>
        <w:pStyle w:val="3"/>
        <w:spacing w:before="0" w:after="0" w:line="360" w:lineRule="auto"/>
        <w:jc w:val="center"/>
        <w:rPr>
          <w:rFonts w:ascii="宋体" w:hAnsi="宋体" w:eastAsia="宋体" w:cs="宋体"/>
          <w:color w:val="auto"/>
          <w:sz w:val="22"/>
          <w:szCs w:val="22"/>
        </w:rPr>
      </w:pPr>
      <w:r>
        <w:rPr>
          <w:rFonts w:hint="eastAsia" w:ascii="宋体" w:hAnsi="宋体" w:eastAsia="宋体" w:cs="宋体"/>
          <w:color w:val="auto"/>
          <w:sz w:val="22"/>
          <w:szCs w:val="22"/>
        </w:rPr>
        <w:t>符合性审查部分</w:t>
      </w:r>
    </w:p>
    <w:tbl>
      <w:tblPr>
        <w:tblStyle w:val="39"/>
        <w:tblW w:w="0" w:type="auto"/>
        <w:tblInd w:w="254"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7"/>
        <w:gridCol w:w="996"/>
        <w:gridCol w:w="2410"/>
        <w:gridCol w:w="4961"/>
      </w:tblGrid>
      <w:tr w14:paraId="3161D35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1843" w:type="dxa"/>
            <w:gridSpan w:val="2"/>
            <w:vAlign w:val="center"/>
          </w:tcPr>
          <w:p w14:paraId="0AE8786C">
            <w:pPr>
              <w:wordWrap w:val="0"/>
              <w:spacing w:before="124" w:beforeLines="40" w:line="360" w:lineRule="auto"/>
              <w:jc w:val="center"/>
              <w:rPr>
                <w:rFonts w:ascii="宋体" w:hAnsi="宋体" w:eastAsia="宋体"/>
                <w:b/>
                <w:bCs/>
                <w:color w:val="auto"/>
              </w:rPr>
            </w:pPr>
            <w:r>
              <w:rPr>
                <w:rFonts w:hint="eastAsia" w:ascii="宋体" w:hAnsi="宋体" w:eastAsia="宋体"/>
                <w:b/>
                <w:bCs/>
                <w:color w:val="auto"/>
              </w:rPr>
              <w:t>条款号</w:t>
            </w:r>
          </w:p>
        </w:tc>
        <w:tc>
          <w:tcPr>
            <w:tcW w:w="2410" w:type="dxa"/>
            <w:vAlign w:val="center"/>
          </w:tcPr>
          <w:p w14:paraId="64C70190">
            <w:pPr>
              <w:wordWrap w:val="0"/>
              <w:spacing w:before="124" w:beforeLines="40" w:line="360" w:lineRule="auto"/>
              <w:jc w:val="center"/>
              <w:rPr>
                <w:rFonts w:ascii="宋体" w:hAnsi="宋体" w:eastAsia="宋体"/>
                <w:b/>
                <w:bCs/>
                <w:color w:val="auto"/>
              </w:rPr>
            </w:pPr>
            <w:r>
              <w:rPr>
                <w:rFonts w:hint="eastAsia" w:ascii="宋体" w:hAnsi="宋体" w:eastAsia="宋体"/>
                <w:b/>
                <w:bCs/>
                <w:color w:val="auto"/>
              </w:rPr>
              <w:t>评审因素</w:t>
            </w:r>
          </w:p>
        </w:tc>
        <w:tc>
          <w:tcPr>
            <w:tcW w:w="4961" w:type="dxa"/>
            <w:vAlign w:val="center"/>
          </w:tcPr>
          <w:p w14:paraId="224547A1">
            <w:pPr>
              <w:wordWrap w:val="0"/>
              <w:spacing w:before="124" w:beforeLines="40" w:line="360" w:lineRule="auto"/>
              <w:jc w:val="center"/>
              <w:rPr>
                <w:rFonts w:ascii="宋体" w:hAnsi="宋体" w:eastAsia="宋体"/>
                <w:b/>
                <w:bCs/>
                <w:color w:val="auto"/>
              </w:rPr>
            </w:pPr>
            <w:r>
              <w:rPr>
                <w:rFonts w:hint="eastAsia" w:ascii="宋体" w:hAnsi="宋体" w:eastAsia="宋体"/>
                <w:b/>
                <w:bCs/>
                <w:color w:val="auto"/>
              </w:rPr>
              <w:t>评审标准</w:t>
            </w:r>
          </w:p>
        </w:tc>
      </w:tr>
      <w:tr w14:paraId="6674B0A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restart"/>
            <w:vAlign w:val="center"/>
          </w:tcPr>
          <w:p w14:paraId="5F279A51">
            <w:pPr>
              <w:wordWrap w:val="0"/>
              <w:spacing w:before="124" w:beforeLines="40" w:line="360" w:lineRule="auto"/>
              <w:jc w:val="center"/>
              <w:rPr>
                <w:rFonts w:ascii="宋体" w:hAnsi="宋体" w:eastAsia="宋体"/>
                <w:color w:val="auto"/>
              </w:rPr>
            </w:pPr>
            <w:r>
              <w:rPr>
                <w:rFonts w:hint="eastAsia" w:ascii="宋体" w:hAnsi="宋体" w:eastAsia="宋体"/>
                <w:color w:val="auto"/>
              </w:rPr>
              <w:t>2</w:t>
            </w:r>
            <w:r>
              <w:rPr>
                <w:rFonts w:ascii="宋体" w:hAnsi="宋体" w:eastAsia="宋体"/>
                <w:color w:val="auto"/>
              </w:rPr>
              <w:t>.1</w:t>
            </w:r>
            <w:r>
              <w:rPr>
                <w:rFonts w:hint="eastAsia" w:ascii="宋体" w:hAnsi="宋体" w:eastAsia="宋体"/>
                <w:color w:val="auto"/>
              </w:rPr>
              <w:t>.2</w:t>
            </w:r>
          </w:p>
        </w:tc>
        <w:tc>
          <w:tcPr>
            <w:tcW w:w="996" w:type="dxa"/>
            <w:vMerge w:val="restart"/>
            <w:vAlign w:val="center"/>
          </w:tcPr>
          <w:p w14:paraId="4D24A372">
            <w:pPr>
              <w:wordWrap w:val="0"/>
              <w:spacing w:before="124" w:beforeLines="40" w:line="360" w:lineRule="auto"/>
              <w:jc w:val="center"/>
              <w:rPr>
                <w:rFonts w:ascii="宋体" w:hAnsi="宋体" w:eastAsia="宋体"/>
                <w:color w:val="auto"/>
              </w:rPr>
            </w:pPr>
            <w:r>
              <w:rPr>
                <w:rFonts w:hint="eastAsia" w:ascii="宋体" w:hAnsi="宋体" w:eastAsia="宋体"/>
                <w:color w:val="auto"/>
              </w:rPr>
              <w:t>符合性评审标准</w:t>
            </w:r>
          </w:p>
        </w:tc>
        <w:tc>
          <w:tcPr>
            <w:tcW w:w="7371" w:type="dxa"/>
            <w:gridSpan w:val="2"/>
            <w:vAlign w:val="center"/>
          </w:tcPr>
          <w:p w14:paraId="036EA132">
            <w:pPr>
              <w:wordWrap w:val="0"/>
              <w:spacing w:before="124" w:beforeLines="40" w:line="360" w:lineRule="auto"/>
              <w:rPr>
                <w:rFonts w:ascii="宋体" w:hAnsi="宋体" w:eastAsia="宋体"/>
                <w:color w:val="auto"/>
              </w:rPr>
            </w:pPr>
            <w:r>
              <w:rPr>
                <w:rFonts w:hint="eastAsia" w:ascii="宋体" w:hAnsi="宋体" w:eastAsia="宋体"/>
                <w:b/>
                <w:color w:val="auto"/>
              </w:rPr>
              <w:t>供应商不满足下列情况之一的，投标无效：</w:t>
            </w:r>
          </w:p>
        </w:tc>
      </w:tr>
      <w:tr w14:paraId="5790DC9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6680749C">
            <w:pPr>
              <w:wordWrap w:val="0"/>
              <w:spacing w:before="124" w:beforeLines="40" w:line="360" w:lineRule="auto"/>
              <w:jc w:val="center"/>
              <w:rPr>
                <w:rFonts w:ascii="宋体" w:hAnsi="宋体" w:eastAsia="宋体"/>
                <w:color w:val="auto"/>
              </w:rPr>
            </w:pPr>
            <w:bookmarkStart w:id="509" w:name="OLE_LINK1" w:colFirst="3" w:colLast="3"/>
          </w:p>
        </w:tc>
        <w:tc>
          <w:tcPr>
            <w:tcW w:w="996" w:type="dxa"/>
            <w:vMerge w:val="continue"/>
            <w:vAlign w:val="center"/>
          </w:tcPr>
          <w:p w14:paraId="1CCF8AAA">
            <w:pPr>
              <w:wordWrap w:val="0"/>
              <w:spacing w:before="124" w:beforeLines="40" w:line="360" w:lineRule="auto"/>
              <w:jc w:val="center"/>
              <w:rPr>
                <w:rFonts w:ascii="宋体" w:hAnsi="宋体" w:eastAsia="宋体"/>
                <w:color w:val="auto"/>
              </w:rPr>
            </w:pPr>
          </w:p>
        </w:tc>
        <w:tc>
          <w:tcPr>
            <w:tcW w:w="2410" w:type="dxa"/>
            <w:vAlign w:val="center"/>
          </w:tcPr>
          <w:p w14:paraId="7059FCF2">
            <w:pPr>
              <w:wordWrap w:val="0"/>
              <w:spacing w:before="124" w:beforeLines="40" w:line="360" w:lineRule="auto"/>
              <w:jc w:val="center"/>
              <w:rPr>
                <w:rFonts w:ascii="宋体" w:hAnsi="宋体" w:eastAsia="宋体"/>
                <w:color w:val="auto"/>
              </w:rPr>
            </w:pPr>
            <w:r>
              <w:rPr>
                <w:rFonts w:ascii="宋体" w:hAnsi="宋体" w:eastAsia="宋体"/>
                <w:color w:val="auto"/>
              </w:rPr>
              <w:t>投标函签</w:t>
            </w:r>
            <w:r>
              <w:rPr>
                <w:rFonts w:hint="eastAsia" w:ascii="宋体" w:hAnsi="宋体" w:eastAsia="宋体"/>
                <w:color w:val="auto"/>
              </w:rPr>
              <w:t>名</w:t>
            </w:r>
            <w:r>
              <w:rPr>
                <w:rFonts w:ascii="宋体" w:hAnsi="宋体" w:eastAsia="宋体"/>
                <w:color w:val="auto"/>
              </w:rPr>
              <w:t>盖章</w:t>
            </w:r>
          </w:p>
        </w:tc>
        <w:tc>
          <w:tcPr>
            <w:tcW w:w="4961" w:type="dxa"/>
            <w:vAlign w:val="center"/>
          </w:tcPr>
          <w:p w14:paraId="2C707F98">
            <w:pPr>
              <w:wordWrap w:val="0"/>
              <w:spacing w:before="124" w:beforeLines="40" w:line="360" w:lineRule="auto"/>
              <w:rPr>
                <w:rFonts w:ascii="宋体" w:hAnsi="宋体" w:eastAsia="宋体"/>
                <w:color w:val="auto"/>
              </w:rPr>
            </w:pPr>
            <w:r>
              <w:rPr>
                <w:rFonts w:ascii="宋体" w:hAnsi="宋体" w:eastAsia="宋体"/>
                <w:color w:val="auto"/>
              </w:rPr>
              <w:t>有法定代表人</w:t>
            </w:r>
            <w:r>
              <w:rPr>
                <w:rFonts w:hint="eastAsia" w:ascii="宋体" w:hAnsi="宋体" w:eastAsia="宋体"/>
                <w:color w:val="auto"/>
              </w:rPr>
              <w:t>电子签名</w:t>
            </w:r>
            <w:r>
              <w:rPr>
                <w:rFonts w:ascii="宋体" w:hAnsi="宋体" w:eastAsia="宋体"/>
                <w:color w:val="auto"/>
              </w:rPr>
              <w:t>及加盖</w:t>
            </w:r>
            <w:r>
              <w:rPr>
                <w:rFonts w:hint="eastAsia" w:ascii="宋体" w:hAnsi="宋体" w:eastAsia="宋体"/>
                <w:color w:val="auto"/>
              </w:rPr>
              <w:t>电子公章</w:t>
            </w:r>
          </w:p>
        </w:tc>
      </w:tr>
      <w:tr w14:paraId="5B98EBF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2F8AC5E7">
            <w:pPr>
              <w:wordWrap w:val="0"/>
              <w:spacing w:before="124" w:beforeLines="40" w:line="360" w:lineRule="auto"/>
              <w:jc w:val="center"/>
              <w:rPr>
                <w:rFonts w:ascii="宋体" w:hAnsi="宋体" w:eastAsia="宋体"/>
                <w:color w:val="auto"/>
              </w:rPr>
            </w:pPr>
          </w:p>
        </w:tc>
        <w:tc>
          <w:tcPr>
            <w:tcW w:w="996" w:type="dxa"/>
            <w:vMerge w:val="continue"/>
            <w:vAlign w:val="center"/>
          </w:tcPr>
          <w:p w14:paraId="2157DC68">
            <w:pPr>
              <w:wordWrap w:val="0"/>
              <w:spacing w:before="124" w:beforeLines="40" w:line="360" w:lineRule="auto"/>
              <w:jc w:val="center"/>
              <w:rPr>
                <w:rFonts w:ascii="宋体" w:hAnsi="宋体" w:eastAsia="宋体"/>
                <w:color w:val="auto"/>
              </w:rPr>
            </w:pPr>
          </w:p>
        </w:tc>
        <w:tc>
          <w:tcPr>
            <w:tcW w:w="2410" w:type="dxa"/>
            <w:vAlign w:val="center"/>
          </w:tcPr>
          <w:p w14:paraId="514155AC">
            <w:pPr>
              <w:wordWrap w:val="0"/>
              <w:spacing w:before="124" w:beforeLines="40" w:line="360" w:lineRule="auto"/>
              <w:jc w:val="center"/>
              <w:rPr>
                <w:rFonts w:ascii="宋体" w:hAnsi="宋体" w:eastAsia="宋体"/>
                <w:color w:val="auto"/>
              </w:rPr>
            </w:pPr>
            <w:r>
              <w:rPr>
                <w:rFonts w:ascii="宋体" w:hAnsi="宋体" w:eastAsia="宋体"/>
                <w:color w:val="auto"/>
              </w:rPr>
              <w:t>投标文件格式</w:t>
            </w:r>
          </w:p>
        </w:tc>
        <w:tc>
          <w:tcPr>
            <w:tcW w:w="4961" w:type="dxa"/>
            <w:vAlign w:val="center"/>
          </w:tcPr>
          <w:p w14:paraId="426FA5B8">
            <w:pPr>
              <w:wordWrap w:val="0"/>
              <w:spacing w:before="124" w:beforeLines="40" w:line="360" w:lineRule="auto"/>
              <w:rPr>
                <w:rFonts w:ascii="宋体" w:hAnsi="宋体" w:eastAsia="宋体"/>
                <w:color w:val="auto"/>
              </w:rPr>
            </w:pPr>
            <w:r>
              <w:rPr>
                <w:rFonts w:hint="eastAsia" w:ascii="宋体" w:hAnsi="宋体" w:eastAsia="宋体"/>
                <w:color w:val="auto"/>
              </w:rPr>
              <w:t>按“第六章 投标文件格式”填报并按要求进行签章</w:t>
            </w:r>
          </w:p>
        </w:tc>
      </w:tr>
      <w:tr w14:paraId="4BED1D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4FB916CF">
            <w:pPr>
              <w:wordWrap w:val="0"/>
              <w:spacing w:before="124" w:beforeLines="40" w:line="360" w:lineRule="auto"/>
              <w:jc w:val="center"/>
              <w:rPr>
                <w:rFonts w:ascii="宋体" w:hAnsi="宋体" w:eastAsia="宋体"/>
                <w:color w:val="auto"/>
              </w:rPr>
            </w:pPr>
          </w:p>
        </w:tc>
        <w:tc>
          <w:tcPr>
            <w:tcW w:w="996" w:type="dxa"/>
            <w:vMerge w:val="continue"/>
            <w:vAlign w:val="center"/>
          </w:tcPr>
          <w:p w14:paraId="3404302F">
            <w:pPr>
              <w:wordWrap w:val="0"/>
              <w:spacing w:before="124" w:beforeLines="40" w:line="360" w:lineRule="auto"/>
              <w:jc w:val="center"/>
              <w:rPr>
                <w:rFonts w:ascii="宋体" w:hAnsi="宋体" w:eastAsia="宋体"/>
                <w:color w:val="auto"/>
              </w:rPr>
            </w:pPr>
          </w:p>
        </w:tc>
        <w:tc>
          <w:tcPr>
            <w:tcW w:w="2410" w:type="dxa"/>
            <w:vAlign w:val="center"/>
          </w:tcPr>
          <w:p w14:paraId="13CCF745">
            <w:pPr>
              <w:wordWrap w:val="0"/>
              <w:spacing w:before="124" w:beforeLines="40" w:line="360" w:lineRule="auto"/>
              <w:jc w:val="center"/>
              <w:rPr>
                <w:rFonts w:ascii="宋体" w:hAnsi="宋体" w:eastAsia="宋体"/>
                <w:color w:val="auto"/>
              </w:rPr>
            </w:pPr>
            <w:r>
              <w:rPr>
                <w:rFonts w:ascii="宋体" w:hAnsi="宋体" w:eastAsia="宋体"/>
                <w:color w:val="auto"/>
              </w:rPr>
              <w:t>投标报价</w:t>
            </w:r>
          </w:p>
        </w:tc>
        <w:tc>
          <w:tcPr>
            <w:tcW w:w="4961" w:type="dxa"/>
            <w:vAlign w:val="center"/>
          </w:tcPr>
          <w:p w14:paraId="1E6328C7">
            <w:pPr>
              <w:wordWrap w:val="0"/>
              <w:spacing w:before="124" w:beforeLines="40" w:line="360" w:lineRule="auto"/>
              <w:rPr>
                <w:rFonts w:ascii="宋体" w:hAnsi="宋体" w:eastAsia="宋体"/>
                <w:color w:val="auto"/>
              </w:rPr>
            </w:pPr>
            <w:r>
              <w:rPr>
                <w:rFonts w:ascii="宋体" w:hAnsi="宋体" w:eastAsia="宋体"/>
                <w:color w:val="auto"/>
              </w:rPr>
              <w:t>完整且只有一个有效报价</w:t>
            </w:r>
            <w:r>
              <w:rPr>
                <w:rFonts w:hint="eastAsia" w:ascii="宋体" w:hAnsi="宋体" w:eastAsia="宋体"/>
                <w:color w:val="auto"/>
              </w:rPr>
              <w:t>，且报价不超出最高限价</w:t>
            </w:r>
          </w:p>
        </w:tc>
      </w:tr>
      <w:tr w14:paraId="7777643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0BB8DDB1">
            <w:pPr>
              <w:wordWrap w:val="0"/>
              <w:spacing w:before="124" w:beforeLines="40" w:line="360" w:lineRule="auto"/>
              <w:jc w:val="center"/>
              <w:rPr>
                <w:rFonts w:ascii="宋体" w:hAnsi="宋体" w:eastAsia="宋体"/>
                <w:color w:val="auto"/>
              </w:rPr>
            </w:pPr>
          </w:p>
        </w:tc>
        <w:tc>
          <w:tcPr>
            <w:tcW w:w="996" w:type="dxa"/>
            <w:vMerge w:val="continue"/>
            <w:vAlign w:val="center"/>
          </w:tcPr>
          <w:p w14:paraId="4B3FC499">
            <w:pPr>
              <w:wordWrap w:val="0"/>
              <w:spacing w:before="124" w:beforeLines="40" w:line="360" w:lineRule="auto"/>
              <w:jc w:val="center"/>
              <w:rPr>
                <w:rFonts w:ascii="宋体" w:hAnsi="宋体" w:eastAsia="宋体"/>
                <w:color w:val="auto"/>
              </w:rPr>
            </w:pPr>
          </w:p>
        </w:tc>
        <w:tc>
          <w:tcPr>
            <w:tcW w:w="2410" w:type="dxa"/>
            <w:vAlign w:val="center"/>
          </w:tcPr>
          <w:p w14:paraId="52E88463">
            <w:pPr>
              <w:wordWrap w:val="0"/>
              <w:spacing w:before="124" w:beforeLines="40" w:line="360" w:lineRule="auto"/>
              <w:jc w:val="center"/>
              <w:rPr>
                <w:rFonts w:ascii="宋体" w:hAnsi="宋体" w:eastAsia="宋体"/>
                <w:color w:val="auto"/>
              </w:rPr>
            </w:pPr>
            <w:r>
              <w:rPr>
                <w:rFonts w:hint="eastAsia" w:ascii="宋体" w:hAnsi="宋体" w:eastAsia="宋体"/>
                <w:color w:val="auto"/>
              </w:rPr>
              <w:t>质量标准</w:t>
            </w:r>
          </w:p>
        </w:tc>
        <w:tc>
          <w:tcPr>
            <w:tcW w:w="4961" w:type="dxa"/>
            <w:vAlign w:val="center"/>
          </w:tcPr>
          <w:p w14:paraId="1D9A40B6">
            <w:pPr>
              <w:wordWrap w:val="0"/>
              <w:spacing w:before="124" w:beforeLines="40" w:line="360" w:lineRule="auto"/>
              <w:rPr>
                <w:rFonts w:ascii="宋体" w:hAnsi="宋体" w:eastAsia="宋体"/>
                <w:color w:val="auto"/>
              </w:rPr>
            </w:pPr>
            <w:r>
              <w:rPr>
                <w:rFonts w:hint="eastAsia" w:ascii="宋体" w:hAnsi="宋体" w:eastAsia="宋体"/>
                <w:color w:val="auto"/>
              </w:rPr>
              <w:t>符合第二章“供应商须知”第1</w:t>
            </w:r>
            <w:r>
              <w:rPr>
                <w:rFonts w:ascii="宋体" w:hAnsi="宋体" w:eastAsia="宋体"/>
                <w:color w:val="auto"/>
              </w:rPr>
              <w:t>.3.3</w:t>
            </w:r>
            <w:r>
              <w:rPr>
                <w:rFonts w:hint="eastAsia" w:ascii="宋体" w:hAnsi="宋体" w:eastAsia="宋体"/>
                <w:color w:val="auto"/>
              </w:rPr>
              <w:t>项规定</w:t>
            </w:r>
          </w:p>
        </w:tc>
      </w:tr>
      <w:tr w14:paraId="32B039D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1255AC45">
            <w:pPr>
              <w:wordWrap w:val="0"/>
              <w:spacing w:before="124" w:beforeLines="40" w:line="360" w:lineRule="auto"/>
              <w:jc w:val="center"/>
              <w:rPr>
                <w:rFonts w:ascii="宋体" w:hAnsi="宋体" w:eastAsia="宋体"/>
                <w:color w:val="auto"/>
              </w:rPr>
            </w:pPr>
          </w:p>
        </w:tc>
        <w:tc>
          <w:tcPr>
            <w:tcW w:w="996" w:type="dxa"/>
            <w:vMerge w:val="continue"/>
            <w:vAlign w:val="center"/>
          </w:tcPr>
          <w:p w14:paraId="51C8C49F">
            <w:pPr>
              <w:wordWrap w:val="0"/>
              <w:spacing w:before="124" w:beforeLines="40" w:line="360" w:lineRule="auto"/>
              <w:jc w:val="center"/>
              <w:rPr>
                <w:rFonts w:ascii="宋体" w:hAnsi="宋体" w:eastAsia="宋体"/>
                <w:color w:val="auto"/>
              </w:rPr>
            </w:pPr>
          </w:p>
        </w:tc>
        <w:tc>
          <w:tcPr>
            <w:tcW w:w="2410" w:type="dxa"/>
            <w:vAlign w:val="center"/>
          </w:tcPr>
          <w:p w14:paraId="54ED0267">
            <w:pPr>
              <w:wordWrap w:val="0"/>
              <w:spacing w:before="124" w:beforeLines="40" w:line="360" w:lineRule="auto"/>
              <w:jc w:val="center"/>
              <w:rPr>
                <w:rFonts w:ascii="宋体" w:hAnsi="宋体" w:eastAsia="宋体"/>
                <w:color w:val="auto"/>
              </w:rPr>
            </w:pPr>
            <w:r>
              <w:rPr>
                <w:rFonts w:hint="eastAsia" w:ascii="宋体" w:hAnsi="宋体" w:eastAsia="宋体"/>
                <w:color w:val="auto"/>
              </w:rPr>
              <w:t>合同履行期限</w:t>
            </w:r>
          </w:p>
        </w:tc>
        <w:tc>
          <w:tcPr>
            <w:tcW w:w="4961" w:type="dxa"/>
            <w:vAlign w:val="center"/>
          </w:tcPr>
          <w:p w14:paraId="40E4D085">
            <w:pPr>
              <w:wordWrap w:val="0"/>
              <w:spacing w:before="124" w:beforeLines="40" w:line="360" w:lineRule="auto"/>
              <w:rPr>
                <w:rFonts w:ascii="宋体" w:hAnsi="宋体" w:eastAsia="宋体"/>
                <w:color w:val="auto"/>
              </w:rPr>
            </w:pPr>
            <w:r>
              <w:rPr>
                <w:rFonts w:hint="eastAsia" w:ascii="宋体" w:hAnsi="宋体" w:eastAsia="宋体"/>
                <w:color w:val="auto"/>
              </w:rPr>
              <w:t>符合第二章“供应商须知”第1</w:t>
            </w:r>
            <w:r>
              <w:rPr>
                <w:rFonts w:ascii="宋体" w:hAnsi="宋体" w:eastAsia="宋体"/>
                <w:color w:val="auto"/>
              </w:rPr>
              <w:t>.3.2</w:t>
            </w:r>
            <w:r>
              <w:rPr>
                <w:rFonts w:hint="eastAsia" w:ascii="宋体" w:hAnsi="宋体" w:eastAsia="宋体"/>
                <w:color w:val="auto"/>
              </w:rPr>
              <w:t>项规定</w:t>
            </w:r>
          </w:p>
        </w:tc>
      </w:tr>
      <w:tr w14:paraId="688FB1A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6D407E92">
            <w:pPr>
              <w:wordWrap w:val="0"/>
              <w:spacing w:before="124" w:beforeLines="40" w:line="360" w:lineRule="auto"/>
              <w:jc w:val="center"/>
              <w:rPr>
                <w:rFonts w:ascii="宋体" w:hAnsi="宋体" w:eastAsia="宋体"/>
                <w:color w:val="auto"/>
              </w:rPr>
            </w:pPr>
          </w:p>
        </w:tc>
        <w:tc>
          <w:tcPr>
            <w:tcW w:w="996" w:type="dxa"/>
            <w:vMerge w:val="continue"/>
            <w:vAlign w:val="center"/>
          </w:tcPr>
          <w:p w14:paraId="2250D5C0">
            <w:pPr>
              <w:wordWrap w:val="0"/>
              <w:spacing w:before="124" w:beforeLines="40" w:line="360" w:lineRule="auto"/>
              <w:jc w:val="center"/>
              <w:rPr>
                <w:rFonts w:ascii="宋体" w:hAnsi="宋体" w:eastAsia="宋体"/>
                <w:color w:val="auto"/>
              </w:rPr>
            </w:pPr>
          </w:p>
        </w:tc>
        <w:tc>
          <w:tcPr>
            <w:tcW w:w="2410" w:type="dxa"/>
            <w:vAlign w:val="center"/>
          </w:tcPr>
          <w:p w14:paraId="482261B5">
            <w:pPr>
              <w:wordWrap w:val="0"/>
              <w:spacing w:before="124" w:beforeLines="40" w:line="360" w:lineRule="auto"/>
              <w:jc w:val="center"/>
              <w:rPr>
                <w:rFonts w:ascii="宋体" w:hAnsi="宋体" w:eastAsia="宋体"/>
                <w:color w:val="auto"/>
              </w:rPr>
            </w:pPr>
            <w:r>
              <w:rPr>
                <w:rFonts w:hint="eastAsia" w:ascii="宋体" w:hAnsi="宋体" w:eastAsia="宋体"/>
                <w:color w:val="auto"/>
              </w:rPr>
              <w:t>关键条款</w:t>
            </w:r>
          </w:p>
        </w:tc>
        <w:tc>
          <w:tcPr>
            <w:tcW w:w="4961" w:type="dxa"/>
            <w:vAlign w:val="center"/>
          </w:tcPr>
          <w:p w14:paraId="54961243">
            <w:pPr>
              <w:wordWrap w:val="0"/>
              <w:spacing w:before="124" w:beforeLines="40" w:line="360" w:lineRule="auto"/>
              <w:rPr>
                <w:rFonts w:ascii="宋体" w:hAnsi="宋体" w:eastAsia="宋体"/>
                <w:color w:val="auto"/>
              </w:rPr>
            </w:pPr>
            <w:r>
              <w:rPr>
                <w:rFonts w:hint="eastAsia" w:ascii="宋体" w:hAnsi="宋体" w:eastAsia="宋体"/>
                <w:color w:val="auto"/>
              </w:rPr>
              <w:t>符合第二章“供应商须知”第1</w:t>
            </w:r>
            <w:r>
              <w:rPr>
                <w:rFonts w:ascii="宋体" w:hAnsi="宋体" w:eastAsia="宋体"/>
                <w:color w:val="auto"/>
              </w:rPr>
              <w:t>.12.1</w:t>
            </w:r>
            <w:r>
              <w:rPr>
                <w:rFonts w:hint="eastAsia" w:ascii="宋体" w:hAnsi="宋体" w:eastAsia="宋体"/>
                <w:color w:val="auto"/>
              </w:rPr>
              <w:t>项规定</w:t>
            </w:r>
          </w:p>
        </w:tc>
      </w:tr>
      <w:tr w14:paraId="2DA39A7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106005BA">
            <w:pPr>
              <w:wordWrap w:val="0"/>
              <w:spacing w:before="124" w:beforeLines="40" w:line="360" w:lineRule="auto"/>
              <w:jc w:val="center"/>
              <w:rPr>
                <w:rFonts w:ascii="宋体" w:hAnsi="宋体" w:eastAsia="宋体"/>
                <w:color w:val="auto"/>
              </w:rPr>
            </w:pPr>
          </w:p>
        </w:tc>
        <w:tc>
          <w:tcPr>
            <w:tcW w:w="996" w:type="dxa"/>
            <w:vMerge w:val="continue"/>
            <w:vAlign w:val="center"/>
          </w:tcPr>
          <w:p w14:paraId="41474C4D">
            <w:pPr>
              <w:wordWrap w:val="0"/>
              <w:spacing w:before="124" w:beforeLines="40" w:line="360" w:lineRule="auto"/>
              <w:jc w:val="center"/>
              <w:rPr>
                <w:rFonts w:ascii="宋体" w:hAnsi="宋体" w:eastAsia="宋体"/>
                <w:color w:val="auto"/>
              </w:rPr>
            </w:pPr>
          </w:p>
        </w:tc>
        <w:tc>
          <w:tcPr>
            <w:tcW w:w="2410" w:type="dxa"/>
            <w:vAlign w:val="center"/>
          </w:tcPr>
          <w:p w14:paraId="0B4142E9">
            <w:pPr>
              <w:wordWrap w:val="0"/>
              <w:spacing w:before="124" w:beforeLines="40" w:line="360" w:lineRule="auto"/>
              <w:jc w:val="center"/>
              <w:rPr>
                <w:rFonts w:ascii="宋体" w:hAnsi="宋体" w:eastAsia="宋体"/>
                <w:color w:val="auto"/>
              </w:rPr>
            </w:pPr>
            <w:r>
              <w:rPr>
                <w:rFonts w:hint="eastAsia" w:ascii="宋体" w:hAnsi="宋体" w:eastAsia="宋体"/>
                <w:color w:val="auto"/>
              </w:rPr>
              <w:t>对非关键条款的偏差</w:t>
            </w:r>
          </w:p>
        </w:tc>
        <w:tc>
          <w:tcPr>
            <w:tcW w:w="4961" w:type="dxa"/>
            <w:vAlign w:val="center"/>
          </w:tcPr>
          <w:p w14:paraId="4DD79973">
            <w:pPr>
              <w:wordWrap w:val="0"/>
              <w:spacing w:before="124" w:beforeLines="40" w:line="360" w:lineRule="auto"/>
              <w:rPr>
                <w:rFonts w:ascii="宋体" w:hAnsi="宋体" w:eastAsia="宋体"/>
                <w:color w:val="auto"/>
              </w:rPr>
            </w:pPr>
            <w:r>
              <w:rPr>
                <w:rFonts w:hint="eastAsia" w:ascii="宋体" w:hAnsi="宋体" w:eastAsia="宋体"/>
                <w:color w:val="auto"/>
              </w:rPr>
              <w:t>符合第二章“供应商须知”第1</w:t>
            </w:r>
            <w:r>
              <w:rPr>
                <w:rFonts w:ascii="宋体" w:hAnsi="宋体" w:eastAsia="宋体"/>
                <w:color w:val="auto"/>
              </w:rPr>
              <w:t>.12.2</w:t>
            </w:r>
            <w:r>
              <w:rPr>
                <w:rFonts w:hint="eastAsia" w:ascii="宋体" w:hAnsi="宋体" w:eastAsia="宋体"/>
                <w:color w:val="auto"/>
              </w:rPr>
              <w:t>项规定</w:t>
            </w:r>
          </w:p>
        </w:tc>
      </w:tr>
      <w:tr w14:paraId="7F297D9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60FB77BD">
            <w:pPr>
              <w:wordWrap w:val="0"/>
              <w:spacing w:before="124" w:beforeLines="40" w:line="360" w:lineRule="auto"/>
              <w:jc w:val="center"/>
              <w:rPr>
                <w:rFonts w:ascii="宋体" w:hAnsi="宋体" w:eastAsia="宋体"/>
                <w:color w:val="auto"/>
              </w:rPr>
            </w:pPr>
          </w:p>
        </w:tc>
        <w:tc>
          <w:tcPr>
            <w:tcW w:w="996" w:type="dxa"/>
            <w:vMerge w:val="continue"/>
            <w:vAlign w:val="center"/>
          </w:tcPr>
          <w:p w14:paraId="74C97288">
            <w:pPr>
              <w:wordWrap w:val="0"/>
              <w:spacing w:before="124" w:beforeLines="40" w:line="360" w:lineRule="auto"/>
              <w:jc w:val="center"/>
              <w:rPr>
                <w:rFonts w:ascii="宋体" w:hAnsi="宋体" w:eastAsia="宋体"/>
                <w:color w:val="auto"/>
              </w:rPr>
            </w:pPr>
          </w:p>
        </w:tc>
        <w:tc>
          <w:tcPr>
            <w:tcW w:w="2410" w:type="dxa"/>
            <w:vAlign w:val="center"/>
          </w:tcPr>
          <w:p w14:paraId="16482192">
            <w:pPr>
              <w:wordWrap w:val="0"/>
              <w:spacing w:before="124" w:beforeLines="40" w:line="360" w:lineRule="auto"/>
              <w:jc w:val="center"/>
              <w:rPr>
                <w:rFonts w:ascii="宋体" w:hAnsi="宋体" w:eastAsia="宋体"/>
                <w:color w:val="auto"/>
              </w:rPr>
            </w:pPr>
            <w:r>
              <w:rPr>
                <w:rFonts w:hint="eastAsia" w:ascii="宋体" w:hAnsi="宋体" w:eastAsia="宋体"/>
                <w:color w:val="auto"/>
              </w:rPr>
              <w:t>其他要求</w:t>
            </w:r>
          </w:p>
        </w:tc>
        <w:tc>
          <w:tcPr>
            <w:tcW w:w="4961" w:type="dxa"/>
            <w:vAlign w:val="center"/>
          </w:tcPr>
          <w:p w14:paraId="4039763A">
            <w:pPr>
              <w:wordWrap w:val="0"/>
              <w:spacing w:before="124" w:beforeLines="40" w:line="360" w:lineRule="auto"/>
              <w:rPr>
                <w:rFonts w:ascii="宋体" w:hAnsi="宋体" w:eastAsia="宋体"/>
                <w:color w:val="auto"/>
              </w:rPr>
            </w:pPr>
            <w:r>
              <w:rPr>
                <w:rFonts w:hint="eastAsia" w:ascii="宋体" w:hAnsi="宋体" w:eastAsia="宋体"/>
                <w:color w:val="auto"/>
              </w:rPr>
              <w:t>符合招标文件要求</w:t>
            </w:r>
          </w:p>
        </w:tc>
      </w:tr>
      <w:bookmarkEnd w:id="509"/>
    </w:tbl>
    <w:p w14:paraId="069D6BF8">
      <w:pPr>
        <w:spacing w:line="360" w:lineRule="auto"/>
        <w:rPr>
          <w:rFonts w:ascii="宋体" w:hAnsi="宋体" w:eastAsia="宋体" w:cs="Times New Roman"/>
          <w:color w:val="auto"/>
        </w:rPr>
      </w:pPr>
      <w:r>
        <w:rPr>
          <w:rFonts w:ascii="宋体" w:hAnsi="宋体" w:eastAsia="宋体" w:cs="Times New Roman"/>
          <w:color w:val="auto"/>
        </w:rPr>
        <w:br w:type="page"/>
      </w:r>
    </w:p>
    <w:tbl>
      <w:tblPr>
        <w:tblStyle w:val="39"/>
        <w:tblW w:w="9357"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2552"/>
        <w:gridCol w:w="4820"/>
      </w:tblGrid>
      <w:tr w14:paraId="087A34A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tcBorders>
              <w:top w:val="thinThickSmallGap" w:color="auto" w:sz="12" w:space="0"/>
            </w:tcBorders>
            <w:vAlign w:val="center"/>
          </w:tcPr>
          <w:p w14:paraId="30AD3351">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条款号</w:t>
            </w:r>
          </w:p>
        </w:tc>
        <w:tc>
          <w:tcPr>
            <w:tcW w:w="2552" w:type="dxa"/>
            <w:tcBorders>
              <w:top w:val="thinThickSmallGap" w:color="auto" w:sz="12" w:space="0"/>
            </w:tcBorders>
            <w:vAlign w:val="center"/>
          </w:tcPr>
          <w:p w14:paraId="2D1AB64E">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条款内容</w:t>
            </w:r>
          </w:p>
        </w:tc>
        <w:tc>
          <w:tcPr>
            <w:tcW w:w="4820" w:type="dxa"/>
            <w:tcBorders>
              <w:top w:val="thinThickSmallGap" w:color="auto" w:sz="12" w:space="0"/>
            </w:tcBorders>
            <w:vAlign w:val="center"/>
          </w:tcPr>
          <w:p w14:paraId="3F585850">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编列内容</w:t>
            </w:r>
          </w:p>
        </w:tc>
      </w:tr>
      <w:tr w14:paraId="791134B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0941391C">
            <w:pPr>
              <w:spacing w:before="124" w:beforeLines="40" w:line="360" w:lineRule="auto"/>
              <w:jc w:val="center"/>
              <w:rPr>
                <w:rFonts w:ascii="宋体" w:hAnsi="宋体" w:eastAsia="宋体" w:cs="宋体"/>
                <w:color w:val="auto"/>
              </w:rPr>
            </w:pPr>
            <w:r>
              <w:rPr>
                <w:rFonts w:ascii="宋体" w:hAnsi="宋体" w:eastAsia="宋体" w:cs="宋体"/>
                <w:color w:val="auto"/>
              </w:rPr>
              <w:t>3.1.1</w:t>
            </w:r>
          </w:p>
        </w:tc>
        <w:tc>
          <w:tcPr>
            <w:tcW w:w="2552" w:type="dxa"/>
            <w:vAlign w:val="center"/>
          </w:tcPr>
          <w:p w14:paraId="7C6B0E64">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评标价</w:t>
            </w:r>
          </w:p>
        </w:tc>
        <w:tc>
          <w:tcPr>
            <w:tcW w:w="4820" w:type="dxa"/>
            <w:vAlign w:val="center"/>
          </w:tcPr>
          <w:p w14:paraId="6BB37D41">
            <w:pPr>
              <w:spacing w:before="124" w:beforeLines="40" w:line="360" w:lineRule="auto"/>
              <w:rPr>
                <w:rFonts w:ascii="宋体" w:hAnsi="宋体" w:eastAsia="宋体" w:cs="Times New Roman"/>
                <w:color w:val="auto"/>
              </w:rPr>
            </w:pPr>
            <w:r>
              <w:rPr>
                <w:rFonts w:hint="eastAsia" w:ascii="宋体" w:hAnsi="宋体" w:eastAsia="宋体" w:cs="宋体"/>
                <w:color w:val="auto"/>
              </w:rPr>
              <w:t>投标函中的大写含税价格。</w:t>
            </w:r>
          </w:p>
          <w:p w14:paraId="24693288">
            <w:pPr>
              <w:spacing w:before="124" w:beforeLines="40" w:line="360" w:lineRule="auto"/>
              <w:rPr>
                <w:rFonts w:ascii="宋体" w:hAnsi="宋体" w:eastAsia="宋体" w:cs="Times New Roman"/>
                <w:color w:val="auto"/>
              </w:rPr>
            </w:pPr>
            <w:r>
              <w:rPr>
                <w:rFonts w:hint="eastAsia" w:ascii="宋体" w:hAnsi="宋体" w:eastAsia="宋体" w:cs="宋体"/>
                <w:color w:val="auto"/>
              </w:rPr>
              <w:t>小微企业（监狱企业、残疾人福利性单位）按扣除后的价格进行评审。</w:t>
            </w:r>
          </w:p>
        </w:tc>
      </w:tr>
      <w:tr w14:paraId="1345D8F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6C19F1A6">
            <w:pPr>
              <w:spacing w:before="124" w:beforeLines="40" w:line="360" w:lineRule="auto"/>
              <w:jc w:val="center"/>
              <w:rPr>
                <w:rFonts w:ascii="宋体" w:hAnsi="宋体" w:eastAsia="宋体" w:cs="宋体"/>
                <w:color w:val="auto"/>
              </w:rPr>
            </w:pPr>
            <w:r>
              <w:rPr>
                <w:rFonts w:ascii="宋体" w:hAnsi="宋体" w:eastAsia="宋体" w:cs="宋体"/>
                <w:color w:val="auto"/>
              </w:rPr>
              <w:t>3.2.1</w:t>
            </w:r>
          </w:p>
        </w:tc>
        <w:tc>
          <w:tcPr>
            <w:tcW w:w="2552" w:type="dxa"/>
            <w:vAlign w:val="center"/>
          </w:tcPr>
          <w:p w14:paraId="0632C1D6">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分值构成</w:t>
            </w:r>
          </w:p>
          <w:p w14:paraId="3DFDB397">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（总分</w:t>
            </w:r>
            <w:r>
              <w:rPr>
                <w:rFonts w:ascii="宋体" w:hAnsi="宋体" w:eastAsia="宋体" w:cs="宋体"/>
                <w:color w:val="auto"/>
              </w:rPr>
              <w:t>100</w:t>
            </w:r>
            <w:r>
              <w:rPr>
                <w:rFonts w:hint="eastAsia" w:ascii="宋体" w:hAnsi="宋体" w:eastAsia="宋体" w:cs="宋体"/>
                <w:color w:val="auto"/>
              </w:rPr>
              <w:t>分）</w:t>
            </w:r>
          </w:p>
        </w:tc>
        <w:tc>
          <w:tcPr>
            <w:tcW w:w="4820" w:type="dxa"/>
            <w:vAlign w:val="center"/>
          </w:tcPr>
          <w:p w14:paraId="686FF572">
            <w:pPr>
              <w:spacing w:before="124" w:beforeLines="4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）商务部分：</w:t>
            </w:r>
            <w:r>
              <w:rPr>
                <w:rFonts w:ascii="宋体" w:hAnsi="宋体" w:eastAsia="宋体" w:cs="宋体"/>
                <w:color w:val="auto"/>
              </w:rPr>
              <w:t>44</w:t>
            </w:r>
            <w:r>
              <w:rPr>
                <w:rFonts w:hint="eastAsia" w:ascii="宋体" w:hAnsi="宋体" w:eastAsia="宋体" w:cs="宋体"/>
                <w:color w:val="auto"/>
              </w:rPr>
              <w:t>分</w:t>
            </w:r>
          </w:p>
          <w:p w14:paraId="069DF516">
            <w:pPr>
              <w:spacing w:before="124" w:beforeLines="4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）技术部分：</w:t>
            </w:r>
            <w:r>
              <w:rPr>
                <w:rFonts w:ascii="宋体" w:hAnsi="宋体" w:eastAsia="宋体" w:cs="宋体"/>
                <w:color w:val="auto"/>
              </w:rPr>
              <w:t>26</w:t>
            </w:r>
            <w:r>
              <w:rPr>
                <w:rFonts w:hint="eastAsia" w:ascii="宋体" w:hAnsi="宋体" w:eastAsia="宋体" w:cs="宋体"/>
                <w:color w:val="auto"/>
              </w:rPr>
              <w:t>分</w:t>
            </w:r>
          </w:p>
          <w:p w14:paraId="3832AA3C">
            <w:pPr>
              <w:spacing w:before="124" w:beforeLines="4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）投标报价：</w:t>
            </w:r>
            <w:r>
              <w:rPr>
                <w:rFonts w:ascii="宋体" w:hAnsi="宋体" w:eastAsia="宋体" w:cs="宋体"/>
                <w:color w:val="auto"/>
              </w:rPr>
              <w:t>30</w:t>
            </w:r>
            <w:r>
              <w:rPr>
                <w:rFonts w:hint="eastAsia" w:ascii="宋体" w:hAnsi="宋体" w:eastAsia="宋体" w:cs="宋体"/>
                <w:color w:val="auto"/>
              </w:rPr>
              <w:t>分</w:t>
            </w:r>
          </w:p>
          <w:p w14:paraId="2A49C1E2">
            <w:pPr>
              <w:spacing w:before="124" w:beforeLines="40" w:line="360" w:lineRule="auto"/>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4</w:t>
            </w:r>
            <w:r>
              <w:rPr>
                <w:rFonts w:hint="eastAsia" w:ascii="宋体" w:hAnsi="宋体" w:eastAsia="宋体" w:cs="宋体"/>
                <w:color w:val="auto"/>
              </w:rPr>
              <w:t>）其他评分因素：</w:t>
            </w:r>
            <w:r>
              <w:rPr>
                <w:rFonts w:ascii="宋体" w:hAnsi="宋体" w:eastAsia="宋体" w:cs="宋体"/>
                <w:color w:val="auto"/>
              </w:rPr>
              <w:t>0</w:t>
            </w:r>
            <w:r>
              <w:rPr>
                <w:rFonts w:hint="eastAsia" w:ascii="宋体" w:hAnsi="宋体" w:eastAsia="宋体" w:cs="宋体"/>
                <w:color w:val="auto"/>
              </w:rPr>
              <w:t>分</w:t>
            </w:r>
          </w:p>
        </w:tc>
      </w:tr>
      <w:tr w14:paraId="22D7C4C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47311F0C">
            <w:pPr>
              <w:spacing w:before="124" w:beforeLines="40" w:line="360" w:lineRule="auto"/>
              <w:jc w:val="center"/>
              <w:rPr>
                <w:rFonts w:ascii="宋体" w:hAnsi="宋体" w:eastAsia="宋体" w:cs="Times New Roman"/>
                <w:color w:val="auto"/>
              </w:rPr>
            </w:pPr>
            <w:r>
              <w:rPr>
                <w:rFonts w:ascii="宋体" w:hAnsi="宋体" w:eastAsia="宋体" w:cs="宋体"/>
                <w:color w:val="auto"/>
              </w:rPr>
              <w:t>3.2.2</w:t>
            </w: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w:t>
            </w:r>
          </w:p>
        </w:tc>
        <w:tc>
          <w:tcPr>
            <w:tcW w:w="2552" w:type="dxa"/>
            <w:vAlign w:val="center"/>
          </w:tcPr>
          <w:p w14:paraId="6E3990ED">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评标基准价计算方法</w:t>
            </w:r>
          </w:p>
        </w:tc>
        <w:tc>
          <w:tcPr>
            <w:tcW w:w="4820" w:type="dxa"/>
            <w:vAlign w:val="center"/>
          </w:tcPr>
          <w:p w14:paraId="59CDB19E">
            <w:pPr>
              <w:spacing w:before="124" w:beforeLines="40" w:line="360" w:lineRule="auto"/>
              <w:rPr>
                <w:rFonts w:ascii="宋体" w:hAnsi="宋体" w:eastAsia="宋体" w:cs="Times New Roman"/>
                <w:color w:val="auto"/>
              </w:rPr>
            </w:pPr>
            <w:r>
              <w:rPr>
                <w:rFonts w:hint="eastAsia" w:ascii="宋体" w:hAnsi="宋体" w:eastAsia="宋体" w:cs="宋体"/>
                <w:color w:val="auto"/>
              </w:rPr>
              <w:t>满足招标文件要求且投标价格最低的投标报价为评标基准价</w:t>
            </w:r>
          </w:p>
        </w:tc>
      </w:tr>
      <w:tr w14:paraId="07E2EED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5463F12A">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条款号</w:t>
            </w:r>
          </w:p>
        </w:tc>
        <w:tc>
          <w:tcPr>
            <w:tcW w:w="2552" w:type="dxa"/>
            <w:vAlign w:val="center"/>
          </w:tcPr>
          <w:p w14:paraId="4D7DCC45">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评分因素</w:t>
            </w:r>
          </w:p>
        </w:tc>
        <w:tc>
          <w:tcPr>
            <w:tcW w:w="4820" w:type="dxa"/>
            <w:vAlign w:val="center"/>
          </w:tcPr>
          <w:p w14:paraId="2C51A8DC">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评分标准</w:t>
            </w:r>
          </w:p>
        </w:tc>
      </w:tr>
      <w:tr w14:paraId="305FB12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restart"/>
            <w:vAlign w:val="center"/>
          </w:tcPr>
          <w:p w14:paraId="3ADE5631">
            <w:pPr>
              <w:spacing w:before="124" w:beforeLines="40" w:line="360" w:lineRule="auto"/>
              <w:jc w:val="center"/>
              <w:rPr>
                <w:rFonts w:ascii="宋体" w:hAnsi="宋体" w:eastAsia="宋体" w:cs="宋体"/>
                <w:color w:val="auto"/>
              </w:rPr>
            </w:pPr>
            <w:r>
              <w:rPr>
                <w:rFonts w:hint="eastAsia" w:ascii="宋体" w:hAnsi="宋体" w:eastAsia="宋体" w:cs="宋体"/>
                <w:color w:val="auto"/>
              </w:rPr>
              <w:t>3.2.3（1）</w:t>
            </w:r>
          </w:p>
        </w:tc>
        <w:tc>
          <w:tcPr>
            <w:tcW w:w="1134" w:type="dxa"/>
            <w:vMerge w:val="restart"/>
            <w:vAlign w:val="center"/>
          </w:tcPr>
          <w:p w14:paraId="2C9F0738">
            <w:pPr>
              <w:spacing w:before="124" w:beforeLines="40" w:line="360" w:lineRule="auto"/>
              <w:jc w:val="center"/>
              <w:rPr>
                <w:rFonts w:ascii="宋体" w:hAnsi="宋体" w:eastAsia="宋体" w:cs="宋体"/>
                <w:color w:val="auto"/>
              </w:rPr>
            </w:pPr>
            <w:r>
              <w:rPr>
                <w:rFonts w:hint="eastAsia" w:ascii="宋体" w:hAnsi="宋体" w:eastAsia="宋体" w:cs="宋体"/>
                <w:color w:val="auto"/>
              </w:rPr>
              <w:t>商务评分标准</w:t>
            </w:r>
          </w:p>
        </w:tc>
        <w:tc>
          <w:tcPr>
            <w:tcW w:w="2552" w:type="dxa"/>
            <w:vAlign w:val="center"/>
          </w:tcPr>
          <w:p w14:paraId="59B824F1">
            <w:pPr>
              <w:spacing w:before="124" w:beforeLines="40" w:line="360" w:lineRule="auto"/>
              <w:jc w:val="center"/>
              <w:rPr>
                <w:rFonts w:ascii="宋体" w:hAnsi="宋体" w:eastAsia="宋体" w:cs="宋体"/>
                <w:color w:val="auto"/>
              </w:rPr>
            </w:pPr>
            <w:r>
              <w:rPr>
                <w:rFonts w:hint="eastAsia" w:ascii="宋体" w:hAnsi="宋体" w:eastAsia="宋体" w:cs="宋体"/>
                <w:color w:val="auto"/>
              </w:rPr>
              <w:t>供货方案及时间进度计划安排（满分</w:t>
            </w:r>
            <w:r>
              <w:rPr>
                <w:rFonts w:hint="eastAsia" w:ascii="宋体" w:hAnsi="宋体" w:eastAsia="宋体" w:cs="宋体"/>
                <w:color w:val="auto"/>
                <w:lang w:val="en-US" w:eastAsia="zh-CN"/>
              </w:rPr>
              <w:t>15</w:t>
            </w:r>
            <w:r>
              <w:rPr>
                <w:rFonts w:hint="eastAsia" w:ascii="宋体" w:hAnsi="宋体" w:eastAsia="宋体" w:cs="宋体"/>
                <w:color w:val="auto"/>
              </w:rPr>
              <w:t>分）</w:t>
            </w:r>
          </w:p>
        </w:tc>
        <w:tc>
          <w:tcPr>
            <w:tcW w:w="4820" w:type="dxa"/>
            <w:vAlign w:val="center"/>
          </w:tcPr>
          <w:p w14:paraId="3B10B3B4">
            <w:pPr>
              <w:spacing w:before="124" w:beforeLines="40" w:line="360" w:lineRule="auto"/>
              <w:rPr>
                <w:rFonts w:ascii="宋体" w:hAnsi="宋体" w:eastAsia="宋体" w:cs="宋体"/>
                <w:color w:val="auto"/>
              </w:rPr>
            </w:pPr>
            <w:r>
              <w:rPr>
                <w:rFonts w:hint="eastAsia" w:ascii="宋体" w:hAnsi="宋体" w:eastAsia="宋体" w:cs="宋体"/>
                <w:color w:val="auto"/>
              </w:rPr>
              <w:t>第一个档次（15</w:t>
            </w:r>
            <w:r>
              <w:rPr>
                <w:rFonts w:ascii="宋体" w:hAnsi="宋体" w:eastAsia="宋体" w:cs="宋体"/>
                <w:color w:val="auto"/>
              </w:rPr>
              <w:t>分）：</w:t>
            </w:r>
            <w:r>
              <w:rPr>
                <w:rFonts w:hint="eastAsia" w:ascii="宋体" w:hAnsi="宋体" w:eastAsia="宋体" w:cs="宋体"/>
                <w:color w:val="auto"/>
              </w:rPr>
              <w:t>供</w:t>
            </w:r>
            <w:r>
              <w:rPr>
                <w:rFonts w:ascii="宋体" w:hAnsi="宋体" w:eastAsia="宋体" w:cs="宋体"/>
                <w:color w:val="auto"/>
              </w:rPr>
              <w:t>货方案及时间进度计计划安排优于招标文件要求，安排具体、切实可行、科学规范、针对性强，项目管理的进度计划完整、详细；</w:t>
            </w:r>
          </w:p>
          <w:p w14:paraId="64216EE8">
            <w:pPr>
              <w:spacing w:before="124" w:beforeLines="40" w:line="360" w:lineRule="auto"/>
              <w:rPr>
                <w:rFonts w:ascii="宋体" w:hAnsi="宋体" w:eastAsia="宋体" w:cs="宋体"/>
                <w:color w:val="auto"/>
              </w:rPr>
            </w:pPr>
            <w:r>
              <w:rPr>
                <w:rFonts w:hint="eastAsia" w:ascii="宋体" w:hAnsi="宋体" w:eastAsia="宋体" w:cs="宋体"/>
                <w:color w:val="auto"/>
              </w:rPr>
              <w:t>第二个档次（12</w:t>
            </w:r>
            <w:r>
              <w:rPr>
                <w:rFonts w:ascii="宋体" w:hAnsi="宋体" w:eastAsia="宋体" w:cs="宋体"/>
                <w:color w:val="auto"/>
              </w:rPr>
              <w:t>分）：</w:t>
            </w:r>
            <w:r>
              <w:rPr>
                <w:rFonts w:hint="eastAsia" w:ascii="宋体" w:hAnsi="宋体" w:eastAsia="宋体" w:cs="宋体"/>
                <w:color w:val="auto"/>
              </w:rPr>
              <w:t>供</w:t>
            </w:r>
            <w:r>
              <w:rPr>
                <w:rFonts w:ascii="宋体" w:hAnsi="宋体" w:eastAsia="宋体" w:cs="宋体"/>
                <w:color w:val="auto"/>
              </w:rPr>
              <w:t>货方案及时间进度计划安排满足招标文件要求，内容完整、安排较合理、切实可行、科学规范、针对性较强；项目管理的进度计划较详细；</w:t>
            </w:r>
          </w:p>
          <w:p w14:paraId="376B3311">
            <w:pPr>
              <w:spacing w:before="124" w:beforeLines="40" w:line="360" w:lineRule="auto"/>
              <w:rPr>
                <w:rFonts w:ascii="宋体" w:hAnsi="宋体" w:eastAsia="宋体" w:cs="宋体"/>
                <w:color w:val="auto"/>
              </w:rPr>
            </w:pPr>
            <w:r>
              <w:rPr>
                <w:rFonts w:hint="eastAsia" w:ascii="宋体" w:hAnsi="宋体" w:eastAsia="宋体" w:cs="宋体"/>
                <w:color w:val="auto"/>
              </w:rPr>
              <w:t>第三个档次（9</w:t>
            </w:r>
            <w:r>
              <w:rPr>
                <w:rFonts w:ascii="宋体" w:hAnsi="宋体" w:eastAsia="宋体" w:cs="宋体"/>
                <w:color w:val="auto"/>
              </w:rPr>
              <w:t>分）：</w:t>
            </w:r>
            <w:r>
              <w:rPr>
                <w:rFonts w:hint="eastAsia" w:ascii="宋体" w:hAnsi="宋体" w:eastAsia="宋体" w:cs="宋体"/>
                <w:color w:val="auto"/>
              </w:rPr>
              <w:t>供</w:t>
            </w:r>
            <w:r>
              <w:rPr>
                <w:rFonts w:ascii="宋体" w:hAnsi="宋体" w:eastAsia="宋体" w:cs="宋体"/>
                <w:color w:val="auto"/>
              </w:rPr>
              <w:t>货方案及时间进度计划安排基本满足招标文件要求，安排合理、针对性较好，项目管理的进度计划一般；</w:t>
            </w:r>
          </w:p>
          <w:p w14:paraId="2DE9765F">
            <w:pPr>
              <w:spacing w:before="124" w:beforeLines="40" w:line="360" w:lineRule="auto"/>
              <w:rPr>
                <w:rFonts w:ascii="宋体" w:hAnsi="宋体" w:eastAsia="宋体" w:cs="宋体"/>
                <w:color w:val="auto"/>
              </w:rPr>
            </w:pPr>
            <w:r>
              <w:rPr>
                <w:rFonts w:hint="eastAsia" w:ascii="宋体" w:hAnsi="宋体" w:eastAsia="宋体" w:cs="宋体"/>
                <w:color w:val="auto"/>
              </w:rPr>
              <w:t>第四个档次（6</w:t>
            </w:r>
            <w:r>
              <w:rPr>
                <w:rFonts w:ascii="宋体" w:hAnsi="宋体" w:eastAsia="宋体" w:cs="宋体"/>
                <w:color w:val="auto"/>
              </w:rPr>
              <w:t>分）：</w:t>
            </w:r>
            <w:r>
              <w:rPr>
                <w:rFonts w:hint="eastAsia" w:ascii="宋体" w:hAnsi="宋体" w:eastAsia="宋体" w:cs="宋体"/>
                <w:color w:val="auto"/>
              </w:rPr>
              <w:t>供</w:t>
            </w:r>
            <w:r>
              <w:rPr>
                <w:rFonts w:ascii="宋体" w:hAnsi="宋体" w:eastAsia="宋体" w:cs="宋体"/>
                <w:color w:val="auto"/>
              </w:rPr>
              <w:t>货方案及时间进度计划安排基本满足招标文件要求，针对性一般，项目管理的进度计划较差；</w:t>
            </w:r>
          </w:p>
          <w:p w14:paraId="07C493B9">
            <w:pPr>
              <w:spacing w:before="124" w:beforeLines="40" w:line="360" w:lineRule="auto"/>
              <w:rPr>
                <w:rFonts w:ascii="宋体" w:hAnsi="宋体" w:eastAsia="宋体" w:cs="宋体"/>
                <w:color w:val="auto"/>
              </w:rPr>
            </w:pPr>
            <w:r>
              <w:rPr>
                <w:rFonts w:hint="eastAsia" w:ascii="宋体" w:hAnsi="宋体" w:eastAsia="宋体" w:cs="宋体"/>
                <w:color w:val="auto"/>
              </w:rPr>
              <w:t>第五个档次（2</w:t>
            </w:r>
            <w:r>
              <w:rPr>
                <w:rFonts w:ascii="宋体" w:hAnsi="宋体" w:eastAsia="宋体" w:cs="宋体"/>
                <w:color w:val="auto"/>
              </w:rPr>
              <w:t>分）：</w:t>
            </w:r>
            <w:r>
              <w:rPr>
                <w:rFonts w:hint="eastAsia" w:ascii="宋体" w:hAnsi="宋体" w:eastAsia="宋体" w:cs="宋体"/>
                <w:color w:val="auto"/>
              </w:rPr>
              <w:t>供</w:t>
            </w:r>
            <w:r>
              <w:rPr>
                <w:rFonts w:ascii="宋体" w:hAnsi="宋体" w:eastAsia="宋体" w:cs="宋体"/>
                <w:color w:val="auto"/>
              </w:rPr>
              <w:t>货方案及时间进度计划安排欠缺，内容一般、无项目管理的进度计划。</w:t>
            </w:r>
          </w:p>
          <w:p w14:paraId="741543BA">
            <w:pPr>
              <w:spacing w:before="124" w:beforeLines="40" w:line="360" w:lineRule="auto"/>
              <w:rPr>
                <w:rFonts w:ascii="宋体" w:hAnsi="宋体" w:eastAsia="宋体" w:cs="宋体"/>
                <w:color w:val="auto"/>
              </w:rPr>
            </w:pPr>
            <w:r>
              <w:rPr>
                <w:rFonts w:hint="eastAsia" w:ascii="宋体" w:hAnsi="宋体" w:eastAsia="宋体" w:cs="宋体"/>
                <w:color w:val="auto"/>
              </w:rPr>
              <w:t>注：无供</w:t>
            </w:r>
            <w:r>
              <w:rPr>
                <w:rFonts w:ascii="宋体" w:hAnsi="宋体" w:eastAsia="宋体" w:cs="宋体"/>
                <w:color w:val="auto"/>
              </w:rPr>
              <w:t>货</w:t>
            </w:r>
            <w:r>
              <w:rPr>
                <w:rFonts w:hint="eastAsia" w:ascii="宋体" w:hAnsi="宋体" w:eastAsia="宋体" w:cs="宋体"/>
                <w:color w:val="auto"/>
              </w:rPr>
              <w:t>方案及时间进度计划安排的不得分。</w:t>
            </w:r>
          </w:p>
        </w:tc>
      </w:tr>
      <w:tr w14:paraId="5ABD799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3AA503AC">
            <w:pPr>
              <w:spacing w:before="124" w:beforeLines="40" w:line="360" w:lineRule="auto"/>
              <w:jc w:val="center"/>
              <w:rPr>
                <w:rFonts w:ascii="宋体" w:hAnsi="宋体" w:eastAsia="宋体" w:cs="Times New Roman"/>
                <w:color w:val="auto"/>
              </w:rPr>
            </w:pPr>
          </w:p>
        </w:tc>
        <w:tc>
          <w:tcPr>
            <w:tcW w:w="1134" w:type="dxa"/>
            <w:vMerge w:val="continue"/>
            <w:vAlign w:val="center"/>
          </w:tcPr>
          <w:p w14:paraId="4820E4B1">
            <w:pPr>
              <w:spacing w:before="124" w:beforeLines="40" w:line="360" w:lineRule="auto"/>
              <w:jc w:val="center"/>
              <w:rPr>
                <w:rFonts w:ascii="宋体" w:hAnsi="宋体" w:eastAsia="宋体" w:cs="Times New Roman"/>
                <w:color w:val="auto"/>
              </w:rPr>
            </w:pPr>
          </w:p>
        </w:tc>
        <w:tc>
          <w:tcPr>
            <w:tcW w:w="2552" w:type="dxa"/>
            <w:vAlign w:val="center"/>
          </w:tcPr>
          <w:p w14:paraId="69B5F90C">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质量保证措施及承诺</w:t>
            </w:r>
          </w:p>
          <w:p w14:paraId="2267F96F">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（满分</w:t>
            </w:r>
            <w:r>
              <w:rPr>
                <w:rFonts w:hint="eastAsia" w:ascii="宋体" w:hAnsi="宋体" w:eastAsia="宋体" w:cs="宋体"/>
                <w:color w:val="auto"/>
                <w:lang w:val="en-US" w:eastAsia="zh-CN"/>
              </w:rPr>
              <w:t>12</w:t>
            </w:r>
            <w:r>
              <w:rPr>
                <w:rFonts w:hint="eastAsia" w:ascii="宋体" w:hAnsi="宋体" w:eastAsia="宋体" w:cs="宋体"/>
                <w:color w:val="auto"/>
              </w:rPr>
              <w:t>分）</w:t>
            </w:r>
          </w:p>
        </w:tc>
        <w:tc>
          <w:tcPr>
            <w:tcW w:w="4820" w:type="dxa"/>
            <w:vAlign w:val="center"/>
          </w:tcPr>
          <w:p w14:paraId="6D599DEC">
            <w:pPr>
              <w:spacing w:before="124" w:beforeLines="40" w:line="360" w:lineRule="auto"/>
              <w:rPr>
                <w:rFonts w:ascii="宋体" w:hAnsi="宋体" w:eastAsia="宋体" w:cs="宋体"/>
                <w:color w:val="auto"/>
              </w:rPr>
            </w:pPr>
            <w:r>
              <w:rPr>
                <w:rFonts w:hint="eastAsia" w:ascii="宋体" w:hAnsi="宋体" w:eastAsia="宋体" w:cs="宋体"/>
                <w:color w:val="auto"/>
              </w:rPr>
              <w:t>第一个档次（12分）：产品质量承诺内容完整、详细、具体、实际可行，与采购需求贴切有针对性，对产品质量有具体、详细、实际可履行的保证措施及处罚措施的</w:t>
            </w:r>
            <w:r>
              <w:rPr>
                <w:rFonts w:ascii="宋体" w:hAnsi="宋体" w:eastAsia="宋体" w:cs="宋体"/>
                <w:color w:val="auto"/>
              </w:rPr>
              <w:t>；</w:t>
            </w:r>
          </w:p>
          <w:p w14:paraId="785DBD03">
            <w:pPr>
              <w:spacing w:before="124" w:beforeLines="40" w:line="360" w:lineRule="auto"/>
              <w:rPr>
                <w:rFonts w:ascii="宋体" w:hAnsi="宋体" w:eastAsia="宋体" w:cs="宋体"/>
                <w:color w:val="auto"/>
              </w:rPr>
            </w:pPr>
            <w:r>
              <w:rPr>
                <w:rFonts w:hint="eastAsia" w:ascii="宋体" w:hAnsi="宋体" w:eastAsia="宋体" w:cs="宋体"/>
                <w:color w:val="auto"/>
              </w:rPr>
              <w:t>第二个档次（9分）：产品质量承诺主要内容完整、有针对性，对产品质量有简单但能满足采购需求的保证措施及处罚措施的</w:t>
            </w:r>
            <w:r>
              <w:rPr>
                <w:rFonts w:ascii="宋体" w:hAnsi="宋体" w:eastAsia="宋体" w:cs="宋体"/>
                <w:color w:val="auto"/>
              </w:rPr>
              <w:t>；</w:t>
            </w:r>
          </w:p>
          <w:p w14:paraId="5ED646E6">
            <w:pPr>
              <w:spacing w:before="124" w:beforeLines="40" w:line="360" w:lineRule="auto"/>
              <w:rPr>
                <w:rFonts w:ascii="宋体" w:hAnsi="宋体" w:eastAsia="宋体" w:cs="宋体"/>
                <w:color w:val="auto"/>
              </w:rPr>
            </w:pPr>
            <w:r>
              <w:rPr>
                <w:rFonts w:hint="eastAsia" w:ascii="宋体" w:hAnsi="宋体" w:eastAsia="宋体" w:cs="宋体"/>
                <w:color w:val="auto"/>
              </w:rPr>
              <w:t>第三个档次（6分）：产品质量承诺内容错略或模糊，不具体，对产品质量有保证措施及处罚措施，但难以实际履行或不能满足采购需求的</w:t>
            </w:r>
            <w:r>
              <w:rPr>
                <w:rFonts w:ascii="宋体" w:hAnsi="宋体" w:eastAsia="宋体" w:cs="宋体"/>
                <w:color w:val="auto"/>
              </w:rPr>
              <w:t>；</w:t>
            </w:r>
          </w:p>
          <w:p w14:paraId="1ED052A7">
            <w:pPr>
              <w:spacing w:before="124" w:beforeLines="40" w:line="360" w:lineRule="auto"/>
              <w:rPr>
                <w:rFonts w:ascii="宋体" w:hAnsi="宋体" w:eastAsia="宋体" w:cs="宋体"/>
                <w:color w:val="auto"/>
              </w:rPr>
            </w:pPr>
            <w:r>
              <w:rPr>
                <w:rFonts w:hint="eastAsia" w:ascii="宋体" w:hAnsi="宋体" w:eastAsia="宋体" w:cs="宋体"/>
                <w:color w:val="auto"/>
              </w:rPr>
              <w:t>第四个档次（2分）：产品质量承诺错乱或关键内容缺失，对产品质量无保证措施或处罚措施的</w:t>
            </w:r>
            <w:r>
              <w:rPr>
                <w:rFonts w:ascii="宋体" w:hAnsi="宋体" w:eastAsia="宋体" w:cs="宋体"/>
                <w:color w:val="auto"/>
              </w:rPr>
              <w:t>；</w:t>
            </w:r>
          </w:p>
          <w:p w14:paraId="6EABC16E">
            <w:pPr>
              <w:spacing w:before="124" w:beforeLines="40" w:line="360" w:lineRule="auto"/>
              <w:rPr>
                <w:rFonts w:ascii="宋体" w:hAnsi="宋体" w:eastAsia="宋体" w:cs="Times New Roman"/>
                <w:color w:val="auto"/>
              </w:rPr>
            </w:pPr>
            <w:r>
              <w:rPr>
                <w:rFonts w:hint="eastAsia" w:ascii="宋体" w:hAnsi="宋体" w:eastAsia="宋体" w:cs="宋体"/>
                <w:color w:val="auto"/>
              </w:rPr>
              <w:t>注：未提供产品质量承诺及保证措施的得0分。</w:t>
            </w:r>
          </w:p>
        </w:tc>
      </w:tr>
      <w:tr w14:paraId="578E1ED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2996E0DB">
            <w:pPr>
              <w:spacing w:before="124" w:beforeLines="40" w:line="360" w:lineRule="auto"/>
              <w:jc w:val="center"/>
              <w:rPr>
                <w:rFonts w:ascii="宋体" w:hAnsi="宋体" w:eastAsia="宋体" w:cs="Times New Roman"/>
                <w:color w:val="auto"/>
              </w:rPr>
            </w:pPr>
          </w:p>
        </w:tc>
        <w:tc>
          <w:tcPr>
            <w:tcW w:w="1134" w:type="dxa"/>
            <w:vMerge w:val="continue"/>
            <w:vAlign w:val="center"/>
          </w:tcPr>
          <w:p w14:paraId="22EE046C">
            <w:pPr>
              <w:spacing w:before="124" w:beforeLines="40" w:line="360" w:lineRule="auto"/>
              <w:jc w:val="center"/>
              <w:rPr>
                <w:rFonts w:ascii="宋体" w:hAnsi="宋体" w:eastAsia="宋体" w:cs="Times New Roman"/>
                <w:color w:val="auto"/>
              </w:rPr>
            </w:pPr>
          </w:p>
        </w:tc>
        <w:tc>
          <w:tcPr>
            <w:tcW w:w="2552" w:type="dxa"/>
            <w:vAlign w:val="center"/>
          </w:tcPr>
          <w:p w14:paraId="40DF3ED8">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培训方案</w:t>
            </w:r>
          </w:p>
          <w:p w14:paraId="5B3587E3">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（满分5分）</w:t>
            </w:r>
          </w:p>
        </w:tc>
        <w:tc>
          <w:tcPr>
            <w:tcW w:w="4820" w:type="dxa"/>
            <w:vAlign w:val="center"/>
          </w:tcPr>
          <w:p w14:paraId="76882F05">
            <w:pPr>
              <w:spacing w:before="124" w:beforeLines="40" w:line="360" w:lineRule="auto"/>
              <w:rPr>
                <w:rFonts w:ascii="宋体" w:hAnsi="宋体" w:eastAsia="宋体" w:cs="Times New Roman"/>
                <w:color w:val="auto"/>
              </w:rPr>
            </w:pPr>
            <w:r>
              <w:rPr>
                <w:rFonts w:hint="eastAsia" w:ascii="宋体" w:hAnsi="宋体" w:eastAsia="宋体" w:cs="宋体"/>
                <w:color w:val="auto"/>
              </w:rPr>
              <w:t>第一个档次（5分）：有完整培训计划，目标明确，保证体系及质量控制措施详细可行，有具体违约承诺的；</w:t>
            </w:r>
          </w:p>
          <w:p w14:paraId="2CCC4D52">
            <w:pPr>
              <w:spacing w:before="124" w:beforeLines="40" w:line="360" w:lineRule="auto"/>
              <w:rPr>
                <w:rFonts w:ascii="宋体" w:hAnsi="宋体" w:eastAsia="宋体" w:cs="Times New Roman"/>
                <w:color w:val="auto"/>
              </w:rPr>
            </w:pPr>
            <w:r>
              <w:rPr>
                <w:rFonts w:hint="eastAsia" w:ascii="宋体" w:hAnsi="宋体" w:eastAsia="宋体" w:cs="宋体"/>
                <w:color w:val="auto"/>
              </w:rPr>
              <w:t>第二个档次（3分）：有完整培训计划，目标明确，保证体系及质量控制措施一般，有违约承诺的；</w:t>
            </w:r>
          </w:p>
          <w:p w14:paraId="46A44BD1">
            <w:pPr>
              <w:spacing w:before="124" w:beforeLines="40" w:line="360" w:lineRule="auto"/>
              <w:rPr>
                <w:rFonts w:ascii="宋体" w:hAnsi="宋体" w:eastAsia="宋体" w:cs="Times New Roman"/>
                <w:color w:val="auto"/>
              </w:rPr>
            </w:pPr>
            <w:r>
              <w:rPr>
                <w:rFonts w:hint="eastAsia" w:ascii="宋体" w:hAnsi="宋体" w:eastAsia="宋体" w:cs="宋体"/>
                <w:color w:val="auto"/>
              </w:rPr>
              <w:t>第三个档次（1分）：培训计划基本完整，有培训目标，保证体系及质量控制措施不合理的；</w:t>
            </w:r>
          </w:p>
          <w:p w14:paraId="35BC2F6A">
            <w:pPr>
              <w:spacing w:before="124" w:beforeLines="40" w:line="360" w:lineRule="auto"/>
              <w:rPr>
                <w:rFonts w:ascii="宋体" w:hAnsi="宋体" w:eastAsia="宋体" w:cs="Times New Roman"/>
                <w:color w:val="auto"/>
              </w:rPr>
            </w:pPr>
            <w:r>
              <w:rPr>
                <w:rFonts w:hint="eastAsia" w:ascii="宋体" w:hAnsi="宋体" w:eastAsia="宋体" w:cs="宋体"/>
                <w:color w:val="auto"/>
              </w:rPr>
              <w:t>注：无培训计划或者培训计划错误的得</w:t>
            </w:r>
            <w:r>
              <w:rPr>
                <w:rFonts w:ascii="宋体" w:hAnsi="宋体" w:eastAsia="宋体" w:cs="宋体"/>
                <w:color w:val="auto"/>
              </w:rPr>
              <w:t>0</w:t>
            </w:r>
            <w:r>
              <w:rPr>
                <w:rFonts w:hint="eastAsia" w:ascii="宋体" w:hAnsi="宋体" w:eastAsia="宋体" w:cs="宋体"/>
                <w:color w:val="auto"/>
              </w:rPr>
              <w:t>分。</w:t>
            </w:r>
          </w:p>
        </w:tc>
      </w:tr>
      <w:tr w14:paraId="65B1735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22123CAE">
            <w:pPr>
              <w:spacing w:before="124" w:beforeLines="40" w:line="360" w:lineRule="auto"/>
              <w:jc w:val="center"/>
              <w:rPr>
                <w:rFonts w:ascii="宋体" w:hAnsi="宋体" w:eastAsia="宋体" w:cs="Times New Roman"/>
                <w:color w:val="auto"/>
              </w:rPr>
            </w:pPr>
          </w:p>
        </w:tc>
        <w:tc>
          <w:tcPr>
            <w:tcW w:w="1134" w:type="dxa"/>
            <w:vMerge w:val="continue"/>
            <w:vAlign w:val="center"/>
          </w:tcPr>
          <w:p w14:paraId="3E735CCD">
            <w:pPr>
              <w:spacing w:before="124" w:beforeLines="40" w:line="360" w:lineRule="auto"/>
              <w:jc w:val="center"/>
              <w:rPr>
                <w:rFonts w:ascii="宋体" w:hAnsi="宋体" w:eastAsia="宋体" w:cs="Times New Roman"/>
                <w:color w:val="auto"/>
              </w:rPr>
            </w:pPr>
          </w:p>
        </w:tc>
        <w:tc>
          <w:tcPr>
            <w:tcW w:w="2552" w:type="dxa"/>
            <w:vAlign w:val="center"/>
          </w:tcPr>
          <w:p w14:paraId="547869CA">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售后服务</w:t>
            </w:r>
          </w:p>
          <w:p w14:paraId="70FAC9BA">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（满分1</w:t>
            </w:r>
            <w:r>
              <w:rPr>
                <w:rFonts w:hint="eastAsia" w:ascii="宋体" w:hAnsi="宋体" w:eastAsia="宋体" w:cs="宋体"/>
                <w:color w:val="auto"/>
                <w:lang w:val="en-US" w:eastAsia="zh-CN"/>
              </w:rPr>
              <w:t>2</w:t>
            </w:r>
            <w:r>
              <w:rPr>
                <w:rFonts w:hint="eastAsia" w:ascii="宋体" w:hAnsi="宋体" w:eastAsia="宋体" w:cs="宋体"/>
                <w:color w:val="auto"/>
              </w:rPr>
              <w:t>分）</w:t>
            </w:r>
          </w:p>
        </w:tc>
        <w:tc>
          <w:tcPr>
            <w:tcW w:w="4820" w:type="dxa"/>
            <w:vAlign w:val="center"/>
          </w:tcPr>
          <w:p w14:paraId="2AC3BBEB">
            <w:pPr>
              <w:spacing w:before="124" w:beforeLines="40" w:line="360" w:lineRule="auto"/>
              <w:rPr>
                <w:rFonts w:ascii="宋体" w:hAnsi="宋体" w:eastAsia="宋体" w:cs="Times New Roman"/>
                <w:color w:val="auto"/>
              </w:rPr>
            </w:pPr>
            <w:r>
              <w:rPr>
                <w:rFonts w:hint="eastAsia" w:ascii="宋体" w:hAnsi="宋体" w:eastAsia="宋体" w:cs="Times New Roman"/>
                <w:color w:val="auto"/>
              </w:rPr>
              <w:t>第一个档次（12</w:t>
            </w:r>
            <w:r>
              <w:rPr>
                <w:rFonts w:ascii="宋体" w:hAnsi="宋体" w:eastAsia="宋体" w:cs="Times New Roman"/>
                <w:color w:val="auto"/>
              </w:rPr>
              <w:t>分）：售后服务能力强，能够提供原厂售后服务，售后服务体系完整度高，保障性强，售后服务方案、承诺及保证完善具体，针对性强，有相应的惩罚措施的；</w:t>
            </w:r>
          </w:p>
          <w:p w14:paraId="10058338">
            <w:pPr>
              <w:spacing w:before="124" w:beforeLines="40" w:line="360" w:lineRule="auto"/>
              <w:rPr>
                <w:rFonts w:ascii="宋体" w:hAnsi="宋体" w:eastAsia="宋体" w:cs="Times New Roman"/>
                <w:color w:val="auto"/>
              </w:rPr>
            </w:pPr>
            <w:r>
              <w:rPr>
                <w:rFonts w:hint="eastAsia" w:ascii="宋体" w:hAnsi="宋体" w:eastAsia="宋体" w:cs="Times New Roman"/>
                <w:color w:val="auto"/>
              </w:rPr>
              <w:t>第二个档次（9</w:t>
            </w:r>
            <w:r>
              <w:rPr>
                <w:rFonts w:ascii="宋体" w:hAnsi="宋体" w:eastAsia="宋体" w:cs="Times New Roman"/>
                <w:color w:val="auto"/>
              </w:rPr>
              <w:t>分）：售后服务能力较强，售后服务体系完整度及保障性较好，售后服务方案、承诺及保证具体可行，有针对性，有相应的惩罚措施的；</w:t>
            </w:r>
          </w:p>
          <w:p w14:paraId="429AA870">
            <w:pPr>
              <w:spacing w:before="124" w:beforeLines="40" w:line="360" w:lineRule="auto"/>
              <w:rPr>
                <w:rFonts w:ascii="宋体" w:hAnsi="宋体" w:eastAsia="宋体" w:cs="Times New Roman"/>
                <w:color w:val="auto"/>
              </w:rPr>
            </w:pPr>
            <w:r>
              <w:rPr>
                <w:rFonts w:hint="eastAsia" w:ascii="宋体" w:hAnsi="宋体" w:eastAsia="宋体" w:cs="Times New Roman"/>
                <w:color w:val="auto"/>
              </w:rPr>
              <w:t>第三个档次（6</w:t>
            </w:r>
            <w:r>
              <w:rPr>
                <w:rFonts w:ascii="宋体" w:hAnsi="宋体" w:eastAsia="宋体" w:cs="Times New Roman"/>
                <w:color w:val="auto"/>
              </w:rPr>
              <w:t>分）：售后服务能力一般，售后服务体系完整度及保障性较好，售后服务方案、承诺及保证具体可行，有一定的针对性；</w:t>
            </w:r>
          </w:p>
          <w:p w14:paraId="53682B7A">
            <w:pPr>
              <w:spacing w:before="124" w:beforeLines="40" w:line="360" w:lineRule="auto"/>
              <w:rPr>
                <w:rFonts w:ascii="宋体" w:hAnsi="宋体" w:eastAsia="宋体" w:cs="Times New Roman"/>
                <w:color w:val="auto"/>
              </w:rPr>
            </w:pPr>
            <w:r>
              <w:rPr>
                <w:rFonts w:hint="eastAsia" w:ascii="宋体" w:hAnsi="宋体" w:eastAsia="宋体" w:cs="Times New Roman"/>
                <w:color w:val="auto"/>
              </w:rPr>
              <w:t>第四个档次（2</w:t>
            </w:r>
            <w:r>
              <w:rPr>
                <w:rFonts w:ascii="宋体" w:hAnsi="宋体" w:eastAsia="宋体" w:cs="Times New Roman"/>
                <w:color w:val="auto"/>
              </w:rPr>
              <w:t>分）：售后服务能力差，售后服务体系完整度及保障性一般，售后服务方案、承诺及保证基本可行，但缺乏针对性；</w:t>
            </w:r>
          </w:p>
          <w:p w14:paraId="370C380B">
            <w:pPr>
              <w:spacing w:before="124" w:beforeLines="40" w:line="360" w:lineRule="auto"/>
              <w:rPr>
                <w:rFonts w:ascii="宋体" w:hAnsi="宋体" w:eastAsia="宋体" w:cs="Times New Roman"/>
                <w:color w:val="auto"/>
              </w:rPr>
            </w:pPr>
            <w:r>
              <w:rPr>
                <w:rFonts w:hint="eastAsia" w:ascii="宋体" w:hAnsi="宋体" w:eastAsia="宋体" w:cs="Times New Roman"/>
                <w:color w:val="auto"/>
              </w:rPr>
              <w:t>注</w:t>
            </w:r>
            <w:r>
              <w:rPr>
                <w:rFonts w:ascii="宋体" w:hAnsi="宋体" w:eastAsia="宋体" w:cs="Times New Roman"/>
                <w:color w:val="auto"/>
              </w:rPr>
              <w:t>：无售后服务方案描述</w:t>
            </w:r>
            <w:r>
              <w:rPr>
                <w:rFonts w:hint="eastAsia" w:ascii="宋体" w:hAnsi="宋体" w:eastAsia="宋体" w:cs="Times New Roman"/>
                <w:color w:val="auto"/>
              </w:rPr>
              <w:t>得0分</w:t>
            </w:r>
            <w:r>
              <w:rPr>
                <w:rFonts w:ascii="宋体" w:hAnsi="宋体" w:eastAsia="宋体" w:cs="Times New Roman"/>
                <w:color w:val="auto"/>
              </w:rPr>
              <w:t>；</w:t>
            </w:r>
          </w:p>
        </w:tc>
      </w:tr>
      <w:tr w14:paraId="220CE8A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restart"/>
            <w:vAlign w:val="center"/>
          </w:tcPr>
          <w:p w14:paraId="6D21C169">
            <w:pPr>
              <w:spacing w:before="124" w:beforeLines="40" w:line="360" w:lineRule="auto"/>
              <w:jc w:val="center"/>
              <w:rPr>
                <w:rFonts w:ascii="宋体" w:hAnsi="宋体" w:eastAsia="宋体" w:cs="宋体"/>
                <w:color w:val="auto"/>
              </w:rPr>
            </w:pPr>
            <w:r>
              <w:rPr>
                <w:rFonts w:ascii="宋体" w:hAnsi="宋体" w:eastAsia="宋体" w:cs="宋体"/>
                <w:color w:val="auto"/>
              </w:rPr>
              <w:t>3.2.3</w:t>
            </w:r>
          </w:p>
          <w:p w14:paraId="30AC4B3C">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w:t>
            </w:r>
          </w:p>
        </w:tc>
        <w:tc>
          <w:tcPr>
            <w:tcW w:w="1134" w:type="dxa"/>
            <w:vMerge w:val="restart"/>
            <w:vAlign w:val="center"/>
          </w:tcPr>
          <w:p w14:paraId="6778A94A">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技术评分标准</w:t>
            </w:r>
          </w:p>
        </w:tc>
        <w:tc>
          <w:tcPr>
            <w:tcW w:w="2552" w:type="dxa"/>
            <w:vAlign w:val="center"/>
          </w:tcPr>
          <w:p w14:paraId="73EC8133">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投标产品技术参数</w:t>
            </w:r>
          </w:p>
          <w:p w14:paraId="389918A0">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（满分</w:t>
            </w:r>
            <w:r>
              <w:rPr>
                <w:rFonts w:hint="eastAsia" w:ascii="宋体" w:hAnsi="宋体" w:eastAsia="宋体" w:cs="宋体"/>
                <w:color w:val="auto"/>
                <w:lang w:val="en-US" w:eastAsia="zh-CN"/>
              </w:rPr>
              <w:t>24</w:t>
            </w:r>
            <w:r>
              <w:rPr>
                <w:rFonts w:hint="eastAsia" w:ascii="宋体" w:hAnsi="宋体" w:eastAsia="宋体" w:cs="宋体"/>
                <w:color w:val="auto"/>
              </w:rPr>
              <w:t>分）</w:t>
            </w:r>
          </w:p>
        </w:tc>
        <w:tc>
          <w:tcPr>
            <w:tcW w:w="4820" w:type="dxa"/>
            <w:vAlign w:val="center"/>
          </w:tcPr>
          <w:p w14:paraId="7D331C39">
            <w:pPr>
              <w:spacing w:before="124" w:beforeLines="40" w:line="360" w:lineRule="auto"/>
              <w:rPr>
                <w:rFonts w:hint="eastAsia" w:ascii="宋体" w:hAnsi="宋体" w:eastAsia="宋体" w:cs="宋体"/>
                <w:color w:val="auto"/>
              </w:rPr>
            </w:pPr>
            <w:r>
              <w:rPr>
                <w:rFonts w:hint="eastAsia" w:ascii="宋体" w:hAnsi="宋体" w:eastAsia="宋体" w:cs="宋体"/>
                <w:color w:val="auto"/>
              </w:rPr>
              <w:t>本项满分24分，参数完全满足招标文件要求的得基本分15分，带“★”参数每有一项出现负偏离则本项0分，非“★”参数每有一项负偏离的扣5分，分数扣完为止;每有一项正偏离或在保证参数和使用功能基础上每具备一项更完善更优越的使用功能加3分，满分24分为止。</w:t>
            </w:r>
          </w:p>
          <w:p w14:paraId="7B737837">
            <w:pPr>
              <w:spacing w:before="124" w:beforeLines="40" w:line="360" w:lineRule="auto"/>
              <w:rPr>
                <w:rFonts w:hint="eastAsia" w:ascii="宋体" w:hAnsi="宋体" w:eastAsia="宋体" w:cs="宋体"/>
                <w:color w:val="auto"/>
              </w:rPr>
            </w:pPr>
            <w:r>
              <w:rPr>
                <w:rFonts w:hint="eastAsia" w:ascii="宋体" w:hAnsi="宋体" w:eastAsia="宋体" w:cs="宋体"/>
                <w:color w:val="auto"/>
              </w:rPr>
              <w:t>注:1.正偏离是指投标的设备参数值高于招标文件提供的设备参数值，负偏离是指投标的设备参数值低于招标文件提供的设备参数值。</w:t>
            </w:r>
          </w:p>
          <w:p w14:paraId="6B122616">
            <w:pPr>
              <w:spacing w:before="124" w:beforeLines="40" w:line="360" w:lineRule="auto"/>
              <w:rPr>
                <w:rFonts w:ascii="宋体" w:hAnsi="宋体" w:eastAsia="宋体" w:cs="宋体"/>
                <w:color w:val="auto"/>
              </w:rPr>
            </w:pPr>
            <w:r>
              <w:rPr>
                <w:rFonts w:hint="eastAsia" w:ascii="宋体" w:hAnsi="宋体" w:eastAsia="宋体" w:cs="宋体"/>
                <w:color w:val="auto"/>
              </w:rPr>
              <w:t>2.参数正偏离需要提供相关证明材料支持，否则不予加分。</w:t>
            </w:r>
          </w:p>
        </w:tc>
      </w:tr>
      <w:tr w14:paraId="72E6906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1B497E51">
            <w:pPr>
              <w:spacing w:before="124" w:beforeLines="40" w:line="360" w:lineRule="auto"/>
              <w:jc w:val="center"/>
              <w:rPr>
                <w:rFonts w:ascii="宋体" w:hAnsi="宋体" w:eastAsia="宋体" w:cs="Times New Roman"/>
                <w:color w:val="auto"/>
              </w:rPr>
            </w:pPr>
          </w:p>
        </w:tc>
        <w:tc>
          <w:tcPr>
            <w:tcW w:w="1134" w:type="dxa"/>
            <w:vMerge w:val="continue"/>
            <w:vAlign w:val="center"/>
          </w:tcPr>
          <w:p w14:paraId="2A16231D">
            <w:pPr>
              <w:spacing w:before="124" w:beforeLines="40" w:line="360" w:lineRule="auto"/>
              <w:jc w:val="center"/>
              <w:rPr>
                <w:rFonts w:ascii="宋体" w:hAnsi="宋体" w:eastAsia="宋体" w:cs="Times New Roman"/>
                <w:color w:val="auto"/>
              </w:rPr>
            </w:pPr>
          </w:p>
        </w:tc>
        <w:tc>
          <w:tcPr>
            <w:tcW w:w="2552" w:type="dxa"/>
            <w:vAlign w:val="center"/>
          </w:tcPr>
          <w:p w14:paraId="6BAA9782">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节能产品、环境标志产品</w:t>
            </w:r>
          </w:p>
          <w:p w14:paraId="56745E2D">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（满分</w:t>
            </w:r>
            <w:r>
              <w:rPr>
                <w:rFonts w:ascii="宋体" w:hAnsi="宋体" w:eastAsia="宋体" w:cs="宋体"/>
                <w:color w:val="auto"/>
              </w:rPr>
              <w:t>2</w:t>
            </w:r>
            <w:r>
              <w:rPr>
                <w:rFonts w:hint="eastAsia" w:ascii="宋体" w:hAnsi="宋体" w:eastAsia="宋体" w:cs="宋体"/>
                <w:color w:val="auto"/>
              </w:rPr>
              <w:t>分）</w:t>
            </w:r>
          </w:p>
        </w:tc>
        <w:tc>
          <w:tcPr>
            <w:tcW w:w="4820" w:type="dxa"/>
            <w:vAlign w:val="center"/>
          </w:tcPr>
          <w:p w14:paraId="67A6353E">
            <w:pPr>
              <w:spacing w:before="124" w:beforeLines="40" w:line="360" w:lineRule="auto"/>
              <w:rPr>
                <w:rFonts w:ascii="宋体" w:hAnsi="宋体" w:eastAsia="宋体" w:cs="Times New Roman"/>
                <w:color w:val="auto"/>
              </w:rPr>
            </w:pPr>
            <w:r>
              <w:rPr>
                <w:rFonts w:hint="eastAsia" w:ascii="宋体" w:hAnsi="宋体" w:eastAsia="宋体" w:cs="宋体"/>
                <w:color w:val="auto"/>
              </w:rPr>
              <w:t>对投标产品是“节能产品政府采购品目清单”或“环境标志产品政府采购品目清单”有效期内中的产品的（强制采购产品除外），每有一项加</w:t>
            </w:r>
            <w:r>
              <w:rPr>
                <w:rFonts w:ascii="宋体" w:hAnsi="宋体" w:eastAsia="宋体" w:cs="宋体"/>
                <w:color w:val="auto"/>
              </w:rPr>
              <w:t>1</w:t>
            </w:r>
            <w:r>
              <w:rPr>
                <w:rFonts w:hint="eastAsia" w:ascii="宋体" w:hAnsi="宋体" w:eastAsia="宋体" w:cs="宋体"/>
                <w:color w:val="auto"/>
              </w:rPr>
              <w:t>分，最高得</w:t>
            </w:r>
            <w:r>
              <w:rPr>
                <w:rFonts w:ascii="宋体" w:hAnsi="宋体" w:eastAsia="宋体" w:cs="宋体"/>
                <w:color w:val="auto"/>
              </w:rPr>
              <w:t>2</w:t>
            </w:r>
            <w:r>
              <w:rPr>
                <w:rFonts w:hint="eastAsia" w:ascii="宋体" w:hAnsi="宋体" w:eastAsia="宋体" w:cs="宋体"/>
                <w:color w:val="auto"/>
              </w:rPr>
              <w:t>分。未提供的不得分；</w:t>
            </w:r>
          </w:p>
        </w:tc>
      </w:tr>
      <w:tr w14:paraId="455654F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2DA7D061">
            <w:pPr>
              <w:spacing w:before="124" w:beforeLines="40" w:line="360" w:lineRule="auto"/>
              <w:jc w:val="center"/>
              <w:rPr>
                <w:rFonts w:ascii="宋体" w:hAnsi="宋体" w:eastAsia="宋体" w:cs="宋体"/>
                <w:color w:val="auto"/>
              </w:rPr>
            </w:pPr>
            <w:r>
              <w:rPr>
                <w:rFonts w:ascii="宋体" w:hAnsi="宋体" w:eastAsia="宋体" w:cs="宋体"/>
                <w:color w:val="auto"/>
              </w:rPr>
              <w:t>3.2.3</w:t>
            </w:r>
          </w:p>
          <w:p w14:paraId="6D9AAD4F">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w:t>
            </w:r>
          </w:p>
        </w:tc>
        <w:tc>
          <w:tcPr>
            <w:tcW w:w="1134" w:type="dxa"/>
            <w:vAlign w:val="center"/>
          </w:tcPr>
          <w:p w14:paraId="424F98A2">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报价评分标准</w:t>
            </w:r>
          </w:p>
        </w:tc>
        <w:tc>
          <w:tcPr>
            <w:tcW w:w="2552" w:type="dxa"/>
            <w:vAlign w:val="center"/>
          </w:tcPr>
          <w:p w14:paraId="29F24413">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投标报价</w:t>
            </w:r>
          </w:p>
          <w:p w14:paraId="63943A7D">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（满分</w:t>
            </w:r>
            <w:r>
              <w:rPr>
                <w:rFonts w:ascii="宋体" w:hAnsi="宋体" w:eastAsia="宋体" w:cs="宋体"/>
                <w:color w:val="auto"/>
              </w:rPr>
              <w:t>30</w:t>
            </w:r>
            <w:r>
              <w:rPr>
                <w:rFonts w:hint="eastAsia" w:ascii="宋体" w:hAnsi="宋体" w:eastAsia="宋体" w:cs="宋体"/>
                <w:color w:val="auto"/>
              </w:rPr>
              <w:t>分）</w:t>
            </w:r>
          </w:p>
        </w:tc>
        <w:tc>
          <w:tcPr>
            <w:tcW w:w="4820" w:type="dxa"/>
            <w:vAlign w:val="center"/>
          </w:tcPr>
          <w:p w14:paraId="79F9D805">
            <w:pPr>
              <w:spacing w:before="124" w:beforeLines="40" w:line="360" w:lineRule="auto"/>
              <w:rPr>
                <w:rFonts w:ascii="宋体" w:hAnsi="宋体" w:eastAsia="宋体" w:cs="宋体"/>
                <w:color w:val="auto"/>
              </w:rPr>
            </w:pPr>
            <w:r>
              <w:rPr>
                <w:rFonts w:hint="eastAsia" w:ascii="宋体" w:hAnsi="宋体" w:eastAsia="宋体" w:cs="宋体"/>
                <w:color w:val="auto"/>
              </w:rPr>
              <w:t>报价得分</w:t>
            </w:r>
            <w:r>
              <w:rPr>
                <w:rFonts w:ascii="宋体" w:hAnsi="宋体" w:eastAsia="宋体" w:cs="宋体"/>
                <w:color w:val="auto"/>
              </w:rPr>
              <w:t>=</w:t>
            </w:r>
            <w:r>
              <w:rPr>
                <w:rFonts w:hint="eastAsia" w:ascii="宋体" w:hAnsi="宋体" w:eastAsia="宋体" w:cs="宋体"/>
                <w:color w:val="auto"/>
              </w:rPr>
              <w:t>（评标基准价</w:t>
            </w:r>
            <w:r>
              <w:rPr>
                <w:rFonts w:ascii="宋体" w:hAnsi="宋体" w:eastAsia="宋体" w:cs="宋体"/>
                <w:color w:val="auto"/>
              </w:rPr>
              <w:t>/</w:t>
            </w:r>
            <w:r>
              <w:rPr>
                <w:rFonts w:hint="eastAsia" w:ascii="宋体" w:hAnsi="宋体" w:eastAsia="宋体" w:cs="宋体"/>
                <w:color w:val="auto"/>
              </w:rPr>
              <w:t>投标报价）×</w:t>
            </w:r>
            <w:r>
              <w:rPr>
                <w:rFonts w:ascii="宋体" w:hAnsi="宋体" w:eastAsia="宋体" w:cs="宋体"/>
                <w:color w:val="auto"/>
              </w:rPr>
              <w:t>30</w:t>
            </w:r>
          </w:p>
        </w:tc>
      </w:tr>
      <w:tr w14:paraId="7AE4029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1C132A49">
            <w:pPr>
              <w:spacing w:before="124" w:beforeLines="40" w:line="360" w:lineRule="auto"/>
              <w:jc w:val="center"/>
              <w:rPr>
                <w:rFonts w:ascii="宋体" w:hAnsi="宋体" w:eastAsia="宋体" w:cs="宋体"/>
                <w:color w:val="auto"/>
              </w:rPr>
            </w:pPr>
            <w:r>
              <w:rPr>
                <w:rFonts w:ascii="宋体" w:hAnsi="宋体" w:eastAsia="宋体" w:cs="宋体"/>
                <w:color w:val="auto"/>
              </w:rPr>
              <w:t>3.2.3</w:t>
            </w:r>
          </w:p>
          <w:p w14:paraId="1CA2EA6A">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4</w:t>
            </w:r>
            <w:r>
              <w:rPr>
                <w:rFonts w:hint="eastAsia" w:ascii="宋体" w:hAnsi="宋体" w:eastAsia="宋体" w:cs="宋体"/>
                <w:color w:val="auto"/>
              </w:rPr>
              <w:t>）</w:t>
            </w:r>
          </w:p>
        </w:tc>
        <w:tc>
          <w:tcPr>
            <w:tcW w:w="1134" w:type="dxa"/>
            <w:vAlign w:val="center"/>
          </w:tcPr>
          <w:p w14:paraId="6280537E">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其他因素评分标准</w:t>
            </w:r>
          </w:p>
        </w:tc>
        <w:tc>
          <w:tcPr>
            <w:tcW w:w="2552" w:type="dxa"/>
            <w:vAlign w:val="center"/>
          </w:tcPr>
          <w:p w14:paraId="1D96A2EF">
            <w:pPr>
              <w:spacing w:before="124" w:beforeLines="40" w:line="360" w:lineRule="auto"/>
              <w:jc w:val="center"/>
              <w:rPr>
                <w:rFonts w:ascii="宋体" w:hAnsi="宋体" w:eastAsia="宋体" w:cs="宋体"/>
                <w:color w:val="auto"/>
              </w:rPr>
            </w:pPr>
            <w:r>
              <w:rPr>
                <w:rFonts w:ascii="宋体" w:hAnsi="宋体" w:eastAsia="宋体" w:cs="宋体"/>
                <w:color w:val="auto"/>
              </w:rPr>
              <w:t>/</w:t>
            </w:r>
          </w:p>
        </w:tc>
        <w:tc>
          <w:tcPr>
            <w:tcW w:w="4820" w:type="dxa"/>
            <w:vAlign w:val="center"/>
          </w:tcPr>
          <w:p w14:paraId="220C894A">
            <w:pPr>
              <w:spacing w:before="124" w:beforeLines="40" w:line="360" w:lineRule="auto"/>
              <w:jc w:val="center"/>
              <w:rPr>
                <w:rFonts w:ascii="宋体" w:hAnsi="宋体" w:eastAsia="宋体" w:cs="宋体"/>
                <w:color w:val="auto"/>
              </w:rPr>
            </w:pPr>
            <w:r>
              <w:rPr>
                <w:rFonts w:ascii="宋体" w:hAnsi="宋体" w:eastAsia="宋体" w:cs="宋体"/>
                <w:color w:val="auto"/>
              </w:rPr>
              <w:t>/</w:t>
            </w:r>
          </w:p>
        </w:tc>
      </w:tr>
      <w:tr w14:paraId="1377DEA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2F70EDE9">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条款号</w:t>
            </w:r>
          </w:p>
        </w:tc>
        <w:tc>
          <w:tcPr>
            <w:tcW w:w="2552" w:type="dxa"/>
            <w:vAlign w:val="center"/>
          </w:tcPr>
          <w:p w14:paraId="24F88E18">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条款内容</w:t>
            </w:r>
          </w:p>
        </w:tc>
        <w:tc>
          <w:tcPr>
            <w:tcW w:w="4820" w:type="dxa"/>
            <w:vAlign w:val="center"/>
          </w:tcPr>
          <w:p w14:paraId="2FFCEEE8">
            <w:pPr>
              <w:spacing w:before="124" w:beforeLines="40" w:line="360" w:lineRule="auto"/>
              <w:jc w:val="center"/>
              <w:rPr>
                <w:rFonts w:ascii="宋体" w:hAnsi="宋体" w:eastAsia="宋体" w:cs="Times New Roman"/>
                <w:b/>
                <w:bCs/>
                <w:color w:val="auto"/>
              </w:rPr>
            </w:pPr>
            <w:r>
              <w:rPr>
                <w:rFonts w:hint="eastAsia" w:ascii="宋体" w:hAnsi="宋体" w:eastAsia="宋体" w:cs="宋体"/>
                <w:b/>
                <w:bCs/>
                <w:color w:val="auto"/>
              </w:rPr>
              <w:t>编列内容</w:t>
            </w:r>
          </w:p>
        </w:tc>
      </w:tr>
      <w:tr w14:paraId="49DBAF4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765F5B62">
            <w:pPr>
              <w:spacing w:before="124" w:beforeLines="40" w:line="360" w:lineRule="auto"/>
              <w:jc w:val="center"/>
              <w:rPr>
                <w:rFonts w:ascii="宋体" w:hAnsi="宋体" w:eastAsia="宋体" w:cs="宋体"/>
                <w:color w:val="auto"/>
              </w:rPr>
            </w:pPr>
            <w:r>
              <w:rPr>
                <w:rFonts w:ascii="宋体" w:hAnsi="宋体" w:eastAsia="宋体" w:cs="宋体"/>
                <w:color w:val="auto"/>
              </w:rPr>
              <w:t>3.2.6</w:t>
            </w:r>
          </w:p>
        </w:tc>
        <w:tc>
          <w:tcPr>
            <w:tcW w:w="2552" w:type="dxa"/>
            <w:vAlign w:val="center"/>
          </w:tcPr>
          <w:p w14:paraId="25A3FEFC">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投标人并列时确定投标人优先顺序的规则</w:t>
            </w:r>
          </w:p>
        </w:tc>
        <w:tc>
          <w:tcPr>
            <w:tcW w:w="4820" w:type="dxa"/>
            <w:vAlign w:val="center"/>
          </w:tcPr>
          <w:p w14:paraId="71E113D0">
            <w:pPr>
              <w:spacing w:before="124" w:beforeLines="40" w:line="360" w:lineRule="auto"/>
              <w:rPr>
                <w:rFonts w:ascii="宋体" w:hAnsi="宋体" w:eastAsia="宋体" w:cs="Times New Roman"/>
                <w:color w:val="auto"/>
              </w:rPr>
            </w:pPr>
            <w:r>
              <w:rPr>
                <w:rFonts w:hint="eastAsia" w:ascii="宋体" w:hAnsi="宋体" w:eastAsia="宋体" w:cs="宋体"/>
                <w:color w:val="auto"/>
              </w:rPr>
              <w:t>综合评分相等时，以投标报价低的优先；投标报价也相等的，以技术部分得分高的优先。</w:t>
            </w:r>
          </w:p>
        </w:tc>
      </w:tr>
      <w:tr w14:paraId="2563097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tcBorders>
              <w:bottom w:val="thickThinSmallGap" w:color="auto" w:sz="12" w:space="0"/>
            </w:tcBorders>
            <w:vAlign w:val="center"/>
          </w:tcPr>
          <w:p w14:paraId="1B12B6B1">
            <w:pPr>
              <w:spacing w:before="124" w:beforeLines="40" w:line="360" w:lineRule="auto"/>
              <w:jc w:val="center"/>
              <w:rPr>
                <w:rFonts w:ascii="宋体" w:hAnsi="宋体" w:eastAsia="宋体" w:cs="宋体"/>
                <w:color w:val="auto"/>
              </w:rPr>
            </w:pPr>
            <w:r>
              <w:rPr>
                <w:rFonts w:ascii="宋体" w:hAnsi="宋体" w:eastAsia="宋体" w:cs="宋体"/>
                <w:color w:val="auto"/>
              </w:rPr>
              <w:t>/</w:t>
            </w:r>
          </w:p>
        </w:tc>
        <w:tc>
          <w:tcPr>
            <w:tcW w:w="2552" w:type="dxa"/>
            <w:tcBorders>
              <w:bottom w:val="thickThinSmallGap" w:color="auto" w:sz="12" w:space="0"/>
            </w:tcBorders>
            <w:vAlign w:val="center"/>
          </w:tcPr>
          <w:p w14:paraId="0E2EEEF8">
            <w:pPr>
              <w:spacing w:before="124" w:beforeLines="40" w:line="360" w:lineRule="auto"/>
              <w:jc w:val="center"/>
              <w:rPr>
                <w:rFonts w:ascii="宋体" w:hAnsi="宋体" w:eastAsia="宋体" w:cs="Times New Roman"/>
                <w:color w:val="auto"/>
              </w:rPr>
            </w:pPr>
            <w:r>
              <w:rPr>
                <w:rFonts w:hint="eastAsia" w:ascii="宋体" w:hAnsi="宋体" w:eastAsia="宋体" w:cs="宋体"/>
                <w:color w:val="auto"/>
              </w:rPr>
              <w:t>提供相同品牌产品时投标人推荐资格的规则</w:t>
            </w:r>
          </w:p>
        </w:tc>
        <w:tc>
          <w:tcPr>
            <w:tcW w:w="4820" w:type="dxa"/>
            <w:tcBorders>
              <w:bottom w:val="thickThinSmallGap" w:color="auto" w:sz="12" w:space="0"/>
            </w:tcBorders>
            <w:vAlign w:val="center"/>
          </w:tcPr>
          <w:p w14:paraId="4477A445">
            <w:pPr>
              <w:spacing w:before="124" w:beforeLines="40" w:line="360" w:lineRule="auto"/>
              <w:rPr>
                <w:rFonts w:ascii="宋体" w:hAnsi="宋体" w:eastAsia="宋体" w:cs="Times New Roman"/>
                <w:color w:val="auto"/>
              </w:rPr>
            </w:pPr>
            <w:r>
              <w:rPr>
                <w:rFonts w:hint="eastAsia" w:ascii="宋体" w:hAnsi="宋体" w:eastAsia="宋体" w:cs="宋体"/>
                <w:color w:val="auto"/>
              </w:rPr>
              <w:t>评审得分相同的，以技术部分得分高的投标人获得中标人推荐资格，技术部分得分相同的，投标报价得分高的投标人获得中标人推荐资格。</w:t>
            </w:r>
          </w:p>
        </w:tc>
      </w:tr>
    </w:tbl>
    <w:p w14:paraId="414F481D">
      <w:pPr>
        <w:pStyle w:val="3"/>
        <w:spacing w:before="0" w:after="0" w:line="360" w:lineRule="auto"/>
        <w:rPr>
          <w:rFonts w:ascii="宋体" w:hAnsi="宋体" w:eastAsia="宋体" w:cs="Times New Roman"/>
          <w:color w:val="auto"/>
          <w:sz w:val="21"/>
          <w:szCs w:val="21"/>
        </w:rPr>
      </w:pPr>
      <w:bookmarkStart w:id="510" w:name="_Toc120282459"/>
      <w:bookmarkStart w:id="511" w:name="_Toc77658103"/>
      <w:bookmarkStart w:id="512" w:name="_Toc107396231"/>
      <w:bookmarkStart w:id="513" w:name="_Toc70424886"/>
      <w:bookmarkStart w:id="514" w:name="_Toc77116703"/>
      <w:bookmarkStart w:id="515" w:name="_Toc77504093"/>
      <w:bookmarkStart w:id="516" w:name="_Toc22627"/>
      <w:r>
        <w:rPr>
          <w:rFonts w:ascii="宋体" w:hAnsi="宋体" w:eastAsia="宋体" w:cs="宋体"/>
          <w:color w:val="auto"/>
          <w:sz w:val="21"/>
          <w:szCs w:val="21"/>
        </w:rPr>
        <w:br w:type="page"/>
      </w:r>
      <w:bookmarkStart w:id="517" w:name="_Toc164432947"/>
      <w:r>
        <w:rPr>
          <w:rFonts w:ascii="宋体" w:hAnsi="宋体" w:eastAsia="宋体" w:cs="宋体"/>
          <w:color w:val="auto"/>
          <w:sz w:val="21"/>
          <w:szCs w:val="21"/>
        </w:rPr>
        <w:t xml:space="preserve">1. </w:t>
      </w:r>
      <w:r>
        <w:rPr>
          <w:rFonts w:hint="eastAsia" w:ascii="宋体" w:hAnsi="宋体" w:eastAsia="宋体" w:cs="宋体"/>
          <w:color w:val="auto"/>
          <w:sz w:val="21"/>
          <w:szCs w:val="21"/>
        </w:rPr>
        <w:t>评审方法</w:t>
      </w:r>
      <w:bookmarkEnd w:id="510"/>
      <w:bookmarkEnd w:id="511"/>
      <w:bookmarkEnd w:id="512"/>
      <w:bookmarkEnd w:id="513"/>
      <w:bookmarkEnd w:id="514"/>
      <w:bookmarkEnd w:id="515"/>
      <w:bookmarkEnd w:id="516"/>
      <w:bookmarkEnd w:id="517"/>
    </w:p>
    <w:p w14:paraId="43039B0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本次评审采用综合评分法。评标委员会对满足招标文件实质性要求的投标文件，按照本章第</w:t>
      </w:r>
      <w:r>
        <w:rPr>
          <w:rFonts w:ascii="宋体" w:hAnsi="宋体" w:eastAsia="宋体" w:cs="宋体"/>
          <w:color w:val="auto"/>
        </w:rPr>
        <w:t>3.2</w:t>
      </w:r>
      <w:r>
        <w:rPr>
          <w:rFonts w:hint="eastAsia" w:ascii="宋体" w:hAnsi="宋体" w:eastAsia="宋体" w:cs="宋体"/>
          <w:color w:val="auto"/>
        </w:rPr>
        <w:t>款规定的评分标准进行打分，并按得分由高到低的顺序推荐中标候选人。</w:t>
      </w:r>
    </w:p>
    <w:p w14:paraId="7FE7C0C0">
      <w:pPr>
        <w:pStyle w:val="3"/>
        <w:spacing w:before="0" w:after="0" w:line="360" w:lineRule="auto"/>
        <w:rPr>
          <w:rFonts w:ascii="宋体" w:hAnsi="宋体" w:eastAsia="宋体" w:cs="Times New Roman"/>
          <w:color w:val="auto"/>
          <w:sz w:val="21"/>
          <w:szCs w:val="21"/>
        </w:rPr>
      </w:pPr>
      <w:bookmarkStart w:id="518" w:name="_Toc77504094"/>
      <w:bookmarkStart w:id="519" w:name="_Toc107396232"/>
      <w:bookmarkStart w:id="520" w:name="_Toc164432948"/>
      <w:bookmarkStart w:id="521" w:name="_Toc77116704"/>
      <w:bookmarkStart w:id="522" w:name="_Toc28844"/>
      <w:bookmarkStart w:id="523" w:name="_Toc120282460"/>
      <w:bookmarkStart w:id="524" w:name="_Toc77658104"/>
      <w:bookmarkStart w:id="525" w:name="_Toc70424887"/>
      <w:r>
        <w:rPr>
          <w:rFonts w:ascii="宋体" w:hAnsi="宋体" w:eastAsia="宋体" w:cs="宋体"/>
          <w:color w:val="auto"/>
          <w:sz w:val="21"/>
          <w:szCs w:val="21"/>
        </w:rPr>
        <w:t xml:space="preserve">2. </w:t>
      </w:r>
      <w:r>
        <w:rPr>
          <w:rFonts w:hint="eastAsia" w:ascii="宋体" w:hAnsi="宋体" w:eastAsia="宋体" w:cs="宋体"/>
          <w:color w:val="auto"/>
          <w:sz w:val="21"/>
          <w:szCs w:val="21"/>
        </w:rPr>
        <w:t>初步评审标准和程序</w:t>
      </w:r>
      <w:bookmarkEnd w:id="518"/>
      <w:bookmarkEnd w:id="519"/>
      <w:bookmarkEnd w:id="520"/>
      <w:bookmarkEnd w:id="521"/>
      <w:bookmarkEnd w:id="522"/>
      <w:bookmarkEnd w:id="523"/>
      <w:bookmarkEnd w:id="524"/>
      <w:bookmarkEnd w:id="525"/>
    </w:p>
    <w:p w14:paraId="5EF5CF0D">
      <w:pPr>
        <w:pStyle w:val="4"/>
        <w:spacing w:before="0" w:after="0" w:line="360" w:lineRule="auto"/>
        <w:rPr>
          <w:rFonts w:ascii="宋体"/>
          <w:color w:val="auto"/>
          <w:sz w:val="21"/>
          <w:szCs w:val="21"/>
        </w:rPr>
      </w:pPr>
      <w:bookmarkStart w:id="526" w:name="_Toc77116705"/>
      <w:bookmarkStart w:id="527" w:name="_Toc77658105"/>
      <w:bookmarkStart w:id="528" w:name="_Toc77504095"/>
      <w:bookmarkStart w:id="529" w:name="_Toc70424888"/>
      <w:bookmarkStart w:id="530" w:name="_Toc107396233"/>
      <w:bookmarkStart w:id="531" w:name="_Toc14757"/>
      <w:bookmarkStart w:id="532" w:name="_Toc120282461"/>
      <w:bookmarkStart w:id="533" w:name="_Toc164432949"/>
      <w:r>
        <w:rPr>
          <w:rFonts w:ascii="宋体" w:hAnsi="宋体" w:cs="宋体"/>
          <w:color w:val="auto"/>
          <w:sz w:val="21"/>
          <w:szCs w:val="21"/>
        </w:rPr>
        <w:t xml:space="preserve">2.1 </w:t>
      </w:r>
      <w:r>
        <w:rPr>
          <w:rFonts w:hint="eastAsia" w:ascii="宋体" w:hAnsi="宋体" w:cs="宋体"/>
          <w:color w:val="auto"/>
          <w:sz w:val="21"/>
          <w:szCs w:val="21"/>
        </w:rPr>
        <w:t>初步评审标准</w:t>
      </w:r>
      <w:bookmarkEnd w:id="526"/>
      <w:bookmarkEnd w:id="527"/>
      <w:bookmarkEnd w:id="528"/>
      <w:bookmarkEnd w:id="529"/>
      <w:bookmarkEnd w:id="530"/>
      <w:bookmarkEnd w:id="531"/>
      <w:bookmarkEnd w:id="532"/>
      <w:bookmarkEnd w:id="533"/>
    </w:p>
    <w:p w14:paraId="772E8DA9">
      <w:pPr>
        <w:spacing w:line="360" w:lineRule="auto"/>
        <w:ind w:firstLine="420" w:firstLineChars="200"/>
        <w:rPr>
          <w:rFonts w:ascii="宋体" w:hAnsi="宋体" w:eastAsia="宋体" w:cs="宋体"/>
          <w:color w:val="auto"/>
        </w:rPr>
      </w:pPr>
      <w:r>
        <w:rPr>
          <w:rFonts w:ascii="宋体" w:hAnsi="宋体" w:eastAsia="宋体" w:cs="宋体"/>
          <w:color w:val="auto"/>
        </w:rPr>
        <w:t>2.1.1</w:t>
      </w:r>
      <w:r>
        <w:rPr>
          <w:rFonts w:hint="eastAsia" w:ascii="宋体" w:hAnsi="宋体" w:eastAsia="宋体" w:cs="宋体"/>
          <w:color w:val="auto"/>
        </w:rPr>
        <w:t>资格评审标准：见评标办法前附表。</w:t>
      </w:r>
    </w:p>
    <w:p w14:paraId="1FD03373">
      <w:pPr>
        <w:spacing w:line="360" w:lineRule="auto"/>
        <w:ind w:firstLine="420" w:firstLineChars="200"/>
        <w:rPr>
          <w:rFonts w:ascii="宋体" w:hAnsi="宋体" w:eastAsia="宋体" w:cs="Times New Roman"/>
          <w:color w:val="auto"/>
        </w:rPr>
      </w:pPr>
      <w:r>
        <w:rPr>
          <w:rFonts w:ascii="宋体" w:hAnsi="宋体" w:eastAsia="宋体" w:cs="宋体"/>
          <w:color w:val="auto"/>
        </w:rPr>
        <w:t>2.1.2</w:t>
      </w:r>
      <w:r>
        <w:rPr>
          <w:rFonts w:hint="eastAsia" w:ascii="宋体" w:hAnsi="宋体" w:eastAsia="宋体" w:cs="宋体"/>
          <w:color w:val="auto"/>
        </w:rPr>
        <w:t>符合性评审标准：见评标办法前附表。</w:t>
      </w:r>
    </w:p>
    <w:p w14:paraId="0A821110">
      <w:pPr>
        <w:pStyle w:val="4"/>
        <w:spacing w:before="0" w:after="0" w:line="360" w:lineRule="auto"/>
        <w:rPr>
          <w:rFonts w:ascii="宋体"/>
          <w:color w:val="auto"/>
          <w:sz w:val="21"/>
          <w:szCs w:val="21"/>
        </w:rPr>
      </w:pPr>
      <w:bookmarkStart w:id="534" w:name="_Toc164432950"/>
      <w:bookmarkStart w:id="535" w:name="_Toc10988"/>
      <w:bookmarkStart w:id="536" w:name="_Toc120282462"/>
      <w:bookmarkStart w:id="537" w:name="_Toc77504096"/>
      <w:bookmarkStart w:id="538" w:name="_Toc77658106"/>
      <w:bookmarkStart w:id="539" w:name="_Toc107396234"/>
      <w:bookmarkStart w:id="540" w:name="_Toc70424889"/>
      <w:bookmarkStart w:id="541" w:name="_Toc77116706"/>
      <w:r>
        <w:rPr>
          <w:rFonts w:ascii="宋体" w:hAnsi="宋体" w:cs="宋体"/>
          <w:color w:val="auto"/>
          <w:sz w:val="21"/>
          <w:szCs w:val="21"/>
        </w:rPr>
        <w:t xml:space="preserve">2.2 </w:t>
      </w:r>
      <w:r>
        <w:rPr>
          <w:rFonts w:hint="eastAsia" w:ascii="宋体" w:hAnsi="宋体" w:cs="宋体"/>
          <w:color w:val="auto"/>
          <w:sz w:val="21"/>
          <w:szCs w:val="21"/>
        </w:rPr>
        <w:t>初步评审程序</w:t>
      </w:r>
      <w:bookmarkEnd w:id="534"/>
      <w:bookmarkEnd w:id="535"/>
      <w:bookmarkEnd w:id="536"/>
      <w:bookmarkEnd w:id="537"/>
      <w:bookmarkEnd w:id="538"/>
      <w:bookmarkEnd w:id="539"/>
      <w:bookmarkEnd w:id="540"/>
      <w:bookmarkEnd w:id="541"/>
    </w:p>
    <w:p w14:paraId="23CBEB40">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2.2.1 </w:t>
      </w:r>
      <w:r>
        <w:rPr>
          <w:rFonts w:hint="eastAsia" w:ascii="宋体" w:hAnsi="宋体" w:eastAsia="宋体" w:cs="宋体"/>
          <w:color w:val="auto"/>
        </w:rPr>
        <w:t>评标委员会依据本章第</w:t>
      </w:r>
      <w:r>
        <w:rPr>
          <w:rFonts w:ascii="宋体" w:hAnsi="宋体" w:eastAsia="宋体" w:cs="宋体"/>
          <w:color w:val="auto"/>
        </w:rPr>
        <w:t>2.1</w:t>
      </w:r>
      <w:r>
        <w:rPr>
          <w:rFonts w:hint="eastAsia" w:ascii="宋体" w:hAnsi="宋体" w:eastAsia="宋体" w:cs="宋体"/>
          <w:color w:val="auto"/>
        </w:rPr>
        <w:t>款规定的标准对投标人递交的投标文件进行初步评审，判断投标文件的形式是否符合要求、投标人是否符合资格条件、投标文件是否实质性响应招标文件的要求。只有以上评审合格的投标文件才可通过初步评审。</w:t>
      </w:r>
    </w:p>
    <w:p w14:paraId="51C4BBC1">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2.2.2 </w:t>
      </w:r>
      <w:r>
        <w:rPr>
          <w:rFonts w:hint="eastAsia" w:ascii="宋体" w:hAnsi="宋体" w:eastAsia="宋体" w:cs="宋体"/>
          <w:color w:val="auto"/>
        </w:rPr>
        <w:t>投标文件的形式或投标人资格不符合招标文件的要求、投标文件未实质性响应招标文件的要求，或投标文件中有含义不明确、同类问题表述不一致或有明细文字和计算错误的内容，评标委员会应要求投标人在规定时间内进行澄清、说明和补正。投标人澄清、说明和补正的内容应由法定代表人（单位负责人）或其授权的代理人签字或加盖单位章、澄清、说明和补正的内容作为投标文件的组成部分。</w:t>
      </w:r>
    </w:p>
    <w:p w14:paraId="172DA537">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2.2.3 </w:t>
      </w:r>
      <w:r>
        <w:rPr>
          <w:rFonts w:hint="eastAsia" w:ascii="宋体" w:hAnsi="宋体" w:eastAsia="宋体" w:cs="宋体"/>
          <w:color w:val="auto"/>
        </w:rPr>
        <w:t>经投标人澄清、说明和补正后仍不满足初步评审要求的投标文件（即投标文件不满足本章第</w:t>
      </w:r>
      <w:r>
        <w:rPr>
          <w:rFonts w:ascii="宋体" w:hAnsi="宋体" w:eastAsia="宋体" w:cs="宋体"/>
          <w:color w:val="auto"/>
        </w:rPr>
        <w:t>2.1</w:t>
      </w:r>
      <w:r>
        <w:rPr>
          <w:rFonts w:hint="eastAsia" w:ascii="宋体" w:hAnsi="宋体" w:eastAsia="宋体" w:cs="宋体"/>
          <w:color w:val="auto"/>
        </w:rPr>
        <w:t>款规定的任一项标准），或投标人有串通、弄虚作假、行贿等违法行为的，其投标文件将被视为无效。</w:t>
      </w:r>
    </w:p>
    <w:p w14:paraId="20867987">
      <w:pPr>
        <w:pStyle w:val="3"/>
        <w:spacing w:before="0" w:after="0" w:line="360" w:lineRule="auto"/>
        <w:rPr>
          <w:rFonts w:ascii="宋体" w:hAnsi="宋体" w:eastAsia="宋体" w:cs="Times New Roman"/>
          <w:color w:val="auto"/>
          <w:sz w:val="21"/>
          <w:szCs w:val="21"/>
        </w:rPr>
      </w:pPr>
      <w:bookmarkStart w:id="542" w:name="_Toc77504097"/>
      <w:bookmarkStart w:id="543" w:name="_Toc107396235"/>
      <w:bookmarkStart w:id="544" w:name="_Toc120282463"/>
      <w:bookmarkStart w:id="545" w:name="_Toc70424890"/>
      <w:bookmarkStart w:id="546" w:name="_Toc77658107"/>
      <w:bookmarkStart w:id="547" w:name="_Toc77116707"/>
      <w:bookmarkStart w:id="548" w:name="_Toc11633"/>
      <w:bookmarkStart w:id="549" w:name="_Toc164432951"/>
      <w:r>
        <w:rPr>
          <w:rFonts w:ascii="宋体" w:hAnsi="宋体" w:eastAsia="宋体" w:cs="宋体"/>
          <w:color w:val="auto"/>
          <w:sz w:val="21"/>
          <w:szCs w:val="21"/>
        </w:rPr>
        <w:t xml:space="preserve">3. </w:t>
      </w:r>
      <w:r>
        <w:rPr>
          <w:rFonts w:hint="eastAsia" w:ascii="宋体" w:hAnsi="宋体" w:eastAsia="宋体" w:cs="宋体"/>
          <w:color w:val="auto"/>
          <w:sz w:val="21"/>
          <w:szCs w:val="21"/>
        </w:rPr>
        <w:t>详细评审标准和程序</w:t>
      </w:r>
      <w:bookmarkEnd w:id="542"/>
      <w:bookmarkEnd w:id="543"/>
      <w:bookmarkEnd w:id="544"/>
      <w:bookmarkEnd w:id="545"/>
      <w:bookmarkEnd w:id="546"/>
      <w:bookmarkEnd w:id="547"/>
      <w:bookmarkEnd w:id="548"/>
      <w:bookmarkEnd w:id="549"/>
    </w:p>
    <w:p w14:paraId="6A13BE4A">
      <w:pPr>
        <w:pStyle w:val="4"/>
        <w:spacing w:before="0" w:after="0" w:line="360" w:lineRule="auto"/>
        <w:rPr>
          <w:rFonts w:ascii="宋体"/>
          <w:color w:val="auto"/>
          <w:sz w:val="21"/>
          <w:szCs w:val="21"/>
        </w:rPr>
      </w:pPr>
      <w:bookmarkStart w:id="550" w:name="_Toc107396236"/>
      <w:bookmarkStart w:id="551" w:name="_Toc120282464"/>
      <w:bookmarkStart w:id="552" w:name="_Toc77658108"/>
      <w:bookmarkStart w:id="553" w:name="_Toc77504098"/>
      <w:bookmarkStart w:id="554" w:name="_Toc77116708"/>
      <w:bookmarkStart w:id="555" w:name="_Toc12803"/>
      <w:bookmarkStart w:id="556" w:name="_Toc70424891"/>
      <w:bookmarkStart w:id="557" w:name="_Toc164432952"/>
      <w:r>
        <w:rPr>
          <w:rFonts w:ascii="宋体" w:hAnsi="宋体" w:cs="宋体"/>
          <w:color w:val="auto"/>
          <w:sz w:val="21"/>
          <w:szCs w:val="21"/>
        </w:rPr>
        <w:t xml:space="preserve">3.1 </w:t>
      </w:r>
      <w:r>
        <w:rPr>
          <w:rFonts w:hint="eastAsia" w:ascii="宋体" w:hAnsi="宋体" w:cs="宋体"/>
          <w:color w:val="auto"/>
          <w:sz w:val="21"/>
          <w:szCs w:val="21"/>
        </w:rPr>
        <w:t>评标价确定</w:t>
      </w:r>
      <w:bookmarkEnd w:id="550"/>
      <w:bookmarkEnd w:id="551"/>
      <w:bookmarkEnd w:id="552"/>
      <w:bookmarkEnd w:id="553"/>
      <w:bookmarkEnd w:id="554"/>
      <w:bookmarkEnd w:id="555"/>
      <w:bookmarkEnd w:id="556"/>
      <w:bookmarkEnd w:id="557"/>
    </w:p>
    <w:p w14:paraId="2BDA65AD">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3.1.1 </w:t>
      </w:r>
      <w:r>
        <w:rPr>
          <w:rFonts w:hint="eastAsia" w:ascii="宋体" w:hAnsi="宋体" w:eastAsia="宋体" w:cs="宋体"/>
          <w:color w:val="auto"/>
        </w:rPr>
        <w:t>除评标办法前附表另有规定外，评标价以投标函中的大写含税价格为准。</w:t>
      </w:r>
    </w:p>
    <w:p w14:paraId="5190BC68">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3.1.2 </w:t>
      </w:r>
      <w:r>
        <w:rPr>
          <w:rFonts w:hint="eastAsia" w:ascii="宋体" w:hAnsi="宋体" w:eastAsia="宋体" w:cs="宋体"/>
          <w:color w:val="auto"/>
        </w:rPr>
        <w:t>投标报价超过最高限价（如有）的，其投标文件将被视为无效。</w:t>
      </w:r>
    </w:p>
    <w:p w14:paraId="09012656">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3.1.3 </w:t>
      </w:r>
      <w:r>
        <w:rPr>
          <w:rFonts w:hint="eastAsia" w:ascii="宋体" w:hAnsi="宋体" w:eastAsia="宋体" w:cs="宋体"/>
          <w:color w:val="auto"/>
        </w:rPr>
        <w:t>评标委员会经过对投标人的报价进行比较或基于专业经验认为某一投标人的报价过低，可能对其履约造成影响时，应当要求该投标人作出书面说明并提供相应的证明材料。投标人不能合理说明或者不能提供相应证明材料的，其投标文件将被视为无效。</w:t>
      </w:r>
    </w:p>
    <w:p w14:paraId="7919447F">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3.1.4 </w:t>
      </w:r>
      <w:r>
        <w:rPr>
          <w:rFonts w:hint="eastAsia" w:ascii="宋体" w:hAnsi="宋体" w:eastAsia="宋体" w:cs="宋体"/>
          <w:color w:val="auto"/>
        </w:rPr>
        <w:t>投标报价有算术错误或其他错误的，评标委员会按以下原则进行修正，并要求投标人对修正后的价格进行书面澄清确认。投标人拒不澄清确认的，其投标文件将被视为无效：</w:t>
      </w:r>
    </w:p>
    <w:p w14:paraId="7756BB5A">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）大写金额与小写金额不一致的，以大写金额为准；</w:t>
      </w:r>
    </w:p>
    <w:p w14:paraId="6D525B9C">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）总价金额与单价金额不一致的，以单价金额为准，但单价金额小数点有明显错误的除外；</w:t>
      </w:r>
    </w:p>
    <w:p w14:paraId="37D37CAC">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）报价表中合计报价与分项报价的合价不一致的，以各分项报价的合价累计数为准；</w:t>
      </w:r>
    </w:p>
    <w:p w14:paraId="4699C92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4</w:t>
      </w:r>
      <w:r>
        <w:rPr>
          <w:rFonts w:hint="eastAsia" w:ascii="宋体" w:hAnsi="宋体" w:eastAsia="宋体" w:cs="宋体"/>
          <w:color w:val="auto"/>
        </w:rPr>
        <w:t>）如果分项报价中存在缺漏项，且缺漏项内容不属于实质性偏差的，则视为缺漏项内容的价格已包含在其他分项报价中。</w:t>
      </w:r>
    </w:p>
    <w:p w14:paraId="0F38DC20">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当修正后的总报价高于原报价时，视同投标人报价错误产生少漏计费用，签订合同时由投标人承担，如评标委员会认为投标人无法承受少漏记费用，可以将报价作为异常低价处理；当修正后的总报价低于原报价时，签订合同时以修正后的报价为准。</w:t>
      </w:r>
    </w:p>
    <w:p w14:paraId="595182C1">
      <w:pPr>
        <w:pStyle w:val="4"/>
        <w:spacing w:before="0" w:after="0" w:line="360" w:lineRule="auto"/>
        <w:rPr>
          <w:rFonts w:ascii="宋体"/>
          <w:color w:val="auto"/>
          <w:sz w:val="21"/>
          <w:szCs w:val="21"/>
        </w:rPr>
      </w:pPr>
      <w:bookmarkStart w:id="558" w:name="_Toc70424892"/>
      <w:bookmarkStart w:id="559" w:name="_Toc107396237"/>
      <w:bookmarkStart w:id="560" w:name="_Toc77116709"/>
      <w:bookmarkStart w:id="561" w:name="_Toc77658109"/>
      <w:bookmarkStart w:id="562" w:name="_Toc120282465"/>
      <w:bookmarkStart w:id="563" w:name="_Toc164432953"/>
      <w:bookmarkStart w:id="564" w:name="_Toc4697"/>
      <w:bookmarkStart w:id="565" w:name="_Toc77504099"/>
      <w:r>
        <w:rPr>
          <w:rFonts w:ascii="宋体" w:hAnsi="宋体" w:cs="宋体"/>
          <w:color w:val="auto"/>
          <w:sz w:val="21"/>
          <w:szCs w:val="21"/>
        </w:rPr>
        <w:t xml:space="preserve">3.2 </w:t>
      </w:r>
      <w:r>
        <w:rPr>
          <w:rFonts w:hint="eastAsia" w:ascii="宋体" w:hAnsi="宋体" w:cs="宋体"/>
          <w:color w:val="auto"/>
          <w:sz w:val="21"/>
          <w:szCs w:val="21"/>
        </w:rPr>
        <w:t>综合评分和排序</w:t>
      </w:r>
      <w:bookmarkEnd w:id="558"/>
      <w:bookmarkEnd w:id="559"/>
      <w:bookmarkEnd w:id="560"/>
      <w:bookmarkEnd w:id="561"/>
      <w:bookmarkEnd w:id="562"/>
      <w:bookmarkEnd w:id="563"/>
      <w:bookmarkEnd w:id="564"/>
      <w:bookmarkEnd w:id="565"/>
    </w:p>
    <w:p w14:paraId="5AA7E776">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3.2.1 </w:t>
      </w:r>
      <w:r>
        <w:rPr>
          <w:rFonts w:hint="eastAsia" w:ascii="宋体" w:hAnsi="宋体" w:eastAsia="宋体" w:cs="宋体"/>
          <w:color w:val="auto"/>
        </w:rPr>
        <w:t>分值构成</w:t>
      </w:r>
    </w:p>
    <w:p w14:paraId="18A672BD">
      <w:pPr>
        <w:spacing w:line="360" w:lineRule="auto"/>
        <w:ind w:firstLine="420" w:firstLineChars="200"/>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）技术部分：见评标办法前附表；</w:t>
      </w:r>
    </w:p>
    <w:p w14:paraId="267B5A3D">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）投标报价：见评标办法前附表；</w:t>
      </w:r>
    </w:p>
    <w:p w14:paraId="3F478A9E">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）其他评分因素：见评标办法前附表。</w:t>
      </w:r>
    </w:p>
    <w:p w14:paraId="71714CF7">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3.2.2 </w:t>
      </w:r>
      <w:r>
        <w:rPr>
          <w:rFonts w:hint="eastAsia" w:ascii="宋体" w:hAnsi="宋体" w:eastAsia="宋体" w:cs="宋体"/>
          <w:color w:val="auto"/>
        </w:rPr>
        <w:t>评标基准价计算</w:t>
      </w:r>
    </w:p>
    <w:p w14:paraId="1F1DF184">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）评审价格：评审价格为按照本章第</w:t>
      </w:r>
      <w:r>
        <w:rPr>
          <w:rFonts w:ascii="宋体" w:hAnsi="宋体" w:eastAsia="宋体" w:cs="宋体"/>
          <w:color w:val="auto"/>
        </w:rPr>
        <w:t>3.1.1</w:t>
      </w:r>
      <w:r>
        <w:rPr>
          <w:rFonts w:hint="eastAsia" w:ascii="宋体" w:hAnsi="宋体" w:eastAsia="宋体" w:cs="宋体"/>
          <w:color w:val="auto"/>
        </w:rPr>
        <w:t>项规定确定的价格。</w:t>
      </w:r>
    </w:p>
    <w:p w14:paraId="5AFED530">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）评标基准价计算方法：见评标办法前附表。</w:t>
      </w:r>
    </w:p>
    <w:p w14:paraId="4B62834B">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3.2.3 </w:t>
      </w:r>
      <w:r>
        <w:rPr>
          <w:rFonts w:hint="eastAsia" w:ascii="宋体" w:hAnsi="宋体" w:eastAsia="宋体" w:cs="宋体"/>
          <w:color w:val="auto"/>
        </w:rPr>
        <w:t>评分标准</w:t>
      </w:r>
    </w:p>
    <w:p w14:paraId="71246737">
      <w:pPr>
        <w:spacing w:line="360" w:lineRule="auto"/>
        <w:ind w:firstLine="420" w:firstLineChars="200"/>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）技术评分标准：见评标办法前附表；</w:t>
      </w:r>
    </w:p>
    <w:p w14:paraId="544FE66E">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）报价评分标准：见评标办法前附表。</w:t>
      </w:r>
    </w:p>
    <w:p w14:paraId="27BA0C13">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）其他因素评分标准：见评标办法前附表。</w:t>
      </w:r>
    </w:p>
    <w:p w14:paraId="6F6C2F1B">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3.2.4 </w:t>
      </w:r>
      <w:r>
        <w:rPr>
          <w:rFonts w:hint="eastAsia" w:ascii="宋体" w:hAnsi="宋体" w:eastAsia="宋体" w:cs="宋体"/>
          <w:color w:val="auto"/>
        </w:rPr>
        <w:t>评分。评标委员会成员按照评分标准独立对投标人的商务、技术和其他因素进行评分。报价评分由评标委员会统一计算。各项得分汇总后为该成员给投标人的评分总分。评分分值计算保留小数点后两位，小数点后第三位“四舍五入”。</w:t>
      </w:r>
    </w:p>
    <w:p w14:paraId="5D8E6C44">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3.2.5 </w:t>
      </w:r>
      <w:r>
        <w:rPr>
          <w:rFonts w:hint="eastAsia" w:ascii="宋体" w:hAnsi="宋体" w:eastAsia="宋体" w:cs="宋体"/>
          <w:color w:val="auto"/>
        </w:rPr>
        <w:t>汇总。评标委员会汇总每个成员对投标人的评分总分，每个投标人的评分总分的算术平均值为投标人综合评分。</w:t>
      </w:r>
    </w:p>
    <w:p w14:paraId="4BCAE396">
      <w:pPr>
        <w:spacing w:line="360" w:lineRule="auto"/>
        <w:ind w:firstLine="420" w:firstLineChars="200"/>
        <w:rPr>
          <w:rFonts w:ascii="宋体" w:hAnsi="宋体" w:eastAsia="宋体" w:cs="Times New Roman"/>
          <w:color w:val="auto"/>
        </w:rPr>
      </w:pPr>
      <w:r>
        <w:rPr>
          <w:rFonts w:ascii="宋体" w:hAnsi="宋体" w:eastAsia="宋体" w:cs="宋体"/>
          <w:color w:val="auto"/>
        </w:rPr>
        <w:t xml:space="preserve">3.2.6 </w:t>
      </w:r>
      <w:r>
        <w:rPr>
          <w:rFonts w:hint="eastAsia" w:ascii="宋体" w:hAnsi="宋体" w:eastAsia="宋体" w:cs="宋体"/>
          <w:color w:val="auto"/>
        </w:rPr>
        <w:t>评标委员会对投标人综合评分进行比较后，按照投标人综合评分由高到低的顺序对投标人排序。综合评分相等时，以投标报价低的优先；投标报价也相等的，以技术得分高的优先；如果技术得分也相等，按照评标办法前附表的规定确定投标人优先顺序。</w:t>
      </w:r>
    </w:p>
    <w:p w14:paraId="3D57432A">
      <w:pPr>
        <w:pStyle w:val="3"/>
        <w:spacing w:before="0" w:after="0" w:line="360" w:lineRule="auto"/>
        <w:rPr>
          <w:rFonts w:ascii="宋体" w:hAnsi="宋体" w:eastAsia="宋体" w:cs="Times New Roman"/>
          <w:color w:val="auto"/>
          <w:sz w:val="21"/>
          <w:szCs w:val="21"/>
        </w:rPr>
      </w:pPr>
      <w:bookmarkStart w:id="566" w:name="_Toc107396238"/>
      <w:bookmarkStart w:id="567" w:name="_Toc70424893"/>
      <w:bookmarkStart w:id="568" w:name="_Toc77504100"/>
      <w:bookmarkStart w:id="569" w:name="_Toc164432954"/>
      <w:bookmarkStart w:id="570" w:name="_Toc12262"/>
      <w:bookmarkStart w:id="571" w:name="_Toc77116710"/>
      <w:bookmarkStart w:id="572" w:name="_Toc77658110"/>
      <w:bookmarkStart w:id="573" w:name="_Toc120282466"/>
      <w:r>
        <w:rPr>
          <w:rFonts w:ascii="宋体" w:hAnsi="宋体" w:eastAsia="宋体" w:cs="宋体"/>
          <w:color w:val="auto"/>
          <w:sz w:val="21"/>
          <w:szCs w:val="21"/>
        </w:rPr>
        <w:t xml:space="preserve">4. </w:t>
      </w:r>
      <w:r>
        <w:rPr>
          <w:rFonts w:hint="eastAsia" w:ascii="宋体" w:hAnsi="宋体" w:eastAsia="宋体" w:cs="宋体"/>
          <w:color w:val="auto"/>
          <w:sz w:val="21"/>
          <w:szCs w:val="21"/>
        </w:rPr>
        <w:t>评审结果</w:t>
      </w:r>
      <w:bookmarkEnd w:id="566"/>
      <w:bookmarkEnd w:id="567"/>
      <w:bookmarkEnd w:id="568"/>
      <w:bookmarkEnd w:id="569"/>
      <w:bookmarkEnd w:id="570"/>
      <w:bookmarkEnd w:id="571"/>
      <w:bookmarkEnd w:id="572"/>
      <w:bookmarkEnd w:id="573"/>
    </w:p>
    <w:p w14:paraId="6E8C110F">
      <w:pPr>
        <w:pStyle w:val="4"/>
        <w:spacing w:before="0" w:after="0" w:line="360" w:lineRule="auto"/>
        <w:rPr>
          <w:rFonts w:ascii="宋体"/>
          <w:color w:val="auto"/>
          <w:sz w:val="21"/>
          <w:szCs w:val="21"/>
        </w:rPr>
      </w:pPr>
      <w:bookmarkStart w:id="574" w:name="_Toc77116711"/>
      <w:bookmarkStart w:id="575" w:name="_Toc70424894"/>
      <w:bookmarkStart w:id="576" w:name="_Toc120282467"/>
      <w:bookmarkStart w:id="577" w:name="_Toc164432955"/>
      <w:bookmarkStart w:id="578" w:name="_Toc107396239"/>
      <w:bookmarkStart w:id="579" w:name="_Toc77658111"/>
      <w:bookmarkStart w:id="580" w:name="_Toc77504101"/>
      <w:bookmarkStart w:id="581" w:name="_Toc16765"/>
      <w:r>
        <w:rPr>
          <w:rFonts w:ascii="宋体" w:hAnsi="宋体" w:cs="宋体"/>
          <w:color w:val="auto"/>
          <w:sz w:val="21"/>
          <w:szCs w:val="21"/>
        </w:rPr>
        <w:t xml:space="preserve">4.1 </w:t>
      </w:r>
      <w:r>
        <w:rPr>
          <w:rFonts w:hint="eastAsia" w:ascii="宋体" w:hAnsi="宋体" w:cs="宋体"/>
          <w:color w:val="auto"/>
          <w:sz w:val="21"/>
          <w:szCs w:val="21"/>
        </w:rPr>
        <w:t>提交书面评标报告</w:t>
      </w:r>
      <w:bookmarkEnd w:id="574"/>
      <w:bookmarkEnd w:id="575"/>
      <w:bookmarkEnd w:id="576"/>
      <w:bookmarkEnd w:id="577"/>
      <w:bookmarkEnd w:id="578"/>
      <w:bookmarkEnd w:id="579"/>
      <w:bookmarkEnd w:id="580"/>
      <w:bookmarkEnd w:id="581"/>
    </w:p>
    <w:p w14:paraId="0E55B000">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评标委员会完成评标后，应当向采购人递交书面评标报告。</w:t>
      </w:r>
    </w:p>
    <w:p w14:paraId="725E7CE4">
      <w:pPr>
        <w:pStyle w:val="4"/>
        <w:spacing w:before="0" w:after="0" w:line="360" w:lineRule="auto"/>
        <w:rPr>
          <w:rFonts w:ascii="宋体"/>
          <w:color w:val="auto"/>
          <w:sz w:val="21"/>
          <w:szCs w:val="21"/>
        </w:rPr>
      </w:pPr>
      <w:bookmarkStart w:id="582" w:name="_Toc77504102"/>
      <w:bookmarkStart w:id="583" w:name="_Toc77116712"/>
      <w:bookmarkStart w:id="584" w:name="_Toc120282468"/>
      <w:bookmarkStart w:id="585" w:name="_Toc164432956"/>
      <w:bookmarkStart w:id="586" w:name="_Toc70424895"/>
      <w:bookmarkStart w:id="587" w:name="_Toc77658112"/>
      <w:bookmarkStart w:id="588" w:name="_Toc7215"/>
      <w:bookmarkStart w:id="589" w:name="_Toc107396240"/>
      <w:r>
        <w:rPr>
          <w:rFonts w:ascii="宋体" w:hAnsi="宋体" w:cs="宋体"/>
          <w:color w:val="auto"/>
          <w:sz w:val="21"/>
          <w:szCs w:val="21"/>
        </w:rPr>
        <w:t xml:space="preserve">4.2 </w:t>
      </w:r>
      <w:r>
        <w:rPr>
          <w:rFonts w:hint="eastAsia" w:ascii="宋体" w:hAnsi="宋体" w:cs="宋体"/>
          <w:color w:val="auto"/>
          <w:sz w:val="21"/>
          <w:szCs w:val="21"/>
        </w:rPr>
        <w:t>推荐中标候选人排序要求及数量</w:t>
      </w:r>
      <w:bookmarkEnd w:id="582"/>
      <w:bookmarkEnd w:id="583"/>
      <w:bookmarkEnd w:id="584"/>
      <w:bookmarkEnd w:id="585"/>
      <w:bookmarkEnd w:id="586"/>
      <w:bookmarkEnd w:id="587"/>
      <w:bookmarkEnd w:id="588"/>
      <w:bookmarkEnd w:id="589"/>
    </w:p>
    <w:p w14:paraId="539529DD">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评标委员会应在书面评标报告中按照得分由高到低的顺序向采购人推荐中标候选人，并标明排序。中标候选人的人数见第二章“投标人须知”。</w:t>
      </w:r>
    </w:p>
    <w:p w14:paraId="40A646AB">
      <w:pPr>
        <w:spacing w:line="360" w:lineRule="auto"/>
        <w:rPr>
          <w:rFonts w:ascii="宋体" w:hAnsi="宋体" w:eastAsia="宋体" w:cs="Times New Roman"/>
          <w:color w:val="auto"/>
        </w:rPr>
      </w:pPr>
    </w:p>
    <w:p w14:paraId="20C9132F">
      <w:pPr>
        <w:spacing w:line="360" w:lineRule="auto"/>
        <w:rPr>
          <w:rFonts w:ascii="宋体" w:hAnsi="宋体" w:eastAsia="宋体" w:cs="Times New Roman"/>
          <w:color w:val="auto"/>
        </w:rPr>
      </w:pPr>
    </w:p>
    <w:p w14:paraId="09C1BE3D">
      <w:pPr>
        <w:pStyle w:val="2"/>
        <w:spacing w:before="0" w:after="0" w:line="360" w:lineRule="auto"/>
        <w:jc w:val="center"/>
        <w:rPr>
          <w:rFonts w:ascii="宋体" w:hAnsi="宋体" w:cs="宋体"/>
          <w:color w:val="auto"/>
          <w:sz w:val="36"/>
          <w:szCs w:val="36"/>
        </w:rPr>
      </w:pPr>
      <w:r>
        <w:rPr>
          <w:rFonts w:ascii="宋体" w:hAnsi="宋体"/>
          <w:color w:val="auto"/>
        </w:rPr>
        <w:br w:type="page"/>
      </w:r>
      <w:bookmarkStart w:id="590" w:name="_Toc164432957"/>
      <w:r>
        <w:rPr>
          <w:rFonts w:hint="eastAsia" w:ascii="宋体" w:hAnsi="宋体" w:cs="宋体"/>
          <w:color w:val="auto"/>
          <w:sz w:val="36"/>
          <w:szCs w:val="36"/>
        </w:rPr>
        <w:t>第四章</w:t>
      </w:r>
      <w:r>
        <w:rPr>
          <w:rFonts w:ascii="宋体" w:hAnsi="宋体" w:cs="宋体"/>
          <w:color w:val="auto"/>
          <w:sz w:val="36"/>
          <w:szCs w:val="36"/>
        </w:rPr>
        <w:t xml:space="preserve"> </w:t>
      </w:r>
      <w:r>
        <w:rPr>
          <w:rFonts w:hint="eastAsia" w:ascii="宋体" w:hAnsi="宋体" w:cs="宋体"/>
          <w:color w:val="auto"/>
          <w:sz w:val="36"/>
          <w:szCs w:val="36"/>
        </w:rPr>
        <w:t>合同草案</w:t>
      </w:r>
      <w:bookmarkEnd w:id="590"/>
      <w:bookmarkStart w:id="591" w:name="_Toc331685784"/>
    </w:p>
    <w:p w14:paraId="1C72F3C1">
      <w:pPr>
        <w:topLinePunct/>
        <w:spacing w:line="360" w:lineRule="auto"/>
        <w:jc w:val="center"/>
        <w:rPr>
          <w:rFonts w:ascii="宋体" w:hAnsi="宋体" w:eastAsia="宋体"/>
          <w:color w:val="auto"/>
        </w:rPr>
      </w:pPr>
      <w:r>
        <w:rPr>
          <w:rFonts w:hint="eastAsia" w:ascii="宋体" w:hAnsi="宋体" w:eastAsia="宋体" w:cs="Times New Roman"/>
          <w:color w:val="auto"/>
        </w:rPr>
        <w:t>（</w:t>
      </w:r>
      <w:r>
        <w:rPr>
          <w:rFonts w:hint="eastAsia" w:ascii="宋体" w:hAnsi="宋体" w:eastAsia="宋体"/>
          <w:color w:val="auto"/>
        </w:rPr>
        <w:t>本合同仅供参考，以双方实际签订合同为准，由中标人先行拟定后报采购人审核确认。</w:t>
      </w:r>
    </w:p>
    <w:p w14:paraId="6B8D6AD1">
      <w:pPr>
        <w:jc w:val="center"/>
        <w:rPr>
          <w:rFonts w:ascii="宋体" w:hAnsi="宋体" w:eastAsia="宋体" w:cs="宋体"/>
          <w:b/>
          <w:bCs/>
          <w:color w:val="auto"/>
          <w:spacing w:val="-20"/>
          <w:kern w:val="44"/>
          <w:sz w:val="28"/>
          <w:szCs w:val="28"/>
        </w:rPr>
      </w:pPr>
      <w:bookmarkStart w:id="592" w:name="_Toc3995"/>
      <w:r>
        <w:rPr>
          <w:rFonts w:hint="eastAsia" w:ascii="宋体" w:hAnsi="宋体" w:eastAsia="宋体" w:cs="宋体"/>
          <w:b/>
          <w:bCs/>
          <w:color w:val="auto"/>
          <w:spacing w:val="-20"/>
          <w:kern w:val="44"/>
          <w:sz w:val="28"/>
          <w:szCs w:val="28"/>
        </w:rPr>
        <w:t>（以下合同内容仅供参考，具体以甲乙双方协商签订的合同内容为准）</w:t>
      </w:r>
    </w:p>
    <w:p w14:paraId="61B92B1C">
      <w:pPr>
        <w:jc w:val="center"/>
        <w:rPr>
          <w:rFonts w:ascii="宋体" w:hAnsi="宋体" w:eastAsia="宋体" w:cs="宋体"/>
          <w:b/>
          <w:bCs/>
          <w:color w:val="auto"/>
          <w:spacing w:val="-20"/>
          <w:kern w:val="44"/>
          <w:sz w:val="44"/>
          <w:szCs w:val="44"/>
        </w:rPr>
      </w:pPr>
    </w:p>
    <w:p w14:paraId="47F42108">
      <w:pPr>
        <w:jc w:val="center"/>
        <w:rPr>
          <w:rFonts w:ascii="宋体" w:hAnsi="宋体" w:eastAsia="宋体" w:cs="宋体"/>
          <w:b/>
          <w:bCs/>
          <w:color w:val="auto"/>
          <w:spacing w:val="-20"/>
          <w:kern w:val="44"/>
          <w:sz w:val="44"/>
          <w:szCs w:val="44"/>
        </w:rPr>
      </w:pPr>
    </w:p>
    <w:p w14:paraId="520B961D">
      <w:pPr>
        <w:jc w:val="center"/>
        <w:rPr>
          <w:rFonts w:ascii="宋体" w:hAnsi="宋体" w:eastAsia="宋体" w:cs="宋体"/>
          <w:b/>
          <w:bCs/>
          <w:color w:val="auto"/>
          <w:spacing w:val="-20"/>
          <w:kern w:val="44"/>
          <w:sz w:val="44"/>
          <w:szCs w:val="44"/>
        </w:rPr>
      </w:pPr>
    </w:p>
    <w:p w14:paraId="1138ACC4">
      <w:pPr>
        <w:jc w:val="center"/>
        <w:rPr>
          <w:rFonts w:ascii="宋体" w:hAnsi="宋体" w:eastAsia="宋体" w:cs="宋体"/>
          <w:b/>
          <w:bCs/>
          <w:color w:val="auto"/>
          <w:spacing w:val="-20"/>
          <w:kern w:val="44"/>
          <w:sz w:val="44"/>
          <w:szCs w:val="44"/>
        </w:rPr>
      </w:pPr>
    </w:p>
    <w:p w14:paraId="759158B1">
      <w:pPr>
        <w:jc w:val="center"/>
        <w:rPr>
          <w:rFonts w:ascii="宋体" w:hAnsi="宋体" w:eastAsia="宋体" w:cs="宋体"/>
          <w:b/>
          <w:bCs/>
          <w:color w:val="auto"/>
          <w:spacing w:val="-20"/>
          <w:kern w:val="44"/>
          <w:sz w:val="44"/>
          <w:szCs w:val="44"/>
        </w:rPr>
      </w:pPr>
      <w:r>
        <w:rPr>
          <w:rFonts w:hint="eastAsia" w:ascii="宋体" w:hAnsi="宋体" w:eastAsia="宋体" w:cs="宋体"/>
          <w:b/>
          <w:bCs/>
          <w:color w:val="auto"/>
          <w:spacing w:val="-20"/>
          <w:kern w:val="44"/>
          <w:sz w:val="44"/>
          <w:szCs w:val="44"/>
        </w:rPr>
        <w:t>政府采购货物买卖合同</w:t>
      </w:r>
    </w:p>
    <w:p w14:paraId="40780FF6">
      <w:pPr>
        <w:jc w:val="center"/>
        <w:rPr>
          <w:rFonts w:ascii="宋体" w:hAnsi="宋体" w:eastAsia="宋体" w:cs="宋体"/>
          <w:b/>
          <w:bCs/>
          <w:color w:val="auto"/>
          <w:spacing w:val="-20"/>
          <w:kern w:val="44"/>
          <w:sz w:val="44"/>
          <w:szCs w:val="44"/>
        </w:rPr>
      </w:pPr>
      <w:r>
        <w:rPr>
          <w:rFonts w:hint="eastAsia" w:ascii="宋体" w:hAnsi="宋体" w:eastAsia="宋体" w:cs="宋体"/>
          <w:b/>
          <w:bCs/>
          <w:color w:val="auto"/>
          <w:spacing w:val="-20"/>
          <w:kern w:val="44"/>
          <w:sz w:val="44"/>
          <w:szCs w:val="44"/>
        </w:rPr>
        <w:t>（试行）</w:t>
      </w:r>
    </w:p>
    <w:p w14:paraId="57E7C04C">
      <w:pPr>
        <w:rPr>
          <w:rFonts w:ascii="宋体" w:hAnsi="宋体" w:eastAsia="宋体" w:cs="宋体"/>
          <w:b/>
          <w:bCs/>
          <w:color w:val="auto"/>
          <w:spacing w:val="-20"/>
          <w:kern w:val="44"/>
          <w:sz w:val="36"/>
          <w:szCs w:val="36"/>
        </w:rPr>
      </w:pPr>
    </w:p>
    <w:p w14:paraId="66AF547F">
      <w:pPr>
        <w:rPr>
          <w:rFonts w:ascii="宋体" w:hAnsi="宋体" w:eastAsia="宋体" w:cs="宋体"/>
          <w:b/>
          <w:bCs/>
          <w:color w:val="auto"/>
          <w:spacing w:val="-20"/>
          <w:kern w:val="44"/>
          <w:sz w:val="36"/>
          <w:szCs w:val="36"/>
        </w:rPr>
      </w:pPr>
    </w:p>
    <w:p w14:paraId="3B200BE9">
      <w:pPr>
        <w:rPr>
          <w:rFonts w:ascii="宋体" w:hAnsi="宋体" w:eastAsia="宋体" w:cs="宋体"/>
          <w:b/>
          <w:bCs/>
          <w:color w:val="auto"/>
          <w:spacing w:val="-20"/>
          <w:kern w:val="44"/>
          <w:sz w:val="36"/>
          <w:szCs w:val="36"/>
        </w:rPr>
      </w:pPr>
    </w:p>
    <w:p w14:paraId="6837C16B">
      <w:pPr>
        <w:spacing w:line="360" w:lineRule="auto"/>
        <w:ind w:left="420" w:leftChars="200"/>
        <w:rPr>
          <w:rFonts w:ascii="Times New Roman" w:hAnsi="Times New Roman" w:eastAsia="宋体" w:cs="Times New Roman"/>
          <w:color w:val="auto"/>
          <w:sz w:val="28"/>
          <w:szCs w:val="28"/>
        </w:rPr>
      </w:pPr>
      <w:r>
        <w:rPr>
          <w:rFonts w:hint="eastAsia" w:ascii="宋体" w:hAnsi="宋体" w:eastAsia="宋体" w:cs="宋体"/>
          <w:color w:val="auto"/>
          <w:kern w:val="0"/>
          <w:sz w:val="28"/>
          <w:szCs w:val="28"/>
        </w:rPr>
        <w:t>项目名称：</w:t>
      </w:r>
      <w:r>
        <w:rPr>
          <w:rFonts w:hint="eastAsia" w:ascii="Times New Roman" w:hAnsi="Times New Roman" w:eastAsia="宋体" w:cs="Times New Roman"/>
          <w:color w:val="auto"/>
          <w:sz w:val="28"/>
          <w:szCs w:val="28"/>
          <w:u w:val="single"/>
        </w:rPr>
        <w:t xml:space="preserve">                             </w:t>
      </w:r>
    </w:p>
    <w:p w14:paraId="08B896E3">
      <w:pPr>
        <w:spacing w:line="360" w:lineRule="auto"/>
        <w:ind w:left="420" w:leftChars="200"/>
        <w:rPr>
          <w:rFonts w:ascii="Times New Roman" w:hAnsi="Times New Roman" w:eastAsia="宋体" w:cs="Times New Roman"/>
          <w:color w:val="auto"/>
          <w:sz w:val="28"/>
          <w:szCs w:val="28"/>
          <w:u w:val="single"/>
        </w:rPr>
      </w:pPr>
      <w:r>
        <w:rPr>
          <w:rFonts w:hint="eastAsia" w:ascii="Times New Roman" w:hAnsi="Times New Roman" w:eastAsia="宋体" w:cs="Times New Roman"/>
          <w:color w:val="auto"/>
          <w:sz w:val="28"/>
          <w:szCs w:val="28"/>
        </w:rPr>
        <w:t>合同编号：</w:t>
      </w:r>
      <w:r>
        <w:rPr>
          <w:rFonts w:hint="eastAsia" w:ascii="Times New Roman" w:hAnsi="Times New Roman" w:eastAsia="宋体" w:cs="Times New Roman"/>
          <w:color w:val="auto"/>
          <w:sz w:val="28"/>
          <w:szCs w:val="28"/>
          <w:u w:val="single"/>
        </w:rPr>
        <w:t xml:space="preserve">                             </w:t>
      </w:r>
    </w:p>
    <w:p w14:paraId="09D59D0F">
      <w:pPr>
        <w:spacing w:line="360" w:lineRule="auto"/>
        <w:ind w:left="420" w:leftChars="200"/>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甲    方：</w:t>
      </w:r>
      <w:r>
        <w:rPr>
          <w:rFonts w:hint="eastAsia" w:ascii="Times New Roman" w:hAnsi="Times New Roman" w:eastAsia="宋体" w:cs="Times New Roman"/>
          <w:color w:val="auto"/>
          <w:sz w:val="28"/>
          <w:szCs w:val="28"/>
          <w:u w:val="single"/>
        </w:rPr>
        <w:t xml:space="preserve">                             </w:t>
      </w:r>
    </w:p>
    <w:p w14:paraId="633D6E67">
      <w:pPr>
        <w:spacing w:line="360" w:lineRule="auto"/>
        <w:ind w:left="420" w:leftChars="200"/>
        <w:rPr>
          <w:rFonts w:ascii="Times New Roman" w:hAnsi="Times New Roman" w:eastAsia="宋体" w:cs="Times New Roman"/>
          <w:color w:val="auto"/>
          <w:sz w:val="28"/>
          <w:szCs w:val="28"/>
          <w:u w:val="single"/>
        </w:rPr>
      </w:pPr>
      <w:r>
        <w:rPr>
          <w:rFonts w:hint="eastAsia" w:ascii="Times New Roman" w:hAnsi="Times New Roman" w:eastAsia="宋体" w:cs="Times New Roman"/>
          <w:color w:val="auto"/>
          <w:sz w:val="28"/>
          <w:szCs w:val="28"/>
        </w:rPr>
        <w:t>乙    方：</w:t>
      </w:r>
      <w:r>
        <w:rPr>
          <w:rFonts w:hint="eastAsia" w:ascii="Times New Roman" w:hAnsi="Times New Roman" w:eastAsia="宋体" w:cs="Times New Roman"/>
          <w:color w:val="auto"/>
          <w:sz w:val="28"/>
          <w:szCs w:val="28"/>
          <w:u w:val="single"/>
        </w:rPr>
        <w:t xml:space="preserve">                             </w:t>
      </w:r>
    </w:p>
    <w:p w14:paraId="13C69F4E">
      <w:pPr>
        <w:spacing w:line="360" w:lineRule="auto"/>
        <w:ind w:left="420" w:leftChars="200"/>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签订时间：</w:t>
      </w:r>
      <w:r>
        <w:rPr>
          <w:rFonts w:hint="eastAsia" w:ascii="Times New Roman" w:hAnsi="Times New Roman" w:eastAsia="宋体" w:cs="Times New Roman"/>
          <w:color w:val="auto"/>
          <w:sz w:val="28"/>
          <w:szCs w:val="28"/>
          <w:u w:val="single"/>
        </w:rPr>
        <w:t xml:space="preserve">      </w:t>
      </w:r>
      <w:r>
        <w:rPr>
          <w:rFonts w:ascii="Times New Roman" w:hAnsi="Times New Roman" w:eastAsia="宋体" w:cs="Times New Roman"/>
          <w:color w:val="auto"/>
          <w:sz w:val="28"/>
          <w:szCs w:val="28"/>
          <w:u w:val="single"/>
        </w:rPr>
        <w:t xml:space="preserve">           </w:t>
      </w:r>
      <w:r>
        <w:rPr>
          <w:rFonts w:hint="eastAsia" w:ascii="Times New Roman" w:hAnsi="Times New Roman" w:eastAsia="宋体" w:cs="Times New Roman"/>
          <w:color w:val="auto"/>
          <w:sz w:val="28"/>
          <w:szCs w:val="28"/>
          <w:u w:val="single"/>
        </w:rPr>
        <w:t xml:space="preserve">            </w:t>
      </w:r>
    </w:p>
    <w:p w14:paraId="3055493D">
      <w:pPr>
        <w:rPr>
          <w:rFonts w:ascii="Times New Roman" w:hAnsi="Times New Roman" w:eastAsia="宋体" w:cs="Times New Roman"/>
          <w:color w:val="auto"/>
          <w:szCs w:val="24"/>
        </w:rPr>
      </w:pPr>
    </w:p>
    <w:p w14:paraId="5289391B">
      <w:pPr>
        <w:rPr>
          <w:rFonts w:ascii="Times New Roman" w:hAnsi="Times New Roman" w:eastAsia="黑体" w:cs="Times New Roman"/>
          <w:color w:val="auto"/>
          <w:sz w:val="44"/>
          <w:szCs w:val="44"/>
        </w:rPr>
      </w:pPr>
      <w:r>
        <w:rPr>
          <w:rFonts w:ascii="Times New Roman" w:hAnsi="Times New Roman" w:eastAsia="黑体" w:cs="Times New Roman"/>
          <w:color w:val="auto"/>
          <w:sz w:val="44"/>
          <w:szCs w:val="44"/>
        </w:rPr>
        <w:br w:type="page"/>
      </w:r>
    </w:p>
    <w:p w14:paraId="68225C63">
      <w:pPr>
        <w:jc w:val="center"/>
        <w:rPr>
          <w:rFonts w:ascii="Times New Roman" w:hAnsi="Times New Roman" w:eastAsia="黑体" w:cs="Times New Roman"/>
          <w:color w:val="auto"/>
          <w:sz w:val="40"/>
          <w:szCs w:val="40"/>
        </w:rPr>
      </w:pPr>
      <w:r>
        <w:rPr>
          <w:rFonts w:hint="eastAsia" w:ascii="Times New Roman" w:hAnsi="Times New Roman" w:eastAsia="黑体" w:cs="Times New Roman"/>
          <w:color w:val="auto"/>
          <w:sz w:val="40"/>
          <w:szCs w:val="40"/>
        </w:rPr>
        <w:t>使 用 说 明</w:t>
      </w:r>
    </w:p>
    <w:p w14:paraId="7B237457">
      <w:pPr>
        <w:ind w:firstLine="560" w:firstLineChars="200"/>
        <w:rPr>
          <w:rFonts w:ascii="仿宋_GB2312" w:hAnsi="仿宋_GB2312" w:eastAsia="仿宋_GB2312" w:cs="仿宋_GB2312"/>
          <w:color w:val="auto"/>
          <w:sz w:val="28"/>
          <w:szCs w:val="28"/>
        </w:rPr>
      </w:pPr>
    </w:p>
    <w:p w14:paraId="2F9F8A79">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1.本合同标准文本适用于购买现成货物的采购项目，不包括需要供应商定制开发、创新研发的货物采购项目。</w:t>
      </w:r>
    </w:p>
    <w:p w14:paraId="5E4C5945">
      <w:pPr>
        <w:rPr>
          <w:rFonts w:ascii="Times New Roman" w:hAnsi="Times New Roman" w:eastAsia="黑体" w:cs="Times New Roman"/>
          <w:color w:val="auto"/>
          <w:sz w:val="40"/>
          <w:szCs w:val="40"/>
        </w:rPr>
      </w:pPr>
      <w:r>
        <w:rPr>
          <w:rFonts w:hint="eastAsia" w:ascii="Times New Roman" w:hAnsi="Times New Roman" w:eastAsia="黑体" w:cs="Times New Roman"/>
          <w:color w:val="auto"/>
          <w:sz w:val="40"/>
          <w:szCs w:val="40"/>
        </w:rPr>
        <w:t xml:space="preserve">   </w:t>
      </w:r>
      <w:r>
        <w:rPr>
          <w:rFonts w:hint="eastAsia" w:ascii="仿宋_GB2312" w:hAnsi="仿宋_GB2312" w:eastAsia="仿宋_GB2312" w:cs="仿宋_GB2312"/>
          <w:color w:val="auto"/>
          <w:sz w:val="28"/>
          <w:szCs w:val="28"/>
        </w:rPr>
        <w:t>2.本合同标准文本为政府采购货物买卖合同编制提供参考，可以结合采购项目具体情况，对文本作必要的调整修订后使用。</w:t>
      </w:r>
    </w:p>
    <w:p w14:paraId="235E6BCC">
      <w:pPr>
        <w:ind w:firstLine="560" w:firstLineChars="200"/>
        <w:rPr>
          <w:rFonts w:ascii="仿宋_GB2312" w:hAnsi="仿宋_GB2312" w:eastAsia="仿宋_GB2312" w:cs="仿宋_GB2312"/>
          <w:color w:val="auto"/>
          <w:sz w:val="28"/>
          <w:szCs w:val="28"/>
        </w:rPr>
        <w:sectPr>
          <w:headerReference r:id="rId10" w:type="first"/>
          <w:headerReference r:id="rId8" w:type="default"/>
          <w:footerReference r:id="rId11" w:type="default"/>
          <w:headerReference r:id="rId9" w:type="even"/>
          <w:footerReference r:id="rId12" w:type="even"/>
          <w:pgSz w:w="11906" w:h="16838"/>
          <w:pgMar w:top="1440" w:right="1080" w:bottom="1440" w:left="1080" w:header="851" w:footer="992" w:gutter="0"/>
          <w:pgNumType w:fmt="decimal"/>
          <w:cols w:space="425" w:num="1"/>
          <w:titlePg/>
          <w:docGrid w:type="lines" w:linePitch="312" w:charSpace="0"/>
        </w:sectPr>
      </w:pPr>
      <w:r>
        <w:rPr>
          <w:rFonts w:hint="eastAsia" w:ascii="仿宋_GB2312" w:hAnsi="仿宋_GB2312" w:eastAsia="仿宋_GB2312" w:cs="仿宋_GB2312"/>
          <w:color w:val="auto"/>
          <w:sz w:val="28"/>
          <w:szCs w:val="28"/>
        </w:rPr>
        <w:t>3.本合同标准文本各条款中，如涉及填写多家供应商、制造商，多种采购标的、分包主要内容等信息的，可根据采购项目具体情况添加信息项。</w:t>
      </w:r>
    </w:p>
    <w:bookmarkEnd w:id="592"/>
    <w:p w14:paraId="4CEC4A36">
      <w:pPr>
        <w:spacing w:line="400" w:lineRule="exact"/>
        <w:rPr>
          <w:rFonts w:ascii="Times New Roman" w:hAnsi="Times New Roman" w:eastAsia="宋体" w:cs="Times New Roman"/>
          <w:color w:val="auto"/>
          <w:szCs w:val="24"/>
        </w:rPr>
      </w:pPr>
      <w:bookmarkStart w:id="593" w:name="_Toc22209"/>
    </w:p>
    <w:p w14:paraId="6A6A4E18">
      <w:pPr>
        <w:keepNext/>
        <w:keepLines/>
        <w:adjustRightInd w:val="0"/>
        <w:snapToGrid w:val="0"/>
        <w:spacing w:line="400" w:lineRule="exact"/>
        <w:ind w:firstLine="560" w:firstLineChars="200"/>
        <w:jc w:val="center"/>
        <w:outlineLvl w:val="1"/>
        <w:rPr>
          <w:rFonts w:ascii="黑体" w:hAnsi="华文中宋" w:eastAsia="黑体" w:cs="Times New Roman"/>
          <w:color w:val="auto"/>
          <w:sz w:val="28"/>
          <w:szCs w:val="28"/>
        </w:rPr>
      </w:pPr>
      <w:r>
        <w:rPr>
          <w:rFonts w:hint="eastAsia" w:ascii="黑体" w:hAnsi="黑体" w:eastAsia="黑体" w:cs="Times New Roman"/>
          <w:color w:val="auto"/>
          <w:sz w:val="28"/>
          <w:szCs w:val="28"/>
        </w:rPr>
        <w:t xml:space="preserve">第一节 </w:t>
      </w:r>
      <w:r>
        <w:rPr>
          <w:rFonts w:hint="eastAsia" w:ascii="黑体" w:hAnsi="华文中宋" w:eastAsia="黑体" w:cs="Times New Roman"/>
          <w:color w:val="auto"/>
          <w:sz w:val="28"/>
          <w:szCs w:val="28"/>
        </w:rPr>
        <w:t>政府采购合同协议书</w:t>
      </w:r>
      <w:bookmarkEnd w:id="593"/>
    </w:p>
    <w:p w14:paraId="1374A38E">
      <w:pPr>
        <w:spacing w:line="400" w:lineRule="exact"/>
        <w:ind w:left="560" w:hanging="560" w:hangingChars="200"/>
        <w:rPr>
          <w:rFonts w:ascii="黑体" w:hAnsi="华文中宋" w:eastAsia="黑体" w:cs="Times New Roman"/>
          <w:color w:val="auto"/>
          <w:sz w:val="28"/>
          <w:szCs w:val="28"/>
        </w:rPr>
      </w:pPr>
    </w:p>
    <w:p w14:paraId="700B6FFF">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甲方（全称）：</w:t>
      </w:r>
      <w:r>
        <w:rPr>
          <w:rFonts w:hint="eastAsia" w:ascii="宋体" w:hAnsi="宋体" w:eastAsia="宋体" w:cs="Times New Roman"/>
          <w:color w:val="auto"/>
          <w:u w:val="single"/>
        </w:rPr>
        <w:t xml:space="preserve">                        </w:t>
      </w:r>
      <w:r>
        <w:rPr>
          <w:rFonts w:hint="eastAsia" w:ascii="宋体" w:hAnsi="宋体" w:eastAsia="宋体" w:cs="Times New Roman"/>
          <w:color w:val="auto"/>
        </w:rPr>
        <w:t>（采购人、受采购人委托签订合同的单位或采购</w:t>
      </w:r>
      <w:r>
        <w:rPr>
          <w:rFonts w:hint="eastAsia" w:ascii="宋体" w:hAnsi="宋体" w:eastAsia="宋体" w:cs="Times New Roman"/>
          <w:color w:val="auto"/>
        </w:rPr>
        <w:tab/>
      </w:r>
      <w:r>
        <w:rPr>
          <w:rFonts w:hint="eastAsia" w:ascii="宋体" w:hAnsi="宋体" w:eastAsia="宋体" w:cs="Times New Roman"/>
          <w:color w:val="auto"/>
        </w:rPr>
        <w:t xml:space="preserve">                                   文件约定的合同甲方）</w:t>
      </w:r>
    </w:p>
    <w:p w14:paraId="31D5A2B3">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乙方1（全称）：</w:t>
      </w:r>
      <w:r>
        <w:rPr>
          <w:rFonts w:hint="eastAsia" w:ascii="宋体" w:hAnsi="宋体" w:eastAsia="宋体" w:cs="Times New Roman"/>
          <w:color w:val="auto"/>
          <w:u w:val="single"/>
        </w:rPr>
        <w:t xml:space="preserve">                       </w:t>
      </w:r>
      <w:r>
        <w:rPr>
          <w:rFonts w:hint="eastAsia" w:ascii="宋体" w:hAnsi="宋体" w:eastAsia="宋体" w:cs="Times New Roman"/>
          <w:color w:val="auto"/>
        </w:rPr>
        <w:t>（供应商）</w:t>
      </w:r>
    </w:p>
    <w:p w14:paraId="6699EE72">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乙方2（全称）：</w:t>
      </w:r>
      <w:r>
        <w:rPr>
          <w:rFonts w:hint="eastAsia" w:ascii="宋体" w:hAnsi="宋体" w:eastAsia="宋体" w:cs="Times New Roman"/>
          <w:color w:val="auto"/>
          <w:u w:val="single"/>
        </w:rPr>
        <w:t xml:space="preserve">                        </w:t>
      </w:r>
      <w:r>
        <w:rPr>
          <w:rFonts w:hint="eastAsia" w:ascii="宋体" w:hAnsi="宋体" w:eastAsia="宋体" w:cs="Times New Roman"/>
          <w:color w:val="auto"/>
        </w:rPr>
        <w:t>（联合体成员供应商或其他合同主体）（如有）</w:t>
      </w:r>
    </w:p>
    <w:p w14:paraId="1FC30D5F">
      <w:pPr>
        <w:adjustRightInd w:val="0"/>
        <w:snapToGrid w:val="0"/>
        <w:spacing w:line="400" w:lineRule="exact"/>
        <w:ind w:left="420" w:hanging="420" w:hangingChars="200"/>
        <w:rPr>
          <w:rFonts w:ascii="宋体" w:hAnsi="宋体" w:eastAsia="宋体" w:cs="Times New Roman"/>
          <w:color w:val="auto"/>
        </w:rPr>
      </w:pPr>
      <w:r>
        <w:rPr>
          <w:rFonts w:hint="eastAsia" w:ascii="Times New Roman" w:hAnsi="Times New Roman" w:eastAsia="宋体" w:cs="Times New Roman"/>
          <w:color w:val="auto"/>
          <w:szCs w:val="24"/>
        </w:rPr>
        <w:t>乙方</w:t>
      </w:r>
      <w:r>
        <w:rPr>
          <w:rFonts w:hint="eastAsia" w:ascii="宋体" w:hAnsi="宋体" w:eastAsia="宋体" w:cs="Times New Roman"/>
          <w:color w:val="auto"/>
        </w:rPr>
        <w:t>3</w:t>
      </w:r>
      <w:r>
        <w:rPr>
          <w:rFonts w:hint="eastAsia" w:ascii="Times New Roman" w:hAnsi="Times New Roman" w:eastAsia="宋体" w:cs="Times New Roman"/>
          <w:color w:val="auto"/>
          <w:szCs w:val="24"/>
        </w:rPr>
        <w:t>（全称）</w:t>
      </w:r>
      <w:r>
        <w:rPr>
          <w:rFonts w:hint="eastAsia" w:ascii="宋体" w:hAnsi="宋体" w:eastAsia="宋体" w:cs="Times New Roman"/>
          <w:color w:val="auto"/>
          <w:u w:val="single"/>
        </w:rPr>
        <w:t xml:space="preserve">                          </w:t>
      </w:r>
      <w:r>
        <w:rPr>
          <w:rFonts w:hint="eastAsia" w:ascii="宋体" w:hAnsi="宋体" w:eastAsia="宋体" w:cs="Times New Roman"/>
          <w:color w:val="auto"/>
        </w:rPr>
        <w:t>（联合体成员供应商或其他合同主体）（如有）</w:t>
      </w:r>
    </w:p>
    <w:p w14:paraId="2C9F8CA9">
      <w:pPr>
        <w:spacing w:line="400" w:lineRule="exact"/>
        <w:ind w:left="420" w:hanging="420" w:hangingChars="200"/>
        <w:rPr>
          <w:rFonts w:ascii="Times New Roman" w:hAnsi="Times New Roman" w:eastAsia="宋体" w:cs="Times New Roman"/>
          <w:color w:val="auto"/>
          <w:szCs w:val="24"/>
        </w:rPr>
      </w:pPr>
    </w:p>
    <w:p w14:paraId="563201E5">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14E34A6">
      <w:pPr>
        <w:numPr>
          <w:ilvl w:val="0"/>
          <w:numId w:val="1"/>
        </w:numPr>
        <w:adjustRightInd w:val="0"/>
        <w:snapToGrid w:val="0"/>
        <w:spacing w:line="400" w:lineRule="exact"/>
        <w:ind w:left="422" w:hanging="422" w:hangingChars="200"/>
        <w:rPr>
          <w:rFonts w:ascii="宋体" w:hAnsi="宋体" w:eastAsia="宋体" w:cs="Times New Roman"/>
          <w:b/>
          <w:color w:val="auto"/>
        </w:rPr>
      </w:pPr>
      <w:r>
        <w:rPr>
          <w:rFonts w:hint="eastAsia" w:ascii="宋体" w:hAnsi="宋体" w:eastAsia="宋体" w:cs="Times New Roman"/>
          <w:b/>
          <w:color w:val="auto"/>
        </w:rPr>
        <w:t>项目信息</w:t>
      </w:r>
    </w:p>
    <w:p w14:paraId="7563FCC8">
      <w:pPr>
        <w:numPr>
          <w:ilvl w:val="0"/>
          <w:numId w:val="2"/>
        </w:numPr>
        <w:adjustRightInd w:val="0"/>
        <w:snapToGrid w:val="0"/>
        <w:spacing w:line="400" w:lineRule="exact"/>
        <w:ind w:left="420" w:hanging="420" w:hangingChars="200"/>
        <w:rPr>
          <w:rFonts w:ascii="宋体" w:hAnsi="宋体" w:eastAsia="宋体" w:cs="Times New Roman"/>
          <w:color w:val="auto"/>
          <w:u w:val="single"/>
        </w:rPr>
      </w:pPr>
      <w:r>
        <w:rPr>
          <w:rFonts w:hint="eastAsia" w:ascii="宋体" w:hAnsi="宋体" w:eastAsia="宋体" w:cs="Times New Roman"/>
          <w:color w:val="auto"/>
        </w:rPr>
        <w:t>采购项目名称：</w:t>
      </w:r>
      <w:r>
        <w:rPr>
          <w:rFonts w:ascii="宋体" w:hAnsi="宋体" w:eastAsia="宋体" w:cs="Times New Roman"/>
          <w:color w:val="auto"/>
          <w:u w:val="single"/>
        </w:rPr>
        <w:t xml:space="preserve">                                          </w:t>
      </w:r>
    </w:p>
    <w:p w14:paraId="3AB03FD6">
      <w:pPr>
        <w:numPr>
          <w:ilvl w:val="255"/>
          <w:numId w:val="0"/>
        </w:numPr>
        <w:tabs>
          <w:tab w:val="left" w:pos="999"/>
        </w:tabs>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 xml:space="preserve">     采购项目编号：</w:t>
      </w:r>
      <w:r>
        <w:rPr>
          <w:rFonts w:ascii="宋体" w:hAnsi="宋体" w:eastAsia="宋体" w:cs="Times New Roman"/>
          <w:color w:val="auto"/>
          <w:u w:val="single"/>
        </w:rPr>
        <w:t xml:space="preserve">                                          </w:t>
      </w:r>
    </w:p>
    <w:p w14:paraId="6C101472">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（2）采购计划编号：</w:t>
      </w:r>
      <w:r>
        <w:rPr>
          <w:rFonts w:ascii="宋体" w:hAnsi="宋体" w:eastAsia="宋体" w:cs="Times New Roman"/>
          <w:color w:val="auto"/>
          <w:u w:val="single"/>
        </w:rPr>
        <w:t xml:space="preserve">                     </w:t>
      </w:r>
      <w:r>
        <w:rPr>
          <w:rFonts w:hint="eastAsia" w:ascii="宋体" w:hAnsi="宋体" w:eastAsia="宋体" w:cs="Times New Roman"/>
          <w:color w:val="auto"/>
          <w:u w:val="single"/>
        </w:rPr>
        <w:t xml:space="preserve">                </w:t>
      </w:r>
      <w:r>
        <w:rPr>
          <w:rFonts w:ascii="宋体" w:hAnsi="宋体" w:eastAsia="宋体" w:cs="Times New Roman"/>
          <w:color w:val="auto"/>
          <w:u w:val="single"/>
        </w:rPr>
        <w:t xml:space="preserve">     </w:t>
      </w:r>
      <w:r>
        <w:rPr>
          <w:rFonts w:ascii="宋体" w:hAnsi="宋体" w:eastAsia="宋体" w:cs="Times New Roman"/>
          <w:color w:val="auto"/>
        </w:rPr>
        <w:t xml:space="preserve"> </w:t>
      </w:r>
    </w:p>
    <w:p w14:paraId="00A19454">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（3）项目内容：</w:t>
      </w:r>
    </w:p>
    <w:p w14:paraId="2FA870F8">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 xml:space="preserve">     采购标的及数量（台/套</w:t>
      </w:r>
      <w:r>
        <w:rPr>
          <w:rFonts w:ascii="宋体" w:hAnsi="宋体" w:eastAsia="宋体" w:cs="Times New Roman"/>
          <w:color w:val="auto"/>
          <w:lang w:val="en"/>
        </w:rPr>
        <w:t>/</w:t>
      </w:r>
      <w:r>
        <w:rPr>
          <w:rFonts w:hint="eastAsia" w:ascii="宋体" w:hAnsi="宋体" w:eastAsia="宋体" w:cs="Times New Roman"/>
          <w:color w:val="auto"/>
          <w:lang w:val="en"/>
        </w:rPr>
        <w:t>个</w:t>
      </w:r>
      <w:r>
        <w:rPr>
          <w:rFonts w:ascii="宋体" w:hAnsi="宋体" w:eastAsia="宋体" w:cs="Times New Roman"/>
          <w:color w:val="auto"/>
          <w:lang w:val="en"/>
        </w:rPr>
        <w:t>/</w:t>
      </w:r>
      <w:r>
        <w:rPr>
          <w:rFonts w:hint="eastAsia" w:ascii="宋体" w:hAnsi="宋体" w:eastAsia="宋体" w:cs="Times New Roman"/>
          <w:color w:val="auto"/>
          <w:lang w:val="en"/>
        </w:rPr>
        <w:t>架</w:t>
      </w:r>
      <w:r>
        <w:rPr>
          <w:rFonts w:ascii="宋体" w:hAnsi="宋体" w:eastAsia="宋体" w:cs="Times New Roman"/>
          <w:color w:val="auto"/>
          <w:lang w:val="en"/>
        </w:rPr>
        <w:t>/</w:t>
      </w:r>
      <w:r>
        <w:rPr>
          <w:rFonts w:hint="eastAsia" w:ascii="宋体" w:hAnsi="宋体" w:eastAsia="宋体" w:cs="Times New Roman"/>
          <w:color w:val="auto"/>
          <w:lang w:val="en"/>
        </w:rPr>
        <w:t>组等</w:t>
      </w:r>
      <w:r>
        <w:rPr>
          <w:rFonts w:hint="eastAsia" w:ascii="宋体" w:hAnsi="宋体" w:eastAsia="宋体" w:cs="Times New Roman"/>
          <w:color w:val="auto"/>
        </w:rPr>
        <w:t>）：</w:t>
      </w:r>
      <w:r>
        <w:rPr>
          <w:rFonts w:hint="eastAsia" w:ascii="宋体" w:hAnsi="宋体" w:eastAsia="宋体" w:cs="Times New Roman"/>
          <w:color w:val="auto"/>
          <w:u w:val="single"/>
        </w:rPr>
        <w:t xml:space="preserve">                </w:t>
      </w:r>
      <w:r>
        <w:rPr>
          <w:rFonts w:hint="eastAsia" w:ascii="宋体" w:hAnsi="宋体" w:eastAsia="宋体" w:cs="Times New Roman"/>
          <w:color w:val="auto"/>
        </w:rPr>
        <w:t xml:space="preserve"> </w:t>
      </w:r>
    </w:p>
    <w:p w14:paraId="486DE91E">
      <w:pPr>
        <w:numPr>
          <w:ilvl w:val="255"/>
          <w:numId w:val="0"/>
        </w:numPr>
        <w:adjustRightInd w:val="0"/>
        <w:snapToGrid w:val="0"/>
        <w:spacing w:line="400" w:lineRule="exact"/>
        <w:ind w:left="420" w:hanging="420" w:hangingChars="200"/>
        <w:rPr>
          <w:rFonts w:ascii="宋体" w:hAnsi="宋体" w:eastAsia="宋体" w:cs="宋体"/>
          <w:color w:val="auto"/>
          <w:lang w:val="en"/>
        </w:rPr>
      </w:pPr>
      <w:r>
        <w:rPr>
          <w:rFonts w:hint="eastAsia" w:ascii="宋体" w:hAnsi="宋体" w:eastAsia="宋体" w:cs="宋体"/>
          <w:color w:val="auto"/>
        </w:rPr>
        <w:t>品牌：</w:t>
      </w:r>
      <w:r>
        <w:rPr>
          <w:rFonts w:hint="eastAsia" w:ascii="宋体" w:hAnsi="宋体" w:eastAsia="宋体" w:cs="宋体"/>
          <w:color w:val="auto"/>
          <w:u w:val="single"/>
        </w:rPr>
        <w:t xml:space="preserve">      </w:t>
      </w:r>
      <w:r>
        <w:rPr>
          <w:rFonts w:ascii="宋体" w:hAnsi="宋体" w:eastAsia="宋体" w:cs="宋体"/>
          <w:color w:val="auto"/>
          <w:u w:val="single"/>
          <w:lang w:val="en"/>
        </w:rPr>
        <w:t xml:space="preserve">   </w:t>
      </w:r>
      <w:r>
        <w:rPr>
          <w:rFonts w:hint="eastAsia" w:ascii="宋体" w:hAnsi="宋体" w:eastAsia="宋体" w:cs="宋体"/>
          <w:color w:val="auto"/>
          <w:u w:val="single"/>
        </w:rPr>
        <w:t xml:space="preserve">    </w:t>
      </w:r>
      <w:r>
        <w:rPr>
          <w:rFonts w:ascii="宋体" w:hAnsi="宋体" w:eastAsia="宋体" w:cs="宋体"/>
          <w:color w:val="auto"/>
          <w:u w:val="single"/>
          <w:lang w:val="en"/>
        </w:rPr>
        <w:t xml:space="preserve"> </w:t>
      </w:r>
      <w:r>
        <w:rPr>
          <w:rFonts w:hint="eastAsia" w:ascii="宋体" w:hAnsi="宋体" w:eastAsia="宋体" w:cs="宋体"/>
          <w:color w:val="auto"/>
          <w:u w:val="single"/>
        </w:rPr>
        <w:t xml:space="preserve"> </w:t>
      </w:r>
      <w:r>
        <w:rPr>
          <w:rFonts w:ascii="宋体" w:hAnsi="宋体" w:eastAsia="宋体" w:cs="宋体"/>
          <w:color w:val="auto"/>
          <w:lang w:val="en"/>
        </w:rPr>
        <w:t xml:space="preserve">     </w:t>
      </w:r>
      <w:r>
        <w:rPr>
          <w:rFonts w:hint="eastAsia" w:ascii="宋体" w:hAnsi="宋体" w:eastAsia="宋体" w:cs="宋体"/>
          <w:color w:val="auto"/>
        </w:rPr>
        <w:t>规格型号：</w:t>
      </w:r>
      <w:r>
        <w:rPr>
          <w:rFonts w:hint="eastAsia" w:ascii="宋体" w:hAnsi="宋体" w:eastAsia="宋体" w:cs="宋体"/>
          <w:color w:val="auto"/>
          <w:u w:val="single"/>
        </w:rPr>
        <w:t xml:space="preserve">   </w:t>
      </w:r>
      <w:r>
        <w:rPr>
          <w:rFonts w:ascii="宋体" w:hAnsi="宋体" w:eastAsia="宋体" w:cs="宋体"/>
          <w:color w:val="auto"/>
          <w:u w:val="single"/>
          <w:lang w:val="en"/>
        </w:rPr>
        <w:t xml:space="preserve">  </w:t>
      </w:r>
      <w:r>
        <w:rPr>
          <w:rFonts w:hint="eastAsia" w:ascii="宋体" w:hAnsi="宋体" w:eastAsia="宋体" w:cs="宋体"/>
          <w:color w:val="auto"/>
          <w:u w:val="single"/>
        </w:rPr>
        <w:t xml:space="preserve">       </w:t>
      </w:r>
      <w:r>
        <w:rPr>
          <w:rFonts w:ascii="宋体" w:hAnsi="宋体" w:eastAsia="宋体" w:cs="宋体"/>
          <w:color w:val="auto"/>
          <w:u w:val="single"/>
          <w:lang w:val="en"/>
        </w:rPr>
        <w:t xml:space="preserve">   </w:t>
      </w:r>
    </w:p>
    <w:p w14:paraId="5CDF280B">
      <w:pPr>
        <w:adjustRightInd w:val="0"/>
        <w:snapToGrid w:val="0"/>
        <w:spacing w:line="400" w:lineRule="exact"/>
        <w:ind w:left="420" w:hanging="420" w:hangingChars="200"/>
        <w:rPr>
          <w:rFonts w:ascii="宋体" w:hAnsi="宋体" w:eastAsia="宋体" w:cs="Times New Roman"/>
          <w:color w:val="auto"/>
          <w:u w:val="single"/>
        </w:rPr>
      </w:pPr>
      <w:r>
        <w:rPr>
          <w:rFonts w:hint="eastAsia" w:ascii="宋体" w:hAnsi="宋体" w:eastAsia="宋体" w:cs="Times New Roman"/>
          <w:color w:val="auto"/>
        </w:rPr>
        <w:t>采购标的的技术要求、商务要求具体见附件。</w:t>
      </w:r>
    </w:p>
    <w:p w14:paraId="75C01234">
      <w:pPr>
        <w:numPr>
          <w:ilvl w:val="255"/>
          <w:numId w:val="0"/>
        </w:numPr>
        <w:adjustRightInd w:val="0"/>
        <w:snapToGrid w:val="0"/>
        <w:spacing w:line="400" w:lineRule="exact"/>
        <w:ind w:left="420" w:hanging="420" w:hangingChars="200"/>
        <w:rPr>
          <w:rFonts w:ascii="宋体" w:hAnsi="宋体" w:eastAsia="宋体" w:cs="宋体"/>
          <w:color w:val="auto"/>
        </w:rPr>
      </w:pPr>
      <w:r>
        <w:rPr>
          <w:rFonts w:hint="eastAsia" w:ascii="汉仪书宋二S" w:hAnsi="汉仪书宋二S" w:eastAsia="汉仪书宋二S" w:cs="汉仪书宋二S"/>
          <w:color w:val="auto"/>
        </w:rPr>
        <w:t>①</w:t>
      </w:r>
      <w:r>
        <w:rPr>
          <w:rFonts w:hint="eastAsia" w:ascii="宋体" w:hAnsi="宋体" w:eastAsia="宋体" w:cs="宋体"/>
          <w:color w:val="auto"/>
        </w:rPr>
        <w:t>涉及信息类产品，请填写该产品关键部件的品牌、型号：</w:t>
      </w:r>
    </w:p>
    <w:p w14:paraId="23FEA69D">
      <w:pPr>
        <w:numPr>
          <w:ilvl w:val="255"/>
          <w:numId w:val="0"/>
        </w:numPr>
        <w:adjustRightInd w:val="0"/>
        <w:snapToGrid w:val="0"/>
        <w:spacing w:line="400" w:lineRule="exact"/>
        <w:ind w:left="420" w:hanging="420" w:hangingChars="200"/>
        <w:rPr>
          <w:rFonts w:ascii="宋体" w:hAnsi="宋体" w:eastAsia="宋体" w:cs="宋体"/>
          <w:color w:val="auto"/>
          <w:kern w:val="0"/>
          <w:u w:val="single"/>
        </w:rPr>
      </w:pPr>
      <w:r>
        <w:rPr>
          <w:rFonts w:hint="eastAsia" w:ascii="宋体" w:hAnsi="宋体" w:eastAsia="宋体" w:cs="宋体"/>
          <w:color w:val="auto"/>
        </w:rPr>
        <w:t xml:space="preserve">     标的名称：</w:t>
      </w:r>
      <w:r>
        <w:rPr>
          <w:rFonts w:hint="eastAsia" w:ascii="宋体" w:hAnsi="宋体" w:eastAsia="宋体" w:cs="宋体"/>
          <w:color w:val="auto"/>
          <w:kern w:val="0"/>
          <w:u w:val="single"/>
        </w:rPr>
        <w:t xml:space="preserve">      </w:t>
      </w:r>
      <w:r>
        <w:rPr>
          <w:rFonts w:ascii="宋体" w:hAnsi="宋体" w:eastAsia="宋体" w:cs="宋体"/>
          <w:color w:val="auto"/>
          <w:kern w:val="0"/>
          <w:u w:val="single"/>
          <w:lang w:val="en"/>
        </w:rPr>
        <w:t xml:space="preserve">               </w:t>
      </w:r>
      <w:r>
        <w:rPr>
          <w:rFonts w:hint="eastAsia" w:ascii="宋体" w:hAnsi="宋体" w:eastAsia="宋体" w:cs="宋体"/>
          <w:color w:val="auto"/>
          <w:kern w:val="0"/>
          <w:u w:val="single"/>
        </w:rPr>
        <w:t xml:space="preserve">    </w:t>
      </w:r>
    </w:p>
    <w:p w14:paraId="51A69924">
      <w:pPr>
        <w:numPr>
          <w:ilvl w:val="255"/>
          <w:numId w:val="0"/>
        </w:numPr>
        <w:adjustRightInd w:val="0"/>
        <w:snapToGrid w:val="0"/>
        <w:spacing w:line="400" w:lineRule="exact"/>
        <w:ind w:left="420" w:hanging="420" w:hangingChars="200"/>
        <w:rPr>
          <w:rFonts w:ascii="宋体" w:hAnsi="宋体" w:eastAsia="宋体" w:cs="宋体"/>
          <w:color w:val="auto"/>
        </w:rPr>
      </w:pPr>
      <w:r>
        <w:rPr>
          <w:rFonts w:hint="eastAsia" w:ascii="宋体" w:hAnsi="宋体" w:eastAsia="宋体" w:cs="宋体"/>
          <w:color w:val="auto"/>
        </w:rPr>
        <w:t xml:space="preserve">     关键部件：</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w:t>
      </w:r>
      <w:r>
        <w:rPr>
          <w:rFonts w:hint="eastAsia" w:ascii="宋体" w:hAnsi="宋体" w:eastAsia="宋体" w:cs="宋体"/>
          <w:color w:val="auto"/>
        </w:rPr>
        <w:t>品牌：</w:t>
      </w:r>
      <w:r>
        <w:rPr>
          <w:rFonts w:hint="eastAsia" w:ascii="宋体" w:hAnsi="宋体" w:eastAsia="宋体" w:cs="宋体"/>
          <w:color w:val="auto"/>
          <w:u w:val="single"/>
        </w:rPr>
        <w:t xml:space="preserve">        </w:t>
      </w:r>
      <w:r>
        <w:rPr>
          <w:rFonts w:hint="eastAsia" w:ascii="宋体" w:hAnsi="宋体" w:eastAsia="宋体" w:cs="宋体"/>
          <w:color w:val="auto"/>
        </w:rPr>
        <w:t xml:space="preserve"> 型号：</w:t>
      </w:r>
      <w:r>
        <w:rPr>
          <w:rFonts w:hint="eastAsia" w:ascii="宋体" w:hAnsi="宋体" w:eastAsia="宋体" w:cs="宋体"/>
          <w:color w:val="auto"/>
          <w:u w:val="single"/>
        </w:rPr>
        <w:t xml:space="preserve">       </w:t>
      </w:r>
      <w:r>
        <w:rPr>
          <w:rFonts w:hint="eastAsia" w:ascii="宋体" w:hAnsi="宋体" w:eastAsia="宋体" w:cs="宋体"/>
          <w:color w:val="auto"/>
        </w:rPr>
        <w:t xml:space="preserve"> </w:t>
      </w:r>
    </w:p>
    <w:p w14:paraId="400F18AD">
      <w:pPr>
        <w:widowControl/>
        <w:autoSpaceDE w:val="0"/>
        <w:autoSpaceDN w:val="0"/>
        <w:adjustRightIn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 xml:space="preserve">     </w:t>
      </w:r>
      <w:r>
        <w:rPr>
          <w:rFonts w:hint="eastAsia" w:ascii="宋体" w:hAnsi="宋体" w:eastAsia="宋体" w:cs="宋体"/>
          <w:color w:val="auto"/>
        </w:rPr>
        <w:t>关键部件</w:t>
      </w:r>
      <w:r>
        <w:rPr>
          <w:rFonts w:hint="eastAsia" w:ascii="宋体" w:hAnsi="宋体" w:eastAsia="宋体" w:cs="宋体"/>
          <w:color w:val="auto"/>
          <w:kern w:val="0"/>
        </w:rPr>
        <w:t>：</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品牌：</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型号：</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w:t>
      </w:r>
    </w:p>
    <w:p w14:paraId="51A74C4D">
      <w:pPr>
        <w:widowControl/>
        <w:autoSpaceDE w:val="0"/>
        <w:autoSpaceDN w:val="0"/>
        <w:adjustRightIn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 xml:space="preserve">     关键部件：</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品牌：</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型号：</w:t>
      </w:r>
      <w:r>
        <w:rPr>
          <w:rFonts w:hint="eastAsia" w:ascii="宋体" w:hAnsi="宋体" w:eastAsia="宋体" w:cs="宋体"/>
          <w:color w:val="auto"/>
          <w:kern w:val="0"/>
          <w:u w:val="single"/>
        </w:rPr>
        <w:t xml:space="preserve">       </w:t>
      </w:r>
    </w:p>
    <w:p w14:paraId="37E548F4">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 xml:space="preserve">   （注：关键部件是指财政部会同有关部门发布的政府采购需求标准规定的需要通过国家有关部门指定的测评机构开展的安全可靠测评的软硬件，如CPU芯片、操作系统、数据库等。）</w:t>
      </w:r>
    </w:p>
    <w:p w14:paraId="5C1C63A3">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 xml:space="preserve"> </w:t>
      </w:r>
      <w:r>
        <w:rPr>
          <w:rFonts w:hint="eastAsia" w:ascii="汉仪书宋二S" w:hAnsi="汉仪书宋二S" w:eastAsia="汉仪书宋二S" w:cs="汉仪书宋二S"/>
          <w:color w:val="auto"/>
          <w:kern w:val="0"/>
        </w:rPr>
        <w:t>②</w:t>
      </w:r>
      <w:r>
        <w:rPr>
          <w:rFonts w:hint="eastAsia" w:ascii="宋体" w:hAnsi="宋体" w:eastAsia="宋体" w:cs="宋体"/>
          <w:color w:val="auto"/>
          <w:kern w:val="0"/>
        </w:rPr>
        <w:t>涉及车辆采购，请填写是否属于新能源汽车：</w:t>
      </w:r>
    </w:p>
    <w:p w14:paraId="5641D5FE">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 xml:space="preserve">         </w:t>
      </w:r>
      <w:r>
        <w:rPr>
          <w:rFonts w:hint="eastAsia" w:ascii="宋体" w:hAnsi="宋体" w:eastAsia="宋体" w:cs="宋体"/>
          <w:color w:val="auto"/>
          <w:kern w:val="0"/>
        </w:rPr>
        <w:sym w:font="Wingdings" w:char="00A8"/>
      </w:r>
      <w:r>
        <w:rPr>
          <w:rFonts w:hint="eastAsia" w:ascii="宋体" w:hAnsi="宋体" w:eastAsia="宋体" w:cs="宋体"/>
          <w:color w:val="auto"/>
          <w:kern w:val="0"/>
        </w:rPr>
        <w:t>是，《政府采购品目分类目录》底级品目名称：</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数量：</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金额：</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w:t>
      </w:r>
    </w:p>
    <w:p w14:paraId="4E7B4EA5">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 xml:space="preserve">         </w:t>
      </w:r>
      <w:r>
        <w:rPr>
          <w:rFonts w:hint="eastAsia" w:ascii="宋体" w:hAnsi="宋体" w:eastAsia="宋体" w:cs="宋体"/>
          <w:color w:val="auto"/>
          <w:kern w:val="0"/>
        </w:rPr>
        <w:sym w:font="Wingdings" w:char="00A8"/>
      </w:r>
      <w:r>
        <w:rPr>
          <w:rFonts w:hint="eastAsia" w:ascii="宋体" w:hAnsi="宋体" w:eastAsia="宋体" w:cs="宋体"/>
          <w:color w:val="auto"/>
          <w:kern w:val="0"/>
        </w:rPr>
        <w:t>否</w:t>
      </w:r>
    </w:p>
    <w:p w14:paraId="0EFF1C35">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w:t>
      </w:r>
      <w:r>
        <w:rPr>
          <w:rFonts w:ascii="宋体" w:hAnsi="宋体" w:eastAsia="宋体" w:cs="宋体"/>
          <w:color w:val="auto"/>
          <w:kern w:val="0"/>
          <w:lang w:val="en"/>
        </w:rPr>
        <w:t>4</w:t>
      </w:r>
      <w:r>
        <w:rPr>
          <w:rFonts w:hint="eastAsia" w:ascii="宋体" w:hAnsi="宋体" w:eastAsia="宋体" w:cs="宋体"/>
          <w:color w:val="auto"/>
          <w:kern w:val="0"/>
        </w:rPr>
        <w:t>）政府采购组织形式：</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政府集中采购  </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部门集中采购  </w:t>
      </w:r>
      <w:r>
        <w:rPr>
          <w:rFonts w:hint="eastAsia" w:ascii="宋体" w:hAnsi="宋体" w:eastAsia="宋体" w:cs="宋体"/>
          <w:color w:val="auto"/>
          <w:kern w:val="0"/>
        </w:rPr>
        <w:sym w:font="Wingdings" w:char="00A8"/>
      </w:r>
      <w:r>
        <w:rPr>
          <w:rFonts w:hint="eastAsia" w:ascii="宋体" w:hAnsi="宋体" w:eastAsia="宋体" w:cs="宋体"/>
          <w:color w:val="auto"/>
          <w:kern w:val="0"/>
        </w:rPr>
        <w:t>分散采购</w:t>
      </w:r>
    </w:p>
    <w:p w14:paraId="0269FC94">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w:t>
      </w:r>
      <w:r>
        <w:rPr>
          <w:rFonts w:ascii="宋体" w:hAnsi="宋体" w:eastAsia="宋体" w:cs="宋体"/>
          <w:color w:val="auto"/>
          <w:kern w:val="0"/>
          <w:lang w:val="en"/>
        </w:rPr>
        <w:t>5</w:t>
      </w:r>
      <w:r>
        <w:rPr>
          <w:rFonts w:hint="eastAsia" w:ascii="宋体" w:hAnsi="宋体" w:eastAsia="宋体" w:cs="宋体"/>
          <w:color w:val="auto"/>
          <w:kern w:val="0"/>
        </w:rPr>
        <w:t>）政府采购方式：</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公开招标 </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邀请招标 </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竞争性谈判 </w:t>
      </w:r>
      <w:r>
        <w:rPr>
          <w:rFonts w:hint="eastAsia" w:ascii="宋体" w:hAnsi="宋体" w:eastAsia="宋体" w:cs="宋体"/>
          <w:color w:val="auto"/>
          <w:kern w:val="0"/>
        </w:rPr>
        <w:sym w:font="Wingdings" w:char="00A8"/>
      </w:r>
      <w:r>
        <w:rPr>
          <w:rFonts w:hint="eastAsia" w:ascii="宋体" w:hAnsi="宋体" w:eastAsia="宋体" w:cs="宋体"/>
          <w:color w:val="auto"/>
          <w:kern w:val="0"/>
        </w:rPr>
        <w:t>竞争性磋商</w:t>
      </w:r>
    </w:p>
    <w:p w14:paraId="30FB95DB">
      <w:pPr>
        <w:widowControl/>
        <w:numPr>
          <w:ilvl w:val="255"/>
          <w:numId w:val="0"/>
        </w:numPr>
        <w:autoSpaceDE w:val="0"/>
        <w:autoSpaceDN w:val="0"/>
        <w:adjustRightInd w:val="0"/>
        <w:snapToGrid w:val="0"/>
        <w:spacing w:line="400" w:lineRule="exact"/>
        <w:ind w:left="440" w:hanging="440" w:hangingChars="200"/>
        <w:jc w:val="left"/>
        <w:rPr>
          <w:rFonts w:ascii="宋体" w:hAnsi="宋体" w:eastAsia="宋体" w:cs="宋体"/>
          <w:color w:val="auto"/>
          <w:kern w:val="0"/>
          <w:u w:val="single"/>
        </w:rPr>
      </w:pPr>
      <w:r>
        <w:rPr>
          <w:rFonts w:hint="eastAsia" w:ascii="宋体" w:hAnsi="宋体" w:eastAsia="华文楷体" w:cs="宋体"/>
          <w:color w:val="auto"/>
          <w:kern w:val="0"/>
          <w:sz w:val="22"/>
        </w:rPr>
        <w:t xml:space="preserve">                  </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询价 </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单一来源 </w:t>
      </w:r>
      <w:r>
        <w:rPr>
          <w:rFonts w:hint="eastAsia" w:ascii="宋体" w:hAnsi="宋体" w:eastAsia="宋体" w:cs="宋体"/>
          <w:color w:val="auto"/>
          <w:kern w:val="0"/>
        </w:rPr>
        <w:sym w:font="Wingdings" w:char="00A8"/>
      </w:r>
      <w:r>
        <w:rPr>
          <w:rFonts w:hint="eastAsia" w:ascii="宋体" w:hAnsi="宋体" w:eastAsia="宋体" w:cs="宋体"/>
          <w:color w:val="auto"/>
          <w:kern w:val="0"/>
        </w:rPr>
        <w:t xml:space="preserve">框架协议 </w:t>
      </w:r>
      <w:r>
        <w:rPr>
          <w:rFonts w:hint="eastAsia" w:ascii="宋体" w:hAnsi="宋体" w:eastAsia="宋体" w:cs="宋体"/>
          <w:color w:val="auto"/>
          <w:kern w:val="0"/>
        </w:rPr>
        <w:sym w:font="Wingdings" w:char="00A8"/>
      </w:r>
      <w:r>
        <w:rPr>
          <w:rFonts w:hint="eastAsia" w:ascii="宋体" w:hAnsi="宋体" w:eastAsia="宋体" w:cs="宋体"/>
          <w:color w:val="auto"/>
          <w:kern w:val="0"/>
        </w:rPr>
        <w:t>其他：</w:t>
      </w:r>
      <w:r>
        <w:rPr>
          <w:rFonts w:hint="eastAsia" w:ascii="宋体" w:hAnsi="宋体" w:eastAsia="宋体" w:cs="宋体"/>
          <w:color w:val="auto"/>
          <w:kern w:val="0"/>
          <w:u w:val="single"/>
        </w:rPr>
        <w:t xml:space="preserve">          </w:t>
      </w:r>
    </w:p>
    <w:p w14:paraId="36F8634D">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（注：在框架协议采购的第二阶段，可选择使用该合同文本）</w:t>
      </w:r>
    </w:p>
    <w:p w14:paraId="139B03DF">
      <w:pPr>
        <w:widowControl/>
        <w:numPr>
          <w:ilvl w:val="255"/>
          <w:numId w:val="0"/>
        </w:numPr>
        <w:autoSpaceDE w:val="0"/>
        <w:autoSpaceDN w:val="0"/>
        <w:adjustRightInd w:val="0"/>
        <w:snapToGrid w:val="0"/>
        <w:spacing w:line="400" w:lineRule="exact"/>
        <w:ind w:left="440" w:hanging="440" w:hangingChars="200"/>
        <w:jc w:val="left"/>
        <w:rPr>
          <w:rFonts w:ascii="宋体" w:hAnsi="宋体" w:eastAsia="宋体" w:cs="Times New Roman"/>
          <w:color w:val="auto"/>
        </w:rPr>
      </w:pPr>
      <w:r>
        <w:rPr>
          <w:rFonts w:hint="eastAsia" w:ascii="宋体" w:hAnsi="宋体" w:eastAsia="华文楷体" w:cs="华文楷体"/>
          <w:color w:val="auto"/>
          <w:kern w:val="0"/>
          <w:sz w:val="22"/>
        </w:rPr>
        <w:t xml:space="preserve"> （</w:t>
      </w:r>
      <w:r>
        <w:rPr>
          <w:rFonts w:ascii="宋体" w:hAnsi="宋体" w:eastAsia="华文楷体" w:cs="华文楷体"/>
          <w:color w:val="auto"/>
          <w:kern w:val="0"/>
          <w:sz w:val="22"/>
          <w:lang w:val="en"/>
        </w:rPr>
        <w:t>6</w:t>
      </w:r>
      <w:r>
        <w:rPr>
          <w:rFonts w:hint="eastAsia" w:ascii="宋体" w:hAnsi="宋体" w:eastAsia="华文楷体" w:cs="华文楷体"/>
          <w:color w:val="auto"/>
          <w:kern w:val="0"/>
          <w:sz w:val="22"/>
        </w:rPr>
        <w:t>）</w:t>
      </w:r>
      <w:r>
        <w:rPr>
          <w:rFonts w:hint="eastAsia" w:ascii="宋体" w:hAnsi="宋体" w:eastAsia="宋体" w:cs="Times New Roman"/>
          <w:color w:val="auto"/>
        </w:rPr>
        <w:t>中标（成交）采购标的制造商是否为中小企业：</w:t>
      </w:r>
      <w:r>
        <w:rPr>
          <w:rFonts w:hint="eastAsia" w:ascii="宋体" w:hAnsi="宋体" w:eastAsia="宋体" w:cs="Times New Roman"/>
          <w:color w:val="auto"/>
        </w:rPr>
        <w:sym w:font="Wingdings" w:char="00A8"/>
      </w:r>
      <w:r>
        <w:rPr>
          <w:rFonts w:hint="eastAsia" w:ascii="宋体" w:hAnsi="宋体" w:eastAsia="宋体" w:cs="Times New Roman"/>
          <w:color w:val="auto"/>
        </w:rPr>
        <w:t xml:space="preserve">是      </w:t>
      </w:r>
      <w:r>
        <w:rPr>
          <w:rFonts w:hint="eastAsia" w:ascii="宋体" w:hAnsi="宋体" w:eastAsia="宋体" w:cs="Times New Roman"/>
          <w:color w:val="auto"/>
        </w:rPr>
        <w:sym w:font="Wingdings" w:char="00A8"/>
      </w:r>
      <w:r>
        <w:rPr>
          <w:rFonts w:hint="eastAsia" w:ascii="宋体" w:hAnsi="宋体" w:eastAsia="宋体" w:cs="Times New Roman"/>
          <w:color w:val="auto"/>
        </w:rPr>
        <w:t>否</w:t>
      </w:r>
    </w:p>
    <w:p w14:paraId="4FB0A9C9">
      <w:pPr>
        <w:numPr>
          <w:ilvl w:val="255"/>
          <w:numId w:val="0"/>
        </w:numPr>
        <w:adjustRightInd w:val="0"/>
        <w:snapToGrid w:val="0"/>
        <w:spacing w:line="400" w:lineRule="exact"/>
        <w:ind w:left="420" w:hanging="420" w:hangingChars="200"/>
        <w:rPr>
          <w:rFonts w:ascii="宋体" w:hAnsi="宋体" w:eastAsia="宋体" w:cs="Times New Roman"/>
          <w:iCs/>
          <w:color w:val="auto"/>
        </w:rPr>
      </w:pPr>
      <w:r>
        <w:rPr>
          <w:rFonts w:hint="eastAsia" w:ascii="宋体" w:hAnsi="宋体" w:eastAsia="宋体" w:cs="Times New Roman"/>
          <w:color w:val="auto"/>
        </w:rPr>
        <w:t>本合同是否为专门面向中小企业的采购合同（中小企业预留合同）：</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是    </w:t>
      </w:r>
      <w:r>
        <w:rPr>
          <w:rFonts w:hint="eastAsia" w:ascii="宋体" w:hAnsi="宋体" w:eastAsia="宋体" w:cs="Times New Roman"/>
          <w:iCs/>
          <w:color w:val="auto"/>
        </w:rPr>
        <w:sym w:font="Wingdings" w:char="00A8"/>
      </w:r>
      <w:r>
        <w:rPr>
          <w:rFonts w:hint="eastAsia" w:ascii="宋体" w:hAnsi="宋体" w:eastAsia="宋体" w:cs="Times New Roman"/>
          <w:iCs/>
          <w:color w:val="auto"/>
        </w:rPr>
        <w:t>否</w:t>
      </w:r>
    </w:p>
    <w:p w14:paraId="15103E9E">
      <w:pPr>
        <w:numPr>
          <w:ilvl w:val="255"/>
          <w:numId w:val="0"/>
        </w:numPr>
        <w:adjustRightInd w:val="0"/>
        <w:snapToGrid w:val="0"/>
        <w:spacing w:line="400" w:lineRule="exact"/>
        <w:ind w:left="420" w:hanging="420" w:hangingChars="200"/>
        <w:rPr>
          <w:rFonts w:ascii="宋体" w:hAnsi="宋体" w:eastAsia="宋体" w:cs="Times New Roman"/>
          <w:iCs/>
          <w:color w:val="auto"/>
        </w:rPr>
      </w:pPr>
      <w:r>
        <w:rPr>
          <w:rFonts w:hint="eastAsia" w:ascii="Times New Roman" w:hAnsi="Times New Roman" w:eastAsia="宋体" w:cs="Times New Roman"/>
          <w:color w:val="auto"/>
          <w:szCs w:val="24"/>
        </w:rPr>
        <w:t>若本项目不专门面向中小企业采购，是否给予小微企业评审优惠：</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是   </w:t>
      </w:r>
      <w:r>
        <w:rPr>
          <w:rFonts w:hint="eastAsia" w:ascii="宋体" w:hAnsi="宋体" w:eastAsia="宋体" w:cs="Times New Roman"/>
          <w:iCs/>
          <w:color w:val="auto"/>
        </w:rPr>
        <w:sym w:font="Wingdings" w:char="00A8"/>
      </w:r>
      <w:r>
        <w:rPr>
          <w:rFonts w:hint="eastAsia" w:ascii="宋体" w:hAnsi="宋体" w:eastAsia="宋体" w:cs="Times New Roman"/>
          <w:iCs/>
          <w:color w:val="auto"/>
        </w:rPr>
        <w:t>否</w:t>
      </w:r>
    </w:p>
    <w:p w14:paraId="2F465A63">
      <w:pPr>
        <w:numPr>
          <w:ilvl w:val="255"/>
          <w:numId w:val="0"/>
        </w:numPr>
        <w:adjustRightInd w:val="0"/>
        <w:snapToGrid w:val="0"/>
        <w:spacing w:line="400" w:lineRule="exact"/>
        <w:ind w:left="420" w:hanging="420" w:hangingChars="200"/>
        <w:rPr>
          <w:rFonts w:ascii="宋体" w:hAnsi="宋体" w:eastAsia="宋体" w:cs="Times New Roman"/>
          <w:iCs/>
          <w:color w:val="auto"/>
        </w:rPr>
      </w:pPr>
      <w:r>
        <w:rPr>
          <w:rFonts w:hint="eastAsia" w:ascii="Times New Roman" w:hAnsi="Times New Roman" w:eastAsia="宋体" w:cs="Times New Roman"/>
          <w:color w:val="auto"/>
          <w:szCs w:val="24"/>
        </w:rPr>
        <w:t>中标（成交）采购标的制造商是否为残疾人福利性单位：</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是   </w:t>
      </w:r>
      <w:r>
        <w:rPr>
          <w:rFonts w:hint="eastAsia" w:ascii="宋体" w:hAnsi="宋体" w:eastAsia="宋体" w:cs="Times New Roman"/>
          <w:iCs/>
          <w:color w:val="auto"/>
        </w:rPr>
        <w:sym w:font="Wingdings" w:char="00A8"/>
      </w:r>
      <w:r>
        <w:rPr>
          <w:rFonts w:hint="eastAsia" w:ascii="宋体" w:hAnsi="宋体" w:eastAsia="宋体" w:cs="Times New Roman"/>
          <w:iCs/>
          <w:color w:val="auto"/>
        </w:rPr>
        <w:t>否</w:t>
      </w:r>
    </w:p>
    <w:p w14:paraId="4EABDFA6">
      <w:pPr>
        <w:snapToGrid w:val="0"/>
        <w:spacing w:line="400" w:lineRule="exact"/>
        <w:ind w:left="420" w:hanging="420" w:hangingChars="200"/>
        <w:rPr>
          <w:rFonts w:ascii="Times New Roman" w:hAnsi="Times New Roman" w:eastAsia="宋体" w:cs="Times New Roman"/>
          <w:color w:val="auto"/>
          <w:szCs w:val="24"/>
        </w:rPr>
      </w:pPr>
      <w:r>
        <w:rPr>
          <w:rFonts w:hint="eastAsia" w:ascii="Times New Roman" w:hAnsi="Times New Roman" w:eastAsia="宋体" w:cs="Times New Roman"/>
          <w:color w:val="auto"/>
          <w:szCs w:val="24"/>
        </w:rPr>
        <w:t>中标（成交）采购标的制造商是否为监狱企业：</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是       </w:t>
      </w:r>
      <w:r>
        <w:rPr>
          <w:rFonts w:hint="eastAsia" w:ascii="宋体" w:hAnsi="宋体" w:eastAsia="宋体" w:cs="Times New Roman"/>
          <w:iCs/>
          <w:color w:val="auto"/>
        </w:rPr>
        <w:sym w:font="Wingdings" w:char="00A8"/>
      </w:r>
      <w:r>
        <w:rPr>
          <w:rFonts w:hint="eastAsia" w:ascii="宋体" w:hAnsi="宋体" w:eastAsia="宋体" w:cs="Times New Roman"/>
          <w:iCs/>
          <w:color w:val="auto"/>
        </w:rPr>
        <w:t>否</w:t>
      </w:r>
    </w:p>
    <w:p w14:paraId="602A8EA8">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w:t>
      </w:r>
      <w:r>
        <w:rPr>
          <w:rFonts w:ascii="宋体" w:hAnsi="宋体" w:eastAsia="宋体" w:cs="Times New Roman"/>
          <w:color w:val="auto"/>
          <w:lang w:val="en"/>
        </w:rPr>
        <w:t>7</w:t>
      </w:r>
      <w:r>
        <w:rPr>
          <w:rFonts w:hint="eastAsia" w:ascii="宋体" w:hAnsi="宋体" w:eastAsia="宋体" w:cs="Times New Roman"/>
          <w:color w:val="auto"/>
        </w:rPr>
        <w:t>）合同是否分包：</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是       </w:t>
      </w:r>
      <w:r>
        <w:rPr>
          <w:rFonts w:hint="eastAsia" w:ascii="宋体" w:hAnsi="宋体" w:eastAsia="宋体" w:cs="Times New Roman"/>
          <w:iCs/>
          <w:color w:val="auto"/>
        </w:rPr>
        <w:sym w:font="Wingdings" w:char="00A8"/>
      </w:r>
      <w:r>
        <w:rPr>
          <w:rFonts w:hint="eastAsia" w:ascii="宋体" w:hAnsi="宋体" w:eastAsia="宋体" w:cs="Times New Roman"/>
          <w:iCs/>
          <w:color w:val="auto"/>
        </w:rPr>
        <w:t>否</w:t>
      </w:r>
    </w:p>
    <w:p w14:paraId="7D7E84A9">
      <w:pPr>
        <w:adjustRightInd w:val="0"/>
        <w:snapToGrid w:val="0"/>
        <w:spacing w:line="400" w:lineRule="exact"/>
        <w:ind w:left="420" w:hanging="420" w:hangingChars="200"/>
        <w:rPr>
          <w:rFonts w:ascii="宋体" w:hAnsi="宋体" w:eastAsia="宋体" w:cs="Times New Roman"/>
          <w:color w:val="auto"/>
          <w:u w:val="single"/>
        </w:rPr>
      </w:pPr>
      <w:r>
        <w:rPr>
          <w:rFonts w:hint="eastAsia" w:ascii="宋体" w:hAnsi="宋体" w:eastAsia="宋体" w:cs="Times New Roman"/>
          <w:color w:val="auto"/>
        </w:rPr>
        <w:t xml:space="preserve"> 分包主要内容：</w:t>
      </w:r>
      <w:r>
        <w:rPr>
          <w:rFonts w:hint="eastAsia" w:ascii="宋体" w:hAnsi="宋体" w:eastAsia="宋体" w:cs="Times New Roman"/>
          <w:color w:val="auto"/>
          <w:u w:val="single"/>
        </w:rPr>
        <w:t xml:space="preserve">                                            </w:t>
      </w:r>
    </w:p>
    <w:p w14:paraId="7CB21A13">
      <w:pPr>
        <w:adjustRightInd w:val="0"/>
        <w:snapToGrid w:val="0"/>
        <w:spacing w:line="400" w:lineRule="exact"/>
        <w:ind w:left="420" w:hanging="420" w:hangingChars="200"/>
        <w:rPr>
          <w:rFonts w:ascii="宋体" w:hAnsi="宋体" w:eastAsia="宋体" w:cs="Times New Roman"/>
          <w:color w:val="auto"/>
          <w:u w:val="single"/>
        </w:rPr>
      </w:pPr>
      <w:r>
        <w:rPr>
          <w:rFonts w:hint="eastAsia" w:ascii="宋体" w:hAnsi="宋体" w:eastAsia="宋体" w:cs="Times New Roman"/>
          <w:color w:val="auto"/>
        </w:rPr>
        <w:t xml:space="preserve"> 分包供应商/制造商名称（如供应商和制造商不同，请分别填写）：</w:t>
      </w:r>
      <w:r>
        <w:rPr>
          <w:rFonts w:hint="eastAsia" w:ascii="宋体" w:hAnsi="宋体" w:eastAsia="宋体" w:cs="Times New Roman"/>
          <w:color w:val="auto"/>
          <w:u w:val="single"/>
        </w:rPr>
        <w:t xml:space="preserve">                            </w:t>
      </w:r>
    </w:p>
    <w:p w14:paraId="210112E0">
      <w:pPr>
        <w:adjustRightInd w:val="0"/>
        <w:snapToGrid w:val="0"/>
        <w:spacing w:line="400" w:lineRule="exact"/>
        <w:ind w:left="210" w:leftChars="100"/>
        <w:rPr>
          <w:rFonts w:ascii="宋体" w:hAnsi="宋体" w:eastAsia="宋体" w:cs="Times New Roman"/>
          <w:color w:val="auto"/>
        </w:rPr>
      </w:pPr>
      <w:r>
        <w:rPr>
          <w:rFonts w:hint="eastAsia" w:ascii="宋体" w:hAnsi="宋体" w:eastAsia="宋体" w:cs="Times New Roman"/>
          <w:color w:val="auto"/>
        </w:rPr>
        <w:t>分包供应商/制造商类型（如果供应商和制造商不同，只填写制造商类型）：</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大型企业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中型企业  </w:t>
      </w:r>
      <w:r>
        <w:rPr>
          <w:rFonts w:hint="eastAsia" w:ascii="宋体" w:hAnsi="宋体" w:eastAsia="宋体" w:cs="Times New Roman"/>
          <w:iCs/>
          <w:color w:val="auto"/>
        </w:rPr>
        <w:sym w:font="Wingdings" w:char="00A8"/>
      </w:r>
      <w:r>
        <w:rPr>
          <w:rFonts w:hint="eastAsia" w:ascii="宋体" w:hAnsi="宋体" w:eastAsia="宋体" w:cs="Times New Roman"/>
          <w:iCs/>
          <w:color w:val="auto"/>
        </w:rPr>
        <w:t>小微型企业</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残疾人福利性单位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监狱企业 </w:t>
      </w:r>
      <w:r>
        <w:rPr>
          <w:rFonts w:hint="eastAsia" w:ascii="宋体" w:hAnsi="宋体" w:eastAsia="宋体" w:cs="Times New Roman"/>
          <w:iCs/>
          <w:color w:val="auto"/>
        </w:rPr>
        <w:sym w:font="Wingdings" w:char="00A8"/>
      </w:r>
      <w:r>
        <w:rPr>
          <w:rFonts w:hint="eastAsia" w:ascii="宋体" w:hAnsi="宋体" w:eastAsia="宋体" w:cs="Times New Roman"/>
          <w:iCs/>
          <w:color w:val="auto"/>
        </w:rPr>
        <w:t>其他</w:t>
      </w:r>
    </w:p>
    <w:p w14:paraId="3E9E1920">
      <w:pPr>
        <w:numPr>
          <w:ilvl w:val="255"/>
          <w:numId w:val="0"/>
        </w:numPr>
        <w:adjustRightInd w:val="0"/>
        <w:snapToGrid w:val="0"/>
        <w:spacing w:line="400" w:lineRule="exact"/>
        <w:ind w:left="420" w:hanging="420" w:hangingChars="200"/>
        <w:rPr>
          <w:rFonts w:ascii="宋体" w:hAnsi="宋体" w:eastAsia="宋体" w:cs="宋体"/>
          <w:iCs/>
          <w:color w:val="auto"/>
        </w:rPr>
      </w:pPr>
      <w:r>
        <w:rPr>
          <w:rFonts w:hint="eastAsia" w:ascii="宋体" w:hAnsi="宋体" w:eastAsia="宋体" w:cs="宋体"/>
          <w:color w:val="auto"/>
        </w:rPr>
        <w:t>（</w:t>
      </w:r>
      <w:r>
        <w:rPr>
          <w:rFonts w:ascii="宋体" w:hAnsi="宋体" w:eastAsia="宋体" w:cs="宋体"/>
          <w:color w:val="auto"/>
          <w:lang w:val="en"/>
        </w:rPr>
        <w:t>8</w:t>
      </w:r>
      <w:r>
        <w:rPr>
          <w:rFonts w:hint="eastAsia" w:ascii="宋体" w:hAnsi="宋体" w:eastAsia="宋体" w:cs="宋体"/>
          <w:color w:val="auto"/>
        </w:rPr>
        <w:t>）中标（成交）供应商是否为外商投资企业：</w:t>
      </w:r>
      <w:r>
        <w:rPr>
          <w:rFonts w:hint="eastAsia" w:ascii="宋体" w:hAnsi="宋体" w:eastAsia="宋体" w:cs="宋体"/>
          <w:iCs/>
          <w:color w:val="auto"/>
        </w:rPr>
        <w:sym w:font="Wingdings" w:char="00A8"/>
      </w:r>
      <w:r>
        <w:rPr>
          <w:rFonts w:hint="eastAsia" w:ascii="宋体" w:hAnsi="宋体" w:eastAsia="宋体" w:cs="宋体"/>
          <w:iCs/>
          <w:color w:val="auto"/>
        </w:rPr>
        <w:t xml:space="preserve">是       </w:t>
      </w:r>
      <w:r>
        <w:rPr>
          <w:rFonts w:hint="eastAsia" w:ascii="宋体" w:hAnsi="宋体" w:eastAsia="宋体" w:cs="宋体"/>
          <w:iCs/>
          <w:color w:val="auto"/>
        </w:rPr>
        <w:sym w:font="Wingdings" w:char="00A8"/>
      </w:r>
      <w:r>
        <w:rPr>
          <w:rFonts w:hint="eastAsia" w:ascii="宋体" w:hAnsi="宋体" w:eastAsia="宋体" w:cs="宋体"/>
          <w:iCs/>
          <w:color w:val="auto"/>
        </w:rPr>
        <w:t>否</w:t>
      </w:r>
    </w:p>
    <w:p w14:paraId="6C078D21">
      <w:pPr>
        <w:widowControl/>
        <w:tabs>
          <w:tab w:val="left" w:pos="1340"/>
        </w:tabs>
        <w:autoSpaceDE w:val="0"/>
        <w:autoSpaceDN w:val="0"/>
        <w:adjustRightInd w:val="0"/>
        <w:spacing w:line="400" w:lineRule="exact"/>
        <w:ind w:left="420" w:hanging="420" w:hangingChars="200"/>
        <w:jc w:val="left"/>
        <w:rPr>
          <w:rFonts w:ascii="宋体" w:hAnsi="宋体" w:eastAsia="宋体" w:cs="宋体"/>
          <w:color w:val="auto"/>
          <w:kern w:val="0"/>
          <w:u w:val="single"/>
        </w:rPr>
      </w:pPr>
      <w:r>
        <w:rPr>
          <w:rFonts w:hint="eastAsia" w:ascii="宋体" w:hAnsi="宋体" w:eastAsia="宋体" w:cs="宋体"/>
          <w:color w:val="auto"/>
          <w:kern w:val="0"/>
        </w:rPr>
        <w:t>外商投资企业类型：</w:t>
      </w:r>
      <w:r>
        <w:rPr>
          <w:rFonts w:hint="eastAsia" w:ascii="宋体" w:hAnsi="宋体" w:eastAsia="宋体" w:cs="宋体"/>
          <w:iCs/>
          <w:color w:val="auto"/>
          <w:kern w:val="0"/>
        </w:rPr>
        <w:sym w:font="Wingdings" w:char="00A8"/>
      </w:r>
      <w:r>
        <w:rPr>
          <w:rFonts w:hint="eastAsia" w:ascii="宋体" w:hAnsi="宋体" w:eastAsia="宋体" w:cs="宋体"/>
          <w:color w:val="auto"/>
          <w:kern w:val="0"/>
        </w:rPr>
        <w:t xml:space="preserve">全部由外国投资者投资  </w:t>
      </w:r>
      <w:r>
        <w:rPr>
          <w:rFonts w:hint="eastAsia" w:ascii="宋体" w:hAnsi="宋体" w:eastAsia="宋体" w:cs="宋体"/>
          <w:iCs/>
          <w:color w:val="auto"/>
          <w:kern w:val="0"/>
        </w:rPr>
        <w:sym w:font="Wingdings" w:char="00A8"/>
      </w:r>
      <w:r>
        <w:rPr>
          <w:rFonts w:hint="eastAsia" w:ascii="宋体" w:hAnsi="宋体" w:eastAsia="宋体" w:cs="宋体"/>
          <w:iCs/>
          <w:color w:val="auto"/>
          <w:kern w:val="0"/>
        </w:rPr>
        <w:t>部分由外国投资者投资</w:t>
      </w:r>
    </w:p>
    <w:p w14:paraId="0F943C26">
      <w:pPr>
        <w:numPr>
          <w:ilvl w:val="255"/>
          <w:numId w:val="0"/>
        </w:numPr>
        <w:adjustRightInd w:val="0"/>
        <w:snapToGrid w:val="0"/>
        <w:spacing w:line="400" w:lineRule="exact"/>
        <w:ind w:left="420" w:hanging="420" w:hangingChars="200"/>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lang w:val="en"/>
        </w:rPr>
        <w:t>9</w:t>
      </w:r>
      <w:r>
        <w:rPr>
          <w:rFonts w:hint="eastAsia" w:ascii="宋体" w:hAnsi="宋体" w:eastAsia="宋体" w:cs="宋体"/>
          <w:color w:val="auto"/>
        </w:rPr>
        <w:t>）是否涉及进口产品：</w:t>
      </w:r>
    </w:p>
    <w:p w14:paraId="0EED079D">
      <w:pPr>
        <w:numPr>
          <w:ilvl w:val="255"/>
          <w:numId w:val="0"/>
        </w:numPr>
        <w:adjustRightInd w:val="0"/>
        <w:snapToGrid w:val="0"/>
        <w:spacing w:line="400" w:lineRule="exact"/>
        <w:ind w:left="420" w:hanging="420" w:hangingChars="200"/>
        <w:rPr>
          <w:rFonts w:ascii="宋体" w:hAnsi="宋体" w:eastAsia="宋体" w:cs="宋体"/>
          <w:color w:val="auto"/>
          <w:u w:val="single"/>
        </w:rPr>
      </w:pPr>
      <w:r>
        <w:rPr>
          <w:rFonts w:hint="eastAsia" w:ascii="宋体" w:hAnsi="宋体" w:eastAsia="宋体" w:cs="宋体"/>
          <w:color w:val="auto"/>
        </w:rPr>
        <w:t xml:space="preserve"> </w:t>
      </w:r>
      <w:r>
        <w:rPr>
          <w:rFonts w:hint="eastAsia" w:ascii="宋体" w:hAnsi="宋体" w:eastAsia="宋体" w:cs="宋体"/>
          <w:color w:val="auto"/>
        </w:rPr>
        <w:sym w:font="Wingdings" w:char="00A8"/>
      </w:r>
      <w:r>
        <w:rPr>
          <w:rFonts w:hint="eastAsia" w:ascii="宋体" w:hAnsi="宋体" w:eastAsia="宋体" w:cs="宋体"/>
          <w:color w:val="auto"/>
        </w:rPr>
        <w:t>是，《政府采购品目分类目录》底级品目名称：</w:t>
      </w:r>
      <w:r>
        <w:rPr>
          <w:rFonts w:hint="eastAsia" w:ascii="宋体" w:hAnsi="宋体" w:eastAsia="宋体" w:cs="宋体"/>
          <w:color w:val="auto"/>
          <w:u w:val="single"/>
        </w:rPr>
        <w:t xml:space="preserve">         </w:t>
      </w:r>
      <w:r>
        <w:rPr>
          <w:rFonts w:hint="eastAsia" w:ascii="宋体" w:hAnsi="宋体" w:eastAsia="宋体" w:cs="宋体"/>
          <w:color w:val="auto"/>
        </w:rPr>
        <w:t xml:space="preserve"> 金额：</w:t>
      </w:r>
      <w:r>
        <w:rPr>
          <w:rFonts w:hint="eastAsia" w:ascii="宋体" w:hAnsi="宋体" w:eastAsia="宋体" w:cs="宋体"/>
          <w:color w:val="auto"/>
          <w:u w:val="single"/>
        </w:rPr>
        <w:t xml:space="preserve">        </w:t>
      </w:r>
    </w:p>
    <w:p w14:paraId="0F56B284">
      <w:pPr>
        <w:numPr>
          <w:ilvl w:val="255"/>
          <w:numId w:val="0"/>
        </w:numPr>
        <w:adjustRightInd w:val="0"/>
        <w:snapToGrid w:val="0"/>
        <w:spacing w:line="400" w:lineRule="exact"/>
        <w:ind w:left="420" w:leftChars="100" w:hanging="210" w:hangingChars="100"/>
        <w:rPr>
          <w:rFonts w:ascii="宋体" w:hAnsi="宋体" w:eastAsia="宋体" w:cs="Times New Roman"/>
          <w:color w:val="auto"/>
        </w:rPr>
      </w:pPr>
      <w:r>
        <w:rPr>
          <w:rFonts w:hint="eastAsia" w:ascii="宋体" w:hAnsi="宋体" w:eastAsia="宋体" w:cs="宋体"/>
          <w:color w:val="auto"/>
        </w:rPr>
        <w:t>国别：</w:t>
      </w:r>
      <w:r>
        <w:rPr>
          <w:rFonts w:hint="eastAsia" w:ascii="宋体" w:hAnsi="宋体" w:eastAsia="宋体" w:cs="宋体"/>
          <w:color w:val="auto"/>
          <w:u w:val="single"/>
        </w:rPr>
        <w:t xml:space="preserve">        </w:t>
      </w:r>
      <w:r>
        <w:rPr>
          <w:rFonts w:hint="eastAsia" w:ascii="宋体" w:hAnsi="宋体" w:eastAsia="宋体" w:cs="宋体"/>
          <w:color w:val="auto"/>
        </w:rPr>
        <w:t xml:space="preserve"> 品牌：</w:t>
      </w:r>
      <w:r>
        <w:rPr>
          <w:rFonts w:hint="eastAsia" w:ascii="宋体" w:hAnsi="宋体" w:eastAsia="宋体" w:cs="宋体"/>
          <w:color w:val="auto"/>
          <w:u w:val="single"/>
        </w:rPr>
        <w:t xml:space="preserve">        </w:t>
      </w:r>
      <w:r>
        <w:rPr>
          <w:rFonts w:hint="eastAsia" w:ascii="宋体" w:hAnsi="宋体" w:eastAsia="宋体" w:cs="宋体"/>
          <w:color w:val="auto"/>
        </w:rPr>
        <w:t xml:space="preserve"> 规格型号：</w:t>
      </w:r>
      <w:r>
        <w:rPr>
          <w:rFonts w:hint="eastAsia" w:ascii="宋体" w:hAnsi="宋体" w:eastAsia="宋体" w:cs="宋体"/>
          <w:color w:val="auto"/>
          <w:u w:val="single"/>
        </w:rPr>
        <w:t xml:space="preserve">        </w:t>
      </w:r>
      <w:r>
        <w:rPr>
          <w:rFonts w:hint="eastAsia" w:ascii="宋体" w:hAnsi="宋体" w:eastAsia="宋体" w:cs="Times New Roman"/>
          <w:color w:val="auto"/>
        </w:rPr>
        <w:t xml:space="preserve">      </w:t>
      </w:r>
    </w:p>
    <w:p w14:paraId="587ACCBF">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 xml:space="preserve"> </w:t>
      </w:r>
      <w:r>
        <w:rPr>
          <w:rFonts w:hint="eastAsia" w:ascii="宋体" w:hAnsi="宋体" w:eastAsia="宋体" w:cs="Times New Roman"/>
          <w:color w:val="auto"/>
        </w:rPr>
        <w:sym w:font="Wingdings" w:char="00A8"/>
      </w:r>
      <w:r>
        <w:rPr>
          <w:rFonts w:hint="eastAsia" w:ascii="宋体" w:hAnsi="宋体" w:eastAsia="宋体" w:cs="Times New Roman"/>
          <w:color w:val="auto"/>
        </w:rPr>
        <w:t xml:space="preserve"> 否</w:t>
      </w:r>
    </w:p>
    <w:p w14:paraId="22C3BC8E">
      <w:pPr>
        <w:numPr>
          <w:ilvl w:val="255"/>
          <w:numId w:val="0"/>
        </w:numPr>
        <w:tabs>
          <w:tab w:val="left" w:pos="740"/>
        </w:tabs>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（1</w:t>
      </w:r>
      <w:r>
        <w:rPr>
          <w:rFonts w:ascii="宋体" w:hAnsi="宋体" w:eastAsia="宋体" w:cs="Times New Roman"/>
          <w:color w:val="auto"/>
          <w:lang w:val="en"/>
        </w:rPr>
        <w:t>0</w:t>
      </w:r>
      <w:r>
        <w:rPr>
          <w:rFonts w:hint="eastAsia" w:ascii="宋体" w:hAnsi="宋体" w:eastAsia="宋体" w:cs="Times New Roman"/>
          <w:color w:val="auto"/>
        </w:rPr>
        <w:t>）是否涉及节能产品：</w:t>
      </w:r>
    </w:p>
    <w:p w14:paraId="270A7103">
      <w:pPr>
        <w:numPr>
          <w:ilvl w:val="255"/>
          <w:numId w:val="0"/>
        </w:numPr>
        <w:tabs>
          <w:tab w:val="left" w:pos="740"/>
        </w:tabs>
        <w:adjustRightInd w:val="0"/>
        <w:snapToGrid w:val="0"/>
        <w:spacing w:line="400" w:lineRule="exact"/>
        <w:ind w:left="420" w:hanging="420" w:hangingChars="200"/>
        <w:rPr>
          <w:rFonts w:ascii="宋体" w:hAnsi="宋体" w:eastAsia="宋体" w:cs="Times New Roman"/>
          <w:iCs/>
          <w:color w:val="auto"/>
        </w:rPr>
      </w:pPr>
      <w:r>
        <w:rPr>
          <w:rFonts w:hint="eastAsia" w:ascii="宋体" w:hAnsi="宋体" w:eastAsia="宋体" w:cs="Times New Roman"/>
          <w:color w:val="auto"/>
        </w:rPr>
        <w:sym w:font="Wingdings" w:char="00A8"/>
      </w:r>
      <w:r>
        <w:rPr>
          <w:rFonts w:hint="eastAsia" w:ascii="宋体" w:hAnsi="宋体" w:eastAsia="宋体" w:cs="Times New Roman"/>
          <w:color w:val="auto"/>
        </w:rPr>
        <w:t>是，《节能产品政府采购品目清单》的底级品目名称：</w:t>
      </w:r>
      <w:r>
        <w:rPr>
          <w:rFonts w:hint="eastAsia" w:ascii="宋体" w:hAnsi="宋体" w:eastAsia="宋体" w:cs="Times New Roman"/>
          <w:color w:val="auto"/>
          <w:u w:val="single"/>
        </w:rPr>
        <w:t xml:space="preserve">         </w:t>
      </w:r>
      <w:r>
        <w:rPr>
          <w:rFonts w:hint="eastAsia" w:ascii="宋体" w:hAnsi="宋体" w:eastAsia="宋体" w:cs="Times New Roman"/>
          <w:iCs/>
          <w:color w:val="auto"/>
        </w:rPr>
        <w:t xml:space="preserve">     </w:t>
      </w:r>
    </w:p>
    <w:p w14:paraId="6F6A7AC7">
      <w:pPr>
        <w:numPr>
          <w:ilvl w:val="255"/>
          <w:numId w:val="0"/>
        </w:numPr>
        <w:tabs>
          <w:tab w:val="left" w:pos="740"/>
        </w:tabs>
        <w:adjustRightInd w:val="0"/>
        <w:snapToGrid w:val="0"/>
        <w:spacing w:line="400" w:lineRule="exact"/>
        <w:ind w:left="420" w:leftChars="200" w:firstLine="420" w:firstLineChars="200"/>
        <w:rPr>
          <w:rFonts w:ascii="宋体" w:hAnsi="宋体" w:eastAsia="宋体" w:cs="Times New Roman"/>
          <w:iCs/>
          <w:color w:val="auto"/>
        </w:rPr>
      </w:pP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强制采购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优先采购    </w:t>
      </w:r>
    </w:p>
    <w:p w14:paraId="773674FD">
      <w:pPr>
        <w:numPr>
          <w:ilvl w:val="255"/>
          <w:numId w:val="0"/>
        </w:numPr>
        <w:tabs>
          <w:tab w:val="left" w:pos="740"/>
        </w:tabs>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sym w:font="Wingdings" w:char="00A8"/>
      </w:r>
      <w:r>
        <w:rPr>
          <w:rFonts w:hint="eastAsia" w:ascii="宋体" w:hAnsi="宋体" w:eastAsia="宋体" w:cs="Times New Roman"/>
          <w:color w:val="auto"/>
        </w:rPr>
        <w:t xml:space="preserve"> 否</w:t>
      </w:r>
    </w:p>
    <w:p w14:paraId="2300F093">
      <w:pPr>
        <w:numPr>
          <w:ilvl w:val="255"/>
          <w:numId w:val="0"/>
        </w:numPr>
        <w:tabs>
          <w:tab w:val="left" w:pos="740"/>
        </w:tabs>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（11）是否涉及环境标志产品：</w:t>
      </w:r>
    </w:p>
    <w:p w14:paraId="183D0A3A">
      <w:pPr>
        <w:numPr>
          <w:ilvl w:val="255"/>
          <w:numId w:val="0"/>
        </w:numPr>
        <w:tabs>
          <w:tab w:val="left" w:pos="740"/>
        </w:tabs>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sym w:font="Wingdings" w:char="00A8"/>
      </w:r>
      <w:r>
        <w:rPr>
          <w:rFonts w:hint="eastAsia" w:ascii="宋体" w:hAnsi="宋体" w:eastAsia="宋体" w:cs="Times New Roman"/>
          <w:color w:val="auto"/>
        </w:rPr>
        <w:t>是，《环境标志产品政府采购品目清单》的底级品目名称：</w:t>
      </w:r>
      <w:r>
        <w:rPr>
          <w:rFonts w:hint="eastAsia" w:ascii="宋体" w:hAnsi="宋体" w:eastAsia="宋体" w:cs="Times New Roman"/>
          <w:color w:val="auto"/>
          <w:u w:val="single"/>
        </w:rPr>
        <w:t xml:space="preserve">         </w:t>
      </w:r>
      <w:r>
        <w:rPr>
          <w:rFonts w:hint="eastAsia" w:ascii="宋体" w:hAnsi="宋体" w:eastAsia="宋体" w:cs="Times New Roman"/>
          <w:iCs/>
          <w:color w:val="auto"/>
        </w:rPr>
        <w:t xml:space="preserve"> </w:t>
      </w:r>
    </w:p>
    <w:p w14:paraId="243DD26B">
      <w:pPr>
        <w:numPr>
          <w:ilvl w:val="255"/>
          <w:numId w:val="0"/>
        </w:numPr>
        <w:tabs>
          <w:tab w:val="left" w:pos="740"/>
        </w:tabs>
        <w:adjustRightInd w:val="0"/>
        <w:snapToGrid w:val="0"/>
        <w:spacing w:line="400" w:lineRule="exact"/>
        <w:ind w:left="420" w:hanging="420" w:hangingChars="200"/>
        <w:rPr>
          <w:rFonts w:ascii="宋体" w:hAnsi="宋体" w:eastAsia="宋体" w:cs="Times New Roman"/>
          <w:iCs/>
          <w:color w:val="auto"/>
        </w:rPr>
      </w:pP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强制采购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优先采购    </w:t>
      </w:r>
    </w:p>
    <w:p w14:paraId="1AD87568">
      <w:pPr>
        <w:numPr>
          <w:ilvl w:val="255"/>
          <w:numId w:val="0"/>
        </w:numPr>
        <w:tabs>
          <w:tab w:val="left" w:pos="740"/>
        </w:tabs>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sym w:font="Wingdings" w:char="00A8"/>
      </w:r>
      <w:r>
        <w:rPr>
          <w:rFonts w:hint="eastAsia" w:ascii="宋体" w:hAnsi="宋体" w:eastAsia="宋体" w:cs="Times New Roman"/>
          <w:color w:val="auto"/>
        </w:rPr>
        <w:t>否</w:t>
      </w:r>
    </w:p>
    <w:p w14:paraId="710B17CE">
      <w:pPr>
        <w:widowControl/>
        <w:numPr>
          <w:ilvl w:val="255"/>
          <w:numId w:val="0"/>
        </w:numPr>
        <w:autoSpaceDE w:val="0"/>
        <w:autoSpaceDN w:val="0"/>
        <w:adjustRightInd w:val="0"/>
        <w:snapToGrid w:val="0"/>
        <w:spacing w:line="400" w:lineRule="exact"/>
        <w:ind w:left="420" w:hanging="420" w:hangingChars="200"/>
        <w:jc w:val="left"/>
        <w:rPr>
          <w:rFonts w:ascii="宋体" w:hAnsi="宋体" w:eastAsia="宋体" w:cs="Times New Roman"/>
          <w:color w:val="auto"/>
        </w:rPr>
      </w:pPr>
      <w:r>
        <w:rPr>
          <w:rFonts w:hint="eastAsia" w:ascii="宋体" w:hAnsi="宋体" w:eastAsia="宋体" w:cs="Times New Roman"/>
          <w:color w:val="auto"/>
        </w:rPr>
        <w:t xml:space="preserve">（12）是否涉及绿色产品： </w:t>
      </w:r>
    </w:p>
    <w:p w14:paraId="44E621C8">
      <w:pPr>
        <w:widowControl/>
        <w:autoSpaceDE w:val="0"/>
        <w:autoSpaceDN w:val="0"/>
        <w:adjustRightInd w:val="0"/>
        <w:spacing w:line="400" w:lineRule="exact"/>
        <w:ind w:left="420" w:hanging="420" w:hangingChars="200"/>
        <w:jc w:val="left"/>
        <w:rPr>
          <w:rFonts w:ascii="宋体" w:hAnsi="宋体" w:eastAsia="宋体" w:cs="华文楷体"/>
          <w:color w:val="auto"/>
          <w:kern w:val="0"/>
          <w:sz w:val="22"/>
          <w:u w:val="single"/>
        </w:rPr>
      </w:pPr>
      <w:r>
        <w:rPr>
          <w:rFonts w:hint="eastAsia" w:ascii="宋体" w:hAnsi="宋体" w:eastAsia="宋体" w:cs="Times New Roman"/>
          <w:color w:val="auto"/>
        </w:rPr>
        <w:sym w:font="Wingdings" w:char="00A8"/>
      </w:r>
      <w:r>
        <w:rPr>
          <w:rFonts w:hint="eastAsia" w:ascii="宋体" w:hAnsi="宋体" w:eastAsia="宋体" w:cs="Times New Roman"/>
          <w:color w:val="auto"/>
        </w:rPr>
        <w:t>是，绿色产品政府采购相关政策确定的底级品目名称：</w:t>
      </w:r>
      <w:r>
        <w:rPr>
          <w:rFonts w:hint="eastAsia" w:ascii="宋体" w:hAnsi="宋体" w:eastAsia="宋体" w:cs="华文楷体"/>
          <w:color w:val="auto"/>
          <w:kern w:val="0"/>
          <w:sz w:val="22"/>
          <w:u w:val="single"/>
        </w:rPr>
        <w:t xml:space="preserve">         </w:t>
      </w:r>
    </w:p>
    <w:p w14:paraId="206408AD">
      <w:pPr>
        <w:numPr>
          <w:ilvl w:val="255"/>
          <w:numId w:val="0"/>
        </w:numPr>
        <w:tabs>
          <w:tab w:val="left" w:pos="740"/>
        </w:tabs>
        <w:adjustRightInd w:val="0"/>
        <w:snapToGrid w:val="0"/>
        <w:spacing w:line="400" w:lineRule="exact"/>
        <w:ind w:left="420" w:hanging="420" w:hangingChars="200"/>
        <w:rPr>
          <w:rFonts w:ascii="宋体" w:hAnsi="宋体" w:eastAsia="宋体" w:cs="Times New Roman"/>
          <w:iCs/>
          <w:color w:val="auto"/>
        </w:rPr>
      </w:pP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强制采购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优先采购    </w:t>
      </w:r>
    </w:p>
    <w:p w14:paraId="4CAA80B4">
      <w:pPr>
        <w:widowControl/>
        <w:autoSpaceDE w:val="0"/>
        <w:autoSpaceDN w:val="0"/>
        <w:adjustRightInd w:val="0"/>
        <w:spacing w:line="400" w:lineRule="exact"/>
        <w:ind w:left="420" w:hanging="420" w:hangingChars="200"/>
        <w:jc w:val="left"/>
        <w:rPr>
          <w:rFonts w:ascii="宋体" w:hAnsi="宋体" w:eastAsia="华文楷体" w:cs="华文楷体"/>
          <w:color w:val="auto"/>
          <w:kern w:val="0"/>
        </w:rPr>
      </w:pPr>
      <w:r>
        <w:rPr>
          <w:rFonts w:hint="eastAsia" w:ascii="宋体" w:hAnsi="宋体" w:eastAsia="宋体" w:cs="Times New Roman"/>
          <w:color w:val="auto"/>
        </w:rPr>
        <w:sym w:font="Wingdings" w:char="00A8"/>
      </w:r>
      <w:r>
        <w:rPr>
          <w:rFonts w:hint="eastAsia" w:ascii="宋体" w:hAnsi="宋体" w:eastAsia="宋体" w:cs="Times New Roman"/>
          <w:color w:val="auto"/>
        </w:rPr>
        <w:t>否</w:t>
      </w:r>
    </w:p>
    <w:p w14:paraId="48A9CB59">
      <w:pPr>
        <w:numPr>
          <w:ilvl w:val="255"/>
          <w:numId w:val="0"/>
        </w:num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（1</w:t>
      </w:r>
      <w:r>
        <w:rPr>
          <w:rFonts w:hint="eastAsia" w:ascii="宋体" w:hAnsi="宋体" w:eastAsia="宋体" w:cs="Times New Roman"/>
          <w:color w:val="auto"/>
          <w:lang w:val="en"/>
        </w:rPr>
        <w:t>3</w:t>
      </w:r>
      <w:r>
        <w:rPr>
          <w:rFonts w:hint="eastAsia" w:ascii="宋体" w:hAnsi="宋体" w:eastAsia="宋体" w:cs="Times New Roman"/>
          <w:color w:val="auto"/>
        </w:rPr>
        <w:t>）涉及商品包装和快递包装的，是否参考《商品包装政府采购需求标准（试行）》、《快递包装政府采购需求标准（试行）》明确产品及相关快递服务的具体包装要求：</w:t>
      </w:r>
    </w:p>
    <w:p w14:paraId="18481D71">
      <w:pPr>
        <w:numPr>
          <w:ilvl w:val="255"/>
          <w:numId w:val="0"/>
        </w:num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sym w:font="Wingdings" w:char="00A8"/>
      </w:r>
      <w:r>
        <w:rPr>
          <w:rFonts w:hint="eastAsia" w:ascii="宋体" w:hAnsi="宋体" w:eastAsia="宋体" w:cs="Times New Roman"/>
          <w:color w:val="auto"/>
        </w:rPr>
        <w:t xml:space="preserve">是       </w:t>
      </w:r>
      <w:r>
        <w:rPr>
          <w:rFonts w:hint="eastAsia" w:ascii="宋体" w:hAnsi="宋体" w:eastAsia="宋体" w:cs="Times New Roman"/>
          <w:color w:val="auto"/>
        </w:rPr>
        <w:sym w:font="Wingdings" w:char="00A8"/>
      </w:r>
      <w:r>
        <w:rPr>
          <w:rFonts w:hint="eastAsia" w:ascii="宋体" w:hAnsi="宋体" w:eastAsia="宋体" w:cs="Times New Roman"/>
          <w:color w:val="auto"/>
        </w:rPr>
        <w:t xml:space="preserve">否      </w:t>
      </w:r>
      <w:r>
        <w:rPr>
          <w:rFonts w:hint="eastAsia" w:ascii="宋体" w:hAnsi="宋体" w:eastAsia="宋体" w:cs="Times New Roman"/>
          <w:color w:val="auto"/>
        </w:rPr>
        <w:sym w:font="Wingdings" w:char="00A8"/>
      </w:r>
      <w:r>
        <w:rPr>
          <w:rFonts w:hint="eastAsia" w:ascii="宋体" w:hAnsi="宋体" w:eastAsia="宋体" w:cs="Times New Roman"/>
          <w:color w:val="auto"/>
        </w:rPr>
        <w:t>不涉及</w:t>
      </w:r>
    </w:p>
    <w:p w14:paraId="1DA6DEBD">
      <w:pPr>
        <w:numPr>
          <w:ilvl w:val="0"/>
          <w:numId w:val="1"/>
        </w:numPr>
        <w:adjustRightInd w:val="0"/>
        <w:snapToGrid w:val="0"/>
        <w:spacing w:line="400" w:lineRule="exact"/>
        <w:ind w:left="422" w:hanging="422" w:hangingChars="200"/>
        <w:rPr>
          <w:rFonts w:ascii="宋体" w:hAnsi="宋体" w:eastAsia="宋体" w:cs="Times New Roman"/>
          <w:b/>
          <w:color w:val="auto"/>
        </w:rPr>
      </w:pPr>
      <w:r>
        <w:rPr>
          <w:rFonts w:hint="eastAsia" w:ascii="宋体" w:hAnsi="宋体" w:eastAsia="宋体" w:cs="Times New Roman"/>
          <w:b/>
          <w:color w:val="auto"/>
        </w:rPr>
        <w:t>合同金额</w:t>
      </w:r>
    </w:p>
    <w:p w14:paraId="41A9B8F5">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（1）合同金额小写：</w:t>
      </w:r>
      <w:r>
        <w:rPr>
          <w:rFonts w:hint="eastAsia" w:ascii="宋体" w:hAnsi="宋体" w:eastAsia="宋体" w:cs="Times New Roman"/>
          <w:color w:val="auto"/>
          <w:u w:val="single"/>
        </w:rPr>
        <w:t xml:space="preserve">                           </w:t>
      </w:r>
      <w:r>
        <w:rPr>
          <w:rFonts w:hint="eastAsia" w:ascii="宋体" w:hAnsi="宋体" w:eastAsia="宋体" w:cs="Times New Roman"/>
          <w:color w:val="auto"/>
        </w:rPr>
        <w:t>；大写：</w:t>
      </w:r>
      <w:r>
        <w:rPr>
          <w:rFonts w:hint="eastAsia" w:ascii="宋体" w:hAnsi="宋体" w:eastAsia="宋体" w:cs="Times New Roman"/>
          <w:color w:val="auto"/>
          <w:u w:val="single"/>
        </w:rPr>
        <w:t xml:space="preserve">                           </w:t>
      </w:r>
    </w:p>
    <w:p w14:paraId="3D8068D8">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分包金额（如有）小写：</w:t>
      </w:r>
      <w:r>
        <w:rPr>
          <w:rFonts w:hint="eastAsia" w:ascii="宋体" w:hAnsi="宋体" w:eastAsia="宋体" w:cs="Times New Roman"/>
          <w:color w:val="auto"/>
          <w:u w:val="single"/>
        </w:rPr>
        <w:t xml:space="preserve">                   ；</w:t>
      </w:r>
      <w:r>
        <w:rPr>
          <w:rFonts w:hint="eastAsia" w:ascii="宋体" w:hAnsi="宋体" w:eastAsia="宋体" w:cs="Times New Roman"/>
          <w:color w:val="auto"/>
        </w:rPr>
        <w:t>大写：</w:t>
      </w:r>
      <w:r>
        <w:rPr>
          <w:rFonts w:hint="eastAsia" w:ascii="宋体" w:hAnsi="宋体" w:eastAsia="宋体" w:cs="Times New Roman"/>
          <w:color w:val="auto"/>
          <w:u w:val="single"/>
        </w:rPr>
        <w:t xml:space="preserve">                       </w:t>
      </w:r>
    </w:p>
    <w:p w14:paraId="5833D770">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（注：固定单价合同应填写单价和最高限价）</w:t>
      </w:r>
    </w:p>
    <w:p w14:paraId="1C0EE9EE">
      <w:pPr>
        <w:numPr>
          <w:ilvl w:val="255"/>
          <w:numId w:val="0"/>
        </w:num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（2）合同定价方式（采用组合定价方式的，可以勾选多项）：</w:t>
      </w:r>
    </w:p>
    <w:p w14:paraId="3E10E526">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固定总价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固定单价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固定费率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成本补偿 </w:t>
      </w:r>
      <w:r>
        <w:rPr>
          <w:rFonts w:hint="eastAsia" w:ascii="宋体" w:hAnsi="宋体" w:eastAsia="宋体" w:cs="Times New Roman"/>
          <w:iCs/>
          <w:color w:val="auto"/>
        </w:rPr>
        <w:sym w:font="Wingdings" w:char="00A8"/>
      </w:r>
      <w:r>
        <w:rPr>
          <w:rFonts w:hint="eastAsia" w:ascii="宋体" w:hAnsi="宋体" w:eastAsia="宋体" w:cs="Times New Roman"/>
          <w:iCs/>
          <w:color w:val="auto"/>
        </w:rPr>
        <w:t xml:space="preserve">绩效激励 </w:t>
      </w:r>
      <w:r>
        <w:rPr>
          <w:rFonts w:hint="eastAsia" w:ascii="宋体" w:hAnsi="宋体" w:eastAsia="宋体" w:cs="Times New Roman"/>
          <w:iCs/>
          <w:color w:val="auto"/>
        </w:rPr>
        <w:sym w:font="Wingdings" w:char="00A8"/>
      </w:r>
      <w:r>
        <w:rPr>
          <w:rFonts w:hint="eastAsia" w:ascii="宋体" w:hAnsi="宋体" w:eastAsia="宋体" w:cs="Times New Roman"/>
          <w:iCs/>
          <w:color w:val="auto"/>
        </w:rPr>
        <w:t>其他</w:t>
      </w:r>
      <w:r>
        <w:rPr>
          <w:rFonts w:hint="eastAsia" w:ascii="宋体" w:hAnsi="宋体" w:eastAsia="宋体" w:cs="Times New Roman"/>
          <w:color w:val="auto"/>
          <w:u w:val="single"/>
        </w:rPr>
        <w:t xml:space="preserve">       </w:t>
      </w:r>
    </w:p>
    <w:p w14:paraId="2F9F96BD">
      <w:pPr>
        <w:spacing w:line="400" w:lineRule="exact"/>
        <w:ind w:left="420" w:hanging="420" w:hangingChars="200"/>
        <w:rPr>
          <w:rFonts w:ascii="Times New Roman" w:hAnsi="Times New Roman" w:eastAsia="宋体" w:cs="Times New Roman"/>
          <w:color w:val="auto"/>
        </w:rPr>
      </w:pPr>
      <w:r>
        <w:rPr>
          <w:rFonts w:hint="eastAsia" w:ascii="宋体" w:hAnsi="宋体" w:eastAsia="宋体" w:cs="Times New Roman"/>
          <w:color w:val="auto"/>
        </w:rPr>
        <w:t>（3）付款方式（按项目实际勾选填写）：</w:t>
      </w:r>
    </w:p>
    <w:p w14:paraId="218A2F9D">
      <w:pPr>
        <w:adjustRightInd w:val="0"/>
        <w:snapToGrid w:val="0"/>
        <w:spacing w:line="400" w:lineRule="exact"/>
        <w:ind w:left="420" w:hanging="420" w:hangingChars="200"/>
        <w:rPr>
          <w:rFonts w:ascii="宋体" w:hAnsi="宋体" w:eastAsia="宋体" w:cs="Times New Roman"/>
          <w:color w:val="auto"/>
          <w:u w:val="single"/>
        </w:rPr>
      </w:pPr>
      <w:r>
        <w:rPr>
          <w:rFonts w:hint="eastAsia" w:ascii="宋体" w:hAnsi="宋体" w:eastAsia="宋体" w:cs="Times New Roman"/>
          <w:color w:val="auto"/>
        </w:rPr>
        <w:sym w:font="Wingdings" w:char="00A8"/>
      </w:r>
      <w:r>
        <w:rPr>
          <w:rFonts w:hint="eastAsia" w:ascii="宋体" w:hAnsi="宋体" w:eastAsia="宋体" w:cs="Times New Roman"/>
          <w:color w:val="auto"/>
        </w:rPr>
        <w:t>全额付款：</w:t>
      </w:r>
      <w:r>
        <w:rPr>
          <w:rFonts w:hint="eastAsia" w:ascii="宋体" w:hAnsi="宋体" w:eastAsia="宋体" w:cs="Times New Roman"/>
          <w:color w:val="auto"/>
          <w:u w:val="single"/>
        </w:rPr>
        <w:t xml:space="preserve">     （应明确一次性支付合同款项的条件）                    </w:t>
      </w:r>
    </w:p>
    <w:p w14:paraId="181EF703">
      <w:pPr>
        <w:snapToGrid w:val="0"/>
        <w:spacing w:line="400" w:lineRule="exact"/>
        <w:ind w:left="420" w:hanging="420" w:hangingChars="200"/>
        <w:rPr>
          <w:rFonts w:ascii="Times New Roman" w:hAnsi="Times New Roman" w:eastAsia="宋体" w:cs="Times New Roman"/>
          <w:color w:val="auto"/>
          <w:szCs w:val="24"/>
        </w:rPr>
      </w:pPr>
      <w:r>
        <w:rPr>
          <w:rFonts w:hint="eastAsia" w:ascii="宋体" w:hAnsi="宋体" w:eastAsia="宋体" w:cs="Times New Roman"/>
          <w:color w:val="auto"/>
        </w:rPr>
        <w:sym w:font="Wingdings" w:char="00A8"/>
      </w:r>
      <w:r>
        <w:rPr>
          <w:rFonts w:hint="eastAsia" w:ascii="宋体" w:hAnsi="宋体" w:eastAsia="宋体" w:cs="Times New Roman"/>
          <w:color w:val="auto"/>
        </w:rPr>
        <w:t>分期付款：</w:t>
      </w:r>
      <w:r>
        <w:rPr>
          <w:rFonts w:hint="eastAsia" w:ascii="宋体" w:hAnsi="宋体" w:eastAsia="宋体" w:cs="Times New Roman"/>
          <w:color w:val="auto"/>
          <w:u w:val="single"/>
        </w:rPr>
        <w:t xml:space="preserve">  （应明确分期支付合同款项的各期比例和支付条件，各期支付条件应与分期履约验收情况挂钩） </w:t>
      </w:r>
      <w:r>
        <w:rPr>
          <w:rFonts w:hint="eastAsia" w:ascii="宋体" w:hAnsi="宋体" w:eastAsia="宋体" w:cs="Times New Roman"/>
          <w:color w:val="auto"/>
        </w:rPr>
        <w:t>，其中涉及预付款的：</w:t>
      </w:r>
      <w:r>
        <w:rPr>
          <w:rFonts w:hint="eastAsia" w:ascii="宋体" w:hAnsi="宋体" w:eastAsia="宋体" w:cs="Times New Roman"/>
          <w:color w:val="auto"/>
          <w:u w:val="single"/>
        </w:rPr>
        <w:t xml:space="preserve"> （应明确预付款的支付比例和支付条件） </w:t>
      </w:r>
    </w:p>
    <w:p w14:paraId="16E887CA">
      <w:pPr>
        <w:adjustRightInd w:val="0"/>
        <w:snapToGrid w:val="0"/>
        <w:spacing w:line="400" w:lineRule="exact"/>
        <w:ind w:left="420" w:hanging="420" w:hangingChars="200"/>
        <w:rPr>
          <w:rFonts w:ascii="宋体" w:hAnsi="宋体" w:eastAsia="宋体" w:cs="Times New Roman"/>
          <w:color w:val="auto"/>
          <w:u w:val="single"/>
        </w:rPr>
      </w:pPr>
      <w:r>
        <w:rPr>
          <w:rFonts w:hint="eastAsia" w:ascii="宋体" w:hAnsi="宋体" w:eastAsia="宋体" w:cs="Times New Roman"/>
          <w:color w:val="auto"/>
        </w:rPr>
        <w:sym w:font="Wingdings" w:char="00A8"/>
      </w:r>
      <w:r>
        <w:rPr>
          <w:rFonts w:hint="eastAsia" w:ascii="宋体" w:hAnsi="宋体" w:eastAsia="宋体" w:cs="Times New Roman"/>
          <w:color w:val="auto"/>
        </w:rPr>
        <w:t>成本补偿：</w:t>
      </w:r>
      <w:r>
        <w:rPr>
          <w:rFonts w:hint="eastAsia" w:ascii="宋体" w:hAnsi="宋体" w:eastAsia="宋体" w:cs="Times New Roman"/>
          <w:color w:val="auto"/>
          <w:u w:val="single"/>
        </w:rPr>
        <w:t xml:space="preserve">      （应明确按照成本补偿方式的支付方式和支付条件）   </w:t>
      </w:r>
    </w:p>
    <w:p w14:paraId="0D884BA0">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sym w:font="Wingdings" w:char="00A8"/>
      </w:r>
      <w:r>
        <w:rPr>
          <w:rFonts w:hint="eastAsia" w:ascii="宋体" w:hAnsi="宋体" w:eastAsia="宋体" w:cs="Times New Roman"/>
          <w:color w:val="auto"/>
        </w:rPr>
        <w:t>绩效激励：</w:t>
      </w:r>
      <w:r>
        <w:rPr>
          <w:rFonts w:hint="eastAsia" w:ascii="宋体" w:hAnsi="宋体" w:eastAsia="宋体" w:cs="Times New Roman"/>
          <w:color w:val="auto"/>
          <w:u w:val="single"/>
        </w:rPr>
        <w:t xml:space="preserve">      （应明确按照绩效激励方式的支付方式和支付条件）   </w:t>
      </w:r>
    </w:p>
    <w:p w14:paraId="40A963BE">
      <w:pPr>
        <w:numPr>
          <w:ilvl w:val="0"/>
          <w:numId w:val="1"/>
        </w:numPr>
        <w:adjustRightInd w:val="0"/>
        <w:snapToGrid w:val="0"/>
        <w:spacing w:line="400" w:lineRule="exact"/>
        <w:ind w:left="422" w:hanging="422" w:hangingChars="200"/>
        <w:rPr>
          <w:rFonts w:ascii="宋体" w:hAnsi="宋体" w:eastAsia="宋体" w:cs="Times New Roman"/>
          <w:b/>
          <w:color w:val="auto"/>
          <w:u w:val="single"/>
        </w:rPr>
      </w:pPr>
      <w:r>
        <w:rPr>
          <w:rFonts w:hint="eastAsia" w:ascii="宋体" w:hAnsi="宋体" w:eastAsia="宋体" w:cs="Times New Roman"/>
          <w:b/>
          <w:color w:val="auto"/>
        </w:rPr>
        <w:t>合同履行</w:t>
      </w:r>
    </w:p>
    <w:p w14:paraId="6CE5417F">
      <w:pPr>
        <w:adjustRightInd w:val="0"/>
        <w:snapToGrid w:val="0"/>
        <w:spacing w:line="400" w:lineRule="exact"/>
        <w:ind w:left="420" w:hanging="420" w:hangingChars="200"/>
        <w:rPr>
          <w:rFonts w:ascii="宋体" w:hAnsi="宋体" w:eastAsia="宋体" w:cs="宋体"/>
          <w:color w:val="auto"/>
        </w:rPr>
      </w:pPr>
      <w:r>
        <w:rPr>
          <w:rFonts w:hint="eastAsia" w:ascii="宋体" w:hAnsi="宋体" w:eastAsia="宋体" w:cs="宋体"/>
          <w:color w:val="auto"/>
        </w:rPr>
        <w:t>（1）起始日期：</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日，完成日期：</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w:t>
      </w:r>
    </w:p>
    <w:p w14:paraId="11883EAF">
      <w:pPr>
        <w:adjustRightInd w:val="0"/>
        <w:snapToGrid w:val="0"/>
        <w:spacing w:line="400" w:lineRule="exact"/>
        <w:ind w:left="420" w:hanging="420" w:hangingChars="200"/>
        <w:rPr>
          <w:rFonts w:ascii="宋体" w:hAnsi="宋体" w:eastAsia="宋体" w:cs="宋体"/>
          <w:color w:val="auto"/>
          <w:u w:val="single"/>
        </w:rPr>
      </w:pPr>
      <w:r>
        <w:rPr>
          <w:rFonts w:hint="eastAsia" w:ascii="宋体" w:hAnsi="宋体" w:eastAsia="宋体" w:cs="宋体"/>
          <w:color w:val="auto"/>
        </w:rPr>
        <w:t>（2）履约地点</w:t>
      </w:r>
      <w:r>
        <w:rPr>
          <w:rFonts w:hint="eastAsia" w:ascii="宋体" w:hAnsi="宋体" w:eastAsia="宋体" w:cs="宋体"/>
          <w:bCs/>
          <w:color w:val="auto"/>
        </w:rPr>
        <w:t>：</w:t>
      </w:r>
      <w:r>
        <w:rPr>
          <w:rFonts w:hint="eastAsia" w:ascii="宋体" w:hAnsi="宋体" w:eastAsia="宋体" w:cs="宋体"/>
          <w:color w:val="auto"/>
          <w:u w:val="single"/>
        </w:rPr>
        <w:t xml:space="preserve">                             </w:t>
      </w:r>
    </w:p>
    <w:p w14:paraId="21F99FB2">
      <w:pPr>
        <w:adjustRightInd w:val="0"/>
        <w:snapToGrid w:val="0"/>
        <w:spacing w:line="400" w:lineRule="exact"/>
        <w:ind w:left="420" w:hanging="420" w:hangingChars="200"/>
        <w:rPr>
          <w:rFonts w:ascii="宋体" w:hAnsi="宋体" w:eastAsia="宋体" w:cs="宋体"/>
          <w:color w:val="auto"/>
        </w:rPr>
      </w:pPr>
      <w:r>
        <w:rPr>
          <w:rFonts w:hint="eastAsia" w:ascii="宋体" w:hAnsi="宋体" w:eastAsia="宋体" w:cs="宋体"/>
          <w:bCs/>
          <w:color w:val="auto"/>
        </w:rPr>
        <w:t>（3）履约担保：</w:t>
      </w:r>
      <w:r>
        <w:rPr>
          <w:rFonts w:hint="eastAsia" w:ascii="宋体" w:hAnsi="宋体" w:eastAsia="宋体" w:cs="宋体"/>
          <w:color w:val="auto"/>
          <w:szCs w:val="24"/>
        </w:rPr>
        <w:t>是否收取履约保证金：</w:t>
      </w:r>
      <w:r>
        <w:rPr>
          <w:rFonts w:hint="eastAsia" w:ascii="宋体" w:hAnsi="宋体" w:eastAsia="宋体" w:cs="宋体"/>
          <w:color w:val="auto"/>
        </w:rPr>
        <w:sym w:font="Wingdings" w:char="00A8"/>
      </w:r>
      <w:r>
        <w:rPr>
          <w:rFonts w:hint="eastAsia" w:ascii="宋体" w:hAnsi="宋体" w:eastAsia="宋体" w:cs="宋体"/>
          <w:color w:val="auto"/>
        </w:rPr>
        <w:t xml:space="preserve">是    </w:t>
      </w:r>
      <w:r>
        <w:rPr>
          <w:rFonts w:hint="eastAsia" w:ascii="宋体" w:hAnsi="宋体" w:eastAsia="宋体" w:cs="宋体"/>
          <w:color w:val="auto"/>
        </w:rPr>
        <w:sym w:font="Wingdings" w:char="00A8"/>
      </w:r>
      <w:r>
        <w:rPr>
          <w:rFonts w:hint="eastAsia" w:ascii="宋体" w:hAnsi="宋体" w:eastAsia="宋体" w:cs="宋体"/>
          <w:color w:val="auto"/>
        </w:rPr>
        <w:t>否</w:t>
      </w:r>
    </w:p>
    <w:p w14:paraId="208AAFB3">
      <w:pPr>
        <w:widowControl/>
        <w:autoSpaceDE w:val="0"/>
        <w:autoSpaceDN w:val="0"/>
        <w:adjustRightInd w:val="0"/>
        <w:spacing w:line="400" w:lineRule="exact"/>
        <w:ind w:left="440" w:hanging="440" w:hangingChars="200"/>
        <w:jc w:val="left"/>
        <w:rPr>
          <w:rFonts w:ascii="宋体" w:hAnsi="宋体" w:eastAsia="宋体" w:cs="宋体"/>
          <w:color w:val="auto"/>
          <w:kern w:val="0"/>
        </w:rPr>
      </w:pPr>
      <w:r>
        <w:rPr>
          <w:rFonts w:hint="eastAsia" w:ascii="宋体" w:hAnsi="宋体" w:eastAsia="华文楷体" w:cs="宋体"/>
          <w:bCs/>
          <w:color w:val="auto"/>
          <w:kern w:val="0"/>
          <w:sz w:val="22"/>
        </w:rPr>
        <w:t xml:space="preserve">  </w:t>
      </w:r>
      <w:r>
        <w:rPr>
          <w:rFonts w:hint="eastAsia" w:ascii="宋体" w:hAnsi="宋体" w:eastAsia="宋体" w:cs="宋体"/>
          <w:color w:val="auto"/>
          <w:kern w:val="0"/>
        </w:rPr>
        <w:t xml:space="preserve">  收取履约保证金形式：</w:t>
      </w:r>
      <w:r>
        <w:rPr>
          <w:rFonts w:hint="eastAsia" w:ascii="宋体" w:hAnsi="宋体" w:eastAsia="宋体" w:cs="宋体"/>
          <w:bCs/>
          <w:color w:val="auto"/>
          <w:kern w:val="0"/>
          <w:u w:val="single"/>
        </w:rPr>
        <w:t xml:space="preserve">                            </w:t>
      </w:r>
    </w:p>
    <w:p w14:paraId="6CE9BFC3">
      <w:pPr>
        <w:widowControl/>
        <w:autoSpaceDE w:val="0"/>
        <w:autoSpaceDN w:val="0"/>
        <w:adjustRightIn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color w:val="auto"/>
          <w:kern w:val="0"/>
        </w:rPr>
        <w:t xml:space="preserve">    收取履约保证金金额：</w:t>
      </w:r>
      <w:r>
        <w:rPr>
          <w:rFonts w:hint="eastAsia" w:ascii="宋体" w:hAnsi="宋体" w:eastAsia="宋体" w:cs="宋体"/>
          <w:bCs/>
          <w:color w:val="auto"/>
          <w:kern w:val="0"/>
          <w:u w:val="single"/>
        </w:rPr>
        <w:t xml:space="preserve">                            </w:t>
      </w:r>
    </w:p>
    <w:p w14:paraId="5FBABE63">
      <w:pPr>
        <w:snapToGrid w:val="0"/>
        <w:spacing w:line="400" w:lineRule="exact"/>
        <w:ind w:left="420" w:hanging="420" w:hangingChars="200"/>
        <w:rPr>
          <w:rFonts w:ascii="宋体" w:hAnsi="宋体" w:eastAsia="宋体" w:cs="宋体"/>
          <w:color w:val="auto"/>
          <w:szCs w:val="24"/>
        </w:rPr>
      </w:pPr>
      <w:r>
        <w:rPr>
          <w:rFonts w:hint="eastAsia" w:ascii="宋体" w:hAnsi="宋体" w:eastAsia="宋体" w:cs="宋体"/>
          <w:bCs/>
          <w:color w:val="auto"/>
        </w:rPr>
        <w:t xml:space="preserve">    履约担保期限：</w:t>
      </w:r>
      <w:r>
        <w:rPr>
          <w:rFonts w:hint="eastAsia" w:ascii="宋体" w:hAnsi="宋体" w:eastAsia="宋体" w:cs="宋体"/>
          <w:bCs/>
          <w:color w:val="auto"/>
          <w:u w:val="single"/>
        </w:rPr>
        <w:t xml:space="preserve">                                  </w:t>
      </w:r>
    </w:p>
    <w:p w14:paraId="67524261">
      <w:pPr>
        <w:adjustRightInd w:val="0"/>
        <w:snapToGrid w:val="0"/>
        <w:spacing w:line="400" w:lineRule="exact"/>
        <w:ind w:left="420" w:hanging="420" w:hangingChars="200"/>
        <w:rPr>
          <w:rFonts w:ascii="宋体" w:hAnsi="宋体" w:eastAsia="宋体" w:cs="宋体"/>
          <w:bCs/>
          <w:color w:val="auto"/>
        </w:rPr>
      </w:pPr>
      <w:r>
        <w:rPr>
          <w:rFonts w:hint="eastAsia" w:ascii="宋体" w:hAnsi="宋体" w:eastAsia="宋体" w:cs="宋体"/>
          <w:bCs/>
          <w:color w:val="auto"/>
        </w:rPr>
        <w:t>（4）分期履行要求：</w:t>
      </w:r>
      <w:r>
        <w:rPr>
          <w:rFonts w:hint="eastAsia" w:ascii="宋体" w:hAnsi="宋体" w:eastAsia="宋体" w:cs="宋体"/>
          <w:bCs/>
          <w:color w:val="auto"/>
          <w:u w:val="single"/>
        </w:rPr>
        <w:t xml:space="preserve">                                                        </w:t>
      </w:r>
    </w:p>
    <w:p w14:paraId="444CCDF5">
      <w:pPr>
        <w:adjustRightInd w:val="0"/>
        <w:snapToGrid w:val="0"/>
        <w:spacing w:line="400" w:lineRule="exact"/>
        <w:ind w:left="420" w:hanging="420" w:hangingChars="200"/>
        <w:rPr>
          <w:rFonts w:ascii="宋体" w:hAnsi="宋体" w:eastAsia="宋体" w:cs="宋体"/>
          <w:color w:val="auto"/>
          <w:u w:val="single"/>
        </w:rPr>
      </w:pPr>
      <w:r>
        <w:rPr>
          <w:rFonts w:hint="eastAsia" w:ascii="宋体" w:hAnsi="宋体" w:eastAsia="宋体" w:cs="宋体"/>
          <w:bCs/>
          <w:color w:val="auto"/>
        </w:rPr>
        <w:t>（5）风险处置措施和替代方案：</w:t>
      </w:r>
      <w:r>
        <w:rPr>
          <w:rFonts w:hint="eastAsia" w:ascii="宋体" w:hAnsi="宋体" w:eastAsia="宋体" w:cs="宋体"/>
          <w:color w:val="auto"/>
          <w:u w:val="single"/>
        </w:rPr>
        <w:t xml:space="preserve">                                                               </w:t>
      </w:r>
    </w:p>
    <w:p w14:paraId="7F246B4F">
      <w:pPr>
        <w:numPr>
          <w:ilvl w:val="0"/>
          <w:numId w:val="1"/>
        </w:numPr>
        <w:adjustRightInd w:val="0"/>
        <w:snapToGrid w:val="0"/>
        <w:spacing w:line="400" w:lineRule="exact"/>
        <w:ind w:left="422" w:hanging="422" w:hangingChars="200"/>
        <w:rPr>
          <w:rFonts w:ascii="宋体" w:hAnsi="宋体" w:eastAsia="宋体" w:cs="Times New Roman"/>
          <w:b/>
          <w:color w:val="auto"/>
        </w:rPr>
      </w:pPr>
      <w:r>
        <w:rPr>
          <w:rFonts w:hint="eastAsia" w:ascii="宋体" w:hAnsi="宋体" w:eastAsia="宋体" w:cs="Times New Roman"/>
          <w:b/>
          <w:color w:val="auto"/>
        </w:rPr>
        <w:t>合同验收</w:t>
      </w:r>
    </w:p>
    <w:p w14:paraId="3637A2FB">
      <w:pPr>
        <w:numPr>
          <w:ilvl w:val="0"/>
          <w:numId w:val="3"/>
        </w:num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验收组织方式：</w:t>
      </w:r>
      <w:r>
        <w:rPr>
          <w:rFonts w:hint="eastAsia" w:ascii="宋体" w:hAnsi="宋体" w:eastAsia="宋体" w:cs="宋体"/>
          <w:color w:val="auto"/>
        </w:rPr>
        <w:sym w:font="Wingdings" w:char="00A8"/>
      </w:r>
      <w:r>
        <w:rPr>
          <w:rFonts w:hint="eastAsia" w:ascii="宋体" w:hAnsi="宋体" w:eastAsia="宋体" w:cs="Times New Roman"/>
          <w:bCs/>
          <w:color w:val="auto"/>
        </w:rPr>
        <w:t xml:space="preserve">自行组织 </w:t>
      </w:r>
      <w:r>
        <w:rPr>
          <w:rFonts w:hint="eastAsia" w:ascii="宋体" w:hAnsi="宋体" w:eastAsia="宋体" w:cs="宋体"/>
          <w:color w:val="auto"/>
        </w:rPr>
        <w:sym w:font="Wingdings" w:char="00A8"/>
      </w:r>
      <w:r>
        <w:rPr>
          <w:rFonts w:hint="eastAsia" w:ascii="宋体" w:hAnsi="宋体" w:eastAsia="宋体" w:cs="Times New Roman"/>
          <w:bCs/>
          <w:color w:val="auto"/>
        </w:rPr>
        <w:t>委托第三方组织</w:t>
      </w:r>
    </w:p>
    <w:p w14:paraId="6273E27F">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验收主体：</w:t>
      </w:r>
      <w:r>
        <w:rPr>
          <w:rFonts w:hint="eastAsia" w:ascii="宋体" w:hAnsi="宋体" w:eastAsia="宋体" w:cs="Times New Roman"/>
          <w:bCs/>
          <w:color w:val="auto"/>
          <w:u w:val="single"/>
        </w:rPr>
        <w:t xml:space="preserve">                  </w:t>
      </w:r>
      <w:r>
        <w:rPr>
          <w:rFonts w:hint="eastAsia" w:ascii="宋体" w:hAnsi="宋体" w:eastAsia="宋体" w:cs="Times New Roman"/>
          <w:bCs/>
          <w:color w:val="auto"/>
        </w:rPr>
        <w:t>。是否邀请本项目的其他供应商参加验收：</w:t>
      </w:r>
      <w:r>
        <w:rPr>
          <w:rFonts w:hint="eastAsia" w:ascii="宋体" w:hAnsi="宋体" w:eastAsia="宋体" w:cs="宋体"/>
          <w:color w:val="auto"/>
        </w:rPr>
        <w:sym w:font="Wingdings" w:char="00A8"/>
      </w:r>
      <w:r>
        <w:rPr>
          <w:rFonts w:hint="eastAsia" w:ascii="宋体" w:hAnsi="宋体" w:eastAsia="宋体" w:cs="Times New Roman"/>
          <w:bCs/>
          <w:color w:val="auto"/>
        </w:rPr>
        <w:t xml:space="preserve">是  </w:t>
      </w:r>
      <w:r>
        <w:rPr>
          <w:rFonts w:hint="eastAsia" w:ascii="宋体" w:hAnsi="宋体" w:eastAsia="宋体" w:cs="宋体"/>
          <w:color w:val="auto"/>
        </w:rPr>
        <w:sym w:font="Wingdings" w:char="00A8"/>
      </w:r>
      <w:r>
        <w:rPr>
          <w:rFonts w:hint="eastAsia" w:ascii="宋体" w:hAnsi="宋体" w:eastAsia="宋体" w:cs="Times New Roman"/>
          <w:bCs/>
          <w:color w:val="auto"/>
        </w:rPr>
        <w:t>否</w:t>
      </w:r>
    </w:p>
    <w:p w14:paraId="7B13FFF5">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是否邀请专家参加验收：</w:t>
      </w:r>
      <w:r>
        <w:rPr>
          <w:rFonts w:hint="eastAsia" w:ascii="宋体" w:hAnsi="宋体" w:eastAsia="宋体" w:cs="宋体"/>
          <w:color w:val="auto"/>
        </w:rPr>
        <w:sym w:font="Wingdings" w:char="00A8"/>
      </w:r>
      <w:r>
        <w:rPr>
          <w:rFonts w:hint="eastAsia" w:ascii="宋体" w:hAnsi="宋体" w:eastAsia="宋体" w:cs="Times New Roman"/>
          <w:bCs/>
          <w:color w:val="auto"/>
        </w:rPr>
        <w:t xml:space="preserve">是  </w:t>
      </w:r>
      <w:r>
        <w:rPr>
          <w:rFonts w:hint="eastAsia" w:ascii="宋体" w:hAnsi="宋体" w:eastAsia="宋体" w:cs="宋体"/>
          <w:color w:val="auto"/>
        </w:rPr>
        <w:sym w:font="Wingdings" w:char="00A8"/>
      </w:r>
      <w:r>
        <w:rPr>
          <w:rFonts w:hint="eastAsia" w:ascii="宋体" w:hAnsi="宋体" w:eastAsia="宋体" w:cs="Times New Roman"/>
          <w:bCs/>
          <w:color w:val="auto"/>
        </w:rPr>
        <w:t>否</w:t>
      </w:r>
    </w:p>
    <w:p w14:paraId="02AA7D0E">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是否邀请服务对象参加验收：</w:t>
      </w:r>
      <w:r>
        <w:rPr>
          <w:rFonts w:hint="eastAsia" w:ascii="宋体" w:hAnsi="宋体" w:eastAsia="宋体" w:cs="宋体"/>
          <w:color w:val="auto"/>
        </w:rPr>
        <w:sym w:font="Wingdings" w:char="00A8"/>
      </w:r>
      <w:r>
        <w:rPr>
          <w:rFonts w:hint="eastAsia" w:ascii="宋体" w:hAnsi="宋体" w:eastAsia="宋体" w:cs="Times New Roman"/>
          <w:bCs/>
          <w:color w:val="auto"/>
        </w:rPr>
        <w:t xml:space="preserve">是  </w:t>
      </w:r>
      <w:r>
        <w:rPr>
          <w:rFonts w:hint="eastAsia" w:ascii="宋体" w:hAnsi="宋体" w:eastAsia="宋体" w:cs="宋体"/>
          <w:color w:val="auto"/>
        </w:rPr>
        <w:sym w:font="Wingdings" w:char="00A8"/>
      </w:r>
      <w:r>
        <w:rPr>
          <w:rFonts w:hint="eastAsia" w:ascii="宋体" w:hAnsi="宋体" w:eastAsia="宋体" w:cs="Times New Roman"/>
          <w:bCs/>
          <w:color w:val="auto"/>
        </w:rPr>
        <w:t>否</w:t>
      </w:r>
    </w:p>
    <w:p w14:paraId="5EF10188">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是否邀请第三方检测机构参加验收：</w:t>
      </w:r>
      <w:r>
        <w:rPr>
          <w:rFonts w:hint="eastAsia" w:ascii="宋体" w:hAnsi="宋体" w:eastAsia="宋体" w:cs="宋体"/>
          <w:color w:val="auto"/>
        </w:rPr>
        <w:sym w:font="Wingdings" w:char="00A8"/>
      </w:r>
      <w:r>
        <w:rPr>
          <w:rFonts w:hint="eastAsia" w:ascii="宋体" w:hAnsi="宋体" w:eastAsia="宋体" w:cs="Times New Roman"/>
          <w:bCs/>
          <w:color w:val="auto"/>
        </w:rPr>
        <w:t xml:space="preserve">是  </w:t>
      </w:r>
      <w:r>
        <w:rPr>
          <w:rFonts w:hint="eastAsia" w:ascii="宋体" w:hAnsi="宋体" w:eastAsia="宋体" w:cs="宋体"/>
          <w:color w:val="auto"/>
        </w:rPr>
        <w:sym w:font="Wingdings" w:char="00A8"/>
      </w:r>
      <w:r>
        <w:rPr>
          <w:rFonts w:hint="eastAsia" w:ascii="宋体" w:hAnsi="宋体" w:eastAsia="宋体" w:cs="Times New Roman"/>
          <w:bCs/>
          <w:color w:val="auto"/>
        </w:rPr>
        <w:t>否</w:t>
      </w:r>
    </w:p>
    <w:p w14:paraId="4949E5D0">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是否进行抽查检测：</w:t>
      </w:r>
      <w:r>
        <w:rPr>
          <w:rFonts w:hint="eastAsia" w:ascii="宋体" w:hAnsi="宋体" w:eastAsia="宋体" w:cs="宋体"/>
          <w:color w:val="auto"/>
        </w:rPr>
        <w:sym w:font="Wingdings" w:char="00A8"/>
      </w:r>
      <w:r>
        <w:rPr>
          <w:rFonts w:hint="eastAsia" w:ascii="宋体" w:hAnsi="宋体" w:eastAsia="宋体" w:cs="Times New Roman"/>
          <w:bCs/>
          <w:color w:val="auto"/>
        </w:rPr>
        <w:t>是，抽查比例：</w:t>
      </w:r>
      <w:r>
        <w:rPr>
          <w:rFonts w:hint="eastAsia" w:ascii="宋体" w:hAnsi="宋体" w:eastAsia="宋体" w:cs="Times New Roman"/>
          <w:bCs/>
          <w:color w:val="auto"/>
          <w:u w:val="single"/>
        </w:rPr>
        <w:t xml:space="preserve">        </w:t>
      </w:r>
      <w:r>
        <w:rPr>
          <w:rFonts w:hint="eastAsia" w:ascii="宋体" w:hAnsi="宋体" w:eastAsia="宋体" w:cs="Times New Roman"/>
          <w:bCs/>
          <w:color w:val="auto"/>
        </w:rPr>
        <w:t xml:space="preserve"> </w:t>
      </w:r>
      <w:r>
        <w:rPr>
          <w:rFonts w:hint="eastAsia" w:ascii="宋体" w:hAnsi="宋体" w:eastAsia="宋体" w:cs="宋体"/>
          <w:color w:val="auto"/>
        </w:rPr>
        <w:sym w:font="Wingdings" w:char="00A8"/>
      </w:r>
      <w:r>
        <w:rPr>
          <w:rFonts w:hint="eastAsia" w:ascii="宋体" w:hAnsi="宋体" w:eastAsia="宋体" w:cs="Times New Roman"/>
          <w:bCs/>
          <w:color w:val="auto"/>
        </w:rPr>
        <w:t>否</w:t>
      </w:r>
    </w:p>
    <w:p w14:paraId="6AF89D5E">
      <w:pPr>
        <w:adjustRightInd w:val="0"/>
        <w:snapToGrid w:val="0"/>
        <w:spacing w:line="400" w:lineRule="exact"/>
        <w:ind w:left="420" w:hanging="420" w:hangingChars="200"/>
        <w:rPr>
          <w:rFonts w:ascii="宋体" w:hAnsi="宋体" w:eastAsia="宋体" w:cs="Times New Roman"/>
          <w:bCs/>
          <w:color w:val="auto"/>
          <w:u w:val="single"/>
        </w:rPr>
      </w:pPr>
      <w:r>
        <w:rPr>
          <w:rFonts w:hint="eastAsia" w:ascii="宋体" w:hAnsi="宋体" w:eastAsia="宋体" w:cs="Times New Roman"/>
          <w:bCs/>
          <w:color w:val="auto"/>
        </w:rPr>
        <w:t>是否存在破坏性检测：</w:t>
      </w:r>
      <w:r>
        <w:rPr>
          <w:rFonts w:hint="eastAsia" w:ascii="宋体" w:hAnsi="宋体" w:eastAsia="宋体" w:cs="宋体"/>
          <w:color w:val="auto"/>
        </w:rPr>
        <w:sym w:font="Wingdings" w:char="00A8"/>
      </w:r>
      <w:r>
        <w:rPr>
          <w:rFonts w:hint="eastAsia" w:ascii="宋体" w:hAnsi="宋体" w:eastAsia="宋体" w:cs="Times New Roman"/>
          <w:bCs/>
          <w:color w:val="auto"/>
        </w:rPr>
        <w:t>是，</w:t>
      </w:r>
      <w:r>
        <w:rPr>
          <w:rFonts w:hint="eastAsia" w:ascii="宋体" w:hAnsi="宋体" w:eastAsia="宋体" w:cs="Times New Roman"/>
          <w:bCs/>
          <w:color w:val="auto"/>
          <w:u w:val="single"/>
        </w:rPr>
        <w:t>（应明确对被破坏的检测产品的处理方式）</w:t>
      </w:r>
    </w:p>
    <w:p w14:paraId="5C9646F9">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 xml:space="preserve">                    </w:t>
      </w:r>
      <w:r>
        <w:rPr>
          <w:rFonts w:hint="eastAsia" w:ascii="宋体" w:hAnsi="宋体" w:eastAsia="宋体" w:cs="宋体"/>
          <w:color w:val="auto"/>
        </w:rPr>
        <w:sym w:font="Wingdings" w:char="00A8"/>
      </w:r>
      <w:r>
        <w:rPr>
          <w:rFonts w:hint="eastAsia" w:ascii="宋体" w:hAnsi="宋体" w:eastAsia="宋体" w:cs="Times New Roman"/>
          <w:bCs/>
          <w:color w:val="auto"/>
        </w:rPr>
        <w:t>否</w:t>
      </w:r>
    </w:p>
    <w:p w14:paraId="5CC3BCD8">
      <w:pPr>
        <w:adjustRightInd w:val="0"/>
        <w:snapToGrid w:val="0"/>
        <w:spacing w:line="400" w:lineRule="exact"/>
        <w:ind w:left="420" w:hanging="420" w:hangingChars="200"/>
        <w:rPr>
          <w:rFonts w:ascii="宋体" w:hAnsi="宋体" w:eastAsia="宋体" w:cs="Times New Roman"/>
          <w:bCs/>
          <w:color w:val="auto"/>
          <w:u w:val="single"/>
        </w:rPr>
      </w:pPr>
      <w:r>
        <w:rPr>
          <w:rFonts w:hint="eastAsia" w:ascii="宋体" w:hAnsi="宋体" w:eastAsia="宋体" w:cs="Times New Roman"/>
          <w:bCs/>
          <w:color w:val="auto"/>
        </w:rPr>
        <w:t>验收组织的其他事项：</w:t>
      </w:r>
      <w:r>
        <w:rPr>
          <w:rFonts w:hint="eastAsia" w:ascii="宋体" w:hAnsi="宋体" w:eastAsia="宋体" w:cs="Times New Roman"/>
          <w:bCs/>
          <w:color w:val="auto"/>
          <w:u w:val="single"/>
        </w:rPr>
        <w:t xml:space="preserve">                </w:t>
      </w:r>
    </w:p>
    <w:p w14:paraId="0D36BBC8">
      <w:pPr>
        <w:adjustRightInd w:val="0"/>
        <w:snapToGrid w:val="0"/>
        <w:spacing w:line="400" w:lineRule="exact"/>
        <w:ind w:left="420" w:hanging="420" w:hangingChars="200"/>
        <w:rPr>
          <w:rFonts w:ascii="宋体" w:hAnsi="宋体" w:eastAsia="宋体" w:cs="Times New Roman"/>
          <w:bCs/>
          <w:color w:val="auto"/>
          <w:u w:val="single"/>
        </w:rPr>
      </w:pPr>
      <w:r>
        <w:rPr>
          <w:rFonts w:hint="eastAsia" w:ascii="宋体" w:hAnsi="宋体" w:eastAsia="宋体" w:cs="Times New Roman"/>
          <w:bCs/>
          <w:color w:val="auto"/>
        </w:rPr>
        <w:t>（2）履约验收时间：</w:t>
      </w:r>
      <w:r>
        <w:rPr>
          <w:rFonts w:hint="eastAsia" w:ascii="宋体" w:hAnsi="宋体" w:eastAsia="宋体" w:cs="Times New Roman"/>
          <w:bCs/>
          <w:color w:val="auto"/>
          <w:u w:val="single"/>
        </w:rPr>
        <w:t xml:space="preserve">（计划于何时验收/供应商提出验收申请之日起   日内组织验收） </w:t>
      </w:r>
    </w:p>
    <w:p w14:paraId="11AB3366">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（3）履约验收方式：</w:t>
      </w:r>
      <w:r>
        <w:rPr>
          <w:rFonts w:hint="eastAsia" w:ascii="宋体" w:hAnsi="宋体" w:eastAsia="宋体" w:cs="宋体"/>
          <w:color w:val="auto"/>
        </w:rPr>
        <w:sym w:font="Wingdings" w:char="00A8"/>
      </w:r>
      <w:r>
        <w:rPr>
          <w:rFonts w:hint="eastAsia" w:ascii="宋体" w:hAnsi="宋体" w:eastAsia="宋体" w:cs="Times New Roman"/>
          <w:bCs/>
          <w:color w:val="auto"/>
        </w:rPr>
        <w:t xml:space="preserve">一次性验收         </w:t>
      </w:r>
    </w:p>
    <w:p w14:paraId="094E7511">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 xml:space="preserve">                       </w:t>
      </w:r>
      <w:r>
        <w:rPr>
          <w:rFonts w:hint="eastAsia" w:ascii="宋体" w:hAnsi="宋体" w:eastAsia="宋体" w:cs="宋体"/>
          <w:color w:val="auto"/>
        </w:rPr>
        <w:sym w:font="Wingdings" w:char="00A8"/>
      </w:r>
      <w:r>
        <w:rPr>
          <w:rFonts w:hint="eastAsia" w:ascii="宋体" w:hAnsi="宋体" w:eastAsia="宋体" w:cs="Times New Roman"/>
          <w:bCs/>
          <w:color w:val="auto"/>
        </w:rPr>
        <w:t>分期/分项验收：</w:t>
      </w:r>
      <w:r>
        <w:rPr>
          <w:rFonts w:hint="eastAsia" w:ascii="宋体" w:hAnsi="宋体" w:eastAsia="宋体" w:cs="Times New Roman"/>
          <w:bCs/>
          <w:color w:val="auto"/>
          <w:u w:val="single"/>
        </w:rPr>
        <w:t xml:space="preserve"> （应明确分期</w:t>
      </w:r>
      <w:r>
        <w:rPr>
          <w:rFonts w:ascii="宋体" w:hAnsi="宋体" w:eastAsia="宋体" w:cs="Times New Roman"/>
          <w:bCs/>
          <w:color w:val="auto"/>
          <w:u w:val="single"/>
          <w:lang w:val="en"/>
        </w:rPr>
        <w:t>/</w:t>
      </w:r>
      <w:r>
        <w:rPr>
          <w:rFonts w:hint="eastAsia" w:ascii="宋体" w:hAnsi="宋体" w:eastAsia="宋体" w:cs="Times New Roman"/>
          <w:bCs/>
          <w:color w:val="auto"/>
          <w:u w:val="single"/>
          <w:lang w:val="en"/>
        </w:rPr>
        <w:t>分项验收的工作安排</w:t>
      </w:r>
      <w:r>
        <w:rPr>
          <w:rFonts w:hint="eastAsia" w:ascii="宋体" w:hAnsi="宋体" w:eastAsia="宋体" w:cs="Times New Roman"/>
          <w:bCs/>
          <w:color w:val="auto"/>
          <w:u w:val="single"/>
        </w:rPr>
        <w:t xml:space="preserve">）  </w:t>
      </w:r>
    </w:p>
    <w:p w14:paraId="109B7653">
      <w:pPr>
        <w:adjustRightInd w:val="0"/>
        <w:snapToGrid w:val="0"/>
        <w:spacing w:line="400" w:lineRule="exact"/>
        <w:ind w:left="420" w:hanging="420" w:hangingChars="200"/>
        <w:rPr>
          <w:rFonts w:ascii="宋体" w:hAnsi="宋体" w:eastAsia="宋体" w:cs="Times New Roman"/>
          <w:bCs/>
          <w:color w:val="auto"/>
        </w:rPr>
      </w:pPr>
      <w:r>
        <w:rPr>
          <w:rFonts w:hint="eastAsia" w:ascii="宋体" w:hAnsi="宋体" w:eastAsia="宋体" w:cs="Times New Roman"/>
          <w:bCs/>
          <w:color w:val="auto"/>
        </w:rPr>
        <w:t>（4）履约验收程序：</w:t>
      </w:r>
      <w:r>
        <w:rPr>
          <w:rFonts w:hint="eastAsia" w:ascii="宋体" w:hAnsi="宋体" w:eastAsia="宋体" w:cs="Times New Roman"/>
          <w:bCs/>
          <w:color w:val="auto"/>
          <w:u w:val="single"/>
        </w:rPr>
        <w:t xml:space="preserve">                                         </w:t>
      </w:r>
    </w:p>
    <w:p w14:paraId="36A96A69">
      <w:pPr>
        <w:adjustRightInd w:val="0"/>
        <w:snapToGrid w:val="0"/>
        <w:spacing w:line="400" w:lineRule="exact"/>
        <w:ind w:left="420" w:hanging="420" w:hangingChars="200"/>
        <w:rPr>
          <w:rFonts w:ascii="宋体" w:hAnsi="宋体" w:eastAsia="宋体" w:cs="Times New Roman"/>
          <w:bCs/>
          <w:color w:val="auto"/>
          <w:u w:val="single"/>
        </w:rPr>
      </w:pPr>
      <w:r>
        <w:rPr>
          <w:rFonts w:hint="eastAsia" w:ascii="宋体" w:hAnsi="宋体" w:eastAsia="宋体" w:cs="Times New Roman"/>
          <w:bCs/>
          <w:color w:val="auto"/>
        </w:rPr>
        <w:t>（5）履约验收的内容：</w:t>
      </w:r>
      <w:r>
        <w:rPr>
          <w:rFonts w:hint="eastAsia" w:ascii="宋体" w:hAnsi="宋体" w:eastAsia="宋体" w:cs="Times New Roman"/>
          <w:bCs/>
          <w:color w:val="auto"/>
          <w:u w:val="single"/>
        </w:rPr>
        <w:t xml:space="preserve"> （应当包括每一项技术和商务要求的履约情况，特别是落实政府采购扶持中小企业，支持绿色发展和乡村振兴等政策情况）                                      </w:t>
      </w:r>
    </w:p>
    <w:p w14:paraId="1AA1754B">
      <w:pPr>
        <w:adjustRightInd w:val="0"/>
        <w:snapToGrid w:val="0"/>
        <w:spacing w:line="400" w:lineRule="exact"/>
        <w:ind w:left="420" w:hanging="420" w:hangingChars="200"/>
        <w:rPr>
          <w:rFonts w:ascii="宋体" w:hAnsi="宋体" w:eastAsia="宋体" w:cs="Times New Roman"/>
          <w:bCs/>
          <w:color w:val="auto"/>
          <w:u w:val="single"/>
        </w:rPr>
      </w:pPr>
      <w:r>
        <w:rPr>
          <w:rFonts w:hint="eastAsia" w:ascii="宋体" w:hAnsi="宋体" w:eastAsia="宋体" w:cs="Times New Roman"/>
          <w:bCs/>
          <w:color w:val="auto"/>
        </w:rPr>
        <w:t>（6）履约验收标准：</w:t>
      </w:r>
      <w:r>
        <w:rPr>
          <w:rFonts w:hint="eastAsia" w:ascii="宋体" w:hAnsi="宋体" w:eastAsia="宋体" w:cs="Times New Roman"/>
          <w:bCs/>
          <w:color w:val="auto"/>
          <w:u w:val="single"/>
        </w:rPr>
        <w:t xml:space="preserve">                                         </w:t>
      </w:r>
    </w:p>
    <w:p w14:paraId="5F2B8114">
      <w:pPr>
        <w:widowControl/>
        <w:autoSpaceDE w:val="0"/>
        <w:autoSpaceDN w:val="0"/>
        <w:adjustRightInd w:val="0"/>
        <w:spacing w:line="400" w:lineRule="exact"/>
        <w:ind w:left="420" w:hanging="420" w:hangingChars="200"/>
        <w:jc w:val="left"/>
        <w:rPr>
          <w:rFonts w:ascii="宋体" w:hAnsi="宋体" w:eastAsia="宋体" w:cs="宋体"/>
          <w:color w:val="auto"/>
          <w:kern w:val="0"/>
        </w:rPr>
      </w:pPr>
      <w:r>
        <w:rPr>
          <w:rFonts w:hint="eastAsia" w:ascii="宋体" w:hAnsi="宋体" w:eastAsia="宋体" w:cs="宋体"/>
          <w:bCs/>
          <w:color w:val="auto"/>
          <w:kern w:val="0"/>
        </w:rPr>
        <w:t>（7）是否以采购活动中供应商提供的样品作为参考：</w:t>
      </w:r>
      <w:r>
        <w:rPr>
          <w:rFonts w:hint="eastAsia" w:ascii="宋体" w:hAnsi="宋体" w:eastAsia="宋体" w:cs="宋体"/>
          <w:color w:val="auto"/>
          <w:kern w:val="0"/>
        </w:rPr>
        <w:sym w:font="Wingdings" w:char="00A8"/>
      </w:r>
      <w:r>
        <w:rPr>
          <w:rFonts w:hint="eastAsia" w:ascii="宋体" w:hAnsi="宋体" w:eastAsia="宋体" w:cs="宋体"/>
          <w:bCs/>
          <w:color w:val="auto"/>
          <w:kern w:val="0"/>
        </w:rPr>
        <w:t xml:space="preserve">是  </w:t>
      </w:r>
      <w:r>
        <w:rPr>
          <w:rFonts w:hint="eastAsia" w:ascii="宋体" w:hAnsi="宋体" w:eastAsia="宋体" w:cs="宋体"/>
          <w:color w:val="auto"/>
          <w:kern w:val="0"/>
        </w:rPr>
        <w:sym w:font="Wingdings" w:char="00A8"/>
      </w:r>
      <w:r>
        <w:rPr>
          <w:rFonts w:hint="eastAsia" w:ascii="宋体" w:hAnsi="宋体" w:eastAsia="宋体" w:cs="宋体"/>
          <w:bCs/>
          <w:color w:val="auto"/>
          <w:kern w:val="0"/>
        </w:rPr>
        <w:t>否</w:t>
      </w:r>
    </w:p>
    <w:p w14:paraId="7229B960">
      <w:pPr>
        <w:adjustRightInd w:val="0"/>
        <w:snapToGrid w:val="0"/>
        <w:spacing w:line="400" w:lineRule="exact"/>
        <w:ind w:left="420" w:hanging="420" w:hangingChars="200"/>
        <w:rPr>
          <w:rFonts w:ascii="宋体" w:hAnsi="宋体" w:eastAsia="宋体" w:cs="宋体"/>
          <w:bCs/>
          <w:color w:val="auto"/>
          <w:u w:val="single"/>
        </w:rPr>
      </w:pPr>
      <w:r>
        <w:rPr>
          <w:rFonts w:hint="eastAsia" w:ascii="宋体" w:hAnsi="宋体" w:eastAsia="宋体" w:cs="宋体"/>
          <w:bCs/>
          <w:color w:val="auto"/>
        </w:rPr>
        <w:t>（8）履约验收其他事项：</w:t>
      </w:r>
      <w:r>
        <w:rPr>
          <w:rFonts w:hint="eastAsia" w:ascii="宋体" w:hAnsi="宋体" w:eastAsia="宋体" w:cs="宋体"/>
          <w:bCs/>
          <w:color w:val="auto"/>
          <w:u w:val="single"/>
        </w:rPr>
        <w:t xml:space="preserve">      （产权过户登记等）          </w:t>
      </w:r>
    </w:p>
    <w:p w14:paraId="4590767D">
      <w:pPr>
        <w:numPr>
          <w:ilvl w:val="0"/>
          <w:numId w:val="1"/>
        </w:numPr>
        <w:adjustRightInd w:val="0"/>
        <w:snapToGrid w:val="0"/>
        <w:spacing w:line="400" w:lineRule="exact"/>
        <w:ind w:left="422" w:hanging="422" w:hangingChars="200"/>
        <w:rPr>
          <w:rFonts w:ascii="宋体" w:hAnsi="宋体" w:eastAsia="宋体" w:cs="Times New Roman"/>
          <w:b/>
          <w:color w:val="auto"/>
        </w:rPr>
      </w:pPr>
      <w:r>
        <w:rPr>
          <w:rFonts w:hint="eastAsia" w:ascii="宋体" w:hAnsi="宋体" w:eastAsia="宋体" w:cs="Times New Roman"/>
          <w:b/>
          <w:color w:val="auto"/>
        </w:rPr>
        <w:t>组成合同的文件</w:t>
      </w:r>
    </w:p>
    <w:p w14:paraId="45012599">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本协议书与下列文件一起构成合同文件，如下述文件之间有任何抵触、矛盾或歧义，应按以下顺序解释：</w:t>
      </w:r>
    </w:p>
    <w:p w14:paraId="641BD1E2">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（1）政府采购合同协议书及其变更、补充协议</w:t>
      </w:r>
    </w:p>
    <w:p w14:paraId="350C7BBE">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（2）政府采购合同专用条款</w:t>
      </w:r>
    </w:p>
    <w:p w14:paraId="7B09E356">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（3）政府采购合同通用条款</w:t>
      </w:r>
    </w:p>
    <w:p w14:paraId="4F9DE6EF">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（4）中标（成交）通知书</w:t>
      </w:r>
    </w:p>
    <w:p w14:paraId="2760C0D5">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（5）投标（响应）文件</w:t>
      </w:r>
    </w:p>
    <w:p w14:paraId="179BF37D">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（6）采购文件</w:t>
      </w:r>
    </w:p>
    <w:p w14:paraId="5BBCFA6B">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（7）有关技术文件，图纸</w:t>
      </w:r>
    </w:p>
    <w:p w14:paraId="6AF64C14">
      <w:pPr>
        <w:widowControl/>
        <w:autoSpaceDE w:val="0"/>
        <w:autoSpaceDN w:val="0"/>
        <w:adjustRightInd w:val="0"/>
        <w:spacing w:line="400" w:lineRule="exact"/>
        <w:ind w:left="420" w:hanging="420" w:hangingChars="200"/>
        <w:jc w:val="left"/>
        <w:rPr>
          <w:rFonts w:ascii="宋体" w:hAnsi="宋体" w:eastAsia="宋体" w:cs="宋体"/>
          <w:color w:val="auto"/>
        </w:rPr>
      </w:pPr>
      <w:r>
        <w:rPr>
          <w:rFonts w:hint="eastAsia" w:ascii="宋体" w:hAnsi="宋体" w:eastAsia="宋体" w:cs="宋体"/>
          <w:color w:val="auto"/>
          <w:kern w:val="0"/>
        </w:rPr>
        <w:t>（8）</w:t>
      </w:r>
      <w:r>
        <w:rPr>
          <w:rFonts w:hint="eastAsia" w:ascii="宋体" w:hAnsi="宋体" w:eastAsia="宋体" w:cs="宋体"/>
          <w:color w:val="auto"/>
        </w:rPr>
        <w:t>国家法律、行政法规和规章制度规定或合同约定的作为合同组成部分的其他文件</w:t>
      </w:r>
    </w:p>
    <w:p w14:paraId="3F9C75C2">
      <w:pPr>
        <w:numPr>
          <w:ilvl w:val="0"/>
          <w:numId w:val="1"/>
        </w:numPr>
        <w:adjustRightInd w:val="0"/>
        <w:snapToGrid w:val="0"/>
        <w:spacing w:line="400" w:lineRule="exact"/>
        <w:ind w:left="422" w:hanging="422" w:hangingChars="200"/>
        <w:rPr>
          <w:rFonts w:ascii="宋体" w:hAnsi="宋体" w:eastAsia="宋体" w:cs="Times New Roman"/>
          <w:b/>
          <w:color w:val="auto"/>
        </w:rPr>
      </w:pPr>
      <w:r>
        <w:rPr>
          <w:rFonts w:hint="eastAsia" w:ascii="宋体" w:hAnsi="宋体" w:eastAsia="宋体" w:cs="Times New Roman"/>
          <w:b/>
          <w:color w:val="auto"/>
        </w:rPr>
        <w:t>合同生效</w:t>
      </w:r>
    </w:p>
    <w:p w14:paraId="24BE2A7A">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本合同自</w:t>
      </w:r>
      <w:r>
        <w:rPr>
          <w:rFonts w:hint="eastAsia" w:ascii="宋体" w:hAnsi="宋体" w:eastAsia="宋体" w:cs="Times New Roman"/>
          <w:color w:val="auto"/>
          <w:u w:val="single"/>
        </w:rPr>
        <w:t xml:space="preserve">                             </w:t>
      </w:r>
      <w:r>
        <w:rPr>
          <w:rFonts w:hint="eastAsia" w:ascii="宋体" w:hAnsi="宋体" w:eastAsia="宋体" w:cs="Times New Roman"/>
          <w:color w:val="auto"/>
        </w:rPr>
        <w:t>生效。</w:t>
      </w:r>
    </w:p>
    <w:p w14:paraId="7A76EFB2">
      <w:pPr>
        <w:numPr>
          <w:ilvl w:val="0"/>
          <w:numId w:val="1"/>
        </w:numPr>
        <w:adjustRightInd w:val="0"/>
        <w:snapToGrid w:val="0"/>
        <w:spacing w:line="400" w:lineRule="exact"/>
        <w:ind w:left="422" w:hanging="422" w:hangingChars="200"/>
        <w:rPr>
          <w:rFonts w:ascii="宋体" w:hAnsi="宋体" w:eastAsia="宋体" w:cs="Times New Roman"/>
          <w:b/>
          <w:color w:val="auto"/>
        </w:rPr>
      </w:pPr>
      <w:r>
        <w:rPr>
          <w:rFonts w:hint="eastAsia" w:ascii="宋体" w:hAnsi="宋体" w:eastAsia="宋体" w:cs="Times New Roman"/>
          <w:b/>
          <w:color w:val="auto"/>
        </w:rPr>
        <w:t>合同份数</w:t>
      </w:r>
    </w:p>
    <w:p w14:paraId="1C4B0C59">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本合同一式</w:t>
      </w:r>
      <w:r>
        <w:rPr>
          <w:rFonts w:hint="eastAsia" w:ascii="宋体" w:hAnsi="宋体" w:eastAsia="宋体" w:cs="Times New Roman"/>
          <w:color w:val="auto"/>
          <w:u w:val="single"/>
        </w:rPr>
        <w:t xml:space="preserve">    </w:t>
      </w:r>
      <w:r>
        <w:rPr>
          <w:rFonts w:hint="eastAsia" w:ascii="宋体" w:hAnsi="宋体" w:eastAsia="宋体" w:cs="Times New Roman"/>
          <w:color w:val="auto"/>
        </w:rPr>
        <w:t>份，甲方执</w:t>
      </w:r>
      <w:r>
        <w:rPr>
          <w:rFonts w:hint="eastAsia" w:ascii="宋体" w:hAnsi="宋体" w:eastAsia="宋体" w:cs="Times New Roman"/>
          <w:color w:val="auto"/>
          <w:u w:val="single"/>
        </w:rPr>
        <w:t xml:space="preserve">    </w:t>
      </w:r>
      <w:r>
        <w:rPr>
          <w:rFonts w:hint="eastAsia" w:ascii="宋体" w:hAnsi="宋体" w:eastAsia="宋体" w:cs="Times New Roman"/>
          <w:color w:val="auto"/>
        </w:rPr>
        <w:t>份，乙方执</w:t>
      </w:r>
      <w:r>
        <w:rPr>
          <w:rFonts w:hint="eastAsia" w:ascii="宋体" w:hAnsi="宋体" w:eastAsia="宋体" w:cs="Times New Roman"/>
          <w:color w:val="auto"/>
          <w:u w:val="single"/>
        </w:rPr>
        <w:t xml:space="preserve">    </w:t>
      </w:r>
      <w:r>
        <w:rPr>
          <w:rFonts w:hint="eastAsia" w:ascii="宋体" w:hAnsi="宋体" w:eastAsia="宋体" w:cs="Times New Roman"/>
          <w:color w:val="auto"/>
        </w:rPr>
        <w:t>份，均具有同等法律效力。</w:t>
      </w:r>
    </w:p>
    <w:p w14:paraId="2F9F6BFF">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合同订立时间：</w:t>
      </w:r>
      <w:r>
        <w:rPr>
          <w:rFonts w:hint="eastAsia" w:ascii="宋体" w:hAnsi="宋体" w:eastAsia="宋体" w:cs="Times New Roman"/>
          <w:color w:val="auto"/>
          <w:u w:val="single"/>
        </w:rPr>
        <w:t xml:space="preserve">         </w:t>
      </w:r>
      <w:r>
        <w:rPr>
          <w:rFonts w:hint="eastAsia" w:ascii="宋体" w:hAnsi="宋体" w:eastAsia="宋体" w:cs="Times New Roman"/>
          <w:color w:val="auto"/>
        </w:rPr>
        <w:t>年</w:t>
      </w:r>
      <w:r>
        <w:rPr>
          <w:rFonts w:hint="eastAsia" w:ascii="宋体" w:hAnsi="宋体" w:eastAsia="宋体" w:cs="Times New Roman"/>
          <w:color w:val="auto"/>
          <w:u w:val="single"/>
        </w:rPr>
        <w:t xml:space="preserve">      </w:t>
      </w:r>
      <w:r>
        <w:rPr>
          <w:rFonts w:hint="eastAsia" w:ascii="宋体" w:hAnsi="宋体" w:eastAsia="宋体" w:cs="Times New Roman"/>
          <w:color w:val="auto"/>
        </w:rPr>
        <w:t>月</w:t>
      </w:r>
      <w:r>
        <w:rPr>
          <w:rFonts w:hint="eastAsia" w:ascii="宋体" w:hAnsi="宋体" w:eastAsia="宋体" w:cs="Times New Roman"/>
          <w:color w:val="auto"/>
          <w:u w:val="single"/>
        </w:rPr>
        <w:t xml:space="preserve">      </w:t>
      </w:r>
      <w:r>
        <w:rPr>
          <w:rFonts w:hint="eastAsia" w:ascii="宋体" w:hAnsi="宋体" w:eastAsia="宋体" w:cs="Times New Roman"/>
          <w:color w:val="auto"/>
        </w:rPr>
        <w:t>日</w:t>
      </w:r>
    </w:p>
    <w:p w14:paraId="53E774AD">
      <w:pPr>
        <w:adjustRightInd w:val="0"/>
        <w:snapToGrid w:val="0"/>
        <w:spacing w:line="400" w:lineRule="exact"/>
        <w:ind w:left="420" w:hanging="420" w:hangingChars="200"/>
        <w:rPr>
          <w:rFonts w:ascii="宋体" w:hAnsi="宋体" w:eastAsia="宋体" w:cs="Times New Roman"/>
          <w:color w:val="auto"/>
        </w:rPr>
      </w:pPr>
      <w:r>
        <w:rPr>
          <w:rFonts w:hint="eastAsia" w:ascii="宋体" w:hAnsi="宋体" w:eastAsia="宋体" w:cs="Times New Roman"/>
          <w:color w:val="auto"/>
        </w:rPr>
        <w:t>合同订立地点：</w:t>
      </w:r>
      <w:r>
        <w:rPr>
          <w:rFonts w:hint="eastAsia" w:ascii="宋体" w:hAnsi="宋体" w:eastAsia="宋体" w:cs="Times New Roman"/>
          <w:color w:val="auto"/>
          <w:u w:val="single"/>
        </w:rPr>
        <w:t xml:space="preserve">                           </w:t>
      </w:r>
    </w:p>
    <w:p w14:paraId="4B0BA2D6">
      <w:pPr>
        <w:adjustRightInd w:val="0"/>
        <w:snapToGrid w:val="0"/>
        <w:spacing w:line="400" w:lineRule="exact"/>
        <w:ind w:left="420" w:hanging="420" w:hangingChars="200"/>
        <w:rPr>
          <w:rFonts w:ascii="Times New Roman" w:hAnsi="Times New Roman" w:eastAsia="宋体" w:cs="Times New Roman"/>
          <w:color w:val="auto"/>
          <w:szCs w:val="24"/>
        </w:rPr>
      </w:pPr>
      <w:r>
        <w:rPr>
          <w:rFonts w:hint="eastAsia" w:ascii="宋体" w:hAnsi="宋体" w:eastAsia="宋体" w:cs="Times New Roman"/>
          <w:color w:val="auto"/>
        </w:rPr>
        <w:t>附件：具体标的及其技术要求和商务要求、联合协议、分包意向协议等。</w:t>
      </w:r>
    </w:p>
    <w:p w14:paraId="264A2BC0">
      <w:pPr>
        <w:ind w:firstLine="420" w:firstLineChars="200"/>
        <w:rPr>
          <w:rFonts w:ascii="Times New Roman" w:hAnsi="Times New Roman" w:eastAsia="宋体" w:cs="Times New Roman"/>
          <w:color w:val="auto"/>
          <w:szCs w:val="24"/>
        </w:rPr>
      </w:pPr>
      <w:r>
        <w:rPr>
          <w:rFonts w:hint="eastAsia" w:ascii="Times New Roman" w:hAnsi="Times New Roman" w:eastAsia="宋体" w:cs="Times New Roman"/>
          <w:color w:val="auto"/>
          <w:szCs w:val="24"/>
        </w:rPr>
        <w:br w:type="page"/>
      </w:r>
    </w:p>
    <w:p w14:paraId="0AB6605A">
      <w:pPr>
        <w:ind w:firstLine="420" w:firstLineChars="200"/>
        <w:rPr>
          <w:rFonts w:ascii="Times New Roman" w:hAnsi="Times New Roman" w:eastAsia="宋体" w:cs="Times New Roman"/>
          <w:color w:val="auto"/>
        </w:rPr>
      </w:pPr>
    </w:p>
    <w:tbl>
      <w:tblPr>
        <w:tblStyle w:val="3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86"/>
        <w:gridCol w:w="2789"/>
        <w:gridCol w:w="2288"/>
        <w:gridCol w:w="2447"/>
      </w:tblGrid>
      <w:tr w14:paraId="41956A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vAlign w:val="center"/>
          </w:tcPr>
          <w:p w14:paraId="15936817">
            <w:pPr>
              <w:adjustRightInd w:val="0"/>
              <w:snapToGrid w:val="0"/>
              <w:spacing w:line="300" w:lineRule="exact"/>
              <w:jc w:val="center"/>
              <w:rPr>
                <w:rFonts w:ascii="Times New Roman" w:hAnsi="Times New Roman" w:eastAsia="宋体" w:cs="Times New Roman"/>
                <w:color w:val="auto"/>
                <w:szCs w:val="24"/>
              </w:rPr>
            </w:pPr>
            <w:r>
              <w:rPr>
                <w:rFonts w:ascii="Times New Roman" w:hAnsi="Times New Roman" w:eastAsia="宋体" w:cs="Times New Roman"/>
                <w:color w:val="auto"/>
              </w:rPr>
              <w:t>甲方</w:t>
            </w:r>
            <w:r>
              <w:rPr>
                <w:rFonts w:hint="eastAsia" w:ascii="Times New Roman" w:hAnsi="Times New Roman" w:eastAsia="宋体" w:cs="Times New Roman"/>
                <w:color w:val="auto"/>
              </w:rPr>
              <w:t>（采购人</w:t>
            </w:r>
            <w:r>
              <w:rPr>
                <w:rFonts w:hint="eastAsia" w:ascii="宋体" w:hAnsi="宋体" w:eastAsia="宋体" w:cs="Times New Roman"/>
                <w:color w:val="auto"/>
              </w:rPr>
              <w:t>、受采购人委托签订合同的单位或</w:t>
            </w:r>
            <w:r>
              <w:rPr>
                <w:rFonts w:hint="eastAsia" w:ascii="Times New Roman" w:hAnsi="Times New Roman" w:eastAsia="宋体" w:cs="Times New Roman"/>
                <w:color w:val="auto"/>
              </w:rPr>
              <w:t>采购文件约定的合同甲方）</w:t>
            </w:r>
          </w:p>
        </w:tc>
        <w:tc>
          <w:tcPr>
            <w:tcW w:w="2437" w:type="pct"/>
            <w:gridSpan w:val="2"/>
            <w:tcBorders>
              <w:left w:val="single" w:color="auto" w:sz="2" w:space="0"/>
              <w:bottom w:val="single" w:color="auto" w:sz="2" w:space="0"/>
            </w:tcBorders>
            <w:vAlign w:val="center"/>
          </w:tcPr>
          <w:p w14:paraId="727C56B4">
            <w:pPr>
              <w:adjustRightInd w:val="0"/>
              <w:snapToGrid w:val="0"/>
              <w:spacing w:line="300" w:lineRule="exact"/>
              <w:jc w:val="center"/>
              <w:rPr>
                <w:rFonts w:ascii="Times New Roman" w:hAnsi="Times New Roman" w:eastAsia="宋体" w:cs="Times New Roman"/>
                <w:color w:val="auto"/>
                <w:szCs w:val="24"/>
              </w:rPr>
            </w:pPr>
            <w:r>
              <w:rPr>
                <w:rFonts w:ascii="Times New Roman" w:hAnsi="Times New Roman" w:eastAsia="宋体" w:cs="Times New Roman"/>
                <w:color w:val="auto"/>
              </w:rPr>
              <w:t>乙方</w:t>
            </w:r>
            <w:r>
              <w:rPr>
                <w:rFonts w:hint="eastAsia" w:ascii="Times New Roman" w:hAnsi="Times New Roman" w:eastAsia="宋体" w:cs="Times New Roman"/>
                <w:color w:val="auto"/>
              </w:rPr>
              <w:t>（供应商）</w:t>
            </w:r>
          </w:p>
        </w:tc>
      </w:tr>
      <w:tr w14:paraId="58DC91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vAlign w:val="center"/>
          </w:tcPr>
          <w:p w14:paraId="217E589C">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单位名称</w:t>
            </w:r>
            <w:r>
              <w:rPr>
                <w:rFonts w:hint="eastAsia" w:ascii="Times New Roman" w:hAnsi="Times New Roman" w:eastAsia="宋体" w:cs="Times New Roman"/>
                <w:color w:val="auto"/>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0BF7FE60">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20486404">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单位名称</w:t>
            </w:r>
            <w:r>
              <w:rPr>
                <w:rFonts w:hint="eastAsia" w:ascii="Times New Roman" w:hAnsi="Times New Roman" w:eastAsia="宋体" w:cs="Times New Roman"/>
                <w:color w:val="auto"/>
              </w:rPr>
              <w:t>（公章或合同章）</w:t>
            </w:r>
          </w:p>
        </w:tc>
        <w:tc>
          <w:tcPr>
            <w:tcW w:w="1259" w:type="pct"/>
            <w:tcBorders>
              <w:top w:val="single" w:color="auto" w:sz="2" w:space="0"/>
              <w:left w:val="single" w:color="auto" w:sz="2" w:space="0"/>
              <w:bottom w:val="single" w:color="auto" w:sz="2" w:space="0"/>
            </w:tcBorders>
            <w:vAlign w:val="center"/>
          </w:tcPr>
          <w:p w14:paraId="5046B9AF">
            <w:pPr>
              <w:adjustRightInd w:val="0"/>
              <w:snapToGrid w:val="0"/>
              <w:spacing w:line="300" w:lineRule="exact"/>
              <w:jc w:val="center"/>
              <w:rPr>
                <w:rFonts w:ascii="Times New Roman" w:hAnsi="Times New Roman" w:eastAsia="宋体" w:cs="Times New Roman"/>
                <w:color w:val="auto"/>
                <w:spacing w:val="20"/>
              </w:rPr>
            </w:pPr>
          </w:p>
        </w:tc>
      </w:tr>
      <w:tr w14:paraId="69B932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vAlign w:val="center"/>
          </w:tcPr>
          <w:p w14:paraId="2B31DED9">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法定代表人</w:t>
            </w:r>
          </w:p>
          <w:p w14:paraId="6F33A14B">
            <w:pPr>
              <w:adjustRightInd w:val="0"/>
              <w:snapToGrid w:val="0"/>
              <w:spacing w:line="300" w:lineRule="exact"/>
              <w:ind w:firstLine="100" w:firstLineChars="48"/>
              <w:jc w:val="center"/>
              <w:rPr>
                <w:rFonts w:ascii="Times New Roman" w:hAnsi="Times New Roman" w:eastAsia="宋体" w:cs="Times New Roman"/>
                <w:color w:val="auto"/>
              </w:rPr>
            </w:pPr>
            <w:r>
              <w:rPr>
                <w:rFonts w:hint="eastAsia" w:ascii="Times New Roman" w:hAnsi="Times New Roman" w:eastAsia="宋体" w:cs="Times New Roman"/>
                <w:color w:val="auto"/>
              </w:rPr>
              <w:t>或其</w:t>
            </w:r>
            <w:r>
              <w:rPr>
                <w:rFonts w:ascii="Times New Roman" w:hAnsi="Times New Roman" w:eastAsia="宋体" w:cs="Times New Roman"/>
                <w:color w:val="auto"/>
              </w:rPr>
              <w:t>委托代理人</w:t>
            </w:r>
            <w:r>
              <w:rPr>
                <w:rFonts w:hint="eastAsia" w:ascii="Times New Roman" w:hAnsi="Times New Roman" w:eastAsia="宋体" w:cs="Times New Roman"/>
                <w:color w:val="auto"/>
              </w:rPr>
              <w:t>（签章）</w:t>
            </w:r>
          </w:p>
        </w:tc>
        <w:tc>
          <w:tcPr>
            <w:tcW w:w="1436" w:type="pct"/>
            <w:vMerge w:val="restart"/>
            <w:tcBorders>
              <w:top w:val="single" w:color="auto" w:sz="2" w:space="0"/>
              <w:left w:val="single" w:color="auto" w:sz="2" w:space="0"/>
              <w:right w:val="single" w:color="auto" w:sz="2" w:space="0"/>
            </w:tcBorders>
            <w:vAlign w:val="center"/>
          </w:tcPr>
          <w:p w14:paraId="1521FB38">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right w:val="single" w:color="auto" w:sz="2" w:space="0"/>
            </w:tcBorders>
            <w:vAlign w:val="center"/>
          </w:tcPr>
          <w:p w14:paraId="086B6CED">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法定代表人</w:t>
            </w:r>
          </w:p>
          <w:p w14:paraId="28F1FF49">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或其</w:t>
            </w:r>
            <w:r>
              <w:rPr>
                <w:rFonts w:ascii="Times New Roman" w:hAnsi="Times New Roman" w:eastAsia="宋体" w:cs="Times New Roman"/>
                <w:color w:val="auto"/>
              </w:rPr>
              <w:t>委托代理人</w:t>
            </w:r>
            <w:r>
              <w:rPr>
                <w:rFonts w:hint="eastAsia" w:ascii="Times New Roman" w:hAnsi="Times New Roman" w:eastAsia="宋体" w:cs="Times New Roman"/>
                <w:color w:val="auto"/>
              </w:rPr>
              <w:t>（签章）</w:t>
            </w:r>
          </w:p>
        </w:tc>
        <w:tc>
          <w:tcPr>
            <w:tcW w:w="1259" w:type="pct"/>
            <w:tcBorders>
              <w:top w:val="single" w:color="auto" w:sz="2" w:space="0"/>
              <w:left w:val="single" w:color="auto" w:sz="2" w:space="0"/>
              <w:bottom w:val="single" w:color="auto" w:sz="2" w:space="0"/>
            </w:tcBorders>
            <w:vAlign w:val="center"/>
          </w:tcPr>
          <w:p w14:paraId="16292EAC">
            <w:pPr>
              <w:adjustRightInd w:val="0"/>
              <w:snapToGrid w:val="0"/>
              <w:spacing w:line="300" w:lineRule="exact"/>
              <w:jc w:val="center"/>
              <w:rPr>
                <w:rFonts w:ascii="Times New Roman" w:hAnsi="Times New Roman" w:eastAsia="宋体" w:cs="Times New Roman"/>
                <w:color w:val="auto"/>
              </w:rPr>
            </w:pPr>
          </w:p>
        </w:tc>
      </w:tr>
      <w:tr w14:paraId="08DAF0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vAlign w:val="center"/>
          </w:tcPr>
          <w:p w14:paraId="1F2D0775">
            <w:pPr>
              <w:adjustRightInd w:val="0"/>
              <w:snapToGrid w:val="0"/>
              <w:spacing w:line="300" w:lineRule="exact"/>
              <w:jc w:val="center"/>
              <w:rPr>
                <w:rFonts w:ascii="Times New Roman" w:hAnsi="Times New Roman" w:eastAsia="宋体" w:cs="Times New Roman"/>
                <w:color w:val="auto"/>
              </w:rPr>
            </w:pPr>
          </w:p>
        </w:tc>
        <w:tc>
          <w:tcPr>
            <w:tcW w:w="1436" w:type="pct"/>
            <w:vMerge w:val="continue"/>
            <w:tcBorders>
              <w:left w:val="single" w:color="auto" w:sz="2" w:space="0"/>
              <w:bottom w:val="single" w:color="auto" w:sz="2" w:space="0"/>
              <w:right w:val="single" w:color="auto" w:sz="2" w:space="0"/>
            </w:tcBorders>
            <w:vAlign w:val="center"/>
          </w:tcPr>
          <w:p w14:paraId="4016B925">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072B66A1">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拥有者性别</w:t>
            </w:r>
          </w:p>
        </w:tc>
        <w:tc>
          <w:tcPr>
            <w:tcW w:w="1259" w:type="pct"/>
            <w:tcBorders>
              <w:top w:val="single" w:color="auto" w:sz="2" w:space="0"/>
              <w:left w:val="single" w:color="auto" w:sz="2" w:space="0"/>
              <w:bottom w:val="single" w:color="auto" w:sz="2" w:space="0"/>
            </w:tcBorders>
            <w:vAlign w:val="center"/>
          </w:tcPr>
          <w:p w14:paraId="675BE6CD">
            <w:pPr>
              <w:adjustRightInd w:val="0"/>
              <w:snapToGrid w:val="0"/>
              <w:spacing w:line="300" w:lineRule="exact"/>
              <w:jc w:val="center"/>
              <w:rPr>
                <w:rFonts w:ascii="Times New Roman" w:hAnsi="Times New Roman" w:eastAsia="宋体" w:cs="Times New Roman"/>
                <w:color w:val="auto"/>
                <w:spacing w:val="20"/>
              </w:rPr>
            </w:pPr>
          </w:p>
        </w:tc>
      </w:tr>
      <w:tr w14:paraId="3B652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9F609C5">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62A27AB3">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70DE76C4">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住  所</w:t>
            </w:r>
          </w:p>
        </w:tc>
        <w:tc>
          <w:tcPr>
            <w:tcW w:w="1259" w:type="pct"/>
            <w:tcBorders>
              <w:top w:val="single" w:color="auto" w:sz="2" w:space="0"/>
              <w:left w:val="single" w:color="auto" w:sz="2" w:space="0"/>
              <w:bottom w:val="single" w:color="auto" w:sz="2" w:space="0"/>
            </w:tcBorders>
            <w:vAlign w:val="center"/>
          </w:tcPr>
          <w:p w14:paraId="213748BF">
            <w:pPr>
              <w:adjustRightInd w:val="0"/>
              <w:snapToGrid w:val="0"/>
              <w:spacing w:line="300" w:lineRule="exact"/>
              <w:jc w:val="center"/>
              <w:rPr>
                <w:rFonts w:ascii="Times New Roman" w:hAnsi="Times New Roman" w:eastAsia="宋体" w:cs="Times New Roman"/>
                <w:color w:val="auto"/>
                <w:spacing w:val="20"/>
              </w:rPr>
            </w:pPr>
          </w:p>
        </w:tc>
      </w:tr>
      <w:tr w14:paraId="5567E8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EC08F6D">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EEB374C">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712E0939">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联 系 人</w:t>
            </w:r>
          </w:p>
        </w:tc>
        <w:tc>
          <w:tcPr>
            <w:tcW w:w="1259" w:type="pct"/>
            <w:tcBorders>
              <w:top w:val="single" w:color="auto" w:sz="2" w:space="0"/>
              <w:left w:val="single" w:color="auto" w:sz="2" w:space="0"/>
              <w:bottom w:val="single" w:color="auto" w:sz="2" w:space="0"/>
            </w:tcBorders>
            <w:vAlign w:val="center"/>
          </w:tcPr>
          <w:p w14:paraId="25E29572">
            <w:pPr>
              <w:adjustRightInd w:val="0"/>
              <w:snapToGrid w:val="0"/>
              <w:spacing w:line="300" w:lineRule="exact"/>
              <w:jc w:val="center"/>
              <w:rPr>
                <w:rFonts w:ascii="Times New Roman" w:hAnsi="Times New Roman" w:eastAsia="宋体" w:cs="Times New Roman"/>
                <w:color w:val="auto"/>
                <w:spacing w:val="20"/>
              </w:rPr>
            </w:pPr>
          </w:p>
        </w:tc>
      </w:tr>
      <w:tr w14:paraId="2A1F1A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4FAD5441">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07650918">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54CFAD87">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联系电话</w:t>
            </w:r>
          </w:p>
        </w:tc>
        <w:tc>
          <w:tcPr>
            <w:tcW w:w="1259" w:type="pct"/>
            <w:tcBorders>
              <w:top w:val="single" w:color="auto" w:sz="2" w:space="0"/>
              <w:left w:val="single" w:color="auto" w:sz="2" w:space="0"/>
              <w:bottom w:val="single" w:color="auto" w:sz="2" w:space="0"/>
            </w:tcBorders>
            <w:vAlign w:val="center"/>
          </w:tcPr>
          <w:p w14:paraId="7FDBC359">
            <w:pPr>
              <w:adjustRightInd w:val="0"/>
              <w:snapToGrid w:val="0"/>
              <w:spacing w:line="300" w:lineRule="exact"/>
              <w:jc w:val="center"/>
              <w:rPr>
                <w:rFonts w:ascii="Times New Roman" w:hAnsi="Times New Roman" w:eastAsia="宋体" w:cs="Times New Roman"/>
                <w:color w:val="auto"/>
                <w:spacing w:val="20"/>
              </w:rPr>
            </w:pPr>
          </w:p>
        </w:tc>
      </w:tr>
      <w:tr w14:paraId="123D18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A4AD9C5">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F84F799">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07691BE0">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通信地址</w:t>
            </w:r>
          </w:p>
        </w:tc>
        <w:tc>
          <w:tcPr>
            <w:tcW w:w="1259" w:type="pct"/>
            <w:tcBorders>
              <w:top w:val="single" w:color="auto" w:sz="2" w:space="0"/>
              <w:left w:val="single" w:color="auto" w:sz="2" w:space="0"/>
              <w:bottom w:val="single" w:color="auto" w:sz="2" w:space="0"/>
            </w:tcBorders>
            <w:vAlign w:val="center"/>
          </w:tcPr>
          <w:p w14:paraId="5E7FC195">
            <w:pPr>
              <w:adjustRightInd w:val="0"/>
              <w:snapToGrid w:val="0"/>
              <w:spacing w:line="300" w:lineRule="exact"/>
              <w:jc w:val="center"/>
              <w:rPr>
                <w:rFonts w:ascii="Times New Roman" w:hAnsi="Times New Roman" w:eastAsia="宋体" w:cs="Times New Roman"/>
                <w:color w:val="auto"/>
                <w:spacing w:val="20"/>
              </w:rPr>
            </w:pPr>
          </w:p>
        </w:tc>
      </w:tr>
      <w:tr w14:paraId="6F2A26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0E117A63">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D6F7386">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2FBDAFA5">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邮政编码</w:t>
            </w:r>
          </w:p>
        </w:tc>
        <w:tc>
          <w:tcPr>
            <w:tcW w:w="1259" w:type="pct"/>
            <w:tcBorders>
              <w:top w:val="single" w:color="auto" w:sz="2" w:space="0"/>
              <w:left w:val="single" w:color="auto" w:sz="2" w:space="0"/>
              <w:bottom w:val="single" w:color="auto" w:sz="2" w:space="0"/>
            </w:tcBorders>
            <w:vAlign w:val="center"/>
          </w:tcPr>
          <w:p w14:paraId="351F9A59">
            <w:pPr>
              <w:adjustRightInd w:val="0"/>
              <w:snapToGrid w:val="0"/>
              <w:spacing w:line="300" w:lineRule="exact"/>
              <w:jc w:val="center"/>
              <w:rPr>
                <w:rFonts w:ascii="Times New Roman" w:hAnsi="Times New Roman" w:eastAsia="宋体" w:cs="Times New Roman"/>
                <w:color w:val="auto"/>
                <w:spacing w:val="20"/>
              </w:rPr>
            </w:pPr>
          </w:p>
        </w:tc>
      </w:tr>
      <w:tr w14:paraId="2C1CB1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6106271">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E0D0792">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69907CCE">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电子邮箱</w:t>
            </w:r>
          </w:p>
        </w:tc>
        <w:tc>
          <w:tcPr>
            <w:tcW w:w="1259" w:type="pct"/>
            <w:tcBorders>
              <w:top w:val="single" w:color="auto" w:sz="2" w:space="0"/>
              <w:left w:val="single" w:color="auto" w:sz="2" w:space="0"/>
              <w:bottom w:val="single" w:color="auto" w:sz="2" w:space="0"/>
            </w:tcBorders>
            <w:vAlign w:val="center"/>
          </w:tcPr>
          <w:p w14:paraId="7FA64E53">
            <w:pPr>
              <w:adjustRightInd w:val="0"/>
              <w:snapToGrid w:val="0"/>
              <w:spacing w:line="300" w:lineRule="exact"/>
              <w:jc w:val="center"/>
              <w:rPr>
                <w:rFonts w:ascii="Times New Roman" w:hAnsi="Times New Roman" w:eastAsia="宋体" w:cs="Times New Roman"/>
                <w:color w:val="auto"/>
                <w:spacing w:val="20"/>
              </w:rPr>
            </w:pPr>
          </w:p>
        </w:tc>
      </w:tr>
      <w:tr w14:paraId="2D0606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4333E23">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7A1CAC81">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0354B51B">
            <w:pPr>
              <w:adjustRightInd w:val="0"/>
              <w:snapToGrid w:val="0"/>
              <w:spacing w:line="300" w:lineRule="exact"/>
              <w:jc w:val="center"/>
              <w:rPr>
                <w:rFonts w:ascii="Times New Roman" w:hAnsi="Times New Roman" w:eastAsia="宋体" w:cs="Times New Roman"/>
                <w:color w:val="auto"/>
              </w:rPr>
            </w:pPr>
            <w:r>
              <w:rPr>
                <w:rFonts w:hint="eastAsia" w:ascii="Times New Roman" w:hAnsi="Times New Roman" w:eastAsia="宋体" w:cs="Times New Roman"/>
                <w:color w:val="auto"/>
              </w:rPr>
              <w:t>统一社会信用代码</w:t>
            </w:r>
          </w:p>
        </w:tc>
        <w:tc>
          <w:tcPr>
            <w:tcW w:w="1259" w:type="pct"/>
            <w:tcBorders>
              <w:top w:val="single" w:color="auto" w:sz="2" w:space="0"/>
              <w:left w:val="single" w:color="auto" w:sz="2" w:space="0"/>
              <w:bottom w:val="single" w:color="auto" w:sz="2" w:space="0"/>
            </w:tcBorders>
            <w:vAlign w:val="center"/>
          </w:tcPr>
          <w:p w14:paraId="2F91087A">
            <w:pPr>
              <w:adjustRightInd w:val="0"/>
              <w:snapToGrid w:val="0"/>
              <w:spacing w:line="300" w:lineRule="exact"/>
              <w:jc w:val="center"/>
              <w:rPr>
                <w:rFonts w:ascii="Times New Roman" w:hAnsi="Times New Roman" w:eastAsia="宋体" w:cs="Times New Roman"/>
                <w:color w:val="auto"/>
                <w:spacing w:val="20"/>
              </w:rPr>
            </w:pPr>
          </w:p>
        </w:tc>
      </w:tr>
      <w:tr w14:paraId="01DFB6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F68FAA3">
            <w:pPr>
              <w:adjustRightInd w:val="0"/>
              <w:snapToGrid w:val="0"/>
              <w:spacing w:line="300" w:lineRule="exact"/>
              <w:jc w:val="center"/>
              <w:rPr>
                <w:rFonts w:ascii="Times New Roman" w:hAnsi="Times New Roman" w:eastAsia="宋体" w:cs="Times New Roman"/>
                <w:color w:val="auto"/>
              </w:rPr>
            </w:pPr>
          </w:p>
        </w:tc>
        <w:tc>
          <w:tcPr>
            <w:tcW w:w="1436" w:type="pct"/>
            <w:tcBorders>
              <w:top w:val="single" w:color="auto" w:sz="2" w:space="0"/>
              <w:left w:val="single" w:color="auto" w:sz="2" w:space="0"/>
              <w:bottom w:val="single" w:color="auto" w:sz="2" w:space="0"/>
              <w:right w:val="single" w:color="auto" w:sz="2" w:space="0"/>
            </w:tcBorders>
            <w:vAlign w:val="center"/>
          </w:tcPr>
          <w:p w14:paraId="4978623C">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1F77AD9D">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开户名称</w:t>
            </w:r>
          </w:p>
        </w:tc>
        <w:tc>
          <w:tcPr>
            <w:tcW w:w="1259" w:type="pct"/>
            <w:tcBorders>
              <w:top w:val="single" w:color="auto" w:sz="2" w:space="0"/>
              <w:left w:val="single" w:color="auto" w:sz="2" w:space="0"/>
              <w:bottom w:val="single" w:color="auto" w:sz="2" w:space="0"/>
            </w:tcBorders>
            <w:vAlign w:val="center"/>
          </w:tcPr>
          <w:p w14:paraId="494E068B">
            <w:pPr>
              <w:adjustRightInd w:val="0"/>
              <w:snapToGrid w:val="0"/>
              <w:spacing w:line="300" w:lineRule="exact"/>
              <w:jc w:val="center"/>
              <w:rPr>
                <w:rFonts w:ascii="Times New Roman" w:hAnsi="Times New Roman" w:eastAsia="宋体" w:cs="Times New Roman"/>
                <w:color w:val="auto"/>
                <w:spacing w:val="20"/>
              </w:rPr>
            </w:pPr>
          </w:p>
        </w:tc>
      </w:tr>
      <w:tr w14:paraId="03AE72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6D075C9">
            <w:pPr>
              <w:adjustRightInd w:val="0"/>
              <w:snapToGrid w:val="0"/>
              <w:spacing w:line="300" w:lineRule="exact"/>
              <w:jc w:val="center"/>
              <w:rPr>
                <w:rFonts w:ascii="Times New Roman" w:hAnsi="Times New Roman" w:eastAsia="宋体" w:cs="Times New Roman"/>
                <w:color w:val="auto"/>
              </w:rPr>
            </w:pPr>
          </w:p>
        </w:tc>
        <w:tc>
          <w:tcPr>
            <w:tcW w:w="1436" w:type="pct"/>
            <w:tcBorders>
              <w:top w:val="single" w:color="auto" w:sz="2" w:space="0"/>
              <w:left w:val="single" w:color="auto" w:sz="2" w:space="0"/>
              <w:bottom w:val="single" w:color="auto" w:sz="2" w:space="0"/>
              <w:right w:val="single" w:color="auto" w:sz="2" w:space="0"/>
            </w:tcBorders>
            <w:vAlign w:val="center"/>
          </w:tcPr>
          <w:p w14:paraId="354F6E04">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1905D5AC">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开户银行</w:t>
            </w:r>
          </w:p>
        </w:tc>
        <w:tc>
          <w:tcPr>
            <w:tcW w:w="1259" w:type="pct"/>
            <w:tcBorders>
              <w:top w:val="single" w:color="auto" w:sz="2" w:space="0"/>
              <w:left w:val="single" w:color="auto" w:sz="2" w:space="0"/>
              <w:bottom w:val="single" w:color="auto" w:sz="2" w:space="0"/>
            </w:tcBorders>
            <w:vAlign w:val="center"/>
          </w:tcPr>
          <w:p w14:paraId="5931C42D">
            <w:pPr>
              <w:adjustRightInd w:val="0"/>
              <w:snapToGrid w:val="0"/>
              <w:spacing w:line="300" w:lineRule="exact"/>
              <w:jc w:val="center"/>
              <w:rPr>
                <w:rFonts w:ascii="Times New Roman" w:hAnsi="Times New Roman" w:eastAsia="宋体" w:cs="Times New Roman"/>
                <w:color w:val="auto"/>
                <w:spacing w:val="20"/>
              </w:rPr>
            </w:pPr>
          </w:p>
        </w:tc>
      </w:tr>
      <w:tr w14:paraId="497466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C589DEF">
            <w:pPr>
              <w:adjustRightInd w:val="0"/>
              <w:snapToGrid w:val="0"/>
              <w:spacing w:line="300" w:lineRule="exact"/>
              <w:jc w:val="center"/>
              <w:rPr>
                <w:rFonts w:ascii="Times New Roman" w:hAnsi="Times New Roman" w:eastAsia="宋体" w:cs="Times New Roman"/>
                <w:color w:val="auto"/>
              </w:rPr>
            </w:pPr>
          </w:p>
        </w:tc>
        <w:tc>
          <w:tcPr>
            <w:tcW w:w="1436" w:type="pct"/>
            <w:tcBorders>
              <w:top w:val="single" w:color="auto" w:sz="2" w:space="0"/>
              <w:left w:val="single" w:color="auto" w:sz="2" w:space="0"/>
              <w:bottom w:val="single" w:color="auto" w:sz="2" w:space="0"/>
              <w:right w:val="single" w:color="auto" w:sz="2" w:space="0"/>
            </w:tcBorders>
            <w:vAlign w:val="center"/>
          </w:tcPr>
          <w:p w14:paraId="4E786E6E">
            <w:pPr>
              <w:adjustRightInd w:val="0"/>
              <w:snapToGrid w:val="0"/>
              <w:spacing w:line="300" w:lineRule="exact"/>
              <w:jc w:val="center"/>
              <w:rPr>
                <w:rFonts w:ascii="Times New Roman" w:hAnsi="Times New Roman" w:eastAsia="宋体" w:cs="Times New Roman"/>
                <w:color w:val="auto"/>
              </w:rPr>
            </w:pPr>
          </w:p>
        </w:tc>
        <w:tc>
          <w:tcPr>
            <w:tcW w:w="1178" w:type="pct"/>
            <w:tcBorders>
              <w:top w:val="single" w:color="auto" w:sz="2" w:space="0"/>
              <w:left w:val="single" w:color="auto" w:sz="2" w:space="0"/>
              <w:bottom w:val="single" w:color="auto" w:sz="2" w:space="0"/>
              <w:right w:val="single" w:color="auto" w:sz="2" w:space="0"/>
            </w:tcBorders>
            <w:vAlign w:val="center"/>
          </w:tcPr>
          <w:p w14:paraId="78F8B861">
            <w:pPr>
              <w:adjustRightInd w:val="0"/>
              <w:snapToGrid w:val="0"/>
              <w:spacing w:line="300" w:lineRule="exact"/>
              <w:jc w:val="center"/>
              <w:rPr>
                <w:rFonts w:ascii="Times New Roman" w:hAnsi="Times New Roman" w:eastAsia="宋体" w:cs="Times New Roman"/>
                <w:color w:val="auto"/>
              </w:rPr>
            </w:pPr>
            <w:r>
              <w:rPr>
                <w:rFonts w:ascii="Times New Roman" w:hAnsi="Times New Roman" w:eastAsia="宋体" w:cs="Times New Roman"/>
                <w:color w:val="auto"/>
              </w:rPr>
              <w:t>银行账号</w:t>
            </w:r>
          </w:p>
        </w:tc>
        <w:tc>
          <w:tcPr>
            <w:tcW w:w="1259" w:type="pct"/>
            <w:tcBorders>
              <w:top w:val="single" w:color="auto" w:sz="2" w:space="0"/>
              <w:left w:val="single" w:color="auto" w:sz="2" w:space="0"/>
              <w:bottom w:val="single" w:color="auto" w:sz="2" w:space="0"/>
            </w:tcBorders>
            <w:vAlign w:val="center"/>
          </w:tcPr>
          <w:p w14:paraId="5845510A">
            <w:pPr>
              <w:adjustRightInd w:val="0"/>
              <w:snapToGrid w:val="0"/>
              <w:spacing w:line="300" w:lineRule="exact"/>
              <w:jc w:val="center"/>
              <w:rPr>
                <w:rFonts w:ascii="Times New Roman" w:hAnsi="Times New Roman" w:eastAsia="宋体" w:cs="Times New Roman"/>
                <w:color w:val="auto"/>
                <w:spacing w:val="20"/>
              </w:rPr>
            </w:pPr>
          </w:p>
        </w:tc>
      </w:tr>
      <w:tr w14:paraId="54984A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vAlign w:val="center"/>
          </w:tcPr>
          <w:p w14:paraId="0CECA240">
            <w:pPr>
              <w:adjustRightInd w:val="0"/>
              <w:snapToGrid w:val="0"/>
              <w:spacing w:before="120" w:beforeLines="50" w:line="360" w:lineRule="auto"/>
              <w:jc w:val="left"/>
              <w:rPr>
                <w:rFonts w:ascii="Times New Roman" w:hAnsi="Times New Roman" w:eastAsia="宋体" w:cs="Times New Roman"/>
                <w:color w:val="auto"/>
                <w:spacing w:val="20"/>
              </w:rPr>
            </w:pPr>
            <w:r>
              <w:rPr>
                <w:rFonts w:hint="eastAsia" w:ascii="宋体" w:hAnsi="宋体" w:eastAsia="宋体" w:cs="Times New Roman"/>
                <w:color w:val="auto"/>
              </w:rPr>
              <w:t>注：涉及联合体或其他合同主体的信息应按上表格式加列。</w:t>
            </w:r>
          </w:p>
        </w:tc>
      </w:tr>
    </w:tbl>
    <w:p w14:paraId="065DBB33">
      <w:pPr>
        <w:keepNext/>
        <w:keepLines/>
        <w:adjustRightInd w:val="0"/>
        <w:snapToGrid w:val="0"/>
        <w:spacing w:before="120" w:beforeLines="50" w:line="360" w:lineRule="auto"/>
        <w:jc w:val="center"/>
        <w:outlineLvl w:val="1"/>
        <w:rPr>
          <w:rFonts w:ascii="黑体" w:hAnsi="黑体" w:eastAsia="黑体" w:cs="Times New Roman"/>
          <w:b/>
          <w:bCs/>
          <w:color w:val="auto"/>
          <w:sz w:val="28"/>
          <w:szCs w:val="28"/>
        </w:rPr>
      </w:pPr>
      <w:r>
        <w:rPr>
          <w:rFonts w:ascii="宋体" w:hAnsi="宋体" w:eastAsia="宋体" w:cs="Times New Roman"/>
          <w:b/>
          <w:bCs/>
          <w:color w:val="auto"/>
          <w:u w:val="single"/>
        </w:rPr>
        <w:br w:type="page"/>
      </w:r>
      <w:bookmarkStart w:id="594" w:name="_Toc27624"/>
      <w:r>
        <w:rPr>
          <w:rFonts w:hint="eastAsia" w:ascii="黑体" w:hAnsi="黑体" w:eastAsia="黑体" w:cs="Times New Roman"/>
          <w:color w:val="auto"/>
          <w:sz w:val="28"/>
          <w:szCs w:val="28"/>
        </w:rPr>
        <w:t>第二节 政府采购合同通用条款</w:t>
      </w:r>
      <w:bookmarkEnd w:id="594"/>
    </w:p>
    <w:p w14:paraId="0B32DF4E">
      <w:pPr>
        <w:tabs>
          <w:tab w:val="left" w:pos="8820"/>
          <w:tab w:val="left" w:pos="9345"/>
          <w:tab w:val="left" w:pos="9765"/>
        </w:tabs>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color w:val="auto"/>
          <w:sz w:val="24"/>
          <w:szCs w:val="24"/>
        </w:rPr>
        <w:t xml:space="preserve">1. </w:t>
      </w:r>
      <w:r>
        <w:rPr>
          <w:rFonts w:hint="eastAsia" w:ascii="宋体" w:hAnsi="宋体" w:eastAsia="宋体" w:cs="Times New Roman"/>
          <w:b/>
          <w:bCs/>
          <w:color w:val="auto"/>
          <w:sz w:val="24"/>
          <w:szCs w:val="24"/>
        </w:rPr>
        <w:t>定义</w:t>
      </w:r>
    </w:p>
    <w:p w14:paraId="631026A6">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1.1合同当事人</w:t>
      </w:r>
    </w:p>
    <w:p w14:paraId="7113A50F">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（1）采购人（以下称甲方）是指使用财政性资金，通过政府采购方式向供应商购买货物及其相关服务的国家机关、事业单位、团体组织。</w:t>
      </w:r>
    </w:p>
    <w:p w14:paraId="2C47F17C">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（2）供应商（以下称乙方）是指参加政府采购活动并且中标（成交），向采购人提供合同约定的货物及其相关服务的法人、非法人组织或者自然人。</w:t>
      </w:r>
    </w:p>
    <w:p w14:paraId="57432442">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（3）其他合同主体是指除采购人和供应商以外，</w:t>
      </w:r>
      <w:r>
        <w:rPr>
          <w:rFonts w:hint="eastAsia" w:ascii="宋体" w:hAnsi="宋体" w:eastAsia="宋体" w:cs="宋体"/>
          <w:bCs/>
          <w:color w:val="auto"/>
        </w:rPr>
        <w:t>依法参与合同缔结或履行，享有权利、承担义务的合同当事人</w:t>
      </w:r>
      <w:r>
        <w:rPr>
          <w:rFonts w:hint="eastAsia" w:ascii="宋体" w:hAnsi="宋体" w:eastAsia="宋体" w:cs="Times New Roman"/>
          <w:color w:val="auto"/>
        </w:rPr>
        <w:t>。</w:t>
      </w:r>
    </w:p>
    <w:p w14:paraId="5E889F11">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1.2本合同下列术语应解释为：</w:t>
      </w:r>
    </w:p>
    <w:p w14:paraId="68F1515D">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（1）“合同”系指</w:t>
      </w:r>
      <w:r>
        <w:rPr>
          <w:rFonts w:hint="eastAsia" w:ascii="宋体" w:hAnsi="宋体" w:eastAsia="宋体" w:cs="宋体"/>
          <w:bCs/>
          <w:color w:val="auto"/>
        </w:rPr>
        <w:t>合同当事人意思表示达成一致的任何协议，包括签署的</w:t>
      </w:r>
      <w:r>
        <w:rPr>
          <w:rFonts w:hint="eastAsia" w:ascii="宋体" w:hAnsi="宋体" w:eastAsia="宋体" w:cs="Times New Roman"/>
          <w:color w:val="auto"/>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auto"/>
        </w:rPr>
        <w:t>国家法律、行政法规和规章制度规定或合同约定的作为合同组成部分的其他文件</w:t>
      </w:r>
      <w:r>
        <w:rPr>
          <w:rFonts w:hint="eastAsia" w:ascii="宋体" w:hAnsi="宋体" w:eastAsia="宋体" w:cs="Times New Roman"/>
          <w:color w:val="auto"/>
        </w:rPr>
        <w:t>。</w:t>
      </w:r>
    </w:p>
    <w:p w14:paraId="2B9EDC3A">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（2）“合同价款”系指根据本合同规定乙方在全面履行合同义务后甲方应支付给乙方的价款。</w:t>
      </w:r>
    </w:p>
    <w:p w14:paraId="126461F3">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（3）“货物”系指乙方根据本合同规定须向甲方提供的各种形态和种类的物品，包括原材料、设备、产品（包括软件）及相关的其备品备件、工具、手册及</w:t>
      </w:r>
      <w:r>
        <w:rPr>
          <w:rFonts w:ascii="宋体" w:hAnsi="宋体" w:eastAsia="宋体" w:cs="Times New Roman"/>
          <w:color w:val="auto"/>
          <w:lang w:val="en"/>
        </w:rPr>
        <w:t>其他</w:t>
      </w:r>
      <w:r>
        <w:rPr>
          <w:rFonts w:hint="eastAsia" w:ascii="宋体" w:hAnsi="宋体" w:eastAsia="宋体" w:cs="Times New Roman"/>
          <w:color w:val="auto"/>
        </w:rPr>
        <w:t>技术资料和材料等。</w:t>
      </w:r>
    </w:p>
    <w:p w14:paraId="74FBC837">
      <w:pPr>
        <w:adjustRightInd w:val="0"/>
        <w:snapToGrid w:val="0"/>
        <w:spacing w:line="400" w:lineRule="exact"/>
        <w:ind w:firstLine="420" w:firstLineChars="200"/>
        <w:jc w:val="left"/>
        <w:rPr>
          <w:rFonts w:ascii="宋体" w:hAnsi="宋体" w:eastAsia="宋体" w:cs="Times New Roman"/>
          <w:color w:val="auto"/>
          <w:highlight w:val="yellow"/>
        </w:rPr>
      </w:pPr>
      <w:r>
        <w:rPr>
          <w:rFonts w:hint="eastAsia" w:ascii="宋体" w:hAnsi="宋体" w:eastAsia="宋体" w:cs="Times New Roman"/>
          <w:color w:val="auto"/>
        </w:rPr>
        <w:t>（4）“相关服务”系指根据合同规定，乙方应提供的与货物有关的技术、管理和</w:t>
      </w:r>
      <w:r>
        <w:rPr>
          <w:rFonts w:ascii="宋体" w:hAnsi="宋体" w:eastAsia="宋体" w:cs="Times New Roman"/>
          <w:color w:val="auto"/>
          <w:lang w:val="en"/>
        </w:rPr>
        <w:t>其他</w:t>
      </w:r>
      <w:r>
        <w:rPr>
          <w:rFonts w:hint="eastAsia" w:ascii="宋体" w:hAnsi="宋体" w:eastAsia="宋体" w:cs="Times New Roman"/>
          <w:color w:val="auto"/>
        </w:rPr>
        <w:t>服务，包括但不限于：管理和质量保证、运输、保险、检验、现场准备、安装、集成、调试、培训、维修、废弃处置、技术支持等以及合同中规定乙方应承担的</w:t>
      </w:r>
      <w:r>
        <w:rPr>
          <w:rFonts w:ascii="宋体" w:hAnsi="宋体" w:eastAsia="宋体" w:cs="Times New Roman"/>
          <w:color w:val="auto"/>
          <w:lang w:val="en"/>
        </w:rPr>
        <w:t>其他</w:t>
      </w:r>
      <w:r>
        <w:rPr>
          <w:rFonts w:hint="eastAsia" w:ascii="宋体" w:hAnsi="宋体" w:eastAsia="宋体" w:cs="Times New Roman"/>
          <w:color w:val="auto"/>
        </w:rPr>
        <w:t>义务。</w:t>
      </w:r>
    </w:p>
    <w:p w14:paraId="41D35A65">
      <w:pPr>
        <w:adjustRightInd w:val="0"/>
        <w:snapToGrid w:val="0"/>
        <w:spacing w:line="400" w:lineRule="exact"/>
        <w:ind w:firstLine="420" w:firstLineChars="200"/>
        <w:jc w:val="left"/>
        <w:rPr>
          <w:rFonts w:ascii="宋体" w:hAnsi="宋体" w:eastAsia="宋体" w:cs="Times New Roman"/>
          <w:color w:val="auto"/>
          <w:highlight w:val="yellow"/>
        </w:rPr>
      </w:pPr>
      <w:r>
        <w:rPr>
          <w:rFonts w:hint="eastAsia" w:ascii="宋体" w:hAnsi="宋体" w:eastAsia="宋体" w:cs="Times New Roman"/>
          <w:color w:val="auto"/>
        </w:rPr>
        <w:t>（5）“分包”系指中标（成交）供应商按采购文件、投标（响应）文件的规定，根据分包意向协议，将中标（成交）项目中的部分履约内容，分给具有相应资质条件的供应商履行合同的行为。</w:t>
      </w:r>
    </w:p>
    <w:p w14:paraId="19ED7956">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auto"/>
        </w:rPr>
        <w:t>政府采购合同专用条款</w:t>
      </w:r>
      <w:r>
        <w:rPr>
          <w:rFonts w:hint="eastAsia" w:ascii="宋体" w:hAnsi="宋体" w:eastAsia="宋体" w:cs="Times New Roman"/>
          <w:color w:val="auto"/>
        </w:rPr>
        <w:t>】。</w:t>
      </w:r>
    </w:p>
    <w:p w14:paraId="02A5A3C1">
      <w:pPr>
        <w:tabs>
          <w:tab w:val="left" w:pos="570"/>
          <w:tab w:val="left" w:pos="9240"/>
          <w:tab w:val="left" w:pos="9555"/>
        </w:tabs>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（7）其他术语解释，见【</w:t>
      </w:r>
      <w:r>
        <w:rPr>
          <w:rFonts w:hint="eastAsia" w:ascii="宋体" w:hAnsi="宋体" w:eastAsia="宋体" w:cs="Times New Roman"/>
          <w:b/>
          <w:bCs/>
          <w:color w:val="auto"/>
        </w:rPr>
        <w:t>政府采购合同专用条款</w:t>
      </w:r>
      <w:r>
        <w:rPr>
          <w:rFonts w:hint="eastAsia" w:ascii="宋体" w:hAnsi="宋体" w:eastAsia="宋体" w:cs="Times New Roman"/>
          <w:color w:val="auto"/>
        </w:rPr>
        <w:t>】。</w:t>
      </w:r>
    </w:p>
    <w:p w14:paraId="6E0CE5B0">
      <w:pPr>
        <w:numPr>
          <w:ilvl w:val="0"/>
          <w:numId w:val="4"/>
        </w:num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color w:val="auto"/>
          <w:sz w:val="24"/>
          <w:szCs w:val="24"/>
        </w:rPr>
        <w:t>合同标的及金额</w:t>
      </w:r>
    </w:p>
    <w:p w14:paraId="0FC3E318">
      <w:pPr>
        <w:autoSpaceDE w:val="0"/>
        <w:autoSpaceDN w:val="0"/>
        <w:adjustRightInd w:val="0"/>
        <w:snapToGrid w:val="0"/>
        <w:spacing w:line="400" w:lineRule="exact"/>
        <w:ind w:firstLine="420" w:firstLineChars="200"/>
        <w:jc w:val="left"/>
        <w:rPr>
          <w:rFonts w:ascii="宋体" w:hAnsi="宋体" w:eastAsia="宋体" w:cs="Times New Roman"/>
          <w:b/>
          <w:bCs/>
          <w:i/>
          <w:iCs/>
          <w:color w:val="auto"/>
        </w:rPr>
      </w:pPr>
      <w:r>
        <w:rPr>
          <w:rFonts w:hint="eastAsia" w:ascii="宋体" w:hAnsi="宋体" w:eastAsia="宋体" w:cs="Times New Roman"/>
          <w:color w:val="auto"/>
        </w:rPr>
        <w:t>2.1 合同标的及金额应与中标（成交）结果一致。乙方为履行本合同而发生的所有费用均应包含在合同价款中，甲方不再另行支付</w:t>
      </w:r>
      <w:r>
        <w:rPr>
          <w:rFonts w:ascii="宋体" w:hAnsi="宋体" w:eastAsia="宋体" w:cs="Times New Roman"/>
          <w:color w:val="auto"/>
          <w:lang w:val="en"/>
        </w:rPr>
        <w:t>其他</w:t>
      </w:r>
      <w:r>
        <w:rPr>
          <w:rFonts w:hint="eastAsia" w:ascii="宋体" w:hAnsi="宋体" w:eastAsia="宋体" w:cs="Times New Roman"/>
          <w:color w:val="auto"/>
        </w:rPr>
        <w:t>任何费用。</w:t>
      </w:r>
    </w:p>
    <w:p w14:paraId="4408ACF8">
      <w:pPr>
        <w:adjustRightInd w:val="0"/>
        <w:snapToGrid w:val="0"/>
        <w:spacing w:line="400" w:lineRule="exact"/>
        <w:jc w:val="left"/>
        <w:rPr>
          <w:rFonts w:ascii="宋体" w:hAnsi="宋体" w:eastAsia="宋体" w:cs="Times New Roman"/>
          <w:b/>
          <w:color w:val="auto"/>
          <w:sz w:val="24"/>
          <w:szCs w:val="24"/>
        </w:rPr>
      </w:pPr>
      <w:r>
        <w:rPr>
          <w:rFonts w:hint="eastAsia" w:ascii="宋体" w:hAnsi="宋体" w:eastAsia="宋体" w:cs="Times New Roman"/>
          <w:b/>
          <w:color w:val="auto"/>
          <w:sz w:val="24"/>
          <w:szCs w:val="24"/>
        </w:rPr>
        <w:t>3. 履行合同的时间、地点和方式</w:t>
      </w:r>
    </w:p>
    <w:p w14:paraId="692EB80A">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 xml:space="preserve">3.1 </w:t>
      </w:r>
      <w:r>
        <w:rPr>
          <w:rFonts w:hint="eastAsia" w:ascii="宋体" w:hAnsi="宋体" w:eastAsia="宋体" w:cs="宋体"/>
          <w:color w:val="auto"/>
        </w:rPr>
        <w:t>乙方应当在约定的时间、地点，按照约定方式履行合同。</w:t>
      </w:r>
    </w:p>
    <w:p w14:paraId="222DDB00">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4. 甲方的权利和义务</w:t>
      </w:r>
    </w:p>
    <w:p w14:paraId="2582AB04">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4.1</w:t>
      </w:r>
      <w:r>
        <w:rPr>
          <w:rFonts w:ascii="宋体" w:hAnsi="宋体" w:eastAsia="宋体" w:cs="Times New Roman"/>
          <w:color w:val="auto"/>
        </w:rPr>
        <w:t xml:space="preserve"> 签署合同后，甲方</w:t>
      </w:r>
      <w:r>
        <w:rPr>
          <w:rFonts w:hint="eastAsia" w:ascii="宋体" w:hAnsi="宋体" w:eastAsia="宋体" w:cs="Times New Roman"/>
          <w:color w:val="auto"/>
        </w:rPr>
        <w:t>应</w:t>
      </w:r>
      <w:r>
        <w:rPr>
          <w:rFonts w:ascii="宋体" w:hAnsi="宋体" w:eastAsia="宋体" w:cs="Times New Roman"/>
          <w:color w:val="auto"/>
        </w:rPr>
        <w:t>确定</w:t>
      </w:r>
      <w:r>
        <w:rPr>
          <w:rFonts w:hint="eastAsia" w:ascii="宋体" w:hAnsi="宋体" w:eastAsia="宋体" w:cs="Times New Roman"/>
          <w:color w:val="auto"/>
        </w:rPr>
        <w:t>项目负责人（或项目联系人）</w:t>
      </w:r>
      <w:r>
        <w:rPr>
          <w:rFonts w:ascii="宋体" w:hAnsi="宋体" w:eastAsia="宋体" w:cs="Times New Roman"/>
          <w:color w:val="auto"/>
        </w:rPr>
        <w:t>，负责与本合同有关的事务。</w:t>
      </w:r>
      <w:r>
        <w:rPr>
          <w:rFonts w:hint="eastAsia" w:ascii="宋体" w:hAnsi="宋体" w:eastAsia="宋体" w:cs="Times New Roman"/>
          <w:color w:val="auto"/>
        </w:rPr>
        <w:t>甲方有权对乙方的履约行为进行检查，并</w:t>
      </w:r>
      <w:r>
        <w:rPr>
          <w:rFonts w:ascii="宋体" w:hAnsi="宋体" w:eastAsia="宋体" w:cs="Times New Roman"/>
          <w:color w:val="auto"/>
        </w:rPr>
        <w:t>及时确认乙方提交的事项</w:t>
      </w:r>
      <w:r>
        <w:rPr>
          <w:rFonts w:hint="eastAsia" w:ascii="宋体" w:hAnsi="宋体" w:eastAsia="宋体" w:cs="Times New Roman"/>
          <w:color w:val="auto"/>
        </w:rPr>
        <w:t>。甲方应当</w:t>
      </w:r>
      <w:r>
        <w:rPr>
          <w:rFonts w:ascii="宋体" w:hAnsi="宋体" w:eastAsia="宋体" w:cs="Times New Roman"/>
          <w:color w:val="auto"/>
        </w:rPr>
        <w:t>配合乙方完成</w:t>
      </w:r>
      <w:r>
        <w:rPr>
          <w:rFonts w:hint="eastAsia" w:ascii="宋体" w:hAnsi="宋体" w:eastAsia="宋体" w:cs="Times New Roman"/>
          <w:color w:val="auto"/>
        </w:rPr>
        <w:t>相关项目</w:t>
      </w:r>
      <w:r>
        <w:rPr>
          <w:rFonts w:ascii="宋体" w:hAnsi="宋体" w:eastAsia="宋体" w:cs="Times New Roman"/>
          <w:color w:val="auto"/>
        </w:rPr>
        <w:t>实施工作。</w:t>
      </w:r>
    </w:p>
    <w:p w14:paraId="2906C884">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 xml:space="preserve">4.2 </w:t>
      </w:r>
      <w:r>
        <w:rPr>
          <w:rFonts w:ascii="宋体" w:hAnsi="宋体" w:eastAsia="宋体" w:cs="Times New Roman"/>
          <w:color w:val="auto"/>
        </w:rPr>
        <w:t>甲方有权要求乙方按时提交各阶段有关</w:t>
      </w:r>
      <w:r>
        <w:rPr>
          <w:rFonts w:hint="eastAsia" w:ascii="宋体" w:hAnsi="宋体" w:eastAsia="宋体" w:cs="Times New Roman"/>
          <w:color w:val="auto"/>
        </w:rPr>
        <w:t>安排计划</w:t>
      </w:r>
      <w:r>
        <w:rPr>
          <w:rFonts w:ascii="宋体" w:hAnsi="宋体" w:eastAsia="宋体" w:cs="Times New Roman"/>
          <w:color w:val="auto"/>
        </w:rPr>
        <w:t>，并有权</w:t>
      </w:r>
      <w:r>
        <w:rPr>
          <w:rFonts w:hint="eastAsia" w:ascii="宋体" w:hAnsi="宋体" w:eastAsia="宋体" w:cs="Times New Roman"/>
          <w:color w:val="auto"/>
        </w:rPr>
        <w:t>定期核对乙方提供货物数量、规格、质量等内容。甲方</w:t>
      </w:r>
      <w:r>
        <w:rPr>
          <w:rFonts w:ascii="宋体" w:hAnsi="宋体" w:eastAsia="宋体" w:cs="Times New Roman"/>
          <w:color w:val="auto"/>
        </w:rPr>
        <w:t>有权督促乙方工作并要求乙方</w:t>
      </w:r>
      <w:r>
        <w:rPr>
          <w:rFonts w:hint="eastAsia" w:ascii="宋体" w:hAnsi="宋体" w:eastAsia="宋体" w:cs="Times New Roman"/>
          <w:color w:val="auto"/>
        </w:rPr>
        <w:t>更</w:t>
      </w:r>
      <w:r>
        <w:rPr>
          <w:rFonts w:ascii="宋体" w:hAnsi="宋体" w:eastAsia="宋体" w:cs="Times New Roman"/>
          <w:color w:val="auto"/>
        </w:rPr>
        <w:t>换不符合要求的</w:t>
      </w:r>
      <w:r>
        <w:rPr>
          <w:rFonts w:hint="eastAsia" w:ascii="宋体" w:hAnsi="宋体" w:eastAsia="宋体" w:cs="Times New Roman"/>
          <w:color w:val="auto"/>
        </w:rPr>
        <w:t>货物</w:t>
      </w:r>
      <w:r>
        <w:rPr>
          <w:rFonts w:ascii="宋体" w:hAnsi="宋体" w:eastAsia="宋体" w:cs="Times New Roman"/>
          <w:color w:val="auto"/>
        </w:rPr>
        <w:t>。</w:t>
      </w:r>
    </w:p>
    <w:p w14:paraId="7D7D3350">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4.</w:t>
      </w:r>
      <w:r>
        <w:rPr>
          <w:rFonts w:ascii="宋体" w:hAnsi="宋体" w:eastAsia="宋体" w:cs="Times New Roman"/>
          <w:color w:val="auto"/>
        </w:rPr>
        <w:t>3</w:t>
      </w:r>
      <w:r>
        <w:rPr>
          <w:rFonts w:hint="eastAsia" w:ascii="宋体" w:hAnsi="宋体" w:eastAsia="宋体" w:cs="Times New Roman"/>
          <w:color w:val="auto"/>
        </w:rPr>
        <w:t xml:space="preserve"> </w:t>
      </w:r>
      <w:r>
        <w:rPr>
          <w:rFonts w:ascii="宋体" w:hAnsi="宋体" w:eastAsia="宋体" w:cs="Times New Roman"/>
          <w:color w:val="auto"/>
        </w:rPr>
        <w:t>甲方</w:t>
      </w:r>
      <w:r>
        <w:rPr>
          <w:rFonts w:hint="eastAsia" w:ascii="宋体" w:hAnsi="宋体" w:eastAsia="宋体" w:cs="Times New Roman"/>
          <w:color w:val="auto"/>
        </w:rPr>
        <w:t>有权要求乙方对缺陷部分予以修复，并按合同约定享有货物保修及其他合同约定的权利。</w:t>
      </w:r>
    </w:p>
    <w:p w14:paraId="61785DAF">
      <w:pPr>
        <w:snapToGrid w:val="0"/>
        <w:spacing w:line="400" w:lineRule="exact"/>
        <w:ind w:firstLine="420" w:firstLineChars="200"/>
        <w:rPr>
          <w:rFonts w:ascii="Times New Roman" w:hAnsi="Times New Roman" w:eastAsia="华文楷体" w:cs="Times New Roman"/>
          <w:color w:val="auto"/>
          <w:szCs w:val="24"/>
        </w:rPr>
      </w:pPr>
      <w:r>
        <w:rPr>
          <w:rFonts w:ascii="宋体" w:hAnsi="宋体" w:eastAsia="宋体" w:cs="Times New Roman"/>
          <w:color w:val="auto"/>
        </w:rPr>
        <w:t>4.4 甲方应当按照合同约定及时对交付的货物进行验收</w:t>
      </w:r>
      <w:r>
        <w:rPr>
          <w:rFonts w:hint="eastAsia" w:ascii="宋体" w:hAnsi="宋体" w:eastAsia="宋体" w:cs="Times New Roman"/>
          <w:color w:val="auto"/>
        </w:rPr>
        <w:t>，</w:t>
      </w:r>
      <w:r>
        <w:rPr>
          <w:rFonts w:hint="eastAsia" w:ascii="宋体" w:hAnsi="宋体" w:eastAsia="宋体" w:cs="宋体"/>
          <w:color w:val="auto"/>
        </w:rPr>
        <w:t>未</w:t>
      </w:r>
      <w:r>
        <w:rPr>
          <w:rFonts w:hint="eastAsia" w:ascii="宋体" w:hAnsi="宋体" w:eastAsia="宋体" w:cs="Times New Roman"/>
          <w:color w:val="auto"/>
        </w:rPr>
        <w:t>在</w:t>
      </w:r>
      <w:r>
        <w:rPr>
          <w:rFonts w:hint="eastAsia" w:ascii="宋体" w:hAnsi="宋体" w:eastAsia="宋体" w:cs="宋体"/>
          <w:b/>
          <w:bCs/>
          <w:color w:val="auto"/>
        </w:rPr>
        <w:t>【政府采购合同专用条款】</w:t>
      </w:r>
      <w:r>
        <w:rPr>
          <w:rFonts w:hint="eastAsia" w:ascii="宋体" w:hAnsi="宋体" w:eastAsia="宋体" w:cs="宋体"/>
          <w:color w:val="auto"/>
        </w:rPr>
        <w:t>约定的期限内对乙方履约提出任何异议或者向乙方作出任何说明的，</w:t>
      </w:r>
      <w:r>
        <w:rPr>
          <w:rFonts w:hint="eastAsia" w:ascii="宋体" w:hAnsi="宋体" w:eastAsia="宋体" w:cs="Times New Roman"/>
          <w:color w:val="auto"/>
        </w:rPr>
        <w:t>视为验收通过。</w:t>
      </w:r>
    </w:p>
    <w:p w14:paraId="20028635">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ascii="宋体" w:hAnsi="宋体" w:eastAsia="宋体" w:cs="Times New Roman"/>
          <w:color w:val="auto"/>
        </w:rPr>
        <w:t>4</w:t>
      </w:r>
      <w:r>
        <w:rPr>
          <w:rFonts w:hint="eastAsia" w:ascii="宋体" w:hAnsi="宋体" w:eastAsia="宋体" w:cs="Times New Roman"/>
          <w:color w:val="auto"/>
        </w:rPr>
        <w:t>.</w:t>
      </w:r>
      <w:r>
        <w:rPr>
          <w:rFonts w:ascii="宋体" w:hAnsi="宋体" w:eastAsia="宋体" w:cs="Times New Roman"/>
          <w:color w:val="auto"/>
        </w:rPr>
        <w:t xml:space="preserve">5 </w:t>
      </w:r>
      <w:r>
        <w:rPr>
          <w:rFonts w:hint="eastAsia" w:ascii="宋体" w:hAnsi="宋体" w:eastAsia="宋体" w:cs="Times New Roman"/>
          <w:color w:val="auto"/>
        </w:rPr>
        <w:t>甲方应当根据合同约定及时向乙方支付合同价款</w:t>
      </w:r>
      <w:r>
        <w:rPr>
          <w:rFonts w:ascii="宋体" w:hAnsi="宋体" w:eastAsia="宋体" w:cs="Times New Roman"/>
          <w:color w:val="auto"/>
        </w:rPr>
        <w:t>，不得以内部人员变更、履行内部付款流程等为由，拒绝或迟延支付。</w:t>
      </w:r>
    </w:p>
    <w:p w14:paraId="283CF421">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4.6</w:t>
      </w:r>
      <w:r>
        <w:rPr>
          <w:rFonts w:ascii="宋体" w:hAnsi="宋体" w:eastAsia="宋体" w:cs="Times New Roman"/>
          <w:color w:val="auto"/>
        </w:rPr>
        <w:t xml:space="preserve"> </w:t>
      </w:r>
      <w:r>
        <w:rPr>
          <w:rFonts w:hint="eastAsia" w:ascii="宋体" w:hAnsi="宋体" w:eastAsia="宋体" w:cs="Times New Roman"/>
          <w:color w:val="auto"/>
        </w:rPr>
        <w:t>国家法律法规规定及</w:t>
      </w:r>
      <w:r>
        <w:rPr>
          <w:rFonts w:hint="eastAsia" w:ascii="宋体" w:hAnsi="宋体" w:eastAsia="宋体" w:cs="宋体"/>
          <w:b/>
          <w:bCs/>
          <w:color w:val="auto"/>
        </w:rPr>
        <w:t>【政府采购合同专用条款】</w:t>
      </w:r>
      <w:r>
        <w:rPr>
          <w:rFonts w:hint="eastAsia" w:ascii="宋体" w:hAnsi="宋体" w:eastAsia="宋体" w:cs="Times New Roman"/>
          <w:color w:val="auto"/>
        </w:rPr>
        <w:t>约定应由甲方承担的其他义务和责任。</w:t>
      </w:r>
    </w:p>
    <w:p w14:paraId="208BF66A">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5. 乙方的权利和义务</w:t>
      </w:r>
    </w:p>
    <w:p w14:paraId="5D3748F8">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 xml:space="preserve">5.1 </w:t>
      </w:r>
      <w:r>
        <w:rPr>
          <w:rFonts w:ascii="宋体" w:hAnsi="宋体" w:eastAsia="宋体" w:cs="Times New Roman"/>
          <w:color w:val="auto"/>
        </w:rPr>
        <w:t>签署合同后，乙方</w:t>
      </w:r>
      <w:r>
        <w:rPr>
          <w:rFonts w:hint="eastAsia" w:ascii="宋体" w:hAnsi="宋体" w:eastAsia="宋体" w:cs="Times New Roman"/>
          <w:color w:val="auto"/>
        </w:rPr>
        <w:t>应</w:t>
      </w:r>
      <w:r>
        <w:rPr>
          <w:rFonts w:ascii="宋体" w:hAnsi="宋体" w:eastAsia="宋体" w:cs="Times New Roman"/>
          <w:color w:val="auto"/>
        </w:rPr>
        <w:t>确定</w:t>
      </w:r>
      <w:r>
        <w:rPr>
          <w:rFonts w:hint="eastAsia" w:ascii="宋体" w:hAnsi="宋体" w:eastAsia="宋体" w:cs="Times New Roman"/>
          <w:color w:val="auto"/>
        </w:rPr>
        <w:t>项目负责人（或项目联系人）</w:t>
      </w:r>
      <w:r>
        <w:rPr>
          <w:rFonts w:ascii="宋体" w:hAnsi="宋体" w:eastAsia="宋体" w:cs="Times New Roman"/>
          <w:color w:val="auto"/>
        </w:rPr>
        <w:t>，负责与本合同有关的事务。</w:t>
      </w:r>
    </w:p>
    <w:p w14:paraId="633DED1E">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5.</w:t>
      </w:r>
      <w:r>
        <w:rPr>
          <w:rFonts w:ascii="宋体" w:hAnsi="宋体" w:eastAsia="宋体" w:cs="Times New Roman"/>
          <w:color w:val="auto"/>
        </w:rPr>
        <w:t>2 乙方应按照合同要求</w:t>
      </w:r>
      <w:r>
        <w:rPr>
          <w:rFonts w:hint="eastAsia" w:ascii="宋体" w:hAnsi="宋体" w:eastAsia="宋体" w:cs="Times New Roman"/>
          <w:color w:val="auto"/>
        </w:rPr>
        <w:t>履约</w:t>
      </w:r>
      <w:r>
        <w:rPr>
          <w:rFonts w:ascii="宋体" w:hAnsi="宋体" w:eastAsia="宋体" w:cs="Times New Roman"/>
          <w:color w:val="auto"/>
        </w:rPr>
        <w:t>，充分合理安排，确保</w:t>
      </w:r>
      <w:r>
        <w:rPr>
          <w:rFonts w:hint="eastAsia" w:ascii="宋体" w:hAnsi="宋体" w:eastAsia="宋体" w:cs="Times New Roman"/>
          <w:color w:val="auto"/>
        </w:rPr>
        <w:t>提供的货物及相关服务符合合同有关</w:t>
      </w:r>
      <w:r>
        <w:rPr>
          <w:rFonts w:ascii="宋体" w:hAnsi="宋体" w:eastAsia="宋体" w:cs="Times New Roman"/>
          <w:color w:val="auto"/>
        </w:rPr>
        <w:t>要求</w:t>
      </w:r>
      <w:r>
        <w:rPr>
          <w:rFonts w:hint="eastAsia" w:ascii="宋体" w:hAnsi="宋体" w:eastAsia="宋体" w:cs="Times New Roman"/>
          <w:color w:val="auto"/>
        </w:rPr>
        <w:t>。接受项目行业管理部门及政府有关部门的指导，配合甲方的履约检查及验收，并</w:t>
      </w:r>
      <w:r>
        <w:rPr>
          <w:rFonts w:ascii="宋体" w:hAnsi="宋体" w:eastAsia="宋体" w:cs="Times New Roman"/>
          <w:color w:val="auto"/>
        </w:rPr>
        <w:t>负责项目实施过程中的所有协调工作。</w:t>
      </w:r>
    </w:p>
    <w:p w14:paraId="5271E569">
      <w:pPr>
        <w:spacing w:line="400" w:lineRule="exact"/>
        <w:ind w:firstLine="369" w:firstLineChars="176"/>
        <w:rPr>
          <w:rFonts w:ascii="宋体" w:hAnsi="宋体" w:eastAsia="宋体" w:cs="宋体"/>
          <w:color w:val="auto"/>
        </w:rPr>
      </w:pPr>
      <w:r>
        <w:rPr>
          <w:rFonts w:hint="eastAsia" w:ascii="宋体" w:hAnsi="宋体" w:eastAsia="宋体" w:cs="Times New Roman"/>
          <w:color w:val="auto"/>
        </w:rPr>
        <w:t>5.</w:t>
      </w:r>
      <w:r>
        <w:rPr>
          <w:rFonts w:ascii="宋体" w:hAnsi="宋体" w:eastAsia="宋体" w:cs="Times New Roman"/>
          <w:color w:val="auto"/>
        </w:rPr>
        <w:t>3</w:t>
      </w:r>
      <w:r>
        <w:rPr>
          <w:rFonts w:hint="eastAsia" w:ascii="宋体" w:hAnsi="宋体" w:eastAsia="宋体" w:cs="Times New Roman"/>
          <w:color w:val="auto"/>
        </w:rPr>
        <w:t>乙方有权</w:t>
      </w:r>
      <w:r>
        <w:rPr>
          <w:rFonts w:hint="eastAsia" w:ascii="宋体" w:hAnsi="宋体" w:eastAsia="宋体" w:cs="宋体"/>
          <w:color w:val="auto"/>
        </w:rPr>
        <w:t>根据合同约定向甲方收取合同价款。</w:t>
      </w:r>
    </w:p>
    <w:p w14:paraId="71DB8C32">
      <w:pPr>
        <w:spacing w:line="400" w:lineRule="exact"/>
        <w:ind w:firstLine="369" w:firstLineChars="176"/>
        <w:rPr>
          <w:rFonts w:ascii="宋体" w:hAnsi="宋体" w:eastAsia="宋体" w:cs="宋体"/>
          <w:color w:val="auto"/>
        </w:rPr>
      </w:pPr>
      <w:r>
        <w:rPr>
          <w:rFonts w:hint="eastAsia" w:ascii="宋体" w:hAnsi="宋体" w:eastAsia="宋体" w:cs="Times New Roman"/>
          <w:color w:val="auto"/>
        </w:rPr>
        <w:t>5.</w:t>
      </w:r>
      <w:r>
        <w:rPr>
          <w:rFonts w:ascii="宋体" w:hAnsi="宋体" w:eastAsia="宋体" w:cs="Times New Roman"/>
          <w:color w:val="auto"/>
        </w:rPr>
        <w:t>4</w:t>
      </w:r>
      <w:r>
        <w:rPr>
          <w:rFonts w:hint="eastAsia" w:ascii="宋体" w:hAnsi="宋体" w:eastAsia="宋体" w:cs="宋体"/>
          <w:color w:val="auto"/>
        </w:rPr>
        <w:t>国家法律法规规定</w:t>
      </w:r>
      <w:r>
        <w:rPr>
          <w:rFonts w:hint="eastAsia" w:ascii="宋体" w:hAnsi="宋体" w:eastAsia="宋体" w:cs="Times New Roman"/>
          <w:color w:val="auto"/>
        </w:rPr>
        <w:t>及</w:t>
      </w:r>
      <w:r>
        <w:rPr>
          <w:rFonts w:hint="eastAsia" w:ascii="宋体" w:hAnsi="宋体" w:eastAsia="宋体" w:cs="宋体"/>
          <w:b/>
          <w:bCs/>
          <w:color w:val="auto"/>
        </w:rPr>
        <w:t>【政府采购合同专用条款】</w:t>
      </w:r>
      <w:r>
        <w:rPr>
          <w:rFonts w:hint="eastAsia" w:ascii="宋体" w:hAnsi="宋体" w:eastAsia="宋体" w:cs="宋体"/>
          <w:color w:val="auto"/>
        </w:rPr>
        <w:t>约定应由乙方承担的其他义务和责任。</w:t>
      </w:r>
    </w:p>
    <w:p w14:paraId="7BB49AF2">
      <w:pPr>
        <w:numPr>
          <w:ilvl w:val="0"/>
          <w:numId w:val="5"/>
        </w:num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合同履行</w:t>
      </w:r>
    </w:p>
    <w:p w14:paraId="6BA3A47A">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6.1 甲乙双方应当按照</w:t>
      </w:r>
      <w:r>
        <w:rPr>
          <w:rFonts w:hint="eastAsia" w:ascii="宋体" w:hAnsi="宋体" w:eastAsia="宋体" w:cs="宋体"/>
          <w:b/>
          <w:bCs/>
          <w:color w:val="auto"/>
        </w:rPr>
        <w:t>【政府采购合同专用条款】</w:t>
      </w:r>
      <w:r>
        <w:rPr>
          <w:rFonts w:hint="eastAsia" w:ascii="宋体" w:hAnsi="宋体" w:eastAsia="宋体" w:cs="Times New Roman"/>
          <w:color w:val="auto"/>
        </w:rPr>
        <w:t>约定顺序履行合同义务；如果没有先后顺序的，应当同时履行。</w:t>
      </w:r>
    </w:p>
    <w:p w14:paraId="2DFA5B42">
      <w:pPr>
        <w:autoSpaceDE w:val="0"/>
        <w:autoSpaceDN w:val="0"/>
        <w:adjustRightInd w:val="0"/>
        <w:snapToGrid w:val="0"/>
        <w:spacing w:line="400" w:lineRule="exact"/>
        <w:ind w:firstLine="420" w:firstLineChars="200"/>
        <w:jc w:val="left"/>
        <w:rPr>
          <w:rFonts w:ascii="Times New Roman" w:hAnsi="Times New Roman" w:eastAsia="宋体" w:cs="Times New Roman"/>
          <w:color w:val="auto"/>
          <w:szCs w:val="24"/>
        </w:rPr>
      </w:pPr>
      <w:r>
        <w:rPr>
          <w:rFonts w:hint="eastAsia" w:ascii="宋体" w:hAnsi="宋体" w:eastAsia="宋体" w:cs="Times New Roman"/>
          <w:color w:val="auto"/>
        </w:rPr>
        <w:t>6.2 甲乙双方按照合同约定顺序履行合同义务时，应当先履行一方未履行的，后履行一方有权拒绝其履行请求。先履行一方履行不符合约定的，后履行一方有权拒绝其相应的履行请求。</w:t>
      </w:r>
    </w:p>
    <w:p w14:paraId="368646D5">
      <w:pPr>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7. 货物包装、运输、保险和交付要求</w:t>
      </w:r>
    </w:p>
    <w:p w14:paraId="3FB95835">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7.1 本合同</w:t>
      </w:r>
      <w:r>
        <w:rPr>
          <w:rFonts w:hint="eastAsia" w:ascii="宋体" w:hAnsi="宋体" w:eastAsia="宋体" w:cs="Times New Roman"/>
          <w:bCs/>
          <w:color w:val="auto"/>
        </w:rPr>
        <w:t>涉及商品包装、快递包装的，</w:t>
      </w:r>
      <w:r>
        <w:rPr>
          <w:rFonts w:hint="eastAsia" w:ascii="宋体" w:hAnsi="宋体" w:eastAsia="宋体" w:cs="Times New Roman"/>
          <w:color w:val="auto"/>
        </w:rPr>
        <w:t>除</w:t>
      </w:r>
      <w:r>
        <w:rPr>
          <w:rFonts w:hint="eastAsia" w:ascii="宋体" w:hAnsi="宋体" w:eastAsia="宋体" w:cs="Times New Roman"/>
          <w:b/>
          <w:color w:val="auto"/>
        </w:rPr>
        <w:t>【政府采购合同专用条款】</w:t>
      </w:r>
      <w:r>
        <w:rPr>
          <w:rFonts w:hint="eastAsia" w:ascii="宋体" w:hAnsi="宋体" w:eastAsia="宋体" w:cs="Times New Roman"/>
          <w:bCs/>
          <w:color w:val="auto"/>
        </w:rPr>
        <w:t>另有约定外，</w:t>
      </w:r>
      <w:r>
        <w:rPr>
          <w:rFonts w:hint="eastAsia" w:ascii="宋体" w:hAnsi="宋体" w:eastAsia="宋体" w:cs="Times New Roman"/>
          <w:color w:val="auto"/>
        </w:rPr>
        <w:t>包装应适应远距离运输、防潮、防震、防锈和防野蛮装卸等要求，确保货物安全无损地运抵</w:t>
      </w:r>
      <w:r>
        <w:rPr>
          <w:rFonts w:hint="eastAsia" w:ascii="宋体" w:hAnsi="宋体" w:eastAsia="宋体" w:cs="Times New Roman"/>
          <w:b/>
          <w:color w:val="auto"/>
        </w:rPr>
        <w:t>【政府采购合同专用条款】</w:t>
      </w:r>
      <w:r>
        <w:rPr>
          <w:rFonts w:hint="eastAsia" w:ascii="宋体" w:hAnsi="宋体" w:eastAsia="宋体" w:cs="Times New Roman"/>
          <w:bCs/>
          <w:color w:val="auto"/>
        </w:rPr>
        <w:t>约定的</w:t>
      </w:r>
      <w:r>
        <w:rPr>
          <w:rFonts w:hint="eastAsia" w:ascii="宋体" w:hAnsi="宋体" w:eastAsia="宋体" w:cs="Times New Roman"/>
          <w:color w:val="auto"/>
        </w:rPr>
        <w:t>指定现场。</w:t>
      </w:r>
    </w:p>
    <w:p w14:paraId="69B9AEDA">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7.2 除</w:t>
      </w:r>
      <w:r>
        <w:rPr>
          <w:rFonts w:hint="eastAsia" w:ascii="宋体" w:hAnsi="宋体" w:eastAsia="宋体" w:cs="Times New Roman"/>
          <w:b/>
          <w:color w:val="auto"/>
        </w:rPr>
        <w:t>【政府采购合同专用条款】</w:t>
      </w:r>
      <w:r>
        <w:rPr>
          <w:rFonts w:hint="eastAsia" w:ascii="宋体" w:hAnsi="宋体" w:eastAsia="宋体" w:cs="Times New Roman"/>
          <w:bCs/>
          <w:color w:val="auto"/>
        </w:rPr>
        <w:t>另有约定外，</w:t>
      </w:r>
      <w:r>
        <w:rPr>
          <w:rFonts w:hint="eastAsia" w:ascii="宋体" w:hAnsi="宋体" w:eastAsia="宋体" w:cs="Times New Roman"/>
          <w:color w:val="auto"/>
        </w:rPr>
        <w:t>乙方负责办理将货物运抵本合同规定的交货地点，并装卸、交付至甲方的一切运输事项，相关费用应包含在合同价款中。</w:t>
      </w:r>
    </w:p>
    <w:p w14:paraId="153A07D2">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7.3 货物保险要求按</w:t>
      </w:r>
      <w:r>
        <w:rPr>
          <w:rFonts w:hint="eastAsia" w:ascii="宋体" w:hAnsi="宋体" w:eastAsia="宋体" w:cs="Times New Roman"/>
          <w:b/>
          <w:color w:val="auto"/>
        </w:rPr>
        <w:t>【政府采购合同专用条款】</w:t>
      </w:r>
      <w:r>
        <w:rPr>
          <w:rFonts w:hint="eastAsia" w:ascii="宋体" w:hAnsi="宋体" w:eastAsia="宋体" w:cs="Times New Roman"/>
          <w:bCs/>
          <w:color w:val="auto"/>
        </w:rPr>
        <w:t>规定执行</w:t>
      </w:r>
      <w:r>
        <w:rPr>
          <w:rFonts w:hint="eastAsia" w:ascii="宋体" w:hAnsi="宋体" w:eastAsia="宋体" w:cs="Times New Roman"/>
          <w:color w:val="auto"/>
        </w:rPr>
        <w:t>。</w:t>
      </w:r>
    </w:p>
    <w:p w14:paraId="6202B815">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7F8F078">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 xml:space="preserve">7.5 </w:t>
      </w:r>
      <w:r>
        <w:rPr>
          <w:rFonts w:hint="eastAsia" w:ascii="宋体" w:hAnsi="宋体" w:eastAsia="宋体" w:cs="宋体"/>
          <w:color w:val="auto"/>
        </w:rPr>
        <w:t>乙方在运输到达之前应提前通知甲方，并提示货物运输装卸的注意事项，甲方配合乙方做好货物的接收工作。</w:t>
      </w:r>
    </w:p>
    <w:p w14:paraId="7E3B2376">
      <w:pPr>
        <w:widowControl/>
        <w:autoSpaceDE w:val="0"/>
        <w:autoSpaceDN w:val="0"/>
        <w:adjustRightInd w:val="0"/>
        <w:spacing w:line="400" w:lineRule="exact"/>
        <w:ind w:firstLine="420" w:firstLineChars="200"/>
        <w:jc w:val="left"/>
        <w:rPr>
          <w:rFonts w:ascii="华文楷体" w:hAnsi="华文楷体" w:eastAsia="华文楷体" w:cs="华文楷体"/>
          <w:color w:val="auto"/>
          <w:kern w:val="0"/>
        </w:rPr>
      </w:pPr>
      <w:r>
        <w:rPr>
          <w:rFonts w:hint="eastAsia" w:ascii="宋体" w:hAnsi="宋体" w:eastAsia="宋体" w:cs="Times New Roman"/>
          <w:color w:val="auto"/>
        </w:rPr>
        <w:t>7.6 如因包装、运输问题导致货物损毁、丢失或者品质下降，甲方有权要求降价、换货、拒收部分或整批货物，由此产生的费用和损失，均由乙方承担。</w:t>
      </w:r>
    </w:p>
    <w:p w14:paraId="22686F1F">
      <w:pPr>
        <w:adjustRightInd w:val="0"/>
        <w:snapToGrid w:val="0"/>
        <w:spacing w:line="400" w:lineRule="exact"/>
        <w:jc w:val="left"/>
        <w:rPr>
          <w:rFonts w:ascii="宋体" w:hAnsi="宋体" w:eastAsia="宋体" w:cs="Times New Roman"/>
          <w:b/>
          <w:color w:val="auto"/>
          <w:sz w:val="24"/>
          <w:szCs w:val="24"/>
        </w:rPr>
      </w:pPr>
      <w:r>
        <w:rPr>
          <w:rFonts w:hint="eastAsia" w:ascii="宋体" w:hAnsi="宋体" w:eastAsia="宋体" w:cs="Times New Roman"/>
          <w:b/>
          <w:color w:val="auto"/>
          <w:sz w:val="24"/>
          <w:szCs w:val="24"/>
        </w:rPr>
        <w:t>8. 质量标准和保证</w:t>
      </w:r>
    </w:p>
    <w:p w14:paraId="165C866D">
      <w:pPr>
        <w:adjustRightInd w:val="0"/>
        <w:snapToGrid w:val="0"/>
        <w:spacing w:line="400" w:lineRule="exact"/>
        <w:ind w:firstLine="420" w:firstLineChars="200"/>
        <w:jc w:val="left"/>
        <w:rPr>
          <w:rFonts w:ascii="宋体" w:hAnsi="宋体" w:eastAsia="宋体" w:cs="Courier New"/>
          <w:b/>
          <w:color w:val="auto"/>
        </w:rPr>
      </w:pPr>
      <w:r>
        <w:rPr>
          <w:rFonts w:hint="eastAsia" w:ascii="宋体" w:hAnsi="宋体" w:eastAsia="宋体" w:cs="Courier New"/>
          <w:color w:val="auto"/>
        </w:rPr>
        <w:t>8.1 质量标准</w:t>
      </w:r>
    </w:p>
    <w:p w14:paraId="7C2FAF08">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（1）本合同下提供的货物应符合合同</w:t>
      </w:r>
      <w:r>
        <w:rPr>
          <w:rFonts w:hint="eastAsia" w:ascii="宋体" w:hAnsi="宋体" w:eastAsia="宋体" w:cs="宋体"/>
          <w:color w:val="auto"/>
        </w:rPr>
        <w:t>约定的品牌、规格型号、技术性能、配置、质量、数量等要求。</w:t>
      </w:r>
      <w:r>
        <w:rPr>
          <w:rFonts w:hint="eastAsia" w:ascii="宋体" w:hAnsi="宋体" w:eastAsia="宋体" w:cs="Times New Roman"/>
          <w:color w:val="auto"/>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41CA42E">
      <w:pPr>
        <w:adjustRightInd w:val="0"/>
        <w:snapToGrid w:val="0"/>
        <w:spacing w:line="400" w:lineRule="exact"/>
        <w:ind w:firstLine="420" w:firstLineChars="200"/>
        <w:jc w:val="left"/>
        <w:rPr>
          <w:rFonts w:ascii="宋体" w:hAnsi="宋体" w:eastAsia="宋体" w:cs="Courier New"/>
          <w:color w:val="auto"/>
        </w:rPr>
      </w:pPr>
      <w:r>
        <w:rPr>
          <w:rFonts w:hint="eastAsia" w:ascii="宋体" w:hAnsi="宋体" w:eastAsia="宋体" w:cs="Courier New"/>
          <w:color w:val="auto"/>
        </w:rPr>
        <w:t>（2）采用中华人民共和国法定计量单位。</w:t>
      </w:r>
    </w:p>
    <w:p w14:paraId="5D3E0F5E">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（3）乙方所提供的货物应符合国家有关安全、环保、卫生的规定。</w:t>
      </w:r>
    </w:p>
    <w:p w14:paraId="0EDD9240">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（4）乙方应向甲方提交所提供货物的技术文件，包括相应的中文技术文件，如：产品目录、图纸、操作手册、使用说明、维护手册或服务指南等。上述文件应包装好随货物一同发运。</w:t>
      </w:r>
    </w:p>
    <w:p w14:paraId="1B1C209A">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8.2 保证</w:t>
      </w:r>
    </w:p>
    <w:p w14:paraId="474E16BA">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（1）乙方应保证提供的货物完全符合合同规定的质量、规格和性能要求。乙方应保证货物在正确安装、正常使用和保养条件下，</w:t>
      </w:r>
      <w:r>
        <w:rPr>
          <w:rFonts w:hint="eastAsia" w:ascii="宋体" w:hAnsi="宋体" w:eastAsia="宋体" w:cs="宋体"/>
          <w:color w:val="auto"/>
        </w:rPr>
        <w:t>在其使用寿命期内具备合同约定的性能</w:t>
      </w:r>
      <w:r>
        <w:rPr>
          <w:rFonts w:hint="eastAsia" w:ascii="宋体" w:hAnsi="宋体" w:eastAsia="宋体" w:cs="Times New Roman"/>
          <w:color w:val="auto"/>
        </w:rPr>
        <w:t>。存在质量保证期的，货物最终交付验收合格后在</w:t>
      </w:r>
      <w:r>
        <w:rPr>
          <w:rFonts w:hint="eastAsia" w:ascii="宋体" w:hAnsi="宋体" w:eastAsia="宋体" w:cs="Times New Roman"/>
          <w:b/>
          <w:color w:val="auto"/>
        </w:rPr>
        <w:t>【政府采购合同专用条款】</w:t>
      </w:r>
      <w:r>
        <w:rPr>
          <w:rFonts w:hint="eastAsia" w:ascii="宋体" w:hAnsi="宋体" w:eastAsia="宋体" w:cs="Times New Roman"/>
          <w:color w:val="auto"/>
        </w:rPr>
        <w:t>规定或乙方书面承诺（两者以较长的为准）的质量保证期内，本保证保持有效。</w:t>
      </w:r>
    </w:p>
    <w:p w14:paraId="6C93539F">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（2）在质量保证期内所发现的缺陷，甲方应尽快以书面形式通知乙方。</w:t>
      </w:r>
    </w:p>
    <w:p w14:paraId="5A2BFD08">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（3）乙方收到通知后，应在</w:t>
      </w:r>
      <w:r>
        <w:rPr>
          <w:rFonts w:hint="eastAsia" w:ascii="宋体" w:hAnsi="宋体" w:eastAsia="宋体" w:cs="Times New Roman"/>
          <w:b/>
          <w:color w:val="auto"/>
        </w:rPr>
        <w:t>【政府采购合同专用条款】</w:t>
      </w:r>
      <w:r>
        <w:rPr>
          <w:rFonts w:hint="eastAsia" w:ascii="宋体" w:hAnsi="宋体" w:eastAsia="宋体" w:cs="Times New Roman"/>
          <w:color w:val="auto"/>
        </w:rPr>
        <w:t>规定的响应时间内以合理的速度免费维修或更换有缺陷的货物或部件。</w:t>
      </w:r>
    </w:p>
    <w:p w14:paraId="1C8D3489">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（4）在质量保证期内，如果货物的质量或规格与合同不符，或证实货物是有缺陷的，包括潜在的缺陷或使用不符合要求的材料等，甲方可以根据本合同第15.1条规定以书面形式追究乙方的违约责任。</w:t>
      </w:r>
    </w:p>
    <w:p w14:paraId="50ADD3A1">
      <w:pPr>
        <w:adjustRightInd w:val="0"/>
        <w:snapToGrid w:val="0"/>
        <w:spacing w:line="400" w:lineRule="exact"/>
        <w:ind w:firstLine="420" w:firstLineChars="200"/>
        <w:jc w:val="left"/>
        <w:rPr>
          <w:rFonts w:ascii="Times New Roman" w:hAnsi="Times New Roman" w:eastAsia="宋体" w:cs="Times New Roman"/>
          <w:color w:val="auto"/>
          <w:szCs w:val="24"/>
        </w:rPr>
      </w:pPr>
      <w:r>
        <w:rPr>
          <w:rFonts w:hint="eastAsia" w:ascii="宋体" w:hAnsi="宋体" w:eastAsia="宋体" w:cs="Times New Roman"/>
          <w:color w:val="auto"/>
        </w:rPr>
        <w:t>（5）乙方在约定的时间内未能弥补缺陷，甲方可采取必要的补救措施，但其风险和费用将由乙方承担，甲方根据合同约定对乙方行使的其他权利不受影响。</w:t>
      </w:r>
    </w:p>
    <w:p w14:paraId="7822E7B6">
      <w:pPr>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9. 权利瑕疵担保</w:t>
      </w:r>
    </w:p>
    <w:p w14:paraId="1778D8A0">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9.1 乙方保证对其出售的货物享有合法的权利。</w:t>
      </w:r>
    </w:p>
    <w:p w14:paraId="670C7967">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 xml:space="preserve">9.2 </w:t>
      </w:r>
      <w:r>
        <w:rPr>
          <w:rFonts w:hint="eastAsia" w:ascii="宋体" w:hAnsi="宋体" w:eastAsia="宋体" w:cs="宋体"/>
          <w:color w:val="auto"/>
          <w:szCs w:val="15"/>
        </w:rPr>
        <w:t>乙方保证在交付的货物上不存在抵押权等担保物权。</w:t>
      </w:r>
    </w:p>
    <w:p w14:paraId="00ECB98C">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9.3 如甲方使用上述货物构成对第三人侵权的，则由乙方承担全部责任。</w:t>
      </w:r>
    </w:p>
    <w:p w14:paraId="19780675">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10. 知识产权保护</w:t>
      </w:r>
    </w:p>
    <w:p w14:paraId="588FED8C">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10.1 乙方对其所销售的货物应当享有知识产权或经权利人合法授权，保证没有侵犯任何第三人的知识产权等权利。</w:t>
      </w:r>
      <w:bookmarkStart w:id="595" w:name="_Hlk163047038"/>
      <w:r>
        <w:rPr>
          <w:rFonts w:hint="eastAsia" w:ascii="宋体" w:hAnsi="宋体" w:eastAsia="宋体" w:cs="宋体"/>
          <w:color w:val="auto"/>
          <w:szCs w:val="15"/>
        </w:rPr>
        <w:t>因违反前述约定对第三人构成侵权的，应当由乙方向第三人承担法律责任；甲方依法向第三人赔偿后，有权向乙方追偿。甲方有其他损失的，乙方应当赔偿</w:t>
      </w:r>
      <w:bookmarkEnd w:id="595"/>
      <w:r>
        <w:rPr>
          <w:rFonts w:hint="eastAsia" w:ascii="宋体" w:hAnsi="宋体" w:eastAsia="宋体" w:cs="Times New Roman"/>
          <w:color w:val="auto"/>
        </w:rPr>
        <w:t>。</w:t>
      </w:r>
    </w:p>
    <w:p w14:paraId="2ADBA80B">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11. 保密义务</w:t>
      </w:r>
    </w:p>
    <w:p w14:paraId="4A5F9B2A">
      <w:pPr>
        <w:autoSpaceDE w:val="0"/>
        <w:autoSpaceDN w:val="0"/>
        <w:adjustRightInd w:val="0"/>
        <w:snapToGrid w:val="0"/>
        <w:spacing w:line="400" w:lineRule="exact"/>
        <w:ind w:firstLine="420" w:firstLineChars="200"/>
        <w:jc w:val="left"/>
        <w:rPr>
          <w:rFonts w:ascii="宋体" w:hAnsi="宋体" w:eastAsia="宋体" w:cs="宋体"/>
          <w:color w:val="auto"/>
          <w:szCs w:val="15"/>
        </w:rPr>
      </w:pPr>
      <w:r>
        <w:rPr>
          <w:rFonts w:hint="eastAsia" w:ascii="宋体" w:hAnsi="宋体" w:eastAsia="宋体" w:cs="宋体"/>
          <w:color w:val="auto"/>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rPr>
        <w:t>【政府采购合同专用条款】</w:t>
      </w:r>
      <w:r>
        <w:rPr>
          <w:rFonts w:hint="eastAsia" w:ascii="宋体" w:hAnsi="宋体" w:eastAsia="宋体" w:cs="宋体"/>
          <w:color w:val="auto"/>
          <w:szCs w:val="15"/>
        </w:rPr>
        <w:t>中约定。</w:t>
      </w:r>
    </w:p>
    <w:p w14:paraId="0107A677">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12. 合同价款支付</w:t>
      </w:r>
    </w:p>
    <w:p w14:paraId="7BBE7C47">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12.1 合同价款支付按照国库集中支付制度及财政管理相关规定执行。</w:t>
      </w:r>
    </w:p>
    <w:p w14:paraId="3F92D77A">
      <w:pPr>
        <w:keepNext/>
        <w:keepLines/>
        <w:spacing w:line="400" w:lineRule="exact"/>
        <w:ind w:firstLine="420" w:firstLineChars="200"/>
        <w:outlineLvl w:val="1"/>
        <w:rPr>
          <w:rFonts w:ascii="Arial" w:hAnsi="Arial" w:eastAsia="宋体" w:cs="Times New Roman"/>
          <w:b/>
          <w:bCs/>
          <w:color w:val="auto"/>
          <w:sz w:val="24"/>
          <w:szCs w:val="32"/>
        </w:rPr>
      </w:pPr>
      <w:r>
        <w:rPr>
          <w:rFonts w:hint="eastAsia" w:ascii="宋体" w:hAnsi="宋体" w:eastAsia="宋体" w:cs="Times New Roman"/>
          <w:color w:val="auto"/>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rPr>
        <w:t>政府采购合同专用条款</w:t>
      </w:r>
      <w:r>
        <w:rPr>
          <w:rFonts w:hint="eastAsia" w:ascii="宋体" w:hAnsi="宋体" w:eastAsia="宋体" w:cs="Times New Roman"/>
          <w:color w:val="auto"/>
        </w:rPr>
        <w:t>】中约定。</w:t>
      </w:r>
    </w:p>
    <w:p w14:paraId="5C5B3DB0">
      <w:pPr>
        <w:spacing w:line="400" w:lineRule="exac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13. 履约保证金</w:t>
      </w:r>
    </w:p>
    <w:p w14:paraId="0B1950BB">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 xml:space="preserve">13.1 </w:t>
      </w:r>
      <w:r>
        <w:rPr>
          <w:rFonts w:hint="eastAsia" w:ascii="宋体" w:hAnsi="宋体" w:eastAsia="宋体" w:cs="宋体"/>
          <w:color w:val="auto"/>
          <w:szCs w:val="15"/>
        </w:rPr>
        <w:t>乙方应当以支票、汇票、本票或者金融机构、担保机构出具的保函等非现金形式提交。</w:t>
      </w:r>
    </w:p>
    <w:p w14:paraId="3B655D3D">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13.2 如果乙方出现</w:t>
      </w:r>
      <w:r>
        <w:rPr>
          <w:rFonts w:hint="eastAsia" w:ascii="宋体" w:hAnsi="宋体" w:eastAsia="宋体" w:cs="宋体"/>
          <w:b/>
          <w:bCs/>
          <w:color w:val="auto"/>
          <w:szCs w:val="15"/>
        </w:rPr>
        <w:t>【政府采购合同专用条款】</w:t>
      </w:r>
      <w:r>
        <w:rPr>
          <w:rFonts w:hint="eastAsia" w:ascii="宋体" w:hAnsi="宋体" w:eastAsia="宋体" w:cs="宋体"/>
          <w:color w:val="auto"/>
          <w:szCs w:val="15"/>
        </w:rPr>
        <w:t>约定情形的</w:t>
      </w:r>
      <w:r>
        <w:rPr>
          <w:rFonts w:hint="eastAsia" w:ascii="宋体" w:hAnsi="宋体" w:eastAsia="宋体" w:cs="Times New Roman"/>
          <w:color w:val="auto"/>
        </w:rPr>
        <w:t>，履约保证金不予退还；如果乙方未能按合同约定全面履行义务，甲方有权从履约保证金中取得补偿或赔偿，且不影响甲方要求乙方承担合同约定的超过履约保证金的违约责任的权利。</w:t>
      </w:r>
    </w:p>
    <w:p w14:paraId="0CCEFCE4">
      <w:pPr>
        <w:spacing w:line="400" w:lineRule="exact"/>
        <w:ind w:firstLine="420"/>
        <w:rPr>
          <w:rFonts w:ascii="Times New Roman" w:hAnsi="Times New Roman" w:eastAsia="宋体" w:cs="Times New Roman"/>
          <w:color w:val="auto"/>
          <w:szCs w:val="24"/>
        </w:rPr>
      </w:pPr>
      <w:r>
        <w:rPr>
          <w:rFonts w:hint="eastAsia" w:ascii="宋体" w:hAnsi="宋体" w:eastAsia="宋体" w:cs="Times New Roman"/>
          <w:color w:val="auto"/>
        </w:rPr>
        <w:t>13.3 甲方在项目通过验收后按照</w:t>
      </w:r>
      <w:r>
        <w:rPr>
          <w:rFonts w:hint="eastAsia" w:ascii="宋体" w:hAnsi="宋体" w:eastAsia="宋体" w:cs="Times New Roman"/>
          <w:b/>
          <w:color w:val="auto"/>
        </w:rPr>
        <w:t>【政府采购合同专用条款】</w:t>
      </w:r>
      <w:r>
        <w:rPr>
          <w:rFonts w:hint="eastAsia" w:ascii="宋体" w:hAnsi="宋体" w:eastAsia="宋体" w:cs="Times New Roman"/>
          <w:color w:val="auto"/>
        </w:rPr>
        <w:t>规定的时间内将履约保证金退还乙方；逾期退还的，乙方可要求甲方支付违约金，违约金按照</w:t>
      </w:r>
      <w:r>
        <w:rPr>
          <w:rFonts w:hint="eastAsia" w:ascii="宋体" w:hAnsi="宋体" w:eastAsia="宋体" w:cs="Times New Roman"/>
          <w:b/>
          <w:color w:val="auto"/>
        </w:rPr>
        <w:t>【政府采购合同专用条款】</w:t>
      </w:r>
      <w:r>
        <w:rPr>
          <w:rFonts w:hint="eastAsia" w:ascii="宋体" w:hAnsi="宋体" w:eastAsia="宋体" w:cs="Times New Roman"/>
          <w:color w:val="auto"/>
        </w:rPr>
        <w:t>规定支付。</w:t>
      </w:r>
    </w:p>
    <w:p w14:paraId="50FB8B65">
      <w:pPr>
        <w:autoSpaceDE w:val="0"/>
        <w:autoSpaceDN w:val="0"/>
        <w:adjustRightInd w:val="0"/>
        <w:snapToGrid w:val="0"/>
        <w:spacing w:line="400" w:lineRule="exact"/>
        <w:jc w:val="left"/>
        <w:rPr>
          <w:rFonts w:ascii="宋体" w:hAnsi="宋体" w:eastAsia="宋体" w:cs="Times New Roman"/>
          <w:b/>
          <w:color w:val="auto"/>
          <w:sz w:val="24"/>
          <w:szCs w:val="24"/>
        </w:rPr>
      </w:pPr>
      <w:r>
        <w:rPr>
          <w:rFonts w:hint="eastAsia" w:ascii="宋体" w:hAnsi="宋体" w:eastAsia="宋体" w:cs="Times New Roman"/>
          <w:b/>
          <w:bCs/>
          <w:color w:val="auto"/>
          <w:sz w:val="24"/>
          <w:szCs w:val="24"/>
        </w:rPr>
        <w:t xml:space="preserve">14. </w:t>
      </w:r>
      <w:r>
        <w:rPr>
          <w:rFonts w:hint="eastAsia" w:ascii="Times New Roman" w:hAnsi="Times New Roman" w:eastAsia="宋体" w:cs="Times New Roman"/>
          <w:b/>
          <w:color w:val="auto"/>
          <w:sz w:val="24"/>
          <w:szCs w:val="24"/>
        </w:rPr>
        <w:t>售后</w:t>
      </w:r>
      <w:r>
        <w:rPr>
          <w:rFonts w:hint="eastAsia" w:ascii="宋体" w:hAnsi="宋体" w:eastAsia="宋体" w:cs="Times New Roman"/>
          <w:b/>
          <w:color w:val="auto"/>
          <w:sz w:val="24"/>
          <w:szCs w:val="24"/>
        </w:rPr>
        <w:t>服务</w:t>
      </w:r>
    </w:p>
    <w:p w14:paraId="3AEF5E51">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14.1 除项目不涉及或采购活动中明确约定无须承担外，乙方还应提供下列服务：</w:t>
      </w:r>
    </w:p>
    <w:p w14:paraId="5959A05A">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（1）货物的现场移动、安装、调试、启动监督及技术支持；</w:t>
      </w:r>
    </w:p>
    <w:p w14:paraId="57D2EEDC">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（2）提供货物组装和维修所需的专用工具和辅助材料；</w:t>
      </w:r>
    </w:p>
    <w:p w14:paraId="6B736BD1">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（3）在</w:t>
      </w:r>
      <w:r>
        <w:rPr>
          <w:rFonts w:hint="eastAsia" w:ascii="宋体" w:hAnsi="宋体" w:eastAsia="宋体" w:cs="宋体"/>
          <w:b/>
          <w:bCs/>
          <w:color w:val="auto"/>
          <w:szCs w:val="15"/>
        </w:rPr>
        <w:t>【政府采购合同专用条款】</w:t>
      </w:r>
      <w:r>
        <w:rPr>
          <w:rFonts w:hint="eastAsia" w:ascii="宋体" w:hAnsi="宋体" w:eastAsia="宋体" w:cs="Times New Roman"/>
          <w:color w:val="auto"/>
        </w:rPr>
        <w:t>约定的期限内对所有的货物实施运行监督、维修，但前提条件是该服务并不能免除乙方在质量保证期内所承担的义务；</w:t>
      </w:r>
    </w:p>
    <w:p w14:paraId="404EB256">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（4）在制造商所在地或指定现场就货物的安装、启动、运营、维护、废弃处置等对甲方操作人员进行培训</w:t>
      </w:r>
      <w:r>
        <w:rPr>
          <w:rFonts w:hint="eastAsia" w:ascii="宋体" w:hAnsi="宋体" w:eastAsia="宋体" w:cs="宋体"/>
          <w:color w:val="auto"/>
          <w:szCs w:val="15"/>
        </w:rPr>
        <w:t>；</w:t>
      </w:r>
    </w:p>
    <w:p w14:paraId="109AFEAF">
      <w:pPr>
        <w:widowControl/>
        <w:autoSpaceDE w:val="0"/>
        <w:autoSpaceDN w:val="0"/>
        <w:adjustRightInd w:val="0"/>
        <w:spacing w:line="40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（5）依照法律、行政法规的规定或者按照</w:t>
      </w:r>
      <w:r>
        <w:rPr>
          <w:rFonts w:hint="eastAsia" w:ascii="宋体" w:hAnsi="宋体" w:eastAsia="宋体" w:cs="宋体"/>
          <w:b/>
          <w:bCs/>
          <w:color w:val="auto"/>
          <w:kern w:val="0"/>
        </w:rPr>
        <w:t>【政府采购合同专用条款】</w:t>
      </w:r>
      <w:r>
        <w:rPr>
          <w:rFonts w:hint="eastAsia" w:ascii="宋体" w:hAnsi="宋体" w:eastAsia="宋体" w:cs="宋体"/>
          <w:color w:val="auto"/>
          <w:kern w:val="0"/>
        </w:rPr>
        <w:t>约定，货物在有效使用年限届满后应予回收的，乙方负有自行或者委托第三人对货物予以回收的义务；</w:t>
      </w:r>
    </w:p>
    <w:p w14:paraId="149A5E93">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（6）</w:t>
      </w:r>
      <w:r>
        <w:rPr>
          <w:rFonts w:hint="eastAsia" w:ascii="宋体" w:hAnsi="宋体" w:eastAsia="宋体" w:cs="Times New Roman"/>
          <w:b/>
          <w:color w:val="auto"/>
        </w:rPr>
        <w:t>【政府采购合同专用条款】</w:t>
      </w:r>
      <w:r>
        <w:rPr>
          <w:rFonts w:hint="eastAsia" w:ascii="宋体" w:hAnsi="宋体" w:eastAsia="宋体" w:cs="Times New Roman"/>
          <w:color w:val="auto"/>
        </w:rPr>
        <w:t>规定由乙方提供的其他服务。</w:t>
      </w:r>
    </w:p>
    <w:p w14:paraId="5EB126D0">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14.2 乙方提供的售后服务的费用已包含在合同价款中，甲方不再另行支付。</w:t>
      </w:r>
    </w:p>
    <w:p w14:paraId="09FD8A4A">
      <w:pPr>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15. 违约责任</w:t>
      </w:r>
    </w:p>
    <w:p w14:paraId="0D432FC1">
      <w:pPr>
        <w:adjustRightInd w:val="0"/>
        <w:snapToGrid w:val="0"/>
        <w:spacing w:line="400" w:lineRule="exact"/>
        <w:ind w:firstLine="420" w:firstLineChars="200"/>
        <w:jc w:val="left"/>
        <w:rPr>
          <w:rFonts w:ascii="宋体" w:hAnsi="宋体" w:eastAsia="宋体" w:cs="Times New Roman"/>
          <w:bCs/>
          <w:color w:val="auto"/>
        </w:rPr>
      </w:pPr>
      <w:r>
        <w:rPr>
          <w:rFonts w:hint="eastAsia" w:ascii="宋体" w:hAnsi="宋体" w:eastAsia="宋体" w:cs="Times New Roman"/>
          <w:bCs/>
          <w:color w:val="auto"/>
        </w:rPr>
        <w:t>15.1质量瑕疵的违约责任</w:t>
      </w:r>
    </w:p>
    <w:p w14:paraId="31DD9202">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乙方提供的产品不符合合同约定的质量标准或存在产品质量缺陷，甲方有权要求乙方根据</w:t>
      </w:r>
      <w:r>
        <w:rPr>
          <w:rFonts w:hint="eastAsia" w:ascii="宋体" w:hAnsi="宋体" w:eastAsia="宋体" w:cs="Times New Roman"/>
          <w:b/>
          <w:color w:val="auto"/>
        </w:rPr>
        <w:t>【政府采购合同专用条款】</w:t>
      </w:r>
      <w:r>
        <w:rPr>
          <w:rFonts w:hint="eastAsia" w:ascii="宋体" w:hAnsi="宋体" w:eastAsia="宋体" w:cs="Times New Roman"/>
          <w:bCs/>
          <w:color w:val="auto"/>
        </w:rPr>
        <w:t>要求</w:t>
      </w:r>
      <w:r>
        <w:rPr>
          <w:rFonts w:hint="eastAsia" w:ascii="宋体" w:hAnsi="宋体" w:eastAsia="宋体" w:cs="Times New Roman"/>
          <w:color w:val="auto"/>
        </w:rPr>
        <w:t>及时修理、重作、更换，并承担由此给甲方造成的损失。</w:t>
      </w:r>
    </w:p>
    <w:p w14:paraId="361605D5">
      <w:pPr>
        <w:autoSpaceDE w:val="0"/>
        <w:autoSpaceDN w:val="0"/>
        <w:adjustRightInd w:val="0"/>
        <w:snapToGrid w:val="0"/>
        <w:spacing w:line="400" w:lineRule="exact"/>
        <w:ind w:firstLine="420" w:firstLineChars="200"/>
        <w:jc w:val="left"/>
        <w:rPr>
          <w:rFonts w:ascii="宋体" w:hAnsi="宋体" w:eastAsia="宋体" w:cs="Times New Roman"/>
          <w:bCs/>
          <w:color w:val="auto"/>
        </w:rPr>
      </w:pPr>
      <w:r>
        <w:rPr>
          <w:rFonts w:hint="eastAsia" w:ascii="宋体" w:hAnsi="宋体" w:eastAsia="宋体" w:cs="Times New Roman"/>
          <w:bCs/>
          <w:color w:val="auto"/>
        </w:rPr>
        <w:t>15.2 迟延交货的违约责任</w:t>
      </w:r>
    </w:p>
    <w:p w14:paraId="075F32C5">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AD1E987">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auto"/>
        </w:rPr>
        <w:t>【政府采购合同专用条款】</w:t>
      </w:r>
      <w:r>
        <w:rPr>
          <w:rFonts w:hint="eastAsia" w:ascii="宋体" w:hAnsi="宋体" w:eastAsia="宋体" w:cs="Times New Roman"/>
          <w:color w:val="auto"/>
        </w:rPr>
        <w:t>规定执行。如果涉及公共利益，且赔偿金额无法弥补公共利益损失，甲方可要求继续履行或者采取其他补救措施。</w:t>
      </w:r>
    </w:p>
    <w:p w14:paraId="34943A57">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15.3 迟延支付的违约责任</w:t>
      </w:r>
    </w:p>
    <w:p w14:paraId="38121440">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甲方存在迟延支付乙方合同款项的，应当承担</w:t>
      </w:r>
      <w:r>
        <w:rPr>
          <w:rFonts w:hint="eastAsia" w:ascii="宋体" w:hAnsi="宋体" w:eastAsia="宋体" w:cs="Times New Roman"/>
          <w:b/>
          <w:bCs/>
          <w:color w:val="auto"/>
        </w:rPr>
        <w:t>【政府采购合同专用条款】</w:t>
      </w:r>
      <w:r>
        <w:rPr>
          <w:rFonts w:hint="eastAsia" w:ascii="宋体" w:hAnsi="宋体" w:eastAsia="宋体" w:cs="Times New Roman"/>
          <w:color w:val="auto"/>
        </w:rPr>
        <w:t>规定的逾期付款利息。</w:t>
      </w:r>
    </w:p>
    <w:p w14:paraId="17D6157D">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bCs/>
          <w:color w:val="auto"/>
        </w:rPr>
        <w:t>15.4其他违约责任根据项目实际需要按</w:t>
      </w:r>
      <w:r>
        <w:rPr>
          <w:rFonts w:hint="eastAsia" w:ascii="宋体" w:hAnsi="宋体" w:eastAsia="宋体" w:cs="Times New Roman"/>
          <w:b/>
          <w:bCs/>
          <w:color w:val="auto"/>
        </w:rPr>
        <w:t>【政府采购合同专用条款】</w:t>
      </w:r>
      <w:r>
        <w:rPr>
          <w:rFonts w:hint="eastAsia" w:ascii="宋体" w:hAnsi="宋体" w:eastAsia="宋体" w:cs="Times New Roman"/>
          <w:color w:val="auto"/>
        </w:rPr>
        <w:t>规定执行。</w:t>
      </w:r>
    </w:p>
    <w:p w14:paraId="7858E5BF">
      <w:pPr>
        <w:numPr>
          <w:ilvl w:val="0"/>
          <w:numId w:val="6"/>
        </w:numPr>
        <w:autoSpaceDE w:val="0"/>
        <w:autoSpaceDN w:val="0"/>
        <w:adjustRightInd w:val="0"/>
        <w:snapToGrid w:val="0"/>
        <w:spacing w:line="400" w:lineRule="exact"/>
        <w:jc w:val="left"/>
        <w:rPr>
          <w:rFonts w:ascii="宋体" w:hAnsi="宋体" w:eastAsia="宋体" w:cs="Times New Roman"/>
          <w:b/>
          <w:color w:val="auto"/>
          <w:sz w:val="24"/>
          <w:szCs w:val="24"/>
        </w:rPr>
      </w:pPr>
      <w:r>
        <w:rPr>
          <w:rFonts w:hint="eastAsia" w:ascii="宋体" w:hAnsi="宋体" w:eastAsia="宋体" w:cs="Times New Roman"/>
          <w:b/>
          <w:color w:val="auto"/>
          <w:sz w:val="24"/>
          <w:szCs w:val="24"/>
        </w:rPr>
        <w:t>合同变更、中止与终止</w:t>
      </w:r>
    </w:p>
    <w:p w14:paraId="1B872A55">
      <w:pPr>
        <w:adjustRightInd w:val="0"/>
        <w:snapToGrid w:val="0"/>
        <w:spacing w:line="400" w:lineRule="exact"/>
        <w:jc w:val="left"/>
        <w:rPr>
          <w:rFonts w:ascii="宋体" w:hAnsi="宋体" w:eastAsia="宋体" w:cs="Times New Roman"/>
          <w:color w:val="auto"/>
        </w:rPr>
      </w:pPr>
      <w:r>
        <w:rPr>
          <w:rFonts w:hint="eastAsia" w:ascii="宋体" w:hAnsi="宋体" w:eastAsia="宋体" w:cs="Times New Roman"/>
          <w:color w:val="auto"/>
        </w:rPr>
        <w:t xml:space="preserve">    16.1合同的变更</w:t>
      </w:r>
    </w:p>
    <w:p w14:paraId="6F09911D">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政府采购合同履行中，在不改变合同其他条款的前提下，甲方可以在合同价款10%的范围内追加与合同标的相同的货物，并就此与乙方协商一致后签订补充协议。</w:t>
      </w:r>
    </w:p>
    <w:p w14:paraId="3281A2F0">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16.2合同的中止</w:t>
      </w:r>
    </w:p>
    <w:p w14:paraId="0D26593C">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（1）合同履行过程中因供应商就采购文件、采购过程或结果提起投诉的，甲方认为有必要的，可以中止合同的履行。</w:t>
      </w:r>
    </w:p>
    <w:p w14:paraId="71D408D2">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E0D7607">
      <w:pPr>
        <w:widowControl/>
        <w:autoSpaceDE w:val="0"/>
        <w:autoSpaceDN w:val="0"/>
        <w:adjustRightInd w:val="0"/>
        <w:spacing w:line="400" w:lineRule="exact"/>
        <w:ind w:firstLine="420" w:firstLineChars="200"/>
        <w:rPr>
          <w:rFonts w:ascii="华文楷体" w:hAnsi="华文楷体" w:eastAsia="华文楷体" w:cs="华文楷体"/>
          <w:color w:val="auto"/>
          <w:kern w:val="0"/>
        </w:rPr>
      </w:pPr>
      <w:r>
        <w:rPr>
          <w:rFonts w:hint="eastAsia" w:ascii="宋体" w:hAnsi="宋体" w:eastAsia="宋体" w:cs="宋体"/>
          <w:color w:val="auto"/>
          <w:kern w:val="0"/>
        </w:rPr>
        <w:t>（3）乙方分立、合并或者变更住所的，应当及时以书面形式告知甲方。乙方没有及时告知甲方，致使合同履行发生困难的，甲方可以中止合同履行并要求乙方承担由此给甲方造成的损失。</w:t>
      </w:r>
    </w:p>
    <w:p w14:paraId="51AC340E">
      <w:pPr>
        <w:snapToGrid w:val="0"/>
        <w:spacing w:line="400" w:lineRule="exact"/>
        <w:ind w:firstLine="420" w:firstLineChars="200"/>
        <w:jc w:val="left"/>
        <w:rPr>
          <w:rFonts w:ascii="Times New Roman" w:hAnsi="Times New Roman" w:eastAsia="宋体" w:cs="Times New Roman"/>
          <w:color w:val="auto"/>
          <w:szCs w:val="24"/>
        </w:rPr>
      </w:pPr>
      <w:r>
        <w:rPr>
          <w:rFonts w:hint="eastAsia" w:ascii="宋体" w:hAnsi="宋体" w:eastAsia="宋体" w:cs="Times New Roman"/>
          <w:color w:val="auto"/>
        </w:rPr>
        <w:t>（4）甲方不得以行政区划调整、政府换届、机构或者职能调整以及相关责任人更替为由中止合同。</w:t>
      </w:r>
    </w:p>
    <w:p w14:paraId="66EFF444">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16.3合同的终止</w:t>
      </w:r>
    </w:p>
    <w:p w14:paraId="6ED26A02">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（1）合同因有效期限届满而终止；</w:t>
      </w:r>
    </w:p>
    <w:p w14:paraId="6A420CD1">
      <w:pPr>
        <w:snapToGrid w:val="0"/>
        <w:spacing w:line="400" w:lineRule="exact"/>
        <w:ind w:firstLine="420" w:firstLineChars="200"/>
        <w:rPr>
          <w:rFonts w:ascii="宋体" w:hAnsi="宋体" w:eastAsia="宋体" w:cs="宋体"/>
          <w:color w:val="auto"/>
        </w:rPr>
      </w:pPr>
      <w:r>
        <w:rPr>
          <w:rFonts w:hint="eastAsia" w:ascii="宋体" w:hAnsi="宋体" w:eastAsia="宋体" w:cs="Times New Roman"/>
          <w:color w:val="auto"/>
        </w:rPr>
        <w:t>（2）乙方未按合同约定履行，构成根本性违约的，甲方有权终止合同，</w:t>
      </w:r>
      <w:r>
        <w:rPr>
          <w:rFonts w:hint="eastAsia" w:ascii="宋体" w:hAnsi="宋体" w:eastAsia="宋体" w:cs="宋体"/>
          <w:color w:val="auto"/>
        </w:rPr>
        <w:t>并追究乙方的违约责任</w:t>
      </w:r>
      <w:r>
        <w:rPr>
          <w:rFonts w:hint="eastAsia" w:ascii="宋体" w:hAnsi="宋体" w:eastAsia="宋体" w:cs="Times New Roman"/>
          <w:color w:val="auto"/>
        </w:rPr>
        <w:t>。</w:t>
      </w:r>
    </w:p>
    <w:p w14:paraId="35E8643E">
      <w:pPr>
        <w:widowControl/>
        <w:autoSpaceDE w:val="0"/>
        <w:autoSpaceDN w:val="0"/>
        <w:adjustRightInd w:val="0"/>
        <w:spacing w:line="400" w:lineRule="exact"/>
        <w:ind w:firstLine="440" w:firstLineChars="200"/>
        <w:jc w:val="left"/>
        <w:rPr>
          <w:rFonts w:ascii="宋体" w:hAnsi="宋体" w:eastAsia="华文楷体" w:cs="华文楷体"/>
          <w:color w:val="auto"/>
          <w:kern w:val="0"/>
          <w:sz w:val="22"/>
        </w:rPr>
      </w:pPr>
      <w:r>
        <w:rPr>
          <w:rFonts w:hint="eastAsia" w:ascii="宋体" w:hAnsi="宋体" w:eastAsia="华文楷体" w:cs="华文楷体"/>
          <w:color w:val="auto"/>
          <w:kern w:val="0"/>
          <w:sz w:val="22"/>
        </w:rPr>
        <w:t xml:space="preserve">16.4 </w:t>
      </w:r>
      <w:r>
        <w:rPr>
          <w:rFonts w:hint="eastAsia" w:ascii="宋体" w:hAnsi="宋体" w:eastAsia="宋体" w:cs="Times New Roman"/>
          <w:color w:val="auto"/>
        </w:rPr>
        <w:t>涉及国家利益、社会公共利益的情形</w:t>
      </w:r>
    </w:p>
    <w:p w14:paraId="39C43D84">
      <w:pPr>
        <w:widowControl/>
        <w:autoSpaceDE w:val="0"/>
        <w:autoSpaceDN w:val="0"/>
        <w:adjustRightInd w:val="0"/>
        <w:spacing w:line="400" w:lineRule="exact"/>
        <w:ind w:firstLine="420" w:firstLineChars="200"/>
        <w:rPr>
          <w:rFonts w:ascii="华文楷体" w:hAnsi="华文楷体" w:eastAsia="华文楷体" w:cs="华文楷体"/>
          <w:color w:val="auto"/>
          <w:kern w:val="0"/>
        </w:rPr>
      </w:pPr>
      <w:r>
        <w:rPr>
          <w:rFonts w:hint="eastAsia" w:ascii="宋体" w:hAnsi="宋体" w:eastAsia="宋体" w:cs="宋体"/>
          <w:color w:val="auto"/>
          <w:kern w:val="0"/>
        </w:rPr>
        <w:t>政府采购合同继续履行将损害国家利益和社会公共利益的，双方当事人应当变更、中止或者终止合同。有过错的一方应当承担赔偿责任，双方都有过错的，各自承担相应的责任。</w:t>
      </w:r>
    </w:p>
    <w:p w14:paraId="7830F4D8">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17. 合同分包</w:t>
      </w:r>
    </w:p>
    <w:p w14:paraId="788EE194">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17.1 乙方不得将合同转包给其他供应商。涉及合同分包的，乙方应根据采购文件和投标（响应）文件规定进行合同分包。</w:t>
      </w:r>
    </w:p>
    <w:p w14:paraId="0A6C6172">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17.2 乙方执行政府采购政策向中小企业依法分包的，乙方应当按采购文件和投标（响应）文件签订分包意向协议，分包意向协议属于本合同组成部分。</w:t>
      </w:r>
    </w:p>
    <w:p w14:paraId="7F80CA55">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18. 不可抗力</w:t>
      </w:r>
    </w:p>
    <w:p w14:paraId="503CE735">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18.1 不可抗力是指合同双方不能预见、不能避免且不能克服的客观情况。</w:t>
      </w:r>
    </w:p>
    <w:p w14:paraId="652255BE">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18.2 任何一方对由于不可抗力造成的部分或全部不能履行合同不承担违约责任。但迟延履行后发生不可抗力的，不能免除责任。</w:t>
      </w:r>
    </w:p>
    <w:p w14:paraId="07D2C5E3">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9C1CB29">
      <w:pPr>
        <w:autoSpaceDE w:val="0"/>
        <w:autoSpaceDN w:val="0"/>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19. 解决争议的方法</w:t>
      </w:r>
    </w:p>
    <w:p w14:paraId="67723FCD">
      <w:pPr>
        <w:widowControl/>
        <w:autoSpaceDE w:val="0"/>
        <w:autoSpaceDN w:val="0"/>
        <w:adjustRightInd w:val="0"/>
        <w:spacing w:line="400" w:lineRule="exact"/>
        <w:ind w:firstLine="420" w:firstLineChars="200"/>
        <w:rPr>
          <w:rFonts w:ascii="宋体" w:hAnsi="宋体" w:eastAsia="宋体" w:cs="宋体"/>
          <w:color w:val="auto"/>
          <w:kern w:val="0"/>
        </w:rPr>
      </w:pPr>
      <w:r>
        <w:rPr>
          <w:rFonts w:hint="eastAsia" w:ascii="宋体" w:hAnsi="宋体" w:eastAsia="宋体" w:cs="宋体"/>
          <w:color w:val="auto"/>
          <w:kern w:val="0"/>
        </w:rPr>
        <w:t>19.1 因本合同及合同有关事项发生的争议，由甲乙双方友好协商解决。协商不成时，可以向有关组织申请调解。合同一方或双方不愿调解或调解不成的，可以通过仲裁或诉讼的方式解决争议。</w:t>
      </w:r>
    </w:p>
    <w:p w14:paraId="4790B605">
      <w:pPr>
        <w:widowControl/>
        <w:autoSpaceDE w:val="0"/>
        <w:autoSpaceDN w:val="0"/>
        <w:adjustRightInd w:val="0"/>
        <w:spacing w:line="400" w:lineRule="exact"/>
        <w:ind w:firstLine="420" w:firstLineChars="200"/>
        <w:rPr>
          <w:rFonts w:ascii="宋体" w:hAnsi="宋体" w:eastAsia="宋体" w:cs="宋体"/>
          <w:color w:val="auto"/>
          <w:kern w:val="0"/>
        </w:rPr>
      </w:pPr>
      <w:r>
        <w:rPr>
          <w:rFonts w:hint="eastAsia" w:ascii="宋体" w:hAnsi="宋体" w:eastAsia="宋体" w:cs="宋体"/>
          <w:color w:val="auto"/>
          <w:kern w:val="0"/>
        </w:rPr>
        <w:t>19.2 选择仲裁的，应在</w:t>
      </w:r>
      <w:r>
        <w:rPr>
          <w:rFonts w:hint="eastAsia" w:ascii="宋体" w:hAnsi="宋体" w:eastAsia="宋体" w:cs="宋体"/>
          <w:b/>
          <w:bCs/>
          <w:color w:val="auto"/>
          <w:kern w:val="0"/>
        </w:rPr>
        <w:t>【政府采购合同专用条款】</w:t>
      </w:r>
      <w:r>
        <w:rPr>
          <w:rFonts w:hint="eastAsia" w:ascii="宋体" w:hAnsi="宋体" w:eastAsia="宋体" w:cs="宋体"/>
          <w:color w:val="auto"/>
          <w:kern w:val="0"/>
        </w:rPr>
        <w:t>中明确仲裁机构及仲裁地；通过诉讼方式解决的，可以在</w:t>
      </w:r>
      <w:r>
        <w:rPr>
          <w:rFonts w:hint="eastAsia" w:ascii="宋体" w:hAnsi="宋体" w:eastAsia="宋体" w:cs="宋体"/>
          <w:b/>
          <w:bCs/>
          <w:color w:val="auto"/>
          <w:kern w:val="0"/>
        </w:rPr>
        <w:t>【政府采购合同专用条款】</w:t>
      </w:r>
      <w:r>
        <w:rPr>
          <w:rFonts w:hint="eastAsia" w:ascii="宋体" w:hAnsi="宋体" w:eastAsia="宋体" w:cs="宋体"/>
          <w:color w:val="auto"/>
          <w:kern w:val="0"/>
        </w:rPr>
        <w:t>中进一步约定选择与争议有实际联系的地点的人民法院管辖，但管辖法院的约定不得违反级别管辖和专属管辖的规定。</w:t>
      </w:r>
    </w:p>
    <w:p w14:paraId="620D8428">
      <w:pPr>
        <w:widowControl/>
        <w:autoSpaceDE w:val="0"/>
        <w:autoSpaceDN w:val="0"/>
        <w:adjustRightInd w:val="0"/>
        <w:spacing w:line="400" w:lineRule="exact"/>
        <w:ind w:firstLine="420" w:firstLineChars="200"/>
        <w:rPr>
          <w:rFonts w:ascii="宋体" w:hAnsi="宋体" w:eastAsia="宋体" w:cs="宋体"/>
          <w:color w:val="auto"/>
          <w:kern w:val="0"/>
        </w:rPr>
      </w:pPr>
      <w:r>
        <w:rPr>
          <w:rFonts w:hint="eastAsia" w:ascii="宋体" w:hAnsi="宋体" w:eastAsia="宋体" w:cs="宋体"/>
          <w:color w:val="auto"/>
          <w:kern w:val="0"/>
        </w:rPr>
        <w:t>19.3 如甲乙双方有争议的事项不影响合同其他部分的履行，在争议解决期间，合同其他部分应当继续履行。</w:t>
      </w:r>
    </w:p>
    <w:p w14:paraId="16DC2692">
      <w:pPr>
        <w:autoSpaceDE w:val="0"/>
        <w:autoSpaceDN w:val="0"/>
        <w:adjustRightInd w:val="0"/>
        <w:snapToGrid w:val="0"/>
        <w:spacing w:line="400" w:lineRule="exact"/>
        <w:jc w:val="left"/>
        <w:rPr>
          <w:rFonts w:ascii="宋体" w:hAnsi="宋体" w:eastAsia="宋体" w:cs="Times New Roman"/>
          <w:color w:val="auto"/>
          <w:sz w:val="24"/>
          <w:szCs w:val="24"/>
        </w:rPr>
      </w:pPr>
      <w:r>
        <w:rPr>
          <w:rFonts w:hint="eastAsia" w:ascii="宋体" w:hAnsi="宋体" w:eastAsia="宋体" w:cs="Times New Roman"/>
          <w:b/>
          <w:color w:val="auto"/>
          <w:sz w:val="24"/>
          <w:szCs w:val="24"/>
        </w:rPr>
        <w:t>20. 政府采购政策</w:t>
      </w:r>
    </w:p>
    <w:p w14:paraId="0EE7FF85">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 xml:space="preserve">20.1 </w:t>
      </w:r>
      <w:r>
        <w:rPr>
          <w:rFonts w:hint="eastAsia" w:ascii="宋体" w:hAnsi="宋体" w:eastAsia="宋体" w:cs="宋体"/>
          <w:color w:val="auto"/>
          <w:szCs w:val="24"/>
          <w:lang w:val="en-GB"/>
        </w:rPr>
        <w:t>本合同应当按照规定执行政府采购政策。</w:t>
      </w:r>
    </w:p>
    <w:p w14:paraId="7A5851DA">
      <w:pPr>
        <w:autoSpaceDE w:val="0"/>
        <w:autoSpaceDN w:val="0"/>
        <w:adjustRightInd w:val="0"/>
        <w:snapToGrid w:val="0"/>
        <w:spacing w:line="400" w:lineRule="exact"/>
        <w:ind w:firstLine="420" w:firstLineChars="200"/>
        <w:jc w:val="left"/>
        <w:rPr>
          <w:rFonts w:ascii="宋体" w:hAnsi="宋体" w:eastAsia="宋体" w:cs="Times New Roman"/>
          <w:color w:val="auto"/>
        </w:rPr>
      </w:pPr>
      <w:r>
        <w:rPr>
          <w:rFonts w:ascii="宋体" w:hAnsi="宋体" w:eastAsia="宋体" w:cs="Times New Roman"/>
          <w:color w:val="auto"/>
        </w:rPr>
        <w:t>2</w:t>
      </w:r>
      <w:r>
        <w:rPr>
          <w:rFonts w:hint="eastAsia" w:ascii="宋体" w:hAnsi="宋体" w:eastAsia="宋体" w:cs="Times New Roman"/>
          <w:color w:val="auto"/>
        </w:rPr>
        <w:t>0.2 本合同依法执行政府采购政策的方式和内容，属于合同履约验收的范围。</w:t>
      </w:r>
      <w:r>
        <w:rPr>
          <w:rFonts w:hint="eastAsia" w:ascii="宋体" w:hAnsi="宋体" w:eastAsia="宋体" w:cs="宋体"/>
          <w:color w:val="auto"/>
          <w:szCs w:val="24"/>
        </w:rPr>
        <w:t>甲乙双方</w:t>
      </w:r>
      <w:r>
        <w:rPr>
          <w:rFonts w:hint="eastAsia" w:ascii="宋体" w:hAnsi="宋体" w:eastAsia="宋体" w:cs="宋体"/>
          <w:color w:val="auto"/>
          <w:szCs w:val="24"/>
          <w:lang w:val="en-GB"/>
        </w:rPr>
        <w:t>未按规定要求执行政府采购政策造成损失的</w:t>
      </w:r>
      <w:r>
        <w:rPr>
          <w:rFonts w:hint="eastAsia" w:ascii="宋体" w:hAnsi="宋体" w:eastAsia="宋体" w:cs="Times New Roman"/>
          <w:color w:val="auto"/>
        </w:rPr>
        <w:t>，有过错的一方应当承担赔偿责任，双方都有过错的，各自承担相应的责任。</w:t>
      </w:r>
    </w:p>
    <w:p w14:paraId="68CF679C">
      <w:pPr>
        <w:spacing w:line="400" w:lineRule="exact"/>
        <w:ind w:firstLine="420" w:firstLineChars="200"/>
        <w:rPr>
          <w:rFonts w:ascii="Calibri" w:hAnsi="Calibri" w:eastAsia="宋体" w:cs="Times New Roman"/>
          <w:color w:val="auto"/>
          <w:szCs w:val="22"/>
        </w:rPr>
      </w:pPr>
      <w:r>
        <w:rPr>
          <w:rFonts w:ascii="宋体" w:hAnsi="宋体" w:eastAsia="宋体" w:cs="Times New Roman"/>
          <w:color w:val="auto"/>
        </w:rPr>
        <w:t>2</w:t>
      </w:r>
      <w:r>
        <w:rPr>
          <w:rFonts w:hint="eastAsia" w:ascii="宋体" w:hAnsi="宋体" w:eastAsia="宋体" w:cs="Times New Roman"/>
          <w:color w:val="auto"/>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1AC49DB">
      <w:pPr>
        <w:autoSpaceDE w:val="0"/>
        <w:autoSpaceDN w:val="0"/>
        <w:adjustRightInd w:val="0"/>
        <w:snapToGrid w:val="0"/>
        <w:spacing w:line="400" w:lineRule="exact"/>
        <w:jc w:val="left"/>
        <w:rPr>
          <w:rFonts w:ascii="宋体" w:hAnsi="宋体" w:eastAsia="宋体" w:cs="Times New Roman"/>
          <w:b/>
          <w:color w:val="auto"/>
          <w:sz w:val="24"/>
          <w:szCs w:val="24"/>
        </w:rPr>
      </w:pPr>
      <w:r>
        <w:rPr>
          <w:rFonts w:hint="eastAsia" w:ascii="宋体" w:hAnsi="宋体" w:eastAsia="宋体" w:cs="Times New Roman"/>
          <w:b/>
          <w:color w:val="auto"/>
          <w:sz w:val="24"/>
          <w:szCs w:val="24"/>
        </w:rPr>
        <w:t>21. 法律适用</w:t>
      </w:r>
    </w:p>
    <w:p w14:paraId="2E243C93">
      <w:pPr>
        <w:widowControl/>
        <w:autoSpaceDE w:val="0"/>
        <w:autoSpaceDN w:val="0"/>
        <w:adjustRightInd w:val="0"/>
        <w:spacing w:line="400" w:lineRule="exact"/>
        <w:ind w:firstLine="420" w:firstLineChars="200"/>
        <w:rPr>
          <w:rFonts w:ascii="宋体" w:hAnsi="宋体" w:eastAsia="宋体" w:cs="宋体"/>
          <w:color w:val="auto"/>
          <w:kern w:val="0"/>
        </w:rPr>
      </w:pPr>
      <w:r>
        <w:rPr>
          <w:rFonts w:hint="eastAsia" w:ascii="宋体" w:hAnsi="宋体" w:eastAsia="宋体" w:cs="宋体"/>
          <w:color w:val="auto"/>
          <w:kern w:val="0"/>
        </w:rPr>
        <w:t>21.1 本合同的订立、生效、解释、履行及与本合同有关的争议解决，均适用法律、行政法规。</w:t>
      </w:r>
    </w:p>
    <w:p w14:paraId="65DD030B">
      <w:pPr>
        <w:widowControl/>
        <w:autoSpaceDE w:val="0"/>
        <w:autoSpaceDN w:val="0"/>
        <w:adjustRightInd w:val="0"/>
        <w:spacing w:line="400" w:lineRule="exact"/>
        <w:ind w:firstLine="420" w:firstLineChars="200"/>
        <w:rPr>
          <w:rFonts w:ascii="宋体" w:hAnsi="宋体" w:eastAsia="宋体" w:cs="宋体"/>
          <w:color w:val="auto"/>
          <w:kern w:val="0"/>
        </w:rPr>
      </w:pPr>
      <w:r>
        <w:rPr>
          <w:rFonts w:hint="eastAsia" w:ascii="宋体" w:hAnsi="宋体" w:eastAsia="宋体" w:cs="宋体"/>
          <w:color w:val="auto"/>
          <w:kern w:val="0"/>
        </w:rPr>
        <w:t>21.2 本合同条款与法律、行政法规的强制性规定不一致的，双方当事人应按照法律、行政法规的强制性规定修改本合同的相关条款。</w:t>
      </w:r>
    </w:p>
    <w:p w14:paraId="3C2B54E2">
      <w:pPr>
        <w:numPr>
          <w:ilvl w:val="255"/>
          <w:numId w:val="0"/>
        </w:numPr>
        <w:autoSpaceDE w:val="0"/>
        <w:autoSpaceDN w:val="0"/>
        <w:adjustRightInd w:val="0"/>
        <w:snapToGrid w:val="0"/>
        <w:spacing w:line="400" w:lineRule="exact"/>
        <w:jc w:val="left"/>
        <w:rPr>
          <w:rFonts w:ascii="宋体" w:hAnsi="宋体" w:eastAsia="宋体" w:cs="Times New Roman"/>
          <w:b/>
          <w:color w:val="auto"/>
          <w:sz w:val="24"/>
          <w:szCs w:val="24"/>
        </w:rPr>
      </w:pPr>
      <w:r>
        <w:rPr>
          <w:rFonts w:hint="eastAsia" w:ascii="宋体" w:hAnsi="宋体" w:eastAsia="宋体" w:cs="Times New Roman"/>
          <w:b/>
          <w:color w:val="auto"/>
          <w:sz w:val="24"/>
          <w:szCs w:val="24"/>
        </w:rPr>
        <w:t>22. 通知</w:t>
      </w:r>
    </w:p>
    <w:p w14:paraId="1CF2676A">
      <w:pPr>
        <w:widowControl/>
        <w:autoSpaceDE w:val="0"/>
        <w:autoSpaceDN w:val="0"/>
        <w:adjustRightInd w:val="0"/>
        <w:spacing w:line="400" w:lineRule="exact"/>
        <w:ind w:firstLine="420" w:firstLineChars="200"/>
        <w:rPr>
          <w:rFonts w:ascii="宋体" w:hAnsi="宋体" w:eastAsia="宋体" w:cs="宋体"/>
          <w:color w:val="auto"/>
          <w:kern w:val="0"/>
        </w:rPr>
      </w:pPr>
      <w:r>
        <w:rPr>
          <w:rFonts w:hint="eastAsia" w:ascii="宋体" w:hAnsi="宋体" w:eastAsia="宋体" w:cs="宋体"/>
          <w:color w:val="auto"/>
          <w:kern w:val="0"/>
        </w:rPr>
        <w:t>22.1 本合同任何一方向对方发出的通知、信件、数据电文等，应当发送至本合同第一部分《政府采购合同协议书》所约定的通讯地址、联系人、联系电话或电子邮箱。</w:t>
      </w:r>
    </w:p>
    <w:p w14:paraId="64530331">
      <w:pPr>
        <w:widowControl/>
        <w:autoSpaceDE w:val="0"/>
        <w:autoSpaceDN w:val="0"/>
        <w:adjustRightInd w:val="0"/>
        <w:spacing w:line="400" w:lineRule="exact"/>
        <w:rPr>
          <w:rFonts w:ascii="华文楷体" w:hAnsi="华文楷体" w:eastAsia="华文楷体" w:cs="华文楷体"/>
          <w:color w:val="auto"/>
          <w:kern w:val="0"/>
        </w:rPr>
      </w:pPr>
      <w:r>
        <w:rPr>
          <w:rFonts w:hint="eastAsia" w:ascii="宋体" w:hAnsi="宋体" w:eastAsia="宋体" w:cs="宋体"/>
          <w:color w:val="auto"/>
          <w:kern w:val="0"/>
        </w:rPr>
        <w:t xml:space="preserve">    22.2 一方当事人变更名称、住所、联系人、联系电话或电子邮箱等信息的，应当在变更后3日内及时书面通知对方，对方实际收到变更通知前的送达仍为有效送达。</w:t>
      </w:r>
    </w:p>
    <w:p w14:paraId="0E3C4E28">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22.3本合同一方给另一方的通知均应采用书面形式，传真或快递送到本合同中规定的对方的地址和办理签收手续。</w:t>
      </w:r>
    </w:p>
    <w:p w14:paraId="0625E164">
      <w:pPr>
        <w:adjustRightInd w:val="0"/>
        <w:snapToGrid w:val="0"/>
        <w:spacing w:line="400" w:lineRule="exact"/>
        <w:ind w:firstLine="420" w:firstLineChars="200"/>
        <w:jc w:val="left"/>
        <w:rPr>
          <w:rFonts w:ascii="宋体" w:hAnsi="宋体" w:eastAsia="宋体" w:cs="Times New Roman"/>
          <w:color w:val="auto"/>
        </w:rPr>
      </w:pPr>
      <w:r>
        <w:rPr>
          <w:rFonts w:hint="eastAsia" w:ascii="宋体" w:hAnsi="宋体" w:eastAsia="宋体" w:cs="Times New Roman"/>
          <w:color w:val="auto"/>
        </w:rPr>
        <w:t>22.4通知以送达之日或通知书中规定的生效之日起生效，两者中以较迟之日为准。</w:t>
      </w:r>
    </w:p>
    <w:p w14:paraId="2C698175">
      <w:pPr>
        <w:numPr>
          <w:ilvl w:val="0"/>
          <w:numId w:val="7"/>
        </w:numPr>
        <w:adjustRightInd w:val="0"/>
        <w:snapToGrid w:val="0"/>
        <w:spacing w:line="400" w:lineRule="exact"/>
        <w:jc w:val="left"/>
        <w:rPr>
          <w:rFonts w:ascii="宋体" w:hAnsi="宋体" w:eastAsia="宋体" w:cs="Times New Roman"/>
          <w:b/>
          <w:bCs/>
          <w:color w:val="auto"/>
          <w:sz w:val="24"/>
          <w:szCs w:val="24"/>
        </w:rPr>
      </w:pPr>
      <w:r>
        <w:rPr>
          <w:rFonts w:hint="eastAsia" w:ascii="宋体" w:hAnsi="宋体" w:eastAsia="宋体" w:cs="Times New Roman"/>
          <w:b/>
          <w:bCs/>
          <w:color w:val="auto"/>
          <w:sz w:val="24"/>
          <w:szCs w:val="24"/>
        </w:rPr>
        <w:t>合同未尽事项</w:t>
      </w:r>
    </w:p>
    <w:p w14:paraId="23729F06">
      <w:pPr>
        <w:adjustRightInd w:val="0"/>
        <w:snapToGrid w:val="0"/>
        <w:spacing w:line="400" w:lineRule="exact"/>
        <w:ind w:firstLine="420" w:firstLineChars="200"/>
        <w:jc w:val="left"/>
        <w:rPr>
          <w:rFonts w:ascii="宋体" w:hAnsi="宋体" w:eastAsia="宋体" w:cs="Times New Roman"/>
          <w:bCs/>
          <w:color w:val="auto"/>
        </w:rPr>
      </w:pPr>
      <w:r>
        <w:rPr>
          <w:rFonts w:hint="eastAsia" w:ascii="宋体" w:hAnsi="宋体" w:eastAsia="宋体" w:cs="Times New Roman"/>
          <w:bCs/>
          <w:color w:val="auto"/>
        </w:rPr>
        <w:t>23.1合同未尽事项见</w:t>
      </w:r>
      <w:r>
        <w:rPr>
          <w:rFonts w:hint="eastAsia" w:ascii="宋体" w:hAnsi="宋体" w:eastAsia="宋体" w:cs="Times New Roman"/>
          <w:b/>
          <w:color w:val="auto"/>
        </w:rPr>
        <w:t>【政府采购合同专用条款】</w:t>
      </w:r>
      <w:r>
        <w:rPr>
          <w:rFonts w:hint="eastAsia" w:ascii="宋体" w:hAnsi="宋体" w:eastAsia="宋体" w:cs="Times New Roman"/>
          <w:bCs/>
          <w:color w:val="auto"/>
        </w:rPr>
        <w:t>。</w:t>
      </w:r>
    </w:p>
    <w:p w14:paraId="6BFB6EEA">
      <w:pPr>
        <w:adjustRightInd w:val="0"/>
        <w:snapToGrid w:val="0"/>
        <w:spacing w:line="400" w:lineRule="exact"/>
        <w:jc w:val="left"/>
        <w:rPr>
          <w:rFonts w:ascii="黑体" w:hAnsi="华文中宋" w:eastAsia="黑体" w:cs="Times New Roman"/>
          <w:color w:val="auto"/>
          <w:sz w:val="28"/>
          <w:szCs w:val="28"/>
        </w:rPr>
      </w:pPr>
      <w:r>
        <w:rPr>
          <w:rFonts w:hint="eastAsia" w:ascii="宋体" w:hAnsi="宋体" w:eastAsia="宋体" w:cs="Times New Roman"/>
          <w:bCs/>
          <w:color w:val="auto"/>
        </w:rPr>
        <w:t xml:space="preserve">    23.2 合同附件与合同正文具有同等的法律效力。</w:t>
      </w:r>
      <w:bookmarkStart w:id="596" w:name="_Toc20313"/>
    </w:p>
    <w:p w14:paraId="3E90F1C0">
      <w:pPr>
        <w:adjustRightInd w:val="0"/>
        <w:snapToGrid w:val="0"/>
        <w:jc w:val="center"/>
        <w:rPr>
          <w:rFonts w:ascii="黑体" w:hAnsi="华文中宋" w:eastAsia="黑体" w:cs="Times New Roman"/>
          <w:color w:val="auto"/>
          <w:sz w:val="28"/>
          <w:szCs w:val="28"/>
        </w:rPr>
      </w:pPr>
      <w:r>
        <w:rPr>
          <w:rFonts w:hint="eastAsia" w:ascii="黑体" w:hAnsi="华文中宋" w:eastAsia="黑体" w:cs="Times New Roman"/>
          <w:color w:val="auto"/>
          <w:sz w:val="28"/>
          <w:szCs w:val="28"/>
        </w:rPr>
        <w:br w:type="page"/>
      </w:r>
    </w:p>
    <w:p w14:paraId="5EBCFC38">
      <w:pPr>
        <w:keepNext/>
        <w:keepLines/>
        <w:adjustRightInd w:val="0"/>
        <w:snapToGrid w:val="0"/>
        <w:spacing w:line="360" w:lineRule="auto"/>
        <w:jc w:val="center"/>
        <w:outlineLvl w:val="1"/>
        <w:rPr>
          <w:rFonts w:ascii="黑体" w:hAnsi="华文中宋" w:eastAsia="黑体" w:cs="Times New Roman"/>
          <w:color w:val="auto"/>
          <w:sz w:val="28"/>
          <w:szCs w:val="28"/>
        </w:rPr>
      </w:pPr>
      <w:r>
        <w:rPr>
          <w:rFonts w:hint="eastAsia" w:ascii="黑体" w:hAnsi="华文中宋" w:eastAsia="黑体" w:cs="Times New Roman"/>
          <w:color w:val="auto"/>
          <w:sz w:val="28"/>
          <w:szCs w:val="28"/>
        </w:rPr>
        <w:t>第三节 政府采购合同专用条款</w:t>
      </w:r>
      <w:bookmarkEnd w:id="596"/>
    </w:p>
    <w:tbl>
      <w:tblPr>
        <w:tblStyle w:val="39"/>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BF849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843FA13">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425BA7EF">
            <w:pPr>
              <w:adjustRightInd w:val="0"/>
              <w:snapToGrid w:val="0"/>
              <w:jc w:val="center"/>
              <w:rPr>
                <w:rFonts w:ascii="宋体" w:hAnsi="宋体" w:eastAsia="宋体" w:cs="Times New Roman"/>
                <w:color w:val="auto"/>
              </w:rPr>
            </w:pPr>
            <w:r>
              <w:rPr>
                <w:rFonts w:hint="eastAsia" w:ascii="宋体" w:hAnsi="宋体" w:eastAsia="宋体" w:cs="Times New Roman"/>
                <w:color w:val="auto"/>
              </w:rPr>
              <w:t>第1.2（6）项</w:t>
            </w:r>
          </w:p>
        </w:tc>
        <w:tc>
          <w:tcPr>
            <w:tcW w:w="1742" w:type="dxa"/>
            <w:vAlign w:val="center"/>
          </w:tcPr>
          <w:p w14:paraId="5725F6FE">
            <w:pPr>
              <w:adjustRightInd w:val="0"/>
              <w:snapToGrid w:val="0"/>
              <w:jc w:val="center"/>
              <w:rPr>
                <w:rFonts w:ascii="宋体" w:hAnsi="宋体" w:eastAsia="宋体" w:cs="Times New Roman"/>
                <w:color w:val="auto"/>
              </w:rPr>
            </w:pPr>
            <w:r>
              <w:rPr>
                <w:rFonts w:hint="eastAsia" w:ascii="宋体" w:hAnsi="宋体" w:eastAsia="宋体" w:cs="Times New Roman"/>
                <w:color w:val="auto"/>
              </w:rPr>
              <w:t>联合体具体要求</w:t>
            </w:r>
          </w:p>
        </w:tc>
        <w:tc>
          <w:tcPr>
            <w:tcW w:w="5170" w:type="dxa"/>
            <w:vAlign w:val="center"/>
          </w:tcPr>
          <w:p w14:paraId="64CF50D6">
            <w:pPr>
              <w:adjustRightInd w:val="0"/>
              <w:snapToGrid w:val="0"/>
              <w:jc w:val="center"/>
              <w:rPr>
                <w:rFonts w:ascii="宋体" w:hAnsi="宋体" w:eastAsia="宋体" w:cs="Times New Roman"/>
                <w:color w:val="auto"/>
              </w:rPr>
            </w:pPr>
          </w:p>
        </w:tc>
      </w:tr>
      <w:tr w14:paraId="4510D0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25D881ED">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562E7ED4">
            <w:pPr>
              <w:adjustRightInd w:val="0"/>
              <w:snapToGrid w:val="0"/>
              <w:jc w:val="center"/>
              <w:rPr>
                <w:rFonts w:ascii="宋体" w:hAnsi="宋体" w:eastAsia="宋体" w:cs="Times New Roman"/>
                <w:color w:val="auto"/>
              </w:rPr>
            </w:pPr>
            <w:r>
              <w:rPr>
                <w:rFonts w:hint="eastAsia" w:ascii="宋体" w:hAnsi="宋体" w:eastAsia="宋体" w:cs="Times New Roman"/>
                <w:color w:val="auto"/>
              </w:rPr>
              <w:t>第1.2（7）项</w:t>
            </w:r>
          </w:p>
        </w:tc>
        <w:tc>
          <w:tcPr>
            <w:tcW w:w="1742" w:type="dxa"/>
            <w:vAlign w:val="center"/>
          </w:tcPr>
          <w:p w14:paraId="0EB290E3">
            <w:pPr>
              <w:adjustRightInd w:val="0"/>
              <w:snapToGrid w:val="0"/>
              <w:jc w:val="center"/>
              <w:rPr>
                <w:rFonts w:ascii="宋体" w:hAnsi="宋体" w:eastAsia="宋体" w:cs="Times New Roman"/>
                <w:color w:val="auto"/>
              </w:rPr>
            </w:pPr>
            <w:r>
              <w:rPr>
                <w:rFonts w:hint="eastAsia" w:ascii="宋体" w:hAnsi="宋体" w:eastAsia="宋体" w:cs="Times New Roman"/>
                <w:color w:val="auto"/>
              </w:rPr>
              <w:t>其他术语解释</w:t>
            </w:r>
          </w:p>
        </w:tc>
        <w:tc>
          <w:tcPr>
            <w:tcW w:w="5170" w:type="dxa"/>
            <w:vAlign w:val="center"/>
          </w:tcPr>
          <w:p w14:paraId="1718F51A">
            <w:pPr>
              <w:adjustRightInd w:val="0"/>
              <w:snapToGrid w:val="0"/>
              <w:jc w:val="center"/>
              <w:rPr>
                <w:rFonts w:ascii="宋体" w:hAnsi="宋体" w:eastAsia="宋体" w:cs="Times New Roman"/>
                <w:color w:val="auto"/>
              </w:rPr>
            </w:pPr>
          </w:p>
        </w:tc>
      </w:tr>
      <w:tr w14:paraId="1F727C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345EF93">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41CF4628">
            <w:pPr>
              <w:adjustRightInd w:val="0"/>
              <w:snapToGrid w:val="0"/>
              <w:jc w:val="center"/>
              <w:rPr>
                <w:rFonts w:ascii="宋体" w:hAnsi="宋体" w:eastAsia="宋体" w:cs="Times New Roman"/>
                <w:color w:val="auto"/>
              </w:rPr>
            </w:pPr>
            <w:r>
              <w:rPr>
                <w:rFonts w:hint="eastAsia" w:ascii="宋体" w:hAnsi="宋体" w:eastAsia="宋体" w:cs="Times New Roman"/>
                <w:color w:val="auto"/>
              </w:rPr>
              <w:t>第4.4款</w:t>
            </w:r>
          </w:p>
        </w:tc>
        <w:tc>
          <w:tcPr>
            <w:tcW w:w="1742" w:type="dxa"/>
            <w:vAlign w:val="center"/>
          </w:tcPr>
          <w:p w14:paraId="73221B86">
            <w:pPr>
              <w:adjustRightInd w:val="0"/>
              <w:snapToGrid w:val="0"/>
              <w:jc w:val="center"/>
              <w:rPr>
                <w:rFonts w:ascii="宋体" w:hAnsi="宋体" w:eastAsia="宋体" w:cs="Times New Roman"/>
                <w:color w:val="auto"/>
              </w:rPr>
            </w:pPr>
            <w:r>
              <w:rPr>
                <w:rFonts w:hint="eastAsia" w:ascii="宋体" w:hAnsi="宋体" w:eastAsia="宋体" w:cs="Times New Roman"/>
                <w:color w:val="auto"/>
              </w:rPr>
              <w:t>履约验收中甲方提出异议或作出说明的期限</w:t>
            </w:r>
          </w:p>
        </w:tc>
        <w:tc>
          <w:tcPr>
            <w:tcW w:w="5170" w:type="dxa"/>
            <w:vAlign w:val="center"/>
          </w:tcPr>
          <w:p w14:paraId="77373A39">
            <w:pPr>
              <w:adjustRightInd w:val="0"/>
              <w:snapToGrid w:val="0"/>
              <w:jc w:val="center"/>
              <w:rPr>
                <w:rFonts w:ascii="宋体" w:hAnsi="宋体" w:eastAsia="宋体" w:cs="Times New Roman"/>
                <w:color w:val="auto"/>
              </w:rPr>
            </w:pPr>
          </w:p>
        </w:tc>
      </w:tr>
      <w:tr w14:paraId="1BFA04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343237D">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3D0C65BD">
            <w:pPr>
              <w:adjustRightInd w:val="0"/>
              <w:snapToGrid w:val="0"/>
              <w:jc w:val="center"/>
              <w:rPr>
                <w:rFonts w:ascii="宋体" w:hAnsi="宋体" w:eastAsia="宋体" w:cs="Times New Roman"/>
                <w:color w:val="auto"/>
              </w:rPr>
            </w:pPr>
            <w:r>
              <w:rPr>
                <w:rFonts w:hint="eastAsia" w:ascii="宋体" w:hAnsi="宋体" w:eastAsia="宋体" w:cs="Times New Roman"/>
                <w:color w:val="auto"/>
              </w:rPr>
              <w:t>第4.6款</w:t>
            </w:r>
          </w:p>
        </w:tc>
        <w:tc>
          <w:tcPr>
            <w:tcW w:w="1742" w:type="dxa"/>
            <w:vAlign w:val="center"/>
          </w:tcPr>
          <w:p w14:paraId="61E9CA6D">
            <w:pPr>
              <w:adjustRightInd w:val="0"/>
              <w:snapToGrid w:val="0"/>
              <w:jc w:val="center"/>
              <w:rPr>
                <w:rFonts w:ascii="宋体" w:hAnsi="宋体" w:eastAsia="宋体" w:cs="Times New Roman"/>
                <w:color w:val="auto"/>
              </w:rPr>
            </w:pPr>
            <w:r>
              <w:rPr>
                <w:rFonts w:hint="eastAsia" w:ascii="宋体" w:hAnsi="宋体" w:eastAsia="宋体" w:cs="Times New Roman"/>
                <w:color w:val="auto"/>
              </w:rPr>
              <w:t>约定甲方承担的其他义务和责任</w:t>
            </w:r>
          </w:p>
        </w:tc>
        <w:tc>
          <w:tcPr>
            <w:tcW w:w="5170" w:type="dxa"/>
            <w:vAlign w:val="center"/>
          </w:tcPr>
          <w:p w14:paraId="409FC669">
            <w:pPr>
              <w:adjustRightInd w:val="0"/>
              <w:snapToGrid w:val="0"/>
              <w:jc w:val="center"/>
              <w:rPr>
                <w:rFonts w:ascii="宋体" w:hAnsi="宋体" w:eastAsia="宋体" w:cs="Times New Roman"/>
                <w:color w:val="auto"/>
              </w:rPr>
            </w:pPr>
          </w:p>
        </w:tc>
      </w:tr>
      <w:tr w14:paraId="70519F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ED47142">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37B5EFB8">
            <w:pPr>
              <w:snapToGrid w:val="0"/>
              <w:jc w:val="center"/>
              <w:rPr>
                <w:rFonts w:ascii="Times New Roman" w:hAnsi="Times New Roman" w:eastAsia="宋体" w:cs="Times New Roman"/>
                <w:color w:val="auto"/>
                <w:szCs w:val="24"/>
              </w:rPr>
            </w:pPr>
            <w:r>
              <w:rPr>
                <w:rFonts w:hint="eastAsia" w:ascii="宋体" w:hAnsi="宋体" w:eastAsia="宋体" w:cs="Times New Roman"/>
                <w:color w:val="auto"/>
              </w:rPr>
              <w:t>第5.4款</w:t>
            </w:r>
          </w:p>
        </w:tc>
        <w:tc>
          <w:tcPr>
            <w:tcW w:w="1742" w:type="dxa"/>
            <w:vAlign w:val="center"/>
          </w:tcPr>
          <w:p w14:paraId="6E9C584A">
            <w:pPr>
              <w:adjustRightInd w:val="0"/>
              <w:snapToGrid w:val="0"/>
              <w:jc w:val="center"/>
              <w:rPr>
                <w:rFonts w:ascii="宋体" w:hAnsi="宋体" w:eastAsia="宋体" w:cs="Times New Roman"/>
                <w:color w:val="auto"/>
              </w:rPr>
            </w:pPr>
            <w:r>
              <w:rPr>
                <w:rFonts w:hint="eastAsia" w:ascii="宋体" w:hAnsi="宋体" w:eastAsia="宋体" w:cs="Times New Roman"/>
                <w:color w:val="auto"/>
              </w:rPr>
              <w:t>约定乙方承担的其他义务和责任</w:t>
            </w:r>
          </w:p>
        </w:tc>
        <w:tc>
          <w:tcPr>
            <w:tcW w:w="5170" w:type="dxa"/>
            <w:vAlign w:val="center"/>
          </w:tcPr>
          <w:p w14:paraId="734D4DB9">
            <w:pPr>
              <w:adjustRightInd w:val="0"/>
              <w:snapToGrid w:val="0"/>
              <w:jc w:val="center"/>
              <w:rPr>
                <w:rFonts w:ascii="宋体" w:hAnsi="宋体" w:eastAsia="宋体" w:cs="Times New Roman"/>
                <w:color w:val="auto"/>
              </w:rPr>
            </w:pPr>
          </w:p>
        </w:tc>
      </w:tr>
      <w:tr w14:paraId="672D86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66EB682">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21F508B7">
            <w:pPr>
              <w:snapToGrid w:val="0"/>
              <w:jc w:val="center"/>
              <w:rPr>
                <w:rFonts w:ascii="宋体" w:hAnsi="宋体" w:eastAsia="宋体" w:cs="Times New Roman"/>
                <w:color w:val="auto"/>
              </w:rPr>
            </w:pPr>
            <w:r>
              <w:rPr>
                <w:rFonts w:hint="eastAsia" w:ascii="宋体" w:hAnsi="宋体" w:eastAsia="宋体" w:cs="Times New Roman"/>
                <w:color w:val="auto"/>
              </w:rPr>
              <w:t>第6.1款</w:t>
            </w:r>
          </w:p>
        </w:tc>
        <w:tc>
          <w:tcPr>
            <w:tcW w:w="1742" w:type="dxa"/>
            <w:vAlign w:val="center"/>
          </w:tcPr>
          <w:p w14:paraId="04B4B164">
            <w:pPr>
              <w:adjustRightInd w:val="0"/>
              <w:snapToGrid w:val="0"/>
              <w:jc w:val="center"/>
              <w:rPr>
                <w:rFonts w:ascii="宋体" w:hAnsi="宋体" w:eastAsia="宋体" w:cs="Times New Roman"/>
                <w:color w:val="auto"/>
              </w:rPr>
            </w:pPr>
            <w:r>
              <w:rPr>
                <w:rFonts w:hint="eastAsia" w:ascii="宋体" w:hAnsi="宋体" w:eastAsia="宋体" w:cs="Times New Roman"/>
                <w:color w:val="auto"/>
              </w:rPr>
              <w:t>履行合同义务的顺序</w:t>
            </w:r>
          </w:p>
        </w:tc>
        <w:tc>
          <w:tcPr>
            <w:tcW w:w="5170" w:type="dxa"/>
            <w:vAlign w:val="center"/>
          </w:tcPr>
          <w:p w14:paraId="5222E61B">
            <w:pPr>
              <w:adjustRightInd w:val="0"/>
              <w:snapToGrid w:val="0"/>
              <w:jc w:val="center"/>
              <w:rPr>
                <w:rFonts w:ascii="宋体" w:hAnsi="宋体" w:eastAsia="宋体" w:cs="Times New Roman"/>
                <w:color w:val="auto"/>
              </w:rPr>
            </w:pPr>
          </w:p>
        </w:tc>
      </w:tr>
      <w:tr w14:paraId="0C9908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11730AB3">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53FBC809">
            <w:pPr>
              <w:adjustRightInd w:val="0"/>
              <w:snapToGrid w:val="0"/>
              <w:jc w:val="center"/>
              <w:rPr>
                <w:rFonts w:ascii="宋体" w:hAnsi="宋体" w:eastAsia="宋体" w:cs="Times New Roman"/>
                <w:color w:val="auto"/>
              </w:rPr>
            </w:pPr>
            <w:r>
              <w:rPr>
                <w:rFonts w:hint="eastAsia" w:ascii="宋体" w:hAnsi="宋体" w:eastAsia="宋体" w:cs="Times New Roman"/>
                <w:color w:val="auto"/>
              </w:rPr>
              <w:t>第7.1款</w:t>
            </w:r>
          </w:p>
        </w:tc>
        <w:tc>
          <w:tcPr>
            <w:tcW w:w="1742" w:type="dxa"/>
            <w:vAlign w:val="center"/>
          </w:tcPr>
          <w:p w14:paraId="544EE911">
            <w:pPr>
              <w:adjustRightInd w:val="0"/>
              <w:snapToGrid w:val="0"/>
              <w:jc w:val="center"/>
              <w:rPr>
                <w:rFonts w:ascii="宋体" w:hAnsi="宋体" w:eastAsia="宋体" w:cs="Times New Roman"/>
                <w:color w:val="auto"/>
              </w:rPr>
            </w:pPr>
            <w:r>
              <w:rPr>
                <w:rFonts w:hint="eastAsia" w:ascii="宋体" w:hAnsi="宋体" w:eastAsia="宋体" w:cs="Times New Roman"/>
                <w:color w:val="auto"/>
              </w:rPr>
              <w:t>包装特殊要求</w:t>
            </w:r>
          </w:p>
        </w:tc>
        <w:tc>
          <w:tcPr>
            <w:tcW w:w="5170" w:type="dxa"/>
            <w:vAlign w:val="center"/>
          </w:tcPr>
          <w:p w14:paraId="674D688E">
            <w:pPr>
              <w:jc w:val="center"/>
              <w:rPr>
                <w:rFonts w:ascii="Times New Roman" w:hAnsi="Times New Roman" w:eastAsia="宋体" w:cs="Times New Roman"/>
                <w:color w:val="auto"/>
                <w:szCs w:val="24"/>
              </w:rPr>
            </w:pPr>
          </w:p>
        </w:tc>
      </w:tr>
      <w:tr w14:paraId="57CCE1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65F89A4C">
            <w:pPr>
              <w:adjustRightInd w:val="0"/>
              <w:snapToGrid w:val="0"/>
              <w:jc w:val="center"/>
              <w:rPr>
                <w:rFonts w:ascii="宋体" w:hAnsi="宋体" w:eastAsia="宋体" w:cs="Times New Roman"/>
                <w:color w:val="auto"/>
              </w:rPr>
            </w:pPr>
          </w:p>
        </w:tc>
        <w:tc>
          <w:tcPr>
            <w:tcW w:w="1742" w:type="dxa"/>
            <w:vAlign w:val="center"/>
          </w:tcPr>
          <w:p w14:paraId="0CC9EA27">
            <w:pPr>
              <w:adjustRightInd w:val="0"/>
              <w:snapToGrid w:val="0"/>
              <w:jc w:val="center"/>
              <w:rPr>
                <w:rFonts w:ascii="宋体" w:hAnsi="宋体" w:eastAsia="宋体" w:cs="Times New Roman"/>
                <w:color w:val="auto"/>
              </w:rPr>
            </w:pPr>
            <w:r>
              <w:rPr>
                <w:rFonts w:hint="eastAsia" w:ascii="宋体" w:hAnsi="宋体" w:eastAsia="宋体" w:cs="Times New Roman"/>
                <w:color w:val="auto"/>
              </w:rPr>
              <w:t>指定现场</w:t>
            </w:r>
          </w:p>
        </w:tc>
        <w:tc>
          <w:tcPr>
            <w:tcW w:w="5170" w:type="dxa"/>
            <w:vAlign w:val="center"/>
          </w:tcPr>
          <w:p w14:paraId="0BB19D2B">
            <w:pPr>
              <w:jc w:val="center"/>
              <w:rPr>
                <w:rFonts w:ascii="Times New Roman" w:hAnsi="Times New Roman" w:eastAsia="宋体" w:cs="Times New Roman"/>
                <w:color w:val="auto"/>
                <w:szCs w:val="24"/>
              </w:rPr>
            </w:pPr>
          </w:p>
        </w:tc>
      </w:tr>
      <w:tr w14:paraId="455244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521D1D6A">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4D1A63F2">
            <w:pPr>
              <w:adjustRightInd w:val="0"/>
              <w:snapToGrid w:val="0"/>
              <w:jc w:val="center"/>
              <w:rPr>
                <w:rFonts w:ascii="宋体" w:hAnsi="宋体" w:eastAsia="宋体" w:cs="Times New Roman"/>
                <w:color w:val="auto"/>
              </w:rPr>
            </w:pPr>
            <w:r>
              <w:rPr>
                <w:rFonts w:hint="eastAsia" w:ascii="宋体" w:hAnsi="宋体" w:eastAsia="宋体" w:cs="Times New Roman"/>
                <w:color w:val="auto"/>
              </w:rPr>
              <w:t>第7.2款</w:t>
            </w:r>
          </w:p>
        </w:tc>
        <w:tc>
          <w:tcPr>
            <w:tcW w:w="1742" w:type="dxa"/>
            <w:vAlign w:val="center"/>
          </w:tcPr>
          <w:p w14:paraId="1B50DDA1">
            <w:pPr>
              <w:adjustRightInd w:val="0"/>
              <w:snapToGrid w:val="0"/>
              <w:jc w:val="center"/>
              <w:rPr>
                <w:rFonts w:ascii="宋体" w:hAnsi="宋体" w:eastAsia="宋体" w:cs="Times New Roman"/>
                <w:color w:val="auto"/>
              </w:rPr>
            </w:pPr>
            <w:r>
              <w:rPr>
                <w:rFonts w:hint="eastAsia" w:ascii="宋体" w:hAnsi="宋体" w:eastAsia="宋体" w:cs="Times New Roman"/>
                <w:color w:val="auto"/>
              </w:rPr>
              <w:t>运输特殊要求</w:t>
            </w:r>
          </w:p>
        </w:tc>
        <w:tc>
          <w:tcPr>
            <w:tcW w:w="5170" w:type="dxa"/>
            <w:vAlign w:val="center"/>
          </w:tcPr>
          <w:p w14:paraId="67ED87C4">
            <w:pPr>
              <w:jc w:val="center"/>
              <w:rPr>
                <w:rFonts w:ascii="Times New Roman" w:hAnsi="Times New Roman" w:eastAsia="宋体" w:cs="Times New Roman"/>
                <w:color w:val="auto"/>
                <w:szCs w:val="24"/>
              </w:rPr>
            </w:pPr>
          </w:p>
        </w:tc>
      </w:tr>
      <w:tr w14:paraId="39E3DA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55F317B6">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214DFCD1">
            <w:pPr>
              <w:adjustRightInd w:val="0"/>
              <w:snapToGrid w:val="0"/>
              <w:jc w:val="center"/>
              <w:rPr>
                <w:rFonts w:ascii="宋体" w:hAnsi="宋体" w:eastAsia="宋体" w:cs="Times New Roman"/>
                <w:color w:val="auto"/>
              </w:rPr>
            </w:pPr>
            <w:r>
              <w:rPr>
                <w:rFonts w:hint="eastAsia" w:ascii="宋体" w:hAnsi="宋体" w:eastAsia="宋体" w:cs="Times New Roman"/>
                <w:color w:val="auto"/>
              </w:rPr>
              <w:t>第7.3款</w:t>
            </w:r>
          </w:p>
        </w:tc>
        <w:tc>
          <w:tcPr>
            <w:tcW w:w="1742" w:type="dxa"/>
            <w:vAlign w:val="center"/>
          </w:tcPr>
          <w:p w14:paraId="5011B8BB">
            <w:pPr>
              <w:adjustRightInd w:val="0"/>
              <w:snapToGrid w:val="0"/>
              <w:jc w:val="center"/>
              <w:rPr>
                <w:rFonts w:ascii="宋体" w:hAnsi="宋体" w:eastAsia="宋体" w:cs="Times New Roman"/>
                <w:color w:val="auto"/>
              </w:rPr>
            </w:pPr>
            <w:r>
              <w:rPr>
                <w:rFonts w:hint="eastAsia" w:ascii="宋体" w:hAnsi="宋体" w:eastAsia="宋体" w:cs="Times New Roman"/>
                <w:color w:val="auto"/>
              </w:rPr>
              <w:t>保险要求</w:t>
            </w:r>
          </w:p>
        </w:tc>
        <w:tc>
          <w:tcPr>
            <w:tcW w:w="5170" w:type="dxa"/>
            <w:vAlign w:val="center"/>
          </w:tcPr>
          <w:p w14:paraId="379EE076">
            <w:pPr>
              <w:jc w:val="center"/>
              <w:rPr>
                <w:rFonts w:ascii="Times New Roman" w:hAnsi="Times New Roman" w:eastAsia="宋体" w:cs="Times New Roman"/>
                <w:color w:val="auto"/>
                <w:szCs w:val="24"/>
              </w:rPr>
            </w:pPr>
          </w:p>
        </w:tc>
      </w:tr>
      <w:tr w14:paraId="0FA04C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EBADFA7">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6D74A405">
            <w:pPr>
              <w:adjustRightInd w:val="0"/>
              <w:snapToGrid w:val="0"/>
              <w:jc w:val="center"/>
              <w:rPr>
                <w:rFonts w:ascii="宋体" w:hAnsi="宋体" w:eastAsia="宋体" w:cs="Times New Roman"/>
                <w:color w:val="auto"/>
              </w:rPr>
            </w:pPr>
            <w:r>
              <w:rPr>
                <w:rFonts w:hint="eastAsia" w:ascii="宋体" w:hAnsi="宋体" w:eastAsia="宋体" w:cs="Times New Roman"/>
                <w:color w:val="auto"/>
              </w:rPr>
              <w:t>第8.2（1）项</w:t>
            </w:r>
          </w:p>
        </w:tc>
        <w:tc>
          <w:tcPr>
            <w:tcW w:w="1742" w:type="dxa"/>
            <w:vAlign w:val="center"/>
          </w:tcPr>
          <w:p w14:paraId="19460875">
            <w:pPr>
              <w:adjustRightInd w:val="0"/>
              <w:snapToGrid w:val="0"/>
              <w:jc w:val="center"/>
              <w:rPr>
                <w:rFonts w:ascii="宋体" w:hAnsi="宋体" w:eastAsia="宋体" w:cs="Times New Roman"/>
                <w:color w:val="auto"/>
              </w:rPr>
            </w:pPr>
            <w:r>
              <w:rPr>
                <w:rFonts w:hint="eastAsia" w:ascii="宋体" w:hAnsi="宋体" w:eastAsia="宋体" w:cs="Times New Roman"/>
                <w:color w:val="auto"/>
              </w:rPr>
              <w:t>质量保证期</w:t>
            </w:r>
          </w:p>
        </w:tc>
        <w:tc>
          <w:tcPr>
            <w:tcW w:w="5170" w:type="dxa"/>
            <w:vAlign w:val="center"/>
          </w:tcPr>
          <w:p w14:paraId="433F02B8">
            <w:pPr>
              <w:autoSpaceDE w:val="0"/>
              <w:autoSpaceDN w:val="0"/>
              <w:adjustRightInd w:val="0"/>
              <w:snapToGrid w:val="0"/>
              <w:ind w:firstLine="420" w:firstLineChars="200"/>
              <w:jc w:val="center"/>
              <w:rPr>
                <w:rFonts w:ascii="宋体" w:hAnsi="宋体" w:eastAsia="宋体" w:cs="Times New Roman"/>
                <w:color w:val="auto"/>
              </w:rPr>
            </w:pPr>
          </w:p>
        </w:tc>
      </w:tr>
      <w:tr w14:paraId="472D15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F7F1D72">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7EC0FE81">
            <w:pPr>
              <w:adjustRightInd w:val="0"/>
              <w:snapToGrid w:val="0"/>
              <w:jc w:val="center"/>
              <w:rPr>
                <w:rFonts w:ascii="宋体" w:hAnsi="宋体" w:eastAsia="宋体" w:cs="Times New Roman"/>
                <w:color w:val="auto"/>
              </w:rPr>
            </w:pPr>
            <w:r>
              <w:rPr>
                <w:rFonts w:hint="eastAsia" w:ascii="宋体" w:hAnsi="宋体" w:eastAsia="宋体" w:cs="Times New Roman"/>
                <w:color w:val="auto"/>
              </w:rPr>
              <w:t>第8.2（3）项</w:t>
            </w:r>
          </w:p>
        </w:tc>
        <w:tc>
          <w:tcPr>
            <w:tcW w:w="1742" w:type="dxa"/>
            <w:vAlign w:val="center"/>
          </w:tcPr>
          <w:p w14:paraId="17355639">
            <w:pPr>
              <w:adjustRightInd w:val="0"/>
              <w:snapToGrid w:val="0"/>
              <w:jc w:val="center"/>
              <w:rPr>
                <w:rFonts w:ascii="宋体" w:hAnsi="宋体" w:eastAsia="宋体" w:cs="Times New Roman"/>
                <w:color w:val="auto"/>
              </w:rPr>
            </w:pPr>
            <w:r>
              <w:rPr>
                <w:rFonts w:hint="eastAsia" w:ascii="宋体" w:hAnsi="宋体" w:eastAsia="宋体" w:cs="Times New Roman"/>
                <w:color w:val="auto"/>
              </w:rPr>
              <w:t>货物质量缺陷</w:t>
            </w:r>
          </w:p>
          <w:p w14:paraId="103A046D">
            <w:pPr>
              <w:adjustRightInd w:val="0"/>
              <w:snapToGrid w:val="0"/>
              <w:jc w:val="center"/>
              <w:rPr>
                <w:rFonts w:ascii="宋体" w:hAnsi="宋体" w:eastAsia="宋体" w:cs="Times New Roman"/>
                <w:color w:val="auto"/>
              </w:rPr>
            </w:pPr>
            <w:r>
              <w:rPr>
                <w:rFonts w:hint="eastAsia" w:ascii="宋体" w:hAnsi="宋体" w:eastAsia="宋体" w:cs="Times New Roman"/>
                <w:color w:val="auto"/>
              </w:rPr>
              <w:t>响应时间</w:t>
            </w:r>
          </w:p>
        </w:tc>
        <w:tc>
          <w:tcPr>
            <w:tcW w:w="5170" w:type="dxa"/>
            <w:vAlign w:val="center"/>
          </w:tcPr>
          <w:p w14:paraId="4A8FD06B">
            <w:pPr>
              <w:adjustRightInd w:val="0"/>
              <w:snapToGrid w:val="0"/>
              <w:jc w:val="center"/>
              <w:rPr>
                <w:rFonts w:ascii="宋体" w:hAnsi="宋体" w:eastAsia="宋体" w:cs="Times New Roman"/>
                <w:color w:val="auto"/>
              </w:rPr>
            </w:pPr>
          </w:p>
        </w:tc>
      </w:tr>
      <w:tr w14:paraId="6C5368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26DF523">
            <w:pPr>
              <w:snapToGrid w:val="0"/>
              <w:jc w:val="center"/>
              <w:rPr>
                <w:rFonts w:ascii="宋体" w:hAnsi="宋体" w:eastAsia="宋体" w:cs="宋体"/>
                <w:color w:val="auto"/>
              </w:rPr>
            </w:pPr>
            <w:r>
              <w:rPr>
                <w:rFonts w:hint="eastAsia" w:ascii="宋体" w:hAnsi="宋体" w:eastAsia="宋体" w:cs="宋体"/>
                <w:color w:val="auto"/>
              </w:rPr>
              <w:t>第二节</w:t>
            </w:r>
          </w:p>
          <w:p w14:paraId="5F24491D">
            <w:pPr>
              <w:widowControl/>
              <w:autoSpaceDE w:val="0"/>
              <w:autoSpaceDN w:val="0"/>
              <w:adjustRightInd w:val="0"/>
              <w:spacing w:line="400" w:lineRule="exact"/>
              <w:jc w:val="center"/>
              <w:rPr>
                <w:rFonts w:ascii="华文楷体" w:hAnsi="华文楷体" w:eastAsia="华文楷体" w:cs="华文楷体"/>
                <w:color w:val="auto"/>
                <w:kern w:val="0"/>
                <w:sz w:val="22"/>
              </w:rPr>
            </w:pPr>
            <w:r>
              <w:rPr>
                <w:rFonts w:hint="eastAsia" w:ascii="宋体" w:hAnsi="宋体" w:eastAsia="宋体" w:cs="宋体"/>
                <w:color w:val="auto"/>
                <w:kern w:val="0"/>
                <w:sz w:val="22"/>
              </w:rPr>
              <w:t>第11.1款</w:t>
            </w:r>
          </w:p>
        </w:tc>
        <w:tc>
          <w:tcPr>
            <w:tcW w:w="1742" w:type="dxa"/>
            <w:vAlign w:val="center"/>
          </w:tcPr>
          <w:p w14:paraId="6FE8B416">
            <w:pPr>
              <w:adjustRightInd w:val="0"/>
              <w:snapToGrid w:val="0"/>
              <w:jc w:val="center"/>
              <w:rPr>
                <w:rFonts w:ascii="宋体" w:hAnsi="宋体" w:eastAsia="宋体" w:cs="Times New Roman"/>
                <w:color w:val="auto"/>
              </w:rPr>
            </w:pPr>
            <w:r>
              <w:rPr>
                <w:rFonts w:hint="eastAsia" w:ascii="宋体" w:hAnsi="宋体" w:eastAsia="宋体" w:cs="Times New Roman"/>
                <w:color w:val="auto"/>
              </w:rPr>
              <w:t>其他应当保密的信息</w:t>
            </w:r>
          </w:p>
        </w:tc>
        <w:tc>
          <w:tcPr>
            <w:tcW w:w="5170" w:type="dxa"/>
            <w:vAlign w:val="center"/>
          </w:tcPr>
          <w:p w14:paraId="47C5B225">
            <w:pPr>
              <w:adjustRightInd w:val="0"/>
              <w:snapToGrid w:val="0"/>
              <w:jc w:val="center"/>
              <w:rPr>
                <w:rFonts w:ascii="宋体" w:hAnsi="宋体" w:eastAsia="宋体" w:cs="Times New Roman"/>
                <w:color w:val="auto"/>
              </w:rPr>
            </w:pPr>
          </w:p>
        </w:tc>
      </w:tr>
      <w:tr w14:paraId="6EDADF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44A9A4F4">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4A480EC9">
            <w:pPr>
              <w:adjustRightInd w:val="0"/>
              <w:snapToGrid w:val="0"/>
              <w:jc w:val="center"/>
              <w:rPr>
                <w:rFonts w:ascii="宋体" w:hAnsi="宋体" w:eastAsia="宋体" w:cs="Times New Roman"/>
                <w:color w:val="auto"/>
              </w:rPr>
            </w:pPr>
            <w:r>
              <w:rPr>
                <w:rFonts w:hint="eastAsia" w:ascii="宋体" w:hAnsi="宋体" w:eastAsia="宋体" w:cs="Times New Roman"/>
                <w:color w:val="auto"/>
              </w:rPr>
              <w:t>第12.2款</w:t>
            </w:r>
          </w:p>
        </w:tc>
        <w:tc>
          <w:tcPr>
            <w:tcW w:w="1742" w:type="dxa"/>
            <w:vAlign w:val="center"/>
          </w:tcPr>
          <w:p w14:paraId="2EB1D4BD">
            <w:pPr>
              <w:adjustRightInd w:val="0"/>
              <w:snapToGrid w:val="0"/>
              <w:jc w:val="center"/>
              <w:rPr>
                <w:rFonts w:ascii="宋体" w:hAnsi="宋体" w:eastAsia="宋体" w:cs="Times New Roman"/>
                <w:color w:val="auto"/>
              </w:rPr>
            </w:pPr>
            <w:r>
              <w:rPr>
                <w:rFonts w:hint="eastAsia" w:ascii="宋体" w:hAnsi="宋体" w:eastAsia="宋体" w:cs="Times New Roman"/>
                <w:color w:val="auto"/>
              </w:rPr>
              <w:t>合同价款支付时间</w:t>
            </w:r>
          </w:p>
        </w:tc>
        <w:tc>
          <w:tcPr>
            <w:tcW w:w="5170" w:type="dxa"/>
            <w:vAlign w:val="center"/>
          </w:tcPr>
          <w:p w14:paraId="08DE2C61">
            <w:pPr>
              <w:adjustRightInd w:val="0"/>
              <w:snapToGrid w:val="0"/>
              <w:jc w:val="center"/>
              <w:rPr>
                <w:rFonts w:ascii="宋体" w:hAnsi="宋体" w:eastAsia="宋体" w:cs="Times New Roman"/>
                <w:color w:val="auto"/>
              </w:rPr>
            </w:pPr>
          </w:p>
        </w:tc>
      </w:tr>
      <w:tr w14:paraId="458275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7D124D7D">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0DE1E5F1">
            <w:pPr>
              <w:adjustRightInd w:val="0"/>
              <w:snapToGrid w:val="0"/>
              <w:jc w:val="center"/>
              <w:rPr>
                <w:rFonts w:ascii="宋体" w:hAnsi="宋体" w:eastAsia="宋体" w:cs="Times New Roman"/>
                <w:color w:val="auto"/>
              </w:rPr>
            </w:pPr>
            <w:r>
              <w:rPr>
                <w:rFonts w:hint="eastAsia" w:ascii="宋体" w:hAnsi="宋体" w:eastAsia="宋体" w:cs="Times New Roman"/>
                <w:color w:val="auto"/>
              </w:rPr>
              <w:t>第13.2款</w:t>
            </w:r>
          </w:p>
        </w:tc>
        <w:tc>
          <w:tcPr>
            <w:tcW w:w="1742" w:type="dxa"/>
            <w:vAlign w:val="center"/>
          </w:tcPr>
          <w:p w14:paraId="25E8D028">
            <w:pPr>
              <w:adjustRightInd w:val="0"/>
              <w:snapToGrid w:val="0"/>
              <w:jc w:val="center"/>
              <w:rPr>
                <w:rFonts w:ascii="宋体" w:hAnsi="宋体" w:eastAsia="宋体" w:cs="Times New Roman"/>
                <w:color w:val="auto"/>
              </w:rPr>
            </w:pPr>
            <w:r>
              <w:rPr>
                <w:rFonts w:hint="eastAsia" w:ascii="宋体" w:hAnsi="宋体" w:eastAsia="宋体" w:cs="Times New Roman"/>
                <w:color w:val="auto"/>
              </w:rPr>
              <w:t>履约保证金不予退还的情形</w:t>
            </w:r>
          </w:p>
        </w:tc>
        <w:tc>
          <w:tcPr>
            <w:tcW w:w="5170" w:type="dxa"/>
            <w:vAlign w:val="center"/>
          </w:tcPr>
          <w:p w14:paraId="65FCAB27">
            <w:pPr>
              <w:adjustRightInd w:val="0"/>
              <w:snapToGrid w:val="0"/>
              <w:jc w:val="center"/>
              <w:rPr>
                <w:rFonts w:ascii="宋体" w:hAnsi="宋体" w:eastAsia="宋体" w:cs="Times New Roman"/>
                <w:color w:val="auto"/>
              </w:rPr>
            </w:pPr>
          </w:p>
        </w:tc>
      </w:tr>
      <w:tr w14:paraId="1578E7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D22519D">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3B43567A">
            <w:pPr>
              <w:adjustRightInd w:val="0"/>
              <w:snapToGrid w:val="0"/>
              <w:jc w:val="center"/>
              <w:rPr>
                <w:rFonts w:ascii="宋体" w:hAnsi="宋体" w:eastAsia="宋体" w:cs="Times New Roman"/>
                <w:color w:val="auto"/>
              </w:rPr>
            </w:pPr>
            <w:r>
              <w:rPr>
                <w:rFonts w:hint="eastAsia" w:ascii="宋体" w:hAnsi="宋体" w:eastAsia="宋体" w:cs="Times New Roman"/>
                <w:color w:val="auto"/>
              </w:rPr>
              <w:t>第13.3款</w:t>
            </w:r>
          </w:p>
        </w:tc>
        <w:tc>
          <w:tcPr>
            <w:tcW w:w="1742" w:type="dxa"/>
            <w:vAlign w:val="center"/>
          </w:tcPr>
          <w:p w14:paraId="4FEBC242">
            <w:pPr>
              <w:adjustRightInd w:val="0"/>
              <w:snapToGrid w:val="0"/>
              <w:jc w:val="center"/>
              <w:rPr>
                <w:rFonts w:ascii="宋体" w:hAnsi="宋体" w:eastAsia="宋体" w:cs="Times New Roman"/>
                <w:color w:val="auto"/>
              </w:rPr>
            </w:pPr>
            <w:r>
              <w:rPr>
                <w:rFonts w:hint="eastAsia" w:ascii="宋体" w:hAnsi="宋体" w:eastAsia="宋体" w:cs="Times New Roman"/>
                <w:color w:val="auto"/>
              </w:rPr>
              <w:t>履约保证金退还时间及逾期退还的违约金</w:t>
            </w:r>
          </w:p>
        </w:tc>
        <w:tc>
          <w:tcPr>
            <w:tcW w:w="5170" w:type="dxa"/>
            <w:vAlign w:val="center"/>
          </w:tcPr>
          <w:p w14:paraId="2F51135E">
            <w:pPr>
              <w:adjustRightInd w:val="0"/>
              <w:snapToGrid w:val="0"/>
              <w:jc w:val="center"/>
              <w:rPr>
                <w:rFonts w:ascii="宋体" w:hAnsi="宋体" w:eastAsia="宋体" w:cs="Times New Roman"/>
                <w:color w:val="auto"/>
              </w:rPr>
            </w:pPr>
          </w:p>
        </w:tc>
      </w:tr>
      <w:tr w14:paraId="3AAE78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626E7B7C">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01F808D3">
            <w:pPr>
              <w:adjustRightInd w:val="0"/>
              <w:snapToGrid w:val="0"/>
              <w:jc w:val="center"/>
              <w:rPr>
                <w:rFonts w:ascii="宋体" w:hAnsi="宋体" w:eastAsia="宋体" w:cs="Times New Roman"/>
                <w:color w:val="auto"/>
              </w:rPr>
            </w:pPr>
            <w:r>
              <w:rPr>
                <w:rFonts w:hint="eastAsia" w:ascii="宋体" w:hAnsi="宋体" w:eastAsia="宋体" w:cs="Times New Roman"/>
                <w:color w:val="auto"/>
              </w:rPr>
              <w:t>第14.1（3）项</w:t>
            </w:r>
          </w:p>
        </w:tc>
        <w:tc>
          <w:tcPr>
            <w:tcW w:w="1742" w:type="dxa"/>
            <w:vAlign w:val="center"/>
          </w:tcPr>
          <w:p w14:paraId="78DAEF3B">
            <w:pPr>
              <w:adjustRightInd w:val="0"/>
              <w:snapToGrid w:val="0"/>
              <w:jc w:val="center"/>
              <w:rPr>
                <w:rFonts w:ascii="宋体" w:hAnsi="宋体" w:eastAsia="宋体" w:cs="Times New Roman"/>
                <w:color w:val="auto"/>
              </w:rPr>
            </w:pPr>
            <w:r>
              <w:rPr>
                <w:rFonts w:hint="eastAsia" w:ascii="宋体" w:hAnsi="宋体" w:eastAsia="宋体" w:cs="Times New Roman"/>
                <w:color w:val="auto"/>
              </w:rPr>
              <w:t>运行监督、维修期限</w:t>
            </w:r>
          </w:p>
        </w:tc>
        <w:tc>
          <w:tcPr>
            <w:tcW w:w="5170" w:type="dxa"/>
            <w:vAlign w:val="center"/>
          </w:tcPr>
          <w:p w14:paraId="71C5EDC0">
            <w:pPr>
              <w:adjustRightInd w:val="0"/>
              <w:snapToGrid w:val="0"/>
              <w:jc w:val="center"/>
              <w:rPr>
                <w:rFonts w:ascii="宋体" w:hAnsi="宋体" w:eastAsia="宋体" w:cs="Times New Roman"/>
                <w:color w:val="auto"/>
              </w:rPr>
            </w:pPr>
          </w:p>
        </w:tc>
      </w:tr>
      <w:tr w14:paraId="0D67EC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6610F702">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746D10AB">
            <w:pPr>
              <w:adjustRightInd w:val="0"/>
              <w:snapToGrid w:val="0"/>
              <w:jc w:val="center"/>
              <w:rPr>
                <w:rFonts w:ascii="宋体" w:hAnsi="宋体" w:eastAsia="宋体" w:cs="Times New Roman"/>
                <w:color w:val="auto"/>
              </w:rPr>
            </w:pPr>
            <w:r>
              <w:rPr>
                <w:rFonts w:hint="eastAsia" w:ascii="宋体" w:hAnsi="宋体" w:eastAsia="宋体" w:cs="Times New Roman"/>
                <w:color w:val="auto"/>
              </w:rPr>
              <w:t>第14.1（5）项</w:t>
            </w:r>
          </w:p>
        </w:tc>
        <w:tc>
          <w:tcPr>
            <w:tcW w:w="1742" w:type="dxa"/>
            <w:vAlign w:val="center"/>
          </w:tcPr>
          <w:p w14:paraId="348A62F6">
            <w:pPr>
              <w:adjustRightInd w:val="0"/>
              <w:snapToGrid w:val="0"/>
              <w:jc w:val="left"/>
              <w:rPr>
                <w:rFonts w:ascii="宋体" w:hAnsi="宋体" w:eastAsia="宋体" w:cs="Times New Roman"/>
                <w:color w:val="auto"/>
              </w:rPr>
            </w:pPr>
            <w:r>
              <w:rPr>
                <w:rFonts w:hint="eastAsia" w:ascii="宋体" w:hAnsi="宋体" w:eastAsia="宋体" w:cs="Times New Roman"/>
                <w:color w:val="auto"/>
              </w:rPr>
              <w:t>货物回收的约定</w:t>
            </w:r>
          </w:p>
        </w:tc>
        <w:tc>
          <w:tcPr>
            <w:tcW w:w="5170" w:type="dxa"/>
            <w:vAlign w:val="center"/>
          </w:tcPr>
          <w:p w14:paraId="719AAB8E">
            <w:pPr>
              <w:adjustRightInd w:val="0"/>
              <w:snapToGrid w:val="0"/>
              <w:jc w:val="left"/>
              <w:rPr>
                <w:rFonts w:ascii="宋体" w:hAnsi="宋体" w:eastAsia="宋体" w:cs="Times New Roman"/>
                <w:color w:val="auto"/>
              </w:rPr>
            </w:pPr>
          </w:p>
        </w:tc>
      </w:tr>
      <w:tr w14:paraId="30B6EC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2221B70">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2AADF868">
            <w:pPr>
              <w:adjustRightInd w:val="0"/>
              <w:snapToGrid w:val="0"/>
              <w:jc w:val="center"/>
              <w:rPr>
                <w:rFonts w:ascii="宋体" w:hAnsi="宋体" w:eastAsia="宋体" w:cs="Times New Roman"/>
                <w:color w:val="auto"/>
              </w:rPr>
            </w:pPr>
            <w:r>
              <w:rPr>
                <w:rFonts w:hint="eastAsia" w:ascii="宋体" w:hAnsi="宋体" w:eastAsia="宋体" w:cs="Times New Roman"/>
                <w:color w:val="auto"/>
              </w:rPr>
              <w:t>第14.1（6）项</w:t>
            </w:r>
          </w:p>
        </w:tc>
        <w:tc>
          <w:tcPr>
            <w:tcW w:w="1742" w:type="dxa"/>
            <w:vAlign w:val="center"/>
          </w:tcPr>
          <w:p w14:paraId="6AFFE9B2">
            <w:pPr>
              <w:adjustRightInd w:val="0"/>
              <w:snapToGrid w:val="0"/>
              <w:jc w:val="left"/>
              <w:rPr>
                <w:rFonts w:ascii="宋体" w:hAnsi="宋体" w:eastAsia="宋体" w:cs="Times New Roman"/>
                <w:color w:val="auto"/>
              </w:rPr>
            </w:pPr>
            <w:r>
              <w:rPr>
                <w:rFonts w:hint="eastAsia" w:ascii="宋体" w:hAnsi="宋体" w:eastAsia="宋体" w:cs="Times New Roman"/>
                <w:color w:val="auto"/>
              </w:rPr>
              <w:t>乙方提供的其他服务</w:t>
            </w:r>
          </w:p>
        </w:tc>
        <w:tc>
          <w:tcPr>
            <w:tcW w:w="5170" w:type="dxa"/>
            <w:vAlign w:val="center"/>
          </w:tcPr>
          <w:p w14:paraId="2542A3AA">
            <w:pPr>
              <w:adjustRightInd w:val="0"/>
              <w:snapToGrid w:val="0"/>
              <w:jc w:val="left"/>
              <w:rPr>
                <w:rFonts w:ascii="宋体" w:hAnsi="宋体" w:eastAsia="宋体" w:cs="Times New Roman"/>
                <w:color w:val="auto"/>
              </w:rPr>
            </w:pPr>
          </w:p>
        </w:tc>
      </w:tr>
      <w:tr w14:paraId="0D7523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CF36B16">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394EB8CE">
            <w:pPr>
              <w:adjustRightInd w:val="0"/>
              <w:snapToGrid w:val="0"/>
              <w:jc w:val="center"/>
              <w:rPr>
                <w:rFonts w:ascii="宋体" w:hAnsi="宋体" w:eastAsia="宋体" w:cs="Times New Roman"/>
                <w:color w:val="auto"/>
              </w:rPr>
            </w:pPr>
            <w:r>
              <w:rPr>
                <w:rFonts w:hint="eastAsia" w:ascii="宋体" w:hAnsi="宋体" w:eastAsia="宋体" w:cs="Times New Roman"/>
                <w:color w:val="auto"/>
              </w:rPr>
              <w:t>第15.1款</w:t>
            </w:r>
          </w:p>
        </w:tc>
        <w:tc>
          <w:tcPr>
            <w:tcW w:w="1742" w:type="dxa"/>
            <w:vAlign w:val="center"/>
          </w:tcPr>
          <w:p w14:paraId="45F8A805">
            <w:pPr>
              <w:adjustRightInd w:val="0"/>
              <w:snapToGrid w:val="0"/>
              <w:jc w:val="left"/>
              <w:rPr>
                <w:rFonts w:ascii="宋体" w:hAnsi="宋体" w:eastAsia="宋体" w:cs="Times New Roman"/>
                <w:color w:val="auto"/>
              </w:rPr>
            </w:pPr>
            <w:r>
              <w:rPr>
                <w:rFonts w:hint="eastAsia" w:ascii="宋体" w:hAnsi="宋体" w:eastAsia="宋体" w:cs="Times New Roman"/>
                <w:color w:val="auto"/>
              </w:rPr>
              <w:t>修理、重作、更换相关具体规定</w:t>
            </w:r>
          </w:p>
        </w:tc>
        <w:tc>
          <w:tcPr>
            <w:tcW w:w="5170" w:type="dxa"/>
            <w:vAlign w:val="center"/>
          </w:tcPr>
          <w:p w14:paraId="65099530">
            <w:pPr>
              <w:adjustRightInd w:val="0"/>
              <w:snapToGrid w:val="0"/>
              <w:jc w:val="left"/>
              <w:rPr>
                <w:rFonts w:ascii="宋体" w:hAnsi="宋体" w:eastAsia="宋体" w:cs="Times New Roman"/>
                <w:color w:val="auto"/>
              </w:rPr>
            </w:pPr>
          </w:p>
        </w:tc>
      </w:tr>
      <w:tr w14:paraId="359EA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F2D2747">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7C8144AC">
            <w:pPr>
              <w:adjustRightInd w:val="0"/>
              <w:snapToGrid w:val="0"/>
              <w:jc w:val="center"/>
              <w:rPr>
                <w:rFonts w:ascii="宋体" w:hAnsi="宋体" w:eastAsia="宋体" w:cs="Times New Roman"/>
                <w:color w:val="auto"/>
              </w:rPr>
            </w:pPr>
            <w:r>
              <w:rPr>
                <w:rFonts w:hint="eastAsia" w:ascii="宋体" w:hAnsi="宋体" w:eastAsia="宋体" w:cs="Times New Roman"/>
                <w:color w:val="auto"/>
              </w:rPr>
              <w:t>第15.2（2）项</w:t>
            </w:r>
          </w:p>
        </w:tc>
        <w:tc>
          <w:tcPr>
            <w:tcW w:w="1742" w:type="dxa"/>
            <w:vAlign w:val="center"/>
          </w:tcPr>
          <w:p w14:paraId="35455590">
            <w:pPr>
              <w:adjustRightInd w:val="0"/>
              <w:snapToGrid w:val="0"/>
              <w:jc w:val="left"/>
              <w:rPr>
                <w:rFonts w:ascii="宋体" w:hAnsi="宋体" w:eastAsia="宋体" w:cs="Times New Roman"/>
                <w:color w:val="auto"/>
              </w:rPr>
            </w:pPr>
            <w:r>
              <w:rPr>
                <w:rFonts w:hint="eastAsia" w:ascii="宋体" w:hAnsi="宋体" w:eastAsia="宋体" w:cs="Times New Roman"/>
                <w:color w:val="auto"/>
              </w:rPr>
              <w:t>迟延交货赔偿费</w:t>
            </w:r>
          </w:p>
        </w:tc>
        <w:tc>
          <w:tcPr>
            <w:tcW w:w="5170" w:type="dxa"/>
            <w:vAlign w:val="center"/>
          </w:tcPr>
          <w:p w14:paraId="5C29984E">
            <w:pPr>
              <w:adjustRightInd w:val="0"/>
              <w:snapToGrid w:val="0"/>
              <w:jc w:val="left"/>
              <w:rPr>
                <w:rFonts w:ascii="宋体" w:hAnsi="宋体" w:eastAsia="宋体" w:cs="Times New Roman"/>
                <w:color w:val="auto"/>
                <w:u w:val="single"/>
              </w:rPr>
            </w:pPr>
          </w:p>
        </w:tc>
      </w:tr>
      <w:tr w14:paraId="5D89B9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A08A16D">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530C753D">
            <w:pPr>
              <w:adjustRightInd w:val="0"/>
              <w:snapToGrid w:val="0"/>
              <w:jc w:val="center"/>
              <w:rPr>
                <w:rFonts w:ascii="宋体" w:hAnsi="宋体" w:eastAsia="宋体" w:cs="Times New Roman"/>
                <w:color w:val="auto"/>
              </w:rPr>
            </w:pPr>
            <w:r>
              <w:rPr>
                <w:rFonts w:hint="eastAsia" w:ascii="宋体" w:hAnsi="宋体" w:eastAsia="宋体" w:cs="Times New Roman"/>
                <w:color w:val="auto"/>
              </w:rPr>
              <w:t>第15.3款</w:t>
            </w:r>
          </w:p>
        </w:tc>
        <w:tc>
          <w:tcPr>
            <w:tcW w:w="1742" w:type="dxa"/>
            <w:vAlign w:val="center"/>
          </w:tcPr>
          <w:p w14:paraId="744CA27C">
            <w:pPr>
              <w:adjustRightInd w:val="0"/>
              <w:snapToGrid w:val="0"/>
              <w:jc w:val="left"/>
              <w:rPr>
                <w:rFonts w:ascii="宋体" w:hAnsi="宋体" w:eastAsia="宋体" w:cs="Times New Roman"/>
                <w:color w:val="auto"/>
              </w:rPr>
            </w:pPr>
            <w:r>
              <w:rPr>
                <w:rFonts w:hint="eastAsia" w:ascii="宋体" w:hAnsi="宋体" w:eastAsia="宋体" w:cs="Times New Roman"/>
                <w:color w:val="auto"/>
              </w:rPr>
              <w:t>逾期付款利息</w:t>
            </w:r>
          </w:p>
        </w:tc>
        <w:tc>
          <w:tcPr>
            <w:tcW w:w="5170" w:type="dxa"/>
            <w:vAlign w:val="center"/>
          </w:tcPr>
          <w:p w14:paraId="274962D7">
            <w:pPr>
              <w:adjustRightInd w:val="0"/>
              <w:snapToGrid w:val="0"/>
              <w:jc w:val="left"/>
              <w:rPr>
                <w:rFonts w:ascii="宋体" w:hAnsi="宋体" w:eastAsia="宋体" w:cs="Times New Roman"/>
                <w:color w:val="auto"/>
                <w:u w:val="single"/>
              </w:rPr>
            </w:pPr>
          </w:p>
        </w:tc>
      </w:tr>
      <w:tr w14:paraId="248807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424057CD">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1A9F2997">
            <w:pPr>
              <w:adjustRightInd w:val="0"/>
              <w:snapToGrid w:val="0"/>
              <w:jc w:val="center"/>
              <w:rPr>
                <w:rFonts w:ascii="宋体" w:hAnsi="宋体" w:eastAsia="宋体" w:cs="Times New Roman"/>
                <w:color w:val="auto"/>
              </w:rPr>
            </w:pPr>
            <w:r>
              <w:rPr>
                <w:rFonts w:hint="eastAsia" w:ascii="宋体" w:hAnsi="宋体" w:eastAsia="宋体" w:cs="Times New Roman"/>
                <w:color w:val="auto"/>
              </w:rPr>
              <w:t>第15.4款</w:t>
            </w:r>
          </w:p>
        </w:tc>
        <w:tc>
          <w:tcPr>
            <w:tcW w:w="1742" w:type="dxa"/>
            <w:tcBorders>
              <w:left w:val="single" w:color="auto" w:sz="2" w:space="0"/>
              <w:bottom w:val="single" w:color="auto" w:sz="2" w:space="0"/>
              <w:right w:val="single" w:color="auto" w:sz="2" w:space="0"/>
            </w:tcBorders>
            <w:vAlign w:val="center"/>
          </w:tcPr>
          <w:p w14:paraId="35565066">
            <w:pPr>
              <w:adjustRightInd w:val="0"/>
              <w:snapToGrid w:val="0"/>
              <w:jc w:val="left"/>
              <w:rPr>
                <w:rFonts w:ascii="宋体" w:hAnsi="宋体" w:eastAsia="宋体" w:cs="Times New Roman"/>
                <w:color w:val="auto"/>
              </w:rPr>
            </w:pPr>
            <w:r>
              <w:rPr>
                <w:rFonts w:hint="eastAsia" w:ascii="宋体" w:hAnsi="宋体" w:eastAsia="宋体" w:cs="Times New Roman"/>
                <w:color w:val="auto"/>
              </w:rPr>
              <w:t>其他违约责任</w:t>
            </w:r>
          </w:p>
        </w:tc>
        <w:tc>
          <w:tcPr>
            <w:tcW w:w="5170" w:type="dxa"/>
            <w:tcBorders>
              <w:left w:val="single" w:color="auto" w:sz="2" w:space="0"/>
              <w:bottom w:val="single" w:color="auto" w:sz="2" w:space="0"/>
            </w:tcBorders>
            <w:vAlign w:val="center"/>
          </w:tcPr>
          <w:p w14:paraId="0E1E9297">
            <w:pPr>
              <w:adjustRightInd w:val="0"/>
              <w:snapToGrid w:val="0"/>
              <w:jc w:val="left"/>
              <w:rPr>
                <w:rFonts w:ascii="宋体" w:hAnsi="宋体" w:eastAsia="宋体" w:cs="Times New Roman"/>
                <w:color w:val="auto"/>
                <w:u w:val="single"/>
              </w:rPr>
            </w:pPr>
          </w:p>
        </w:tc>
      </w:tr>
      <w:tr w14:paraId="650DB8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31484E6B">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738E885A">
            <w:pPr>
              <w:adjustRightInd w:val="0"/>
              <w:snapToGrid w:val="0"/>
              <w:jc w:val="center"/>
              <w:rPr>
                <w:rFonts w:ascii="宋体" w:hAnsi="宋体" w:eastAsia="宋体" w:cs="Times New Roman"/>
                <w:color w:val="auto"/>
              </w:rPr>
            </w:pPr>
            <w:r>
              <w:rPr>
                <w:rFonts w:hint="eastAsia" w:ascii="宋体" w:hAnsi="宋体" w:eastAsia="宋体" w:cs="Times New Roman"/>
                <w:color w:val="auto"/>
              </w:rPr>
              <w:t>第19.2款</w:t>
            </w:r>
          </w:p>
        </w:tc>
        <w:tc>
          <w:tcPr>
            <w:tcW w:w="1742" w:type="dxa"/>
            <w:tcBorders>
              <w:top w:val="single" w:color="auto" w:sz="2" w:space="0"/>
              <w:left w:val="single" w:color="auto" w:sz="2" w:space="0"/>
              <w:right w:val="single" w:color="auto" w:sz="2" w:space="0"/>
            </w:tcBorders>
            <w:vAlign w:val="center"/>
          </w:tcPr>
          <w:p w14:paraId="73BE5D97">
            <w:pPr>
              <w:adjustRightInd w:val="0"/>
              <w:snapToGrid w:val="0"/>
              <w:jc w:val="left"/>
              <w:rPr>
                <w:rFonts w:ascii="宋体" w:hAnsi="宋体" w:eastAsia="宋体" w:cs="Times New Roman"/>
                <w:color w:val="auto"/>
              </w:rPr>
            </w:pPr>
            <w:r>
              <w:rPr>
                <w:rFonts w:hint="eastAsia" w:ascii="宋体" w:hAnsi="宋体" w:eastAsia="宋体" w:cs="Times New Roman"/>
                <w:color w:val="auto"/>
              </w:rPr>
              <w:t>解决争议的方法</w:t>
            </w:r>
          </w:p>
        </w:tc>
        <w:tc>
          <w:tcPr>
            <w:tcW w:w="5170" w:type="dxa"/>
            <w:tcBorders>
              <w:top w:val="single" w:color="auto" w:sz="2" w:space="0"/>
              <w:left w:val="single" w:color="auto" w:sz="2" w:space="0"/>
            </w:tcBorders>
            <w:vAlign w:val="center"/>
          </w:tcPr>
          <w:p w14:paraId="65FF94B9">
            <w:pPr>
              <w:autoSpaceDE w:val="0"/>
              <w:autoSpaceDN w:val="0"/>
              <w:adjustRightInd w:val="0"/>
              <w:snapToGrid w:val="0"/>
              <w:spacing w:line="400" w:lineRule="exact"/>
              <w:jc w:val="left"/>
              <w:rPr>
                <w:rFonts w:ascii="宋体" w:hAnsi="宋体" w:eastAsia="宋体" w:cs="宋体"/>
                <w:iCs/>
                <w:color w:val="auto"/>
              </w:rPr>
            </w:pPr>
            <w:r>
              <w:rPr>
                <w:rFonts w:hint="eastAsia" w:ascii="宋体" w:hAnsi="宋体" w:eastAsia="宋体" w:cs="宋体"/>
                <w:iCs/>
                <w:color w:val="auto"/>
              </w:rPr>
              <w:t>因本合同及合同有关事项发生的争议，按下列第</w:t>
            </w:r>
            <w:r>
              <w:rPr>
                <w:rFonts w:hint="eastAsia" w:ascii="宋体" w:hAnsi="宋体" w:eastAsia="宋体" w:cs="宋体"/>
                <w:iCs/>
                <w:color w:val="auto"/>
                <w:u w:val="single"/>
              </w:rPr>
              <w:t xml:space="preserve">   </w:t>
            </w:r>
            <w:r>
              <w:rPr>
                <w:rFonts w:hint="eastAsia" w:ascii="宋体" w:hAnsi="宋体" w:eastAsia="宋体" w:cs="宋体"/>
                <w:iCs/>
                <w:color w:val="auto"/>
              </w:rPr>
              <w:t>种方式解决：</w:t>
            </w:r>
          </w:p>
          <w:p w14:paraId="4490CCF9">
            <w:pPr>
              <w:autoSpaceDE w:val="0"/>
              <w:autoSpaceDN w:val="0"/>
              <w:adjustRightInd w:val="0"/>
              <w:snapToGrid w:val="0"/>
              <w:spacing w:line="400" w:lineRule="exact"/>
              <w:jc w:val="left"/>
              <w:rPr>
                <w:rFonts w:ascii="宋体" w:hAnsi="宋体" w:eastAsia="宋体" w:cs="宋体"/>
                <w:iCs/>
                <w:color w:val="auto"/>
              </w:rPr>
            </w:pPr>
            <w:r>
              <w:rPr>
                <w:rFonts w:hint="eastAsia" w:ascii="宋体" w:hAnsi="宋体" w:eastAsia="宋体" w:cs="宋体"/>
                <w:iCs/>
                <w:color w:val="auto"/>
              </w:rPr>
              <w:t>（1）向</w:t>
            </w:r>
            <w:r>
              <w:rPr>
                <w:rFonts w:hint="eastAsia" w:ascii="宋体" w:hAnsi="宋体" w:eastAsia="宋体" w:cs="宋体"/>
                <w:iCs/>
                <w:color w:val="auto"/>
                <w:u w:val="single"/>
              </w:rPr>
              <w:t xml:space="preserve">                    </w:t>
            </w:r>
            <w:r>
              <w:rPr>
                <w:rFonts w:hint="eastAsia" w:ascii="宋体" w:hAnsi="宋体" w:eastAsia="宋体" w:cs="宋体"/>
                <w:iCs/>
                <w:color w:val="auto"/>
              </w:rPr>
              <w:t>仲裁委员会申请仲裁，仲裁地点为</w:t>
            </w:r>
            <w:r>
              <w:rPr>
                <w:rFonts w:hint="eastAsia" w:ascii="宋体" w:hAnsi="宋体" w:eastAsia="宋体" w:cs="宋体"/>
                <w:iCs/>
                <w:color w:val="auto"/>
                <w:u w:val="single"/>
              </w:rPr>
              <w:t xml:space="preserve">           </w:t>
            </w:r>
            <w:r>
              <w:rPr>
                <w:rFonts w:hint="eastAsia" w:ascii="宋体" w:hAnsi="宋体" w:eastAsia="宋体" w:cs="宋体"/>
                <w:iCs/>
                <w:color w:val="auto"/>
              </w:rPr>
              <w:t>；</w:t>
            </w:r>
          </w:p>
          <w:p w14:paraId="7DB1AC3C">
            <w:pPr>
              <w:adjustRightInd w:val="0"/>
              <w:snapToGrid w:val="0"/>
              <w:jc w:val="left"/>
              <w:rPr>
                <w:rFonts w:ascii="宋体" w:hAnsi="宋体" w:eastAsia="宋体" w:cs="Times New Roman"/>
                <w:color w:val="auto"/>
                <w:u w:val="single"/>
              </w:rPr>
            </w:pPr>
            <w:r>
              <w:rPr>
                <w:rFonts w:hint="eastAsia" w:ascii="宋体" w:hAnsi="宋体" w:eastAsia="宋体" w:cs="宋体"/>
                <w:iCs/>
                <w:color w:val="auto"/>
              </w:rPr>
              <w:t>（2）向</w:t>
            </w:r>
            <w:r>
              <w:rPr>
                <w:rFonts w:hint="eastAsia" w:ascii="宋体" w:hAnsi="宋体" w:eastAsia="宋体" w:cs="宋体"/>
                <w:iCs/>
                <w:color w:val="auto"/>
                <w:u w:val="single"/>
              </w:rPr>
              <w:t xml:space="preserve">                    </w:t>
            </w:r>
            <w:r>
              <w:rPr>
                <w:rFonts w:hint="eastAsia" w:ascii="宋体" w:hAnsi="宋体" w:eastAsia="宋体" w:cs="宋体"/>
                <w:iCs/>
                <w:color w:val="auto"/>
              </w:rPr>
              <w:t>人民法院起诉。</w:t>
            </w:r>
          </w:p>
        </w:tc>
      </w:tr>
      <w:tr w14:paraId="3C085A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47127CE3">
            <w:pPr>
              <w:adjustRightInd w:val="0"/>
              <w:snapToGrid w:val="0"/>
              <w:jc w:val="center"/>
              <w:rPr>
                <w:rFonts w:ascii="宋体" w:hAnsi="宋体" w:eastAsia="宋体" w:cs="Times New Roman"/>
                <w:color w:val="auto"/>
              </w:rPr>
            </w:pPr>
            <w:r>
              <w:rPr>
                <w:rFonts w:hint="eastAsia" w:ascii="宋体" w:hAnsi="宋体" w:eastAsia="宋体" w:cs="Times New Roman"/>
                <w:color w:val="auto"/>
              </w:rPr>
              <w:t>第二节</w:t>
            </w:r>
          </w:p>
          <w:p w14:paraId="3BB2E33E">
            <w:pPr>
              <w:adjustRightInd w:val="0"/>
              <w:snapToGrid w:val="0"/>
              <w:jc w:val="center"/>
              <w:rPr>
                <w:rFonts w:ascii="宋体" w:hAnsi="宋体" w:eastAsia="宋体" w:cs="Times New Roman"/>
                <w:color w:val="auto"/>
              </w:rPr>
            </w:pPr>
            <w:r>
              <w:rPr>
                <w:rFonts w:hint="eastAsia" w:ascii="宋体" w:hAnsi="宋体" w:eastAsia="宋体" w:cs="Times New Roman"/>
                <w:color w:val="auto"/>
              </w:rPr>
              <w:t>第23.1款</w:t>
            </w:r>
          </w:p>
        </w:tc>
        <w:tc>
          <w:tcPr>
            <w:tcW w:w="1742" w:type="dxa"/>
            <w:vAlign w:val="center"/>
          </w:tcPr>
          <w:p w14:paraId="6E34899F">
            <w:pPr>
              <w:adjustRightInd w:val="0"/>
              <w:snapToGrid w:val="0"/>
              <w:jc w:val="left"/>
              <w:rPr>
                <w:rFonts w:ascii="宋体" w:hAnsi="宋体" w:eastAsia="宋体" w:cs="Times New Roman"/>
                <w:color w:val="auto"/>
              </w:rPr>
            </w:pPr>
            <w:r>
              <w:rPr>
                <w:rFonts w:hint="eastAsia" w:ascii="宋体" w:hAnsi="宋体" w:eastAsia="宋体" w:cs="Times New Roman"/>
                <w:bCs/>
                <w:color w:val="auto"/>
              </w:rPr>
              <w:t>其他专用条款</w:t>
            </w:r>
          </w:p>
        </w:tc>
        <w:tc>
          <w:tcPr>
            <w:tcW w:w="5170" w:type="dxa"/>
            <w:vAlign w:val="center"/>
          </w:tcPr>
          <w:p w14:paraId="0CBE7A80">
            <w:pPr>
              <w:adjustRightInd w:val="0"/>
              <w:snapToGrid w:val="0"/>
              <w:jc w:val="left"/>
              <w:rPr>
                <w:rFonts w:ascii="宋体" w:hAnsi="宋体" w:eastAsia="宋体" w:cs="Times New Roman"/>
                <w:color w:val="auto"/>
              </w:rPr>
            </w:pPr>
          </w:p>
        </w:tc>
      </w:tr>
    </w:tbl>
    <w:p w14:paraId="39CC04A6">
      <w:pPr>
        <w:rPr>
          <w:rFonts w:ascii="Times New Roman" w:hAnsi="Times New Roman" w:eastAsia="宋体" w:cs="Times New Roman"/>
          <w:color w:val="auto"/>
          <w:szCs w:val="24"/>
        </w:rPr>
      </w:pPr>
    </w:p>
    <w:p w14:paraId="086DABFC">
      <w:pPr>
        <w:rPr>
          <w:rFonts w:cs="Times New Roman"/>
          <w:color w:val="auto"/>
          <w:szCs w:val="22"/>
        </w:rPr>
      </w:pPr>
    </w:p>
    <w:p w14:paraId="226F901A">
      <w:pPr>
        <w:snapToGrid w:val="0"/>
        <w:spacing w:line="579" w:lineRule="exact"/>
        <w:jc w:val="center"/>
        <w:rPr>
          <w:rFonts w:ascii="方正小标宋_GBK" w:eastAsia="方正小标宋_GBK"/>
          <w:color w:val="auto"/>
          <w:sz w:val="44"/>
          <w:szCs w:val="44"/>
        </w:rPr>
      </w:pPr>
      <w:r>
        <w:rPr>
          <w:rFonts w:ascii="方正小标宋_GBK" w:eastAsia="方正小标宋_GBK"/>
          <w:color w:val="auto"/>
          <w:sz w:val="44"/>
          <w:szCs w:val="44"/>
        </w:rPr>
        <w:br w:type="page"/>
      </w:r>
    </w:p>
    <w:p w14:paraId="7EA2866B">
      <w:pPr>
        <w:snapToGrid w:val="0"/>
        <w:spacing w:line="579" w:lineRule="exact"/>
        <w:jc w:val="center"/>
        <w:rPr>
          <w:rFonts w:ascii="方正小标宋_GBK" w:eastAsia="方正小标宋_GBK"/>
          <w:color w:val="auto"/>
          <w:sz w:val="44"/>
          <w:szCs w:val="44"/>
        </w:rPr>
      </w:pPr>
    </w:p>
    <w:bookmarkEnd w:id="591"/>
    <w:p w14:paraId="43909C2E">
      <w:pPr>
        <w:pStyle w:val="2"/>
        <w:tabs>
          <w:tab w:val="left" w:pos="2676"/>
        </w:tabs>
        <w:spacing w:before="0" w:after="0" w:line="360" w:lineRule="auto"/>
        <w:jc w:val="center"/>
        <w:rPr>
          <w:rFonts w:ascii="宋体" w:hAnsi="宋体" w:cs="宋体"/>
          <w:color w:val="auto"/>
          <w:sz w:val="36"/>
          <w:szCs w:val="36"/>
        </w:rPr>
      </w:pPr>
      <w:bookmarkStart w:id="597" w:name="_Toc164432958"/>
      <w:r>
        <w:rPr>
          <w:rFonts w:hint="eastAsia" w:ascii="宋体" w:hAnsi="宋体" w:cs="宋体"/>
          <w:color w:val="auto"/>
          <w:sz w:val="36"/>
          <w:szCs w:val="36"/>
        </w:rPr>
        <w:t>第五章</w:t>
      </w:r>
      <w:r>
        <w:rPr>
          <w:rFonts w:ascii="宋体" w:hAnsi="宋体" w:cs="宋体"/>
          <w:color w:val="auto"/>
          <w:sz w:val="36"/>
          <w:szCs w:val="36"/>
        </w:rPr>
        <w:t xml:space="preserve"> </w:t>
      </w:r>
      <w:r>
        <w:rPr>
          <w:rFonts w:hint="eastAsia" w:ascii="宋体" w:hAnsi="宋体" w:cs="宋体"/>
          <w:color w:val="auto"/>
          <w:sz w:val="36"/>
          <w:szCs w:val="36"/>
        </w:rPr>
        <w:t>采购需求</w:t>
      </w:r>
      <w:bookmarkEnd w:id="597"/>
      <w:bookmarkStart w:id="598" w:name="_Toc23939538"/>
      <w:bookmarkStart w:id="599" w:name="_Toc23939591"/>
    </w:p>
    <w:p w14:paraId="23F3252B">
      <w:pPr>
        <w:pStyle w:val="16"/>
        <w:ind w:left="63" w:right="63" w:firstLine="402" w:firstLineChars="200"/>
        <w:jc w:val="left"/>
        <w:rPr>
          <w:b/>
          <w:bCs/>
          <w:color w:val="auto"/>
        </w:rPr>
      </w:pPr>
      <w:r>
        <w:rPr>
          <w:rFonts w:hint="eastAsia"/>
          <w:b/>
          <w:bCs/>
          <w:color w:val="auto"/>
        </w:rPr>
        <w:t>一、采购需求</w:t>
      </w:r>
    </w:p>
    <w:p w14:paraId="7444BCAC">
      <w:pPr>
        <w:pStyle w:val="16"/>
        <w:ind w:left="71" w:leftChars="34" w:right="63"/>
        <w:jc w:val="left"/>
        <w:rPr>
          <w:rFonts w:hint="eastAsia" w:ascii="宋体" w:hAnsi="宋体" w:cs="宋体"/>
          <w:color w:val="auto"/>
          <w:lang w:eastAsia="zh-CN"/>
        </w:rPr>
      </w:pPr>
      <w:r>
        <w:rPr>
          <w:rFonts w:hint="eastAsia" w:ascii="宋体" w:hAnsi="宋体" w:cs="宋体"/>
          <w:color w:val="auto"/>
          <w:lang w:eastAsia="zh-CN"/>
        </w:rPr>
        <w:t>本次采购为云南省昭通市基层防灾能力提升项目24标段：中小型水罐消防车10台；森林火灾扑救特类车辆（高压喷雾车）1台；</w:t>
      </w:r>
    </w:p>
    <w:p w14:paraId="38AF5B0E">
      <w:pPr>
        <w:pStyle w:val="16"/>
        <w:ind w:left="71" w:leftChars="34" w:right="63"/>
        <w:jc w:val="left"/>
        <w:rPr>
          <w:b/>
          <w:bCs/>
          <w:color w:val="auto"/>
        </w:rPr>
      </w:pPr>
      <w:r>
        <w:rPr>
          <w:rFonts w:hint="eastAsia"/>
          <w:b/>
          <w:bCs/>
          <w:color w:val="auto"/>
        </w:rPr>
        <w:t>二、质量标准</w:t>
      </w:r>
    </w:p>
    <w:p w14:paraId="0F41A8C9">
      <w:pPr>
        <w:pStyle w:val="16"/>
        <w:ind w:left="63" w:right="63" w:firstLine="400" w:firstLineChars="200"/>
        <w:jc w:val="left"/>
        <w:rPr>
          <w:color w:val="auto"/>
        </w:rPr>
      </w:pPr>
      <w:r>
        <w:rPr>
          <w:rFonts w:hint="eastAsia"/>
          <w:color w:val="auto"/>
        </w:rPr>
        <w:t>全新、符合国家质量标准、国内有关部门手续完备、具有生产厂家质量保证书（或合格证明）的货物，且一次性验收合格交付使用。</w:t>
      </w:r>
    </w:p>
    <w:p w14:paraId="55E41E8E">
      <w:pPr>
        <w:pStyle w:val="16"/>
        <w:ind w:left="71" w:leftChars="34" w:right="63"/>
        <w:jc w:val="both"/>
        <w:rPr>
          <w:b/>
          <w:bCs/>
          <w:color w:val="auto"/>
        </w:rPr>
      </w:pPr>
      <w:r>
        <w:rPr>
          <w:rFonts w:hint="eastAsia"/>
          <w:b/>
          <w:bCs/>
          <w:color w:val="auto"/>
        </w:rPr>
        <w:t>三、交货地点</w:t>
      </w:r>
    </w:p>
    <w:p w14:paraId="01583BEB">
      <w:pPr>
        <w:pStyle w:val="16"/>
        <w:ind w:left="63" w:right="63" w:firstLine="400" w:firstLineChars="200"/>
        <w:jc w:val="left"/>
        <w:rPr>
          <w:color w:val="auto"/>
        </w:rPr>
      </w:pPr>
      <w:r>
        <w:rPr>
          <w:rFonts w:hint="eastAsia"/>
          <w:color w:val="auto"/>
        </w:rPr>
        <w:t>采购人指定地点。</w:t>
      </w:r>
    </w:p>
    <w:p w14:paraId="00983390">
      <w:pPr>
        <w:pStyle w:val="16"/>
        <w:ind w:left="71" w:leftChars="34" w:right="63"/>
        <w:jc w:val="left"/>
        <w:rPr>
          <w:b/>
          <w:bCs/>
          <w:color w:val="auto"/>
        </w:rPr>
      </w:pPr>
      <w:r>
        <w:rPr>
          <w:rFonts w:hint="eastAsia"/>
          <w:b/>
          <w:bCs/>
          <w:color w:val="auto"/>
        </w:rPr>
        <w:t>四、合同履行期限</w:t>
      </w:r>
    </w:p>
    <w:p w14:paraId="100D80E3">
      <w:pPr>
        <w:pStyle w:val="16"/>
        <w:ind w:left="63" w:right="63" w:firstLine="400" w:firstLineChars="200"/>
        <w:jc w:val="left"/>
        <w:rPr>
          <w:color w:val="auto"/>
        </w:rPr>
      </w:pPr>
      <w:r>
        <w:rPr>
          <w:rFonts w:hint="eastAsia"/>
          <w:color w:val="auto"/>
        </w:rPr>
        <w:t>自合同签订之日起</w:t>
      </w:r>
      <w:r>
        <w:rPr>
          <w:rFonts w:hint="eastAsia"/>
          <w:color w:val="auto"/>
          <w:lang w:val="en-US" w:eastAsia="zh-CN"/>
        </w:rPr>
        <w:t>60</w:t>
      </w:r>
      <w:r>
        <w:rPr>
          <w:rFonts w:hint="eastAsia"/>
          <w:color w:val="auto"/>
          <w:lang w:eastAsia="zh-CN"/>
        </w:rPr>
        <w:t>日历天</w:t>
      </w:r>
      <w:r>
        <w:rPr>
          <w:color w:val="auto"/>
        </w:rPr>
        <w:t>天内完成安装、调试、验收合格并投入使用。</w:t>
      </w:r>
    </w:p>
    <w:p w14:paraId="61533205">
      <w:pPr>
        <w:ind w:firstLine="422" w:firstLineChars="200"/>
        <w:jc w:val="left"/>
        <w:rPr>
          <w:rFonts w:ascii="宋体" w:hAnsi="宋体" w:eastAsia="宋体" w:cs="宋体"/>
          <w:b/>
          <w:bCs/>
          <w:color w:val="auto"/>
        </w:rPr>
      </w:pPr>
      <w:r>
        <w:rPr>
          <w:rFonts w:ascii="宋体" w:hAnsi="宋体" w:eastAsia="宋体" w:cs="宋体"/>
          <w:b/>
          <w:bCs/>
          <w:color w:val="auto"/>
        </w:rPr>
        <w:br w:type="page"/>
      </w:r>
    </w:p>
    <w:p w14:paraId="3D81C06D">
      <w:pPr>
        <w:rPr>
          <w:rFonts w:ascii="宋体" w:hAnsi="宋体" w:eastAsia="宋体" w:cs="宋体"/>
          <w:b/>
          <w:bCs/>
          <w:color w:val="auto"/>
        </w:rPr>
      </w:pPr>
      <w:r>
        <w:rPr>
          <w:rFonts w:hint="eastAsia" w:ascii="宋体" w:hAnsi="宋体" w:eastAsia="宋体" w:cs="宋体"/>
          <w:b/>
          <w:bCs/>
          <w:color w:val="auto"/>
        </w:rPr>
        <w:t>五、技术参数</w:t>
      </w:r>
    </w:p>
    <w:tbl>
      <w:tblPr>
        <w:tblStyle w:val="39"/>
        <w:tblW w:w="1014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1227"/>
        <w:gridCol w:w="7810"/>
        <w:gridCol w:w="526"/>
      </w:tblGrid>
      <w:tr w14:paraId="6F4AD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06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标段</w:t>
            </w:r>
          </w:p>
        </w:tc>
        <w:tc>
          <w:tcPr>
            <w:tcW w:w="12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745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装备名称</w:t>
            </w:r>
          </w:p>
        </w:tc>
        <w:tc>
          <w:tcPr>
            <w:tcW w:w="7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4F5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参数</w:t>
            </w:r>
          </w:p>
        </w:tc>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A3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数量</w:t>
            </w:r>
          </w:p>
        </w:tc>
      </w:tr>
      <w:tr w14:paraId="3C8CC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F7C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u w:val="none"/>
                <w:lang w:val="en-US" w:eastAsia="zh-CN" w:bidi="ar"/>
              </w:rPr>
              <w:t>24</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C3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u w:val="none"/>
                <w:lang w:val="en-US" w:eastAsia="zh-CN" w:bidi="ar"/>
              </w:rPr>
              <w:t>中小型水罐消防车</w:t>
            </w:r>
          </w:p>
        </w:tc>
        <w:tc>
          <w:tcPr>
            <w:tcW w:w="7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F1D7">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中小型水罐消防车（5吨）基本参数应满足：</w:t>
            </w:r>
          </w:p>
          <w:p w14:paraId="2EAB1857">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1.基本要求（5吨）</w:t>
            </w:r>
          </w:p>
          <w:p w14:paraId="04DFD5E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★1.1国产整装底盘</w:t>
            </w:r>
          </w:p>
          <w:p w14:paraId="51E58DB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1.2排放标准：不低于中国国家机动车现行排放标准（国六）。</w:t>
            </w:r>
          </w:p>
          <w:p w14:paraId="2B946953">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1.3比功率：≥10kw/t</w:t>
            </w:r>
          </w:p>
          <w:p w14:paraId="68319122">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1.4车辆资质：提供法定资质的检测报告</w:t>
            </w:r>
          </w:p>
          <w:p w14:paraId="49C914E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2.底盘</w:t>
            </w:r>
          </w:p>
          <w:p w14:paraId="5AA5666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 xml:space="preserve">2.1驱动形式：4×2。 </w:t>
            </w:r>
          </w:p>
          <w:p w14:paraId="0BF7823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2.2发动机：涡轮增压柴油发动机。</w:t>
            </w:r>
          </w:p>
          <w:p w14:paraId="043A669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2.3发动机功率：≥140Kw。</w:t>
            </w:r>
          </w:p>
          <w:p w14:paraId="43BB786C">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2.4取力器：全功率取力器</w:t>
            </w:r>
          </w:p>
          <w:p w14:paraId="0A46A3B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2.5转向：液压助力</w:t>
            </w:r>
          </w:p>
          <w:p w14:paraId="0053557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2.6制动：配备ABS（防抱死系统）行车制动及刹车淋水系统。</w:t>
            </w:r>
          </w:p>
          <w:p w14:paraId="3F48E5B5">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2.7接近角/离去角(°)：18°/12°</w:t>
            </w:r>
          </w:p>
          <w:p w14:paraId="3ECE334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3.驾驶室和乘员室</w:t>
            </w:r>
          </w:p>
          <w:p w14:paraId="1274EF2E">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3.1结构：平头、四开门双排驾驶室。</w:t>
            </w:r>
          </w:p>
          <w:p w14:paraId="31685C35">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3.2乘员人数：≥6人</w:t>
            </w:r>
          </w:p>
          <w:p w14:paraId="5865A936">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3.3门窗及座位：驾驶室前后排为电动门窗，中控门锁，座椅为皮质座椅。</w:t>
            </w:r>
          </w:p>
          <w:p w14:paraId="6604E9B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3.4空调：全自动冷暖空调。</w:t>
            </w:r>
          </w:p>
          <w:p w14:paraId="298BCDFF">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设备：除原车设备外，需加装：后排座位安装不少于3具空气呼吸器托架和乘员安全带；取力器控制开关及指示灯；360°倒车影像（液晶倒车监视屏）、360°行车记录仪（高清，128G以上内存，影像可自动更新）。车辆尾部设置车辆、水泵以及压力的相关控制面板。</w:t>
            </w:r>
          </w:p>
          <w:p w14:paraId="300BC1E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3.6照明：车厢两侧上方各安装红色频闪灯和工作照明灯，车顶后部安装圆警灯和遥控搜索照明灯，车后部安装红色爆闪灯，按标准要求配置标志灯、前后示廓灯及两侧和尾部反光标识，其余照明及警示设备符合GA39.4-92中电气系统的规定和要求。</w:t>
            </w:r>
          </w:p>
          <w:p w14:paraId="3AD8BE8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3.7警灯：1组符合GB13954－2004规定，电子警报器1个符合GB8108－1999规定，功率≥100W，车厢两侧上部配不少于2只的爆闪灯。符合应急管理部相关标准。</w:t>
            </w:r>
          </w:p>
          <w:p w14:paraId="5DED9E1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4.上装</w:t>
            </w:r>
          </w:p>
          <w:p w14:paraId="490660B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4.1器材箱</w:t>
            </w:r>
          </w:p>
          <w:p w14:paraId="6501D2D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4.1.1材质：主框架采用优质型钢，内骨架为高强度铝合金型材，满足满负荷承载能力。</w:t>
            </w:r>
          </w:p>
          <w:p w14:paraId="1B8A2F96">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4.1.2结构：全钢框架焊接结构，前器材箱左右侧各 1 扇铝合金卷帘门，后泵房左右后侧各 1 扇铝合金卷帘门。</w:t>
            </w:r>
          </w:p>
          <w:p w14:paraId="7494E18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4.1.3箱门：高强度铝合金型材料，箱门关闭后密封、防水，一把钥匙开关所有厢门，在三级道路以60Km/h行驶时器材箱门不会自动开启。</w:t>
            </w:r>
          </w:p>
          <w:p w14:paraId="5508FAF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4.1.4箱内照明：器材箱照明启闭与卷帘门联动。</w:t>
            </w:r>
          </w:p>
          <w:p w14:paraId="68DD474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4.2灭火系统</w:t>
            </w:r>
          </w:p>
          <w:p w14:paraId="08E0F83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4.2.1消防泵</w:t>
            </w:r>
          </w:p>
          <w:p w14:paraId="02F562C4">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★4.2.1.1流量和压力：在压力1.0MPa时，流量≥40L/s。</w:t>
            </w:r>
          </w:p>
          <w:p w14:paraId="6D0D3B92">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4.2.1.2引水时间：≤50s。</w:t>
            </w:r>
          </w:p>
          <w:p w14:paraId="347CDADF">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4.2.1.3位置：后置式</w:t>
            </w:r>
          </w:p>
          <w:p w14:paraId="4AEFB2C2">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4.2.1.4最大吸深：≥7m</w:t>
            </w:r>
          </w:p>
          <w:p w14:paraId="7E332C8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4.2.2消防炮</w:t>
            </w:r>
          </w:p>
          <w:p w14:paraId="5D06D31C">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4.2.2.1流量：≥20L/s。</w:t>
            </w:r>
          </w:p>
          <w:p w14:paraId="352F4082">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4.2.2.2水平旋转360°，俯仰角度－15°～＋60°。</w:t>
            </w:r>
          </w:p>
          <w:p w14:paraId="65E426B6">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4.2.2.3射程：≥50m</w:t>
            </w:r>
          </w:p>
          <w:p w14:paraId="104C79B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4.3消防管路系统</w:t>
            </w:r>
          </w:p>
          <w:p w14:paraId="108BA2C4">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4.3.1吸水口：后部至少设置1个不小于DN100mm吸水口，配不锈钢滤网，闷盖密封，并安装蝶阀启闭，配置配套不少于8米吸水管。</w:t>
            </w:r>
          </w:p>
          <w:p w14:paraId="45768C4F">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4.3.2出液口：消防泵左右各有1个DN80 的常压出水口,1个DN65的常压出水口，1个DN40的常压出水口，阀门闭合式，带闷盖。</w:t>
            </w:r>
          </w:p>
          <w:p w14:paraId="0F053F62">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4.3.3注水口：泵房两侧左右各1个不小于DN65注水口，带闷盖。</w:t>
            </w:r>
          </w:p>
          <w:p w14:paraId="0E5900B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4.3.4注液口：设置带防腐蚀阀门的注液口。</w:t>
            </w:r>
          </w:p>
          <w:p w14:paraId="60D02E7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4.3.5放余水管路：管路最低位置加装放余水球阀，开关引出便于操作。</w:t>
            </w:r>
          </w:p>
          <w:p w14:paraId="35D47B95">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4.3.6管路颜色：消防泵出水管路、出水阀或手柄手轮为大红色，进水管路、进水阀或手柄手轮、水罐至消防泵的输水管路为深绿</w:t>
            </w:r>
          </w:p>
          <w:p w14:paraId="2BB086DE">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4.4液罐</w:t>
            </w:r>
          </w:p>
          <w:p w14:paraId="2A2A808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4.4.1载水量：≥5吨。</w:t>
            </w:r>
          </w:p>
          <w:p w14:paraId="407543C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4.4.2补液口：车身顶部。（罐体顶部）</w:t>
            </w:r>
          </w:p>
          <w:p w14:paraId="6713E2D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4.4.3其他：设有纵横隔震板（防荡），1个液位传感器，1个回液装置，1个DN40不锈钢球阀控制的排污口。</w:t>
            </w:r>
          </w:p>
          <w:p w14:paraId="49E1426E">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★4.4.4罐体材质：碳钢或PEE，保质期不少于5年。</w:t>
            </w:r>
          </w:p>
          <w:p w14:paraId="3AA9D17C">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5.外观颜色、标识</w:t>
            </w:r>
          </w:p>
          <w:p w14:paraId="01F67CA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5.1车身：所有暴露金属面均彻底清洁、整理和喷漆。驾驶室及上装均采用内涂层等进行防腐处理。车厢表面符合GB7258规定的GB/T3181《漆膜颜色标准》中R03大红色，车身设有符合安全标准要求的荧光反光带。</w:t>
            </w:r>
          </w:p>
          <w:p w14:paraId="1A04188B">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5.2整车标识：按应急管理部最新外观标识统型标准消防救援车辆外观制式涂装要求进行涂装。车辆涂装符合《国家综合性消防救援车辆外观制式涂装规范》。</w:t>
            </w:r>
          </w:p>
          <w:p w14:paraId="55396E6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5.3其他：所有车上铭牌、显示屏幕信息、功能按键必须以中文或图形符号显示，随车技术文件带中文翻译件；在驾驶室显著位置上安放标注有生产厂家名称、品牌名称、型号、规格、生产日期等产品信息的铭牌。</w:t>
            </w:r>
          </w:p>
          <w:p w14:paraId="361679E3">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6.随车资料（均为中文材料）</w:t>
            </w:r>
          </w:p>
          <w:p w14:paraId="381C0653">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消防车使用说明书；汽车底盘使用说明书；消防泵使用说明书；随车工具、备胎等常用随车器材；发动机号和底盘号拓印件2套；底盘保修卡1份；整车合格证1份、底盘合格证1份、工信部公告1份等。</w:t>
            </w:r>
          </w:p>
          <w:p w14:paraId="3ACEBDC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7.随车器材（不少于下列标准）</w:t>
            </w:r>
          </w:p>
          <w:p w14:paraId="6569B30B">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手抬机动泵：1台（扬程≥60米）。吸水管扳手：2把。地上消火栓扳手：1把。水带：80mm×20m（25型快速式有衬里）4盘，65mm×20m（25型快速式有衬里）6盘，40mm×30m（25型快速式有衬里）10盘。异径接口：1套（80公口转65母口，65卡口转65母口，80卡口转80母口，65公口转40母口）。直流水枪：2支（40mm和65mm各1支）。无后座力水枪（多功能水枪）： 4支（40mm和65mm各2支）。三分水器：65mm/40mm×3的1只，80mm/65mm×3的1只。水带护桥：橡胶制2副。水带挂钩：4只。水带包布：4块。 吸水管：≥8m（100mm），4根。 集水器：1个。滤水器：1个。灭火器：2具。铁锹：1件。 铁铤 ：1件。 消防斧：1把。橡皮锤 ：1把。丁字镐： 1把。可充电式手提照明灯：6盏。6米拉梯：1把。</w:t>
            </w:r>
          </w:p>
          <w:p w14:paraId="578C3DC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★8.整车维保期不少于5年。</w:t>
            </w:r>
          </w:p>
          <w:p w14:paraId="409F8F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u w:val="none"/>
                <w:lang w:val="en-US" w:eastAsia="zh-CN" w:bidi="ar"/>
              </w:rPr>
              <w:t>9.报价应包含第一年车辆保险费和上牌费。</w:t>
            </w:r>
          </w:p>
        </w:tc>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1E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r>
      <w:tr w14:paraId="1FAA1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D1D02">
            <w:pPr>
              <w:jc w:val="center"/>
              <w:rPr>
                <w:rFonts w:hint="eastAsia" w:ascii="宋体" w:hAnsi="宋体" w:eastAsia="宋体" w:cs="宋体"/>
                <w:i w:val="0"/>
                <w:iCs w:val="0"/>
                <w:color w:val="auto"/>
                <w:sz w:val="21"/>
                <w:szCs w:val="21"/>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63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u w:val="none"/>
                <w:lang w:val="en-US" w:eastAsia="zh-CN" w:bidi="ar"/>
              </w:rPr>
              <w:t>森林火灾扑救特类车辆（高压喷雾车）</w:t>
            </w:r>
          </w:p>
        </w:tc>
        <w:tc>
          <w:tcPr>
            <w:tcW w:w="7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D14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高压喷雾车用于扑救初期森林火灾，基本参数应满足：</w:t>
            </w:r>
          </w:p>
          <w:p w14:paraId="68320603">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1.基本要求</w:t>
            </w:r>
          </w:p>
          <w:p w14:paraId="102D7BC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1.1应为国产底盘，不低于中国国家机动车现行排放标准，整车提供法定资质的检测报告；</w:t>
            </w:r>
          </w:p>
          <w:p w14:paraId="3E41BE9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1.2比功率：≥12kw/t；</w:t>
            </w:r>
          </w:p>
          <w:p w14:paraId="2B510CA5">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1.3底盘允许最大总质量：≥7000Kg；</w:t>
            </w:r>
          </w:p>
          <w:p w14:paraId="263A892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1.4转向：液压助力，制动：配备ABS（防抱死系统）行车制动及刹车淋水系统；</w:t>
            </w:r>
          </w:p>
          <w:p w14:paraId="385C239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1.5驾驶室和乘员室：结构为平头、四开门双排驾驶室，乘员人数：≥5人；</w:t>
            </w:r>
          </w:p>
          <w:p w14:paraId="7D7E16CF">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1.6门窗及座位：驾驶室前后排为电动门窗，中控门锁，座椅为皮质座椅；</w:t>
            </w:r>
          </w:p>
          <w:p w14:paraId="2F3EA433">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1.7空调：全自动冷暖空调。</w:t>
            </w:r>
          </w:p>
          <w:p w14:paraId="27257CD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加装设备：除原车设备外，需加装：后排座位安装不少于4具空气呼吸器托架和乘员安全带；360°倒车影像（液晶倒车监视屏）；360°行车记录仪（高清，128G以上内存，影像可自动更新）。车辆尾部设置车辆、水泵以及压力的相关控制面板。</w:t>
            </w:r>
          </w:p>
          <w:p w14:paraId="5CD95DF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3.灯光系统</w:t>
            </w:r>
          </w:p>
          <w:p w14:paraId="3CD82B5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照明：车厢两侧上方各安装红色频闪灯和工作照明灯，车顶后部安装圆警灯和遥控搜索照明灯，车后部安装红色爆闪灯，按标准要求配置标志灯、前后示廓灯及两侧和尾部反光标识，其余照明及警示设备符合GA39.4-92中电气系统的规定和要求。</w:t>
            </w:r>
          </w:p>
          <w:p w14:paraId="443F2125">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3.2警灯：1组符合GB13954－2004规定，电子警报器1个符合GB8108－1999规定，功率≥100W，车厢两侧上部配不少于2只的爆闪灯。符合应急管理部相关标准。</w:t>
            </w:r>
          </w:p>
          <w:p w14:paraId="060AF10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4.上装</w:t>
            </w:r>
          </w:p>
          <w:p w14:paraId="16D3477B">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4.1器材箱和踏板</w:t>
            </w:r>
          </w:p>
          <w:p w14:paraId="75D9FCDF">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4.1.1材质：主框架采用优质型钢，内骨架为高强度铝合金型材，满足满负荷承载能力。</w:t>
            </w:r>
          </w:p>
          <w:p w14:paraId="1C20A8E6">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4.1.2结构：全钢框架焊接结构，铝合金卷帘门。</w:t>
            </w:r>
          </w:p>
          <w:p w14:paraId="4ACA3E26">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4.1.3箱门：高强度铝合金型材料，箱门关闭后密封、防水，一把钥匙开关所有厢门，在三级道路以60Km/h行驶时器材箱门不会自动开启。</w:t>
            </w:r>
          </w:p>
          <w:p w14:paraId="45A9116C">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4.1.4箱内照明：器材箱照明启闭与卷帘门联动。</w:t>
            </w:r>
          </w:p>
          <w:p w14:paraId="380F18A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4.1.5翻门踏板：泵房左右两侧下部安装翻转踏板，防滑设计，承载大于150kg。</w:t>
            </w:r>
          </w:p>
          <w:p w14:paraId="4F56021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4.2灭火系统</w:t>
            </w:r>
          </w:p>
          <w:p w14:paraId="67C970E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4.2.1消防泵</w:t>
            </w:r>
          </w:p>
          <w:p w14:paraId="08E8FBE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4.2.1.1流量和压力：≥200L/min（罐吸）。</w:t>
            </w:r>
          </w:p>
          <w:p w14:paraId="50ECF84F">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4.2.1.2高压细水雾灭火系统：180L/min大流量双枪，开关自动调整水泵转速；</w:t>
            </w:r>
          </w:p>
          <w:p w14:paraId="79503467">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4.2.1.3位置：后置式；</w:t>
            </w:r>
          </w:p>
          <w:p w14:paraId="48A17EC5">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4.2.1.4管道允许压力：≥15MPa。</w:t>
            </w:r>
          </w:p>
          <w:p w14:paraId="2B55D8F2">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4.2.2高压喷雾系统</w:t>
            </w:r>
          </w:p>
          <w:p w14:paraId="2C46A37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4.2.2.1流量：≥3L/s。</w:t>
            </w:r>
          </w:p>
          <w:p w14:paraId="441E076F">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4.2.2.2喷雾枪射程：≥20m。</w:t>
            </w:r>
          </w:p>
          <w:p w14:paraId="76FB8BE3">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4.3液罐</w:t>
            </w:r>
          </w:p>
          <w:p w14:paraId="24474BE5">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4.3.1载水量：≥1.8吨。</w:t>
            </w:r>
          </w:p>
          <w:p w14:paraId="26263D23">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4.3.2补液口：车身顶部。（罐体顶部）</w:t>
            </w:r>
          </w:p>
          <w:p w14:paraId="25555A21">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4.4.3其他：1个液位传感器，1个回液装置，1个DN40不锈钢球阀控制的排污口。</w:t>
            </w:r>
          </w:p>
          <w:p w14:paraId="20B6C07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5.外观颜色、标识</w:t>
            </w:r>
          </w:p>
          <w:p w14:paraId="3BAEA98A">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5.1车身：所有暴露金属面均彻底清洁、整理和喷漆。驾驶室及上装均采用内涂层等进行防腐处理。车厢表面符合GB7258规定的GB/T3181《漆膜颜色标准》中R03大红色，车身设有符合安全标准要求的荧光反光带。</w:t>
            </w:r>
          </w:p>
          <w:p w14:paraId="3A7F4720">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5.2整车标识：按应急管理部最新外观标识统型标准消防救援车辆外观制式涂装要求进行涂装。车辆涂装符合《国家综合性消防救援车辆外观制式涂装规范》。</w:t>
            </w:r>
          </w:p>
          <w:p w14:paraId="3FAC4FF2">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5.3其他：所有车上铭牌、显示屏幕信息、功能按键必须以中文或图形符号显示，随车技术文件带中文翻译件；在驾驶室显著位置上安放标注有生产供应商名称、品牌名称、型号、规格、生产日期等产品信息的铭牌。</w:t>
            </w:r>
          </w:p>
          <w:p w14:paraId="33045CBD">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6.随车资料（均为中文材料）</w:t>
            </w:r>
          </w:p>
          <w:p w14:paraId="6FCE075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消防车使用说明书；汽车底盘使用说明书；消防泵使用说明书；随车工具、备胎等常用随车器材；发动机号和底盘号拓印件2套；底盘保修卡1份；整车合格证1份、底盘合格证1份、工信部公告1份等。</w:t>
            </w:r>
          </w:p>
          <w:p w14:paraId="22E31989">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7.随车器材（不少于下列标准）</w:t>
            </w:r>
          </w:p>
          <w:p w14:paraId="572BBC0C">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吸水管扳手：2把。地上消火栓扳手：1把。 吸水管：≥8m（80mm），4根。 集水器：1个。滤水器：1个。灭火器：1具。铁锹：1件。 铁铤 ：1件。 消防腰斧：1件。橡皮锤 ：1件。丁字镐： 1件。可充电式手提照明灯： 1盏。</w:t>
            </w:r>
          </w:p>
          <w:p w14:paraId="66A83B6B">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★8、涉水深度≥600mm，越壕≥500mm，越障≥300mm；</w:t>
            </w:r>
          </w:p>
          <w:p w14:paraId="3495D0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u w:val="none"/>
                <w:lang w:val="en-US" w:eastAsia="zh-CN" w:bidi="ar"/>
              </w:rPr>
              <w:t>9、报价应包含第一年车辆保险费和上牌费。</w:t>
            </w:r>
          </w:p>
        </w:tc>
        <w:tc>
          <w:tcPr>
            <w:tcW w:w="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2F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r>
    </w:tbl>
    <w:p w14:paraId="00207888">
      <w:pPr>
        <w:rPr>
          <w:color w:val="auto"/>
        </w:rPr>
      </w:pPr>
    </w:p>
    <w:bookmarkEnd w:id="598"/>
    <w:bookmarkEnd w:id="599"/>
    <w:p w14:paraId="487CA744">
      <w:pPr>
        <w:pStyle w:val="2"/>
        <w:spacing w:before="0" w:after="0" w:line="360" w:lineRule="auto"/>
        <w:jc w:val="center"/>
        <w:rPr>
          <w:rFonts w:ascii="宋体" w:hAnsi="宋体" w:cs="宋体"/>
          <w:color w:val="auto"/>
          <w:sz w:val="36"/>
          <w:szCs w:val="36"/>
        </w:rPr>
      </w:pPr>
      <w:bookmarkStart w:id="600" w:name="_Toc164432959"/>
      <w:r>
        <w:rPr>
          <w:rFonts w:ascii="宋体" w:hAnsi="宋体" w:cs="宋体"/>
          <w:color w:val="auto"/>
          <w:sz w:val="36"/>
          <w:szCs w:val="36"/>
        </w:rPr>
        <w:br w:type="page"/>
      </w:r>
    </w:p>
    <w:p w14:paraId="6B94775F">
      <w:pPr>
        <w:pStyle w:val="2"/>
        <w:spacing w:before="0" w:after="0" w:line="360" w:lineRule="auto"/>
        <w:jc w:val="center"/>
        <w:rPr>
          <w:rFonts w:ascii="宋体" w:hAnsi="宋体" w:cs="宋体"/>
          <w:color w:val="auto"/>
          <w:sz w:val="36"/>
          <w:szCs w:val="36"/>
        </w:rPr>
      </w:pPr>
      <w:r>
        <w:rPr>
          <w:rFonts w:hint="eastAsia" w:ascii="宋体" w:hAnsi="宋体" w:cs="宋体"/>
          <w:color w:val="auto"/>
          <w:sz w:val="36"/>
          <w:szCs w:val="36"/>
        </w:rPr>
        <w:t>第六章</w:t>
      </w:r>
      <w:r>
        <w:rPr>
          <w:rFonts w:ascii="宋体" w:hAnsi="宋体" w:cs="宋体"/>
          <w:color w:val="auto"/>
          <w:sz w:val="36"/>
          <w:szCs w:val="36"/>
        </w:rPr>
        <w:t xml:space="preserve"> </w:t>
      </w:r>
      <w:r>
        <w:rPr>
          <w:rFonts w:hint="eastAsia" w:ascii="宋体" w:hAnsi="宋体" w:cs="宋体"/>
          <w:color w:val="auto"/>
          <w:sz w:val="36"/>
          <w:szCs w:val="36"/>
        </w:rPr>
        <w:t>投标文件格式</w:t>
      </w:r>
      <w:bookmarkEnd w:id="600"/>
    </w:p>
    <w:p w14:paraId="7BE4EE61">
      <w:pPr>
        <w:spacing w:line="360" w:lineRule="auto"/>
        <w:rPr>
          <w:rFonts w:ascii="宋体" w:hAnsi="宋体" w:eastAsia="宋体" w:cs="Times New Roman"/>
          <w:color w:val="auto"/>
          <w:sz w:val="28"/>
          <w:szCs w:val="28"/>
        </w:rPr>
      </w:pPr>
    </w:p>
    <w:p w14:paraId="2B394320">
      <w:pPr>
        <w:spacing w:line="360" w:lineRule="auto"/>
        <w:rPr>
          <w:rFonts w:ascii="宋体" w:hAnsi="宋体" w:eastAsia="宋体" w:cs="Times New Roman"/>
          <w:color w:val="auto"/>
          <w:sz w:val="28"/>
          <w:szCs w:val="28"/>
        </w:rPr>
      </w:pPr>
    </w:p>
    <w:p w14:paraId="623A83CF">
      <w:pPr>
        <w:spacing w:line="360" w:lineRule="auto"/>
        <w:jc w:val="center"/>
        <w:rPr>
          <w:rFonts w:ascii="宋体" w:hAnsi="宋体" w:eastAsia="宋体" w:cs="Times New Roman"/>
          <w:color w:val="auto"/>
          <w:sz w:val="28"/>
          <w:szCs w:val="28"/>
        </w:rPr>
      </w:pPr>
      <w:r>
        <w:rPr>
          <w:rFonts w:hint="eastAsia" w:ascii="宋体" w:hAnsi="宋体" w:eastAsia="宋体" w:cs="宋体"/>
          <w:color w:val="auto"/>
          <w:sz w:val="28"/>
          <w:szCs w:val="28"/>
          <w:u w:val="single"/>
        </w:rPr>
        <w:t xml:space="preserve">（项目名称）    </w:t>
      </w:r>
    </w:p>
    <w:p w14:paraId="2FFE7BFB">
      <w:pPr>
        <w:spacing w:line="360" w:lineRule="auto"/>
        <w:rPr>
          <w:rFonts w:ascii="宋体" w:hAnsi="宋体" w:eastAsia="宋体" w:cs="Times New Roman"/>
          <w:color w:val="auto"/>
          <w:sz w:val="28"/>
          <w:szCs w:val="28"/>
        </w:rPr>
      </w:pPr>
    </w:p>
    <w:p w14:paraId="7CBED677">
      <w:pPr>
        <w:spacing w:line="360" w:lineRule="auto"/>
        <w:rPr>
          <w:rFonts w:ascii="宋体" w:hAnsi="宋体" w:eastAsia="宋体" w:cs="Times New Roman"/>
          <w:color w:val="auto"/>
          <w:sz w:val="28"/>
          <w:szCs w:val="28"/>
        </w:rPr>
      </w:pPr>
    </w:p>
    <w:p w14:paraId="2FDB9DE5">
      <w:pPr>
        <w:spacing w:line="360" w:lineRule="auto"/>
        <w:rPr>
          <w:rFonts w:ascii="宋体" w:hAnsi="宋体" w:eastAsia="宋体" w:cs="Times New Roman"/>
          <w:color w:val="auto"/>
          <w:sz w:val="28"/>
          <w:szCs w:val="28"/>
        </w:rPr>
      </w:pPr>
    </w:p>
    <w:p w14:paraId="4441E678">
      <w:pPr>
        <w:spacing w:line="360" w:lineRule="auto"/>
        <w:rPr>
          <w:rFonts w:ascii="宋体" w:hAnsi="宋体" w:eastAsia="宋体" w:cs="Times New Roman"/>
          <w:color w:val="auto"/>
          <w:sz w:val="28"/>
          <w:szCs w:val="28"/>
        </w:rPr>
      </w:pPr>
    </w:p>
    <w:p w14:paraId="27716043">
      <w:pPr>
        <w:jc w:val="center"/>
        <w:rPr>
          <w:rFonts w:ascii="宋体" w:hAnsi="宋体" w:eastAsia="宋体" w:cs="Times New Roman"/>
          <w:b/>
          <w:bCs/>
          <w:color w:val="auto"/>
          <w:sz w:val="96"/>
          <w:szCs w:val="96"/>
        </w:rPr>
      </w:pPr>
      <w:r>
        <w:rPr>
          <w:rFonts w:hint="eastAsia" w:ascii="宋体" w:hAnsi="宋体" w:eastAsia="宋体" w:cs="宋体"/>
          <w:b/>
          <w:bCs/>
          <w:color w:val="auto"/>
          <w:sz w:val="96"/>
          <w:szCs w:val="96"/>
        </w:rPr>
        <w:t>投</w:t>
      </w:r>
      <w:r>
        <w:rPr>
          <w:rFonts w:ascii="宋体" w:hAnsi="宋体" w:eastAsia="宋体" w:cs="宋体"/>
          <w:b/>
          <w:bCs/>
          <w:color w:val="auto"/>
          <w:sz w:val="96"/>
          <w:szCs w:val="96"/>
        </w:rPr>
        <w:t xml:space="preserve"> </w:t>
      </w:r>
      <w:r>
        <w:rPr>
          <w:rFonts w:hint="eastAsia" w:ascii="宋体" w:hAnsi="宋体" w:eastAsia="宋体" w:cs="宋体"/>
          <w:b/>
          <w:bCs/>
          <w:color w:val="auto"/>
          <w:sz w:val="96"/>
          <w:szCs w:val="96"/>
        </w:rPr>
        <w:t>标</w:t>
      </w:r>
      <w:r>
        <w:rPr>
          <w:rFonts w:ascii="宋体" w:hAnsi="宋体" w:eastAsia="宋体" w:cs="宋体"/>
          <w:b/>
          <w:bCs/>
          <w:color w:val="auto"/>
          <w:sz w:val="96"/>
          <w:szCs w:val="96"/>
        </w:rPr>
        <w:t xml:space="preserve"> </w:t>
      </w:r>
      <w:r>
        <w:rPr>
          <w:rFonts w:hint="eastAsia" w:ascii="宋体" w:hAnsi="宋体" w:eastAsia="宋体" w:cs="宋体"/>
          <w:b/>
          <w:bCs/>
          <w:color w:val="auto"/>
          <w:sz w:val="96"/>
          <w:szCs w:val="96"/>
        </w:rPr>
        <w:t>文</w:t>
      </w:r>
      <w:r>
        <w:rPr>
          <w:rFonts w:ascii="宋体" w:hAnsi="宋体" w:eastAsia="宋体" w:cs="宋体"/>
          <w:b/>
          <w:bCs/>
          <w:color w:val="auto"/>
          <w:sz w:val="96"/>
          <w:szCs w:val="96"/>
        </w:rPr>
        <w:t xml:space="preserve"> </w:t>
      </w:r>
      <w:r>
        <w:rPr>
          <w:rFonts w:hint="eastAsia" w:ascii="宋体" w:hAnsi="宋体" w:eastAsia="宋体" w:cs="宋体"/>
          <w:b/>
          <w:bCs/>
          <w:color w:val="auto"/>
          <w:sz w:val="96"/>
          <w:szCs w:val="96"/>
        </w:rPr>
        <w:t>件</w:t>
      </w:r>
    </w:p>
    <w:p w14:paraId="734A85D0">
      <w:pPr>
        <w:spacing w:line="360" w:lineRule="auto"/>
        <w:rPr>
          <w:rFonts w:ascii="宋体" w:hAnsi="宋体" w:eastAsia="宋体" w:cs="Times New Roman"/>
          <w:color w:val="auto"/>
          <w:sz w:val="28"/>
          <w:szCs w:val="28"/>
        </w:rPr>
      </w:pPr>
    </w:p>
    <w:p w14:paraId="3D6485DA">
      <w:pPr>
        <w:spacing w:line="360" w:lineRule="auto"/>
        <w:jc w:val="center"/>
        <w:rPr>
          <w:rFonts w:ascii="黑体" w:hAnsi="黑体" w:eastAsia="黑体" w:cs="Times New Roman"/>
          <w:color w:val="auto"/>
          <w:sz w:val="28"/>
          <w:szCs w:val="28"/>
        </w:rPr>
      </w:pPr>
      <w:r>
        <w:rPr>
          <w:rFonts w:hint="eastAsia" w:ascii="黑体" w:hAnsi="黑体" w:eastAsia="黑体" w:cs="黑体"/>
          <w:color w:val="auto"/>
          <w:sz w:val="28"/>
          <w:szCs w:val="28"/>
        </w:rPr>
        <w:t>项目编号：</w:t>
      </w:r>
    </w:p>
    <w:p w14:paraId="638E1957">
      <w:pPr>
        <w:spacing w:line="360" w:lineRule="auto"/>
        <w:rPr>
          <w:rFonts w:ascii="宋体" w:hAnsi="宋体" w:eastAsia="宋体" w:cs="Times New Roman"/>
          <w:color w:val="auto"/>
          <w:sz w:val="28"/>
          <w:szCs w:val="28"/>
        </w:rPr>
      </w:pPr>
    </w:p>
    <w:p w14:paraId="0AF724BE">
      <w:pPr>
        <w:spacing w:line="360" w:lineRule="auto"/>
        <w:rPr>
          <w:rFonts w:ascii="宋体" w:hAnsi="宋体" w:eastAsia="宋体" w:cs="Times New Roman"/>
          <w:color w:val="auto"/>
          <w:sz w:val="28"/>
          <w:szCs w:val="28"/>
        </w:rPr>
      </w:pPr>
    </w:p>
    <w:p w14:paraId="79992A53">
      <w:pPr>
        <w:spacing w:line="360" w:lineRule="auto"/>
        <w:rPr>
          <w:rFonts w:ascii="宋体" w:hAnsi="宋体" w:eastAsia="宋体" w:cs="Times New Roman"/>
          <w:color w:val="auto"/>
          <w:sz w:val="28"/>
          <w:szCs w:val="28"/>
        </w:rPr>
      </w:pPr>
    </w:p>
    <w:p w14:paraId="60D35F49">
      <w:pPr>
        <w:spacing w:line="360" w:lineRule="auto"/>
        <w:rPr>
          <w:rFonts w:ascii="宋体" w:hAnsi="宋体" w:eastAsia="宋体" w:cs="Times New Roman"/>
          <w:color w:val="auto"/>
          <w:sz w:val="28"/>
          <w:szCs w:val="28"/>
        </w:rPr>
      </w:pPr>
    </w:p>
    <w:p w14:paraId="0AED577D">
      <w:pPr>
        <w:spacing w:line="360" w:lineRule="auto"/>
        <w:rPr>
          <w:rFonts w:ascii="宋体" w:hAnsi="宋体" w:eastAsia="宋体"/>
          <w:color w:val="auto"/>
          <w:sz w:val="28"/>
          <w:szCs w:val="32"/>
        </w:rPr>
      </w:pPr>
    </w:p>
    <w:p w14:paraId="635973AF">
      <w:pPr>
        <w:spacing w:line="360" w:lineRule="auto"/>
        <w:ind w:firstLine="1680" w:firstLineChars="600"/>
        <w:rPr>
          <w:rFonts w:ascii="宋体" w:hAnsi="宋体" w:eastAsia="宋体"/>
          <w:color w:val="auto"/>
          <w:sz w:val="28"/>
          <w:szCs w:val="32"/>
          <w:u w:val="single"/>
        </w:rPr>
      </w:pPr>
      <w:r>
        <w:rPr>
          <w:rFonts w:hint="eastAsia" w:ascii="宋体" w:hAnsi="宋体" w:eastAsia="宋体"/>
          <w:color w:val="auto"/>
          <w:sz w:val="28"/>
          <w:szCs w:val="32"/>
        </w:rPr>
        <w:t>投标人：</w:t>
      </w:r>
      <w:r>
        <w:rPr>
          <w:rFonts w:hint="eastAsia" w:ascii="宋体" w:hAnsi="宋体" w:eastAsia="宋体"/>
          <w:color w:val="auto"/>
          <w:sz w:val="28"/>
          <w:szCs w:val="32"/>
          <w:u w:val="single"/>
        </w:rPr>
        <w:t xml:space="preserve"> </w:t>
      </w:r>
      <w:r>
        <w:rPr>
          <w:rFonts w:ascii="宋体" w:hAnsi="宋体" w:eastAsia="宋体"/>
          <w:color w:val="auto"/>
          <w:sz w:val="28"/>
          <w:szCs w:val="32"/>
          <w:u w:val="single"/>
        </w:rPr>
        <w:t xml:space="preserve">                       </w:t>
      </w:r>
      <w:r>
        <w:rPr>
          <w:rFonts w:hint="eastAsia" w:ascii="宋体" w:hAnsi="宋体" w:eastAsia="宋体"/>
          <w:color w:val="auto"/>
          <w:sz w:val="28"/>
          <w:szCs w:val="32"/>
          <w:u w:val="single"/>
        </w:rPr>
        <w:t>（电子签章）</w:t>
      </w:r>
    </w:p>
    <w:p w14:paraId="71679570">
      <w:pPr>
        <w:spacing w:line="360" w:lineRule="auto"/>
        <w:ind w:firstLine="2976" w:firstLineChars="1063"/>
        <w:rPr>
          <w:rFonts w:ascii="宋体" w:hAnsi="宋体" w:eastAsia="宋体"/>
          <w:color w:val="auto"/>
          <w:sz w:val="28"/>
          <w:szCs w:val="32"/>
        </w:rPr>
      </w:pPr>
      <w:r>
        <w:rPr>
          <w:rFonts w:hint="eastAsia" w:ascii="宋体" w:hAnsi="宋体" w:eastAsia="宋体"/>
          <w:color w:val="auto"/>
          <w:sz w:val="28"/>
          <w:szCs w:val="32"/>
          <w:u w:val="single"/>
        </w:rPr>
        <w:t xml:space="preserve"> </w:t>
      </w:r>
      <w:r>
        <w:rPr>
          <w:rFonts w:ascii="宋体" w:hAnsi="宋体" w:eastAsia="宋体"/>
          <w:color w:val="auto"/>
          <w:sz w:val="28"/>
          <w:szCs w:val="32"/>
          <w:u w:val="single"/>
        </w:rPr>
        <w:t xml:space="preserve">     </w:t>
      </w:r>
      <w:r>
        <w:rPr>
          <w:rFonts w:hint="eastAsia" w:ascii="宋体" w:hAnsi="宋体" w:eastAsia="宋体"/>
          <w:color w:val="auto"/>
          <w:sz w:val="28"/>
          <w:szCs w:val="32"/>
          <w:u w:val="single"/>
        </w:rPr>
        <w:t xml:space="preserve">年 </w:t>
      </w:r>
      <w:r>
        <w:rPr>
          <w:rFonts w:ascii="宋体" w:hAnsi="宋体" w:eastAsia="宋体"/>
          <w:color w:val="auto"/>
          <w:sz w:val="28"/>
          <w:szCs w:val="32"/>
          <w:u w:val="single"/>
        </w:rPr>
        <w:t xml:space="preserve">   </w:t>
      </w:r>
      <w:r>
        <w:rPr>
          <w:rFonts w:hint="eastAsia" w:ascii="宋体" w:hAnsi="宋体" w:eastAsia="宋体"/>
          <w:color w:val="auto"/>
          <w:sz w:val="28"/>
          <w:szCs w:val="32"/>
          <w:u w:val="single"/>
        </w:rPr>
        <w:t xml:space="preserve">月 </w:t>
      </w:r>
      <w:r>
        <w:rPr>
          <w:rFonts w:ascii="宋体" w:hAnsi="宋体" w:eastAsia="宋体"/>
          <w:color w:val="auto"/>
          <w:sz w:val="28"/>
          <w:szCs w:val="32"/>
          <w:u w:val="single"/>
        </w:rPr>
        <w:t xml:space="preserve">   </w:t>
      </w:r>
      <w:r>
        <w:rPr>
          <w:rFonts w:hint="eastAsia" w:ascii="宋体" w:hAnsi="宋体" w:eastAsia="宋体"/>
          <w:color w:val="auto"/>
          <w:sz w:val="28"/>
          <w:szCs w:val="32"/>
          <w:u w:val="single"/>
        </w:rPr>
        <w:t>日</w:t>
      </w:r>
    </w:p>
    <w:p w14:paraId="0C648280">
      <w:pPr>
        <w:spacing w:line="360" w:lineRule="auto"/>
        <w:rPr>
          <w:rFonts w:ascii="宋体" w:hAnsi="宋体" w:eastAsia="宋体"/>
          <w:color w:val="auto"/>
        </w:rPr>
      </w:pPr>
    </w:p>
    <w:p w14:paraId="4015543D">
      <w:pPr>
        <w:spacing w:line="360" w:lineRule="auto"/>
        <w:rPr>
          <w:rFonts w:ascii="宋体" w:hAnsi="宋体" w:eastAsia="宋体" w:cs="Times New Roman"/>
          <w:color w:val="auto"/>
        </w:rPr>
      </w:pPr>
      <w:r>
        <w:rPr>
          <w:rFonts w:ascii="宋体" w:hAnsi="宋体" w:eastAsia="宋体" w:cs="Times New Roman"/>
          <w:color w:val="auto"/>
        </w:rPr>
        <w:t xml:space="preserve"> </w:t>
      </w:r>
    </w:p>
    <w:p w14:paraId="5413CBF5">
      <w:pPr>
        <w:spacing w:line="360" w:lineRule="auto"/>
        <w:rPr>
          <w:rFonts w:ascii="宋体" w:hAnsi="宋体" w:eastAsia="宋体" w:cs="Times New Roman"/>
          <w:color w:val="auto"/>
        </w:rPr>
      </w:pPr>
    </w:p>
    <w:p w14:paraId="67D1AF31">
      <w:pPr>
        <w:spacing w:line="360" w:lineRule="auto"/>
        <w:rPr>
          <w:rFonts w:ascii="宋体" w:hAnsi="宋体" w:eastAsia="宋体" w:cs="Times New Roman"/>
          <w:color w:val="auto"/>
        </w:rPr>
      </w:pPr>
    </w:p>
    <w:p w14:paraId="4A97751E">
      <w:pPr>
        <w:widowControl/>
        <w:spacing w:line="800" w:lineRule="exact"/>
        <w:jc w:val="center"/>
        <w:outlineLvl w:val="2"/>
        <w:rPr>
          <w:rFonts w:ascii="宋体" w:hAnsi="宋体" w:eastAsia="宋体" w:cs="Times New Roman"/>
          <w:color w:val="auto"/>
        </w:rPr>
      </w:pPr>
      <w:r>
        <w:rPr>
          <w:rFonts w:ascii="宋体" w:hAnsi="宋体" w:eastAsia="宋体" w:cs="Times New Roman"/>
          <w:color w:val="auto"/>
        </w:rPr>
        <w:br w:type="page"/>
      </w:r>
      <w:bookmarkStart w:id="601" w:name="_Toc6970"/>
      <w:bookmarkStart w:id="602" w:name="_Toc120282472"/>
      <w:bookmarkStart w:id="603" w:name="_Toc77116717"/>
      <w:bookmarkStart w:id="604" w:name="_Toc70424899"/>
      <w:bookmarkStart w:id="605" w:name="_Toc77658125"/>
      <w:bookmarkStart w:id="606" w:name="_Toc107396244"/>
      <w:bookmarkStart w:id="607" w:name="_Toc77504115"/>
    </w:p>
    <w:p w14:paraId="441758F7">
      <w:pPr>
        <w:spacing w:line="360" w:lineRule="auto"/>
        <w:jc w:val="center"/>
        <w:rPr>
          <w:rFonts w:ascii="宋体" w:hAnsi="宋体" w:eastAsia="宋体" w:cs="Times New Roman"/>
          <w:color w:val="auto"/>
          <w:sz w:val="28"/>
          <w:szCs w:val="28"/>
        </w:rPr>
      </w:pPr>
    </w:p>
    <w:p w14:paraId="742B3E67">
      <w:pPr>
        <w:spacing w:line="360" w:lineRule="auto"/>
        <w:jc w:val="center"/>
        <w:rPr>
          <w:rFonts w:ascii="宋体" w:hAnsi="宋体" w:eastAsia="宋体" w:cs="Times New Roman"/>
          <w:color w:val="auto"/>
          <w:sz w:val="28"/>
          <w:szCs w:val="28"/>
        </w:rPr>
      </w:pPr>
    </w:p>
    <w:p w14:paraId="79093546">
      <w:pPr>
        <w:spacing w:line="360" w:lineRule="auto"/>
        <w:jc w:val="center"/>
        <w:rPr>
          <w:rFonts w:ascii="宋体" w:hAnsi="宋体" w:eastAsia="宋体" w:cs="Times New Roman"/>
          <w:color w:val="auto"/>
          <w:sz w:val="28"/>
          <w:szCs w:val="28"/>
        </w:rPr>
      </w:pPr>
    </w:p>
    <w:p w14:paraId="6234508D">
      <w:pPr>
        <w:spacing w:line="360" w:lineRule="auto"/>
        <w:jc w:val="center"/>
        <w:rPr>
          <w:rFonts w:ascii="宋体" w:hAnsi="宋体" w:eastAsia="宋体" w:cs="Times New Roman"/>
          <w:color w:val="auto"/>
          <w:sz w:val="28"/>
          <w:szCs w:val="28"/>
        </w:rPr>
      </w:pPr>
    </w:p>
    <w:p w14:paraId="1B318AE0">
      <w:pPr>
        <w:spacing w:line="360" w:lineRule="auto"/>
        <w:jc w:val="center"/>
        <w:rPr>
          <w:rFonts w:ascii="宋体" w:hAnsi="宋体" w:eastAsia="宋体" w:cs="Times New Roman"/>
          <w:color w:val="auto"/>
          <w:sz w:val="28"/>
          <w:szCs w:val="28"/>
        </w:rPr>
      </w:pPr>
    </w:p>
    <w:p w14:paraId="50F93AE8">
      <w:pPr>
        <w:spacing w:line="360" w:lineRule="auto"/>
        <w:jc w:val="center"/>
        <w:rPr>
          <w:rFonts w:ascii="宋体" w:hAnsi="宋体" w:eastAsia="宋体" w:cs="Times New Roman"/>
          <w:color w:val="auto"/>
          <w:sz w:val="28"/>
          <w:szCs w:val="28"/>
        </w:rPr>
      </w:pPr>
    </w:p>
    <w:p w14:paraId="29C138F7">
      <w:pPr>
        <w:spacing w:line="360" w:lineRule="auto"/>
        <w:jc w:val="center"/>
        <w:rPr>
          <w:rFonts w:ascii="宋体" w:hAnsi="宋体" w:eastAsia="宋体" w:cs="Times New Roman"/>
          <w:color w:val="auto"/>
          <w:sz w:val="28"/>
          <w:szCs w:val="28"/>
        </w:rPr>
      </w:pPr>
    </w:p>
    <w:p w14:paraId="7BF27F59">
      <w:pPr>
        <w:spacing w:line="360" w:lineRule="auto"/>
        <w:jc w:val="center"/>
        <w:rPr>
          <w:rFonts w:ascii="宋体" w:hAnsi="宋体" w:eastAsia="宋体" w:cs="Times New Roman"/>
          <w:color w:val="auto"/>
          <w:sz w:val="28"/>
          <w:szCs w:val="28"/>
        </w:rPr>
      </w:pPr>
    </w:p>
    <w:p w14:paraId="058F4E17">
      <w:pPr>
        <w:spacing w:line="360" w:lineRule="auto"/>
        <w:jc w:val="center"/>
        <w:rPr>
          <w:rFonts w:ascii="宋体" w:hAnsi="宋体" w:eastAsia="宋体" w:cs="Times New Roman"/>
          <w:color w:val="auto"/>
          <w:sz w:val="28"/>
          <w:szCs w:val="28"/>
        </w:rPr>
      </w:pPr>
    </w:p>
    <w:p w14:paraId="18F34269">
      <w:pPr>
        <w:spacing w:line="360" w:lineRule="auto"/>
        <w:jc w:val="center"/>
        <w:rPr>
          <w:rFonts w:ascii="宋体" w:hAnsi="宋体" w:eastAsia="宋体" w:cs="Times New Roman"/>
          <w:color w:val="auto"/>
          <w:sz w:val="28"/>
          <w:szCs w:val="28"/>
        </w:rPr>
      </w:pPr>
    </w:p>
    <w:p w14:paraId="2A675337">
      <w:pPr>
        <w:spacing w:line="360" w:lineRule="auto"/>
        <w:jc w:val="center"/>
        <w:rPr>
          <w:rFonts w:ascii="宋体" w:hAnsi="宋体" w:eastAsia="宋体" w:cs="Times New Roman"/>
          <w:color w:val="auto"/>
          <w:sz w:val="28"/>
          <w:szCs w:val="28"/>
        </w:rPr>
      </w:pPr>
    </w:p>
    <w:p w14:paraId="1A438546">
      <w:pPr>
        <w:pStyle w:val="3"/>
        <w:spacing w:before="0" w:after="0" w:line="360" w:lineRule="auto"/>
        <w:jc w:val="center"/>
        <w:rPr>
          <w:rFonts w:ascii="宋体" w:hAnsi="宋体" w:eastAsia="宋体" w:cs="Times New Roman"/>
          <w:b w:val="0"/>
          <w:bCs w:val="0"/>
          <w:color w:val="auto"/>
          <w:sz w:val="36"/>
          <w:szCs w:val="36"/>
        </w:rPr>
      </w:pPr>
      <w:bookmarkStart w:id="608" w:name="_Toc164432960"/>
      <w:r>
        <w:rPr>
          <w:rFonts w:hint="eastAsia" w:ascii="宋体" w:hAnsi="宋体" w:eastAsia="宋体" w:cs="Times New Roman"/>
          <w:color w:val="auto"/>
          <w:sz w:val="36"/>
          <w:szCs w:val="36"/>
        </w:rPr>
        <w:t>资格审查部分</w:t>
      </w:r>
      <w:bookmarkEnd w:id="608"/>
      <w:r>
        <w:rPr>
          <w:rFonts w:asciiTheme="minorEastAsia" w:hAnsiTheme="minorEastAsia"/>
          <w:color w:val="auto"/>
        </w:rPr>
        <w:br w:type="page"/>
      </w:r>
    </w:p>
    <w:p w14:paraId="4A1A60A5">
      <w:pPr>
        <w:pStyle w:val="3"/>
        <w:spacing w:before="0" w:after="0" w:line="360" w:lineRule="auto"/>
        <w:jc w:val="center"/>
        <w:rPr>
          <w:rFonts w:ascii="宋体" w:hAnsi="宋体" w:eastAsia="宋体" w:cs="宋体"/>
          <w:color w:val="auto"/>
          <w:sz w:val="24"/>
          <w:szCs w:val="24"/>
        </w:rPr>
      </w:pPr>
      <w:bookmarkStart w:id="609" w:name="_Toc164432961"/>
      <w:bookmarkStart w:id="610" w:name="_Toc2464"/>
      <w:r>
        <w:rPr>
          <w:rFonts w:hint="eastAsia" w:ascii="宋体" w:hAnsi="宋体" w:eastAsia="宋体" w:cs="宋体"/>
          <w:color w:val="auto"/>
          <w:sz w:val="24"/>
          <w:szCs w:val="24"/>
        </w:rPr>
        <w:t>一、具有独立承担民事责任的能力</w:t>
      </w:r>
      <w:bookmarkEnd w:id="609"/>
      <w:bookmarkEnd w:id="610"/>
    </w:p>
    <w:p w14:paraId="0E28DA5A">
      <w:pPr>
        <w:pStyle w:val="21"/>
        <w:tabs>
          <w:tab w:val="left" w:pos="5580"/>
        </w:tabs>
        <w:spacing w:line="600" w:lineRule="exact"/>
        <w:ind w:firstLine="420" w:firstLineChars="200"/>
        <w:rPr>
          <w:rFonts w:hAnsi="宋体" w:eastAsia="宋体"/>
          <w:color w:val="auto"/>
          <w:sz w:val="21"/>
          <w:szCs w:val="21"/>
        </w:rPr>
      </w:pPr>
      <w:r>
        <w:rPr>
          <w:rFonts w:hint="eastAsia" w:hAnsi="宋体" w:eastAsia="宋体"/>
          <w:color w:val="auto"/>
          <w:sz w:val="21"/>
          <w:szCs w:val="21"/>
        </w:rPr>
        <w:t>提供法人或者其他组织的营业执照等证明文件（原件扫描件）。</w:t>
      </w:r>
      <w:bookmarkStart w:id="611" w:name="_Toc11425"/>
      <w:r>
        <w:rPr>
          <w:rFonts w:hAnsi="宋体" w:eastAsia="宋体"/>
          <w:color w:val="auto"/>
          <w:sz w:val="28"/>
          <w:szCs w:val="28"/>
        </w:rPr>
        <w:br w:type="page"/>
      </w:r>
    </w:p>
    <w:p w14:paraId="212130A7">
      <w:pPr>
        <w:pStyle w:val="3"/>
        <w:spacing w:before="0" w:after="0" w:line="360" w:lineRule="auto"/>
        <w:jc w:val="center"/>
        <w:rPr>
          <w:rFonts w:ascii="宋体" w:hAnsi="宋体" w:eastAsia="宋体" w:cs="宋体"/>
          <w:color w:val="auto"/>
          <w:sz w:val="24"/>
          <w:szCs w:val="24"/>
        </w:rPr>
      </w:pPr>
      <w:bookmarkStart w:id="612" w:name="_Toc164432962"/>
      <w:r>
        <w:rPr>
          <w:rFonts w:hint="eastAsia" w:ascii="宋体" w:hAnsi="宋体" w:eastAsia="宋体" w:cs="宋体"/>
          <w:color w:val="auto"/>
          <w:sz w:val="24"/>
          <w:szCs w:val="24"/>
        </w:rPr>
        <w:t>二、具有良好的商业信誉和健全的财务会计制度</w:t>
      </w:r>
      <w:bookmarkEnd w:id="611"/>
      <w:bookmarkEnd w:id="612"/>
    </w:p>
    <w:p w14:paraId="39D4FFC8">
      <w:pPr>
        <w:pStyle w:val="21"/>
        <w:tabs>
          <w:tab w:val="left" w:pos="5580"/>
        </w:tabs>
        <w:spacing w:line="600" w:lineRule="exact"/>
        <w:ind w:firstLine="420" w:firstLineChars="200"/>
        <w:rPr>
          <w:rFonts w:hAnsi="宋体" w:eastAsia="宋体"/>
          <w:color w:val="auto"/>
          <w:sz w:val="21"/>
          <w:szCs w:val="21"/>
        </w:rPr>
      </w:pPr>
      <w:r>
        <w:rPr>
          <w:rFonts w:hint="eastAsia" w:hAnsi="宋体" w:eastAsia="宋体"/>
          <w:color w:val="auto"/>
          <w:sz w:val="21"/>
          <w:szCs w:val="21"/>
        </w:rPr>
        <w:t>供应商须提供财务状况报告（提供①书面声明，格式自拟或②相应证明材料原件扫描件）：</w:t>
      </w:r>
    </w:p>
    <w:p w14:paraId="201D5A94">
      <w:pPr>
        <w:pStyle w:val="21"/>
        <w:tabs>
          <w:tab w:val="left" w:pos="5580"/>
        </w:tabs>
        <w:spacing w:line="600" w:lineRule="exact"/>
        <w:ind w:firstLine="420" w:firstLineChars="200"/>
        <w:rPr>
          <w:rFonts w:hAnsi="宋体" w:eastAsia="宋体"/>
          <w:color w:val="auto"/>
          <w:sz w:val="21"/>
          <w:szCs w:val="21"/>
        </w:rPr>
      </w:pPr>
      <w:r>
        <w:rPr>
          <w:rFonts w:hint="eastAsia" w:hAnsi="宋体" w:eastAsia="宋体"/>
          <w:color w:val="auto"/>
          <w:sz w:val="21"/>
          <w:szCs w:val="21"/>
        </w:rPr>
        <w:t>提供2022年或2023年经审计的财务报告（包括资产负债表、利润表、现金流量表、所有者权益变动表及其附注），新成立不满1年的供应商提供自成立至今的财务报表；</w:t>
      </w:r>
    </w:p>
    <w:p w14:paraId="7649780E">
      <w:pPr>
        <w:pStyle w:val="3"/>
        <w:spacing w:before="0" w:after="0" w:line="360" w:lineRule="auto"/>
        <w:jc w:val="center"/>
        <w:rPr>
          <w:rFonts w:ascii="宋体" w:hAnsi="宋体" w:cs="宋体"/>
          <w:color w:val="auto"/>
          <w:sz w:val="28"/>
          <w:szCs w:val="28"/>
        </w:rPr>
      </w:pPr>
      <w:bookmarkStart w:id="613" w:name="_Toc26385"/>
      <w:r>
        <w:rPr>
          <w:rFonts w:ascii="宋体" w:hAnsi="宋体" w:cs="宋体"/>
          <w:color w:val="auto"/>
          <w:sz w:val="28"/>
          <w:szCs w:val="28"/>
        </w:rPr>
        <w:br w:type="page"/>
      </w:r>
    </w:p>
    <w:p w14:paraId="241CDD9E">
      <w:pPr>
        <w:pStyle w:val="3"/>
        <w:spacing w:before="0" w:after="0" w:line="360" w:lineRule="auto"/>
        <w:jc w:val="center"/>
        <w:rPr>
          <w:rFonts w:ascii="宋体" w:hAnsi="宋体" w:eastAsia="宋体" w:cs="宋体"/>
          <w:color w:val="auto"/>
          <w:sz w:val="24"/>
          <w:szCs w:val="24"/>
        </w:rPr>
      </w:pPr>
      <w:bookmarkStart w:id="614" w:name="_Toc164432963"/>
      <w:r>
        <w:rPr>
          <w:rFonts w:hint="eastAsia" w:ascii="宋体" w:hAnsi="宋体" w:eastAsia="宋体" w:cs="宋体"/>
          <w:color w:val="auto"/>
          <w:sz w:val="24"/>
          <w:szCs w:val="24"/>
        </w:rPr>
        <w:t>三、具有履行合同所必需的设备和专业技术能力</w:t>
      </w:r>
      <w:bookmarkEnd w:id="613"/>
      <w:bookmarkEnd w:id="614"/>
    </w:p>
    <w:p w14:paraId="473460E3">
      <w:pPr>
        <w:pStyle w:val="21"/>
        <w:tabs>
          <w:tab w:val="left" w:pos="5580"/>
        </w:tabs>
        <w:spacing w:line="600" w:lineRule="exact"/>
        <w:ind w:firstLine="420" w:firstLineChars="200"/>
        <w:rPr>
          <w:rFonts w:hAnsi="宋体" w:eastAsia="宋体"/>
          <w:color w:val="auto"/>
          <w:sz w:val="21"/>
          <w:szCs w:val="21"/>
        </w:rPr>
      </w:pPr>
      <w:r>
        <w:rPr>
          <w:rFonts w:hint="eastAsia" w:hAnsi="宋体" w:eastAsia="宋体"/>
          <w:color w:val="auto"/>
          <w:sz w:val="21"/>
          <w:szCs w:val="21"/>
        </w:rPr>
        <w:t>提供具备履行合同所必需的设备和专业技术能力的证明材料（提供①书面声明，格式自拟或②相应证明材料原件扫描件）。</w:t>
      </w:r>
      <w:bookmarkStart w:id="615" w:name="_Toc25523"/>
      <w:bookmarkStart w:id="616" w:name="_Toc3896301"/>
    </w:p>
    <w:p w14:paraId="1C1E61DA">
      <w:pPr>
        <w:pStyle w:val="4"/>
        <w:spacing w:before="120" w:beforeLines="50" w:after="120" w:afterLines="50" w:line="700" w:lineRule="exact"/>
        <w:jc w:val="center"/>
        <w:rPr>
          <w:rFonts w:ascii="宋体" w:hAnsi="宋体" w:cs="宋体"/>
          <w:color w:val="auto"/>
          <w:sz w:val="28"/>
          <w:szCs w:val="28"/>
        </w:rPr>
      </w:pPr>
      <w:bookmarkStart w:id="617" w:name="_Toc26638"/>
      <w:r>
        <w:rPr>
          <w:rFonts w:ascii="宋体" w:hAnsi="宋体" w:cs="宋体"/>
          <w:color w:val="auto"/>
          <w:sz w:val="28"/>
          <w:szCs w:val="28"/>
        </w:rPr>
        <w:br w:type="page"/>
      </w:r>
    </w:p>
    <w:p w14:paraId="3C4D9A8B">
      <w:pPr>
        <w:pStyle w:val="3"/>
        <w:spacing w:before="0" w:after="0" w:line="360" w:lineRule="auto"/>
        <w:jc w:val="center"/>
        <w:rPr>
          <w:rFonts w:ascii="宋体" w:hAnsi="宋体" w:eastAsia="宋体" w:cs="宋体"/>
          <w:color w:val="auto"/>
          <w:sz w:val="24"/>
          <w:szCs w:val="24"/>
        </w:rPr>
      </w:pPr>
      <w:bookmarkStart w:id="618" w:name="_Toc164432964"/>
      <w:r>
        <w:rPr>
          <w:rFonts w:hint="eastAsia" w:ascii="宋体" w:hAnsi="宋体" w:eastAsia="宋体" w:cs="宋体"/>
          <w:color w:val="auto"/>
          <w:sz w:val="24"/>
          <w:szCs w:val="24"/>
        </w:rPr>
        <w:t>四、</w:t>
      </w:r>
      <w:bookmarkEnd w:id="615"/>
      <w:bookmarkEnd w:id="616"/>
      <w:r>
        <w:rPr>
          <w:rFonts w:hint="eastAsia" w:ascii="宋体" w:hAnsi="宋体" w:eastAsia="宋体" w:cs="宋体"/>
          <w:color w:val="auto"/>
          <w:sz w:val="24"/>
          <w:szCs w:val="24"/>
        </w:rPr>
        <w:t>有依法缴纳税收和社会保障资金的良好记录</w:t>
      </w:r>
      <w:bookmarkEnd w:id="617"/>
      <w:bookmarkEnd w:id="618"/>
    </w:p>
    <w:p w14:paraId="301C4705">
      <w:pPr>
        <w:pStyle w:val="21"/>
        <w:tabs>
          <w:tab w:val="left" w:pos="5580"/>
        </w:tabs>
        <w:spacing w:line="600" w:lineRule="exact"/>
        <w:ind w:firstLine="420" w:firstLineChars="200"/>
        <w:rPr>
          <w:rFonts w:hAnsi="宋体" w:eastAsia="宋体"/>
          <w:color w:val="auto"/>
          <w:sz w:val="21"/>
          <w:szCs w:val="21"/>
        </w:rPr>
      </w:pPr>
      <w:r>
        <w:rPr>
          <w:rFonts w:hint="eastAsia" w:hAnsi="宋体" w:eastAsia="宋体"/>
          <w:color w:val="auto"/>
          <w:sz w:val="21"/>
          <w:szCs w:val="21"/>
        </w:rPr>
        <w:t>提供2023年6月至今任意3个月依法缴纳税收和缴纳社会保障资金的证明（成立未满3个月的提供成立以来的税收和社会保障资金缴纳凭据；依法免税或不需要缴纳社会保障资金的供应商，应提供相应文件证明其依法免税或不需要缴纳社会保障资金）（提供①书面声明，格式自拟或②相应证明材料原件扫描件）。</w:t>
      </w:r>
    </w:p>
    <w:p w14:paraId="4160CEB7">
      <w:pPr>
        <w:pStyle w:val="179"/>
        <w:ind w:left="63" w:right="63" w:firstLine="640"/>
        <w:jc w:val="center"/>
        <w:rPr>
          <w:rFonts w:ascii="宋体" w:hAnsi="宋体" w:eastAsia="宋体"/>
          <w:color w:val="auto"/>
          <w:sz w:val="32"/>
          <w:szCs w:val="32"/>
          <w:lang w:val="en-US"/>
        </w:rPr>
      </w:pPr>
      <w:r>
        <w:rPr>
          <w:rFonts w:ascii="宋体" w:hAnsi="宋体" w:eastAsia="宋体"/>
          <w:color w:val="auto"/>
          <w:sz w:val="32"/>
          <w:szCs w:val="32"/>
          <w:lang w:val="en-US"/>
        </w:rPr>
        <w:br w:type="page"/>
      </w:r>
    </w:p>
    <w:p w14:paraId="50D0656C">
      <w:pPr>
        <w:pStyle w:val="3"/>
        <w:spacing w:before="0" w:after="0" w:line="360" w:lineRule="auto"/>
        <w:jc w:val="center"/>
        <w:rPr>
          <w:rFonts w:ascii="宋体" w:hAnsi="宋体" w:eastAsia="宋体" w:cs="宋体"/>
          <w:color w:val="auto"/>
          <w:sz w:val="24"/>
          <w:szCs w:val="24"/>
        </w:rPr>
      </w:pPr>
      <w:bookmarkStart w:id="619" w:name="_Toc21244"/>
      <w:bookmarkStart w:id="620" w:name="_Toc164432965"/>
      <w:r>
        <w:rPr>
          <w:rFonts w:hint="eastAsia" w:ascii="宋体" w:hAnsi="宋体" w:eastAsia="宋体" w:cs="宋体"/>
          <w:color w:val="auto"/>
          <w:sz w:val="24"/>
          <w:szCs w:val="24"/>
        </w:rPr>
        <w:t>五、参加政府采购活动前三年内，在经营活动中没有重大违法记录</w:t>
      </w:r>
      <w:bookmarkEnd w:id="619"/>
      <w:bookmarkEnd w:id="620"/>
    </w:p>
    <w:p w14:paraId="5DF3C1C2">
      <w:pPr>
        <w:widowControl/>
        <w:spacing w:line="700" w:lineRule="exact"/>
        <w:rPr>
          <w:rFonts w:ascii="宋体" w:hAnsi="宋体" w:eastAsia="宋体" w:cs="宋体"/>
          <w:b/>
          <w:bCs/>
          <w:color w:val="auto"/>
        </w:rPr>
      </w:pPr>
      <w:r>
        <w:rPr>
          <w:rFonts w:hint="eastAsia" w:ascii="宋体" w:hAnsi="宋体" w:eastAsia="宋体" w:cs="宋体"/>
          <w:b/>
          <w:bCs/>
          <w:color w:val="auto"/>
        </w:rPr>
        <w:t>致：</w:t>
      </w:r>
      <w:r>
        <w:rPr>
          <w:rFonts w:hint="eastAsia" w:ascii="宋体" w:hAnsi="宋体" w:eastAsia="宋体" w:cs="宋体"/>
          <w:b/>
          <w:bCs/>
          <w:color w:val="auto"/>
          <w:u w:val="single"/>
        </w:rPr>
        <w:t xml:space="preserve">           </w:t>
      </w:r>
      <w:r>
        <w:rPr>
          <w:rFonts w:hint="eastAsia" w:ascii="宋体" w:hAnsi="宋体" w:eastAsia="宋体" w:cs="宋体"/>
          <w:b/>
          <w:bCs/>
          <w:color w:val="auto"/>
        </w:rPr>
        <w:t>（采购人）</w:t>
      </w:r>
    </w:p>
    <w:p w14:paraId="692EE827">
      <w:pPr>
        <w:widowControl/>
        <w:spacing w:line="700" w:lineRule="exact"/>
        <w:ind w:firstLine="420" w:firstLineChars="200"/>
        <w:rPr>
          <w:rFonts w:ascii="宋体" w:hAnsi="宋体" w:eastAsia="宋体" w:cs="宋体"/>
          <w:color w:val="auto"/>
        </w:rPr>
      </w:pPr>
      <w:r>
        <w:rPr>
          <w:rFonts w:hint="eastAsia" w:ascii="宋体" w:hAnsi="宋体" w:eastAsia="宋体" w:cs="宋体"/>
          <w:color w:val="auto"/>
        </w:rPr>
        <w:t xml:space="preserve"> （供应商自行承诺及说明，内容自拟）</w:t>
      </w:r>
    </w:p>
    <w:p w14:paraId="4A74679C">
      <w:pPr>
        <w:spacing w:line="360" w:lineRule="auto"/>
        <w:ind w:firstLine="420" w:firstLineChars="200"/>
        <w:rPr>
          <w:rFonts w:ascii="宋体" w:hAnsi="宋体" w:eastAsia="宋体" w:cs="宋体"/>
          <w:color w:val="auto"/>
        </w:rPr>
      </w:pPr>
      <w:r>
        <w:rPr>
          <w:rFonts w:hint="eastAsia" w:ascii="宋体" w:hAnsi="宋体" w:eastAsia="宋体" w:cs="宋体"/>
          <w:color w:val="auto"/>
        </w:rPr>
        <w:t xml:space="preserve"> </w:t>
      </w:r>
    </w:p>
    <w:p w14:paraId="759FEF17">
      <w:pPr>
        <w:spacing w:line="360" w:lineRule="auto"/>
        <w:ind w:firstLine="420" w:firstLineChars="200"/>
        <w:rPr>
          <w:rFonts w:ascii="宋体" w:hAnsi="宋体" w:eastAsia="宋体" w:cs="宋体"/>
          <w:color w:val="auto"/>
        </w:rPr>
      </w:pPr>
    </w:p>
    <w:p w14:paraId="0BA964D5">
      <w:pPr>
        <w:spacing w:line="360" w:lineRule="auto"/>
        <w:ind w:firstLine="420" w:firstLineChars="200"/>
        <w:rPr>
          <w:rFonts w:ascii="宋体" w:hAnsi="宋体" w:eastAsia="宋体" w:cs="宋体"/>
          <w:color w:val="auto"/>
        </w:rPr>
      </w:pPr>
    </w:p>
    <w:p w14:paraId="662EE973">
      <w:pPr>
        <w:spacing w:line="360" w:lineRule="auto"/>
        <w:ind w:firstLine="420" w:firstLineChars="200"/>
        <w:rPr>
          <w:rFonts w:ascii="宋体" w:hAnsi="宋体" w:eastAsia="宋体" w:cs="宋体"/>
          <w:color w:val="auto"/>
        </w:rPr>
      </w:pPr>
    </w:p>
    <w:p w14:paraId="223FE2D6">
      <w:pPr>
        <w:ind w:firstLine="1054" w:firstLineChars="500"/>
        <w:rPr>
          <w:rFonts w:ascii="宋体" w:hAnsi="宋体" w:eastAsia="宋体" w:cs="宋体"/>
          <w:b/>
          <w:bCs/>
          <w:color w:val="auto"/>
        </w:rPr>
      </w:pPr>
    </w:p>
    <w:p w14:paraId="0045818D">
      <w:pPr>
        <w:ind w:firstLine="1054" w:firstLineChars="500"/>
        <w:rPr>
          <w:rFonts w:ascii="宋体" w:hAnsi="宋体" w:eastAsia="宋体" w:cs="宋体"/>
          <w:b/>
          <w:bCs/>
          <w:color w:val="auto"/>
        </w:rPr>
      </w:pPr>
    </w:p>
    <w:p w14:paraId="69AB8649">
      <w:pPr>
        <w:ind w:firstLine="1054" w:firstLineChars="500"/>
        <w:rPr>
          <w:rFonts w:ascii="宋体" w:hAnsi="宋体" w:eastAsia="宋体" w:cs="宋体"/>
          <w:b/>
          <w:bCs/>
          <w:color w:val="auto"/>
        </w:rPr>
      </w:pPr>
    </w:p>
    <w:p w14:paraId="3F32D3AD">
      <w:pPr>
        <w:widowControl/>
        <w:spacing w:line="700" w:lineRule="exact"/>
        <w:ind w:firstLine="1054" w:firstLineChars="500"/>
        <w:rPr>
          <w:rFonts w:ascii="宋体" w:hAnsi="宋体" w:eastAsia="宋体"/>
          <w:b/>
          <w:bCs/>
          <w:color w:val="auto"/>
        </w:rPr>
      </w:pPr>
      <w:r>
        <w:rPr>
          <w:rFonts w:hint="eastAsia" w:ascii="宋体" w:hAnsi="宋体" w:eastAsia="宋体"/>
          <w:b/>
          <w:bCs/>
          <w:color w:val="auto"/>
        </w:rPr>
        <w:t>供应商：</w:t>
      </w:r>
      <w:r>
        <w:rPr>
          <w:rFonts w:hint="eastAsia" w:ascii="宋体" w:hAnsi="宋体" w:eastAsia="宋体"/>
          <w:b/>
          <w:bCs/>
          <w:color w:val="auto"/>
          <w:u w:val="single"/>
        </w:rPr>
        <w:tab/>
      </w:r>
      <w:r>
        <w:rPr>
          <w:rFonts w:hint="eastAsia" w:ascii="宋体" w:hAnsi="宋体" w:eastAsia="宋体"/>
          <w:b/>
          <w:bCs/>
          <w:color w:val="auto"/>
          <w:u w:val="single"/>
        </w:rPr>
        <w:t xml:space="preserve">                                    </w:t>
      </w:r>
      <w:r>
        <w:rPr>
          <w:rFonts w:hint="eastAsia" w:ascii="宋体" w:hAnsi="宋体" w:eastAsia="宋体"/>
          <w:b/>
          <w:bCs/>
          <w:color w:val="auto"/>
        </w:rPr>
        <w:t>（电子签章）</w:t>
      </w:r>
    </w:p>
    <w:p w14:paraId="36A40073">
      <w:pPr>
        <w:widowControl/>
        <w:spacing w:line="700" w:lineRule="exact"/>
        <w:ind w:firstLine="1054" w:firstLineChars="500"/>
        <w:rPr>
          <w:rFonts w:ascii="宋体" w:hAnsi="宋体" w:eastAsia="宋体"/>
          <w:b/>
          <w:bCs/>
          <w:color w:val="auto"/>
        </w:rPr>
      </w:pPr>
      <w:r>
        <w:rPr>
          <w:rFonts w:hint="eastAsia" w:ascii="宋体" w:hAnsi="宋体" w:eastAsia="宋体"/>
          <w:b/>
          <w:bCs/>
          <w:color w:val="auto"/>
        </w:rPr>
        <w:t>法定代表人（单位负责人）或其委托代理人：</w:t>
      </w:r>
      <w:r>
        <w:rPr>
          <w:rFonts w:hint="eastAsia" w:ascii="宋体" w:hAnsi="宋体" w:eastAsia="宋体"/>
          <w:b/>
          <w:bCs/>
          <w:color w:val="auto"/>
          <w:u w:val="single"/>
        </w:rPr>
        <w:t xml:space="preserve">             </w:t>
      </w:r>
      <w:r>
        <w:rPr>
          <w:rFonts w:hint="eastAsia" w:ascii="宋体" w:hAnsi="宋体" w:eastAsia="宋体"/>
          <w:b/>
          <w:bCs/>
          <w:color w:val="auto"/>
        </w:rPr>
        <w:t>（电子签章）</w:t>
      </w:r>
    </w:p>
    <w:p w14:paraId="04805F31">
      <w:pPr>
        <w:widowControl/>
        <w:spacing w:line="700" w:lineRule="exact"/>
        <w:ind w:firstLine="1054" w:firstLineChars="500"/>
        <w:rPr>
          <w:rFonts w:ascii="宋体" w:hAnsi="宋体" w:eastAsia="宋体"/>
          <w:b/>
          <w:bCs/>
          <w:color w:val="auto"/>
        </w:rPr>
      </w:pPr>
      <w:r>
        <w:rPr>
          <w:rFonts w:hint="eastAsia" w:ascii="宋体" w:hAnsi="宋体" w:eastAsia="宋体"/>
          <w:b/>
          <w:bCs/>
          <w:color w:val="auto"/>
        </w:rPr>
        <w:t>日期：</w:t>
      </w:r>
      <w:r>
        <w:rPr>
          <w:rFonts w:hint="eastAsia" w:ascii="宋体" w:hAnsi="宋体" w:eastAsia="宋体"/>
          <w:b/>
          <w:bCs/>
          <w:color w:val="auto"/>
          <w:u w:val="single"/>
        </w:rPr>
        <w:t xml:space="preserve">         </w:t>
      </w:r>
      <w:r>
        <w:rPr>
          <w:rFonts w:hint="eastAsia" w:ascii="宋体" w:hAnsi="宋体" w:eastAsia="宋体"/>
          <w:b/>
          <w:bCs/>
          <w:color w:val="auto"/>
        </w:rPr>
        <w:t>年</w:t>
      </w:r>
      <w:r>
        <w:rPr>
          <w:rFonts w:hint="eastAsia" w:ascii="宋体" w:hAnsi="宋体" w:eastAsia="宋体"/>
          <w:b/>
          <w:bCs/>
          <w:color w:val="auto"/>
          <w:u w:val="single"/>
        </w:rPr>
        <w:t xml:space="preserve">         </w:t>
      </w:r>
      <w:r>
        <w:rPr>
          <w:rFonts w:hint="eastAsia" w:ascii="宋体" w:hAnsi="宋体" w:eastAsia="宋体"/>
          <w:b/>
          <w:bCs/>
          <w:color w:val="auto"/>
        </w:rPr>
        <w:t>月</w:t>
      </w:r>
      <w:r>
        <w:rPr>
          <w:rFonts w:hint="eastAsia" w:ascii="宋体" w:hAnsi="宋体" w:eastAsia="宋体"/>
          <w:b/>
          <w:bCs/>
          <w:color w:val="auto"/>
          <w:u w:val="single"/>
        </w:rPr>
        <w:t xml:space="preserve">         </w:t>
      </w:r>
      <w:r>
        <w:rPr>
          <w:rFonts w:hint="eastAsia" w:ascii="宋体" w:hAnsi="宋体" w:eastAsia="宋体"/>
          <w:b/>
          <w:bCs/>
          <w:color w:val="auto"/>
        </w:rPr>
        <w:t>日</w:t>
      </w:r>
    </w:p>
    <w:p w14:paraId="1ACAAF60">
      <w:pPr>
        <w:pStyle w:val="16"/>
        <w:ind w:left="63" w:right="63"/>
        <w:rPr>
          <w:rFonts w:ascii="宋体" w:hAnsi="宋体" w:cs="宋体"/>
          <w:color w:val="auto"/>
          <w:szCs w:val="21"/>
        </w:rPr>
      </w:pPr>
    </w:p>
    <w:p w14:paraId="719D07AD">
      <w:pPr>
        <w:pStyle w:val="16"/>
        <w:ind w:left="63" w:right="63"/>
        <w:rPr>
          <w:rFonts w:ascii="宋体" w:hAnsi="宋体" w:cs="宋体"/>
          <w:color w:val="auto"/>
          <w:szCs w:val="21"/>
        </w:rPr>
      </w:pPr>
    </w:p>
    <w:p w14:paraId="14F6DE27">
      <w:pPr>
        <w:spacing w:line="360" w:lineRule="auto"/>
        <w:ind w:firstLine="420" w:firstLineChars="200"/>
        <w:rPr>
          <w:rFonts w:ascii="宋体" w:hAnsi="宋体" w:eastAsia="宋体" w:cs="宋体"/>
          <w:color w:val="auto"/>
        </w:rPr>
      </w:pPr>
    </w:p>
    <w:p w14:paraId="40F66EF9">
      <w:pPr>
        <w:widowControl/>
        <w:spacing w:line="600" w:lineRule="exact"/>
        <w:ind w:firstLine="420" w:firstLineChars="200"/>
        <w:rPr>
          <w:rFonts w:ascii="宋体" w:hAnsi="宋体" w:eastAsia="宋体" w:cs="宋体"/>
          <w:color w:val="auto"/>
        </w:rPr>
      </w:pPr>
      <w:r>
        <w:rPr>
          <w:rFonts w:hint="eastAsia" w:ascii="宋体" w:hAnsi="宋体" w:eastAsia="宋体" w:cs="宋体"/>
          <w:color w:val="auto"/>
        </w:rPr>
        <w:t>注：重大违法记录，是指供应商因违法经营受到刑事处罚或者责令停产停业、吊销许可证或者执照、较大数额罚款等行政处罚。</w:t>
      </w:r>
    </w:p>
    <w:p w14:paraId="4A98A3FF">
      <w:pPr>
        <w:rPr>
          <w:rFonts w:ascii="宋体" w:hAnsi="宋体" w:eastAsia="宋体" w:cs="宋体"/>
          <w:color w:val="auto"/>
        </w:rPr>
      </w:pPr>
      <w:bookmarkStart w:id="621" w:name="_Toc20558"/>
      <w:r>
        <w:rPr>
          <w:rFonts w:hint="eastAsia" w:ascii="宋体" w:hAnsi="宋体" w:eastAsia="宋体" w:cs="宋体"/>
          <w:color w:val="auto"/>
        </w:rPr>
        <w:br w:type="page"/>
      </w:r>
      <w:bookmarkEnd w:id="621"/>
      <w:bookmarkStart w:id="622" w:name="_Toc15638"/>
      <w:bookmarkEnd w:id="622"/>
      <w:bookmarkStart w:id="623" w:name="_Toc16296"/>
      <w:bookmarkEnd w:id="623"/>
      <w:bookmarkStart w:id="624" w:name="_Toc9978"/>
      <w:bookmarkStart w:id="625" w:name="_Toc3896305"/>
    </w:p>
    <w:p w14:paraId="5AEE2257">
      <w:pPr>
        <w:pStyle w:val="3"/>
        <w:spacing w:before="0" w:after="0" w:line="360" w:lineRule="auto"/>
        <w:jc w:val="center"/>
        <w:rPr>
          <w:rFonts w:ascii="宋体" w:hAnsi="宋体" w:eastAsia="宋体" w:cs="宋体"/>
          <w:color w:val="auto"/>
          <w:sz w:val="24"/>
          <w:szCs w:val="24"/>
        </w:rPr>
      </w:pPr>
      <w:bookmarkStart w:id="626" w:name="_Toc164432966"/>
      <w:bookmarkStart w:id="627" w:name="_Toc4255"/>
      <w:r>
        <w:rPr>
          <w:rFonts w:hint="eastAsia" w:ascii="宋体" w:hAnsi="宋体" w:eastAsia="宋体" w:cs="宋体"/>
          <w:color w:val="auto"/>
          <w:sz w:val="24"/>
          <w:szCs w:val="24"/>
        </w:rPr>
        <w:t>六、其他</w:t>
      </w:r>
      <w:bookmarkEnd w:id="624"/>
      <w:bookmarkEnd w:id="625"/>
      <w:bookmarkEnd w:id="626"/>
      <w:bookmarkEnd w:id="627"/>
    </w:p>
    <w:p w14:paraId="17FDEF0D">
      <w:pPr>
        <w:adjustRightInd w:val="0"/>
        <w:spacing w:line="480" w:lineRule="auto"/>
        <w:ind w:firstLine="420" w:firstLineChars="200"/>
        <w:rPr>
          <w:rFonts w:ascii="宋体" w:hAnsi="宋体" w:eastAsia="宋体" w:cs="宋体"/>
          <w:color w:val="auto"/>
        </w:rPr>
      </w:pPr>
      <w:r>
        <w:rPr>
          <w:rFonts w:hint="eastAsia" w:ascii="宋体" w:hAnsi="宋体" w:eastAsia="宋体" w:cs="宋体"/>
          <w:color w:val="auto"/>
        </w:rPr>
        <w:t>1、供应商在递交投标文件截止时间前未被列入“信用中国”网站</w:t>
      </w:r>
      <w:r>
        <w:rPr>
          <w:rFonts w:ascii="宋体" w:hAnsi="宋体" w:eastAsia="宋体" w:cs="宋体"/>
          <w:color w:val="auto"/>
        </w:rPr>
        <w:t>(www.creditchina.gov.cn) 失信被执行人、重大税收违法案件当事人名单，中国政府采购网(www.ccgp.gov.cn) 政府采购严重违法失信行为记录名单。</w:t>
      </w:r>
    </w:p>
    <w:p w14:paraId="1CCD9F7C">
      <w:pPr>
        <w:adjustRightInd w:val="0"/>
        <w:spacing w:line="480" w:lineRule="auto"/>
        <w:ind w:firstLine="420" w:firstLineChars="200"/>
        <w:rPr>
          <w:rFonts w:ascii="宋体" w:hAnsi="宋体" w:eastAsia="宋体" w:cs="Times New Roman"/>
          <w:color w:val="auto"/>
        </w:rPr>
      </w:pPr>
      <w:r>
        <w:rPr>
          <w:rFonts w:hint="eastAsia" w:ascii="宋体" w:hAnsi="宋体" w:eastAsia="宋体" w:cs="宋体"/>
          <w:color w:val="auto"/>
        </w:rPr>
        <w:t>2、单位负责人为同一人或者存在控股、管理关系的不同单位，不得同时参加本采购项目投标。</w:t>
      </w:r>
    </w:p>
    <w:p w14:paraId="533210BD">
      <w:pPr>
        <w:adjustRightInd w:val="0"/>
        <w:spacing w:line="480" w:lineRule="auto"/>
        <w:ind w:firstLine="420" w:firstLineChars="200"/>
        <w:rPr>
          <w:rFonts w:ascii="宋体" w:hAnsi="宋体" w:eastAsia="宋体" w:cs="Times New Roman"/>
          <w:color w:val="auto"/>
        </w:rPr>
      </w:pPr>
      <w:r>
        <w:rPr>
          <w:rFonts w:hint="eastAsia" w:ascii="宋体" w:hAnsi="宋体" w:eastAsia="宋体" w:cs="宋体"/>
          <w:color w:val="auto"/>
        </w:rPr>
        <w:t>3、供应商不得存在下列情形之一：</w:t>
      </w:r>
    </w:p>
    <w:p w14:paraId="04BA8374">
      <w:pPr>
        <w:adjustRightInd w:val="0"/>
        <w:spacing w:line="48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）被暂停、取消投标或禁止参加采购活动且处于有效期内的；</w:t>
      </w:r>
    </w:p>
    <w:p w14:paraId="77384E60">
      <w:pPr>
        <w:adjustRightInd w:val="0"/>
        <w:spacing w:line="48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）处于被责令停产停业、暂扣或者吊销执照、暂扣或者吊销许可证、吊销资质证书状态；</w:t>
      </w:r>
    </w:p>
    <w:p w14:paraId="1A679DB1">
      <w:pPr>
        <w:adjustRightInd w:val="0"/>
        <w:spacing w:line="480" w:lineRule="auto"/>
        <w:ind w:firstLine="420" w:firstLineChars="200"/>
        <w:rPr>
          <w:rFonts w:ascii="宋体" w:hAnsi="宋体" w:eastAsia="宋体" w:cs="宋体"/>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）进入清算程序，或被宣告破产，或其他丧失履约能力的情形。</w:t>
      </w:r>
    </w:p>
    <w:p w14:paraId="138C1B30">
      <w:pPr>
        <w:adjustRightInd w:val="0"/>
        <w:spacing w:line="480" w:lineRule="auto"/>
        <w:ind w:firstLine="420" w:firstLineChars="200"/>
        <w:rPr>
          <w:rFonts w:ascii="宋体" w:hAnsi="宋体" w:eastAsia="宋体" w:cs="宋体"/>
          <w:color w:val="auto"/>
        </w:rPr>
      </w:pPr>
      <w:r>
        <w:rPr>
          <w:rFonts w:ascii="宋体" w:hAnsi="宋体" w:eastAsia="宋体" w:cs="宋体"/>
          <w:color w:val="auto"/>
        </w:rPr>
        <w:t>4、</w:t>
      </w:r>
      <w:r>
        <w:rPr>
          <w:rFonts w:hint="eastAsia" w:ascii="宋体" w:hAnsi="宋体" w:eastAsia="宋体" w:cs="宋体"/>
          <w:color w:val="auto"/>
        </w:rPr>
        <w:t>招标</w:t>
      </w:r>
      <w:r>
        <w:rPr>
          <w:rFonts w:ascii="宋体" w:hAnsi="宋体" w:eastAsia="宋体" w:cs="宋体"/>
          <w:color w:val="auto"/>
        </w:rPr>
        <w:t>文件要求及供应商认为需要提交的其他资格证明材料。</w:t>
      </w:r>
    </w:p>
    <w:p w14:paraId="691B3E8F">
      <w:pPr>
        <w:adjustRightInd w:val="0"/>
        <w:spacing w:line="480" w:lineRule="auto"/>
        <w:ind w:firstLine="420" w:firstLineChars="200"/>
        <w:rPr>
          <w:rFonts w:ascii="宋体" w:hAnsi="宋体" w:eastAsia="宋体" w:cs="宋体"/>
          <w:color w:val="auto"/>
        </w:rPr>
      </w:pPr>
      <w:r>
        <w:rPr>
          <w:rFonts w:hint="eastAsia" w:ascii="宋体" w:hAnsi="宋体" w:eastAsia="宋体" w:cs="宋体"/>
          <w:color w:val="auto"/>
        </w:rPr>
        <w:t>注：书面声明，格式自拟。</w:t>
      </w:r>
    </w:p>
    <w:p w14:paraId="7A3EE051">
      <w:pPr>
        <w:pStyle w:val="3"/>
        <w:spacing w:before="0" w:after="0" w:line="360" w:lineRule="auto"/>
        <w:jc w:val="center"/>
        <w:rPr>
          <w:rFonts w:ascii="宋体" w:hAnsi="宋体" w:eastAsia="宋体" w:cs="Times New Roman"/>
          <w:color w:val="auto"/>
        </w:rPr>
      </w:pPr>
      <w:r>
        <w:rPr>
          <w:rFonts w:ascii="宋体" w:hAnsi="宋体" w:eastAsia="宋体" w:cs="Times New Roman"/>
          <w:color w:val="auto"/>
        </w:rPr>
        <w:br w:type="page"/>
      </w:r>
    </w:p>
    <w:p w14:paraId="4A55B594">
      <w:pPr>
        <w:pStyle w:val="179"/>
        <w:ind w:left="63" w:right="63" w:firstLine="640"/>
        <w:jc w:val="center"/>
        <w:rPr>
          <w:rFonts w:eastAsiaTheme="minorHAnsi"/>
          <w:color w:val="auto"/>
          <w:sz w:val="32"/>
          <w:szCs w:val="32"/>
          <w:lang w:val="en-US"/>
        </w:rPr>
      </w:pPr>
    </w:p>
    <w:p w14:paraId="5B86B2F4">
      <w:pPr>
        <w:pStyle w:val="179"/>
        <w:ind w:left="63" w:right="63" w:firstLine="640"/>
        <w:jc w:val="center"/>
        <w:rPr>
          <w:rFonts w:eastAsiaTheme="minorHAnsi"/>
          <w:color w:val="auto"/>
          <w:sz w:val="32"/>
          <w:szCs w:val="32"/>
          <w:lang w:val="en-US"/>
        </w:rPr>
      </w:pPr>
    </w:p>
    <w:p w14:paraId="7EF15A06">
      <w:pPr>
        <w:pStyle w:val="179"/>
        <w:ind w:left="63" w:right="63" w:firstLine="640"/>
        <w:jc w:val="center"/>
        <w:rPr>
          <w:color w:val="auto"/>
          <w:sz w:val="32"/>
          <w:szCs w:val="32"/>
          <w:lang w:val="en-US"/>
        </w:rPr>
      </w:pPr>
    </w:p>
    <w:p w14:paraId="75ABD475">
      <w:pPr>
        <w:pStyle w:val="179"/>
        <w:ind w:left="63" w:right="63" w:firstLine="640"/>
        <w:jc w:val="center"/>
        <w:rPr>
          <w:rFonts w:eastAsiaTheme="minorHAnsi"/>
          <w:color w:val="auto"/>
          <w:sz w:val="32"/>
          <w:szCs w:val="32"/>
          <w:lang w:val="en-US"/>
        </w:rPr>
      </w:pPr>
    </w:p>
    <w:p w14:paraId="15662ED7">
      <w:pPr>
        <w:pStyle w:val="179"/>
        <w:ind w:left="63" w:right="63" w:firstLine="640"/>
        <w:jc w:val="center"/>
        <w:rPr>
          <w:rFonts w:eastAsiaTheme="minorHAnsi"/>
          <w:color w:val="auto"/>
          <w:sz w:val="32"/>
          <w:szCs w:val="32"/>
          <w:lang w:val="en-US"/>
        </w:rPr>
      </w:pPr>
    </w:p>
    <w:p w14:paraId="241C5B8F">
      <w:pPr>
        <w:pStyle w:val="179"/>
        <w:ind w:left="63" w:right="63" w:firstLine="640"/>
        <w:jc w:val="center"/>
        <w:rPr>
          <w:rFonts w:eastAsiaTheme="minorHAnsi"/>
          <w:color w:val="auto"/>
          <w:sz w:val="32"/>
          <w:szCs w:val="32"/>
          <w:lang w:val="en-US"/>
        </w:rPr>
      </w:pPr>
    </w:p>
    <w:p w14:paraId="5EBE4955">
      <w:pPr>
        <w:pStyle w:val="179"/>
        <w:ind w:left="63" w:right="63" w:firstLine="640"/>
        <w:jc w:val="center"/>
        <w:rPr>
          <w:rFonts w:eastAsiaTheme="minorHAnsi"/>
          <w:color w:val="auto"/>
          <w:sz w:val="32"/>
          <w:szCs w:val="32"/>
          <w:lang w:val="en-US"/>
        </w:rPr>
      </w:pPr>
    </w:p>
    <w:p w14:paraId="09586297">
      <w:pPr>
        <w:pStyle w:val="179"/>
        <w:ind w:left="63" w:right="63" w:firstLine="640"/>
        <w:jc w:val="center"/>
        <w:rPr>
          <w:rFonts w:eastAsiaTheme="minorHAnsi"/>
          <w:color w:val="auto"/>
          <w:sz w:val="32"/>
          <w:szCs w:val="32"/>
          <w:lang w:val="en-US"/>
        </w:rPr>
      </w:pPr>
    </w:p>
    <w:p w14:paraId="608EFE96">
      <w:pPr>
        <w:pStyle w:val="179"/>
        <w:ind w:left="63" w:right="63" w:firstLine="640"/>
        <w:jc w:val="center"/>
        <w:rPr>
          <w:rFonts w:eastAsiaTheme="minorHAnsi"/>
          <w:color w:val="auto"/>
          <w:sz w:val="32"/>
          <w:szCs w:val="32"/>
          <w:lang w:val="en-US"/>
        </w:rPr>
      </w:pPr>
    </w:p>
    <w:p w14:paraId="719C979D">
      <w:pPr>
        <w:pStyle w:val="179"/>
        <w:ind w:left="63" w:right="63" w:firstLine="640"/>
        <w:jc w:val="center"/>
        <w:rPr>
          <w:color w:val="auto"/>
          <w:sz w:val="32"/>
          <w:szCs w:val="32"/>
          <w:lang w:val="en-US"/>
        </w:rPr>
      </w:pPr>
    </w:p>
    <w:p w14:paraId="25C16F22">
      <w:pPr>
        <w:pStyle w:val="179"/>
        <w:ind w:left="63" w:right="63" w:firstLine="640"/>
        <w:jc w:val="center"/>
        <w:rPr>
          <w:color w:val="auto"/>
          <w:sz w:val="32"/>
          <w:szCs w:val="32"/>
          <w:lang w:val="en-US"/>
        </w:rPr>
      </w:pPr>
    </w:p>
    <w:p w14:paraId="47D242C1">
      <w:pPr>
        <w:pStyle w:val="179"/>
        <w:ind w:left="63" w:right="63" w:firstLine="640"/>
        <w:jc w:val="center"/>
        <w:rPr>
          <w:color w:val="auto"/>
          <w:sz w:val="32"/>
          <w:szCs w:val="32"/>
          <w:lang w:val="en-US"/>
        </w:rPr>
      </w:pPr>
    </w:p>
    <w:p w14:paraId="5ACDAF32">
      <w:pPr>
        <w:pStyle w:val="179"/>
        <w:ind w:left="63" w:right="63" w:firstLine="640"/>
        <w:jc w:val="center"/>
        <w:rPr>
          <w:rFonts w:eastAsiaTheme="minorHAnsi"/>
          <w:color w:val="auto"/>
          <w:sz w:val="32"/>
          <w:szCs w:val="32"/>
          <w:lang w:val="en-US"/>
        </w:rPr>
      </w:pPr>
    </w:p>
    <w:p w14:paraId="07273D38">
      <w:pPr>
        <w:pStyle w:val="179"/>
        <w:ind w:left="63" w:right="63" w:firstLine="640"/>
        <w:jc w:val="center"/>
        <w:rPr>
          <w:rFonts w:eastAsiaTheme="minorHAnsi"/>
          <w:color w:val="auto"/>
          <w:sz w:val="32"/>
          <w:szCs w:val="32"/>
          <w:lang w:val="en-US"/>
        </w:rPr>
      </w:pPr>
    </w:p>
    <w:p w14:paraId="372E2470">
      <w:pPr>
        <w:pStyle w:val="3"/>
        <w:spacing w:before="0" w:after="0" w:line="360" w:lineRule="auto"/>
        <w:jc w:val="center"/>
        <w:rPr>
          <w:rFonts w:ascii="宋体" w:hAnsi="宋体" w:eastAsia="宋体" w:cs="宋体"/>
          <w:color w:val="auto"/>
          <w:sz w:val="21"/>
          <w:szCs w:val="21"/>
        </w:rPr>
      </w:pPr>
      <w:bookmarkStart w:id="628" w:name="_Toc164432967"/>
      <w:r>
        <w:rPr>
          <w:rFonts w:hint="eastAsia" w:ascii="宋体" w:hAnsi="宋体" w:eastAsia="宋体" w:cs="Times New Roman"/>
          <w:color w:val="auto"/>
          <w:sz w:val="36"/>
          <w:szCs w:val="36"/>
        </w:rPr>
        <w:t>商务技术部分</w:t>
      </w:r>
      <w:bookmarkEnd w:id="628"/>
      <w:r>
        <w:rPr>
          <w:rFonts w:ascii="宋体" w:hAnsi="宋体" w:eastAsia="宋体" w:cs="宋体"/>
          <w:color w:val="auto"/>
          <w:sz w:val="21"/>
          <w:szCs w:val="21"/>
        </w:rPr>
        <w:br w:type="page"/>
      </w:r>
    </w:p>
    <w:p w14:paraId="0CD5A23C">
      <w:pPr>
        <w:pStyle w:val="3"/>
        <w:spacing w:before="0" w:after="0" w:line="360" w:lineRule="auto"/>
        <w:jc w:val="center"/>
        <w:rPr>
          <w:rFonts w:ascii="宋体" w:hAnsi="宋体" w:eastAsia="宋体" w:cs="宋体"/>
          <w:color w:val="auto"/>
          <w:sz w:val="24"/>
          <w:szCs w:val="24"/>
        </w:rPr>
      </w:pPr>
      <w:bookmarkStart w:id="629" w:name="_Toc164432968"/>
      <w:r>
        <w:rPr>
          <w:rFonts w:hint="eastAsia" w:ascii="宋体" w:hAnsi="宋体" w:eastAsia="宋体" w:cs="宋体"/>
          <w:color w:val="auto"/>
          <w:sz w:val="24"/>
          <w:szCs w:val="24"/>
        </w:rPr>
        <w:t>一、报价一览表</w:t>
      </w:r>
      <w:bookmarkEnd w:id="601"/>
      <w:bookmarkEnd w:id="602"/>
      <w:bookmarkEnd w:id="603"/>
      <w:bookmarkEnd w:id="604"/>
      <w:bookmarkEnd w:id="605"/>
      <w:bookmarkEnd w:id="606"/>
      <w:bookmarkEnd w:id="607"/>
      <w:bookmarkEnd w:id="629"/>
    </w:p>
    <w:p w14:paraId="4A60338D">
      <w:pPr>
        <w:spacing w:line="360" w:lineRule="auto"/>
        <w:rPr>
          <w:rFonts w:ascii="宋体" w:hAnsi="宋体" w:eastAsia="宋体" w:cs="Times New Roman"/>
          <w:color w:val="auto"/>
        </w:rPr>
      </w:pPr>
    </w:p>
    <w:p w14:paraId="646F7A48">
      <w:pPr>
        <w:spacing w:line="360" w:lineRule="auto"/>
        <w:rPr>
          <w:rFonts w:hint="eastAsia" w:ascii="宋体" w:hAnsi="宋体" w:eastAsia="宋体" w:cs="宋体"/>
          <w:color w:val="auto"/>
        </w:rPr>
      </w:pPr>
      <w:r>
        <w:rPr>
          <w:rFonts w:hint="eastAsia" w:ascii="宋体" w:hAnsi="宋体" w:eastAsia="宋体" w:cs="宋体"/>
          <w:color w:val="auto"/>
        </w:rPr>
        <w:t xml:space="preserve">项目名称：                     </w:t>
      </w:r>
    </w:p>
    <w:p w14:paraId="0C97EC5A">
      <w:pPr>
        <w:spacing w:line="360" w:lineRule="auto"/>
        <w:rPr>
          <w:rFonts w:ascii="宋体" w:hAnsi="宋体" w:eastAsia="宋体" w:cs="Times New Roman"/>
          <w:color w:val="auto"/>
        </w:rPr>
      </w:pPr>
      <w:r>
        <w:rPr>
          <w:rFonts w:hint="eastAsia" w:ascii="宋体" w:hAnsi="宋体" w:eastAsia="宋体" w:cs="宋体"/>
          <w:color w:val="auto"/>
        </w:rPr>
        <w:t>项目编号：</w:t>
      </w:r>
    </w:p>
    <w:tbl>
      <w:tblPr>
        <w:tblStyle w:val="3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5529"/>
      </w:tblGrid>
      <w:tr w14:paraId="051C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7B791442">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项目</w:t>
            </w:r>
          </w:p>
        </w:tc>
        <w:tc>
          <w:tcPr>
            <w:tcW w:w="5529" w:type="dxa"/>
            <w:vAlign w:val="center"/>
          </w:tcPr>
          <w:p w14:paraId="7DE3A080">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内容</w:t>
            </w:r>
          </w:p>
        </w:tc>
      </w:tr>
      <w:tr w14:paraId="49725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3397" w:type="dxa"/>
            <w:vAlign w:val="center"/>
          </w:tcPr>
          <w:p w14:paraId="511CA4A1">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投标报价</w:t>
            </w:r>
          </w:p>
        </w:tc>
        <w:tc>
          <w:tcPr>
            <w:tcW w:w="5529" w:type="dxa"/>
            <w:vAlign w:val="center"/>
          </w:tcPr>
          <w:p w14:paraId="0EBAC3FF">
            <w:pPr>
              <w:spacing w:before="120" w:beforeLines="50" w:line="360" w:lineRule="auto"/>
              <w:rPr>
                <w:rFonts w:ascii="宋体" w:hAnsi="宋体" w:eastAsia="宋体" w:cs="Times New Roman"/>
                <w:color w:val="auto"/>
              </w:rPr>
            </w:pPr>
            <w:r>
              <w:rPr>
                <w:rFonts w:ascii="宋体" w:hAnsi="宋体" w:eastAsia="宋体" w:cs="Times New Roman"/>
                <w:color w:val="auto"/>
              </w:rPr>
              <w:t>总报价：        元（大写：       ）</w:t>
            </w:r>
          </w:p>
        </w:tc>
      </w:tr>
      <w:tr w14:paraId="03FD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730D22EB">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质量承诺</w:t>
            </w:r>
          </w:p>
        </w:tc>
        <w:tc>
          <w:tcPr>
            <w:tcW w:w="5529" w:type="dxa"/>
            <w:vAlign w:val="center"/>
          </w:tcPr>
          <w:p w14:paraId="22FB05FF">
            <w:pPr>
              <w:spacing w:before="120" w:beforeLines="50" w:line="360" w:lineRule="auto"/>
              <w:rPr>
                <w:rFonts w:ascii="宋体" w:hAnsi="宋体" w:eastAsia="宋体" w:cs="Times New Roman"/>
                <w:color w:val="auto"/>
              </w:rPr>
            </w:pPr>
          </w:p>
        </w:tc>
      </w:tr>
      <w:tr w14:paraId="07369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1FBC951D">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合同履行期限</w:t>
            </w:r>
          </w:p>
        </w:tc>
        <w:tc>
          <w:tcPr>
            <w:tcW w:w="5529" w:type="dxa"/>
            <w:vAlign w:val="center"/>
          </w:tcPr>
          <w:p w14:paraId="06F17C88">
            <w:pPr>
              <w:spacing w:before="120" w:beforeLines="50" w:line="360" w:lineRule="auto"/>
              <w:rPr>
                <w:rFonts w:ascii="宋体" w:hAnsi="宋体" w:eastAsia="宋体" w:cs="Times New Roman"/>
                <w:color w:val="auto"/>
              </w:rPr>
            </w:pPr>
          </w:p>
        </w:tc>
      </w:tr>
      <w:tr w14:paraId="64B04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596997C">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联系人</w:t>
            </w:r>
          </w:p>
        </w:tc>
        <w:tc>
          <w:tcPr>
            <w:tcW w:w="5529" w:type="dxa"/>
            <w:vAlign w:val="center"/>
          </w:tcPr>
          <w:p w14:paraId="2C481EA5">
            <w:pPr>
              <w:spacing w:before="120" w:beforeLines="50" w:line="360" w:lineRule="auto"/>
              <w:rPr>
                <w:rFonts w:ascii="宋体" w:hAnsi="宋体" w:eastAsia="宋体" w:cs="Times New Roman"/>
                <w:color w:val="auto"/>
              </w:rPr>
            </w:pPr>
            <w:r>
              <w:rPr>
                <w:rFonts w:hint="eastAsia" w:ascii="宋体" w:hAnsi="宋体" w:eastAsia="宋体"/>
                <w:color w:val="auto"/>
              </w:rPr>
              <w:t xml:space="preserve">姓名： </w:t>
            </w:r>
            <w:r>
              <w:rPr>
                <w:rFonts w:ascii="宋体" w:hAnsi="宋体" w:eastAsia="宋体"/>
                <w:color w:val="auto"/>
              </w:rPr>
              <w:t xml:space="preserve">         </w:t>
            </w:r>
            <w:r>
              <w:rPr>
                <w:rFonts w:hint="eastAsia" w:ascii="宋体" w:hAnsi="宋体" w:eastAsia="宋体"/>
                <w:color w:val="auto"/>
              </w:rPr>
              <w:t>电话：</w:t>
            </w:r>
          </w:p>
        </w:tc>
      </w:tr>
      <w:tr w14:paraId="71AE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3397" w:type="dxa"/>
            <w:vAlign w:val="center"/>
          </w:tcPr>
          <w:p w14:paraId="5DC2F1DF">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备注</w:t>
            </w:r>
          </w:p>
        </w:tc>
        <w:tc>
          <w:tcPr>
            <w:tcW w:w="5529" w:type="dxa"/>
            <w:vAlign w:val="center"/>
          </w:tcPr>
          <w:p w14:paraId="355C9D96">
            <w:pPr>
              <w:spacing w:before="120" w:beforeLines="50" w:line="360" w:lineRule="auto"/>
              <w:rPr>
                <w:rFonts w:ascii="宋体" w:hAnsi="宋体" w:eastAsia="宋体" w:cs="Times New Roman"/>
                <w:color w:val="auto"/>
              </w:rPr>
            </w:pPr>
          </w:p>
        </w:tc>
      </w:tr>
    </w:tbl>
    <w:p w14:paraId="54DAEB83">
      <w:pPr>
        <w:spacing w:line="360" w:lineRule="auto"/>
        <w:rPr>
          <w:rFonts w:ascii="宋体" w:hAnsi="宋体" w:eastAsia="宋体" w:cs="Times New Roman"/>
          <w:color w:val="auto"/>
        </w:rPr>
      </w:pPr>
    </w:p>
    <w:p w14:paraId="39A1A1AD">
      <w:pPr>
        <w:spacing w:line="360" w:lineRule="auto"/>
        <w:rPr>
          <w:rFonts w:ascii="宋体" w:hAnsi="宋体" w:eastAsia="宋体" w:cs="Times New Roman"/>
          <w:color w:val="auto"/>
        </w:rPr>
      </w:pPr>
    </w:p>
    <w:p w14:paraId="52F7C0E0">
      <w:pPr>
        <w:spacing w:line="360" w:lineRule="auto"/>
        <w:jc w:val="right"/>
        <w:rPr>
          <w:rFonts w:ascii="宋体" w:hAnsi="宋体" w:eastAsia="宋体"/>
          <w:color w:val="auto"/>
        </w:rPr>
      </w:pPr>
      <w:r>
        <w:rPr>
          <w:rFonts w:hint="eastAsia" w:ascii="宋体" w:hAnsi="宋体" w:eastAsia="宋体"/>
          <w:color w:val="auto"/>
        </w:rPr>
        <w:t>投 标 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（电子签章）</w:t>
      </w:r>
    </w:p>
    <w:p w14:paraId="790B5F5A">
      <w:pPr>
        <w:spacing w:line="360" w:lineRule="auto"/>
        <w:jc w:val="right"/>
        <w:rPr>
          <w:rFonts w:ascii="宋体" w:hAnsi="宋体" w:eastAsia="宋体"/>
          <w:color w:val="auto"/>
          <w:u w:val="single"/>
        </w:rPr>
      </w:pPr>
      <w:r>
        <w:rPr>
          <w:rFonts w:hint="eastAsia" w:ascii="宋体" w:hAnsi="宋体" w:eastAsia="宋体"/>
          <w:color w:val="auto"/>
        </w:rPr>
        <w:t>法定代表人（单位负责人） 或其授权的代理人：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（电子签章）</w:t>
      </w:r>
    </w:p>
    <w:p w14:paraId="3F6E829F">
      <w:pPr>
        <w:spacing w:line="360" w:lineRule="auto"/>
        <w:jc w:val="right"/>
        <w:rPr>
          <w:rFonts w:ascii="宋体" w:hAnsi="宋体" w:eastAsia="宋体"/>
          <w:color w:val="auto"/>
          <w:u w:val="single"/>
        </w:rPr>
      </w:pP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年</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月</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日</w:t>
      </w:r>
    </w:p>
    <w:p w14:paraId="53DC9921">
      <w:pPr>
        <w:spacing w:line="360" w:lineRule="auto"/>
        <w:rPr>
          <w:rFonts w:ascii="宋体" w:hAnsi="宋体" w:eastAsia="宋体" w:cs="Times New Roman"/>
          <w:color w:val="auto"/>
        </w:rPr>
      </w:pPr>
    </w:p>
    <w:p w14:paraId="782717A7">
      <w:pPr>
        <w:spacing w:line="360" w:lineRule="auto"/>
        <w:rPr>
          <w:rFonts w:ascii="宋体" w:hAnsi="宋体" w:eastAsia="宋体" w:cs="Times New Roman"/>
          <w:color w:val="auto"/>
        </w:rPr>
      </w:pPr>
    </w:p>
    <w:p w14:paraId="26FCF141">
      <w:pPr>
        <w:pStyle w:val="3"/>
        <w:spacing w:before="0" w:after="0" w:line="360" w:lineRule="auto"/>
        <w:jc w:val="center"/>
        <w:rPr>
          <w:rFonts w:ascii="宋体" w:hAnsi="宋体" w:eastAsia="宋体" w:cs="宋体"/>
          <w:color w:val="auto"/>
          <w:sz w:val="21"/>
          <w:szCs w:val="21"/>
        </w:rPr>
      </w:pPr>
      <w:r>
        <w:rPr>
          <w:rFonts w:ascii="宋体" w:hAnsi="宋体" w:eastAsia="宋体" w:cs="Times New Roman"/>
          <w:color w:val="auto"/>
        </w:rPr>
        <w:br w:type="page"/>
      </w:r>
      <w:bookmarkStart w:id="630" w:name="_Toc25068"/>
      <w:bookmarkStart w:id="631" w:name="_Toc77504116"/>
      <w:bookmarkStart w:id="632" w:name="_Toc164432969"/>
      <w:bookmarkStart w:id="633" w:name="_Toc107396245"/>
      <w:bookmarkStart w:id="634" w:name="_Toc70424901"/>
      <w:bookmarkStart w:id="635" w:name="_Toc120282473"/>
      <w:bookmarkStart w:id="636" w:name="_Toc77658126"/>
      <w:bookmarkStart w:id="637" w:name="_Toc77116718"/>
      <w:r>
        <w:rPr>
          <w:rFonts w:hint="eastAsia" w:ascii="宋体" w:hAnsi="宋体" w:eastAsia="宋体" w:cs="宋体"/>
          <w:color w:val="auto"/>
          <w:sz w:val="24"/>
          <w:szCs w:val="24"/>
        </w:rPr>
        <w:t>二、投标函</w:t>
      </w:r>
      <w:bookmarkEnd w:id="630"/>
      <w:bookmarkEnd w:id="631"/>
      <w:bookmarkEnd w:id="632"/>
      <w:bookmarkEnd w:id="633"/>
      <w:bookmarkEnd w:id="634"/>
      <w:bookmarkEnd w:id="635"/>
      <w:bookmarkEnd w:id="636"/>
      <w:bookmarkEnd w:id="637"/>
    </w:p>
    <w:p w14:paraId="0FD24F4A">
      <w:pPr>
        <w:spacing w:line="360" w:lineRule="auto"/>
        <w:rPr>
          <w:rFonts w:ascii="宋体" w:hAnsi="宋体" w:eastAsia="宋体" w:cs="Times New Roman"/>
          <w:color w:val="auto"/>
        </w:rPr>
      </w:pPr>
    </w:p>
    <w:p w14:paraId="1AF0AA2F">
      <w:pPr>
        <w:spacing w:line="360" w:lineRule="auto"/>
        <w:rPr>
          <w:rFonts w:ascii="宋体" w:hAnsi="宋体" w:eastAsia="宋体" w:cs="Times New Roman"/>
          <w:color w:val="auto"/>
          <w:u w:val="single"/>
        </w:rPr>
      </w:pPr>
      <w:r>
        <w:rPr>
          <w:rFonts w:hint="eastAsia" w:ascii="宋体" w:hAnsi="宋体" w:eastAsia="宋体" w:cs="宋体"/>
          <w:color w:val="auto"/>
          <w:u w:val="single"/>
        </w:rPr>
        <w:t>（采购人名称）</w:t>
      </w:r>
      <w:r>
        <w:rPr>
          <w:rFonts w:hint="eastAsia" w:ascii="宋体" w:hAnsi="宋体" w:eastAsia="宋体" w:cs="宋体"/>
          <w:color w:val="auto"/>
        </w:rPr>
        <w:t>：</w:t>
      </w:r>
    </w:p>
    <w:p w14:paraId="2BB6E228">
      <w:pPr>
        <w:spacing w:line="360" w:lineRule="auto"/>
        <w:ind w:firstLine="420" w:firstLineChars="200"/>
        <w:rPr>
          <w:rFonts w:ascii="宋体" w:hAnsi="宋体" w:eastAsia="宋体"/>
          <w:color w:val="auto"/>
        </w:rPr>
      </w:pPr>
      <w:r>
        <w:rPr>
          <w:rFonts w:hint="eastAsia" w:ascii="宋体" w:hAnsi="宋体" w:eastAsia="宋体"/>
          <w:color w:val="auto"/>
        </w:rPr>
        <w:t>1</w:t>
      </w:r>
      <w:r>
        <w:rPr>
          <w:rFonts w:ascii="宋体" w:hAnsi="宋体" w:eastAsia="宋体"/>
          <w:color w:val="auto"/>
        </w:rPr>
        <w:t>.</w:t>
      </w:r>
      <w:r>
        <w:rPr>
          <w:rFonts w:hint="eastAsia" w:ascii="宋体" w:hAnsi="宋体" w:eastAsia="宋体"/>
          <w:color w:val="auto"/>
        </w:rPr>
        <w:t>我方已仔细研究了</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（项目名称）</w:t>
      </w:r>
      <w:r>
        <w:rPr>
          <w:rFonts w:hint="eastAsia" w:ascii="宋体" w:hAnsi="宋体" w:eastAsia="宋体"/>
          <w:color w:val="auto"/>
        </w:rPr>
        <w:t>招标文件的全部内容，愿意以投标报价一览表中的投标报价，按照招标文件的规定履行合同责任和义务。</w:t>
      </w:r>
    </w:p>
    <w:p w14:paraId="7CB64051">
      <w:pPr>
        <w:spacing w:line="360" w:lineRule="auto"/>
        <w:ind w:firstLine="420" w:firstLineChars="200"/>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我方承诺除商务偏差表列出的偏差外，我方响应招标文件的全部要求。</w:t>
      </w:r>
    </w:p>
    <w:p w14:paraId="1E988D0B">
      <w:pPr>
        <w:spacing w:line="360"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我方承诺在招标文件规定的投标文件有效期内不撤销投标文件。</w:t>
      </w:r>
    </w:p>
    <w:p w14:paraId="09A37735">
      <w:pPr>
        <w:spacing w:line="360" w:lineRule="auto"/>
        <w:ind w:firstLine="420" w:firstLineChars="200"/>
        <w:rPr>
          <w:rFonts w:ascii="宋体" w:hAnsi="宋体" w:eastAsia="宋体" w:cs="Times New Roman"/>
          <w:color w:val="auto"/>
        </w:rPr>
      </w:pPr>
      <w:r>
        <w:rPr>
          <w:rFonts w:ascii="宋体" w:hAnsi="宋体" w:eastAsia="宋体" w:cs="宋体"/>
          <w:color w:val="auto"/>
        </w:rPr>
        <w:t>4.</w:t>
      </w:r>
      <w:r>
        <w:rPr>
          <w:rFonts w:hint="eastAsia" w:ascii="宋体" w:hAnsi="宋体" w:eastAsia="宋体" w:cs="宋体"/>
          <w:color w:val="auto"/>
        </w:rPr>
        <w:t>如我方中标，我方承诺：</w:t>
      </w:r>
    </w:p>
    <w:p w14:paraId="1208E9B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1</w:t>
      </w:r>
      <w:r>
        <w:rPr>
          <w:rFonts w:hint="eastAsia" w:ascii="宋体" w:hAnsi="宋体" w:eastAsia="宋体" w:cs="宋体"/>
          <w:color w:val="auto"/>
        </w:rPr>
        <w:t>）在收到中标通知书后，在中标通知书规定的期限内与你方签订合同；</w:t>
      </w:r>
    </w:p>
    <w:p w14:paraId="3BA277B1">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2</w:t>
      </w:r>
      <w:r>
        <w:rPr>
          <w:rFonts w:hint="eastAsia" w:ascii="宋体" w:hAnsi="宋体" w:eastAsia="宋体" w:cs="宋体"/>
          <w:color w:val="auto"/>
        </w:rPr>
        <w:t>）在签订合同时不向你方提出附加条件；</w:t>
      </w:r>
    </w:p>
    <w:p w14:paraId="66AD39D4">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3</w:t>
      </w:r>
      <w:r>
        <w:rPr>
          <w:rFonts w:hint="eastAsia" w:ascii="宋体" w:hAnsi="宋体" w:eastAsia="宋体" w:cs="宋体"/>
          <w:color w:val="auto"/>
        </w:rPr>
        <w:t>）按照招标文件要求递交履约保证金</w:t>
      </w:r>
      <w:r>
        <w:rPr>
          <w:rFonts w:hint="eastAsia" w:ascii="宋体" w:hAnsi="宋体" w:eastAsia="宋体" w:cs="宋体"/>
          <w:color w:val="auto"/>
          <w:lang w:eastAsia="zh-CN"/>
        </w:rPr>
        <w:t>（</w:t>
      </w:r>
      <w:r>
        <w:rPr>
          <w:rFonts w:hint="eastAsia" w:ascii="宋体" w:hAnsi="宋体" w:eastAsia="宋体" w:cs="宋体"/>
          <w:color w:val="auto"/>
          <w:lang w:val="en-US" w:eastAsia="zh-CN"/>
        </w:rPr>
        <w:t>若有</w:t>
      </w:r>
      <w:r>
        <w:rPr>
          <w:rFonts w:hint="eastAsia" w:ascii="宋体" w:hAnsi="宋体" w:eastAsia="宋体" w:cs="宋体"/>
          <w:color w:val="auto"/>
          <w:lang w:eastAsia="zh-CN"/>
        </w:rPr>
        <w:t>）</w:t>
      </w:r>
      <w:r>
        <w:rPr>
          <w:rFonts w:hint="eastAsia" w:ascii="宋体" w:hAnsi="宋体" w:eastAsia="宋体" w:cs="宋体"/>
          <w:color w:val="auto"/>
        </w:rPr>
        <w:t>；</w:t>
      </w:r>
    </w:p>
    <w:p w14:paraId="5A9B7E1A">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r>
        <w:rPr>
          <w:rFonts w:ascii="宋体" w:hAnsi="宋体" w:eastAsia="宋体" w:cs="宋体"/>
          <w:color w:val="auto"/>
        </w:rPr>
        <w:t>4</w:t>
      </w:r>
      <w:r>
        <w:rPr>
          <w:rFonts w:hint="eastAsia" w:ascii="宋体" w:hAnsi="宋体" w:eastAsia="宋体" w:cs="宋体"/>
          <w:color w:val="auto"/>
        </w:rPr>
        <w:t>）在合同约定的期限内完成合同规定的全部义务。</w:t>
      </w:r>
    </w:p>
    <w:p w14:paraId="1FCC00D2">
      <w:pPr>
        <w:spacing w:line="360" w:lineRule="auto"/>
        <w:ind w:firstLine="420" w:firstLineChars="200"/>
        <w:rPr>
          <w:rFonts w:ascii="宋体" w:hAnsi="宋体" w:eastAsia="宋体" w:cs="Times New Roman"/>
          <w:color w:val="auto"/>
        </w:rPr>
      </w:pPr>
      <w:r>
        <w:rPr>
          <w:rFonts w:ascii="宋体" w:hAnsi="宋体" w:eastAsia="宋体" w:cs="宋体"/>
          <w:color w:val="auto"/>
        </w:rPr>
        <w:t>5.</w:t>
      </w:r>
      <w:r>
        <w:rPr>
          <w:rFonts w:hint="eastAsia" w:ascii="宋体" w:hAnsi="宋体" w:eastAsia="宋体" w:cs="宋体"/>
          <w:color w:val="auto"/>
        </w:rPr>
        <w:t>我方在此声明，所递交的投标文件及有关资料内容完整、真实和准确，且不存在第二章“投标人须知”第</w:t>
      </w:r>
      <w:r>
        <w:rPr>
          <w:rFonts w:ascii="宋体" w:hAnsi="宋体" w:eastAsia="宋体" w:cs="宋体"/>
          <w:color w:val="auto"/>
        </w:rPr>
        <w:t>1.4.1</w:t>
      </w:r>
      <w:r>
        <w:rPr>
          <w:rFonts w:hint="eastAsia" w:ascii="宋体" w:hAnsi="宋体" w:eastAsia="宋体" w:cs="宋体"/>
          <w:color w:val="auto"/>
        </w:rPr>
        <w:t>项中规定的投标人不得存在的情形。</w:t>
      </w:r>
    </w:p>
    <w:p w14:paraId="484A2348">
      <w:pPr>
        <w:spacing w:line="360" w:lineRule="auto"/>
        <w:ind w:firstLine="420" w:firstLineChars="200"/>
        <w:rPr>
          <w:rFonts w:ascii="宋体" w:hAnsi="宋体" w:eastAsia="宋体" w:cs="Times New Roman"/>
          <w:color w:val="auto"/>
        </w:rPr>
      </w:pPr>
      <w:r>
        <w:rPr>
          <w:rFonts w:ascii="宋体" w:hAnsi="宋体" w:eastAsia="宋体" w:cs="宋体"/>
          <w:color w:val="auto"/>
        </w:rPr>
        <w:t>6.</w:t>
      </w:r>
      <w:r>
        <w:rPr>
          <w:rFonts w:ascii="宋体" w:hAnsi="宋体" w:eastAsia="宋体"/>
          <w:color w:val="auto"/>
          <w:u w:val="single"/>
        </w:rPr>
        <w:t xml:space="preserve">                      </w:t>
      </w:r>
      <w:r>
        <w:rPr>
          <w:rFonts w:hint="eastAsia" w:ascii="宋体" w:hAnsi="宋体" w:eastAsia="宋体"/>
          <w:color w:val="auto"/>
          <w:u w:val="single"/>
        </w:rPr>
        <w:t>（其他补充说明）</w:t>
      </w:r>
      <w:r>
        <w:rPr>
          <w:rFonts w:hint="eastAsia" w:ascii="宋体" w:hAnsi="宋体" w:eastAsia="宋体"/>
          <w:color w:val="auto"/>
        </w:rPr>
        <w:t>。</w:t>
      </w:r>
    </w:p>
    <w:p w14:paraId="49A92366">
      <w:pPr>
        <w:spacing w:line="360" w:lineRule="auto"/>
        <w:rPr>
          <w:rFonts w:ascii="宋体" w:hAnsi="宋体" w:eastAsia="宋体" w:cs="Times New Roman"/>
          <w:color w:val="auto"/>
        </w:rPr>
      </w:pPr>
    </w:p>
    <w:p w14:paraId="681D066E">
      <w:pPr>
        <w:spacing w:line="360" w:lineRule="auto"/>
        <w:rPr>
          <w:rFonts w:ascii="宋体" w:hAnsi="宋体" w:eastAsia="宋体" w:cs="Times New Roman"/>
          <w:color w:val="auto"/>
        </w:rPr>
      </w:pPr>
    </w:p>
    <w:p w14:paraId="66E19ABB">
      <w:pPr>
        <w:spacing w:line="360" w:lineRule="auto"/>
        <w:jc w:val="right"/>
        <w:rPr>
          <w:rFonts w:ascii="宋体" w:hAnsi="宋体" w:eastAsia="宋体"/>
          <w:color w:val="auto"/>
        </w:rPr>
      </w:pPr>
      <w:r>
        <w:rPr>
          <w:rFonts w:hint="eastAsia" w:ascii="宋体" w:hAnsi="宋体" w:eastAsia="宋体"/>
          <w:color w:val="auto"/>
        </w:rPr>
        <w:t>投 标 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（电子签章）</w:t>
      </w:r>
    </w:p>
    <w:p w14:paraId="75C1B0C6">
      <w:pPr>
        <w:spacing w:line="360" w:lineRule="auto"/>
        <w:jc w:val="right"/>
        <w:rPr>
          <w:rFonts w:ascii="宋体" w:hAnsi="宋体" w:eastAsia="宋体"/>
          <w:color w:val="auto"/>
          <w:u w:val="single"/>
        </w:rPr>
      </w:pPr>
      <w:r>
        <w:rPr>
          <w:rFonts w:hint="eastAsia" w:ascii="宋体" w:hAnsi="宋体" w:eastAsia="宋体"/>
          <w:color w:val="auto"/>
        </w:rPr>
        <w:t>法定代表人（单位负责人） 或其授权的代理人：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（电子签章）</w:t>
      </w:r>
    </w:p>
    <w:p w14:paraId="79D7F665">
      <w:pPr>
        <w:wordWrap w:val="0"/>
        <w:spacing w:line="360" w:lineRule="auto"/>
        <w:jc w:val="right"/>
        <w:rPr>
          <w:rFonts w:ascii="宋体" w:hAnsi="宋体" w:eastAsia="宋体"/>
          <w:color w:val="auto"/>
        </w:rPr>
      </w:pPr>
      <w:r>
        <w:rPr>
          <w:rFonts w:hint="eastAsia" w:ascii="宋体" w:hAnsi="宋体" w:eastAsia="宋体"/>
          <w:color w:val="auto"/>
        </w:rPr>
        <w:t xml:space="preserve">地 </w:t>
      </w:r>
      <w:r>
        <w:rPr>
          <w:rFonts w:ascii="宋体" w:hAnsi="宋体" w:eastAsia="宋体"/>
          <w:color w:val="auto"/>
        </w:rPr>
        <w:t xml:space="preserve">   </w:t>
      </w:r>
      <w:r>
        <w:rPr>
          <w:rFonts w:hint="eastAsia" w:ascii="宋体" w:hAnsi="宋体" w:eastAsia="宋体"/>
          <w:color w:val="auto"/>
        </w:rPr>
        <w:t>址：</w:t>
      </w:r>
      <w:r>
        <w:rPr>
          <w:rFonts w:hint="eastAsia" w:ascii="宋体" w:hAnsi="宋体" w:eastAsia="宋体"/>
          <w:color w:val="auto"/>
          <w:u w:val="single"/>
        </w:rPr>
        <w:t xml:space="preserve"> </w:t>
      </w:r>
      <w:r>
        <w:rPr>
          <w:rFonts w:ascii="宋体" w:hAnsi="宋体" w:eastAsia="宋体"/>
          <w:color w:val="auto"/>
          <w:u w:val="single"/>
        </w:rPr>
        <w:t xml:space="preserve">                                              </w:t>
      </w:r>
    </w:p>
    <w:p w14:paraId="71761616">
      <w:pPr>
        <w:wordWrap w:val="0"/>
        <w:spacing w:line="360" w:lineRule="auto"/>
        <w:jc w:val="right"/>
        <w:rPr>
          <w:rFonts w:ascii="宋体" w:hAnsi="宋体" w:eastAsia="宋体"/>
          <w:color w:val="auto"/>
        </w:rPr>
      </w:pPr>
      <w:r>
        <w:rPr>
          <w:rFonts w:hint="eastAsia" w:ascii="宋体" w:hAnsi="宋体" w:eastAsia="宋体"/>
          <w:color w:val="auto"/>
        </w:rPr>
        <w:t>电子邮箱：</w:t>
      </w:r>
      <w:r>
        <w:rPr>
          <w:rFonts w:hint="eastAsia" w:ascii="宋体" w:hAnsi="宋体" w:eastAsia="宋体"/>
          <w:color w:val="auto"/>
          <w:u w:val="single"/>
        </w:rPr>
        <w:t xml:space="preserve"> </w:t>
      </w:r>
      <w:r>
        <w:rPr>
          <w:rFonts w:ascii="宋体" w:hAnsi="宋体" w:eastAsia="宋体"/>
          <w:color w:val="auto"/>
          <w:u w:val="single"/>
        </w:rPr>
        <w:t xml:space="preserve">                                              </w:t>
      </w:r>
    </w:p>
    <w:p w14:paraId="140711A2">
      <w:pPr>
        <w:wordWrap w:val="0"/>
        <w:spacing w:line="360" w:lineRule="auto"/>
        <w:jc w:val="right"/>
        <w:rPr>
          <w:rFonts w:ascii="宋体" w:hAnsi="宋体" w:eastAsia="宋体"/>
          <w:color w:val="auto"/>
        </w:rPr>
      </w:pPr>
      <w:r>
        <w:rPr>
          <w:rFonts w:hint="eastAsia" w:ascii="宋体" w:hAnsi="宋体" w:eastAsia="宋体"/>
          <w:color w:val="auto"/>
        </w:rPr>
        <w:t xml:space="preserve">电 </w:t>
      </w:r>
      <w:r>
        <w:rPr>
          <w:rFonts w:ascii="宋体" w:hAnsi="宋体" w:eastAsia="宋体"/>
          <w:color w:val="auto"/>
        </w:rPr>
        <w:t xml:space="preserve">   </w:t>
      </w:r>
      <w:r>
        <w:rPr>
          <w:rFonts w:hint="eastAsia" w:ascii="宋体" w:hAnsi="宋体" w:eastAsia="宋体"/>
          <w:color w:val="auto"/>
        </w:rPr>
        <w:t>话：</w:t>
      </w:r>
      <w:r>
        <w:rPr>
          <w:rFonts w:hint="eastAsia" w:ascii="宋体" w:hAnsi="宋体" w:eastAsia="宋体"/>
          <w:color w:val="auto"/>
          <w:u w:val="single"/>
        </w:rPr>
        <w:t xml:space="preserve"> </w:t>
      </w:r>
      <w:r>
        <w:rPr>
          <w:rFonts w:ascii="宋体" w:hAnsi="宋体" w:eastAsia="宋体"/>
          <w:color w:val="auto"/>
          <w:u w:val="single"/>
        </w:rPr>
        <w:t xml:space="preserve">                                              </w:t>
      </w:r>
    </w:p>
    <w:p w14:paraId="60BD72FE">
      <w:pPr>
        <w:wordWrap w:val="0"/>
        <w:spacing w:line="360" w:lineRule="auto"/>
        <w:jc w:val="right"/>
        <w:rPr>
          <w:rFonts w:ascii="宋体" w:hAnsi="宋体" w:eastAsia="宋体"/>
          <w:color w:val="auto"/>
        </w:rPr>
      </w:pPr>
      <w:r>
        <w:rPr>
          <w:rFonts w:hint="eastAsia" w:ascii="宋体" w:hAnsi="宋体" w:eastAsia="宋体"/>
          <w:color w:val="auto"/>
        </w:rPr>
        <w:t xml:space="preserve">传 </w:t>
      </w:r>
      <w:r>
        <w:rPr>
          <w:rFonts w:ascii="宋体" w:hAnsi="宋体" w:eastAsia="宋体"/>
          <w:color w:val="auto"/>
        </w:rPr>
        <w:t xml:space="preserve">   </w:t>
      </w:r>
      <w:r>
        <w:rPr>
          <w:rFonts w:hint="eastAsia" w:ascii="宋体" w:hAnsi="宋体" w:eastAsia="宋体"/>
          <w:color w:val="auto"/>
        </w:rPr>
        <w:t>真：</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 xml:space="preserve"> </w:t>
      </w:r>
      <w:r>
        <w:rPr>
          <w:rFonts w:ascii="宋体" w:hAnsi="宋体" w:eastAsia="宋体"/>
          <w:color w:val="auto"/>
          <w:u w:val="single"/>
        </w:rPr>
        <w:t xml:space="preserve">   </w:t>
      </w:r>
    </w:p>
    <w:p w14:paraId="084016C6">
      <w:pPr>
        <w:wordWrap w:val="0"/>
        <w:spacing w:line="360" w:lineRule="auto"/>
        <w:jc w:val="right"/>
        <w:rPr>
          <w:rFonts w:ascii="宋体" w:hAnsi="宋体" w:eastAsia="宋体"/>
          <w:color w:val="auto"/>
          <w:u w:val="single"/>
        </w:rPr>
      </w:pPr>
      <w:r>
        <w:rPr>
          <w:rFonts w:hint="eastAsia" w:ascii="宋体" w:hAnsi="宋体" w:eastAsia="宋体"/>
          <w:color w:val="auto"/>
        </w:rPr>
        <w:t>邮政编码：</w:t>
      </w:r>
      <w:r>
        <w:rPr>
          <w:rFonts w:hint="eastAsia" w:ascii="宋体" w:hAnsi="宋体" w:eastAsia="宋体"/>
          <w:color w:val="auto"/>
          <w:u w:val="single"/>
        </w:rPr>
        <w:t xml:space="preserve"> </w:t>
      </w:r>
      <w:r>
        <w:rPr>
          <w:rFonts w:ascii="宋体" w:hAnsi="宋体" w:eastAsia="宋体"/>
          <w:color w:val="auto"/>
          <w:u w:val="single"/>
        </w:rPr>
        <w:t xml:space="preserve">                                              </w:t>
      </w:r>
    </w:p>
    <w:p w14:paraId="3AA3EED0">
      <w:pPr>
        <w:spacing w:line="360" w:lineRule="auto"/>
        <w:jc w:val="right"/>
        <w:rPr>
          <w:rFonts w:ascii="宋体" w:hAnsi="宋体" w:eastAsia="宋体"/>
          <w:color w:val="auto"/>
        </w:rPr>
      </w:pPr>
    </w:p>
    <w:p w14:paraId="5193BDCC">
      <w:pPr>
        <w:spacing w:line="360" w:lineRule="auto"/>
        <w:jc w:val="right"/>
        <w:rPr>
          <w:rFonts w:ascii="宋体" w:hAnsi="宋体" w:eastAsia="宋体" w:cs="Times New Roman"/>
          <w:color w:val="auto"/>
          <w:u w:val="single"/>
        </w:rPr>
      </w:pP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年</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月</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日</w:t>
      </w:r>
    </w:p>
    <w:p w14:paraId="4C8CE0FE">
      <w:pPr>
        <w:spacing w:line="360" w:lineRule="auto"/>
        <w:rPr>
          <w:rFonts w:ascii="宋体" w:hAnsi="宋体" w:eastAsia="宋体" w:cs="Times New Roman"/>
          <w:color w:val="auto"/>
        </w:rPr>
      </w:pPr>
    </w:p>
    <w:p w14:paraId="3EC3901E">
      <w:pPr>
        <w:spacing w:line="360" w:lineRule="auto"/>
        <w:rPr>
          <w:rFonts w:ascii="宋体" w:hAnsi="宋体" w:eastAsia="宋体" w:cs="Times New Roman"/>
          <w:color w:val="auto"/>
        </w:rPr>
      </w:pPr>
    </w:p>
    <w:p w14:paraId="5F6873BB">
      <w:pPr>
        <w:pStyle w:val="3"/>
        <w:spacing w:before="0" w:after="0" w:line="360" w:lineRule="auto"/>
        <w:jc w:val="center"/>
        <w:rPr>
          <w:rFonts w:ascii="宋体" w:hAnsi="宋体" w:eastAsia="宋体" w:cs="宋体"/>
          <w:color w:val="auto"/>
          <w:sz w:val="21"/>
          <w:szCs w:val="21"/>
        </w:rPr>
      </w:pPr>
      <w:r>
        <w:rPr>
          <w:rFonts w:ascii="宋体" w:hAnsi="宋体" w:eastAsia="宋体" w:cs="Times New Roman"/>
          <w:color w:val="auto"/>
        </w:rPr>
        <w:br w:type="page"/>
      </w:r>
      <w:bookmarkStart w:id="638" w:name="_Toc164432970"/>
      <w:bookmarkStart w:id="639" w:name="_Toc107396246"/>
      <w:bookmarkStart w:id="640" w:name="_Toc120282474"/>
      <w:bookmarkStart w:id="641" w:name="_Toc77116719"/>
      <w:bookmarkStart w:id="642" w:name="_Toc77658127"/>
      <w:bookmarkStart w:id="643" w:name="_Toc77504117"/>
      <w:bookmarkStart w:id="644" w:name="_Toc15913"/>
      <w:bookmarkStart w:id="645" w:name="_Toc70424902"/>
      <w:r>
        <w:rPr>
          <w:rFonts w:hint="eastAsia" w:ascii="宋体" w:hAnsi="宋体" w:eastAsia="宋体" w:cs="宋体"/>
          <w:color w:val="auto"/>
          <w:sz w:val="24"/>
          <w:szCs w:val="24"/>
        </w:rPr>
        <w:t>三、法定代表人（单位负责人）身份证明或授权委托书</w:t>
      </w:r>
      <w:bookmarkEnd w:id="638"/>
      <w:bookmarkEnd w:id="639"/>
      <w:bookmarkEnd w:id="640"/>
      <w:bookmarkEnd w:id="641"/>
      <w:bookmarkEnd w:id="642"/>
      <w:bookmarkEnd w:id="643"/>
      <w:bookmarkEnd w:id="644"/>
      <w:bookmarkEnd w:id="645"/>
    </w:p>
    <w:p w14:paraId="2A68C682">
      <w:pPr>
        <w:spacing w:line="360" w:lineRule="auto"/>
        <w:rPr>
          <w:rFonts w:ascii="宋体" w:hAnsi="宋体" w:eastAsia="宋体" w:cs="Times New Roman"/>
          <w:color w:val="auto"/>
        </w:rPr>
      </w:pPr>
    </w:p>
    <w:p w14:paraId="1E47B112">
      <w:pPr>
        <w:spacing w:line="360" w:lineRule="auto"/>
        <w:jc w:val="center"/>
        <w:rPr>
          <w:rFonts w:ascii="宋体" w:hAnsi="宋体" w:eastAsia="宋体" w:cs="Times New Roman"/>
          <w:color w:val="auto"/>
        </w:rPr>
      </w:pPr>
      <w:r>
        <w:rPr>
          <w:rFonts w:hint="eastAsia" w:ascii="宋体" w:hAnsi="宋体" w:eastAsia="宋体" w:cs="宋体"/>
          <w:color w:val="auto"/>
        </w:rPr>
        <w:t>（一）法定代表人（单位负责人）身份证明</w:t>
      </w:r>
    </w:p>
    <w:p w14:paraId="530F3FA3">
      <w:pPr>
        <w:spacing w:line="360" w:lineRule="auto"/>
        <w:rPr>
          <w:rFonts w:ascii="宋体" w:hAnsi="宋体" w:eastAsia="宋体" w:cs="Times New Roman"/>
          <w:color w:val="auto"/>
        </w:rPr>
      </w:pPr>
    </w:p>
    <w:p w14:paraId="0BE22170">
      <w:pPr>
        <w:spacing w:line="360" w:lineRule="auto"/>
        <w:rPr>
          <w:rFonts w:ascii="宋体" w:hAnsi="宋体" w:eastAsia="宋体" w:cs="Times New Roman"/>
          <w:color w:val="auto"/>
        </w:rPr>
      </w:pPr>
      <w:r>
        <w:rPr>
          <w:rFonts w:hint="eastAsia" w:ascii="宋体" w:hAnsi="宋体" w:eastAsia="宋体" w:cs="宋体"/>
          <w:color w:val="auto"/>
        </w:rPr>
        <w:t>投标人名称：</w:t>
      </w:r>
    </w:p>
    <w:p w14:paraId="4076D814">
      <w:pPr>
        <w:spacing w:line="360" w:lineRule="auto"/>
        <w:rPr>
          <w:rFonts w:ascii="宋体" w:hAnsi="宋体" w:eastAsia="宋体" w:cs="Times New Roman"/>
          <w:color w:val="auto"/>
        </w:rPr>
      </w:pPr>
      <w:r>
        <w:rPr>
          <w:rFonts w:hint="eastAsia" w:ascii="宋体" w:hAnsi="宋体" w:eastAsia="宋体" w:cs="宋体"/>
          <w:color w:val="auto"/>
        </w:rPr>
        <w:t>姓名：</w:t>
      </w:r>
      <w:r>
        <w:rPr>
          <w:rFonts w:ascii="宋体" w:hAnsi="宋体" w:eastAsia="宋体" w:cs="宋体"/>
          <w:color w:val="auto"/>
        </w:rPr>
        <w:t xml:space="preserve"> </w:t>
      </w:r>
      <w:r>
        <w:rPr>
          <w:rFonts w:hint="eastAsia" w:ascii="宋体" w:hAnsi="宋体" w:eastAsia="宋体" w:cs="宋体"/>
          <w:color w:val="auto"/>
        </w:rPr>
        <w:t>性别：</w:t>
      </w:r>
      <w:r>
        <w:rPr>
          <w:rFonts w:ascii="宋体" w:hAnsi="宋体" w:eastAsia="宋体" w:cs="宋体"/>
          <w:color w:val="auto"/>
        </w:rPr>
        <w:t xml:space="preserve"> </w:t>
      </w:r>
      <w:r>
        <w:rPr>
          <w:rFonts w:hint="eastAsia" w:ascii="宋体" w:hAnsi="宋体" w:eastAsia="宋体" w:cs="宋体"/>
          <w:color w:val="auto"/>
        </w:rPr>
        <w:t>年龄：</w:t>
      </w:r>
      <w:r>
        <w:rPr>
          <w:rFonts w:ascii="宋体" w:hAnsi="宋体" w:eastAsia="宋体" w:cs="宋体"/>
          <w:color w:val="auto"/>
        </w:rPr>
        <w:t xml:space="preserve"> </w:t>
      </w:r>
      <w:r>
        <w:rPr>
          <w:rFonts w:hint="eastAsia" w:ascii="宋体" w:hAnsi="宋体" w:eastAsia="宋体" w:cs="宋体"/>
          <w:color w:val="auto"/>
        </w:rPr>
        <w:t>职务：</w:t>
      </w:r>
    </w:p>
    <w:p w14:paraId="7909E601">
      <w:pPr>
        <w:spacing w:line="360" w:lineRule="auto"/>
        <w:rPr>
          <w:rFonts w:ascii="宋体" w:hAnsi="宋体" w:eastAsia="宋体" w:cs="Times New Roman"/>
          <w:color w:val="auto"/>
        </w:rPr>
      </w:pPr>
      <w:r>
        <w:rPr>
          <w:rFonts w:hint="eastAsia" w:ascii="宋体" w:hAnsi="宋体" w:eastAsia="宋体" w:cs="宋体"/>
          <w:color w:val="auto"/>
        </w:rPr>
        <w:t>系</w:t>
      </w:r>
      <w:r>
        <w:rPr>
          <w:rFonts w:ascii="宋体" w:hAnsi="宋体" w:eastAsia="宋体" w:cs="宋体"/>
          <w:color w:val="auto"/>
          <w:u w:val="single"/>
        </w:rPr>
        <w:t xml:space="preserve">                     </w:t>
      </w:r>
      <w:r>
        <w:rPr>
          <w:rFonts w:hint="eastAsia" w:ascii="宋体" w:hAnsi="宋体" w:eastAsia="宋体" w:cs="宋体"/>
          <w:color w:val="auto"/>
          <w:u w:val="single"/>
        </w:rPr>
        <w:t>（投标人名称）</w:t>
      </w:r>
      <w:r>
        <w:rPr>
          <w:rFonts w:hint="eastAsia" w:ascii="宋体" w:hAnsi="宋体" w:eastAsia="宋体" w:cs="宋体"/>
          <w:color w:val="auto"/>
        </w:rPr>
        <w:t>的法定代表人。</w:t>
      </w:r>
    </w:p>
    <w:p w14:paraId="3FA0089E">
      <w:pPr>
        <w:spacing w:line="360" w:lineRule="auto"/>
        <w:rPr>
          <w:rFonts w:ascii="宋体" w:hAnsi="宋体" w:eastAsia="宋体" w:cs="Times New Roman"/>
          <w:color w:val="auto"/>
        </w:rPr>
      </w:pPr>
    </w:p>
    <w:p w14:paraId="0715778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特此证明。</w:t>
      </w:r>
    </w:p>
    <w:p w14:paraId="5DFF4237">
      <w:pPr>
        <w:spacing w:line="360" w:lineRule="auto"/>
        <w:rPr>
          <w:rFonts w:ascii="宋体" w:hAnsi="宋体" w:eastAsia="宋体" w:cs="Times New Roman"/>
          <w:color w:val="auto"/>
        </w:rPr>
      </w:pPr>
    </w:p>
    <w:p w14:paraId="7BFE348D">
      <w:pPr>
        <w:spacing w:line="360" w:lineRule="auto"/>
        <w:rPr>
          <w:rFonts w:ascii="宋体" w:hAnsi="宋体" w:eastAsia="宋体" w:cs="Times New Roman"/>
          <w:color w:val="auto"/>
        </w:rPr>
      </w:pPr>
    </w:p>
    <w:p w14:paraId="62642D59">
      <w:pPr>
        <w:spacing w:line="360" w:lineRule="auto"/>
        <w:rPr>
          <w:rFonts w:ascii="宋体" w:hAnsi="宋体" w:eastAsia="宋体" w:cs="Times New Roman"/>
          <w:color w:val="auto"/>
        </w:rPr>
      </w:pPr>
      <w:r>
        <w:rPr>
          <w:rFonts w:hint="eastAsia" w:ascii="宋体" w:hAnsi="宋体" w:eastAsia="宋体" w:cs="宋体"/>
          <w:color w:val="auto"/>
        </w:rPr>
        <w:t>附：法定代表人身份证扫描件。</w:t>
      </w:r>
    </w:p>
    <w:p w14:paraId="096FB6D6">
      <w:pPr>
        <w:spacing w:line="360" w:lineRule="auto"/>
        <w:rPr>
          <w:rFonts w:ascii="宋体" w:hAnsi="宋体" w:eastAsia="宋体" w:cs="Times New Roman"/>
          <w:color w:val="auto"/>
        </w:rPr>
      </w:pPr>
    </w:p>
    <w:p w14:paraId="21A85E86">
      <w:pPr>
        <w:spacing w:line="360" w:lineRule="auto"/>
        <w:rPr>
          <w:rFonts w:ascii="宋体" w:hAnsi="宋体" w:eastAsia="宋体" w:cs="Times New Roman"/>
          <w:color w:val="auto"/>
        </w:rPr>
      </w:pPr>
    </w:p>
    <w:p w14:paraId="36D9C2DF">
      <w:pPr>
        <w:spacing w:line="360" w:lineRule="auto"/>
        <w:rPr>
          <w:rFonts w:ascii="宋体" w:hAnsi="宋体" w:eastAsia="宋体" w:cs="Times New Roman"/>
          <w:color w:val="auto"/>
        </w:rPr>
      </w:pPr>
    </w:p>
    <w:p w14:paraId="49C480CE">
      <w:pPr>
        <w:spacing w:line="360" w:lineRule="auto"/>
        <w:rPr>
          <w:rFonts w:ascii="宋体" w:hAnsi="宋体" w:eastAsia="宋体" w:cs="Times New Roman"/>
          <w:color w:val="auto"/>
        </w:rPr>
      </w:pPr>
    </w:p>
    <w:p w14:paraId="5B8E32BA">
      <w:pPr>
        <w:spacing w:line="360" w:lineRule="auto"/>
        <w:rPr>
          <w:rFonts w:ascii="宋体" w:hAnsi="宋体" w:eastAsia="宋体" w:cs="Times New Roman"/>
          <w:color w:val="auto"/>
        </w:rPr>
      </w:pPr>
    </w:p>
    <w:p w14:paraId="1F7CE284">
      <w:pPr>
        <w:spacing w:line="360" w:lineRule="auto"/>
        <w:rPr>
          <w:rFonts w:ascii="宋体" w:hAnsi="宋体" w:eastAsia="宋体" w:cs="Times New Roman"/>
          <w:color w:val="auto"/>
        </w:rPr>
      </w:pPr>
    </w:p>
    <w:p w14:paraId="57476C2A">
      <w:pPr>
        <w:spacing w:line="360" w:lineRule="auto"/>
        <w:rPr>
          <w:rFonts w:ascii="宋体" w:hAnsi="宋体" w:eastAsia="宋体" w:cs="Times New Roman"/>
          <w:color w:val="auto"/>
        </w:rPr>
      </w:pPr>
    </w:p>
    <w:p w14:paraId="48C838D6">
      <w:pPr>
        <w:spacing w:line="360" w:lineRule="auto"/>
        <w:rPr>
          <w:rFonts w:ascii="宋体" w:hAnsi="宋体" w:eastAsia="宋体" w:cs="Times New Roman"/>
          <w:color w:val="auto"/>
        </w:rPr>
      </w:pPr>
    </w:p>
    <w:p w14:paraId="57184D4B">
      <w:pPr>
        <w:spacing w:line="360" w:lineRule="auto"/>
        <w:jc w:val="right"/>
        <w:rPr>
          <w:rFonts w:ascii="宋体" w:hAnsi="宋体" w:eastAsia="宋体"/>
          <w:color w:val="auto"/>
          <w:u w:val="single"/>
        </w:rPr>
      </w:pPr>
      <w:r>
        <w:rPr>
          <w:rFonts w:hint="eastAsia" w:ascii="宋体" w:hAnsi="宋体" w:eastAsia="宋体"/>
          <w:color w:val="auto"/>
        </w:rPr>
        <w:t>投标人：</w:t>
      </w:r>
      <w:r>
        <w:rPr>
          <w:rFonts w:ascii="宋体" w:hAnsi="宋体" w:eastAsia="宋体"/>
          <w:color w:val="auto"/>
          <w:u w:val="single"/>
        </w:rPr>
        <w:t xml:space="preserve">                    </w:t>
      </w:r>
      <w:r>
        <w:rPr>
          <w:rFonts w:hint="eastAsia" w:ascii="宋体" w:hAnsi="宋体" w:eastAsia="宋体"/>
          <w:color w:val="auto"/>
          <w:u w:val="single"/>
        </w:rPr>
        <w:t>（盖单位章）</w:t>
      </w:r>
    </w:p>
    <w:p w14:paraId="744BA406">
      <w:pPr>
        <w:spacing w:line="360" w:lineRule="auto"/>
        <w:jc w:val="right"/>
        <w:rPr>
          <w:rFonts w:ascii="宋体" w:hAnsi="宋体" w:eastAsia="宋体"/>
          <w:color w:val="auto"/>
        </w:rPr>
      </w:pPr>
    </w:p>
    <w:p w14:paraId="69F9CBCD">
      <w:pPr>
        <w:wordWrap w:val="0"/>
        <w:spacing w:line="360" w:lineRule="auto"/>
        <w:ind w:firstLine="420" w:firstLineChars="200"/>
        <w:jc w:val="right"/>
        <w:rPr>
          <w:rFonts w:ascii="宋体" w:hAnsi="宋体" w:eastAsia="宋体" w:cs="Times New Roman"/>
          <w:color w:val="auto"/>
        </w:rPr>
      </w:pP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年</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月</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日</w:t>
      </w:r>
    </w:p>
    <w:p w14:paraId="62B3C91F">
      <w:pPr>
        <w:spacing w:line="360" w:lineRule="auto"/>
        <w:rPr>
          <w:rFonts w:ascii="宋体" w:hAnsi="宋体" w:eastAsia="宋体" w:cs="Times New Roman"/>
          <w:color w:val="auto"/>
        </w:rPr>
      </w:pPr>
    </w:p>
    <w:p w14:paraId="188EBE69">
      <w:pPr>
        <w:spacing w:line="360" w:lineRule="auto"/>
        <w:rPr>
          <w:rFonts w:ascii="宋体" w:hAnsi="宋体" w:eastAsia="宋体" w:cs="Times New Roman"/>
          <w:color w:val="auto"/>
        </w:rPr>
      </w:pPr>
    </w:p>
    <w:p w14:paraId="08EC46FA">
      <w:pPr>
        <w:spacing w:line="360" w:lineRule="auto"/>
        <w:rPr>
          <w:rFonts w:ascii="宋体" w:hAnsi="宋体" w:eastAsia="宋体" w:cs="Times New Roman"/>
          <w:color w:val="auto"/>
        </w:rPr>
      </w:pPr>
    </w:p>
    <w:p w14:paraId="5B85B7C2">
      <w:pPr>
        <w:spacing w:line="360" w:lineRule="auto"/>
        <w:jc w:val="center"/>
        <w:rPr>
          <w:rFonts w:ascii="宋体" w:hAnsi="宋体" w:eastAsia="宋体" w:cs="Times New Roman"/>
          <w:color w:val="auto"/>
        </w:rPr>
      </w:pPr>
      <w:r>
        <w:rPr>
          <w:rFonts w:ascii="宋体" w:hAnsi="宋体" w:eastAsia="宋体" w:cs="宋体"/>
          <w:color w:val="auto"/>
        </w:rPr>
        <w:br w:type="page"/>
      </w:r>
      <w:r>
        <w:rPr>
          <w:rFonts w:hint="eastAsia" w:ascii="宋体" w:hAnsi="宋体" w:eastAsia="宋体" w:cs="宋体"/>
          <w:color w:val="auto"/>
        </w:rPr>
        <w:t>（二）授权委托书</w:t>
      </w:r>
    </w:p>
    <w:p w14:paraId="74392657">
      <w:pPr>
        <w:spacing w:line="360" w:lineRule="auto"/>
        <w:rPr>
          <w:rFonts w:ascii="宋体" w:hAnsi="宋体" w:eastAsia="宋体" w:cs="Times New Roman"/>
          <w:color w:val="auto"/>
        </w:rPr>
      </w:pPr>
    </w:p>
    <w:p w14:paraId="4770672C">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本人</w:t>
      </w:r>
      <w:r>
        <w:rPr>
          <w:rFonts w:hint="eastAsia" w:ascii="宋体" w:hAnsi="宋体" w:eastAsia="宋体" w:cs="宋体"/>
          <w:color w:val="auto"/>
          <w:u w:val="single"/>
        </w:rPr>
        <w:t>（姓名）</w:t>
      </w:r>
      <w:r>
        <w:rPr>
          <w:rFonts w:hint="eastAsia" w:ascii="宋体" w:hAnsi="宋体" w:eastAsia="宋体" w:cs="宋体"/>
          <w:color w:val="auto"/>
        </w:rPr>
        <w:t>系</w:t>
      </w:r>
      <w:r>
        <w:rPr>
          <w:rFonts w:hint="eastAsia" w:ascii="宋体" w:hAnsi="宋体" w:eastAsia="宋体" w:cs="宋体"/>
          <w:color w:val="auto"/>
          <w:u w:val="single"/>
        </w:rPr>
        <w:t>（投标人名称）</w:t>
      </w:r>
      <w:r>
        <w:rPr>
          <w:rFonts w:hint="eastAsia" w:ascii="宋体" w:hAnsi="宋体" w:eastAsia="宋体" w:cs="宋体"/>
          <w:color w:val="auto"/>
        </w:rPr>
        <w:t>的法定代表人（单位负责人），现委托</w:t>
      </w:r>
      <w:r>
        <w:rPr>
          <w:rFonts w:hint="eastAsia" w:ascii="宋体" w:hAnsi="宋体" w:eastAsia="宋体" w:cs="宋体"/>
          <w:color w:val="auto"/>
          <w:u w:val="single"/>
        </w:rPr>
        <w:t>（姓名）</w:t>
      </w:r>
      <w:r>
        <w:rPr>
          <w:rFonts w:hint="eastAsia" w:ascii="宋体" w:hAnsi="宋体" w:eastAsia="宋体" w:cs="宋体"/>
          <w:color w:val="auto"/>
        </w:rPr>
        <w:t>为我方代理人。代理人根据授权，以我方名义签署、澄清确认、递交、撤回、修改</w:t>
      </w:r>
      <w:r>
        <w:rPr>
          <w:rFonts w:hint="eastAsia" w:ascii="宋体" w:hAnsi="宋体" w:eastAsia="宋体" w:cs="宋体"/>
          <w:color w:val="auto"/>
          <w:u w:val="single"/>
        </w:rPr>
        <w:t>（项目名称）</w:t>
      </w:r>
      <w:r>
        <w:rPr>
          <w:rFonts w:hint="eastAsia" w:ascii="宋体" w:hAnsi="宋体" w:eastAsia="宋体" w:cs="宋体"/>
          <w:color w:val="auto"/>
        </w:rPr>
        <w:t>投标文件、签订合同和处理有关事宜，其法律后果由我方承担。</w:t>
      </w:r>
    </w:p>
    <w:p w14:paraId="76A94936">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委托期限：自本委托书签署之日起至</w:t>
      </w:r>
      <w:r>
        <w:rPr>
          <w:rFonts w:hint="eastAsia" w:ascii="宋体" w:hAnsi="宋体" w:eastAsia="宋体" w:cs="宋体"/>
          <w:color w:val="auto"/>
          <w:u w:val="single"/>
        </w:rPr>
        <w:t>（项目名称）</w:t>
      </w:r>
      <w:r>
        <w:rPr>
          <w:rFonts w:hint="eastAsia" w:ascii="宋体" w:hAnsi="宋体" w:eastAsia="宋体" w:cs="宋体"/>
          <w:color w:val="auto"/>
        </w:rPr>
        <w:t>签订采购合同之日止。</w:t>
      </w:r>
    </w:p>
    <w:p w14:paraId="1C9B246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代理人无转委托权。</w:t>
      </w:r>
    </w:p>
    <w:p w14:paraId="0A7748A4">
      <w:pPr>
        <w:spacing w:line="360" w:lineRule="auto"/>
        <w:ind w:firstLine="420" w:firstLineChars="200"/>
        <w:rPr>
          <w:rFonts w:ascii="宋体" w:hAnsi="宋体" w:eastAsia="宋体" w:cs="Times New Roman"/>
          <w:color w:val="auto"/>
        </w:rPr>
      </w:pPr>
    </w:p>
    <w:p w14:paraId="49D0E815">
      <w:pPr>
        <w:spacing w:line="360" w:lineRule="auto"/>
        <w:ind w:firstLine="420" w:firstLineChars="200"/>
        <w:rPr>
          <w:rFonts w:ascii="宋体" w:hAnsi="宋体" w:eastAsia="宋体" w:cs="Times New Roman"/>
          <w:color w:val="auto"/>
        </w:rPr>
      </w:pPr>
    </w:p>
    <w:p w14:paraId="69EF9760">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附：委托代理人身份证扫描件。</w:t>
      </w:r>
    </w:p>
    <w:p w14:paraId="6AD49E24">
      <w:pPr>
        <w:spacing w:line="360" w:lineRule="auto"/>
        <w:rPr>
          <w:rFonts w:ascii="宋体" w:hAnsi="宋体" w:eastAsia="宋体" w:cs="Times New Roman"/>
          <w:color w:val="auto"/>
        </w:rPr>
      </w:pPr>
    </w:p>
    <w:p w14:paraId="628AC8D9">
      <w:pPr>
        <w:spacing w:line="360" w:lineRule="auto"/>
        <w:rPr>
          <w:rFonts w:ascii="宋体" w:hAnsi="宋体" w:eastAsia="宋体" w:cs="Times New Roman"/>
          <w:color w:val="auto"/>
        </w:rPr>
      </w:pPr>
    </w:p>
    <w:p w14:paraId="32DF8F1C">
      <w:pPr>
        <w:spacing w:line="360" w:lineRule="auto"/>
        <w:rPr>
          <w:rFonts w:ascii="宋体" w:hAnsi="宋体" w:eastAsia="宋体" w:cs="Times New Roman"/>
          <w:color w:val="auto"/>
        </w:rPr>
      </w:pPr>
    </w:p>
    <w:p w14:paraId="606313C9">
      <w:pPr>
        <w:spacing w:line="360" w:lineRule="auto"/>
        <w:rPr>
          <w:rFonts w:ascii="宋体" w:hAnsi="宋体" w:eastAsia="宋体" w:cs="Times New Roman"/>
          <w:color w:val="auto"/>
        </w:rPr>
      </w:pPr>
    </w:p>
    <w:p w14:paraId="599917D5">
      <w:pPr>
        <w:spacing w:line="360" w:lineRule="auto"/>
        <w:rPr>
          <w:rFonts w:ascii="宋体" w:hAnsi="宋体" w:eastAsia="宋体" w:cs="Times New Roman"/>
          <w:color w:val="auto"/>
        </w:rPr>
      </w:pPr>
    </w:p>
    <w:p w14:paraId="0B681FB9">
      <w:pPr>
        <w:spacing w:line="360" w:lineRule="auto"/>
        <w:rPr>
          <w:rFonts w:ascii="宋体" w:hAnsi="宋体" w:eastAsia="宋体" w:cs="Times New Roman"/>
          <w:color w:val="auto"/>
        </w:rPr>
      </w:pPr>
    </w:p>
    <w:p w14:paraId="5F5C913C">
      <w:pPr>
        <w:spacing w:line="360" w:lineRule="auto"/>
        <w:rPr>
          <w:rFonts w:ascii="宋体" w:hAnsi="宋体" w:eastAsia="宋体" w:cs="Times New Roman"/>
          <w:color w:val="auto"/>
        </w:rPr>
      </w:pPr>
    </w:p>
    <w:p w14:paraId="40BD071A">
      <w:pPr>
        <w:spacing w:line="360" w:lineRule="auto"/>
        <w:rPr>
          <w:rFonts w:ascii="宋体" w:hAnsi="宋体" w:eastAsia="宋体" w:cs="Times New Roman"/>
          <w:color w:val="auto"/>
        </w:rPr>
      </w:pPr>
    </w:p>
    <w:p w14:paraId="23743BBF">
      <w:pPr>
        <w:spacing w:line="360" w:lineRule="auto"/>
        <w:jc w:val="right"/>
        <w:rPr>
          <w:rFonts w:ascii="宋体" w:hAnsi="宋体" w:eastAsia="宋体"/>
          <w:color w:val="auto"/>
          <w:u w:val="single"/>
        </w:rPr>
      </w:pPr>
      <w:r>
        <w:rPr>
          <w:rFonts w:hint="eastAsia" w:ascii="宋体" w:hAnsi="宋体" w:eastAsia="宋体"/>
          <w:color w:val="auto"/>
        </w:rPr>
        <w:t>投标人：</w:t>
      </w:r>
      <w:r>
        <w:rPr>
          <w:rFonts w:ascii="宋体" w:hAnsi="宋体" w:eastAsia="宋体"/>
          <w:color w:val="auto"/>
          <w:u w:val="single"/>
        </w:rPr>
        <w:t xml:space="preserve">                    </w:t>
      </w:r>
      <w:r>
        <w:rPr>
          <w:rFonts w:hint="eastAsia" w:ascii="宋体" w:hAnsi="宋体" w:eastAsia="宋体"/>
          <w:color w:val="auto"/>
          <w:u w:val="single"/>
        </w:rPr>
        <w:t>（盖单位章）</w:t>
      </w:r>
    </w:p>
    <w:p w14:paraId="3C25141A">
      <w:pPr>
        <w:wordWrap w:val="0"/>
        <w:spacing w:line="360" w:lineRule="auto"/>
        <w:jc w:val="right"/>
        <w:rPr>
          <w:rFonts w:ascii="宋体" w:hAnsi="宋体" w:eastAsia="宋体"/>
          <w:color w:val="auto"/>
          <w:u w:val="single"/>
        </w:rPr>
      </w:pPr>
      <w:r>
        <w:rPr>
          <w:rFonts w:hint="eastAsia" w:ascii="宋体" w:hAnsi="宋体" w:eastAsia="宋体"/>
          <w:color w:val="auto"/>
        </w:rPr>
        <w:t>法定代表人（单位负责人）：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（签字）</w:t>
      </w:r>
    </w:p>
    <w:p w14:paraId="7EDE536A">
      <w:pPr>
        <w:wordWrap w:val="0"/>
        <w:spacing w:line="360" w:lineRule="auto"/>
        <w:jc w:val="right"/>
        <w:rPr>
          <w:rFonts w:ascii="宋体" w:hAnsi="宋体" w:eastAsia="宋体"/>
          <w:color w:val="auto"/>
          <w:u w:val="single"/>
        </w:rPr>
      </w:pPr>
      <w:r>
        <w:rPr>
          <w:rFonts w:hint="eastAsia" w:ascii="宋体" w:hAnsi="宋体" w:eastAsia="宋体"/>
          <w:color w:val="auto"/>
        </w:rPr>
        <w:t>身份证号码：</w:t>
      </w:r>
      <w:r>
        <w:rPr>
          <w:rFonts w:hint="eastAsia" w:ascii="宋体" w:hAnsi="宋体" w:eastAsia="宋体"/>
          <w:color w:val="auto"/>
          <w:u w:val="single"/>
        </w:rPr>
        <w:t xml:space="preserve"> </w:t>
      </w:r>
      <w:r>
        <w:rPr>
          <w:rFonts w:ascii="宋体" w:hAnsi="宋体" w:eastAsia="宋体"/>
          <w:color w:val="auto"/>
          <w:u w:val="single"/>
        </w:rPr>
        <w:t xml:space="preserve">                           </w:t>
      </w:r>
    </w:p>
    <w:p w14:paraId="104ACD89">
      <w:pPr>
        <w:wordWrap w:val="0"/>
        <w:spacing w:line="360" w:lineRule="auto"/>
        <w:jc w:val="right"/>
        <w:rPr>
          <w:rFonts w:ascii="宋体" w:hAnsi="宋体" w:eastAsia="宋体"/>
          <w:color w:val="auto"/>
          <w:u w:val="single"/>
        </w:rPr>
      </w:pPr>
      <w:r>
        <w:rPr>
          <w:rFonts w:hint="eastAsia" w:ascii="宋体" w:hAnsi="宋体" w:eastAsia="宋体"/>
          <w:color w:val="auto"/>
        </w:rPr>
        <w:t>委托代理人：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（签字并按手印）</w:t>
      </w:r>
    </w:p>
    <w:p w14:paraId="45B65639">
      <w:pPr>
        <w:wordWrap w:val="0"/>
        <w:spacing w:line="360" w:lineRule="auto"/>
        <w:jc w:val="right"/>
        <w:rPr>
          <w:rFonts w:ascii="宋体" w:hAnsi="宋体" w:eastAsia="宋体"/>
          <w:color w:val="auto"/>
          <w:u w:val="single"/>
        </w:rPr>
      </w:pPr>
      <w:r>
        <w:rPr>
          <w:rFonts w:hint="eastAsia" w:ascii="宋体" w:hAnsi="宋体" w:eastAsia="宋体"/>
          <w:color w:val="auto"/>
        </w:rPr>
        <w:t>身份证号码：</w:t>
      </w:r>
      <w:r>
        <w:rPr>
          <w:rFonts w:hint="eastAsia" w:ascii="宋体" w:hAnsi="宋体" w:eastAsia="宋体"/>
          <w:color w:val="auto"/>
          <w:u w:val="single"/>
        </w:rPr>
        <w:t xml:space="preserve"> </w:t>
      </w:r>
      <w:r>
        <w:rPr>
          <w:rFonts w:ascii="宋体" w:hAnsi="宋体" w:eastAsia="宋体"/>
          <w:color w:val="auto"/>
          <w:u w:val="single"/>
        </w:rPr>
        <w:t xml:space="preserve">                           </w:t>
      </w:r>
    </w:p>
    <w:p w14:paraId="51CCE4E4">
      <w:pPr>
        <w:spacing w:line="360" w:lineRule="auto"/>
        <w:jc w:val="right"/>
        <w:rPr>
          <w:rFonts w:ascii="宋体" w:hAnsi="宋体" w:eastAsia="宋体"/>
          <w:color w:val="auto"/>
        </w:rPr>
      </w:pPr>
    </w:p>
    <w:p w14:paraId="25B4C4DC">
      <w:pPr>
        <w:wordWrap w:val="0"/>
        <w:spacing w:line="360" w:lineRule="auto"/>
        <w:ind w:firstLine="420" w:firstLineChars="200"/>
        <w:jc w:val="right"/>
        <w:rPr>
          <w:rFonts w:ascii="宋体" w:hAnsi="宋体" w:eastAsia="宋体" w:cs="Times New Roman"/>
          <w:color w:val="auto"/>
        </w:rPr>
      </w:pP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年</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月</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日</w:t>
      </w:r>
    </w:p>
    <w:p w14:paraId="7B92A231">
      <w:pPr>
        <w:spacing w:line="360" w:lineRule="auto"/>
        <w:rPr>
          <w:rFonts w:ascii="宋体" w:hAnsi="宋体" w:eastAsia="宋体" w:cs="Times New Roman"/>
          <w:color w:val="auto"/>
        </w:rPr>
      </w:pPr>
    </w:p>
    <w:p w14:paraId="37EF4032">
      <w:pPr>
        <w:spacing w:line="360" w:lineRule="auto"/>
        <w:rPr>
          <w:rFonts w:ascii="宋体" w:hAnsi="宋体" w:eastAsia="宋体" w:cs="Times New Roman"/>
          <w:color w:val="auto"/>
        </w:rPr>
      </w:pPr>
      <w:r>
        <w:rPr>
          <w:rFonts w:hint="eastAsia" w:ascii="宋体" w:hAnsi="宋体" w:eastAsia="宋体" w:cs="宋体"/>
          <w:color w:val="auto"/>
        </w:rPr>
        <w:t>注：无授权委托的无需提供。</w:t>
      </w:r>
    </w:p>
    <w:p w14:paraId="03D9B539">
      <w:pPr>
        <w:spacing w:line="360" w:lineRule="auto"/>
        <w:rPr>
          <w:rFonts w:ascii="宋体" w:hAnsi="宋体" w:eastAsia="宋体" w:cs="Times New Roman"/>
          <w:color w:val="auto"/>
        </w:rPr>
      </w:pPr>
    </w:p>
    <w:p w14:paraId="2BA5F935">
      <w:pPr>
        <w:spacing w:line="360" w:lineRule="auto"/>
        <w:rPr>
          <w:rFonts w:ascii="宋体" w:hAnsi="宋体" w:eastAsia="宋体" w:cs="Times New Roman"/>
          <w:color w:val="auto"/>
        </w:rPr>
      </w:pPr>
    </w:p>
    <w:p w14:paraId="68B625D3">
      <w:pPr>
        <w:pStyle w:val="3"/>
        <w:spacing w:before="0" w:after="0" w:line="360" w:lineRule="auto"/>
        <w:jc w:val="center"/>
        <w:rPr>
          <w:rFonts w:ascii="宋体" w:hAnsi="宋体" w:eastAsia="宋体" w:cs="宋体"/>
          <w:color w:val="auto"/>
          <w:sz w:val="21"/>
          <w:szCs w:val="21"/>
        </w:rPr>
      </w:pPr>
      <w:r>
        <w:rPr>
          <w:rFonts w:ascii="宋体" w:hAnsi="宋体" w:eastAsia="宋体" w:cs="Times New Roman"/>
          <w:color w:val="auto"/>
        </w:rPr>
        <w:br w:type="page"/>
      </w:r>
      <w:bookmarkStart w:id="646" w:name="_Toc70424903"/>
      <w:bookmarkStart w:id="647" w:name="_Toc17382"/>
      <w:bookmarkStart w:id="648" w:name="_Toc107396247"/>
      <w:bookmarkStart w:id="649" w:name="_Toc77116720"/>
      <w:bookmarkStart w:id="650" w:name="_Toc77658128"/>
      <w:bookmarkStart w:id="651" w:name="_Toc77504118"/>
      <w:bookmarkStart w:id="652" w:name="_Toc120282475"/>
      <w:bookmarkStart w:id="653" w:name="_Toc164432971"/>
      <w:r>
        <w:rPr>
          <w:rFonts w:hint="eastAsia" w:ascii="宋体" w:hAnsi="宋体" w:eastAsia="宋体" w:cs="宋体"/>
          <w:color w:val="auto"/>
          <w:sz w:val="24"/>
          <w:szCs w:val="24"/>
        </w:rPr>
        <w:t>四、联合体协议书</w:t>
      </w:r>
      <w:bookmarkEnd w:id="646"/>
      <w:r>
        <w:rPr>
          <w:rFonts w:hint="eastAsia" w:ascii="宋体" w:hAnsi="宋体" w:eastAsia="宋体" w:cs="宋体"/>
          <w:color w:val="auto"/>
          <w:sz w:val="24"/>
          <w:szCs w:val="24"/>
        </w:rPr>
        <w:t>（本项目不适用）</w:t>
      </w:r>
      <w:bookmarkEnd w:id="647"/>
      <w:bookmarkEnd w:id="648"/>
      <w:bookmarkEnd w:id="649"/>
      <w:bookmarkEnd w:id="650"/>
      <w:bookmarkEnd w:id="651"/>
      <w:bookmarkEnd w:id="652"/>
      <w:bookmarkEnd w:id="653"/>
    </w:p>
    <w:p w14:paraId="30A93867">
      <w:pPr>
        <w:spacing w:line="360" w:lineRule="auto"/>
        <w:rPr>
          <w:rFonts w:ascii="宋体" w:hAnsi="宋体" w:eastAsia="宋体" w:cs="Times New Roman"/>
          <w:color w:val="auto"/>
        </w:rPr>
      </w:pPr>
    </w:p>
    <w:p w14:paraId="03BA7845">
      <w:pPr>
        <w:spacing w:line="360" w:lineRule="auto"/>
        <w:ind w:firstLine="420" w:firstLineChars="200"/>
        <w:rPr>
          <w:rFonts w:ascii="宋体" w:hAnsi="宋体" w:eastAsia="宋体" w:cs="Times New Roman"/>
          <w:color w:val="auto"/>
        </w:rPr>
      </w:pPr>
      <w:r>
        <w:rPr>
          <w:rFonts w:hint="eastAsia" w:ascii="宋体" w:hAnsi="宋体" w:eastAsia="宋体" w:cs="宋体"/>
          <w:color w:val="auto"/>
          <w:u w:val="single"/>
        </w:rPr>
        <w:t>（所有成员单位名称）</w:t>
      </w:r>
      <w:r>
        <w:rPr>
          <w:rFonts w:hint="eastAsia" w:ascii="宋体" w:hAnsi="宋体" w:eastAsia="宋体" w:cs="宋体"/>
          <w:color w:val="auto"/>
        </w:rPr>
        <w:t>自愿组成</w:t>
      </w:r>
      <w:r>
        <w:rPr>
          <w:rFonts w:hint="eastAsia" w:ascii="宋体" w:hAnsi="宋体" w:eastAsia="宋体" w:cs="宋体"/>
          <w:color w:val="auto"/>
          <w:u w:val="single"/>
        </w:rPr>
        <w:t>（联合体名称）</w:t>
      </w:r>
      <w:r>
        <w:rPr>
          <w:rFonts w:hint="eastAsia" w:ascii="宋体" w:hAnsi="宋体" w:eastAsia="宋体" w:cs="宋体"/>
          <w:color w:val="auto"/>
        </w:rPr>
        <w:t>联合体，共同参加</w:t>
      </w:r>
      <w:r>
        <w:rPr>
          <w:rFonts w:hint="eastAsia" w:ascii="宋体" w:hAnsi="宋体" w:eastAsia="宋体" w:cs="宋体"/>
          <w:color w:val="auto"/>
          <w:u w:val="single"/>
        </w:rPr>
        <w:t>（项目名称）</w:t>
      </w:r>
      <w:r>
        <w:rPr>
          <w:rFonts w:hint="eastAsia" w:ascii="宋体" w:hAnsi="宋体" w:eastAsia="宋体" w:cs="宋体"/>
          <w:color w:val="auto"/>
        </w:rPr>
        <w:t>招标项目投标。现就组成联合体事宜订立如下协议。</w:t>
      </w:r>
    </w:p>
    <w:p w14:paraId="151A2B69">
      <w:pPr>
        <w:spacing w:line="360" w:lineRule="auto"/>
        <w:ind w:firstLine="420" w:firstLineChars="200"/>
        <w:rPr>
          <w:rFonts w:ascii="宋体" w:hAnsi="宋体" w:eastAsia="宋体" w:cs="Times New Roman"/>
          <w:color w:val="auto"/>
        </w:rPr>
      </w:pPr>
      <w:r>
        <w:rPr>
          <w:rFonts w:ascii="宋体" w:hAnsi="宋体" w:eastAsia="宋体" w:cs="宋体"/>
          <w:color w:val="auto"/>
        </w:rPr>
        <w:t>1.</w:t>
      </w:r>
      <w:r>
        <w:rPr>
          <w:rFonts w:hint="eastAsia" w:ascii="宋体" w:hAnsi="宋体" w:eastAsia="宋体" w:cs="宋体"/>
          <w:color w:val="auto"/>
          <w:u w:val="single"/>
        </w:rPr>
        <w:t>（某成员单位名称）</w:t>
      </w:r>
      <w:r>
        <w:rPr>
          <w:rFonts w:hint="eastAsia" w:ascii="宋体" w:hAnsi="宋体" w:eastAsia="宋体" w:cs="宋体"/>
          <w:color w:val="auto"/>
        </w:rPr>
        <w:t>为</w:t>
      </w:r>
      <w:r>
        <w:rPr>
          <w:rFonts w:hint="eastAsia" w:ascii="宋体" w:hAnsi="宋体" w:eastAsia="宋体" w:cs="宋体"/>
          <w:color w:val="auto"/>
          <w:u w:val="single"/>
        </w:rPr>
        <w:t>（联合体名称）</w:t>
      </w:r>
      <w:r>
        <w:rPr>
          <w:rFonts w:hint="eastAsia" w:ascii="宋体" w:hAnsi="宋体" w:eastAsia="宋体" w:cs="宋体"/>
          <w:color w:val="auto"/>
        </w:rPr>
        <w:t>牵头人。</w:t>
      </w:r>
    </w:p>
    <w:p w14:paraId="52AA02D3">
      <w:pPr>
        <w:spacing w:line="360" w:lineRule="auto"/>
        <w:ind w:firstLine="420" w:firstLineChars="200"/>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联合体各成员授权牵头人代表联合体参加投标活动，签署文件，递交和接收相关的资料、信息及指示，进行合同谈判活动，负责合同实施阶段的组织和协调工作，以及处理与本招标项目有关的一切事宜。</w:t>
      </w:r>
    </w:p>
    <w:p w14:paraId="5005B611">
      <w:pPr>
        <w:spacing w:line="360"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联合体牵头人在本项目中签署的一切文件和处理的一切事宜，联合体各成员均予以承认。联合体各成员将严格按照招标文件、投标文件和合同的要求全面履行义务，并向采购人承担连带责任。</w:t>
      </w:r>
    </w:p>
    <w:p w14:paraId="35782456">
      <w:pPr>
        <w:spacing w:line="360" w:lineRule="auto"/>
        <w:ind w:firstLine="420" w:firstLineChars="200"/>
        <w:rPr>
          <w:rFonts w:ascii="宋体" w:hAnsi="宋体" w:eastAsia="宋体" w:cs="Times New Roman"/>
          <w:color w:val="auto"/>
        </w:rPr>
      </w:pPr>
      <w:r>
        <w:rPr>
          <w:rFonts w:ascii="宋体" w:hAnsi="宋体" w:eastAsia="宋体" w:cs="宋体"/>
          <w:color w:val="auto"/>
        </w:rPr>
        <w:t>4.</w:t>
      </w:r>
      <w:r>
        <w:rPr>
          <w:rFonts w:hint="eastAsia" w:ascii="宋体" w:hAnsi="宋体" w:eastAsia="宋体" w:cs="宋体"/>
          <w:color w:val="auto"/>
        </w:rPr>
        <w:t>联合体各方承诺不以自己名义单独或参加其他联合体在本招标项目中投标。</w:t>
      </w:r>
    </w:p>
    <w:p w14:paraId="7FFD08CF">
      <w:pPr>
        <w:spacing w:line="360" w:lineRule="auto"/>
        <w:ind w:firstLine="420" w:firstLineChars="200"/>
        <w:rPr>
          <w:rFonts w:ascii="宋体" w:hAnsi="宋体" w:eastAsia="宋体" w:cs="Times New Roman"/>
          <w:color w:val="auto"/>
        </w:rPr>
      </w:pPr>
      <w:r>
        <w:rPr>
          <w:rFonts w:ascii="宋体" w:hAnsi="宋体" w:eastAsia="宋体" w:cs="宋体"/>
          <w:color w:val="auto"/>
        </w:rPr>
        <w:t>5.</w:t>
      </w:r>
      <w:r>
        <w:rPr>
          <w:rFonts w:hint="eastAsia" w:ascii="宋体" w:hAnsi="宋体" w:eastAsia="宋体" w:cs="宋体"/>
          <w:color w:val="auto"/>
        </w:rPr>
        <w:t>联合体各成员单位内部的职责分工如下：   。</w:t>
      </w:r>
    </w:p>
    <w:p w14:paraId="19381F4D">
      <w:pPr>
        <w:spacing w:line="360" w:lineRule="auto"/>
        <w:ind w:firstLine="420" w:firstLineChars="200"/>
        <w:rPr>
          <w:rFonts w:ascii="宋体" w:hAnsi="宋体" w:eastAsia="宋体" w:cs="Times New Roman"/>
          <w:color w:val="auto"/>
        </w:rPr>
      </w:pPr>
      <w:r>
        <w:rPr>
          <w:rFonts w:ascii="宋体" w:hAnsi="宋体" w:eastAsia="宋体" w:cs="宋体"/>
          <w:color w:val="auto"/>
        </w:rPr>
        <w:t>6.</w:t>
      </w:r>
      <w:r>
        <w:rPr>
          <w:rFonts w:hint="eastAsia" w:ascii="宋体" w:hAnsi="宋体" w:eastAsia="宋体" w:cs="宋体"/>
          <w:color w:val="auto"/>
        </w:rPr>
        <w:t>本协议书自所有成员单位法定代表人（单位负责人）或其授权的代理人签字并加电子签章之日起生效，合同履行完毕后自动失效。</w:t>
      </w:r>
    </w:p>
    <w:p w14:paraId="3A6FB8AC">
      <w:pPr>
        <w:spacing w:line="360" w:lineRule="auto"/>
        <w:ind w:firstLine="420" w:firstLineChars="200"/>
        <w:rPr>
          <w:rFonts w:ascii="宋体" w:hAnsi="宋体" w:eastAsia="宋体" w:cs="Times New Roman"/>
          <w:color w:val="auto"/>
        </w:rPr>
      </w:pPr>
      <w:r>
        <w:rPr>
          <w:rFonts w:ascii="宋体" w:hAnsi="宋体" w:eastAsia="宋体" w:cs="宋体"/>
          <w:color w:val="auto"/>
        </w:rPr>
        <w:t>7.</w:t>
      </w:r>
      <w:r>
        <w:rPr>
          <w:rFonts w:hint="eastAsia" w:ascii="宋体" w:hAnsi="宋体" w:eastAsia="宋体" w:cs="宋体"/>
          <w:color w:val="auto"/>
        </w:rPr>
        <w:t>本协议书一式份，联合体成员和采购人各执一份。</w:t>
      </w:r>
    </w:p>
    <w:p w14:paraId="5BB3A304">
      <w:pPr>
        <w:spacing w:line="360" w:lineRule="auto"/>
        <w:ind w:firstLine="400" w:firstLineChars="200"/>
        <w:rPr>
          <w:rFonts w:ascii="宋体" w:hAnsi="宋体" w:eastAsia="宋体" w:cs="Times New Roman"/>
          <w:color w:val="auto"/>
          <w:sz w:val="20"/>
          <w:szCs w:val="20"/>
        </w:rPr>
      </w:pPr>
      <w:r>
        <w:rPr>
          <w:rFonts w:hint="eastAsia" w:ascii="宋体" w:hAnsi="宋体" w:eastAsia="宋体" w:cs="宋体"/>
          <w:color w:val="auto"/>
          <w:sz w:val="20"/>
          <w:szCs w:val="20"/>
        </w:rPr>
        <w:t>（注：本协议书由委托代理人签字的，应附授权委托书。）</w:t>
      </w:r>
    </w:p>
    <w:p w14:paraId="25713B6B">
      <w:pPr>
        <w:spacing w:line="360" w:lineRule="auto"/>
        <w:rPr>
          <w:rFonts w:ascii="宋体" w:hAnsi="宋体" w:eastAsia="宋体" w:cs="Times New Roman"/>
          <w:color w:val="auto"/>
        </w:rPr>
      </w:pPr>
    </w:p>
    <w:p w14:paraId="6190578D">
      <w:pPr>
        <w:spacing w:line="360" w:lineRule="auto"/>
        <w:rPr>
          <w:rFonts w:ascii="宋体" w:hAnsi="宋体" w:eastAsia="宋体" w:cs="Times New Roman"/>
          <w:color w:val="auto"/>
        </w:rPr>
      </w:pPr>
    </w:p>
    <w:p w14:paraId="79E48A71">
      <w:pPr>
        <w:spacing w:line="360" w:lineRule="auto"/>
        <w:rPr>
          <w:rFonts w:ascii="宋体" w:hAnsi="宋体" w:eastAsia="宋体"/>
          <w:color w:val="auto"/>
        </w:rPr>
      </w:pPr>
      <w:r>
        <w:rPr>
          <w:rFonts w:hint="eastAsia" w:ascii="宋体" w:hAnsi="宋体" w:eastAsia="宋体"/>
          <w:color w:val="auto"/>
        </w:rPr>
        <w:t>牵头人名称：</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（盖单位章）</w:t>
      </w:r>
    </w:p>
    <w:p w14:paraId="6CB7D406">
      <w:pPr>
        <w:spacing w:line="360" w:lineRule="auto"/>
        <w:rPr>
          <w:rFonts w:ascii="宋体" w:hAnsi="宋体" w:eastAsia="宋体"/>
          <w:color w:val="auto"/>
        </w:rPr>
      </w:pPr>
      <w:r>
        <w:rPr>
          <w:rFonts w:hint="eastAsia" w:ascii="宋体" w:hAnsi="宋体" w:eastAsia="宋体"/>
          <w:color w:val="auto"/>
        </w:rPr>
        <w:t>法定代表人（单位负责人）或其授权的代理人：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（签字）</w:t>
      </w:r>
    </w:p>
    <w:p w14:paraId="0D787765">
      <w:pPr>
        <w:spacing w:line="360" w:lineRule="auto"/>
        <w:rPr>
          <w:rFonts w:ascii="宋体" w:hAnsi="宋体" w:eastAsia="宋体"/>
          <w:color w:val="auto"/>
        </w:rPr>
      </w:pPr>
    </w:p>
    <w:p w14:paraId="68C4DA34">
      <w:pPr>
        <w:spacing w:line="360" w:lineRule="auto"/>
        <w:rPr>
          <w:rFonts w:ascii="宋体" w:hAnsi="宋体" w:eastAsia="宋体"/>
          <w:color w:val="auto"/>
        </w:rPr>
      </w:pPr>
      <w:r>
        <w:rPr>
          <w:rFonts w:hint="eastAsia" w:ascii="宋体" w:hAnsi="宋体" w:eastAsia="宋体"/>
          <w:color w:val="auto"/>
        </w:rPr>
        <w:t>成员一名称：</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（盖单位章）</w:t>
      </w:r>
    </w:p>
    <w:p w14:paraId="1C2A11E8">
      <w:pPr>
        <w:spacing w:line="360" w:lineRule="auto"/>
        <w:rPr>
          <w:rFonts w:ascii="宋体" w:hAnsi="宋体" w:eastAsia="宋体"/>
          <w:color w:val="auto"/>
        </w:rPr>
      </w:pPr>
      <w:r>
        <w:rPr>
          <w:rFonts w:hint="eastAsia" w:ascii="宋体" w:hAnsi="宋体" w:eastAsia="宋体"/>
          <w:color w:val="auto"/>
        </w:rPr>
        <w:t>法定代表人（单位负责人）或其授权的代理人：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（签字）</w:t>
      </w:r>
    </w:p>
    <w:p w14:paraId="7F157465">
      <w:pPr>
        <w:spacing w:line="360" w:lineRule="auto"/>
        <w:rPr>
          <w:rFonts w:ascii="宋体" w:hAnsi="宋体" w:eastAsia="宋体"/>
          <w:color w:val="auto"/>
        </w:rPr>
      </w:pPr>
    </w:p>
    <w:p w14:paraId="18A971B8">
      <w:pPr>
        <w:spacing w:line="360" w:lineRule="auto"/>
        <w:rPr>
          <w:rFonts w:ascii="宋体" w:hAnsi="宋体" w:eastAsia="宋体"/>
          <w:color w:val="auto"/>
        </w:rPr>
      </w:pPr>
      <w:r>
        <w:rPr>
          <w:rFonts w:hint="eastAsia" w:ascii="宋体" w:hAnsi="宋体" w:eastAsia="宋体"/>
          <w:color w:val="auto"/>
        </w:rPr>
        <w:t>成员二名称：</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（盖单位章）</w:t>
      </w:r>
    </w:p>
    <w:p w14:paraId="211FF0A2">
      <w:pPr>
        <w:spacing w:line="360" w:lineRule="auto"/>
        <w:rPr>
          <w:rFonts w:ascii="宋体" w:hAnsi="宋体" w:eastAsia="宋体"/>
          <w:color w:val="auto"/>
        </w:rPr>
      </w:pPr>
      <w:r>
        <w:rPr>
          <w:rFonts w:hint="eastAsia" w:ascii="宋体" w:hAnsi="宋体" w:eastAsia="宋体"/>
          <w:color w:val="auto"/>
        </w:rPr>
        <w:t>法定代表人（单位负责人）或其授权的代理人：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（签字）</w:t>
      </w:r>
    </w:p>
    <w:p w14:paraId="2A358165">
      <w:pPr>
        <w:spacing w:line="360" w:lineRule="auto"/>
        <w:rPr>
          <w:rFonts w:ascii="宋体" w:hAnsi="宋体" w:eastAsia="宋体"/>
          <w:color w:val="auto"/>
        </w:rPr>
      </w:pPr>
    </w:p>
    <w:p w14:paraId="3DD86A4F">
      <w:pPr>
        <w:spacing w:line="360" w:lineRule="auto"/>
        <w:rPr>
          <w:rFonts w:ascii="宋体" w:hAnsi="宋体" w:eastAsia="宋体"/>
          <w:color w:val="auto"/>
        </w:rPr>
      </w:pPr>
      <w:r>
        <w:rPr>
          <w:rFonts w:ascii="宋体" w:hAnsi="宋体" w:eastAsia="宋体"/>
          <w:color w:val="auto"/>
        </w:rPr>
        <w:t>……</w:t>
      </w:r>
    </w:p>
    <w:p w14:paraId="3F47DEBA">
      <w:pPr>
        <w:spacing w:line="360" w:lineRule="auto"/>
        <w:rPr>
          <w:rFonts w:ascii="宋体" w:hAnsi="宋体" w:eastAsia="宋体"/>
          <w:color w:val="auto"/>
          <w:u w:val="single"/>
        </w:rPr>
      </w:pPr>
    </w:p>
    <w:p w14:paraId="473C9772">
      <w:pPr>
        <w:spacing w:line="360" w:lineRule="auto"/>
        <w:rPr>
          <w:rFonts w:ascii="宋体" w:hAnsi="宋体" w:eastAsia="宋体" w:cs="Times New Roman"/>
          <w:color w:val="auto"/>
        </w:rPr>
      </w:pP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年</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月</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日</w:t>
      </w:r>
    </w:p>
    <w:p w14:paraId="7292D1DC">
      <w:pPr>
        <w:spacing w:line="360" w:lineRule="auto"/>
        <w:rPr>
          <w:rFonts w:ascii="宋体" w:hAnsi="宋体" w:eastAsia="宋体" w:cs="Times New Roman"/>
          <w:color w:val="auto"/>
        </w:rPr>
      </w:pPr>
    </w:p>
    <w:p w14:paraId="23143682">
      <w:pPr>
        <w:spacing w:line="360" w:lineRule="auto"/>
        <w:rPr>
          <w:rFonts w:ascii="宋体" w:hAnsi="宋体" w:eastAsia="宋体" w:cs="Times New Roman"/>
          <w:color w:val="auto"/>
        </w:rPr>
      </w:pPr>
    </w:p>
    <w:p w14:paraId="2D504915">
      <w:pPr>
        <w:pStyle w:val="3"/>
        <w:spacing w:before="0" w:after="0" w:line="360" w:lineRule="auto"/>
        <w:jc w:val="center"/>
        <w:rPr>
          <w:rFonts w:ascii="宋体" w:hAnsi="宋体" w:eastAsia="宋体" w:cs="宋体"/>
          <w:color w:val="auto"/>
          <w:sz w:val="21"/>
          <w:szCs w:val="21"/>
        </w:rPr>
      </w:pPr>
      <w:r>
        <w:rPr>
          <w:rFonts w:ascii="宋体" w:hAnsi="宋体" w:eastAsia="宋体" w:cs="Times New Roman"/>
          <w:color w:val="auto"/>
        </w:rPr>
        <w:br w:type="page"/>
      </w:r>
      <w:bookmarkStart w:id="654" w:name="_Toc77658129"/>
      <w:bookmarkStart w:id="655" w:name="_Toc120282476"/>
      <w:bookmarkStart w:id="656" w:name="_Toc8451"/>
      <w:bookmarkStart w:id="657" w:name="_Toc70424904"/>
      <w:bookmarkStart w:id="658" w:name="_Toc107396248"/>
      <w:bookmarkStart w:id="659" w:name="_Toc77116721"/>
      <w:bookmarkStart w:id="660" w:name="_Toc164432972"/>
      <w:bookmarkStart w:id="661" w:name="_Toc77504119"/>
      <w:r>
        <w:rPr>
          <w:rFonts w:hint="eastAsia" w:ascii="宋体" w:hAnsi="宋体" w:eastAsia="宋体" w:cs="宋体"/>
          <w:color w:val="auto"/>
          <w:sz w:val="24"/>
          <w:szCs w:val="24"/>
        </w:rPr>
        <w:t>五、投标保证金</w:t>
      </w:r>
      <w:bookmarkEnd w:id="654"/>
      <w:bookmarkEnd w:id="655"/>
      <w:bookmarkEnd w:id="656"/>
      <w:bookmarkEnd w:id="657"/>
      <w:bookmarkEnd w:id="658"/>
      <w:bookmarkEnd w:id="659"/>
      <w:bookmarkEnd w:id="660"/>
      <w:bookmarkEnd w:id="661"/>
    </w:p>
    <w:p w14:paraId="1620BBD1">
      <w:pPr>
        <w:spacing w:line="360" w:lineRule="auto"/>
        <w:rPr>
          <w:rFonts w:ascii="宋体" w:hAnsi="宋体" w:eastAsia="宋体" w:cs="Times New Roman"/>
          <w:color w:val="auto"/>
        </w:rPr>
      </w:pPr>
    </w:p>
    <w:p w14:paraId="4C04D835">
      <w:pPr>
        <w:spacing w:line="360" w:lineRule="auto"/>
        <w:jc w:val="center"/>
        <w:rPr>
          <w:rFonts w:ascii="宋体" w:hAnsi="宋体" w:eastAsia="宋体" w:cs="Times New Roman"/>
          <w:color w:val="auto"/>
        </w:rPr>
      </w:pPr>
      <w:r>
        <w:rPr>
          <w:rFonts w:hint="eastAsia" w:ascii="宋体" w:hAnsi="宋体" w:eastAsia="宋体"/>
          <w:color w:val="auto"/>
          <w:lang w:val="en-US" w:eastAsia="zh-CN"/>
        </w:rPr>
        <w:t>不递交</w:t>
      </w:r>
      <w:r>
        <w:rPr>
          <w:rFonts w:hint="eastAsia" w:ascii="宋体" w:hAnsi="宋体" w:eastAsia="宋体"/>
          <w:color w:val="auto"/>
        </w:rPr>
        <w:t>。</w:t>
      </w:r>
    </w:p>
    <w:p w14:paraId="210E7693">
      <w:pPr>
        <w:spacing w:line="360" w:lineRule="auto"/>
        <w:rPr>
          <w:rFonts w:ascii="宋体" w:hAnsi="宋体" w:eastAsia="宋体" w:cs="Times New Roman"/>
          <w:color w:val="auto"/>
        </w:rPr>
      </w:pPr>
    </w:p>
    <w:p w14:paraId="05218618">
      <w:pPr>
        <w:spacing w:line="360" w:lineRule="auto"/>
        <w:rPr>
          <w:rFonts w:ascii="宋体" w:hAnsi="宋体" w:eastAsia="宋体" w:cs="Times New Roman"/>
          <w:color w:val="auto"/>
        </w:rPr>
      </w:pPr>
    </w:p>
    <w:p w14:paraId="279D4C72">
      <w:pPr>
        <w:pStyle w:val="3"/>
        <w:spacing w:before="0" w:after="0" w:line="360" w:lineRule="auto"/>
        <w:jc w:val="center"/>
        <w:rPr>
          <w:rFonts w:ascii="宋体" w:hAnsi="宋体" w:eastAsia="宋体" w:cs="宋体"/>
          <w:color w:val="auto"/>
          <w:sz w:val="21"/>
          <w:szCs w:val="21"/>
        </w:rPr>
      </w:pPr>
      <w:r>
        <w:rPr>
          <w:rFonts w:ascii="宋体" w:hAnsi="宋体" w:eastAsia="宋体" w:cs="Times New Roman"/>
          <w:color w:val="auto"/>
        </w:rPr>
        <w:br w:type="page"/>
      </w:r>
      <w:bookmarkStart w:id="662" w:name="_Toc77658130"/>
      <w:bookmarkStart w:id="663" w:name="_Toc17820"/>
      <w:bookmarkStart w:id="664" w:name="_Toc70424905"/>
      <w:bookmarkStart w:id="665" w:name="_Toc77504120"/>
      <w:bookmarkStart w:id="666" w:name="_Toc164432973"/>
      <w:bookmarkStart w:id="667" w:name="_Toc120282477"/>
      <w:bookmarkStart w:id="668" w:name="_Toc77116722"/>
      <w:bookmarkStart w:id="669" w:name="_Toc107396249"/>
      <w:r>
        <w:rPr>
          <w:rFonts w:hint="eastAsia" w:ascii="宋体" w:hAnsi="宋体" w:eastAsia="宋体" w:cs="宋体"/>
          <w:color w:val="auto"/>
          <w:sz w:val="24"/>
          <w:szCs w:val="24"/>
        </w:rPr>
        <w:t>六、商务偏差表</w:t>
      </w:r>
      <w:bookmarkEnd w:id="662"/>
      <w:bookmarkEnd w:id="663"/>
      <w:bookmarkEnd w:id="664"/>
      <w:bookmarkEnd w:id="665"/>
      <w:bookmarkEnd w:id="666"/>
      <w:bookmarkEnd w:id="667"/>
      <w:bookmarkEnd w:id="668"/>
      <w:bookmarkEnd w:id="669"/>
    </w:p>
    <w:p w14:paraId="74E5E4E3">
      <w:pPr>
        <w:spacing w:line="360" w:lineRule="auto"/>
        <w:rPr>
          <w:rFonts w:ascii="宋体" w:hAnsi="宋体" w:eastAsia="宋体" w:cs="Times New Roman"/>
          <w:color w:val="auto"/>
        </w:rPr>
      </w:pPr>
    </w:p>
    <w:tbl>
      <w:tblPr>
        <w:tblStyle w:val="39"/>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1"/>
        <w:gridCol w:w="2552"/>
        <w:gridCol w:w="3565"/>
      </w:tblGrid>
      <w:tr w14:paraId="2F5C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49855CE0">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序号</w:t>
            </w:r>
          </w:p>
        </w:tc>
        <w:tc>
          <w:tcPr>
            <w:tcW w:w="2551" w:type="dxa"/>
            <w:vAlign w:val="center"/>
          </w:tcPr>
          <w:p w14:paraId="325451B3">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招标文件章节及条款号</w:t>
            </w:r>
          </w:p>
        </w:tc>
        <w:tc>
          <w:tcPr>
            <w:tcW w:w="2552" w:type="dxa"/>
            <w:vAlign w:val="center"/>
          </w:tcPr>
          <w:p w14:paraId="2D254CA4">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投标文件章节及条款号</w:t>
            </w:r>
          </w:p>
        </w:tc>
        <w:tc>
          <w:tcPr>
            <w:tcW w:w="3565" w:type="dxa"/>
            <w:vAlign w:val="center"/>
          </w:tcPr>
          <w:p w14:paraId="2CDD01A0">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偏差说明</w:t>
            </w:r>
          </w:p>
        </w:tc>
      </w:tr>
      <w:tr w14:paraId="6EED7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C4EFF47">
            <w:pPr>
              <w:spacing w:before="120" w:beforeLines="50" w:line="360" w:lineRule="auto"/>
              <w:jc w:val="center"/>
              <w:rPr>
                <w:rFonts w:ascii="宋体" w:hAnsi="宋体" w:eastAsia="宋体" w:cs="宋体"/>
                <w:color w:val="auto"/>
              </w:rPr>
            </w:pPr>
            <w:r>
              <w:rPr>
                <w:rFonts w:ascii="宋体" w:hAnsi="宋体" w:eastAsia="宋体" w:cs="宋体"/>
                <w:color w:val="auto"/>
              </w:rPr>
              <w:t>1</w:t>
            </w:r>
          </w:p>
        </w:tc>
        <w:tc>
          <w:tcPr>
            <w:tcW w:w="2551" w:type="dxa"/>
            <w:vAlign w:val="center"/>
          </w:tcPr>
          <w:p w14:paraId="3842EB57">
            <w:pPr>
              <w:spacing w:before="120" w:beforeLines="50" w:line="360" w:lineRule="auto"/>
              <w:jc w:val="center"/>
              <w:rPr>
                <w:rFonts w:ascii="宋体" w:hAnsi="宋体" w:eastAsia="宋体" w:cs="宋体"/>
                <w:color w:val="auto"/>
              </w:rPr>
            </w:pPr>
          </w:p>
        </w:tc>
        <w:tc>
          <w:tcPr>
            <w:tcW w:w="2552" w:type="dxa"/>
            <w:vAlign w:val="center"/>
          </w:tcPr>
          <w:p w14:paraId="4E0CED24">
            <w:pPr>
              <w:spacing w:before="120" w:beforeLines="50" w:line="360" w:lineRule="auto"/>
              <w:jc w:val="center"/>
              <w:rPr>
                <w:rFonts w:ascii="宋体" w:hAnsi="宋体" w:eastAsia="宋体" w:cs="宋体"/>
                <w:color w:val="auto"/>
              </w:rPr>
            </w:pPr>
          </w:p>
        </w:tc>
        <w:tc>
          <w:tcPr>
            <w:tcW w:w="3565" w:type="dxa"/>
            <w:vAlign w:val="center"/>
          </w:tcPr>
          <w:p w14:paraId="79EB1B9E">
            <w:pPr>
              <w:spacing w:before="120" w:beforeLines="50" w:line="360" w:lineRule="auto"/>
              <w:jc w:val="center"/>
              <w:rPr>
                <w:rFonts w:ascii="宋体" w:hAnsi="宋体" w:eastAsia="宋体" w:cs="宋体"/>
                <w:color w:val="auto"/>
              </w:rPr>
            </w:pPr>
          </w:p>
        </w:tc>
      </w:tr>
      <w:tr w14:paraId="1D8A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4CB5CB3">
            <w:pPr>
              <w:spacing w:before="120" w:beforeLines="50" w:line="360" w:lineRule="auto"/>
              <w:jc w:val="center"/>
              <w:rPr>
                <w:rFonts w:ascii="宋体" w:hAnsi="宋体" w:eastAsia="宋体" w:cs="宋体"/>
                <w:color w:val="auto"/>
              </w:rPr>
            </w:pPr>
            <w:r>
              <w:rPr>
                <w:rFonts w:ascii="宋体" w:hAnsi="宋体" w:eastAsia="宋体" w:cs="宋体"/>
                <w:color w:val="auto"/>
              </w:rPr>
              <w:t>2</w:t>
            </w:r>
          </w:p>
        </w:tc>
        <w:tc>
          <w:tcPr>
            <w:tcW w:w="2551" w:type="dxa"/>
            <w:vAlign w:val="center"/>
          </w:tcPr>
          <w:p w14:paraId="0E068A57">
            <w:pPr>
              <w:spacing w:before="120" w:beforeLines="50" w:line="360" w:lineRule="auto"/>
              <w:jc w:val="center"/>
              <w:rPr>
                <w:rFonts w:ascii="宋体" w:hAnsi="宋体" w:eastAsia="宋体" w:cs="宋体"/>
                <w:color w:val="auto"/>
              </w:rPr>
            </w:pPr>
          </w:p>
        </w:tc>
        <w:tc>
          <w:tcPr>
            <w:tcW w:w="2552" w:type="dxa"/>
            <w:vAlign w:val="center"/>
          </w:tcPr>
          <w:p w14:paraId="0E381FC3">
            <w:pPr>
              <w:spacing w:before="120" w:beforeLines="50" w:line="360" w:lineRule="auto"/>
              <w:jc w:val="center"/>
              <w:rPr>
                <w:rFonts w:ascii="宋体" w:hAnsi="宋体" w:eastAsia="宋体" w:cs="宋体"/>
                <w:color w:val="auto"/>
              </w:rPr>
            </w:pPr>
          </w:p>
        </w:tc>
        <w:tc>
          <w:tcPr>
            <w:tcW w:w="3565" w:type="dxa"/>
            <w:vAlign w:val="center"/>
          </w:tcPr>
          <w:p w14:paraId="5185A792">
            <w:pPr>
              <w:spacing w:before="120" w:beforeLines="50" w:line="360" w:lineRule="auto"/>
              <w:jc w:val="center"/>
              <w:rPr>
                <w:rFonts w:ascii="宋体" w:hAnsi="宋体" w:eastAsia="宋体" w:cs="宋体"/>
                <w:color w:val="auto"/>
              </w:rPr>
            </w:pPr>
          </w:p>
        </w:tc>
      </w:tr>
      <w:tr w14:paraId="2435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34F0118A">
            <w:pPr>
              <w:spacing w:before="120" w:beforeLines="50" w:line="360" w:lineRule="auto"/>
              <w:jc w:val="center"/>
              <w:rPr>
                <w:rFonts w:ascii="宋体" w:hAnsi="宋体" w:eastAsia="宋体" w:cs="宋体"/>
                <w:color w:val="auto"/>
              </w:rPr>
            </w:pPr>
            <w:r>
              <w:rPr>
                <w:rFonts w:ascii="宋体" w:hAnsi="宋体" w:eastAsia="宋体" w:cs="宋体"/>
                <w:color w:val="auto"/>
              </w:rPr>
              <w:t>3</w:t>
            </w:r>
          </w:p>
        </w:tc>
        <w:tc>
          <w:tcPr>
            <w:tcW w:w="2551" w:type="dxa"/>
            <w:vAlign w:val="center"/>
          </w:tcPr>
          <w:p w14:paraId="18301330">
            <w:pPr>
              <w:spacing w:before="120" w:beforeLines="50" w:line="360" w:lineRule="auto"/>
              <w:jc w:val="center"/>
              <w:rPr>
                <w:rFonts w:ascii="宋体" w:hAnsi="宋体" w:eastAsia="宋体" w:cs="宋体"/>
                <w:color w:val="auto"/>
              </w:rPr>
            </w:pPr>
          </w:p>
        </w:tc>
        <w:tc>
          <w:tcPr>
            <w:tcW w:w="2552" w:type="dxa"/>
            <w:vAlign w:val="center"/>
          </w:tcPr>
          <w:p w14:paraId="03D72414">
            <w:pPr>
              <w:spacing w:before="120" w:beforeLines="50" w:line="360" w:lineRule="auto"/>
              <w:jc w:val="center"/>
              <w:rPr>
                <w:rFonts w:ascii="宋体" w:hAnsi="宋体" w:eastAsia="宋体" w:cs="宋体"/>
                <w:color w:val="auto"/>
              </w:rPr>
            </w:pPr>
          </w:p>
        </w:tc>
        <w:tc>
          <w:tcPr>
            <w:tcW w:w="3565" w:type="dxa"/>
            <w:vAlign w:val="center"/>
          </w:tcPr>
          <w:p w14:paraId="5AE380A2">
            <w:pPr>
              <w:spacing w:before="120" w:beforeLines="50" w:line="360" w:lineRule="auto"/>
              <w:jc w:val="center"/>
              <w:rPr>
                <w:rFonts w:ascii="宋体" w:hAnsi="宋体" w:eastAsia="宋体" w:cs="宋体"/>
                <w:color w:val="auto"/>
              </w:rPr>
            </w:pPr>
          </w:p>
        </w:tc>
      </w:tr>
      <w:tr w14:paraId="59811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344A5C28">
            <w:pPr>
              <w:spacing w:before="120" w:beforeLines="50" w:line="360" w:lineRule="auto"/>
              <w:jc w:val="center"/>
              <w:rPr>
                <w:rFonts w:ascii="宋体" w:hAnsi="宋体" w:eastAsia="宋体" w:cs="宋体"/>
                <w:color w:val="auto"/>
              </w:rPr>
            </w:pPr>
            <w:r>
              <w:rPr>
                <w:rFonts w:ascii="宋体" w:hAnsi="宋体" w:eastAsia="宋体" w:cs="宋体"/>
                <w:color w:val="auto"/>
              </w:rPr>
              <w:t>4</w:t>
            </w:r>
          </w:p>
        </w:tc>
        <w:tc>
          <w:tcPr>
            <w:tcW w:w="2551" w:type="dxa"/>
            <w:vAlign w:val="center"/>
          </w:tcPr>
          <w:p w14:paraId="4E30E4FE">
            <w:pPr>
              <w:spacing w:before="120" w:beforeLines="50" w:line="360" w:lineRule="auto"/>
              <w:jc w:val="center"/>
              <w:rPr>
                <w:rFonts w:ascii="宋体" w:hAnsi="宋体" w:eastAsia="宋体" w:cs="宋体"/>
                <w:color w:val="auto"/>
              </w:rPr>
            </w:pPr>
          </w:p>
        </w:tc>
        <w:tc>
          <w:tcPr>
            <w:tcW w:w="2552" w:type="dxa"/>
            <w:vAlign w:val="center"/>
          </w:tcPr>
          <w:p w14:paraId="6CEA254C">
            <w:pPr>
              <w:spacing w:before="120" w:beforeLines="50" w:line="360" w:lineRule="auto"/>
              <w:jc w:val="center"/>
              <w:rPr>
                <w:rFonts w:ascii="宋体" w:hAnsi="宋体" w:eastAsia="宋体" w:cs="宋体"/>
                <w:color w:val="auto"/>
              </w:rPr>
            </w:pPr>
          </w:p>
        </w:tc>
        <w:tc>
          <w:tcPr>
            <w:tcW w:w="3565" w:type="dxa"/>
            <w:vAlign w:val="center"/>
          </w:tcPr>
          <w:p w14:paraId="2D1E75B3">
            <w:pPr>
              <w:spacing w:before="120" w:beforeLines="50" w:line="360" w:lineRule="auto"/>
              <w:jc w:val="center"/>
              <w:rPr>
                <w:rFonts w:ascii="宋体" w:hAnsi="宋体" w:eastAsia="宋体" w:cs="宋体"/>
                <w:color w:val="auto"/>
              </w:rPr>
            </w:pPr>
          </w:p>
        </w:tc>
      </w:tr>
      <w:tr w14:paraId="5F76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0EA5F2C">
            <w:pPr>
              <w:spacing w:before="120" w:beforeLines="50" w:line="360" w:lineRule="auto"/>
              <w:jc w:val="center"/>
              <w:rPr>
                <w:rFonts w:ascii="宋体" w:hAnsi="宋体" w:eastAsia="宋体" w:cs="宋体"/>
                <w:color w:val="auto"/>
              </w:rPr>
            </w:pPr>
            <w:r>
              <w:rPr>
                <w:rFonts w:ascii="宋体" w:hAnsi="宋体" w:eastAsia="宋体" w:cs="宋体"/>
                <w:color w:val="auto"/>
              </w:rPr>
              <w:t>5</w:t>
            </w:r>
          </w:p>
        </w:tc>
        <w:tc>
          <w:tcPr>
            <w:tcW w:w="2551" w:type="dxa"/>
            <w:vAlign w:val="center"/>
          </w:tcPr>
          <w:p w14:paraId="0E8B5252">
            <w:pPr>
              <w:spacing w:before="120" w:beforeLines="50" w:line="360" w:lineRule="auto"/>
              <w:jc w:val="center"/>
              <w:rPr>
                <w:rFonts w:ascii="宋体" w:hAnsi="宋体" w:eastAsia="宋体" w:cs="宋体"/>
                <w:color w:val="auto"/>
              </w:rPr>
            </w:pPr>
          </w:p>
        </w:tc>
        <w:tc>
          <w:tcPr>
            <w:tcW w:w="2552" w:type="dxa"/>
            <w:vAlign w:val="center"/>
          </w:tcPr>
          <w:p w14:paraId="41A677F2">
            <w:pPr>
              <w:spacing w:before="120" w:beforeLines="50" w:line="360" w:lineRule="auto"/>
              <w:jc w:val="center"/>
              <w:rPr>
                <w:rFonts w:ascii="宋体" w:hAnsi="宋体" w:eastAsia="宋体" w:cs="宋体"/>
                <w:color w:val="auto"/>
              </w:rPr>
            </w:pPr>
          </w:p>
        </w:tc>
        <w:tc>
          <w:tcPr>
            <w:tcW w:w="3565" w:type="dxa"/>
            <w:vAlign w:val="center"/>
          </w:tcPr>
          <w:p w14:paraId="5CCFEBC1">
            <w:pPr>
              <w:spacing w:before="120" w:beforeLines="50" w:line="360" w:lineRule="auto"/>
              <w:jc w:val="center"/>
              <w:rPr>
                <w:rFonts w:ascii="宋体" w:hAnsi="宋体" w:eastAsia="宋体" w:cs="宋体"/>
                <w:color w:val="auto"/>
              </w:rPr>
            </w:pPr>
          </w:p>
        </w:tc>
      </w:tr>
      <w:tr w14:paraId="56B1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3F0D6C1">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w:t>
            </w:r>
          </w:p>
        </w:tc>
        <w:tc>
          <w:tcPr>
            <w:tcW w:w="2551" w:type="dxa"/>
            <w:vAlign w:val="center"/>
          </w:tcPr>
          <w:p w14:paraId="02D16CC6">
            <w:pPr>
              <w:spacing w:before="120" w:beforeLines="50" w:line="360" w:lineRule="auto"/>
              <w:jc w:val="center"/>
              <w:rPr>
                <w:rFonts w:ascii="宋体" w:hAnsi="宋体" w:eastAsia="宋体" w:cs="Times New Roman"/>
                <w:color w:val="auto"/>
              </w:rPr>
            </w:pPr>
          </w:p>
        </w:tc>
        <w:tc>
          <w:tcPr>
            <w:tcW w:w="2552" w:type="dxa"/>
            <w:vAlign w:val="center"/>
          </w:tcPr>
          <w:p w14:paraId="78E64A6F">
            <w:pPr>
              <w:spacing w:before="120" w:beforeLines="50" w:line="360" w:lineRule="auto"/>
              <w:jc w:val="center"/>
              <w:rPr>
                <w:rFonts w:ascii="宋体" w:hAnsi="宋体" w:eastAsia="宋体" w:cs="Times New Roman"/>
                <w:color w:val="auto"/>
              </w:rPr>
            </w:pPr>
          </w:p>
        </w:tc>
        <w:tc>
          <w:tcPr>
            <w:tcW w:w="3565" w:type="dxa"/>
            <w:vAlign w:val="center"/>
          </w:tcPr>
          <w:p w14:paraId="44FC721A">
            <w:pPr>
              <w:spacing w:before="120" w:beforeLines="50" w:line="360" w:lineRule="auto"/>
              <w:jc w:val="center"/>
              <w:rPr>
                <w:rFonts w:ascii="宋体" w:hAnsi="宋体" w:eastAsia="宋体" w:cs="Times New Roman"/>
                <w:color w:val="auto"/>
              </w:rPr>
            </w:pPr>
          </w:p>
        </w:tc>
      </w:tr>
    </w:tbl>
    <w:p w14:paraId="7C79F4B7">
      <w:pPr>
        <w:spacing w:line="360" w:lineRule="auto"/>
        <w:rPr>
          <w:rFonts w:ascii="宋体" w:hAnsi="宋体" w:eastAsia="宋体" w:cs="Times New Roman"/>
          <w:color w:val="auto"/>
        </w:rPr>
      </w:pPr>
    </w:p>
    <w:p w14:paraId="122A9665">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投标人保证：除商务条款偏差表列出的偏差外，投标人响应招标文件的全部要求。</w:t>
      </w:r>
    </w:p>
    <w:p w14:paraId="00D2042F">
      <w:pPr>
        <w:spacing w:line="360" w:lineRule="auto"/>
        <w:rPr>
          <w:rFonts w:ascii="宋体" w:hAnsi="宋体" w:eastAsia="宋体" w:cs="Times New Roman"/>
          <w:color w:val="auto"/>
        </w:rPr>
      </w:pPr>
    </w:p>
    <w:p w14:paraId="58902A96">
      <w:pPr>
        <w:spacing w:line="360" w:lineRule="auto"/>
        <w:jc w:val="center"/>
        <w:rPr>
          <w:rFonts w:ascii="宋体" w:hAnsi="宋体" w:eastAsia="宋体" w:cs="宋体"/>
          <w:color w:val="auto"/>
        </w:rPr>
      </w:pPr>
      <w:bookmarkStart w:id="670" w:name="_Hlk167351804"/>
      <w:r>
        <w:rPr>
          <w:rFonts w:ascii="宋体" w:hAnsi="宋体" w:eastAsia="宋体" w:cs="宋体"/>
          <w:color w:val="auto"/>
        </w:rPr>
        <w:br w:type="page"/>
      </w:r>
    </w:p>
    <w:p w14:paraId="4AEE11D5">
      <w:pPr>
        <w:spacing w:line="360" w:lineRule="auto"/>
        <w:jc w:val="center"/>
        <w:rPr>
          <w:rFonts w:ascii="宋体" w:hAnsi="宋体" w:eastAsia="宋体" w:cs="Times New Roman"/>
          <w:color w:val="auto"/>
        </w:rPr>
      </w:pPr>
      <w:r>
        <w:rPr>
          <w:rFonts w:hint="eastAsia" w:ascii="宋体" w:hAnsi="宋体" w:eastAsia="宋体" w:cs="宋体"/>
          <w:color w:val="auto"/>
        </w:rPr>
        <w:t>（二）技术规格偏差表</w:t>
      </w:r>
    </w:p>
    <w:tbl>
      <w:tblPr>
        <w:tblStyle w:val="3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207"/>
        <w:gridCol w:w="2268"/>
        <w:gridCol w:w="2268"/>
        <w:gridCol w:w="2951"/>
      </w:tblGrid>
      <w:tr w14:paraId="6E64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2689A6F">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序号</w:t>
            </w:r>
          </w:p>
        </w:tc>
        <w:tc>
          <w:tcPr>
            <w:tcW w:w="1207" w:type="dxa"/>
            <w:vAlign w:val="center"/>
          </w:tcPr>
          <w:p w14:paraId="48C2F42C">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货物名称</w:t>
            </w:r>
          </w:p>
        </w:tc>
        <w:tc>
          <w:tcPr>
            <w:tcW w:w="2268" w:type="dxa"/>
          </w:tcPr>
          <w:p w14:paraId="780398EF">
            <w:pPr>
              <w:spacing w:before="120" w:beforeLines="50"/>
              <w:jc w:val="center"/>
              <w:rPr>
                <w:rFonts w:ascii="宋体" w:hAnsi="宋体" w:eastAsia="宋体" w:cs="Times New Roman"/>
                <w:color w:val="auto"/>
              </w:rPr>
            </w:pPr>
            <w:r>
              <w:rPr>
                <w:rFonts w:hint="eastAsia" w:ascii="宋体" w:hAnsi="宋体" w:eastAsia="宋体" w:cs="宋体"/>
                <w:color w:val="auto"/>
              </w:rPr>
              <w:t>招标文件技术</w:t>
            </w:r>
          </w:p>
          <w:p w14:paraId="108D9956">
            <w:pPr>
              <w:spacing w:before="120" w:beforeLines="50"/>
              <w:jc w:val="center"/>
              <w:rPr>
                <w:rFonts w:ascii="宋体" w:hAnsi="宋体" w:eastAsia="宋体" w:cs="Times New Roman"/>
                <w:color w:val="auto"/>
              </w:rPr>
            </w:pPr>
            <w:r>
              <w:rPr>
                <w:rFonts w:hint="eastAsia" w:ascii="宋体" w:hAnsi="宋体" w:eastAsia="宋体" w:cs="宋体"/>
                <w:color w:val="auto"/>
              </w:rPr>
              <w:t>参数要求</w:t>
            </w:r>
          </w:p>
        </w:tc>
        <w:tc>
          <w:tcPr>
            <w:tcW w:w="2268" w:type="dxa"/>
            <w:vAlign w:val="center"/>
          </w:tcPr>
          <w:p w14:paraId="7051F850">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投标产品的品牌、型号、技术参数及配置</w:t>
            </w:r>
          </w:p>
        </w:tc>
        <w:tc>
          <w:tcPr>
            <w:tcW w:w="2951" w:type="dxa"/>
            <w:vAlign w:val="center"/>
          </w:tcPr>
          <w:p w14:paraId="367BF6BD">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偏差说明</w:t>
            </w:r>
          </w:p>
        </w:tc>
      </w:tr>
      <w:tr w14:paraId="0745B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FB24A05">
            <w:pPr>
              <w:spacing w:before="120" w:beforeLines="50" w:line="360" w:lineRule="auto"/>
              <w:jc w:val="center"/>
              <w:rPr>
                <w:rFonts w:ascii="宋体" w:hAnsi="宋体" w:eastAsia="宋体" w:cs="宋体"/>
                <w:color w:val="auto"/>
              </w:rPr>
            </w:pPr>
            <w:r>
              <w:rPr>
                <w:rFonts w:ascii="宋体" w:hAnsi="宋体" w:eastAsia="宋体" w:cs="宋体"/>
                <w:color w:val="auto"/>
              </w:rPr>
              <w:t>1</w:t>
            </w:r>
          </w:p>
        </w:tc>
        <w:tc>
          <w:tcPr>
            <w:tcW w:w="1207" w:type="dxa"/>
            <w:vAlign w:val="center"/>
          </w:tcPr>
          <w:p w14:paraId="118B1E24">
            <w:pPr>
              <w:spacing w:before="120" w:beforeLines="50" w:line="360" w:lineRule="auto"/>
              <w:jc w:val="center"/>
              <w:rPr>
                <w:rFonts w:ascii="宋体" w:hAnsi="宋体" w:eastAsia="宋体" w:cs="宋体"/>
                <w:color w:val="auto"/>
              </w:rPr>
            </w:pPr>
          </w:p>
        </w:tc>
        <w:tc>
          <w:tcPr>
            <w:tcW w:w="2268" w:type="dxa"/>
          </w:tcPr>
          <w:p w14:paraId="643D5383">
            <w:pPr>
              <w:spacing w:before="120" w:beforeLines="50" w:line="360" w:lineRule="auto"/>
              <w:jc w:val="center"/>
              <w:rPr>
                <w:rFonts w:ascii="宋体" w:hAnsi="宋体" w:eastAsia="宋体" w:cs="宋体"/>
                <w:color w:val="auto"/>
              </w:rPr>
            </w:pPr>
          </w:p>
        </w:tc>
        <w:tc>
          <w:tcPr>
            <w:tcW w:w="2268" w:type="dxa"/>
            <w:vAlign w:val="center"/>
          </w:tcPr>
          <w:p w14:paraId="288CFE45">
            <w:pPr>
              <w:spacing w:before="120" w:beforeLines="50" w:line="360" w:lineRule="auto"/>
              <w:jc w:val="center"/>
              <w:rPr>
                <w:rFonts w:ascii="宋体" w:hAnsi="宋体" w:eastAsia="宋体" w:cs="宋体"/>
                <w:color w:val="auto"/>
              </w:rPr>
            </w:pPr>
          </w:p>
        </w:tc>
        <w:tc>
          <w:tcPr>
            <w:tcW w:w="2951" w:type="dxa"/>
            <w:vAlign w:val="center"/>
          </w:tcPr>
          <w:p w14:paraId="4863D16A">
            <w:pPr>
              <w:spacing w:before="120" w:beforeLines="50" w:line="360" w:lineRule="auto"/>
              <w:jc w:val="center"/>
              <w:rPr>
                <w:rFonts w:ascii="宋体" w:hAnsi="宋体" w:eastAsia="宋体" w:cs="宋体"/>
                <w:color w:val="auto"/>
              </w:rPr>
            </w:pPr>
          </w:p>
        </w:tc>
      </w:tr>
      <w:tr w14:paraId="7F51A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5A8BDAC">
            <w:pPr>
              <w:spacing w:before="120" w:beforeLines="50" w:line="360" w:lineRule="auto"/>
              <w:jc w:val="center"/>
              <w:rPr>
                <w:rFonts w:ascii="宋体" w:hAnsi="宋体" w:eastAsia="宋体" w:cs="宋体"/>
                <w:color w:val="auto"/>
              </w:rPr>
            </w:pPr>
            <w:r>
              <w:rPr>
                <w:rFonts w:ascii="宋体" w:hAnsi="宋体" w:eastAsia="宋体" w:cs="宋体"/>
                <w:color w:val="auto"/>
              </w:rPr>
              <w:t>2</w:t>
            </w:r>
          </w:p>
        </w:tc>
        <w:tc>
          <w:tcPr>
            <w:tcW w:w="1207" w:type="dxa"/>
            <w:vAlign w:val="center"/>
          </w:tcPr>
          <w:p w14:paraId="0B4C2177">
            <w:pPr>
              <w:spacing w:before="120" w:beforeLines="50" w:line="360" w:lineRule="auto"/>
              <w:jc w:val="center"/>
              <w:rPr>
                <w:rFonts w:ascii="宋体" w:hAnsi="宋体" w:eastAsia="宋体" w:cs="宋体"/>
                <w:color w:val="auto"/>
              </w:rPr>
            </w:pPr>
          </w:p>
        </w:tc>
        <w:tc>
          <w:tcPr>
            <w:tcW w:w="2268" w:type="dxa"/>
          </w:tcPr>
          <w:p w14:paraId="4A793D5D">
            <w:pPr>
              <w:spacing w:before="120" w:beforeLines="50" w:line="360" w:lineRule="auto"/>
              <w:jc w:val="center"/>
              <w:rPr>
                <w:rFonts w:ascii="宋体" w:hAnsi="宋体" w:eastAsia="宋体" w:cs="宋体"/>
                <w:color w:val="auto"/>
              </w:rPr>
            </w:pPr>
          </w:p>
        </w:tc>
        <w:tc>
          <w:tcPr>
            <w:tcW w:w="2268" w:type="dxa"/>
            <w:vAlign w:val="center"/>
          </w:tcPr>
          <w:p w14:paraId="4D73BCE5">
            <w:pPr>
              <w:spacing w:before="120" w:beforeLines="50" w:line="360" w:lineRule="auto"/>
              <w:jc w:val="center"/>
              <w:rPr>
                <w:rFonts w:ascii="宋体" w:hAnsi="宋体" w:eastAsia="宋体" w:cs="宋体"/>
                <w:color w:val="auto"/>
              </w:rPr>
            </w:pPr>
          </w:p>
        </w:tc>
        <w:tc>
          <w:tcPr>
            <w:tcW w:w="2951" w:type="dxa"/>
            <w:vAlign w:val="center"/>
          </w:tcPr>
          <w:p w14:paraId="05B8E2EE">
            <w:pPr>
              <w:spacing w:before="120" w:beforeLines="50" w:line="360" w:lineRule="auto"/>
              <w:jc w:val="center"/>
              <w:rPr>
                <w:rFonts w:ascii="宋体" w:hAnsi="宋体" w:eastAsia="宋体" w:cs="宋体"/>
                <w:color w:val="auto"/>
              </w:rPr>
            </w:pPr>
          </w:p>
        </w:tc>
      </w:tr>
      <w:tr w14:paraId="3BCB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3A08248">
            <w:pPr>
              <w:spacing w:before="120" w:beforeLines="50" w:line="360" w:lineRule="auto"/>
              <w:jc w:val="center"/>
              <w:rPr>
                <w:rFonts w:ascii="宋体" w:hAnsi="宋体" w:eastAsia="宋体" w:cs="宋体"/>
                <w:color w:val="auto"/>
              </w:rPr>
            </w:pPr>
            <w:r>
              <w:rPr>
                <w:rFonts w:ascii="宋体" w:hAnsi="宋体" w:eastAsia="宋体" w:cs="宋体"/>
                <w:color w:val="auto"/>
              </w:rPr>
              <w:t>3</w:t>
            </w:r>
          </w:p>
        </w:tc>
        <w:tc>
          <w:tcPr>
            <w:tcW w:w="1207" w:type="dxa"/>
            <w:vAlign w:val="center"/>
          </w:tcPr>
          <w:p w14:paraId="59973079">
            <w:pPr>
              <w:spacing w:before="120" w:beforeLines="50" w:line="360" w:lineRule="auto"/>
              <w:jc w:val="center"/>
              <w:rPr>
                <w:rFonts w:ascii="宋体" w:hAnsi="宋体" w:eastAsia="宋体" w:cs="宋体"/>
                <w:color w:val="auto"/>
              </w:rPr>
            </w:pPr>
          </w:p>
        </w:tc>
        <w:tc>
          <w:tcPr>
            <w:tcW w:w="2268" w:type="dxa"/>
          </w:tcPr>
          <w:p w14:paraId="4650AA82">
            <w:pPr>
              <w:spacing w:before="120" w:beforeLines="50" w:line="360" w:lineRule="auto"/>
              <w:jc w:val="center"/>
              <w:rPr>
                <w:rFonts w:ascii="宋体" w:hAnsi="宋体" w:eastAsia="宋体" w:cs="宋体"/>
                <w:color w:val="auto"/>
              </w:rPr>
            </w:pPr>
          </w:p>
        </w:tc>
        <w:tc>
          <w:tcPr>
            <w:tcW w:w="2268" w:type="dxa"/>
            <w:vAlign w:val="center"/>
          </w:tcPr>
          <w:p w14:paraId="7CCA998A">
            <w:pPr>
              <w:spacing w:before="120" w:beforeLines="50" w:line="360" w:lineRule="auto"/>
              <w:jc w:val="center"/>
              <w:rPr>
                <w:rFonts w:ascii="宋体" w:hAnsi="宋体" w:eastAsia="宋体" w:cs="宋体"/>
                <w:color w:val="auto"/>
              </w:rPr>
            </w:pPr>
          </w:p>
        </w:tc>
        <w:tc>
          <w:tcPr>
            <w:tcW w:w="2951" w:type="dxa"/>
            <w:vAlign w:val="center"/>
          </w:tcPr>
          <w:p w14:paraId="6F307B2F">
            <w:pPr>
              <w:spacing w:before="120" w:beforeLines="50" w:line="360" w:lineRule="auto"/>
              <w:jc w:val="center"/>
              <w:rPr>
                <w:rFonts w:ascii="宋体" w:hAnsi="宋体" w:eastAsia="宋体" w:cs="宋体"/>
                <w:color w:val="auto"/>
              </w:rPr>
            </w:pPr>
          </w:p>
        </w:tc>
      </w:tr>
      <w:tr w14:paraId="4D295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45D5ECA0">
            <w:pPr>
              <w:spacing w:before="120" w:beforeLines="50" w:line="360" w:lineRule="auto"/>
              <w:jc w:val="center"/>
              <w:rPr>
                <w:rFonts w:ascii="宋体" w:hAnsi="宋体" w:eastAsia="宋体" w:cs="宋体"/>
                <w:color w:val="auto"/>
              </w:rPr>
            </w:pPr>
            <w:r>
              <w:rPr>
                <w:rFonts w:ascii="宋体" w:hAnsi="宋体" w:eastAsia="宋体" w:cs="宋体"/>
                <w:color w:val="auto"/>
              </w:rPr>
              <w:t>4</w:t>
            </w:r>
          </w:p>
        </w:tc>
        <w:tc>
          <w:tcPr>
            <w:tcW w:w="1207" w:type="dxa"/>
            <w:vAlign w:val="center"/>
          </w:tcPr>
          <w:p w14:paraId="10F8CC0E">
            <w:pPr>
              <w:spacing w:before="120" w:beforeLines="50" w:line="360" w:lineRule="auto"/>
              <w:jc w:val="center"/>
              <w:rPr>
                <w:rFonts w:ascii="宋体" w:hAnsi="宋体" w:eastAsia="宋体" w:cs="宋体"/>
                <w:color w:val="auto"/>
              </w:rPr>
            </w:pPr>
          </w:p>
        </w:tc>
        <w:tc>
          <w:tcPr>
            <w:tcW w:w="2268" w:type="dxa"/>
          </w:tcPr>
          <w:p w14:paraId="41BB54E2">
            <w:pPr>
              <w:spacing w:before="120" w:beforeLines="50" w:line="360" w:lineRule="auto"/>
              <w:jc w:val="center"/>
              <w:rPr>
                <w:rFonts w:ascii="宋体" w:hAnsi="宋体" w:eastAsia="宋体" w:cs="宋体"/>
                <w:color w:val="auto"/>
              </w:rPr>
            </w:pPr>
          </w:p>
        </w:tc>
        <w:tc>
          <w:tcPr>
            <w:tcW w:w="2268" w:type="dxa"/>
            <w:vAlign w:val="center"/>
          </w:tcPr>
          <w:p w14:paraId="616A5D99">
            <w:pPr>
              <w:spacing w:before="120" w:beforeLines="50" w:line="360" w:lineRule="auto"/>
              <w:jc w:val="center"/>
              <w:rPr>
                <w:rFonts w:ascii="宋体" w:hAnsi="宋体" w:eastAsia="宋体" w:cs="宋体"/>
                <w:color w:val="auto"/>
              </w:rPr>
            </w:pPr>
          </w:p>
        </w:tc>
        <w:tc>
          <w:tcPr>
            <w:tcW w:w="2951" w:type="dxa"/>
            <w:vAlign w:val="center"/>
          </w:tcPr>
          <w:p w14:paraId="1E758384">
            <w:pPr>
              <w:spacing w:before="120" w:beforeLines="50" w:line="360" w:lineRule="auto"/>
              <w:jc w:val="center"/>
              <w:rPr>
                <w:rFonts w:ascii="宋体" w:hAnsi="宋体" w:eastAsia="宋体" w:cs="宋体"/>
                <w:color w:val="auto"/>
              </w:rPr>
            </w:pPr>
          </w:p>
        </w:tc>
      </w:tr>
      <w:tr w14:paraId="7AF6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50C00476">
            <w:pPr>
              <w:spacing w:before="120" w:beforeLines="50" w:line="360" w:lineRule="auto"/>
              <w:jc w:val="center"/>
              <w:rPr>
                <w:rFonts w:ascii="宋体" w:hAnsi="宋体" w:eastAsia="宋体" w:cs="宋体"/>
                <w:color w:val="auto"/>
              </w:rPr>
            </w:pPr>
            <w:r>
              <w:rPr>
                <w:rFonts w:ascii="宋体" w:hAnsi="宋体" w:eastAsia="宋体" w:cs="宋体"/>
                <w:color w:val="auto"/>
              </w:rPr>
              <w:t>5</w:t>
            </w:r>
          </w:p>
        </w:tc>
        <w:tc>
          <w:tcPr>
            <w:tcW w:w="1207" w:type="dxa"/>
            <w:vAlign w:val="center"/>
          </w:tcPr>
          <w:p w14:paraId="48DB1F7B">
            <w:pPr>
              <w:spacing w:before="120" w:beforeLines="50" w:line="360" w:lineRule="auto"/>
              <w:jc w:val="center"/>
              <w:rPr>
                <w:rFonts w:ascii="宋体" w:hAnsi="宋体" w:eastAsia="宋体" w:cs="宋体"/>
                <w:color w:val="auto"/>
              </w:rPr>
            </w:pPr>
          </w:p>
        </w:tc>
        <w:tc>
          <w:tcPr>
            <w:tcW w:w="2268" w:type="dxa"/>
          </w:tcPr>
          <w:p w14:paraId="2E029741">
            <w:pPr>
              <w:spacing w:before="120" w:beforeLines="50" w:line="360" w:lineRule="auto"/>
              <w:jc w:val="center"/>
              <w:rPr>
                <w:rFonts w:ascii="宋体" w:hAnsi="宋体" w:eastAsia="宋体" w:cs="宋体"/>
                <w:color w:val="auto"/>
              </w:rPr>
            </w:pPr>
          </w:p>
        </w:tc>
        <w:tc>
          <w:tcPr>
            <w:tcW w:w="2268" w:type="dxa"/>
            <w:vAlign w:val="center"/>
          </w:tcPr>
          <w:p w14:paraId="55347FF5">
            <w:pPr>
              <w:spacing w:before="120" w:beforeLines="50" w:line="360" w:lineRule="auto"/>
              <w:jc w:val="center"/>
              <w:rPr>
                <w:rFonts w:ascii="宋体" w:hAnsi="宋体" w:eastAsia="宋体" w:cs="宋体"/>
                <w:color w:val="auto"/>
              </w:rPr>
            </w:pPr>
          </w:p>
        </w:tc>
        <w:tc>
          <w:tcPr>
            <w:tcW w:w="2951" w:type="dxa"/>
            <w:vAlign w:val="center"/>
          </w:tcPr>
          <w:p w14:paraId="182B60D3">
            <w:pPr>
              <w:spacing w:before="120" w:beforeLines="50" w:line="360" w:lineRule="auto"/>
              <w:jc w:val="center"/>
              <w:rPr>
                <w:rFonts w:ascii="宋体" w:hAnsi="宋体" w:eastAsia="宋体" w:cs="宋体"/>
                <w:color w:val="auto"/>
              </w:rPr>
            </w:pPr>
          </w:p>
        </w:tc>
      </w:tr>
      <w:tr w14:paraId="45D5A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4FE7A6A0">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w:t>
            </w:r>
          </w:p>
        </w:tc>
        <w:tc>
          <w:tcPr>
            <w:tcW w:w="1207" w:type="dxa"/>
            <w:vAlign w:val="center"/>
          </w:tcPr>
          <w:p w14:paraId="72035091">
            <w:pPr>
              <w:spacing w:before="120" w:beforeLines="50" w:line="360" w:lineRule="auto"/>
              <w:jc w:val="center"/>
              <w:rPr>
                <w:rFonts w:ascii="宋体" w:hAnsi="宋体" w:eastAsia="宋体" w:cs="Times New Roman"/>
                <w:color w:val="auto"/>
              </w:rPr>
            </w:pPr>
          </w:p>
        </w:tc>
        <w:tc>
          <w:tcPr>
            <w:tcW w:w="2268" w:type="dxa"/>
          </w:tcPr>
          <w:p w14:paraId="48F68356">
            <w:pPr>
              <w:spacing w:before="120" w:beforeLines="50" w:line="360" w:lineRule="auto"/>
              <w:jc w:val="center"/>
              <w:rPr>
                <w:rFonts w:ascii="宋体" w:hAnsi="宋体" w:eastAsia="宋体" w:cs="Times New Roman"/>
                <w:color w:val="auto"/>
              </w:rPr>
            </w:pPr>
          </w:p>
        </w:tc>
        <w:tc>
          <w:tcPr>
            <w:tcW w:w="2268" w:type="dxa"/>
            <w:vAlign w:val="center"/>
          </w:tcPr>
          <w:p w14:paraId="56BAEE4A">
            <w:pPr>
              <w:spacing w:before="120" w:beforeLines="50" w:line="360" w:lineRule="auto"/>
              <w:jc w:val="center"/>
              <w:rPr>
                <w:rFonts w:ascii="宋体" w:hAnsi="宋体" w:eastAsia="宋体" w:cs="Times New Roman"/>
                <w:color w:val="auto"/>
              </w:rPr>
            </w:pPr>
          </w:p>
        </w:tc>
        <w:tc>
          <w:tcPr>
            <w:tcW w:w="2951" w:type="dxa"/>
            <w:vAlign w:val="center"/>
          </w:tcPr>
          <w:p w14:paraId="679FC53E">
            <w:pPr>
              <w:spacing w:before="120" w:beforeLines="50" w:line="360" w:lineRule="auto"/>
              <w:jc w:val="center"/>
              <w:rPr>
                <w:rFonts w:ascii="宋体" w:hAnsi="宋体" w:eastAsia="宋体" w:cs="Times New Roman"/>
                <w:color w:val="auto"/>
              </w:rPr>
            </w:pPr>
          </w:p>
        </w:tc>
      </w:tr>
      <w:bookmarkEnd w:id="670"/>
    </w:tbl>
    <w:p w14:paraId="2146D847">
      <w:pPr>
        <w:spacing w:line="360" w:lineRule="auto"/>
        <w:rPr>
          <w:rFonts w:ascii="宋体" w:hAnsi="宋体" w:eastAsia="宋体" w:cs="Times New Roman"/>
          <w:color w:val="auto"/>
        </w:rPr>
      </w:pPr>
    </w:p>
    <w:p w14:paraId="69EF4022">
      <w:pPr>
        <w:spacing w:line="360" w:lineRule="auto"/>
        <w:rPr>
          <w:rFonts w:ascii="宋体" w:hAnsi="宋体" w:eastAsia="宋体" w:cs="Times New Roman"/>
          <w:b/>
          <w:bCs/>
          <w:color w:val="auto"/>
        </w:rPr>
      </w:pPr>
      <w:bookmarkStart w:id="671" w:name="_Hlk167351811"/>
      <w:r>
        <w:rPr>
          <w:rFonts w:hint="eastAsia" w:ascii="宋体" w:hAnsi="宋体" w:eastAsia="宋体" w:cs="宋体"/>
          <w:b/>
          <w:bCs/>
          <w:color w:val="auto"/>
        </w:rPr>
        <w:t>表格填写说明：</w:t>
      </w:r>
    </w:p>
    <w:p w14:paraId="5C71C4A8">
      <w:pPr>
        <w:spacing w:line="360" w:lineRule="auto"/>
        <w:ind w:firstLine="420" w:firstLineChars="200"/>
        <w:rPr>
          <w:rFonts w:ascii="宋体" w:hAnsi="宋体" w:eastAsia="宋体" w:cs="Times New Roman"/>
          <w:color w:val="auto"/>
        </w:rPr>
      </w:pPr>
      <w:r>
        <w:rPr>
          <w:rFonts w:ascii="宋体" w:hAnsi="宋体" w:eastAsia="宋体" w:cs="宋体"/>
          <w:color w:val="auto"/>
        </w:rPr>
        <w:t>1.</w:t>
      </w:r>
      <w:r>
        <w:rPr>
          <w:rFonts w:hint="eastAsia" w:ascii="宋体" w:hAnsi="宋体" w:eastAsia="宋体" w:cs="宋体"/>
          <w:color w:val="auto"/>
        </w:rPr>
        <w:t>投标人应按所投产品的实际技术参数，逐条对应招标文件的第五章“采购需求”中要求的技术规范如实、完整、准确的填写该表，不得虚假响应，否则将取消其投标或中标资格。</w:t>
      </w:r>
    </w:p>
    <w:p w14:paraId="2D3C3530">
      <w:pPr>
        <w:spacing w:line="360" w:lineRule="auto"/>
        <w:ind w:firstLine="420" w:firstLineChars="200"/>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本表格将作为评标委员会对投标人技术部分的评审依据，未填写本表格的投标人将不能通过符合性审查。</w:t>
      </w:r>
    </w:p>
    <w:p w14:paraId="5C6D9CDA">
      <w:pPr>
        <w:spacing w:line="360"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表格中“货物名称”及“招标文件技术参数要求”可按“采购需求”内容复制。</w:t>
      </w:r>
    </w:p>
    <w:p w14:paraId="1C3D7DFD">
      <w:pPr>
        <w:spacing w:line="360" w:lineRule="auto"/>
        <w:ind w:firstLine="420" w:firstLineChars="200"/>
        <w:rPr>
          <w:rFonts w:ascii="宋体" w:hAnsi="宋体" w:eastAsia="宋体" w:cs="Times New Roman"/>
          <w:color w:val="auto"/>
        </w:rPr>
      </w:pPr>
      <w:r>
        <w:rPr>
          <w:rFonts w:ascii="宋体" w:hAnsi="宋体" w:eastAsia="宋体" w:cs="宋体"/>
          <w:color w:val="auto"/>
        </w:rPr>
        <w:t>4.</w:t>
      </w:r>
      <w:r>
        <w:rPr>
          <w:rFonts w:hint="eastAsia" w:ascii="宋体" w:hAnsi="宋体" w:eastAsia="宋体" w:cs="宋体"/>
          <w:color w:val="auto"/>
        </w:rPr>
        <w:t>表格中“投标产品的品牌、型号、技术参数及配置”请投标人根据实际投标情况如实、完整、准确地填写，请勿复制、粘贴采购需求。若由于投标人的疏忽大意或未能完整、如实填写，导致的一切后果由投标人自行承担。</w:t>
      </w:r>
    </w:p>
    <w:p w14:paraId="4343790C">
      <w:pPr>
        <w:spacing w:line="360" w:lineRule="auto"/>
        <w:ind w:firstLine="420" w:firstLineChars="200"/>
        <w:rPr>
          <w:rFonts w:ascii="宋体" w:hAnsi="宋体" w:eastAsia="宋体" w:cs="Times New Roman"/>
          <w:color w:val="auto"/>
        </w:rPr>
      </w:pPr>
      <w:r>
        <w:rPr>
          <w:rFonts w:ascii="宋体" w:hAnsi="宋体" w:eastAsia="宋体" w:cs="宋体"/>
          <w:color w:val="auto"/>
        </w:rPr>
        <w:t>5.</w:t>
      </w:r>
      <w:r>
        <w:rPr>
          <w:rFonts w:hint="eastAsia" w:ascii="宋体" w:hAnsi="宋体" w:eastAsia="宋体" w:cs="宋体"/>
          <w:color w:val="auto"/>
        </w:rPr>
        <w:t>表格中“偏差说明”部分，投标人如实填写“正偏离”或“负偏离”，</w:t>
      </w:r>
      <w:r>
        <w:rPr>
          <w:rFonts w:hint="eastAsia" w:ascii="宋体" w:hAnsi="宋体" w:eastAsia="宋体" w:cs="宋体"/>
          <w:b/>
          <w:bCs/>
          <w:color w:val="auto"/>
        </w:rPr>
        <w:t>若为正偏离，须提供相关依据及说明，否则视为负偏离处理</w:t>
      </w:r>
      <w:r>
        <w:rPr>
          <w:rFonts w:hint="eastAsia" w:ascii="宋体" w:hAnsi="宋体" w:eastAsia="宋体" w:cs="宋体"/>
          <w:color w:val="auto"/>
        </w:rPr>
        <w:t>。凡投标产品与采购需求有区别的均按有偏离处理，并写明技术指标。若无偏离，则不填写其他内容。</w:t>
      </w:r>
    </w:p>
    <w:p w14:paraId="0B14D207">
      <w:pPr>
        <w:spacing w:line="360" w:lineRule="auto"/>
        <w:ind w:firstLine="420" w:firstLineChars="200"/>
        <w:rPr>
          <w:rFonts w:ascii="宋体" w:hAnsi="宋体" w:eastAsia="宋体" w:cs="Times New Roman"/>
          <w:color w:val="auto"/>
        </w:rPr>
      </w:pPr>
      <w:r>
        <w:rPr>
          <w:rFonts w:ascii="宋体" w:hAnsi="宋体" w:eastAsia="宋体" w:cs="宋体"/>
          <w:color w:val="auto"/>
        </w:rPr>
        <w:t>6.</w:t>
      </w:r>
      <w:r>
        <w:rPr>
          <w:rFonts w:hint="eastAsia" w:ascii="宋体" w:hAnsi="宋体" w:eastAsia="宋体" w:cs="宋体"/>
          <w:color w:val="auto"/>
        </w:rPr>
        <w:t>货物验收时采购人将依据此表对投标人提供的产品进行验收。</w:t>
      </w:r>
    </w:p>
    <w:p w14:paraId="675FB4BF">
      <w:pPr>
        <w:spacing w:line="360" w:lineRule="auto"/>
        <w:ind w:firstLine="420" w:firstLineChars="200"/>
        <w:rPr>
          <w:rFonts w:ascii="宋体" w:hAnsi="宋体" w:eastAsia="宋体" w:cs="Times New Roman"/>
          <w:color w:val="auto"/>
        </w:rPr>
      </w:pPr>
      <w:r>
        <w:rPr>
          <w:rFonts w:ascii="宋体" w:hAnsi="宋体" w:eastAsia="宋体" w:cs="宋体"/>
          <w:color w:val="auto"/>
        </w:rPr>
        <w:t>7.</w:t>
      </w:r>
      <w:r>
        <w:rPr>
          <w:rFonts w:hint="eastAsia" w:ascii="宋体" w:hAnsi="宋体" w:eastAsia="宋体" w:cs="宋体"/>
          <w:color w:val="auto"/>
        </w:rPr>
        <w:t>本表格中内容与投标文件其余部分不一致的，以本表格为准。</w:t>
      </w:r>
    </w:p>
    <w:bookmarkEnd w:id="671"/>
    <w:p w14:paraId="3C41C4C9">
      <w:pPr>
        <w:spacing w:line="360" w:lineRule="auto"/>
        <w:rPr>
          <w:rFonts w:ascii="宋体" w:hAnsi="宋体" w:eastAsia="宋体" w:cs="Times New Roman"/>
          <w:color w:val="auto"/>
        </w:rPr>
      </w:pPr>
    </w:p>
    <w:p w14:paraId="768E6FB9">
      <w:pPr>
        <w:spacing w:line="360" w:lineRule="auto"/>
        <w:jc w:val="left"/>
        <w:rPr>
          <w:rFonts w:ascii="宋体" w:hAnsi="宋体" w:eastAsia="宋体" w:cs="Times New Roman"/>
          <w:color w:val="auto"/>
        </w:rPr>
      </w:pPr>
    </w:p>
    <w:p w14:paraId="1E8F3EF0">
      <w:pPr>
        <w:spacing w:line="360" w:lineRule="auto"/>
        <w:jc w:val="center"/>
        <w:rPr>
          <w:rFonts w:ascii="宋体" w:hAnsi="宋体" w:eastAsia="宋体" w:cs="Times New Roman"/>
          <w:color w:val="auto"/>
        </w:rPr>
      </w:pPr>
      <w:r>
        <w:rPr>
          <w:rFonts w:ascii="宋体" w:hAnsi="宋体" w:eastAsia="宋体" w:cs="宋体"/>
          <w:color w:val="auto"/>
        </w:rPr>
        <w:br w:type="page"/>
      </w:r>
    </w:p>
    <w:p w14:paraId="6664882E">
      <w:pPr>
        <w:pStyle w:val="3"/>
        <w:spacing w:before="0" w:after="0" w:line="360" w:lineRule="auto"/>
        <w:jc w:val="center"/>
        <w:rPr>
          <w:rFonts w:ascii="宋体" w:hAnsi="宋体" w:eastAsia="宋体" w:cs="宋体"/>
          <w:color w:val="auto"/>
          <w:sz w:val="21"/>
          <w:szCs w:val="21"/>
        </w:rPr>
      </w:pPr>
      <w:bookmarkStart w:id="672" w:name="_Toc107396250"/>
      <w:bookmarkStart w:id="673" w:name="_Toc77116723"/>
      <w:bookmarkStart w:id="674" w:name="_Toc120282478"/>
      <w:bookmarkStart w:id="675" w:name="_Toc164432974"/>
      <w:bookmarkStart w:id="676" w:name="_Toc70424906"/>
      <w:bookmarkStart w:id="677" w:name="_Toc20270"/>
      <w:bookmarkStart w:id="678" w:name="_Toc77504121"/>
      <w:bookmarkStart w:id="679" w:name="_Toc77658131"/>
      <w:r>
        <w:rPr>
          <w:rFonts w:hint="eastAsia" w:ascii="宋体" w:hAnsi="宋体" w:eastAsia="宋体" w:cs="宋体"/>
          <w:color w:val="auto"/>
          <w:sz w:val="24"/>
          <w:szCs w:val="24"/>
        </w:rPr>
        <w:t>七、报价表</w:t>
      </w:r>
      <w:bookmarkEnd w:id="672"/>
      <w:bookmarkEnd w:id="673"/>
      <w:bookmarkEnd w:id="674"/>
      <w:bookmarkEnd w:id="675"/>
      <w:bookmarkEnd w:id="676"/>
      <w:bookmarkEnd w:id="677"/>
      <w:bookmarkEnd w:id="678"/>
      <w:bookmarkEnd w:id="679"/>
    </w:p>
    <w:p w14:paraId="2673AB84">
      <w:pPr>
        <w:spacing w:line="360" w:lineRule="auto"/>
        <w:rPr>
          <w:rFonts w:ascii="宋体" w:hAnsi="宋体" w:eastAsia="宋体" w:cs="Times New Roman"/>
          <w:color w:val="auto"/>
        </w:rPr>
      </w:pPr>
    </w:p>
    <w:p w14:paraId="53AC6D4B">
      <w:pPr>
        <w:spacing w:line="360" w:lineRule="auto"/>
        <w:rPr>
          <w:rFonts w:ascii="宋体" w:hAnsi="宋体" w:eastAsia="宋体" w:cs="Times New Roman"/>
          <w:color w:val="auto"/>
        </w:rPr>
      </w:pPr>
      <w:bookmarkStart w:id="680" w:name="_Hlk167351827"/>
      <w:bookmarkStart w:id="681" w:name="_Hlk137906829"/>
      <w:r>
        <w:rPr>
          <w:rFonts w:ascii="宋体" w:hAnsi="宋体" w:eastAsia="宋体" w:cs="宋体"/>
          <w:color w:val="auto"/>
        </w:rPr>
        <w:t>1.</w:t>
      </w:r>
      <w:r>
        <w:rPr>
          <w:rFonts w:hint="eastAsia" w:ascii="宋体" w:hAnsi="宋体" w:eastAsia="宋体" w:cs="宋体"/>
          <w:color w:val="auto"/>
        </w:rPr>
        <w:t>报价说明</w:t>
      </w:r>
    </w:p>
    <w:p w14:paraId="28C78076">
      <w:pPr>
        <w:spacing w:line="360" w:lineRule="auto"/>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报价表</w:t>
      </w:r>
    </w:p>
    <w:p w14:paraId="0E295B0E">
      <w:pPr>
        <w:spacing w:line="360" w:lineRule="auto"/>
        <w:rPr>
          <w:rFonts w:ascii="宋体" w:hAnsi="宋体" w:eastAsia="宋体" w:cs="Times New Roman"/>
          <w:color w:val="auto"/>
        </w:rPr>
      </w:pPr>
    </w:p>
    <w:p w14:paraId="556A3992">
      <w:pPr>
        <w:spacing w:line="360" w:lineRule="auto"/>
        <w:jc w:val="right"/>
        <w:rPr>
          <w:rFonts w:ascii="宋体" w:hAnsi="宋体" w:eastAsia="宋体" w:cs="Times New Roman"/>
          <w:color w:val="auto"/>
        </w:rPr>
      </w:pPr>
      <w:r>
        <w:rPr>
          <w:rFonts w:hint="eastAsia" w:ascii="宋体" w:hAnsi="宋体" w:eastAsia="宋体" w:cs="宋体"/>
          <w:color w:val="auto"/>
        </w:rPr>
        <w:t>单位：人民币</w:t>
      </w:r>
    </w:p>
    <w:tbl>
      <w:tblPr>
        <w:tblStyle w:val="39"/>
        <w:tblW w:w="963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02"/>
        <w:gridCol w:w="1985"/>
        <w:gridCol w:w="708"/>
        <w:gridCol w:w="709"/>
        <w:gridCol w:w="851"/>
        <w:gridCol w:w="708"/>
        <w:gridCol w:w="709"/>
        <w:gridCol w:w="851"/>
        <w:gridCol w:w="1275"/>
      </w:tblGrid>
      <w:tr w14:paraId="1B27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6" w:type="dxa"/>
            <w:vMerge w:val="restart"/>
            <w:vAlign w:val="center"/>
          </w:tcPr>
          <w:p w14:paraId="65CFB329">
            <w:pPr>
              <w:jc w:val="center"/>
              <w:rPr>
                <w:rFonts w:ascii="宋体" w:hAnsi="宋体" w:eastAsia="宋体" w:cs="Times New Roman"/>
                <w:color w:val="auto"/>
              </w:rPr>
            </w:pPr>
            <w:r>
              <w:rPr>
                <w:rFonts w:hint="eastAsia" w:ascii="宋体" w:hAnsi="宋体" w:eastAsia="宋体" w:cs="宋体"/>
                <w:color w:val="auto"/>
              </w:rPr>
              <w:t>序号</w:t>
            </w:r>
          </w:p>
        </w:tc>
        <w:tc>
          <w:tcPr>
            <w:tcW w:w="1202" w:type="dxa"/>
            <w:vMerge w:val="restart"/>
            <w:vAlign w:val="center"/>
          </w:tcPr>
          <w:p w14:paraId="5ED649B1">
            <w:pPr>
              <w:jc w:val="center"/>
              <w:rPr>
                <w:rFonts w:ascii="宋体" w:hAnsi="宋体" w:eastAsia="宋体" w:cs="Times New Roman"/>
                <w:color w:val="auto"/>
              </w:rPr>
            </w:pPr>
            <w:r>
              <w:rPr>
                <w:rFonts w:hint="eastAsia" w:ascii="宋体" w:hAnsi="宋体" w:eastAsia="宋体" w:cs="宋体"/>
                <w:color w:val="auto"/>
              </w:rPr>
              <w:t>货物名称</w:t>
            </w:r>
          </w:p>
        </w:tc>
        <w:tc>
          <w:tcPr>
            <w:tcW w:w="1985" w:type="dxa"/>
            <w:vMerge w:val="restart"/>
            <w:vAlign w:val="center"/>
          </w:tcPr>
          <w:p w14:paraId="334D29CB">
            <w:pPr>
              <w:jc w:val="center"/>
              <w:rPr>
                <w:rFonts w:ascii="宋体" w:hAnsi="宋体" w:eastAsia="宋体" w:cs="Times New Roman"/>
                <w:color w:val="auto"/>
              </w:rPr>
            </w:pPr>
            <w:r>
              <w:rPr>
                <w:rFonts w:hint="eastAsia" w:ascii="宋体" w:hAnsi="宋体" w:eastAsia="宋体" w:cs="宋体"/>
                <w:color w:val="auto"/>
              </w:rPr>
              <w:t>品牌（如有）</w:t>
            </w:r>
          </w:p>
          <w:p w14:paraId="721EAF00">
            <w:pPr>
              <w:jc w:val="center"/>
              <w:rPr>
                <w:rFonts w:ascii="宋体" w:hAnsi="宋体" w:eastAsia="宋体" w:cs="Times New Roman"/>
                <w:color w:val="auto"/>
              </w:rPr>
            </w:pPr>
            <w:r>
              <w:rPr>
                <w:rFonts w:hint="eastAsia" w:ascii="宋体" w:hAnsi="宋体" w:eastAsia="宋体" w:cs="宋体"/>
                <w:color w:val="auto"/>
              </w:rPr>
              <w:t>及规格型号</w:t>
            </w:r>
          </w:p>
        </w:tc>
        <w:tc>
          <w:tcPr>
            <w:tcW w:w="708" w:type="dxa"/>
            <w:vMerge w:val="restart"/>
            <w:vAlign w:val="center"/>
          </w:tcPr>
          <w:p w14:paraId="63EE478A">
            <w:pPr>
              <w:jc w:val="center"/>
              <w:rPr>
                <w:rFonts w:ascii="宋体" w:hAnsi="宋体" w:eastAsia="宋体" w:cs="Times New Roman"/>
                <w:color w:val="auto"/>
              </w:rPr>
            </w:pPr>
            <w:r>
              <w:rPr>
                <w:rFonts w:hint="eastAsia" w:ascii="宋体" w:hAnsi="宋体" w:eastAsia="宋体" w:cs="宋体"/>
                <w:color w:val="auto"/>
              </w:rPr>
              <w:t>单位</w:t>
            </w:r>
          </w:p>
        </w:tc>
        <w:tc>
          <w:tcPr>
            <w:tcW w:w="709" w:type="dxa"/>
            <w:vMerge w:val="restart"/>
            <w:vAlign w:val="center"/>
          </w:tcPr>
          <w:p w14:paraId="4324910D">
            <w:pPr>
              <w:jc w:val="center"/>
              <w:rPr>
                <w:rFonts w:ascii="宋体" w:hAnsi="宋体" w:eastAsia="宋体" w:cs="Times New Roman"/>
                <w:color w:val="auto"/>
              </w:rPr>
            </w:pPr>
            <w:r>
              <w:rPr>
                <w:rFonts w:hint="eastAsia" w:ascii="宋体" w:hAnsi="宋体" w:eastAsia="宋体" w:cs="宋体"/>
                <w:color w:val="auto"/>
              </w:rPr>
              <w:t>数量</w:t>
            </w:r>
          </w:p>
        </w:tc>
        <w:tc>
          <w:tcPr>
            <w:tcW w:w="2268" w:type="dxa"/>
            <w:gridSpan w:val="3"/>
            <w:vAlign w:val="center"/>
          </w:tcPr>
          <w:p w14:paraId="2525E29E">
            <w:pPr>
              <w:jc w:val="center"/>
              <w:rPr>
                <w:rFonts w:ascii="宋体" w:hAnsi="宋体" w:eastAsia="宋体" w:cs="Times New Roman"/>
                <w:color w:val="auto"/>
              </w:rPr>
            </w:pPr>
            <w:r>
              <w:rPr>
                <w:rFonts w:hint="eastAsia" w:ascii="宋体" w:hAnsi="宋体" w:eastAsia="宋体" w:cs="宋体"/>
                <w:color w:val="auto"/>
              </w:rPr>
              <w:t>单价</w:t>
            </w:r>
          </w:p>
        </w:tc>
        <w:tc>
          <w:tcPr>
            <w:tcW w:w="851" w:type="dxa"/>
            <w:vMerge w:val="restart"/>
            <w:vAlign w:val="center"/>
          </w:tcPr>
          <w:p w14:paraId="3026EC8A">
            <w:pPr>
              <w:jc w:val="center"/>
              <w:rPr>
                <w:rFonts w:ascii="宋体" w:hAnsi="宋体" w:eastAsia="宋体" w:cs="Times New Roman"/>
                <w:color w:val="auto"/>
              </w:rPr>
            </w:pPr>
            <w:r>
              <w:rPr>
                <w:rFonts w:hint="eastAsia" w:ascii="宋体" w:hAnsi="宋体" w:eastAsia="宋体" w:cs="宋体"/>
                <w:color w:val="auto"/>
              </w:rPr>
              <w:t>总价</w:t>
            </w:r>
          </w:p>
        </w:tc>
        <w:tc>
          <w:tcPr>
            <w:tcW w:w="1275" w:type="dxa"/>
            <w:vMerge w:val="restart"/>
            <w:vAlign w:val="center"/>
          </w:tcPr>
          <w:p w14:paraId="5B3272B6">
            <w:pPr>
              <w:jc w:val="center"/>
              <w:rPr>
                <w:rFonts w:ascii="宋体" w:hAnsi="宋体" w:eastAsia="宋体" w:cs="Times New Roman"/>
                <w:color w:val="auto"/>
              </w:rPr>
            </w:pPr>
            <w:r>
              <w:rPr>
                <w:rFonts w:hint="eastAsia" w:ascii="宋体" w:hAnsi="宋体" w:eastAsia="宋体" w:cs="宋体"/>
                <w:color w:val="auto"/>
              </w:rPr>
              <w:t>备注</w:t>
            </w:r>
          </w:p>
          <w:p w14:paraId="78ED64F6">
            <w:pPr>
              <w:jc w:val="center"/>
              <w:rPr>
                <w:rFonts w:ascii="宋体" w:hAnsi="宋体" w:eastAsia="宋体" w:cs="Times New Roman"/>
                <w:color w:val="auto"/>
              </w:rPr>
            </w:pPr>
            <w:r>
              <w:rPr>
                <w:rFonts w:hint="eastAsia" w:ascii="宋体" w:hAnsi="宋体" w:eastAsia="宋体" w:cs="宋体"/>
                <w:color w:val="auto"/>
              </w:rPr>
              <w:t>（生产厂商企业类型）</w:t>
            </w:r>
          </w:p>
        </w:tc>
      </w:tr>
      <w:tr w14:paraId="0F33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6" w:type="dxa"/>
            <w:vMerge w:val="continue"/>
            <w:vAlign w:val="center"/>
          </w:tcPr>
          <w:p w14:paraId="7A63D506">
            <w:pPr>
              <w:jc w:val="center"/>
              <w:rPr>
                <w:rFonts w:ascii="宋体" w:hAnsi="宋体" w:eastAsia="宋体" w:cs="Times New Roman"/>
                <w:color w:val="auto"/>
              </w:rPr>
            </w:pPr>
          </w:p>
        </w:tc>
        <w:tc>
          <w:tcPr>
            <w:tcW w:w="1202" w:type="dxa"/>
            <w:vMerge w:val="continue"/>
            <w:vAlign w:val="center"/>
          </w:tcPr>
          <w:p w14:paraId="1BFBA5B3">
            <w:pPr>
              <w:jc w:val="center"/>
              <w:rPr>
                <w:rFonts w:ascii="宋体" w:hAnsi="宋体" w:eastAsia="宋体" w:cs="Times New Roman"/>
                <w:color w:val="auto"/>
              </w:rPr>
            </w:pPr>
          </w:p>
        </w:tc>
        <w:tc>
          <w:tcPr>
            <w:tcW w:w="1985" w:type="dxa"/>
            <w:vMerge w:val="continue"/>
            <w:vAlign w:val="center"/>
          </w:tcPr>
          <w:p w14:paraId="5841FB90">
            <w:pPr>
              <w:jc w:val="center"/>
              <w:rPr>
                <w:rFonts w:ascii="宋体" w:hAnsi="宋体" w:eastAsia="宋体" w:cs="Times New Roman"/>
                <w:color w:val="auto"/>
              </w:rPr>
            </w:pPr>
          </w:p>
        </w:tc>
        <w:tc>
          <w:tcPr>
            <w:tcW w:w="708" w:type="dxa"/>
            <w:vMerge w:val="continue"/>
            <w:vAlign w:val="center"/>
          </w:tcPr>
          <w:p w14:paraId="511C4F86">
            <w:pPr>
              <w:jc w:val="center"/>
              <w:rPr>
                <w:rFonts w:ascii="宋体" w:hAnsi="宋体" w:eastAsia="宋体" w:cs="Times New Roman"/>
                <w:color w:val="auto"/>
              </w:rPr>
            </w:pPr>
          </w:p>
        </w:tc>
        <w:tc>
          <w:tcPr>
            <w:tcW w:w="709" w:type="dxa"/>
            <w:vMerge w:val="continue"/>
            <w:vAlign w:val="center"/>
          </w:tcPr>
          <w:p w14:paraId="0D5AAC15">
            <w:pPr>
              <w:jc w:val="center"/>
              <w:rPr>
                <w:rFonts w:ascii="宋体" w:hAnsi="宋体" w:eastAsia="宋体" w:cs="Times New Roman"/>
                <w:color w:val="auto"/>
              </w:rPr>
            </w:pPr>
          </w:p>
        </w:tc>
        <w:tc>
          <w:tcPr>
            <w:tcW w:w="851" w:type="dxa"/>
            <w:vAlign w:val="center"/>
          </w:tcPr>
          <w:p w14:paraId="7D445E36">
            <w:pPr>
              <w:jc w:val="center"/>
              <w:rPr>
                <w:rFonts w:ascii="宋体" w:hAnsi="宋体" w:eastAsia="宋体" w:cs="Times New Roman"/>
                <w:color w:val="auto"/>
              </w:rPr>
            </w:pPr>
            <w:r>
              <w:rPr>
                <w:rFonts w:hint="eastAsia" w:ascii="宋体" w:hAnsi="宋体" w:eastAsia="宋体" w:cs="宋体"/>
                <w:color w:val="auto"/>
              </w:rPr>
              <w:t>不含税金额</w:t>
            </w:r>
          </w:p>
        </w:tc>
        <w:tc>
          <w:tcPr>
            <w:tcW w:w="708" w:type="dxa"/>
            <w:vAlign w:val="center"/>
          </w:tcPr>
          <w:p w14:paraId="0FB10047">
            <w:pPr>
              <w:jc w:val="center"/>
              <w:rPr>
                <w:rFonts w:ascii="宋体" w:hAnsi="宋体" w:eastAsia="宋体" w:cs="Times New Roman"/>
                <w:color w:val="auto"/>
              </w:rPr>
            </w:pPr>
            <w:r>
              <w:rPr>
                <w:rFonts w:hint="eastAsia" w:ascii="宋体" w:hAnsi="宋体" w:eastAsia="宋体" w:cs="宋体"/>
                <w:color w:val="auto"/>
              </w:rPr>
              <w:t>税率</w:t>
            </w:r>
          </w:p>
        </w:tc>
        <w:tc>
          <w:tcPr>
            <w:tcW w:w="709" w:type="dxa"/>
            <w:vAlign w:val="center"/>
          </w:tcPr>
          <w:p w14:paraId="4BE17584">
            <w:pPr>
              <w:jc w:val="center"/>
              <w:rPr>
                <w:rFonts w:ascii="宋体" w:hAnsi="宋体" w:eastAsia="宋体" w:cs="Times New Roman"/>
                <w:color w:val="auto"/>
              </w:rPr>
            </w:pPr>
            <w:r>
              <w:rPr>
                <w:rFonts w:hint="eastAsia" w:ascii="宋体" w:hAnsi="宋体" w:eastAsia="宋体" w:cs="宋体"/>
                <w:color w:val="auto"/>
              </w:rPr>
              <w:t>价税合计</w:t>
            </w:r>
          </w:p>
        </w:tc>
        <w:tc>
          <w:tcPr>
            <w:tcW w:w="851" w:type="dxa"/>
            <w:vMerge w:val="continue"/>
            <w:vAlign w:val="center"/>
          </w:tcPr>
          <w:p w14:paraId="665CF20C">
            <w:pPr>
              <w:jc w:val="center"/>
              <w:rPr>
                <w:rFonts w:ascii="宋体" w:hAnsi="宋体" w:eastAsia="宋体" w:cs="Times New Roman"/>
                <w:color w:val="auto"/>
              </w:rPr>
            </w:pPr>
          </w:p>
        </w:tc>
        <w:tc>
          <w:tcPr>
            <w:tcW w:w="1275" w:type="dxa"/>
            <w:vMerge w:val="continue"/>
            <w:vAlign w:val="center"/>
          </w:tcPr>
          <w:p w14:paraId="19F3C1D8">
            <w:pPr>
              <w:jc w:val="center"/>
              <w:rPr>
                <w:rFonts w:ascii="宋体" w:hAnsi="宋体" w:eastAsia="宋体" w:cs="Times New Roman"/>
                <w:color w:val="auto"/>
              </w:rPr>
            </w:pPr>
          </w:p>
        </w:tc>
      </w:tr>
      <w:tr w14:paraId="5917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2F5FD97F">
            <w:pPr>
              <w:jc w:val="center"/>
              <w:rPr>
                <w:rFonts w:ascii="宋体" w:hAnsi="宋体" w:eastAsia="宋体" w:cs="宋体"/>
                <w:color w:val="auto"/>
              </w:rPr>
            </w:pPr>
            <w:r>
              <w:rPr>
                <w:rFonts w:ascii="宋体" w:hAnsi="宋体" w:eastAsia="宋体" w:cs="宋体"/>
                <w:color w:val="auto"/>
              </w:rPr>
              <w:t>1</w:t>
            </w:r>
          </w:p>
        </w:tc>
        <w:tc>
          <w:tcPr>
            <w:tcW w:w="1202" w:type="dxa"/>
            <w:vAlign w:val="center"/>
          </w:tcPr>
          <w:p w14:paraId="1DFE468C">
            <w:pPr>
              <w:jc w:val="center"/>
              <w:rPr>
                <w:rFonts w:ascii="宋体" w:hAnsi="宋体" w:eastAsia="宋体" w:cs="宋体"/>
                <w:color w:val="auto"/>
              </w:rPr>
            </w:pPr>
          </w:p>
        </w:tc>
        <w:tc>
          <w:tcPr>
            <w:tcW w:w="1985" w:type="dxa"/>
            <w:vAlign w:val="center"/>
          </w:tcPr>
          <w:p w14:paraId="2F0071B1">
            <w:pPr>
              <w:jc w:val="center"/>
              <w:rPr>
                <w:rFonts w:ascii="宋体" w:hAnsi="宋体" w:eastAsia="宋体" w:cs="宋体"/>
                <w:color w:val="auto"/>
              </w:rPr>
            </w:pPr>
          </w:p>
        </w:tc>
        <w:tc>
          <w:tcPr>
            <w:tcW w:w="708" w:type="dxa"/>
            <w:vAlign w:val="center"/>
          </w:tcPr>
          <w:p w14:paraId="68D9806C">
            <w:pPr>
              <w:jc w:val="center"/>
              <w:rPr>
                <w:rFonts w:ascii="宋体" w:hAnsi="宋体" w:eastAsia="宋体" w:cs="宋体"/>
                <w:color w:val="auto"/>
              </w:rPr>
            </w:pPr>
          </w:p>
        </w:tc>
        <w:tc>
          <w:tcPr>
            <w:tcW w:w="709" w:type="dxa"/>
            <w:vAlign w:val="center"/>
          </w:tcPr>
          <w:p w14:paraId="596AF2B5">
            <w:pPr>
              <w:jc w:val="center"/>
              <w:rPr>
                <w:rFonts w:ascii="宋体" w:hAnsi="宋体" w:eastAsia="宋体" w:cs="宋体"/>
                <w:color w:val="auto"/>
              </w:rPr>
            </w:pPr>
          </w:p>
        </w:tc>
        <w:tc>
          <w:tcPr>
            <w:tcW w:w="851" w:type="dxa"/>
            <w:vAlign w:val="center"/>
          </w:tcPr>
          <w:p w14:paraId="47AEEE81">
            <w:pPr>
              <w:jc w:val="center"/>
              <w:rPr>
                <w:rFonts w:ascii="宋体" w:hAnsi="宋体" w:eastAsia="宋体" w:cs="宋体"/>
                <w:color w:val="auto"/>
              </w:rPr>
            </w:pPr>
          </w:p>
        </w:tc>
        <w:tc>
          <w:tcPr>
            <w:tcW w:w="708" w:type="dxa"/>
            <w:vAlign w:val="center"/>
          </w:tcPr>
          <w:p w14:paraId="2D0FB297">
            <w:pPr>
              <w:jc w:val="center"/>
              <w:rPr>
                <w:rFonts w:ascii="宋体" w:hAnsi="宋体" w:eastAsia="宋体" w:cs="宋体"/>
                <w:color w:val="auto"/>
              </w:rPr>
            </w:pPr>
          </w:p>
        </w:tc>
        <w:tc>
          <w:tcPr>
            <w:tcW w:w="709" w:type="dxa"/>
            <w:vAlign w:val="center"/>
          </w:tcPr>
          <w:p w14:paraId="3F1904E8">
            <w:pPr>
              <w:jc w:val="center"/>
              <w:rPr>
                <w:rFonts w:ascii="宋体" w:hAnsi="宋体" w:eastAsia="宋体" w:cs="宋体"/>
                <w:color w:val="auto"/>
              </w:rPr>
            </w:pPr>
          </w:p>
        </w:tc>
        <w:tc>
          <w:tcPr>
            <w:tcW w:w="851" w:type="dxa"/>
            <w:vAlign w:val="center"/>
          </w:tcPr>
          <w:p w14:paraId="7BE9C69A">
            <w:pPr>
              <w:jc w:val="center"/>
              <w:rPr>
                <w:rFonts w:ascii="宋体" w:hAnsi="宋体" w:eastAsia="宋体" w:cs="宋体"/>
                <w:color w:val="auto"/>
              </w:rPr>
            </w:pPr>
          </w:p>
        </w:tc>
        <w:tc>
          <w:tcPr>
            <w:tcW w:w="1275" w:type="dxa"/>
            <w:vAlign w:val="center"/>
          </w:tcPr>
          <w:p w14:paraId="2495A29B">
            <w:pPr>
              <w:jc w:val="center"/>
              <w:rPr>
                <w:rFonts w:ascii="宋体" w:hAnsi="宋体" w:eastAsia="宋体" w:cs="宋体"/>
                <w:color w:val="auto"/>
              </w:rPr>
            </w:pPr>
          </w:p>
        </w:tc>
      </w:tr>
      <w:tr w14:paraId="1CEE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162F5D6F">
            <w:pPr>
              <w:jc w:val="center"/>
              <w:rPr>
                <w:rFonts w:ascii="宋体" w:hAnsi="宋体" w:eastAsia="宋体" w:cs="宋体"/>
                <w:color w:val="auto"/>
              </w:rPr>
            </w:pPr>
            <w:r>
              <w:rPr>
                <w:rFonts w:ascii="宋体" w:hAnsi="宋体" w:eastAsia="宋体" w:cs="宋体"/>
                <w:color w:val="auto"/>
              </w:rPr>
              <w:t>2</w:t>
            </w:r>
          </w:p>
        </w:tc>
        <w:tc>
          <w:tcPr>
            <w:tcW w:w="1202" w:type="dxa"/>
            <w:vAlign w:val="center"/>
          </w:tcPr>
          <w:p w14:paraId="01588762">
            <w:pPr>
              <w:jc w:val="center"/>
              <w:rPr>
                <w:rFonts w:ascii="宋体" w:hAnsi="宋体" w:eastAsia="宋体" w:cs="宋体"/>
                <w:color w:val="auto"/>
              </w:rPr>
            </w:pPr>
          </w:p>
        </w:tc>
        <w:tc>
          <w:tcPr>
            <w:tcW w:w="1985" w:type="dxa"/>
            <w:vAlign w:val="center"/>
          </w:tcPr>
          <w:p w14:paraId="5152FDC9">
            <w:pPr>
              <w:jc w:val="center"/>
              <w:rPr>
                <w:rFonts w:ascii="宋体" w:hAnsi="宋体" w:eastAsia="宋体" w:cs="宋体"/>
                <w:color w:val="auto"/>
              </w:rPr>
            </w:pPr>
          </w:p>
        </w:tc>
        <w:tc>
          <w:tcPr>
            <w:tcW w:w="708" w:type="dxa"/>
            <w:vAlign w:val="center"/>
          </w:tcPr>
          <w:p w14:paraId="156DC01A">
            <w:pPr>
              <w:jc w:val="center"/>
              <w:rPr>
                <w:rFonts w:ascii="宋体" w:hAnsi="宋体" w:eastAsia="宋体" w:cs="宋体"/>
                <w:color w:val="auto"/>
              </w:rPr>
            </w:pPr>
          </w:p>
        </w:tc>
        <w:tc>
          <w:tcPr>
            <w:tcW w:w="709" w:type="dxa"/>
            <w:vAlign w:val="center"/>
          </w:tcPr>
          <w:p w14:paraId="5CB05228">
            <w:pPr>
              <w:jc w:val="center"/>
              <w:rPr>
                <w:rFonts w:ascii="宋体" w:hAnsi="宋体" w:eastAsia="宋体" w:cs="宋体"/>
                <w:color w:val="auto"/>
              </w:rPr>
            </w:pPr>
          </w:p>
        </w:tc>
        <w:tc>
          <w:tcPr>
            <w:tcW w:w="851" w:type="dxa"/>
            <w:vAlign w:val="center"/>
          </w:tcPr>
          <w:p w14:paraId="673B18E7">
            <w:pPr>
              <w:jc w:val="center"/>
              <w:rPr>
                <w:rFonts w:ascii="宋体" w:hAnsi="宋体" w:eastAsia="宋体" w:cs="宋体"/>
                <w:color w:val="auto"/>
              </w:rPr>
            </w:pPr>
          </w:p>
        </w:tc>
        <w:tc>
          <w:tcPr>
            <w:tcW w:w="708" w:type="dxa"/>
            <w:vAlign w:val="center"/>
          </w:tcPr>
          <w:p w14:paraId="69F874F8">
            <w:pPr>
              <w:jc w:val="center"/>
              <w:rPr>
                <w:rFonts w:ascii="宋体" w:hAnsi="宋体" w:eastAsia="宋体" w:cs="宋体"/>
                <w:color w:val="auto"/>
              </w:rPr>
            </w:pPr>
          </w:p>
        </w:tc>
        <w:tc>
          <w:tcPr>
            <w:tcW w:w="709" w:type="dxa"/>
            <w:vAlign w:val="center"/>
          </w:tcPr>
          <w:p w14:paraId="4E38BA4D">
            <w:pPr>
              <w:jc w:val="center"/>
              <w:rPr>
                <w:rFonts w:ascii="宋体" w:hAnsi="宋体" w:eastAsia="宋体" w:cs="宋体"/>
                <w:color w:val="auto"/>
              </w:rPr>
            </w:pPr>
          </w:p>
        </w:tc>
        <w:tc>
          <w:tcPr>
            <w:tcW w:w="851" w:type="dxa"/>
            <w:vAlign w:val="center"/>
          </w:tcPr>
          <w:p w14:paraId="4FA111B8">
            <w:pPr>
              <w:jc w:val="center"/>
              <w:rPr>
                <w:rFonts w:ascii="宋体" w:hAnsi="宋体" w:eastAsia="宋体" w:cs="宋体"/>
                <w:color w:val="auto"/>
              </w:rPr>
            </w:pPr>
          </w:p>
        </w:tc>
        <w:tc>
          <w:tcPr>
            <w:tcW w:w="1275" w:type="dxa"/>
            <w:vAlign w:val="center"/>
          </w:tcPr>
          <w:p w14:paraId="6928051B">
            <w:pPr>
              <w:jc w:val="center"/>
              <w:rPr>
                <w:rFonts w:ascii="宋体" w:hAnsi="宋体" w:eastAsia="宋体" w:cs="宋体"/>
                <w:color w:val="auto"/>
              </w:rPr>
            </w:pPr>
          </w:p>
        </w:tc>
      </w:tr>
      <w:tr w14:paraId="0F640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3C9F10A0">
            <w:pPr>
              <w:jc w:val="center"/>
              <w:rPr>
                <w:rFonts w:ascii="宋体" w:hAnsi="宋体" w:eastAsia="宋体" w:cs="宋体"/>
                <w:color w:val="auto"/>
              </w:rPr>
            </w:pPr>
            <w:r>
              <w:rPr>
                <w:rFonts w:ascii="宋体" w:hAnsi="宋体" w:eastAsia="宋体" w:cs="宋体"/>
                <w:color w:val="auto"/>
              </w:rPr>
              <w:t>3</w:t>
            </w:r>
          </w:p>
        </w:tc>
        <w:tc>
          <w:tcPr>
            <w:tcW w:w="1202" w:type="dxa"/>
            <w:vAlign w:val="center"/>
          </w:tcPr>
          <w:p w14:paraId="6A43CFEC">
            <w:pPr>
              <w:jc w:val="center"/>
              <w:rPr>
                <w:rFonts w:ascii="宋体" w:hAnsi="宋体" w:eastAsia="宋体" w:cs="宋体"/>
                <w:color w:val="auto"/>
              </w:rPr>
            </w:pPr>
          </w:p>
        </w:tc>
        <w:tc>
          <w:tcPr>
            <w:tcW w:w="1985" w:type="dxa"/>
            <w:vAlign w:val="center"/>
          </w:tcPr>
          <w:p w14:paraId="797EC1A3">
            <w:pPr>
              <w:jc w:val="center"/>
              <w:rPr>
                <w:rFonts w:ascii="宋体" w:hAnsi="宋体" w:eastAsia="宋体" w:cs="宋体"/>
                <w:color w:val="auto"/>
              </w:rPr>
            </w:pPr>
          </w:p>
        </w:tc>
        <w:tc>
          <w:tcPr>
            <w:tcW w:w="708" w:type="dxa"/>
            <w:vAlign w:val="center"/>
          </w:tcPr>
          <w:p w14:paraId="2B604D1F">
            <w:pPr>
              <w:jc w:val="center"/>
              <w:rPr>
                <w:rFonts w:ascii="宋体" w:hAnsi="宋体" w:eastAsia="宋体" w:cs="宋体"/>
                <w:color w:val="auto"/>
              </w:rPr>
            </w:pPr>
          </w:p>
        </w:tc>
        <w:tc>
          <w:tcPr>
            <w:tcW w:w="709" w:type="dxa"/>
            <w:vAlign w:val="center"/>
          </w:tcPr>
          <w:p w14:paraId="5AFEDD90">
            <w:pPr>
              <w:jc w:val="center"/>
              <w:rPr>
                <w:rFonts w:ascii="宋体" w:hAnsi="宋体" w:eastAsia="宋体" w:cs="宋体"/>
                <w:color w:val="auto"/>
              </w:rPr>
            </w:pPr>
          </w:p>
        </w:tc>
        <w:tc>
          <w:tcPr>
            <w:tcW w:w="851" w:type="dxa"/>
            <w:vAlign w:val="center"/>
          </w:tcPr>
          <w:p w14:paraId="593AEDFA">
            <w:pPr>
              <w:jc w:val="center"/>
              <w:rPr>
                <w:rFonts w:ascii="宋体" w:hAnsi="宋体" w:eastAsia="宋体" w:cs="宋体"/>
                <w:color w:val="auto"/>
              </w:rPr>
            </w:pPr>
          </w:p>
        </w:tc>
        <w:tc>
          <w:tcPr>
            <w:tcW w:w="708" w:type="dxa"/>
            <w:vAlign w:val="center"/>
          </w:tcPr>
          <w:p w14:paraId="7C85DE6F">
            <w:pPr>
              <w:jc w:val="center"/>
              <w:rPr>
                <w:rFonts w:ascii="宋体" w:hAnsi="宋体" w:eastAsia="宋体" w:cs="宋体"/>
                <w:color w:val="auto"/>
              </w:rPr>
            </w:pPr>
          </w:p>
        </w:tc>
        <w:tc>
          <w:tcPr>
            <w:tcW w:w="709" w:type="dxa"/>
            <w:vAlign w:val="center"/>
          </w:tcPr>
          <w:p w14:paraId="72624F74">
            <w:pPr>
              <w:jc w:val="center"/>
              <w:rPr>
                <w:rFonts w:ascii="宋体" w:hAnsi="宋体" w:eastAsia="宋体" w:cs="宋体"/>
                <w:color w:val="auto"/>
              </w:rPr>
            </w:pPr>
          </w:p>
        </w:tc>
        <w:tc>
          <w:tcPr>
            <w:tcW w:w="851" w:type="dxa"/>
            <w:vAlign w:val="center"/>
          </w:tcPr>
          <w:p w14:paraId="2F28317B">
            <w:pPr>
              <w:jc w:val="center"/>
              <w:rPr>
                <w:rFonts w:ascii="宋体" w:hAnsi="宋体" w:eastAsia="宋体" w:cs="宋体"/>
                <w:color w:val="auto"/>
              </w:rPr>
            </w:pPr>
          </w:p>
        </w:tc>
        <w:tc>
          <w:tcPr>
            <w:tcW w:w="1275" w:type="dxa"/>
            <w:vAlign w:val="center"/>
          </w:tcPr>
          <w:p w14:paraId="61264D7B">
            <w:pPr>
              <w:jc w:val="center"/>
              <w:rPr>
                <w:rFonts w:ascii="宋体" w:hAnsi="宋体" w:eastAsia="宋体" w:cs="宋体"/>
                <w:color w:val="auto"/>
              </w:rPr>
            </w:pPr>
          </w:p>
        </w:tc>
      </w:tr>
      <w:tr w14:paraId="4AC0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252C78A1">
            <w:pPr>
              <w:jc w:val="center"/>
              <w:rPr>
                <w:rFonts w:ascii="宋体" w:hAnsi="宋体" w:eastAsia="宋体" w:cs="宋体"/>
                <w:color w:val="auto"/>
              </w:rPr>
            </w:pPr>
            <w:r>
              <w:rPr>
                <w:rFonts w:ascii="宋体" w:hAnsi="宋体" w:eastAsia="宋体" w:cs="宋体"/>
                <w:color w:val="auto"/>
              </w:rPr>
              <w:t>4</w:t>
            </w:r>
          </w:p>
        </w:tc>
        <w:tc>
          <w:tcPr>
            <w:tcW w:w="1202" w:type="dxa"/>
            <w:vAlign w:val="center"/>
          </w:tcPr>
          <w:p w14:paraId="481B2B4B">
            <w:pPr>
              <w:jc w:val="center"/>
              <w:rPr>
                <w:rFonts w:ascii="宋体" w:hAnsi="宋体" w:eastAsia="宋体" w:cs="宋体"/>
                <w:color w:val="auto"/>
              </w:rPr>
            </w:pPr>
          </w:p>
        </w:tc>
        <w:tc>
          <w:tcPr>
            <w:tcW w:w="1985" w:type="dxa"/>
            <w:vAlign w:val="center"/>
          </w:tcPr>
          <w:p w14:paraId="01EB5C03">
            <w:pPr>
              <w:jc w:val="center"/>
              <w:rPr>
                <w:rFonts w:ascii="宋体" w:hAnsi="宋体" w:eastAsia="宋体" w:cs="宋体"/>
                <w:color w:val="auto"/>
              </w:rPr>
            </w:pPr>
          </w:p>
        </w:tc>
        <w:tc>
          <w:tcPr>
            <w:tcW w:w="708" w:type="dxa"/>
            <w:vAlign w:val="center"/>
          </w:tcPr>
          <w:p w14:paraId="46AC5DBB">
            <w:pPr>
              <w:jc w:val="center"/>
              <w:rPr>
                <w:rFonts w:ascii="宋体" w:hAnsi="宋体" w:eastAsia="宋体" w:cs="宋体"/>
                <w:color w:val="auto"/>
              </w:rPr>
            </w:pPr>
          </w:p>
        </w:tc>
        <w:tc>
          <w:tcPr>
            <w:tcW w:w="709" w:type="dxa"/>
            <w:vAlign w:val="center"/>
          </w:tcPr>
          <w:p w14:paraId="5225B43A">
            <w:pPr>
              <w:jc w:val="center"/>
              <w:rPr>
                <w:rFonts w:ascii="宋体" w:hAnsi="宋体" w:eastAsia="宋体" w:cs="宋体"/>
                <w:color w:val="auto"/>
              </w:rPr>
            </w:pPr>
          </w:p>
        </w:tc>
        <w:tc>
          <w:tcPr>
            <w:tcW w:w="851" w:type="dxa"/>
            <w:vAlign w:val="center"/>
          </w:tcPr>
          <w:p w14:paraId="176525CE">
            <w:pPr>
              <w:jc w:val="center"/>
              <w:rPr>
                <w:rFonts w:ascii="宋体" w:hAnsi="宋体" w:eastAsia="宋体" w:cs="宋体"/>
                <w:color w:val="auto"/>
              </w:rPr>
            </w:pPr>
          </w:p>
        </w:tc>
        <w:tc>
          <w:tcPr>
            <w:tcW w:w="708" w:type="dxa"/>
            <w:vAlign w:val="center"/>
          </w:tcPr>
          <w:p w14:paraId="5EE70F68">
            <w:pPr>
              <w:jc w:val="center"/>
              <w:rPr>
                <w:rFonts w:ascii="宋体" w:hAnsi="宋体" w:eastAsia="宋体" w:cs="宋体"/>
                <w:color w:val="auto"/>
              </w:rPr>
            </w:pPr>
          </w:p>
        </w:tc>
        <w:tc>
          <w:tcPr>
            <w:tcW w:w="709" w:type="dxa"/>
            <w:vAlign w:val="center"/>
          </w:tcPr>
          <w:p w14:paraId="6B3EED60">
            <w:pPr>
              <w:jc w:val="center"/>
              <w:rPr>
                <w:rFonts w:ascii="宋体" w:hAnsi="宋体" w:eastAsia="宋体" w:cs="宋体"/>
                <w:color w:val="auto"/>
              </w:rPr>
            </w:pPr>
          </w:p>
        </w:tc>
        <w:tc>
          <w:tcPr>
            <w:tcW w:w="851" w:type="dxa"/>
            <w:vAlign w:val="center"/>
          </w:tcPr>
          <w:p w14:paraId="42316D2E">
            <w:pPr>
              <w:jc w:val="center"/>
              <w:rPr>
                <w:rFonts w:ascii="宋体" w:hAnsi="宋体" w:eastAsia="宋体" w:cs="宋体"/>
                <w:color w:val="auto"/>
              </w:rPr>
            </w:pPr>
          </w:p>
        </w:tc>
        <w:tc>
          <w:tcPr>
            <w:tcW w:w="1275" w:type="dxa"/>
            <w:vAlign w:val="center"/>
          </w:tcPr>
          <w:p w14:paraId="0FF6595A">
            <w:pPr>
              <w:jc w:val="center"/>
              <w:rPr>
                <w:rFonts w:ascii="宋体" w:hAnsi="宋体" w:eastAsia="宋体" w:cs="宋体"/>
                <w:color w:val="auto"/>
              </w:rPr>
            </w:pPr>
          </w:p>
        </w:tc>
      </w:tr>
      <w:tr w14:paraId="4D43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61851329">
            <w:pPr>
              <w:jc w:val="center"/>
              <w:rPr>
                <w:rFonts w:ascii="宋体" w:hAnsi="宋体" w:eastAsia="宋体" w:cs="宋体"/>
                <w:color w:val="auto"/>
              </w:rPr>
            </w:pPr>
            <w:r>
              <w:rPr>
                <w:rFonts w:ascii="宋体" w:hAnsi="宋体" w:eastAsia="宋体" w:cs="宋体"/>
                <w:color w:val="auto"/>
              </w:rPr>
              <w:t>5</w:t>
            </w:r>
          </w:p>
        </w:tc>
        <w:tc>
          <w:tcPr>
            <w:tcW w:w="1202" w:type="dxa"/>
            <w:vAlign w:val="center"/>
          </w:tcPr>
          <w:p w14:paraId="022A703D">
            <w:pPr>
              <w:jc w:val="center"/>
              <w:rPr>
                <w:rFonts w:ascii="宋体" w:hAnsi="宋体" w:eastAsia="宋体" w:cs="宋体"/>
                <w:color w:val="auto"/>
              </w:rPr>
            </w:pPr>
          </w:p>
        </w:tc>
        <w:tc>
          <w:tcPr>
            <w:tcW w:w="1985" w:type="dxa"/>
            <w:vAlign w:val="center"/>
          </w:tcPr>
          <w:p w14:paraId="5F83A19D">
            <w:pPr>
              <w:jc w:val="center"/>
              <w:rPr>
                <w:rFonts w:ascii="宋体" w:hAnsi="宋体" w:eastAsia="宋体" w:cs="宋体"/>
                <w:color w:val="auto"/>
              </w:rPr>
            </w:pPr>
          </w:p>
        </w:tc>
        <w:tc>
          <w:tcPr>
            <w:tcW w:w="708" w:type="dxa"/>
            <w:vAlign w:val="center"/>
          </w:tcPr>
          <w:p w14:paraId="66CBC1B1">
            <w:pPr>
              <w:jc w:val="center"/>
              <w:rPr>
                <w:rFonts w:ascii="宋体" w:hAnsi="宋体" w:eastAsia="宋体" w:cs="宋体"/>
                <w:color w:val="auto"/>
              </w:rPr>
            </w:pPr>
          </w:p>
        </w:tc>
        <w:tc>
          <w:tcPr>
            <w:tcW w:w="709" w:type="dxa"/>
            <w:vAlign w:val="center"/>
          </w:tcPr>
          <w:p w14:paraId="38B2F313">
            <w:pPr>
              <w:jc w:val="center"/>
              <w:rPr>
                <w:rFonts w:ascii="宋体" w:hAnsi="宋体" w:eastAsia="宋体" w:cs="宋体"/>
                <w:color w:val="auto"/>
              </w:rPr>
            </w:pPr>
          </w:p>
        </w:tc>
        <w:tc>
          <w:tcPr>
            <w:tcW w:w="851" w:type="dxa"/>
            <w:vAlign w:val="center"/>
          </w:tcPr>
          <w:p w14:paraId="47EC17F2">
            <w:pPr>
              <w:jc w:val="center"/>
              <w:rPr>
                <w:rFonts w:ascii="宋体" w:hAnsi="宋体" w:eastAsia="宋体" w:cs="宋体"/>
                <w:color w:val="auto"/>
              </w:rPr>
            </w:pPr>
          </w:p>
        </w:tc>
        <w:tc>
          <w:tcPr>
            <w:tcW w:w="708" w:type="dxa"/>
            <w:vAlign w:val="center"/>
          </w:tcPr>
          <w:p w14:paraId="26C6C646">
            <w:pPr>
              <w:jc w:val="center"/>
              <w:rPr>
                <w:rFonts w:ascii="宋体" w:hAnsi="宋体" w:eastAsia="宋体" w:cs="宋体"/>
                <w:color w:val="auto"/>
              </w:rPr>
            </w:pPr>
          </w:p>
        </w:tc>
        <w:tc>
          <w:tcPr>
            <w:tcW w:w="709" w:type="dxa"/>
            <w:vAlign w:val="center"/>
          </w:tcPr>
          <w:p w14:paraId="7D6CE383">
            <w:pPr>
              <w:jc w:val="center"/>
              <w:rPr>
                <w:rFonts w:ascii="宋体" w:hAnsi="宋体" w:eastAsia="宋体" w:cs="宋体"/>
                <w:color w:val="auto"/>
              </w:rPr>
            </w:pPr>
          </w:p>
        </w:tc>
        <w:tc>
          <w:tcPr>
            <w:tcW w:w="851" w:type="dxa"/>
            <w:vAlign w:val="center"/>
          </w:tcPr>
          <w:p w14:paraId="6B33A2DD">
            <w:pPr>
              <w:jc w:val="center"/>
              <w:rPr>
                <w:rFonts w:ascii="宋体" w:hAnsi="宋体" w:eastAsia="宋体" w:cs="宋体"/>
                <w:color w:val="auto"/>
              </w:rPr>
            </w:pPr>
          </w:p>
        </w:tc>
        <w:tc>
          <w:tcPr>
            <w:tcW w:w="1275" w:type="dxa"/>
            <w:vAlign w:val="center"/>
          </w:tcPr>
          <w:p w14:paraId="690D0671">
            <w:pPr>
              <w:jc w:val="center"/>
              <w:rPr>
                <w:rFonts w:ascii="宋体" w:hAnsi="宋体" w:eastAsia="宋体" w:cs="宋体"/>
                <w:color w:val="auto"/>
              </w:rPr>
            </w:pPr>
          </w:p>
        </w:tc>
      </w:tr>
      <w:tr w14:paraId="5D650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75DFAE6C">
            <w:pPr>
              <w:jc w:val="center"/>
              <w:rPr>
                <w:rFonts w:ascii="宋体" w:hAnsi="宋体" w:eastAsia="宋体" w:cs="Times New Roman"/>
                <w:color w:val="auto"/>
              </w:rPr>
            </w:pPr>
            <w:r>
              <w:rPr>
                <w:rFonts w:hint="eastAsia" w:ascii="宋体" w:hAnsi="宋体" w:eastAsia="宋体" w:cs="宋体"/>
                <w:color w:val="auto"/>
              </w:rPr>
              <w:t>……</w:t>
            </w:r>
          </w:p>
        </w:tc>
        <w:tc>
          <w:tcPr>
            <w:tcW w:w="1202" w:type="dxa"/>
            <w:vAlign w:val="center"/>
          </w:tcPr>
          <w:p w14:paraId="71FEBE87">
            <w:pPr>
              <w:jc w:val="center"/>
              <w:rPr>
                <w:rFonts w:ascii="宋体" w:hAnsi="宋体" w:eastAsia="宋体" w:cs="Times New Roman"/>
                <w:color w:val="auto"/>
              </w:rPr>
            </w:pPr>
          </w:p>
        </w:tc>
        <w:tc>
          <w:tcPr>
            <w:tcW w:w="1985" w:type="dxa"/>
            <w:vAlign w:val="center"/>
          </w:tcPr>
          <w:p w14:paraId="2CFEEEA1">
            <w:pPr>
              <w:jc w:val="center"/>
              <w:rPr>
                <w:rFonts w:ascii="宋体" w:hAnsi="宋体" w:eastAsia="宋体" w:cs="Times New Roman"/>
                <w:color w:val="auto"/>
              </w:rPr>
            </w:pPr>
          </w:p>
        </w:tc>
        <w:tc>
          <w:tcPr>
            <w:tcW w:w="708" w:type="dxa"/>
            <w:vAlign w:val="center"/>
          </w:tcPr>
          <w:p w14:paraId="79DE4AC2">
            <w:pPr>
              <w:jc w:val="center"/>
              <w:rPr>
                <w:rFonts w:ascii="宋体" w:hAnsi="宋体" w:eastAsia="宋体" w:cs="Times New Roman"/>
                <w:color w:val="auto"/>
              </w:rPr>
            </w:pPr>
          </w:p>
        </w:tc>
        <w:tc>
          <w:tcPr>
            <w:tcW w:w="709" w:type="dxa"/>
            <w:vAlign w:val="center"/>
          </w:tcPr>
          <w:p w14:paraId="470A79BA">
            <w:pPr>
              <w:jc w:val="center"/>
              <w:rPr>
                <w:rFonts w:ascii="宋体" w:hAnsi="宋体" w:eastAsia="宋体" w:cs="Times New Roman"/>
                <w:color w:val="auto"/>
              </w:rPr>
            </w:pPr>
          </w:p>
        </w:tc>
        <w:tc>
          <w:tcPr>
            <w:tcW w:w="851" w:type="dxa"/>
            <w:vAlign w:val="center"/>
          </w:tcPr>
          <w:p w14:paraId="567B28C0">
            <w:pPr>
              <w:jc w:val="center"/>
              <w:rPr>
                <w:rFonts w:ascii="宋体" w:hAnsi="宋体" w:eastAsia="宋体" w:cs="Times New Roman"/>
                <w:color w:val="auto"/>
              </w:rPr>
            </w:pPr>
          </w:p>
        </w:tc>
        <w:tc>
          <w:tcPr>
            <w:tcW w:w="708" w:type="dxa"/>
            <w:vAlign w:val="center"/>
          </w:tcPr>
          <w:p w14:paraId="25CB42FE">
            <w:pPr>
              <w:jc w:val="center"/>
              <w:rPr>
                <w:rFonts w:ascii="宋体" w:hAnsi="宋体" w:eastAsia="宋体" w:cs="Times New Roman"/>
                <w:color w:val="auto"/>
              </w:rPr>
            </w:pPr>
          </w:p>
        </w:tc>
        <w:tc>
          <w:tcPr>
            <w:tcW w:w="709" w:type="dxa"/>
            <w:vAlign w:val="center"/>
          </w:tcPr>
          <w:p w14:paraId="3BAF4FCC">
            <w:pPr>
              <w:jc w:val="center"/>
              <w:rPr>
                <w:rFonts w:ascii="宋体" w:hAnsi="宋体" w:eastAsia="宋体" w:cs="Times New Roman"/>
                <w:color w:val="auto"/>
              </w:rPr>
            </w:pPr>
          </w:p>
        </w:tc>
        <w:tc>
          <w:tcPr>
            <w:tcW w:w="851" w:type="dxa"/>
            <w:vAlign w:val="center"/>
          </w:tcPr>
          <w:p w14:paraId="31706603">
            <w:pPr>
              <w:jc w:val="center"/>
              <w:rPr>
                <w:rFonts w:ascii="宋体" w:hAnsi="宋体" w:eastAsia="宋体" w:cs="Times New Roman"/>
                <w:color w:val="auto"/>
              </w:rPr>
            </w:pPr>
          </w:p>
        </w:tc>
        <w:tc>
          <w:tcPr>
            <w:tcW w:w="1275" w:type="dxa"/>
            <w:vAlign w:val="center"/>
          </w:tcPr>
          <w:p w14:paraId="1B01DE42">
            <w:pPr>
              <w:jc w:val="center"/>
              <w:rPr>
                <w:rFonts w:ascii="宋体" w:hAnsi="宋体" w:eastAsia="宋体" w:cs="Times New Roman"/>
                <w:color w:val="auto"/>
              </w:rPr>
            </w:pPr>
          </w:p>
        </w:tc>
      </w:tr>
      <w:tr w14:paraId="67F8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Pr>
          <w:p w14:paraId="691F6B04">
            <w:pPr>
              <w:jc w:val="center"/>
              <w:rPr>
                <w:rFonts w:ascii="宋体" w:hAnsi="宋体" w:eastAsia="宋体" w:cs="Times New Roman"/>
                <w:color w:val="auto"/>
              </w:rPr>
            </w:pPr>
          </w:p>
        </w:tc>
        <w:tc>
          <w:tcPr>
            <w:tcW w:w="6872" w:type="dxa"/>
            <w:gridSpan w:val="7"/>
            <w:vAlign w:val="center"/>
          </w:tcPr>
          <w:p w14:paraId="64700437">
            <w:pPr>
              <w:jc w:val="center"/>
              <w:rPr>
                <w:rFonts w:ascii="宋体" w:hAnsi="宋体" w:eastAsia="宋体" w:cs="Times New Roman"/>
                <w:color w:val="auto"/>
              </w:rPr>
            </w:pPr>
            <w:r>
              <w:rPr>
                <w:rFonts w:hint="eastAsia" w:ascii="宋体" w:hAnsi="宋体" w:eastAsia="宋体" w:cs="宋体"/>
                <w:color w:val="auto"/>
              </w:rPr>
              <w:t>合计报价</w:t>
            </w:r>
          </w:p>
        </w:tc>
        <w:tc>
          <w:tcPr>
            <w:tcW w:w="851" w:type="dxa"/>
            <w:vAlign w:val="center"/>
          </w:tcPr>
          <w:p w14:paraId="67015B19">
            <w:pPr>
              <w:jc w:val="center"/>
              <w:rPr>
                <w:rFonts w:ascii="宋体" w:hAnsi="宋体" w:eastAsia="宋体" w:cs="Times New Roman"/>
                <w:color w:val="auto"/>
              </w:rPr>
            </w:pPr>
          </w:p>
        </w:tc>
        <w:tc>
          <w:tcPr>
            <w:tcW w:w="1275" w:type="dxa"/>
            <w:vAlign w:val="center"/>
          </w:tcPr>
          <w:p w14:paraId="08EF5D12">
            <w:pPr>
              <w:jc w:val="center"/>
              <w:rPr>
                <w:rFonts w:ascii="宋体" w:hAnsi="宋体" w:eastAsia="宋体" w:cs="Times New Roman"/>
                <w:color w:val="auto"/>
              </w:rPr>
            </w:pPr>
          </w:p>
        </w:tc>
      </w:tr>
    </w:tbl>
    <w:p w14:paraId="1B78E835">
      <w:pPr>
        <w:spacing w:line="360" w:lineRule="auto"/>
        <w:rPr>
          <w:rFonts w:ascii="宋体" w:hAnsi="宋体" w:eastAsia="宋体" w:cs="Times New Roman"/>
          <w:color w:val="auto"/>
        </w:rPr>
      </w:pPr>
    </w:p>
    <w:p w14:paraId="10D7C9E7">
      <w:pPr>
        <w:spacing w:line="360" w:lineRule="auto"/>
        <w:rPr>
          <w:rFonts w:ascii="宋体" w:hAnsi="宋体" w:eastAsia="宋体" w:cs="Times New Roman"/>
          <w:color w:val="auto"/>
        </w:rPr>
      </w:pPr>
      <w:r>
        <w:rPr>
          <w:rFonts w:hint="eastAsia" w:ascii="宋体" w:hAnsi="宋体" w:eastAsia="宋体" w:cs="宋体"/>
          <w:color w:val="auto"/>
        </w:rPr>
        <w:t>注：此表中无需详列货物技术参数。</w:t>
      </w:r>
    </w:p>
    <w:p w14:paraId="17E0754E">
      <w:pPr>
        <w:spacing w:line="360" w:lineRule="auto"/>
        <w:rPr>
          <w:rFonts w:ascii="宋体" w:hAnsi="宋体" w:eastAsia="宋体" w:cs="Times New Roman"/>
          <w:color w:val="auto"/>
        </w:rPr>
      </w:pPr>
    </w:p>
    <w:p w14:paraId="76D78E58">
      <w:pPr>
        <w:spacing w:line="360" w:lineRule="auto"/>
        <w:rPr>
          <w:rFonts w:ascii="宋体" w:hAnsi="宋体" w:eastAsia="宋体" w:cs="Times New Roman"/>
          <w:color w:val="auto"/>
        </w:rPr>
      </w:pPr>
    </w:p>
    <w:p w14:paraId="6E5035E6">
      <w:pPr>
        <w:spacing w:line="360" w:lineRule="auto"/>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耗材及备品备件（价格单列，格式自拟）</w:t>
      </w:r>
    </w:p>
    <w:bookmarkEnd w:id="680"/>
    <w:p w14:paraId="709FD332">
      <w:pPr>
        <w:spacing w:line="360" w:lineRule="auto"/>
        <w:rPr>
          <w:rFonts w:ascii="宋体" w:hAnsi="宋体" w:eastAsia="宋体" w:cs="Times New Roman"/>
          <w:color w:val="auto"/>
        </w:rPr>
      </w:pPr>
    </w:p>
    <w:p w14:paraId="33573EEE">
      <w:pPr>
        <w:spacing w:line="360" w:lineRule="auto"/>
        <w:rPr>
          <w:rFonts w:ascii="宋体" w:hAnsi="宋体" w:eastAsia="宋体" w:cs="Times New Roman"/>
          <w:color w:val="auto"/>
        </w:rPr>
      </w:pPr>
    </w:p>
    <w:bookmarkEnd w:id="681"/>
    <w:p w14:paraId="30B0E277">
      <w:pPr>
        <w:pStyle w:val="3"/>
        <w:spacing w:before="0" w:after="0" w:line="360" w:lineRule="auto"/>
        <w:jc w:val="center"/>
        <w:rPr>
          <w:rFonts w:ascii="宋体" w:hAnsi="宋体" w:eastAsia="宋体" w:cs="宋体"/>
          <w:color w:val="auto"/>
          <w:sz w:val="21"/>
          <w:szCs w:val="21"/>
        </w:rPr>
      </w:pPr>
      <w:r>
        <w:rPr>
          <w:rFonts w:ascii="宋体" w:hAnsi="宋体" w:eastAsia="宋体" w:cs="Times New Roman"/>
          <w:color w:val="auto"/>
        </w:rPr>
        <w:br w:type="page"/>
      </w:r>
      <w:bookmarkStart w:id="682" w:name="_Toc21384"/>
      <w:bookmarkStart w:id="683" w:name="_Toc77504123"/>
      <w:bookmarkStart w:id="684" w:name="_Toc70424908"/>
      <w:bookmarkStart w:id="685" w:name="_Toc77116725"/>
      <w:bookmarkStart w:id="686" w:name="_Toc77658133"/>
      <w:bookmarkStart w:id="687" w:name="_Toc107396252"/>
      <w:bookmarkStart w:id="688" w:name="_Toc164432975"/>
      <w:bookmarkStart w:id="689" w:name="_Toc120282480"/>
      <w:r>
        <w:rPr>
          <w:rFonts w:hint="eastAsia" w:ascii="宋体" w:hAnsi="宋体" w:eastAsia="宋体" w:cs="宋体"/>
          <w:color w:val="auto"/>
          <w:sz w:val="24"/>
          <w:szCs w:val="24"/>
        </w:rPr>
        <w:t>八、</w:t>
      </w:r>
      <w:bookmarkEnd w:id="682"/>
      <w:bookmarkEnd w:id="683"/>
      <w:bookmarkEnd w:id="684"/>
      <w:bookmarkEnd w:id="685"/>
      <w:bookmarkEnd w:id="686"/>
      <w:r>
        <w:rPr>
          <w:rFonts w:hint="eastAsia" w:ascii="宋体" w:hAnsi="宋体" w:eastAsia="宋体" w:cs="宋体"/>
          <w:color w:val="auto"/>
          <w:sz w:val="24"/>
          <w:szCs w:val="24"/>
        </w:rPr>
        <w:t>响应方案</w:t>
      </w:r>
      <w:bookmarkEnd w:id="687"/>
      <w:bookmarkEnd w:id="688"/>
      <w:bookmarkEnd w:id="689"/>
    </w:p>
    <w:p w14:paraId="227CEECD">
      <w:pPr>
        <w:spacing w:line="360" w:lineRule="auto"/>
        <w:jc w:val="center"/>
        <w:rPr>
          <w:rFonts w:ascii="宋体" w:hAnsi="宋体" w:eastAsia="宋体" w:cs="Times New Roman"/>
          <w:b/>
          <w:bCs/>
          <w:color w:val="auto"/>
        </w:rPr>
      </w:pPr>
      <w:r>
        <w:rPr>
          <w:rFonts w:hint="eastAsia" w:ascii="宋体" w:hAnsi="宋体" w:eastAsia="宋体" w:cs="宋体"/>
          <w:b/>
          <w:bCs/>
          <w:color w:val="auto"/>
        </w:rPr>
        <w:t>（一）货物质量标准或技术性能指标的详细表述</w:t>
      </w:r>
    </w:p>
    <w:p w14:paraId="7CB66B0D">
      <w:pPr>
        <w:spacing w:line="360" w:lineRule="auto"/>
        <w:ind w:firstLine="420" w:firstLineChars="200"/>
        <w:jc w:val="left"/>
        <w:rPr>
          <w:rFonts w:ascii="宋体" w:hAnsi="宋体" w:eastAsia="宋体" w:cs="Times New Roman"/>
          <w:color w:val="auto"/>
        </w:rPr>
      </w:pPr>
      <w:r>
        <w:rPr>
          <w:rFonts w:hint="eastAsia" w:ascii="宋体" w:hAnsi="宋体" w:eastAsia="宋体" w:cs="宋体"/>
          <w:color w:val="auto"/>
        </w:rPr>
        <w:t>如所投产品品牌（如有）、规格型号、技术参数、产品（零部件）实物彩色图片等，格式自拟。</w:t>
      </w:r>
    </w:p>
    <w:p w14:paraId="2F7CEB81">
      <w:pPr>
        <w:spacing w:line="360" w:lineRule="auto"/>
        <w:jc w:val="left"/>
        <w:rPr>
          <w:rFonts w:ascii="宋体" w:hAnsi="宋体" w:eastAsia="宋体" w:cs="Times New Roman"/>
          <w:color w:val="auto"/>
        </w:rPr>
      </w:pPr>
    </w:p>
    <w:p w14:paraId="188E5E36">
      <w:pPr>
        <w:spacing w:line="360" w:lineRule="auto"/>
        <w:jc w:val="left"/>
        <w:rPr>
          <w:rFonts w:ascii="宋体" w:hAnsi="宋体" w:eastAsia="宋体" w:cs="Times New Roman"/>
          <w:color w:val="auto"/>
        </w:rPr>
      </w:pPr>
    </w:p>
    <w:p w14:paraId="50C40A44">
      <w:pPr>
        <w:spacing w:line="360" w:lineRule="auto"/>
        <w:jc w:val="center"/>
        <w:rPr>
          <w:rFonts w:ascii="宋体" w:hAnsi="宋体" w:eastAsia="宋体" w:cs="Times New Roman"/>
          <w:b/>
          <w:bCs/>
          <w:color w:val="auto"/>
        </w:rPr>
      </w:pPr>
      <w:r>
        <w:rPr>
          <w:rFonts w:hint="eastAsia" w:ascii="宋体" w:hAnsi="宋体" w:eastAsia="宋体" w:cs="宋体"/>
          <w:b/>
          <w:bCs/>
          <w:color w:val="auto"/>
        </w:rPr>
        <w:t>（二）技术支持资料</w:t>
      </w:r>
    </w:p>
    <w:p w14:paraId="3A4D121F">
      <w:pPr>
        <w:spacing w:line="360" w:lineRule="auto"/>
        <w:ind w:firstLine="420" w:firstLineChars="200"/>
        <w:jc w:val="left"/>
        <w:rPr>
          <w:rFonts w:ascii="宋体" w:hAnsi="宋体" w:eastAsia="宋体" w:cs="Times New Roman"/>
          <w:color w:val="auto"/>
        </w:rPr>
      </w:pPr>
      <w:r>
        <w:rPr>
          <w:rFonts w:hint="eastAsia" w:ascii="宋体" w:hAnsi="宋体" w:eastAsia="宋体" w:cs="宋体"/>
          <w:color w:val="auto"/>
        </w:rPr>
        <w:t>如检测报告（如有）、相关证书（如有）、必要的产品说明书（如有）、合格证（如有）等。</w:t>
      </w:r>
    </w:p>
    <w:p w14:paraId="0CDAFB5B">
      <w:pPr>
        <w:spacing w:line="360" w:lineRule="auto"/>
        <w:jc w:val="left"/>
        <w:rPr>
          <w:rFonts w:ascii="宋体" w:hAnsi="宋体" w:eastAsia="宋体" w:cs="Times New Roman"/>
          <w:color w:val="auto"/>
        </w:rPr>
      </w:pPr>
    </w:p>
    <w:p w14:paraId="5A1D3C6F">
      <w:pPr>
        <w:spacing w:line="360" w:lineRule="auto"/>
        <w:jc w:val="left"/>
        <w:rPr>
          <w:rFonts w:ascii="宋体" w:hAnsi="宋体" w:eastAsia="宋体" w:cs="Times New Roman"/>
          <w:color w:val="auto"/>
        </w:rPr>
      </w:pPr>
    </w:p>
    <w:p w14:paraId="19B5DA47">
      <w:pPr>
        <w:spacing w:line="360" w:lineRule="auto"/>
        <w:jc w:val="center"/>
        <w:rPr>
          <w:rFonts w:ascii="宋体" w:hAnsi="宋体" w:eastAsia="宋体" w:cs="Times New Roman"/>
          <w:b/>
          <w:bCs/>
          <w:color w:val="auto"/>
        </w:rPr>
      </w:pPr>
      <w:r>
        <w:rPr>
          <w:rFonts w:hint="eastAsia" w:ascii="宋体" w:hAnsi="宋体" w:eastAsia="宋体" w:cs="宋体"/>
          <w:b/>
          <w:bCs/>
          <w:color w:val="auto"/>
        </w:rPr>
        <w:t>（三）相关服务计划</w:t>
      </w:r>
    </w:p>
    <w:p w14:paraId="0E92C931">
      <w:pPr>
        <w:spacing w:line="360" w:lineRule="auto"/>
        <w:ind w:firstLine="420" w:firstLineChars="200"/>
        <w:jc w:val="left"/>
        <w:rPr>
          <w:rFonts w:ascii="宋体" w:hAnsi="宋体" w:eastAsia="宋体" w:cs="宋体"/>
          <w:color w:val="auto"/>
        </w:rPr>
      </w:pPr>
      <w:r>
        <w:rPr>
          <w:rFonts w:hint="eastAsia" w:ascii="宋体" w:hAnsi="宋体" w:eastAsia="宋体" w:cs="宋体"/>
          <w:color w:val="auto"/>
        </w:rPr>
        <w:t>包含但不限于以下内容</w:t>
      </w:r>
    </w:p>
    <w:p w14:paraId="21EA863A">
      <w:pPr>
        <w:spacing w:line="360" w:lineRule="auto"/>
        <w:ind w:firstLine="420" w:firstLineChars="200"/>
        <w:rPr>
          <w:rFonts w:ascii="宋体" w:hAnsi="宋体" w:eastAsia="宋体" w:cs="宋体"/>
          <w:color w:val="auto"/>
        </w:rPr>
      </w:pPr>
      <w:r>
        <w:rPr>
          <w:rFonts w:hint="eastAsia" w:ascii="宋体" w:hAnsi="宋体" w:eastAsia="宋体" w:cs="宋体"/>
          <w:color w:val="auto"/>
        </w:rPr>
        <w:t>1、供货方案及时间进度计划安排</w:t>
      </w:r>
    </w:p>
    <w:p w14:paraId="62C7105D">
      <w:pPr>
        <w:spacing w:line="360" w:lineRule="auto"/>
        <w:ind w:firstLine="420" w:firstLineChars="200"/>
        <w:rPr>
          <w:rFonts w:ascii="宋体" w:hAnsi="宋体" w:eastAsia="宋体" w:cs="宋体"/>
          <w:color w:val="auto"/>
        </w:rPr>
      </w:pPr>
      <w:r>
        <w:rPr>
          <w:rFonts w:hint="eastAsia" w:ascii="宋体" w:hAnsi="宋体" w:eastAsia="宋体" w:cs="宋体"/>
          <w:color w:val="auto"/>
        </w:rPr>
        <w:t>2、质量保证措施及承诺</w:t>
      </w:r>
    </w:p>
    <w:p w14:paraId="04A96A8B">
      <w:pPr>
        <w:spacing w:line="360" w:lineRule="auto"/>
        <w:ind w:firstLine="420" w:firstLineChars="200"/>
        <w:rPr>
          <w:rFonts w:ascii="宋体" w:hAnsi="宋体" w:eastAsia="宋体" w:cs="宋体"/>
          <w:color w:val="auto"/>
        </w:rPr>
      </w:pPr>
      <w:r>
        <w:rPr>
          <w:rFonts w:hint="eastAsia" w:ascii="宋体" w:hAnsi="宋体" w:eastAsia="宋体" w:cs="宋体"/>
          <w:color w:val="auto"/>
        </w:rPr>
        <w:t>3、培训方案</w:t>
      </w:r>
    </w:p>
    <w:p w14:paraId="22A82875">
      <w:pPr>
        <w:spacing w:line="360" w:lineRule="auto"/>
        <w:ind w:firstLine="420" w:firstLineChars="200"/>
        <w:rPr>
          <w:rFonts w:ascii="宋体" w:hAnsi="宋体" w:eastAsia="宋体" w:cs="宋体"/>
          <w:color w:val="auto"/>
        </w:rPr>
      </w:pPr>
      <w:r>
        <w:rPr>
          <w:rFonts w:hint="eastAsia" w:ascii="宋体" w:hAnsi="宋体" w:eastAsia="宋体" w:cs="宋体"/>
          <w:color w:val="auto"/>
        </w:rPr>
        <w:t>4、售后服务</w:t>
      </w:r>
    </w:p>
    <w:p w14:paraId="247A071C">
      <w:pPr>
        <w:spacing w:line="360" w:lineRule="auto"/>
        <w:ind w:firstLine="420" w:firstLineChars="200"/>
        <w:rPr>
          <w:rFonts w:ascii="宋体" w:hAnsi="宋体" w:eastAsia="宋体" w:cs="Times New Roman"/>
          <w:color w:val="auto"/>
        </w:rPr>
      </w:pPr>
      <w:r>
        <w:rPr>
          <w:rFonts w:ascii="宋体" w:hAnsi="宋体" w:eastAsia="宋体" w:cs="Times New Roman"/>
          <w:color w:val="auto"/>
        </w:rPr>
        <w:br w:type="page"/>
      </w:r>
    </w:p>
    <w:p w14:paraId="603CB955">
      <w:pPr>
        <w:pStyle w:val="3"/>
        <w:spacing w:before="0" w:after="0"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九、其他资料</w:t>
      </w:r>
    </w:p>
    <w:p w14:paraId="4FC3D577">
      <w:pPr>
        <w:spacing w:line="360" w:lineRule="auto"/>
        <w:jc w:val="center"/>
        <w:rPr>
          <w:rFonts w:ascii="宋体" w:hAnsi="宋体" w:eastAsia="宋体" w:cs="Times New Roman"/>
          <w:color w:val="auto"/>
        </w:rPr>
      </w:pPr>
      <w:r>
        <w:rPr>
          <w:rFonts w:hint="eastAsia" w:ascii="宋体" w:hAnsi="宋体" w:eastAsia="宋体" w:cs="宋体"/>
          <w:color w:val="auto"/>
        </w:rPr>
        <w:t>投标人认为需要提交的其他资料，有格式的按照要求填写，无格式的自拟。</w:t>
      </w:r>
    </w:p>
    <w:p w14:paraId="126BB392">
      <w:pPr>
        <w:spacing w:line="360" w:lineRule="auto"/>
        <w:rPr>
          <w:rFonts w:ascii="宋体" w:hAnsi="宋体" w:eastAsia="宋体" w:cs="Times New Roman"/>
          <w:color w:val="auto"/>
        </w:rPr>
      </w:pPr>
    </w:p>
    <w:p w14:paraId="06C81384">
      <w:pPr>
        <w:spacing w:line="360" w:lineRule="auto"/>
        <w:rPr>
          <w:rFonts w:ascii="宋体" w:hAnsi="宋体" w:eastAsia="宋体" w:cs="Times New Roman"/>
          <w:color w:val="auto"/>
        </w:rPr>
      </w:pPr>
    </w:p>
    <w:p w14:paraId="47D0019F">
      <w:pPr>
        <w:pStyle w:val="4"/>
        <w:spacing w:before="0" w:after="0" w:line="360" w:lineRule="auto"/>
        <w:rPr>
          <w:rFonts w:ascii="宋体" w:hAnsi="宋体" w:cs="宋体"/>
          <w:color w:val="auto"/>
          <w:sz w:val="21"/>
          <w:szCs w:val="21"/>
        </w:rPr>
      </w:pPr>
      <w:r>
        <w:rPr>
          <w:rFonts w:ascii="宋体" w:hAnsi="宋体"/>
          <w:color w:val="auto"/>
        </w:rPr>
        <w:br w:type="page"/>
      </w:r>
      <w:bookmarkStart w:id="690" w:name="_Toc164432977"/>
      <w:bookmarkStart w:id="691" w:name="_Toc77658135"/>
      <w:bookmarkStart w:id="692" w:name="_Toc77504125"/>
      <w:bookmarkStart w:id="693" w:name="_Toc120282482"/>
      <w:bookmarkStart w:id="694" w:name="_Toc107396254"/>
      <w:bookmarkStart w:id="695" w:name="_Toc30433"/>
      <w:r>
        <w:rPr>
          <w:rFonts w:hint="eastAsia" w:ascii="宋体" w:hAnsi="宋体" w:cs="宋体"/>
          <w:color w:val="auto"/>
          <w:sz w:val="21"/>
          <w:szCs w:val="21"/>
        </w:rPr>
        <w:t>附件一：</w:t>
      </w:r>
      <w:bookmarkEnd w:id="690"/>
      <w:bookmarkEnd w:id="691"/>
      <w:bookmarkEnd w:id="692"/>
      <w:bookmarkEnd w:id="693"/>
      <w:bookmarkEnd w:id="694"/>
      <w:bookmarkEnd w:id="695"/>
    </w:p>
    <w:p w14:paraId="69EB540F">
      <w:pPr>
        <w:spacing w:line="360" w:lineRule="auto"/>
        <w:rPr>
          <w:rFonts w:ascii="宋体" w:hAnsi="宋体" w:eastAsia="宋体" w:cs="Times New Roman"/>
          <w:color w:val="auto"/>
        </w:rPr>
      </w:pPr>
    </w:p>
    <w:p w14:paraId="36EA2458">
      <w:pPr>
        <w:spacing w:line="360" w:lineRule="auto"/>
        <w:jc w:val="center"/>
        <w:rPr>
          <w:rFonts w:ascii="宋体" w:hAnsi="宋体" w:eastAsia="宋体" w:cs="Times New Roman"/>
          <w:color w:val="auto"/>
        </w:rPr>
      </w:pPr>
      <w:r>
        <w:rPr>
          <w:rFonts w:hint="eastAsia" w:ascii="宋体" w:hAnsi="宋体" w:eastAsia="宋体" w:cs="宋体"/>
          <w:color w:val="auto"/>
        </w:rPr>
        <w:t>近年类似项目情况表（如有）</w:t>
      </w:r>
    </w:p>
    <w:p w14:paraId="099B2686">
      <w:pPr>
        <w:spacing w:line="360" w:lineRule="auto"/>
        <w:jc w:val="center"/>
        <w:rPr>
          <w:rFonts w:ascii="宋体" w:hAnsi="宋体" w:eastAsia="宋体" w:cs="Times New Roman"/>
          <w:color w:val="auto"/>
        </w:rPr>
      </w:pPr>
      <w:r>
        <w:rPr>
          <w:rFonts w:hint="eastAsia" w:ascii="宋体" w:hAnsi="宋体" w:eastAsia="宋体" w:cs="宋体"/>
          <w:color w:val="auto"/>
        </w:rPr>
        <w:t>（序号）</w:t>
      </w:r>
    </w:p>
    <w:tbl>
      <w:tblPr>
        <w:tblStyle w:val="39"/>
        <w:tblW w:w="951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7251"/>
      </w:tblGrid>
      <w:tr w14:paraId="08AD8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1F1B0531">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项目名称</w:t>
            </w:r>
          </w:p>
        </w:tc>
        <w:tc>
          <w:tcPr>
            <w:tcW w:w="7251" w:type="dxa"/>
            <w:vAlign w:val="center"/>
          </w:tcPr>
          <w:p w14:paraId="55D16675">
            <w:pPr>
              <w:spacing w:before="120" w:beforeLines="50" w:line="360" w:lineRule="auto"/>
              <w:jc w:val="center"/>
              <w:rPr>
                <w:rFonts w:ascii="宋体" w:hAnsi="宋体" w:eastAsia="宋体" w:cs="Times New Roman"/>
                <w:color w:val="auto"/>
              </w:rPr>
            </w:pPr>
          </w:p>
        </w:tc>
      </w:tr>
      <w:tr w14:paraId="6CD8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340328E8">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买方名称</w:t>
            </w:r>
          </w:p>
        </w:tc>
        <w:tc>
          <w:tcPr>
            <w:tcW w:w="7251" w:type="dxa"/>
            <w:vAlign w:val="center"/>
          </w:tcPr>
          <w:p w14:paraId="48337E7D">
            <w:pPr>
              <w:spacing w:before="120" w:beforeLines="50" w:line="360" w:lineRule="auto"/>
              <w:jc w:val="center"/>
              <w:rPr>
                <w:rFonts w:ascii="宋体" w:hAnsi="宋体" w:eastAsia="宋体" w:cs="Times New Roman"/>
                <w:color w:val="auto"/>
              </w:rPr>
            </w:pPr>
          </w:p>
        </w:tc>
      </w:tr>
      <w:tr w14:paraId="371E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494A96B6">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买方联系人及电话</w:t>
            </w:r>
          </w:p>
        </w:tc>
        <w:tc>
          <w:tcPr>
            <w:tcW w:w="7251" w:type="dxa"/>
            <w:vAlign w:val="center"/>
          </w:tcPr>
          <w:p w14:paraId="40B7386F">
            <w:pPr>
              <w:spacing w:before="120" w:beforeLines="50" w:line="360" w:lineRule="auto"/>
              <w:jc w:val="center"/>
              <w:rPr>
                <w:rFonts w:ascii="宋体" w:hAnsi="宋体" w:eastAsia="宋体" w:cs="Times New Roman"/>
                <w:color w:val="auto"/>
              </w:rPr>
            </w:pPr>
          </w:p>
        </w:tc>
      </w:tr>
      <w:tr w14:paraId="0025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5CA6CCBB">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合同价格</w:t>
            </w:r>
          </w:p>
        </w:tc>
        <w:tc>
          <w:tcPr>
            <w:tcW w:w="7251" w:type="dxa"/>
            <w:vAlign w:val="center"/>
          </w:tcPr>
          <w:p w14:paraId="675EA6EA">
            <w:pPr>
              <w:spacing w:before="120" w:beforeLines="50" w:line="360" w:lineRule="auto"/>
              <w:jc w:val="center"/>
              <w:rPr>
                <w:rFonts w:ascii="宋体" w:hAnsi="宋体" w:eastAsia="宋体" w:cs="Times New Roman"/>
                <w:color w:val="auto"/>
              </w:rPr>
            </w:pPr>
          </w:p>
        </w:tc>
      </w:tr>
      <w:tr w14:paraId="04DE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30A41ACE">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货物名称</w:t>
            </w:r>
          </w:p>
        </w:tc>
        <w:tc>
          <w:tcPr>
            <w:tcW w:w="7251" w:type="dxa"/>
            <w:vAlign w:val="center"/>
          </w:tcPr>
          <w:p w14:paraId="1A868C0D">
            <w:pPr>
              <w:spacing w:before="120" w:beforeLines="50" w:line="360" w:lineRule="auto"/>
              <w:jc w:val="center"/>
              <w:rPr>
                <w:rFonts w:ascii="宋体" w:hAnsi="宋体" w:eastAsia="宋体" w:cs="Times New Roman"/>
                <w:color w:val="auto"/>
              </w:rPr>
            </w:pPr>
          </w:p>
        </w:tc>
      </w:tr>
      <w:tr w14:paraId="20AF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1E25B52C">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规格型号</w:t>
            </w:r>
          </w:p>
        </w:tc>
        <w:tc>
          <w:tcPr>
            <w:tcW w:w="7251" w:type="dxa"/>
            <w:vAlign w:val="center"/>
          </w:tcPr>
          <w:p w14:paraId="7EA69BAB">
            <w:pPr>
              <w:spacing w:before="120" w:beforeLines="50" w:line="360" w:lineRule="auto"/>
              <w:jc w:val="center"/>
              <w:rPr>
                <w:rFonts w:ascii="宋体" w:hAnsi="宋体" w:eastAsia="宋体" w:cs="Times New Roman"/>
                <w:color w:val="auto"/>
              </w:rPr>
            </w:pPr>
          </w:p>
        </w:tc>
      </w:tr>
      <w:tr w14:paraId="73D55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trPr>
        <w:tc>
          <w:tcPr>
            <w:tcW w:w="2263" w:type="dxa"/>
            <w:vAlign w:val="center"/>
          </w:tcPr>
          <w:p w14:paraId="43647334">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项目概况及投标人</w:t>
            </w:r>
          </w:p>
          <w:p w14:paraId="4DF772F8">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履约情况</w:t>
            </w:r>
          </w:p>
        </w:tc>
        <w:tc>
          <w:tcPr>
            <w:tcW w:w="7251" w:type="dxa"/>
            <w:vAlign w:val="center"/>
          </w:tcPr>
          <w:p w14:paraId="43A828A9">
            <w:pPr>
              <w:spacing w:before="120" w:beforeLines="50" w:line="360" w:lineRule="auto"/>
              <w:jc w:val="center"/>
              <w:rPr>
                <w:rFonts w:ascii="宋体" w:hAnsi="宋体" w:eastAsia="宋体" w:cs="Times New Roman"/>
                <w:color w:val="auto"/>
              </w:rPr>
            </w:pPr>
          </w:p>
        </w:tc>
      </w:tr>
      <w:tr w14:paraId="3D4EB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29D5BE0E">
            <w:pPr>
              <w:spacing w:before="120" w:beforeLines="50" w:line="360" w:lineRule="auto"/>
              <w:jc w:val="center"/>
              <w:rPr>
                <w:rFonts w:ascii="宋体" w:hAnsi="宋体" w:eastAsia="宋体" w:cs="Times New Roman"/>
                <w:color w:val="auto"/>
              </w:rPr>
            </w:pPr>
            <w:r>
              <w:rPr>
                <w:rFonts w:hint="eastAsia" w:ascii="宋体" w:hAnsi="宋体" w:eastAsia="宋体" w:cs="宋体"/>
                <w:color w:val="auto"/>
              </w:rPr>
              <w:t>备注</w:t>
            </w:r>
          </w:p>
        </w:tc>
        <w:tc>
          <w:tcPr>
            <w:tcW w:w="7251" w:type="dxa"/>
            <w:vAlign w:val="center"/>
          </w:tcPr>
          <w:p w14:paraId="3A963A81">
            <w:pPr>
              <w:spacing w:before="120" w:beforeLines="50" w:line="360" w:lineRule="auto"/>
              <w:jc w:val="center"/>
              <w:rPr>
                <w:rFonts w:ascii="宋体" w:hAnsi="宋体" w:eastAsia="宋体" w:cs="Times New Roman"/>
                <w:color w:val="auto"/>
              </w:rPr>
            </w:pPr>
          </w:p>
        </w:tc>
      </w:tr>
    </w:tbl>
    <w:p w14:paraId="40B57D7D">
      <w:pPr>
        <w:spacing w:line="360" w:lineRule="auto"/>
        <w:rPr>
          <w:rFonts w:ascii="宋体" w:hAnsi="宋体" w:eastAsia="宋体" w:cs="Times New Roman"/>
          <w:color w:val="auto"/>
        </w:rPr>
      </w:pPr>
      <w:r>
        <w:rPr>
          <w:rFonts w:hint="eastAsia" w:ascii="宋体" w:hAnsi="宋体" w:eastAsia="宋体" w:cs="宋体"/>
          <w:color w:val="auto"/>
        </w:rPr>
        <w:t>注：本表后附合同首页、标的金额所在页、合同物明细页和签字盖章页（公章或合同章上的供应商名称与投标人名称不一致视为无效。如投标人变更过名称，需提供有关部门证明）扫描件，每张表格只填写一个项目，并标明序号。</w:t>
      </w:r>
    </w:p>
    <w:p w14:paraId="3EC11C2B">
      <w:pPr>
        <w:spacing w:line="360" w:lineRule="auto"/>
        <w:rPr>
          <w:rFonts w:ascii="宋体" w:hAnsi="宋体" w:eastAsia="宋体" w:cs="Times New Roman"/>
          <w:color w:val="auto"/>
        </w:rPr>
      </w:pPr>
    </w:p>
    <w:p w14:paraId="0E77A7F7">
      <w:pPr>
        <w:spacing w:line="360" w:lineRule="auto"/>
        <w:rPr>
          <w:rFonts w:ascii="宋体" w:hAnsi="宋体" w:eastAsia="宋体" w:cs="Times New Roman"/>
          <w:color w:val="auto"/>
        </w:rPr>
      </w:pPr>
    </w:p>
    <w:p w14:paraId="7A547FF0">
      <w:pPr>
        <w:pStyle w:val="4"/>
        <w:spacing w:before="0" w:after="0" w:line="360" w:lineRule="auto"/>
        <w:rPr>
          <w:rFonts w:ascii="宋体" w:hAnsi="宋体" w:cs="宋体"/>
          <w:color w:val="auto"/>
          <w:sz w:val="21"/>
          <w:szCs w:val="21"/>
        </w:rPr>
      </w:pPr>
      <w:r>
        <w:rPr>
          <w:rFonts w:ascii="宋体" w:hAnsi="宋体"/>
          <w:color w:val="auto"/>
        </w:rPr>
        <w:br w:type="page"/>
      </w:r>
      <w:bookmarkStart w:id="696" w:name="_Toc1814"/>
      <w:bookmarkStart w:id="697" w:name="_Toc107396256"/>
      <w:bookmarkStart w:id="698" w:name="_Toc164432979"/>
      <w:bookmarkStart w:id="699" w:name="_Toc77504127"/>
      <w:bookmarkStart w:id="700" w:name="_Toc77658137"/>
      <w:bookmarkStart w:id="701" w:name="_Toc120282484"/>
      <w:r>
        <w:rPr>
          <w:rFonts w:hint="eastAsia" w:ascii="宋体" w:hAnsi="宋体" w:cs="宋体"/>
          <w:color w:val="auto"/>
          <w:sz w:val="21"/>
          <w:szCs w:val="21"/>
        </w:rPr>
        <w:t>附件二：</w:t>
      </w:r>
    </w:p>
    <w:p w14:paraId="1C5A378C">
      <w:pPr>
        <w:spacing w:line="360" w:lineRule="auto"/>
        <w:jc w:val="center"/>
        <w:rPr>
          <w:rFonts w:ascii="宋体" w:hAnsi="宋体" w:eastAsia="宋体" w:cs="Times New Roman"/>
          <w:color w:val="auto"/>
        </w:rPr>
      </w:pPr>
      <w:r>
        <w:rPr>
          <w:rFonts w:hint="eastAsia" w:ascii="宋体" w:hAnsi="宋体" w:eastAsia="宋体" w:cs="宋体"/>
          <w:color w:val="auto"/>
        </w:rPr>
        <w:t>中小企业声明函</w:t>
      </w:r>
    </w:p>
    <w:p w14:paraId="5D856479">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本公司（联合体）郑重声明，根据《政府采购促进中小企业发展暂行办法》（财库〔</w:t>
      </w:r>
      <w:r>
        <w:rPr>
          <w:rFonts w:ascii="宋体" w:hAnsi="宋体" w:eastAsia="宋体" w:cs="宋体"/>
          <w:color w:val="auto"/>
        </w:rPr>
        <w:t>2020</w:t>
      </w:r>
      <w:r>
        <w:rPr>
          <w:rFonts w:hint="eastAsia" w:ascii="宋体" w:hAnsi="宋体" w:eastAsia="宋体" w:cs="宋体"/>
          <w:color w:val="auto"/>
        </w:rPr>
        <w:t>〕</w:t>
      </w:r>
      <w:r>
        <w:rPr>
          <w:rFonts w:ascii="宋体" w:hAnsi="宋体" w:eastAsia="宋体" w:cs="宋体"/>
          <w:color w:val="auto"/>
        </w:rPr>
        <w:t>46</w:t>
      </w:r>
      <w:r>
        <w:rPr>
          <w:rFonts w:hint="eastAsia" w:ascii="宋体" w:hAnsi="宋体" w:eastAsia="宋体" w:cs="宋体"/>
          <w:color w:val="auto"/>
        </w:rPr>
        <w:t>号）的规定，本公司（联合体）参加</w:t>
      </w:r>
      <w:r>
        <w:rPr>
          <w:rFonts w:hint="eastAsia" w:ascii="宋体" w:hAnsi="宋体" w:eastAsia="宋体" w:cs="宋体"/>
          <w:color w:val="auto"/>
          <w:u w:val="single"/>
        </w:rPr>
        <w:t>（单位名称）</w:t>
      </w:r>
      <w:r>
        <w:rPr>
          <w:rFonts w:ascii="宋体" w:hAnsi="宋体" w:eastAsia="宋体" w:cs="宋体"/>
          <w:color w:val="auto"/>
          <w:u w:val="single"/>
        </w:rPr>
        <w:t xml:space="preserve"> </w:t>
      </w:r>
      <w:r>
        <w:rPr>
          <w:rFonts w:hint="eastAsia" w:ascii="宋体" w:hAnsi="宋体" w:eastAsia="宋体" w:cs="宋体"/>
          <w:color w:val="auto"/>
        </w:rPr>
        <w:t>的</w:t>
      </w:r>
      <w:r>
        <w:rPr>
          <w:rFonts w:hint="eastAsia" w:ascii="宋体" w:hAnsi="宋体" w:eastAsia="宋体" w:cs="宋体"/>
          <w:color w:val="auto"/>
          <w:u w:val="single"/>
        </w:rPr>
        <w:t>（项目名称）</w:t>
      </w:r>
      <w:r>
        <w:rPr>
          <w:rFonts w:ascii="宋体" w:hAnsi="宋体" w:eastAsia="宋体" w:cs="宋体"/>
          <w:color w:val="auto"/>
          <w:u w:val="single"/>
        </w:rPr>
        <w:t xml:space="preserve"> </w:t>
      </w:r>
      <w:r>
        <w:rPr>
          <w:rFonts w:hint="eastAsia" w:ascii="宋体" w:hAnsi="宋体" w:eastAsia="宋体" w:cs="宋体"/>
          <w:color w:val="auto"/>
        </w:rPr>
        <w:t>采购活动，提供的货物全部由符合政策要求的中小企业制造。相关企业（含联合体中的中小企业，签订分包意向协议的中小企业）的具体情况如下：</w:t>
      </w:r>
    </w:p>
    <w:p w14:paraId="179FC009">
      <w:pPr>
        <w:spacing w:line="360" w:lineRule="auto"/>
        <w:ind w:firstLine="420" w:firstLineChars="200"/>
        <w:rPr>
          <w:rFonts w:ascii="宋体" w:hAnsi="宋体" w:eastAsia="宋体" w:cs="Times New Roman"/>
          <w:color w:val="auto"/>
        </w:rPr>
      </w:pPr>
      <w:r>
        <w:rPr>
          <w:rFonts w:ascii="宋体" w:hAnsi="宋体" w:eastAsia="宋体" w:cs="宋体"/>
          <w:color w:val="auto"/>
        </w:rPr>
        <w:t>1.</w:t>
      </w:r>
      <w:r>
        <w:rPr>
          <w:rFonts w:ascii="宋体" w:hAnsi="宋体" w:eastAsia="宋体" w:cs="宋体"/>
          <w:color w:val="auto"/>
          <w:u w:val="single"/>
        </w:rPr>
        <w:t xml:space="preserve"> </w:t>
      </w:r>
      <w:r>
        <w:rPr>
          <w:rFonts w:hint="eastAsia" w:ascii="宋体" w:hAnsi="宋体" w:eastAsia="宋体" w:cs="宋体"/>
          <w:color w:val="auto"/>
          <w:u w:val="single"/>
        </w:rPr>
        <w:t>（标的名称）</w:t>
      </w:r>
      <w:r>
        <w:rPr>
          <w:rFonts w:ascii="宋体" w:hAnsi="宋体" w:eastAsia="宋体" w:cs="宋体"/>
          <w:color w:val="auto"/>
          <w:u w:val="single"/>
        </w:rPr>
        <w:t xml:space="preserve"> </w:t>
      </w:r>
      <w:r>
        <w:rPr>
          <w:rFonts w:hint="eastAsia" w:ascii="宋体" w:hAnsi="宋体" w:eastAsia="宋体" w:cs="宋体"/>
          <w:color w:val="auto"/>
        </w:rPr>
        <w:t>，属于</w:t>
      </w:r>
      <w:r>
        <w:rPr>
          <w:rFonts w:ascii="宋体" w:hAnsi="宋体" w:eastAsia="宋体" w:cs="宋体"/>
          <w:color w:val="auto"/>
          <w:u w:val="single"/>
        </w:rPr>
        <w:t xml:space="preserve"> </w:t>
      </w:r>
      <w:r>
        <w:rPr>
          <w:rFonts w:hint="eastAsia" w:ascii="宋体" w:hAnsi="宋体" w:eastAsia="宋体" w:cs="宋体"/>
          <w:color w:val="auto"/>
          <w:u w:val="single"/>
        </w:rPr>
        <w:t>（采购文件中明确的所属行业）</w:t>
      </w:r>
      <w:r>
        <w:rPr>
          <w:rFonts w:ascii="宋体" w:hAnsi="宋体" w:eastAsia="宋体" w:cs="宋体"/>
          <w:color w:val="auto"/>
          <w:u w:val="single"/>
        </w:rPr>
        <w:t xml:space="preserve"> </w:t>
      </w:r>
      <w:r>
        <w:rPr>
          <w:rFonts w:hint="eastAsia" w:ascii="宋体" w:hAnsi="宋体" w:eastAsia="宋体" w:cs="宋体"/>
          <w:color w:val="auto"/>
        </w:rPr>
        <w:t>；制造商为</w:t>
      </w:r>
      <w:r>
        <w:rPr>
          <w:rFonts w:hint="eastAsia" w:ascii="宋体" w:hAnsi="宋体" w:eastAsia="宋体" w:cs="宋体"/>
          <w:color w:val="auto"/>
          <w:u w:val="single"/>
        </w:rPr>
        <w:t>（企业名称）</w:t>
      </w:r>
      <w:r>
        <w:rPr>
          <w:rFonts w:hint="eastAsia" w:ascii="宋体" w:hAnsi="宋体" w:eastAsia="宋体" w:cs="宋体"/>
          <w:color w:val="auto"/>
        </w:rPr>
        <w:t>，从业人员人，营业收入为万元，资产总额为万元</w:t>
      </w:r>
      <w:r>
        <w:rPr>
          <w:rFonts w:ascii="宋体" w:hAnsi="宋体" w:eastAsia="宋体" w:cs="Times New Roman"/>
          <w:color w:val="auto"/>
          <w:vertAlign w:val="superscript"/>
        </w:rPr>
        <w:footnoteReference w:id="0"/>
      </w:r>
      <w:r>
        <w:rPr>
          <w:rFonts w:hint="eastAsia" w:ascii="宋体" w:hAnsi="宋体" w:eastAsia="宋体" w:cs="宋体"/>
          <w:color w:val="auto"/>
        </w:rPr>
        <w:t>，属于</w:t>
      </w:r>
      <w:r>
        <w:rPr>
          <w:rFonts w:hint="eastAsia" w:ascii="宋体" w:hAnsi="宋体" w:eastAsia="宋体" w:cs="宋体"/>
          <w:color w:val="auto"/>
          <w:u w:val="single"/>
        </w:rPr>
        <w:t>（中型企业、小型企业、</w:t>
      </w:r>
      <w:r>
        <w:rPr>
          <w:rFonts w:ascii="宋体" w:hAnsi="宋体" w:eastAsia="宋体" w:cs="宋体"/>
          <w:color w:val="auto"/>
          <w:u w:val="single"/>
        </w:rPr>
        <w:t xml:space="preserve"> </w:t>
      </w:r>
      <w:r>
        <w:rPr>
          <w:rFonts w:hint="eastAsia" w:ascii="宋体" w:hAnsi="宋体" w:eastAsia="宋体" w:cs="宋体"/>
          <w:color w:val="auto"/>
          <w:u w:val="single"/>
        </w:rPr>
        <w:t>微型企业）</w:t>
      </w:r>
      <w:r>
        <w:rPr>
          <w:rFonts w:hint="eastAsia" w:ascii="宋体" w:hAnsi="宋体" w:eastAsia="宋体" w:cs="宋体"/>
          <w:color w:val="auto"/>
        </w:rPr>
        <w:t>；</w:t>
      </w:r>
    </w:p>
    <w:p w14:paraId="315774C2">
      <w:pPr>
        <w:spacing w:line="360" w:lineRule="auto"/>
        <w:ind w:firstLine="420" w:firstLineChars="200"/>
        <w:rPr>
          <w:rFonts w:ascii="宋体" w:hAnsi="宋体" w:eastAsia="宋体" w:cs="Times New Roman"/>
          <w:color w:val="auto"/>
        </w:rPr>
      </w:pPr>
      <w:r>
        <w:rPr>
          <w:rFonts w:ascii="宋体" w:hAnsi="宋体" w:eastAsia="宋体" w:cs="宋体"/>
          <w:color w:val="auto"/>
        </w:rPr>
        <w:t>2.</w:t>
      </w:r>
      <w:r>
        <w:rPr>
          <w:rFonts w:ascii="宋体" w:hAnsi="宋体" w:eastAsia="宋体" w:cs="宋体"/>
          <w:color w:val="auto"/>
          <w:u w:val="single"/>
        </w:rPr>
        <w:t xml:space="preserve"> </w:t>
      </w:r>
      <w:r>
        <w:rPr>
          <w:rFonts w:hint="eastAsia" w:ascii="宋体" w:hAnsi="宋体" w:eastAsia="宋体" w:cs="宋体"/>
          <w:color w:val="auto"/>
          <w:u w:val="single"/>
        </w:rPr>
        <w:t>（标的名称）</w:t>
      </w:r>
      <w:r>
        <w:rPr>
          <w:rFonts w:ascii="宋体" w:hAnsi="宋体" w:eastAsia="宋体" w:cs="宋体"/>
          <w:color w:val="auto"/>
          <w:u w:val="single"/>
        </w:rPr>
        <w:t xml:space="preserve"> </w:t>
      </w:r>
      <w:r>
        <w:rPr>
          <w:rFonts w:hint="eastAsia" w:ascii="宋体" w:hAnsi="宋体" w:eastAsia="宋体" w:cs="宋体"/>
          <w:color w:val="auto"/>
        </w:rPr>
        <w:t>，属于</w:t>
      </w:r>
      <w:r>
        <w:rPr>
          <w:rFonts w:ascii="宋体" w:hAnsi="宋体" w:eastAsia="宋体" w:cs="宋体"/>
          <w:color w:val="auto"/>
          <w:u w:val="single"/>
        </w:rPr>
        <w:t xml:space="preserve"> </w:t>
      </w:r>
      <w:r>
        <w:rPr>
          <w:rFonts w:hint="eastAsia" w:ascii="宋体" w:hAnsi="宋体" w:eastAsia="宋体" w:cs="宋体"/>
          <w:color w:val="auto"/>
          <w:u w:val="single"/>
        </w:rPr>
        <w:t>（采购文件中明确的所属行业）</w:t>
      </w:r>
      <w:r>
        <w:rPr>
          <w:rFonts w:ascii="宋体" w:hAnsi="宋体" w:eastAsia="宋体" w:cs="宋体"/>
          <w:color w:val="auto"/>
          <w:u w:val="single"/>
        </w:rPr>
        <w:t xml:space="preserve"> </w:t>
      </w:r>
      <w:r>
        <w:rPr>
          <w:rFonts w:hint="eastAsia" w:ascii="宋体" w:hAnsi="宋体" w:eastAsia="宋体" w:cs="宋体"/>
          <w:color w:val="auto"/>
        </w:rPr>
        <w:t>；制造商为</w:t>
      </w:r>
      <w:r>
        <w:rPr>
          <w:rFonts w:hint="eastAsia" w:ascii="宋体" w:hAnsi="宋体" w:eastAsia="宋体" w:cs="宋体"/>
          <w:color w:val="auto"/>
          <w:u w:val="single"/>
        </w:rPr>
        <w:t>（企业名称）</w:t>
      </w:r>
      <w:r>
        <w:rPr>
          <w:rFonts w:hint="eastAsia" w:ascii="宋体" w:hAnsi="宋体" w:eastAsia="宋体" w:cs="宋体"/>
          <w:color w:val="auto"/>
        </w:rPr>
        <w:t>，从业人员人，营业收入为万元，资产总额为万元，属于</w:t>
      </w:r>
      <w:r>
        <w:rPr>
          <w:rFonts w:hint="eastAsia" w:ascii="宋体" w:hAnsi="宋体" w:eastAsia="宋体" w:cs="宋体"/>
          <w:color w:val="auto"/>
          <w:u w:val="single"/>
        </w:rPr>
        <w:t>（中型企业、小型企业、</w:t>
      </w:r>
      <w:r>
        <w:rPr>
          <w:rFonts w:ascii="宋体" w:hAnsi="宋体" w:eastAsia="宋体" w:cs="宋体"/>
          <w:color w:val="auto"/>
          <w:u w:val="single"/>
        </w:rPr>
        <w:t xml:space="preserve"> </w:t>
      </w:r>
      <w:r>
        <w:rPr>
          <w:rFonts w:hint="eastAsia" w:ascii="宋体" w:hAnsi="宋体" w:eastAsia="宋体" w:cs="宋体"/>
          <w:color w:val="auto"/>
          <w:u w:val="single"/>
        </w:rPr>
        <w:t>微型企业）</w:t>
      </w:r>
      <w:r>
        <w:rPr>
          <w:rFonts w:hint="eastAsia" w:ascii="宋体" w:hAnsi="宋体" w:eastAsia="宋体" w:cs="宋体"/>
          <w:color w:val="auto"/>
        </w:rPr>
        <w:t>；</w:t>
      </w:r>
    </w:p>
    <w:p w14:paraId="10D57AD5">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w:t>
      </w:r>
    </w:p>
    <w:p w14:paraId="47BCC07D">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以上企业，不属于大企业的分支机构，不存在控股股东为大企业的情形，也不存在与大企业的负责人为同一人的情形。</w:t>
      </w:r>
    </w:p>
    <w:p w14:paraId="7F9270D3">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本企业对上述声明内容的真实性负责。如有虚假，将依法承担相应责任。</w:t>
      </w:r>
    </w:p>
    <w:p w14:paraId="5E60D704">
      <w:pPr>
        <w:spacing w:line="360" w:lineRule="auto"/>
        <w:rPr>
          <w:rFonts w:ascii="宋体" w:hAnsi="宋体" w:eastAsia="宋体" w:cs="Times New Roman"/>
          <w:color w:val="auto"/>
        </w:rPr>
      </w:pPr>
    </w:p>
    <w:p w14:paraId="7136996B">
      <w:pPr>
        <w:spacing w:line="360" w:lineRule="auto"/>
        <w:rPr>
          <w:rFonts w:ascii="宋体" w:hAnsi="宋体" w:eastAsia="宋体" w:cs="Times New Roman"/>
          <w:color w:val="auto"/>
        </w:rPr>
      </w:pPr>
    </w:p>
    <w:p w14:paraId="002F0EFE">
      <w:pPr>
        <w:wordWrap w:val="0"/>
        <w:spacing w:line="360" w:lineRule="auto"/>
        <w:jc w:val="right"/>
        <w:rPr>
          <w:rFonts w:ascii="宋体" w:hAnsi="宋体" w:eastAsia="宋体"/>
          <w:color w:val="auto"/>
        </w:rPr>
      </w:pPr>
      <w:r>
        <w:rPr>
          <w:rFonts w:hint="eastAsia" w:ascii="宋体" w:hAnsi="宋体" w:eastAsia="宋体"/>
          <w:color w:val="auto"/>
        </w:rPr>
        <w:t>企业名称（盖章）：</w:t>
      </w:r>
      <w:r>
        <w:rPr>
          <w:rFonts w:ascii="宋体" w:hAnsi="宋体" w:eastAsia="宋体"/>
          <w:color w:val="auto"/>
        </w:rPr>
        <w:t xml:space="preserve">                </w:t>
      </w:r>
    </w:p>
    <w:p w14:paraId="7021CBF6">
      <w:pPr>
        <w:wordWrap w:val="0"/>
        <w:spacing w:line="360" w:lineRule="auto"/>
        <w:jc w:val="right"/>
        <w:rPr>
          <w:rFonts w:ascii="宋体" w:hAnsi="宋体" w:eastAsia="宋体" w:cs="Times New Roman"/>
          <w:color w:val="auto"/>
        </w:rPr>
      </w:pPr>
      <w:r>
        <w:rPr>
          <w:rFonts w:hint="eastAsia" w:ascii="宋体" w:hAnsi="宋体" w:eastAsia="宋体"/>
          <w:color w:val="auto"/>
        </w:rPr>
        <w:t>日</w:t>
      </w:r>
      <w:r>
        <w:rPr>
          <w:rFonts w:ascii="宋体" w:hAnsi="宋体" w:eastAsia="宋体"/>
          <w:color w:val="auto"/>
        </w:rPr>
        <w:t xml:space="preserve"> 期：</w:t>
      </w:r>
      <w:r>
        <w:rPr>
          <w:rFonts w:hint="eastAsia" w:ascii="宋体" w:hAnsi="宋体" w:eastAsia="宋体"/>
          <w:color w:val="auto"/>
        </w:rPr>
        <w:t xml:space="preserve"> </w:t>
      </w:r>
      <w:r>
        <w:rPr>
          <w:rFonts w:ascii="宋体" w:hAnsi="宋体" w:eastAsia="宋体"/>
          <w:color w:val="auto"/>
        </w:rPr>
        <w:t xml:space="preserve">                         </w:t>
      </w:r>
    </w:p>
    <w:p w14:paraId="449CF7F1">
      <w:pPr>
        <w:spacing w:line="360" w:lineRule="auto"/>
        <w:jc w:val="left"/>
        <w:rPr>
          <w:rFonts w:ascii="宋体" w:hAnsi="宋体" w:eastAsia="宋体" w:cs="Times New Roman"/>
          <w:color w:val="auto"/>
        </w:rPr>
      </w:pPr>
    </w:p>
    <w:p w14:paraId="3CD1DA54">
      <w:pPr>
        <w:spacing w:line="360" w:lineRule="auto"/>
        <w:jc w:val="left"/>
        <w:rPr>
          <w:rFonts w:ascii="宋体" w:hAnsi="宋体" w:eastAsia="宋体" w:cs="Times New Roman"/>
          <w:color w:val="auto"/>
        </w:rPr>
      </w:pPr>
    </w:p>
    <w:p w14:paraId="7B21359D">
      <w:pPr>
        <w:spacing w:line="360" w:lineRule="auto"/>
        <w:jc w:val="left"/>
        <w:rPr>
          <w:rFonts w:ascii="宋体" w:hAnsi="宋体" w:eastAsia="宋体" w:cs="Times New Roman"/>
          <w:color w:val="auto"/>
        </w:rPr>
      </w:pPr>
    </w:p>
    <w:p w14:paraId="06024F08">
      <w:pPr>
        <w:spacing w:line="360" w:lineRule="auto"/>
        <w:jc w:val="left"/>
        <w:rPr>
          <w:rFonts w:ascii="宋体" w:hAnsi="宋体" w:eastAsia="宋体" w:cs="Times New Roman"/>
          <w:color w:val="auto"/>
        </w:rPr>
      </w:pPr>
    </w:p>
    <w:p w14:paraId="607DB1B2">
      <w:pPr>
        <w:spacing w:line="360" w:lineRule="auto"/>
        <w:jc w:val="left"/>
        <w:rPr>
          <w:rFonts w:ascii="宋体" w:hAnsi="宋体" w:eastAsia="宋体" w:cs="Times New Roman"/>
          <w:color w:val="auto"/>
        </w:rPr>
      </w:pPr>
    </w:p>
    <w:p w14:paraId="7BCA29F6">
      <w:pPr>
        <w:spacing w:line="360" w:lineRule="auto"/>
        <w:jc w:val="left"/>
        <w:rPr>
          <w:rFonts w:ascii="宋体" w:hAnsi="宋体" w:eastAsia="宋体" w:cs="Times New Roman"/>
          <w:color w:val="auto"/>
        </w:rPr>
      </w:pPr>
      <w:r>
        <w:rPr>
          <w:rFonts w:hint="eastAsia" w:ascii="宋体" w:hAnsi="宋体" w:eastAsia="宋体" w:cs="宋体"/>
          <w:color w:val="auto"/>
        </w:rPr>
        <w:t>注：</w:t>
      </w:r>
      <w:r>
        <w:rPr>
          <w:rFonts w:ascii="宋体" w:hAnsi="宋体" w:eastAsia="宋体" w:cs="宋体"/>
          <w:color w:val="auto"/>
        </w:rPr>
        <w:t>1.</w:t>
      </w:r>
      <w:r>
        <w:rPr>
          <w:rFonts w:hint="eastAsia" w:ascii="宋体" w:hAnsi="宋体" w:eastAsia="宋体" w:cs="宋体"/>
          <w:color w:val="auto"/>
        </w:rPr>
        <w:t>标的名称应填写所投产品货物名称，且逐条列明本次采购所有产品制造商。</w:t>
      </w:r>
    </w:p>
    <w:p w14:paraId="7D1A50C2">
      <w:pPr>
        <w:spacing w:line="360" w:lineRule="auto"/>
        <w:ind w:firstLine="420" w:firstLineChars="200"/>
        <w:jc w:val="left"/>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本次采购货物所属行业为：工业。</w:t>
      </w:r>
    </w:p>
    <w:p w14:paraId="79DDC8EC">
      <w:pPr>
        <w:spacing w:line="360" w:lineRule="auto"/>
        <w:ind w:firstLine="420" w:firstLineChars="200"/>
        <w:jc w:val="left"/>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投标人提供的货物既有中小企业制造货物，也有大型企业制造货物的，不享受价格扣除优惠政策，不用填写此声明函。</w:t>
      </w:r>
    </w:p>
    <w:p w14:paraId="023A6A47">
      <w:pPr>
        <w:spacing w:line="360" w:lineRule="auto"/>
        <w:jc w:val="left"/>
        <w:rPr>
          <w:rFonts w:ascii="宋体" w:hAnsi="宋体" w:eastAsia="宋体" w:cs="Times New Roman"/>
          <w:color w:val="auto"/>
        </w:rPr>
      </w:pPr>
    </w:p>
    <w:p w14:paraId="52C85A87">
      <w:pPr>
        <w:spacing w:line="360" w:lineRule="auto"/>
        <w:rPr>
          <w:rFonts w:ascii="宋体" w:hAnsi="宋体" w:eastAsia="宋体"/>
          <w:color w:val="auto"/>
        </w:rPr>
      </w:pPr>
      <w:r>
        <w:rPr>
          <w:rFonts w:ascii="宋体" w:hAnsi="宋体" w:eastAsia="宋体"/>
          <w:color w:val="auto"/>
        </w:rPr>
        <w:br w:type="page"/>
      </w:r>
    </w:p>
    <w:p w14:paraId="3041470F">
      <w:pPr>
        <w:pStyle w:val="4"/>
        <w:spacing w:before="0" w:after="0" w:line="360" w:lineRule="auto"/>
        <w:rPr>
          <w:rFonts w:ascii="宋体" w:hAnsi="宋体" w:cs="宋体"/>
          <w:color w:val="auto"/>
          <w:sz w:val="21"/>
          <w:szCs w:val="21"/>
        </w:rPr>
      </w:pPr>
      <w:r>
        <w:rPr>
          <w:rFonts w:hint="eastAsia" w:ascii="宋体" w:hAnsi="宋体" w:cs="宋体"/>
          <w:color w:val="auto"/>
          <w:sz w:val="21"/>
          <w:szCs w:val="21"/>
        </w:rPr>
        <w:t>附件三：</w:t>
      </w:r>
      <w:bookmarkEnd w:id="696"/>
      <w:bookmarkEnd w:id="697"/>
      <w:bookmarkEnd w:id="698"/>
      <w:bookmarkEnd w:id="699"/>
      <w:bookmarkEnd w:id="700"/>
      <w:bookmarkEnd w:id="701"/>
    </w:p>
    <w:p w14:paraId="6CB18924">
      <w:pPr>
        <w:spacing w:line="360" w:lineRule="auto"/>
        <w:jc w:val="left"/>
        <w:rPr>
          <w:rFonts w:ascii="宋体" w:hAnsi="宋体" w:eastAsia="宋体" w:cs="Times New Roman"/>
          <w:color w:val="auto"/>
        </w:rPr>
      </w:pPr>
    </w:p>
    <w:p w14:paraId="7DA7D72B">
      <w:pPr>
        <w:spacing w:line="360" w:lineRule="auto"/>
        <w:jc w:val="center"/>
        <w:rPr>
          <w:rFonts w:ascii="宋体" w:hAnsi="宋体" w:eastAsia="宋体" w:cs="Times New Roman"/>
          <w:color w:val="auto"/>
        </w:rPr>
      </w:pPr>
      <w:r>
        <w:rPr>
          <w:rFonts w:hint="eastAsia" w:ascii="宋体" w:hAnsi="宋体" w:eastAsia="宋体" w:cs="宋体"/>
          <w:color w:val="auto"/>
        </w:rPr>
        <w:t>残疾人福利性单位声明函</w:t>
      </w:r>
    </w:p>
    <w:p w14:paraId="37C8DE5B">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本单位郑重声明，根据《财政部</w:t>
      </w:r>
      <w:r>
        <w:rPr>
          <w:rFonts w:ascii="宋体" w:hAnsi="宋体" w:eastAsia="宋体" w:cs="宋体"/>
          <w:color w:val="auto"/>
        </w:rPr>
        <w:t xml:space="preserve"> </w:t>
      </w:r>
      <w:r>
        <w:rPr>
          <w:rFonts w:hint="eastAsia" w:ascii="宋体" w:hAnsi="宋体" w:eastAsia="宋体" w:cs="宋体"/>
          <w:color w:val="auto"/>
        </w:rPr>
        <w:t>民政部</w:t>
      </w:r>
      <w:r>
        <w:rPr>
          <w:rFonts w:ascii="宋体" w:hAnsi="宋体" w:eastAsia="宋体" w:cs="宋体"/>
          <w:color w:val="auto"/>
        </w:rPr>
        <w:t xml:space="preserve"> </w:t>
      </w:r>
      <w:r>
        <w:rPr>
          <w:rFonts w:hint="eastAsia" w:ascii="宋体" w:hAnsi="宋体" w:eastAsia="宋体" w:cs="宋体"/>
          <w:color w:val="auto"/>
        </w:rPr>
        <w:t>中国残疾人联合会关于促进残疾人就业政府采购政策的通知》（财库〔</w:t>
      </w:r>
      <w:r>
        <w:rPr>
          <w:rFonts w:ascii="宋体" w:hAnsi="宋体" w:eastAsia="宋体" w:cs="宋体"/>
          <w:color w:val="auto"/>
        </w:rPr>
        <w:t>2017</w:t>
      </w:r>
      <w:r>
        <w:rPr>
          <w:rFonts w:hint="eastAsia" w:ascii="宋体" w:hAnsi="宋体" w:eastAsia="宋体" w:cs="宋体"/>
          <w:color w:val="auto"/>
        </w:rPr>
        <w:t>〕</w:t>
      </w:r>
      <w:r>
        <w:rPr>
          <w:rFonts w:ascii="宋体" w:hAnsi="宋体" w:eastAsia="宋体" w:cs="宋体"/>
          <w:color w:val="auto"/>
        </w:rPr>
        <w:t>141</w:t>
      </w:r>
      <w:r>
        <w:rPr>
          <w:rFonts w:hint="eastAsia" w:ascii="宋体" w:hAnsi="宋体" w:eastAsia="宋体" w:cs="宋体"/>
          <w:color w:val="auto"/>
        </w:rPr>
        <w:t>号）的规定，本单位为符合条件的残疾人福利性单位，且本单位参加单位的项目采购活动提供本单位制造的货物（由本单位承担工程</w:t>
      </w:r>
      <w:r>
        <w:rPr>
          <w:rFonts w:ascii="宋体" w:hAnsi="宋体" w:eastAsia="宋体" w:cs="宋体"/>
          <w:color w:val="auto"/>
        </w:rPr>
        <w:t>/</w:t>
      </w:r>
      <w:r>
        <w:rPr>
          <w:rFonts w:hint="eastAsia" w:ascii="宋体" w:hAnsi="宋体" w:eastAsia="宋体" w:cs="宋体"/>
          <w:color w:val="auto"/>
        </w:rPr>
        <w:t>提供服务），或者提供其他残疾人福利性单位制造的货物（不包括使用非残疾人福利性单位注册商标的货物）。</w:t>
      </w:r>
    </w:p>
    <w:p w14:paraId="72379517">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本单位对上述声明的真实性负责。如有虚假，将依法承担相应责任。</w:t>
      </w:r>
    </w:p>
    <w:p w14:paraId="627E7588">
      <w:pPr>
        <w:spacing w:line="360" w:lineRule="auto"/>
        <w:rPr>
          <w:rFonts w:ascii="宋体" w:hAnsi="宋体" w:eastAsia="宋体" w:cs="Times New Roman"/>
          <w:color w:val="auto"/>
        </w:rPr>
      </w:pPr>
    </w:p>
    <w:p w14:paraId="1190BECB">
      <w:pPr>
        <w:spacing w:line="360" w:lineRule="auto"/>
        <w:rPr>
          <w:rFonts w:ascii="宋体" w:hAnsi="宋体" w:eastAsia="宋体" w:cs="Times New Roman"/>
          <w:color w:val="auto"/>
        </w:rPr>
      </w:pPr>
    </w:p>
    <w:p w14:paraId="4BC9F2A0">
      <w:pPr>
        <w:wordWrap w:val="0"/>
        <w:spacing w:line="360" w:lineRule="auto"/>
        <w:jc w:val="right"/>
        <w:rPr>
          <w:rFonts w:ascii="宋体" w:hAnsi="宋体" w:eastAsia="宋体"/>
          <w:color w:val="auto"/>
        </w:rPr>
      </w:pPr>
      <w:r>
        <w:rPr>
          <w:rFonts w:ascii="宋体" w:hAnsi="宋体" w:eastAsia="宋体"/>
          <w:color w:val="auto"/>
        </w:rPr>
        <w:t>单位名称（盖章）：</w:t>
      </w:r>
      <w:r>
        <w:rPr>
          <w:rFonts w:hint="eastAsia" w:ascii="宋体" w:hAnsi="宋体" w:eastAsia="宋体"/>
          <w:color w:val="auto"/>
        </w:rPr>
        <w:t xml:space="preserve"> </w:t>
      </w:r>
      <w:r>
        <w:rPr>
          <w:rFonts w:ascii="宋体" w:hAnsi="宋体" w:eastAsia="宋体"/>
          <w:color w:val="auto"/>
        </w:rPr>
        <w:t xml:space="preserve">               </w:t>
      </w:r>
    </w:p>
    <w:p w14:paraId="45EE3EDE">
      <w:pPr>
        <w:wordWrap w:val="0"/>
        <w:spacing w:line="360" w:lineRule="auto"/>
        <w:jc w:val="right"/>
        <w:rPr>
          <w:rFonts w:ascii="宋体" w:hAnsi="宋体" w:eastAsia="宋体" w:cs="Times New Roman"/>
          <w:color w:val="auto"/>
        </w:rPr>
      </w:pPr>
      <w:r>
        <w:rPr>
          <w:rFonts w:ascii="宋体" w:hAnsi="宋体" w:eastAsia="宋体"/>
          <w:color w:val="auto"/>
        </w:rPr>
        <w:t>日  期：</w:t>
      </w:r>
      <w:r>
        <w:rPr>
          <w:rFonts w:hint="eastAsia" w:ascii="宋体" w:hAnsi="宋体" w:eastAsia="宋体"/>
          <w:color w:val="auto"/>
        </w:rPr>
        <w:t xml:space="preserve"> </w:t>
      </w:r>
      <w:r>
        <w:rPr>
          <w:rFonts w:ascii="宋体" w:hAnsi="宋体" w:eastAsia="宋体"/>
          <w:color w:val="auto"/>
        </w:rPr>
        <w:t xml:space="preserve">                        </w:t>
      </w:r>
    </w:p>
    <w:p w14:paraId="501E5206">
      <w:pPr>
        <w:spacing w:line="360" w:lineRule="auto"/>
        <w:rPr>
          <w:rFonts w:ascii="宋体" w:hAnsi="宋体" w:eastAsia="宋体" w:cs="Times New Roman"/>
          <w:color w:val="auto"/>
        </w:rPr>
      </w:pPr>
    </w:p>
    <w:p w14:paraId="3B8EC059">
      <w:pPr>
        <w:spacing w:line="360" w:lineRule="auto"/>
        <w:rPr>
          <w:rFonts w:ascii="宋体" w:hAnsi="宋体" w:eastAsia="宋体" w:cs="Times New Roman"/>
          <w:color w:val="auto"/>
        </w:rPr>
      </w:pPr>
    </w:p>
    <w:p w14:paraId="18F13B80">
      <w:pPr>
        <w:pStyle w:val="4"/>
        <w:spacing w:before="0" w:after="0" w:line="360" w:lineRule="auto"/>
        <w:rPr>
          <w:rFonts w:ascii="宋体" w:hAnsi="宋体" w:cs="宋体"/>
          <w:color w:val="auto"/>
          <w:sz w:val="21"/>
          <w:szCs w:val="21"/>
        </w:rPr>
      </w:pPr>
      <w:r>
        <w:rPr>
          <w:rFonts w:ascii="宋体" w:hAnsi="宋体"/>
          <w:color w:val="auto"/>
        </w:rPr>
        <w:br w:type="page"/>
      </w:r>
      <w:bookmarkStart w:id="702" w:name="_Toc164432980"/>
      <w:bookmarkStart w:id="703" w:name="_Toc14018"/>
      <w:bookmarkStart w:id="704" w:name="_Toc77504128"/>
      <w:bookmarkStart w:id="705" w:name="_Toc120282485"/>
      <w:bookmarkStart w:id="706" w:name="_Toc107396257"/>
      <w:bookmarkStart w:id="707" w:name="_Toc77658138"/>
      <w:r>
        <w:rPr>
          <w:rFonts w:hint="eastAsia" w:ascii="宋体" w:hAnsi="宋体" w:cs="宋体"/>
          <w:color w:val="auto"/>
          <w:sz w:val="21"/>
          <w:szCs w:val="21"/>
        </w:rPr>
        <w:t>附件四：</w:t>
      </w:r>
      <w:bookmarkEnd w:id="702"/>
      <w:bookmarkEnd w:id="703"/>
      <w:bookmarkEnd w:id="704"/>
      <w:bookmarkEnd w:id="705"/>
      <w:bookmarkEnd w:id="706"/>
      <w:bookmarkEnd w:id="707"/>
    </w:p>
    <w:p w14:paraId="427BA9D3">
      <w:pPr>
        <w:spacing w:line="360" w:lineRule="auto"/>
        <w:rPr>
          <w:rFonts w:ascii="宋体" w:hAnsi="宋体" w:eastAsia="宋体" w:cs="Times New Roman"/>
          <w:color w:val="auto"/>
        </w:rPr>
      </w:pPr>
    </w:p>
    <w:p w14:paraId="6FBEA95F">
      <w:pPr>
        <w:spacing w:line="360" w:lineRule="auto"/>
        <w:jc w:val="center"/>
        <w:rPr>
          <w:rFonts w:ascii="宋体" w:hAnsi="宋体" w:eastAsia="宋体" w:cs="Times New Roman"/>
          <w:color w:val="auto"/>
        </w:rPr>
      </w:pPr>
      <w:r>
        <w:rPr>
          <w:rFonts w:hint="eastAsia" w:ascii="宋体" w:hAnsi="宋体" w:eastAsia="宋体" w:cs="宋体"/>
          <w:color w:val="auto"/>
        </w:rPr>
        <w:t>监狱企业证明文件</w:t>
      </w:r>
    </w:p>
    <w:p w14:paraId="788FBA79">
      <w:pPr>
        <w:spacing w:line="360" w:lineRule="auto"/>
        <w:ind w:firstLine="420" w:firstLineChars="200"/>
        <w:rPr>
          <w:rFonts w:ascii="宋体" w:hAnsi="宋体" w:eastAsia="宋体" w:cs="宋体"/>
          <w:color w:val="auto"/>
        </w:rPr>
      </w:pPr>
      <w:r>
        <w:rPr>
          <w:rFonts w:hint="eastAsia" w:ascii="宋体" w:hAnsi="宋体" w:eastAsia="宋体" w:cs="宋体"/>
          <w:color w:val="auto"/>
        </w:rPr>
        <w:t>根据《财政部</w:t>
      </w:r>
      <w:r>
        <w:rPr>
          <w:rFonts w:ascii="宋体" w:hAnsi="宋体" w:eastAsia="宋体" w:cs="宋体"/>
          <w:color w:val="auto"/>
        </w:rPr>
        <w:t xml:space="preserve"> </w:t>
      </w:r>
      <w:r>
        <w:rPr>
          <w:rFonts w:hint="eastAsia" w:ascii="宋体" w:hAnsi="宋体" w:eastAsia="宋体" w:cs="宋体"/>
          <w:color w:val="auto"/>
        </w:rPr>
        <w:t>司法部关于政府采购支持监狱企业发展有关问题的通知》（财库〔</w:t>
      </w:r>
      <w:r>
        <w:rPr>
          <w:rFonts w:ascii="宋体" w:hAnsi="宋体" w:eastAsia="宋体" w:cs="宋体"/>
          <w:color w:val="auto"/>
        </w:rPr>
        <w:t>2014</w:t>
      </w:r>
      <w:r>
        <w:rPr>
          <w:rFonts w:hint="eastAsia" w:ascii="宋体" w:hAnsi="宋体" w:eastAsia="宋体" w:cs="宋体"/>
          <w:color w:val="auto"/>
        </w:rPr>
        <w:t>〕</w:t>
      </w:r>
      <w:r>
        <w:rPr>
          <w:rFonts w:ascii="宋体" w:hAnsi="宋体" w:eastAsia="宋体" w:cs="宋体"/>
          <w:color w:val="auto"/>
        </w:rPr>
        <w:t>68</w:t>
      </w:r>
      <w:r>
        <w:rPr>
          <w:rFonts w:hint="eastAsia" w:ascii="宋体" w:hAnsi="宋体" w:eastAsia="宋体" w:cs="宋体"/>
          <w:color w:val="auto"/>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80A874D">
      <w:pPr>
        <w:pStyle w:val="4"/>
        <w:spacing w:before="0" w:after="0" w:line="360" w:lineRule="auto"/>
        <w:rPr>
          <w:rFonts w:ascii="宋体" w:hAnsi="宋体" w:cs="宋体"/>
          <w:color w:val="auto"/>
          <w:sz w:val="21"/>
          <w:szCs w:val="21"/>
        </w:rPr>
      </w:pPr>
      <w:bookmarkStart w:id="708" w:name="_Toc120282486"/>
      <w:bookmarkStart w:id="709" w:name="_Toc107396258"/>
      <w:r>
        <w:rPr>
          <w:rFonts w:ascii="宋体" w:hAnsi="宋体" w:cs="宋体"/>
          <w:color w:val="auto"/>
          <w:sz w:val="21"/>
          <w:szCs w:val="21"/>
        </w:rPr>
        <w:br w:type="page"/>
      </w:r>
    </w:p>
    <w:p w14:paraId="50FC1549">
      <w:pPr>
        <w:pStyle w:val="4"/>
        <w:spacing w:before="0" w:after="0" w:line="360" w:lineRule="auto"/>
        <w:rPr>
          <w:rFonts w:ascii="宋体" w:hAnsi="宋体" w:cs="宋体"/>
          <w:color w:val="auto"/>
          <w:sz w:val="21"/>
          <w:szCs w:val="21"/>
        </w:rPr>
      </w:pPr>
      <w:r>
        <w:rPr>
          <w:rFonts w:hint="eastAsia" w:ascii="宋体" w:hAnsi="宋体" w:cs="宋体"/>
          <w:color w:val="auto"/>
          <w:sz w:val="21"/>
          <w:szCs w:val="21"/>
        </w:rPr>
        <w:t>附件五：</w:t>
      </w:r>
      <w:bookmarkEnd w:id="708"/>
      <w:bookmarkEnd w:id="709"/>
    </w:p>
    <w:p w14:paraId="4D92ED4D">
      <w:pPr>
        <w:spacing w:line="360" w:lineRule="auto"/>
        <w:jc w:val="center"/>
        <w:rPr>
          <w:rFonts w:ascii="宋体" w:hAnsi="宋体" w:eastAsia="宋体" w:cs="Times New Roman"/>
          <w:color w:val="auto"/>
        </w:rPr>
      </w:pPr>
      <w:r>
        <w:rPr>
          <w:rFonts w:hint="eastAsia" w:ascii="宋体" w:hAnsi="宋体" w:eastAsia="宋体" w:cs="宋体"/>
          <w:color w:val="auto"/>
        </w:rPr>
        <w:t>政府采购节能产品、环境标志产品声明函</w:t>
      </w:r>
    </w:p>
    <w:p w14:paraId="2CD1354C">
      <w:pPr>
        <w:spacing w:line="360" w:lineRule="auto"/>
        <w:rPr>
          <w:rFonts w:ascii="宋体" w:hAnsi="宋体" w:eastAsia="宋体" w:cs="Times New Roman"/>
          <w:color w:val="auto"/>
        </w:rPr>
      </w:pPr>
    </w:p>
    <w:p w14:paraId="7D79B669">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本单位承诺，本次参加的</w:t>
      </w:r>
      <w:r>
        <w:rPr>
          <w:rFonts w:ascii="宋体" w:hAnsi="宋体" w:eastAsia="宋体" w:cs="宋体"/>
          <w:color w:val="auto"/>
        </w:rPr>
        <w:t>_________________________</w:t>
      </w:r>
      <w:r>
        <w:rPr>
          <w:rFonts w:hint="eastAsia" w:ascii="宋体" w:hAnsi="宋体" w:eastAsia="宋体" w:cs="宋体"/>
          <w:color w:val="auto"/>
        </w:rPr>
        <w:t>采购项目（项目编号：</w:t>
      </w:r>
      <w:r>
        <w:rPr>
          <w:rFonts w:ascii="宋体" w:hAnsi="宋体" w:eastAsia="宋体" w:cs="宋体"/>
          <w:color w:val="auto"/>
        </w:rPr>
        <w:t>____________</w:t>
      </w:r>
      <w:r>
        <w:rPr>
          <w:rFonts w:hint="eastAsia" w:ascii="宋体" w:hAnsi="宋体" w:eastAsia="宋体" w:cs="宋体"/>
          <w:color w:val="auto"/>
        </w:rPr>
        <w:t>），所投的下列产品属于《节能产品、环境标志产品政府采购品目清单》内的产品，并且具有法定认证资格的认证机构出具的认证证明，符合优先采购</w:t>
      </w:r>
      <w:r>
        <w:rPr>
          <w:rFonts w:ascii="宋体" w:hAnsi="宋体" w:eastAsia="宋体" w:cs="宋体"/>
          <w:color w:val="auto"/>
        </w:rPr>
        <w:t>/</w:t>
      </w:r>
      <w:r>
        <w:rPr>
          <w:rFonts w:hint="eastAsia" w:ascii="宋体" w:hAnsi="宋体" w:eastAsia="宋体" w:cs="宋体"/>
          <w:color w:val="auto"/>
        </w:rPr>
        <w:t>强制采购政策。本单位对以下填列的各项信息以及相关产品认证证明的真实性负责。如有虚假，将依法承担相应责任。</w:t>
      </w:r>
    </w:p>
    <w:tbl>
      <w:tblPr>
        <w:tblStyle w:val="39"/>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
        <w:gridCol w:w="791"/>
        <w:gridCol w:w="811"/>
        <w:gridCol w:w="781"/>
        <w:gridCol w:w="1270"/>
        <w:gridCol w:w="1065"/>
        <w:gridCol w:w="1067"/>
        <w:gridCol w:w="709"/>
        <w:gridCol w:w="696"/>
        <w:gridCol w:w="818"/>
        <w:gridCol w:w="1146"/>
      </w:tblGrid>
      <w:tr w14:paraId="53DEF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vAlign w:val="center"/>
          </w:tcPr>
          <w:p w14:paraId="4244A4A6">
            <w:pPr>
              <w:jc w:val="center"/>
              <w:rPr>
                <w:rFonts w:ascii="宋体" w:hAnsi="宋体" w:eastAsia="宋体" w:cs="Times New Roman"/>
                <w:color w:val="auto"/>
              </w:rPr>
            </w:pPr>
            <w:r>
              <w:rPr>
                <w:rFonts w:hint="eastAsia" w:ascii="宋体" w:hAnsi="宋体" w:eastAsia="宋体" w:cs="宋体"/>
                <w:color w:val="auto"/>
              </w:rPr>
              <w:t>序号</w:t>
            </w:r>
          </w:p>
        </w:tc>
        <w:tc>
          <w:tcPr>
            <w:tcW w:w="791" w:type="dxa"/>
            <w:vAlign w:val="center"/>
          </w:tcPr>
          <w:p w14:paraId="72E9E0C3">
            <w:pPr>
              <w:jc w:val="center"/>
              <w:rPr>
                <w:rFonts w:ascii="宋体" w:hAnsi="宋体" w:eastAsia="宋体" w:cs="Times New Roman"/>
                <w:color w:val="auto"/>
              </w:rPr>
            </w:pPr>
            <w:r>
              <w:rPr>
                <w:rFonts w:hint="eastAsia" w:ascii="宋体" w:hAnsi="宋体" w:eastAsia="宋体" w:cs="宋体"/>
                <w:color w:val="auto"/>
              </w:rPr>
              <w:t>所投产品</w:t>
            </w:r>
          </w:p>
        </w:tc>
        <w:tc>
          <w:tcPr>
            <w:tcW w:w="811" w:type="dxa"/>
            <w:vAlign w:val="center"/>
          </w:tcPr>
          <w:p w14:paraId="6AAB9C60">
            <w:pPr>
              <w:jc w:val="center"/>
              <w:rPr>
                <w:rFonts w:ascii="宋体" w:hAnsi="宋体" w:eastAsia="宋体" w:cs="Times New Roman"/>
                <w:color w:val="auto"/>
              </w:rPr>
            </w:pPr>
            <w:r>
              <w:rPr>
                <w:rFonts w:hint="eastAsia" w:ascii="宋体" w:hAnsi="宋体" w:eastAsia="宋体" w:cs="宋体"/>
                <w:color w:val="auto"/>
              </w:rPr>
              <w:t>产品属性</w:t>
            </w:r>
          </w:p>
        </w:tc>
        <w:tc>
          <w:tcPr>
            <w:tcW w:w="781" w:type="dxa"/>
            <w:vAlign w:val="center"/>
          </w:tcPr>
          <w:p w14:paraId="1D12DA06">
            <w:pPr>
              <w:jc w:val="center"/>
              <w:rPr>
                <w:rFonts w:ascii="宋体" w:hAnsi="宋体" w:eastAsia="宋体" w:cs="Times New Roman"/>
                <w:color w:val="auto"/>
              </w:rPr>
            </w:pPr>
            <w:r>
              <w:rPr>
                <w:rFonts w:hint="eastAsia" w:ascii="宋体" w:hAnsi="宋体" w:eastAsia="宋体" w:cs="宋体"/>
                <w:color w:val="auto"/>
              </w:rPr>
              <w:t>产品类别</w:t>
            </w:r>
          </w:p>
        </w:tc>
        <w:tc>
          <w:tcPr>
            <w:tcW w:w="1270" w:type="dxa"/>
            <w:vAlign w:val="center"/>
          </w:tcPr>
          <w:p w14:paraId="6B91707B">
            <w:pPr>
              <w:jc w:val="center"/>
              <w:rPr>
                <w:rFonts w:ascii="宋体" w:hAnsi="宋体" w:eastAsia="宋体" w:cs="Times New Roman"/>
                <w:color w:val="auto"/>
              </w:rPr>
            </w:pPr>
            <w:r>
              <w:rPr>
                <w:rFonts w:hint="eastAsia" w:ascii="宋体" w:hAnsi="宋体" w:eastAsia="宋体" w:cs="宋体"/>
                <w:color w:val="auto"/>
              </w:rPr>
              <w:t>是否为强制采购产品</w:t>
            </w:r>
          </w:p>
        </w:tc>
        <w:tc>
          <w:tcPr>
            <w:tcW w:w="1065" w:type="dxa"/>
            <w:vAlign w:val="center"/>
          </w:tcPr>
          <w:p w14:paraId="169BB556">
            <w:pPr>
              <w:jc w:val="center"/>
              <w:rPr>
                <w:rFonts w:ascii="宋体" w:hAnsi="宋体" w:eastAsia="宋体" w:cs="Times New Roman"/>
                <w:color w:val="auto"/>
              </w:rPr>
            </w:pPr>
            <w:r>
              <w:rPr>
                <w:rFonts w:hint="eastAsia" w:ascii="宋体" w:hAnsi="宋体" w:eastAsia="宋体" w:cs="宋体"/>
                <w:color w:val="auto"/>
              </w:rPr>
              <w:t>规格型号</w:t>
            </w:r>
          </w:p>
        </w:tc>
        <w:tc>
          <w:tcPr>
            <w:tcW w:w="1067" w:type="dxa"/>
            <w:vAlign w:val="center"/>
          </w:tcPr>
          <w:p w14:paraId="767EEF82">
            <w:pPr>
              <w:jc w:val="center"/>
              <w:rPr>
                <w:rFonts w:ascii="宋体" w:hAnsi="宋体" w:eastAsia="宋体" w:cs="Times New Roman"/>
                <w:color w:val="auto"/>
              </w:rPr>
            </w:pPr>
            <w:r>
              <w:rPr>
                <w:rFonts w:hint="eastAsia" w:ascii="宋体" w:hAnsi="宋体" w:eastAsia="宋体" w:cs="宋体"/>
                <w:color w:val="auto"/>
              </w:rPr>
              <w:t>计量单位</w:t>
            </w:r>
          </w:p>
        </w:tc>
        <w:tc>
          <w:tcPr>
            <w:tcW w:w="709" w:type="dxa"/>
            <w:vAlign w:val="center"/>
          </w:tcPr>
          <w:p w14:paraId="2A5E097E">
            <w:pPr>
              <w:jc w:val="center"/>
              <w:rPr>
                <w:rFonts w:ascii="宋体" w:hAnsi="宋体" w:eastAsia="宋体" w:cs="Times New Roman"/>
                <w:color w:val="auto"/>
              </w:rPr>
            </w:pPr>
            <w:r>
              <w:rPr>
                <w:rFonts w:hint="eastAsia" w:ascii="宋体" w:hAnsi="宋体" w:eastAsia="宋体" w:cs="宋体"/>
                <w:color w:val="auto"/>
              </w:rPr>
              <w:t>数量</w:t>
            </w:r>
          </w:p>
        </w:tc>
        <w:tc>
          <w:tcPr>
            <w:tcW w:w="696" w:type="dxa"/>
            <w:vAlign w:val="center"/>
          </w:tcPr>
          <w:p w14:paraId="51B6EAF5">
            <w:pPr>
              <w:jc w:val="center"/>
              <w:rPr>
                <w:rFonts w:ascii="宋体" w:hAnsi="宋体" w:eastAsia="宋体" w:cs="Times New Roman"/>
                <w:color w:val="auto"/>
              </w:rPr>
            </w:pPr>
            <w:r>
              <w:rPr>
                <w:rFonts w:hint="eastAsia" w:ascii="宋体" w:hAnsi="宋体" w:eastAsia="宋体" w:cs="宋体"/>
                <w:color w:val="auto"/>
              </w:rPr>
              <w:t>单价</w:t>
            </w:r>
          </w:p>
        </w:tc>
        <w:tc>
          <w:tcPr>
            <w:tcW w:w="818" w:type="dxa"/>
            <w:vAlign w:val="center"/>
          </w:tcPr>
          <w:p w14:paraId="768F4E9F">
            <w:pPr>
              <w:jc w:val="center"/>
              <w:rPr>
                <w:rFonts w:ascii="宋体" w:hAnsi="宋体" w:eastAsia="宋体" w:cs="Times New Roman"/>
                <w:color w:val="auto"/>
              </w:rPr>
            </w:pPr>
            <w:r>
              <w:rPr>
                <w:rFonts w:hint="eastAsia" w:ascii="宋体" w:hAnsi="宋体" w:eastAsia="宋体" w:cs="宋体"/>
                <w:color w:val="auto"/>
              </w:rPr>
              <w:t>金额合计</w:t>
            </w:r>
          </w:p>
        </w:tc>
        <w:tc>
          <w:tcPr>
            <w:tcW w:w="1146" w:type="dxa"/>
            <w:vAlign w:val="center"/>
          </w:tcPr>
          <w:p w14:paraId="5BF4035A">
            <w:pPr>
              <w:jc w:val="center"/>
              <w:rPr>
                <w:rFonts w:ascii="宋体" w:hAnsi="宋体" w:eastAsia="宋体" w:cs="Times New Roman"/>
                <w:color w:val="auto"/>
              </w:rPr>
            </w:pPr>
            <w:r>
              <w:rPr>
                <w:rFonts w:hint="eastAsia" w:ascii="宋体" w:hAnsi="宋体" w:eastAsia="宋体" w:cs="宋体"/>
                <w:color w:val="auto"/>
              </w:rPr>
              <w:t>认证证书编号</w:t>
            </w:r>
          </w:p>
        </w:tc>
      </w:tr>
      <w:tr w14:paraId="2497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tcPr>
          <w:p w14:paraId="57E50840">
            <w:pPr>
              <w:ind w:firstLine="310"/>
              <w:jc w:val="left"/>
              <w:rPr>
                <w:rFonts w:ascii="宋体" w:hAnsi="宋体" w:eastAsia="宋体" w:cs="Times New Roman"/>
                <w:color w:val="auto"/>
              </w:rPr>
            </w:pPr>
          </w:p>
        </w:tc>
        <w:tc>
          <w:tcPr>
            <w:tcW w:w="791" w:type="dxa"/>
          </w:tcPr>
          <w:p w14:paraId="16FBC867">
            <w:pPr>
              <w:ind w:firstLine="310"/>
              <w:jc w:val="left"/>
              <w:rPr>
                <w:rFonts w:ascii="宋体" w:hAnsi="宋体" w:eastAsia="宋体" w:cs="Times New Roman"/>
                <w:color w:val="auto"/>
              </w:rPr>
            </w:pPr>
          </w:p>
        </w:tc>
        <w:tc>
          <w:tcPr>
            <w:tcW w:w="811" w:type="dxa"/>
          </w:tcPr>
          <w:p w14:paraId="5B46BB8A">
            <w:pPr>
              <w:ind w:firstLine="310"/>
              <w:jc w:val="left"/>
              <w:rPr>
                <w:rFonts w:ascii="宋体" w:hAnsi="宋体" w:eastAsia="宋体" w:cs="Times New Roman"/>
                <w:color w:val="auto"/>
              </w:rPr>
            </w:pPr>
          </w:p>
        </w:tc>
        <w:tc>
          <w:tcPr>
            <w:tcW w:w="781" w:type="dxa"/>
          </w:tcPr>
          <w:p w14:paraId="06813B6C">
            <w:pPr>
              <w:ind w:firstLine="310"/>
              <w:jc w:val="left"/>
              <w:rPr>
                <w:rFonts w:ascii="宋体" w:hAnsi="宋体" w:eastAsia="宋体" w:cs="Times New Roman"/>
                <w:color w:val="auto"/>
              </w:rPr>
            </w:pPr>
          </w:p>
        </w:tc>
        <w:tc>
          <w:tcPr>
            <w:tcW w:w="1270" w:type="dxa"/>
          </w:tcPr>
          <w:p w14:paraId="0807F003">
            <w:pPr>
              <w:ind w:firstLine="310"/>
              <w:jc w:val="left"/>
              <w:rPr>
                <w:rFonts w:ascii="宋体" w:hAnsi="宋体" w:eastAsia="宋体" w:cs="Times New Roman"/>
                <w:color w:val="auto"/>
              </w:rPr>
            </w:pPr>
          </w:p>
        </w:tc>
        <w:tc>
          <w:tcPr>
            <w:tcW w:w="1065" w:type="dxa"/>
          </w:tcPr>
          <w:p w14:paraId="0171C2BC">
            <w:pPr>
              <w:ind w:firstLine="310"/>
              <w:jc w:val="left"/>
              <w:rPr>
                <w:rFonts w:ascii="宋体" w:hAnsi="宋体" w:eastAsia="宋体" w:cs="Times New Roman"/>
                <w:color w:val="auto"/>
              </w:rPr>
            </w:pPr>
          </w:p>
        </w:tc>
        <w:tc>
          <w:tcPr>
            <w:tcW w:w="1067" w:type="dxa"/>
          </w:tcPr>
          <w:p w14:paraId="32AC1E55">
            <w:pPr>
              <w:ind w:firstLine="310"/>
              <w:jc w:val="left"/>
              <w:rPr>
                <w:rFonts w:ascii="宋体" w:hAnsi="宋体" w:eastAsia="宋体" w:cs="Times New Roman"/>
                <w:color w:val="auto"/>
              </w:rPr>
            </w:pPr>
          </w:p>
        </w:tc>
        <w:tc>
          <w:tcPr>
            <w:tcW w:w="709" w:type="dxa"/>
          </w:tcPr>
          <w:p w14:paraId="434E271B">
            <w:pPr>
              <w:ind w:firstLine="310"/>
              <w:jc w:val="left"/>
              <w:rPr>
                <w:rFonts w:ascii="宋体" w:hAnsi="宋体" w:eastAsia="宋体" w:cs="Times New Roman"/>
                <w:color w:val="auto"/>
              </w:rPr>
            </w:pPr>
          </w:p>
        </w:tc>
        <w:tc>
          <w:tcPr>
            <w:tcW w:w="696" w:type="dxa"/>
          </w:tcPr>
          <w:p w14:paraId="68007439">
            <w:pPr>
              <w:ind w:firstLine="310"/>
              <w:jc w:val="left"/>
              <w:rPr>
                <w:rFonts w:ascii="宋体" w:hAnsi="宋体" w:eastAsia="宋体" w:cs="Times New Roman"/>
                <w:color w:val="auto"/>
              </w:rPr>
            </w:pPr>
          </w:p>
        </w:tc>
        <w:tc>
          <w:tcPr>
            <w:tcW w:w="818" w:type="dxa"/>
          </w:tcPr>
          <w:p w14:paraId="59B9EFF5">
            <w:pPr>
              <w:ind w:firstLine="310"/>
              <w:jc w:val="left"/>
              <w:rPr>
                <w:rFonts w:ascii="宋体" w:hAnsi="宋体" w:eastAsia="宋体" w:cs="Times New Roman"/>
                <w:color w:val="auto"/>
              </w:rPr>
            </w:pPr>
          </w:p>
        </w:tc>
        <w:tc>
          <w:tcPr>
            <w:tcW w:w="1146" w:type="dxa"/>
          </w:tcPr>
          <w:p w14:paraId="2D1262A5">
            <w:pPr>
              <w:ind w:firstLine="310"/>
              <w:jc w:val="left"/>
              <w:rPr>
                <w:rFonts w:ascii="宋体" w:hAnsi="宋体" w:eastAsia="宋体" w:cs="Times New Roman"/>
                <w:color w:val="auto"/>
              </w:rPr>
            </w:pPr>
          </w:p>
        </w:tc>
      </w:tr>
      <w:tr w14:paraId="7E3C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tcPr>
          <w:p w14:paraId="1B92E6E1">
            <w:pPr>
              <w:ind w:firstLine="310"/>
              <w:jc w:val="left"/>
              <w:rPr>
                <w:rFonts w:ascii="宋体" w:hAnsi="宋体" w:eastAsia="宋体" w:cs="Times New Roman"/>
                <w:color w:val="auto"/>
              </w:rPr>
            </w:pPr>
          </w:p>
        </w:tc>
        <w:tc>
          <w:tcPr>
            <w:tcW w:w="791" w:type="dxa"/>
          </w:tcPr>
          <w:p w14:paraId="3EA0B0CD">
            <w:pPr>
              <w:ind w:firstLine="310"/>
              <w:jc w:val="left"/>
              <w:rPr>
                <w:rFonts w:ascii="宋体" w:hAnsi="宋体" w:eastAsia="宋体" w:cs="Times New Roman"/>
                <w:color w:val="auto"/>
              </w:rPr>
            </w:pPr>
          </w:p>
        </w:tc>
        <w:tc>
          <w:tcPr>
            <w:tcW w:w="811" w:type="dxa"/>
          </w:tcPr>
          <w:p w14:paraId="038CF82D">
            <w:pPr>
              <w:ind w:firstLine="310"/>
              <w:jc w:val="left"/>
              <w:rPr>
                <w:rFonts w:ascii="宋体" w:hAnsi="宋体" w:eastAsia="宋体" w:cs="Times New Roman"/>
                <w:color w:val="auto"/>
              </w:rPr>
            </w:pPr>
          </w:p>
        </w:tc>
        <w:tc>
          <w:tcPr>
            <w:tcW w:w="781" w:type="dxa"/>
          </w:tcPr>
          <w:p w14:paraId="11F696D3">
            <w:pPr>
              <w:ind w:firstLine="310"/>
              <w:jc w:val="left"/>
              <w:rPr>
                <w:rFonts w:ascii="宋体" w:hAnsi="宋体" w:eastAsia="宋体" w:cs="Times New Roman"/>
                <w:color w:val="auto"/>
              </w:rPr>
            </w:pPr>
          </w:p>
        </w:tc>
        <w:tc>
          <w:tcPr>
            <w:tcW w:w="1270" w:type="dxa"/>
          </w:tcPr>
          <w:p w14:paraId="6B848F71">
            <w:pPr>
              <w:ind w:firstLine="310"/>
              <w:jc w:val="left"/>
              <w:rPr>
                <w:rFonts w:ascii="宋体" w:hAnsi="宋体" w:eastAsia="宋体" w:cs="Times New Roman"/>
                <w:color w:val="auto"/>
              </w:rPr>
            </w:pPr>
          </w:p>
        </w:tc>
        <w:tc>
          <w:tcPr>
            <w:tcW w:w="1065" w:type="dxa"/>
          </w:tcPr>
          <w:p w14:paraId="33944C66">
            <w:pPr>
              <w:ind w:firstLine="310"/>
              <w:jc w:val="left"/>
              <w:rPr>
                <w:rFonts w:ascii="宋体" w:hAnsi="宋体" w:eastAsia="宋体" w:cs="Times New Roman"/>
                <w:color w:val="auto"/>
              </w:rPr>
            </w:pPr>
          </w:p>
        </w:tc>
        <w:tc>
          <w:tcPr>
            <w:tcW w:w="1067" w:type="dxa"/>
          </w:tcPr>
          <w:p w14:paraId="71ADF766">
            <w:pPr>
              <w:ind w:firstLine="310"/>
              <w:jc w:val="left"/>
              <w:rPr>
                <w:rFonts w:ascii="宋体" w:hAnsi="宋体" w:eastAsia="宋体" w:cs="Times New Roman"/>
                <w:color w:val="auto"/>
              </w:rPr>
            </w:pPr>
          </w:p>
        </w:tc>
        <w:tc>
          <w:tcPr>
            <w:tcW w:w="709" w:type="dxa"/>
          </w:tcPr>
          <w:p w14:paraId="5EEB846E">
            <w:pPr>
              <w:ind w:firstLine="310"/>
              <w:jc w:val="left"/>
              <w:rPr>
                <w:rFonts w:ascii="宋体" w:hAnsi="宋体" w:eastAsia="宋体" w:cs="Times New Roman"/>
                <w:color w:val="auto"/>
              </w:rPr>
            </w:pPr>
          </w:p>
        </w:tc>
        <w:tc>
          <w:tcPr>
            <w:tcW w:w="696" w:type="dxa"/>
          </w:tcPr>
          <w:p w14:paraId="32561A4E">
            <w:pPr>
              <w:ind w:firstLine="310"/>
              <w:jc w:val="left"/>
              <w:rPr>
                <w:rFonts w:ascii="宋体" w:hAnsi="宋体" w:eastAsia="宋体" w:cs="Times New Roman"/>
                <w:color w:val="auto"/>
              </w:rPr>
            </w:pPr>
          </w:p>
        </w:tc>
        <w:tc>
          <w:tcPr>
            <w:tcW w:w="818" w:type="dxa"/>
          </w:tcPr>
          <w:p w14:paraId="6DA84C66">
            <w:pPr>
              <w:ind w:firstLine="310"/>
              <w:jc w:val="left"/>
              <w:rPr>
                <w:rFonts w:ascii="宋体" w:hAnsi="宋体" w:eastAsia="宋体" w:cs="Times New Roman"/>
                <w:color w:val="auto"/>
              </w:rPr>
            </w:pPr>
          </w:p>
        </w:tc>
        <w:tc>
          <w:tcPr>
            <w:tcW w:w="1146" w:type="dxa"/>
          </w:tcPr>
          <w:p w14:paraId="02DC2AAC">
            <w:pPr>
              <w:ind w:firstLine="310"/>
              <w:jc w:val="left"/>
              <w:rPr>
                <w:rFonts w:ascii="宋体" w:hAnsi="宋体" w:eastAsia="宋体" w:cs="Times New Roman"/>
                <w:color w:val="auto"/>
              </w:rPr>
            </w:pPr>
          </w:p>
        </w:tc>
      </w:tr>
    </w:tbl>
    <w:p w14:paraId="2D3EDD4A">
      <w:pPr>
        <w:spacing w:line="360" w:lineRule="auto"/>
        <w:ind w:firstLine="420" w:firstLineChars="200"/>
        <w:rPr>
          <w:rFonts w:ascii="宋体" w:hAnsi="宋体" w:eastAsia="宋体" w:cs="Times New Roman"/>
          <w:color w:val="auto"/>
        </w:rPr>
      </w:pPr>
    </w:p>
    <w:p w14:paraId="42FC627D">
      <w:pPr>
        <w:spacing w:line="360" w:lineRule="auto"/>
        <w:ind w:firstLine="420" w:firstLineChars="200"/>
        <w:rPr>
          <w:rFonts w:ascii="宋体" w:hAnsi="宋体" w:eastAsia="宋体" w:cs="Times New Roman"/>
          <w:color w:val="auto"/>
        </w:rPr>
      </w:pPr>
      <w:r>
        <w:rPr>
          <w:rFonts w:hint="eastAsia" w:ascii="宋体" w:hAnsi="宋体" w:eastAsia="宋体" w:cs="宋体"/>
          <w:color w:val="auto"/>
        </w:rPr>
        <w:t>附件：认证证明（可以是认证证书复印件或是法定信息发布平台公布的认证信息截图）</w:t>
      </w:r>
    </w:p>
    <w:p w14:paraId="56359F4D">
      <w:pPr>
        <w:spacing w:line="360" w:lineRule="auto"/>
        <w:ind w:firstLine="420" w:firstLineChars="200"/>
        <w:rPr>
          <w:rFonts w:ascii="宋体" w:hAnsi="宋体" w:eastAsia="宋体" w:cs="Times New Roman"/>
          <w:color w:val="auto"/>
        </w:rPr>
      </w:pPr>
    </w:p>
    <w:p w14:paraId="1E023DEC">
      <w:pPr>
        <w:spacing w:line="360" w:lineRule="auto"/>
        <w:ind w:firstLine="420" w:firstLineChars="200"/>
        <w:rPr>
          <w:rFonts w:ascii="宋体" w:hAnsi="宋体" w:eastAsia="宋体" w:cs="Times New Roman"/>
          <w:color w:val="auto"/>
        </w:rPr>
      </w:pPr>
    </w:p>
    <w:p w14:paraId="00F8556B">
      <w:pPr>
        <w:spacing w:line="360" w:lineRule="auto"/>
        <w:rPr>
          <w:rFonts w:ascii="宋体" w:hAnsi="宋体" w:eastAsia="宋体" w:cs="Times New Roman"/>
          <w:b/>
          <w:bCs/>
          <w:color w:val="auto"/>
        </w:rPr>
      </w:pPr>
      <w:r>
        <w:rPr>
          <w:rFonts w:hint="eastAsia" w:ascii="宋体" w:hAnsi="宋体" w:eastAsia="宋体" w:cs="宋体"/>
          <w:b/>
          <w:bCs/>
          <w:color w:val="auto"/>
        </w:rPr>
        <w:t>表格填写说明：</w:t>
      </w:r>
    </w:p>
    <w:p w14:paraId="6902C71B">
      <w:pPr>
        <w:spacing w:line="360" w:lineRule="auto"/>
        <w:ind w:firstLine="420" w:firstLineChars="200"/>
        <w:rPr>
          <w:rFonts w:ascii="宋体" w:hAnsi="宋体" w:eastAsia="宋体" w:cs="Times New Roman"/>
          <w:color w:val="auto"/>
        </w:rPr>
      </w:pPr>
      <w:r>
        <w:rPr>
          <w:rFonts w:ascii="宋体" w:hAnsi="宋体" w:eastAsia="宋体" w:cs="宋体"/>
          <w:color w:val="auto"/>
        </w:rPr>
        <w:t>1.</w:t>
      </w:r>
      <w:r>
        <w:rPr>
          <w:rFonts w:hint="eastAsia" w:ascii="宋体" w:hAnsi="宋体" w:eastAsia="宋体" w:cs="宋体"/>
          <w:color w:val="auto"/>
        </w:rPr>
        <w:t>产品类别：是指国家有关部门发布的节能产品、环境标志产品政府采购品目清单规定的产品类别。如计算机、电冰箱等。</w:t>
      </w:r>
    </w:p>
    <w:p w14:paraId="6B6C811C">
      <w:pPr>
        <w:spacing w:line="360" w:lineRule="auto"/>
        <w:ind w:firstLine="420" w:firstLineChars="200"/>
        <w:rPr>
          <w:rFonts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rPr>
        <w:t>产品属性：节能、环境认证产品。</w:t>
      </w:r>
    </w:p>
    <w:p w14:paraId="072D32AD">
      <w:pPr>
        <w:spacing w:line="360" w:lineRule="auto"/>
        <w:ind w:firstLine="420" w:firstLineChars="200"/>
        <w:rPr>
          <w:rFonts w:ascii="宋体" w:hAnsi="宋体" w:eastAsia="宋体" w:cs="Times New Roman"/>
          <w:color w:val="auto"/>
        </w:rPr>
      </w:pPr>
      <w:r>
        <w:rPr>
          <w:rFonts w:ascii="宋体" w:hAnsi="宋体" w:eastAsia="宋体" w:cs="宋体"/>
          <w:color w:val="auto"/>
        </w:rPr>
        <w:t>3.</w:t>
      </w:r>
      <w:r>
        <w:rPr>
          <w:rFonts w:hint="eastAsia" w:ascii="宋体" w:hAnsi="宋体" w:eastAsia="宋体" w:cs="宋体"/>
          <w:color w:val="auto"/>
        </w:rPr>
        <w:t>本表应逐项填写，并按规定签署，不得漏项，否则视为该《声明函》无效。</w:t>
      </w:r>
    </w:p>
    <w:p w14:paraId="3D7218EB">
      <w:pPr>
        <w:spacing w:line="360" w:lineRule="auto"/>
        <w:ind w:firstLine="420" w:firstLineChars="200"/>
        <w:rPr>
          <w:rFonts w:ascii="宋体" w:hAnsi="宋体" w:eastAsia="宋体" w:cs="Times New Roman"/>
          <w:color w:val="auto"/>
        </w:rPr>
      </w:pPr>
      <w:r>
        <w:rPr>
          <w:rFonts w:ascii="宋体" w:hAnsi="宋体" w:eastAsia="宋体" w:cs="宋体"/>
          <w:color w:val="auto"/>
        </w:rPr>
        <w:t>4.</w:t>
      </w:r>
      <w:r>
        <w:rPr>
          <w:rFonts w:hint="eastAsia" w:ascii="宋体" w:hAnsi="宋体" w:eastAsia="宋体" w:cs="宋体"/>
          <w:color w:val="auto"/>
        </w:rPr>
        <w:t>认证证明应与所投产品、产品类别保持一致，否则视为认证证明无效。</w:t>
      </w:r>
    </w:p>
    <w:p w14:paraId="26BC84B8">
      <w:pPr>
        <w:spacing w:line="360" w:lineRule="auto"/>
        <w:ind w:firstLine="420" w:firstLineChars="200"/>
        <w:rPr>
          <w:rFonts w:ascii="宋体" w:hAnsi="宋体" w:eastAsia="宋体" w:cs="Times New Roman"/>
          <w:color w:val="auto"/>
        </w:rPr>
      </w:pPr>
      <w:r>
        <w:rPr>
          <w:rFonts w:ascii="宋体" w:hAnsi="宋体" w:eastAsia="宋体" w:cs="宋体"/>
          <w:color w:val="auto"/>
        </w:rPr>
        <w:t>5.</w:t>
      </w:r>
      <w:r>
        <w:rPr>
          <w:rFonts w:hint="eastAsia" w:ascii="宋体" w:hAnsi="宋体" w:eastAsia="宋体" w:cs="宋体"/>
          <w:color w:val="auto"/>
        </w:rPr>
        <w:t>投标人应同时提供有效的《政府采购节能产品、环境标志产品声明函》及有效的节能环保产品认证证明，才能享受节能环保优惠政策。</w:t>
      </w:r>
    </w:p>
    <w:p w14:paraId="09B80C89">
      <w:pPr>
        <w:spacing w:line="360" w:lineRule="auto"/>
        <w:rPr>
          <w:rFonts w:ascii="宋体" w:hAnsi="宋体" w:eastAsia="宋体" w:cs="Times New Roman"/>
          <w:color w:val="auto"/>
        </w:rPr>
      </w:pPr>
    </w:p>
    <w:p w14:paraId="455DD732">
      <w:pPr>
        <w:spacing w:line="360" w:lineRule="auto"/>
        <w:rPr>
          <w:rFonts w:ascii="宋体" w:hAnsi="宋体" w:eastAsia="宋体" w:cs="Times New Roman"/>
          <w:color w:val="auto"/>
        </w:rPr>
      </w:pPr>
    </w:p>
    <w:p w14:paraId="5F556C07">
      <w:pPr>
        <w:spacing w:line="360" w:lineRule="auto"/>
        <w:jc w:val="right"/>
        <w:rPr>
          <w:rFonts w:ascii="宋体" w:hAnsi="宋体" w:eastAsia="宋体"/>
          <w:color w:val="auto"/>
        </w:rPr>
      </w:pPr>
      <w:r>
        <w:rPr>
          <w:rFonts w:hint="eastAsia" w:ascii="宋体" w:hAnsi="宋体" w:eastAsia="宋体"/>
          <w:color w:val="auto"/>
        </w:rPr>
        <w:t>投 标 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（电子签章）</w:t>
      </w:r>
    </w:p>
    <w:p w14:paraId="62179A2F">
      <w:pPr>
        <w:spacing w:line="360" w:lineRule="auto"/>
        <w:jc w:val="right"/>
        <w:rPr>
          <w:rFonts w:ascii="宋体" w:hAnsi="宋体" w:eastAsia="宋体"/>
          <w:color w:val="auto"/>
          <w:u w:val="single"/>
        </w:rPr>
      </w:pPr>
      <w:r>
        <w:rPr>
          <w:rFonts w:hint="eastAsia" w:ascii="宋体" w:hAnsi="宋体" w:eastAsia="宋体"/>
          <w:color w:val="auto"/>
        </w:rPr>
        <w:t>法定代表人（单位负责人） 或其授权的代理人：</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u w:val="single"/>
        </w:rPr>
        <w:t>（电子签章）</w:t>
      </w:r>
    </w:p>
    <w:p w14:paraId="1D17B5A0">
      <w:pPr>
        <w:spacing w:line="360" w:lineRule="auto"/>
        <w:jc w:val="right"/>
        <w:rPr>
          <w:rFonts w:ascii="宋体" w:hAnsi="宋体" w:eastAsia="宋体" w:cs="Times New Roman"/>
          <w:color w:val="auto"/>
          <w:u w:val="single"/>
        </w:rPr>
      </w:pP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年</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月</w:t>
      </w:r>
      <w:r>
        <w:rPr>
          <w:rFonts w:hint="eastAsia" w:ascii="宋体" w:hAnsi="宋体" w:eastAsia="宋体"/>
          <w:color w:val="auto"/>
          <w:u w:val="single"/>
        </w:rPr>
        <w:t xml:space="preserve"> </w:t>
      </w:r>
      <w:r>
        <w:rPr>
          <w:rFonts w:ascii="宋体" w:hAnsi="宋体" w:eastAsia="宋体"/>
          <w:color w:val="auto"/>
          <w:u w:val="single"/>
        </w:rPr>
        <w:t xml:space="preserve">   </w:t>
      </w:r>
      <w:r>
        <w:rPr>
          <w:rFonts w:hint="eastAsia" w:ascii="宋体" w:hAnsi="宋体" w:eastAsia="宋体"/>
          <w:color w:val="auto"/>
        </w:rPr>
        <w:t>日</w:t>
      </w:r>
    </w:p>
    <w:p w14:paraId="447A6404">
      <w:pPr>
        <w:spacing w:line="360" w:lineRule="auto"/>
        <w:rPr>
          <w:rFonts w:ascii="宋体" w:hAnsi="宋体" w:eastAsia="宋体" w:cs="Times New Roman"/>
          <w:color w:val="auto"/>
        </w:rPr>
      </w:pPr>
    </w:p>
    <w:p w14:paraId="4AEADAF6">
      <w:pPr>
        <w:spacing w:line="360" w:lineRule="auto"/>
        <w:rPr>
          <w:rFonts w:ascii="宋体" w:hAnsi="宋体" w:eastAsia="宋体" w:cs="Times New Roman"/>
          <w:color w:val="auto"/>
        </w:rPr>
      </w:pPr>
    </w:p>
    <w:p w14:paraId="3A0F9980">
      <w:pPr>
        <w:pStyle w:val="16"/>
        <w:ind w:left="63" w:right="63"/>
        <w:rPr>
          <w:color w:val="auto"/>
        </w:rPr>
      </w:pPr>
    </w:p>
    <w:sectPr>
      <w:pgSz w:w="11906" w:h="16838"/>
      <w:pgMar w:top="1418" w:right="1134" w:bottom="1418" w:left="1134" w:header="851" w:footer="992" w:gutter="0"/>
      <w:pgNumType w:fmt="decimal"/>
      <w:cols w:space="720" w:num="1"/>
      <w:rtlGutter w:val="1"/>
      <w:docGrid w:linePitch="326" w:charSpace="483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2A3EDE2-EF80-4B69-80B1-12915394FE99}"/>
  </w:font>
  <w:font w:name="Arial">
    <w:panose1 w:val="020B0604020202020204"/>
    <w:charset w:val="01"/>
    <w:family w:val="swiss"/>
    <w:pitch w:val="default"/>
    <w:sig w:usb0="E0002EFF" w:usb1="C000785B" w:usb2="00000009" w:usb3="00000000" w:csb0="400001FF" w:csb1="FFFF0000"/>
    <w:embedRegular r:id="rId2" w:fontKey="{5122CE04-6781-4791-BCFA-9E2481E093FE}"/>
  </w:font>
  <w:font w:name="黑体">
    <w:panose1 w:val="02010609060101010101"/>
    <w:charset w:val="86"/>
    <w:family w:val="auto"/>
    <w:pitch w:val="default"/>
    <w:sig w:usb0="800002BF" w:usb1="38CF7CFA" w:usb2="00000016" w:usb3="00000000" w:csb0="00040001" w:csb1="00000000"/>
    <w:embedRegular r:id="rId3" w:fontKey="{EB04DAAB-8990-4AE2-BD3C-CADC3081A082}"/>
  </w:font>
  <w:font w:name="Courier New">
    <w:panose1 w:val="02070309020205020404"/>
    <w:charset w:val="01"/>
    <w:family w:val="modern"/>
    <w:pitch w:val="default"/>
    <w:sig w:usb0="E0002EFF" w:usb1="C0007843" w:usb2="00000009" w:usb3="00000000" w:csb0="400001FF" w:csb1="FFFF0000"/>
    <w:embedRegular r:id="rId4" w:fontKey="{F3ACE05B-0517-477A-9BD2-7F3B81E9A7C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1545A9BA-F129-4A58-8051-34C47D8ACC34}"/>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embedRegular r:id="rId6" w:fontKey="{F9A9675B-5099-4D2F-87E2-8A65B6A5F76F}"/>
  </w:font>
  <w:font w:name="&amp;#23435;&amp;#20307;">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19F" w:csb1="00000000"/>
  </w:font>
  <w:font w:name="华文新魏">
    <w:panose1 w:val="02010800040101010101"/>
    <w:charset w:val="86"/>
    <w:family w:val="auto"/>
    <w:pitch w:val="default"/>
    <w:sig w:usb0="00000001" w:usb1="080F0000" w:usb2="00000000" w:usb3="00000000" w:csb0="00040000" w:csb1="00000000"/>
    <w:embedRegular r:id="rId7" w:fontKey="{109C0A6E-C548-4194-8C4C-EFEE5CD03CD6}"/>
  </w:font>
  <w:font w:name="华文行楷">
    <w:panose1 w:val="02010800040101010101"/>
    <w:charset w:val="86"/>
    <w:family w:val="auto"/>
    <w:pitch w:val="default"/>
    <w:sig w:usb0="00000001" w:usb1="080F0000" w:usb2="00000000" w:usb3="00000000" w:csb0="00040000" w:csb1="00000000"/>
    <w:embedRegular r:id="rId8" w:fontKey="{7A3780C4-4421-4E2D-B95C-3D598BA84FB3}"/>
  </w:font>
  <w:font w:name="华文中宋">
    <w:panose1 w:val="02010600040101010101"/>
    <w:charset w:val="86"/>
    <w:family w:val="auto"/>
    <w:pitch w:val="default"/>
    <w:sig w:usb0="00000287" w:usb1="080F0000" w:usb2="00000000" w:usb3="00000000" w:csb0="0004009F" w:csb1="DFD70000"/>
    <w:embedRegular r:id="rId9" w:fontKey="{51F73699-04BD-428F-AB3D-C9FCB195CD6D}"/>
  </w:font>
  <w:font w:name="汉仪书宋二S">
    <w:altName w:val="Calibri"/>
    <w:panose1 w:val="00000000000000000000"/>
    <w:charset w:val="00"/>
    <w:family w:val="auto"/>
    <w:pitch w:val="default"/>
    <w:sig w:usb0="00000000" w:usb1="00000000" w:usb2="00000000" w:usb3="00000000" w:csb0="00000000" w:csb1="00000000"/>
    <w:embedRegular r:id="rId10" w:fontKey="{9E09EEE6-4FB8-4E55-AB8F-CA1AB0D7E08E}"/>
  </w:font>
  <w:font w:name="华文楷体">
    <w:panose1 w:val="02010600040101010101"/>
    <w:charset w:val="86"/>
    <w:family w:val="auto"/>
    <w:pitch w:val="default"/>
    <w:sig w:usb0="00000287" w:usb1="080F0000" w:usb2="00000000" w:usb3="00000000" w:csb0="0004009F" w:csb1="DFD70000"/>
    <w:embedRegular r:id="rId11" w:fontKey="{7E6D08CF-AD91-4847-A2B7-8BE84F45912D}"/>
  </w:font>
  <w:font w:name="方正小标宋_GBK">
    <w:panose1 w:val="02000000000000000000"/>
    <w:charset w:val="86"/>
    <w:family w:val="script"/>
    <w:pitch w:val="default"/>
    <w:sig w:usb0="A00002BF" w:usb1="38CF7CFA" w:usb2="00082016" w:usb3="00000000" w:csb0="00040001" w:csb1="00000000"/>
    <w:embedRegular r:id="rId12" w:fontKey="{D205C609-7A5F-4545-81EF-076EF2742106}"/>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1591">
    <w:pPr>
      <w:pBdr>
        <w:top w:val="thinThickSmallGap" w:color="622423" w:sz="24" w:space="0"/>
      </w:pBdr>
      <w:jc w:val="center"/>
      <w:rPr>
        <w:rFonts w:hint="eastAsia" w:ascii="Times New Roman" w:hAnsi="Times New Roman" w:eastAsia="黑体" w:cs="Times New Roman"/>
        <w:lang w:val="en-US" w:eastAsia="zh-CN"/>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78606">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778606">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56D16">
    <w:pPr>
      <w:pBdr>
        <w:top w:val="thinThickSmallGap" w:color="622423" w:sz="24" w:space="0"/>
      </w:pBdr>
      <w:rPr>
        <w:rFonts w:ascii="Times New Roman" w:hAnsi="Times New Roman" w:eastAsia="黑体" w:cs="Times New Roma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565EC8">
                          <w:pPr>
                            <w:pBdr>
                              <w:top w:val="thinThickSmallGap" w:color="622423" w:sz="24" w:space="0"/>
                            </w:pBdr>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lang w:val="zh-CN"/>
                            </w:rPr>
                            <w:t>40</w:t>
                          </w:r>
                          <w:r>
                            <w:rPr>
                              <w:rFonts w:ascii="Times New Roman" w:hAnsi="Times New Roman" w:eastAsia="黑体"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D565EC8">
                    <w:pPr>
                      <w:pBdr>
                        <w:top w:val="thinThickSmallGap" w:color="622423" w:sz="24" w:space="0"/>
                      </w:pBdr>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lang w:val="zh-CN"/>
                      </w:rPr>
                      <w:t>40</w:t>
                    </w:r>
                    <w:r>
                      <w:rPr>
                        <w:rFonts w:ascii="Times New Roman" w:hAnsi="Times New Roman" w:eastAsia="黑体" w:cs="Times New Roman"/>
                      </w:rPr>
                      <w:fldChar w:fldCharType="end"/>
                    </w:r>
                  </w:p>
                </w:txbxContent>
              </v:textbox>
            </v:shape>
          </w:pict>
        </mc:Fallback>
      </mc:AlternateContent>
    </w:r>
    <w:r>
      <w:drawing>
        <wp:anchor distT="0" distB="0" distL="114300" distR="114300" simplePos="0" relativeHeight="251659264" behindDoc="0" locked="0" layoutInCell="1" allowOverlap="1">
          <wp:simplePos x="0" y="0"/>
          <wp:positionH relativeFrom="column">
            <wp:posOffset>4359910</wp:posOffset>
          </wp:positionH>
          <wp:positionV relativeFrom="paragraph">
            <wp:posOffset>60325</wp:posOffset>
          </wp:positionV>
          <wp:extent cx="1760220" cy="359410"/>
          <wp:effectExtent l="0" t="0" r="0" b="2540"/>
          <wp:wrapNone/>
          <wp:docPr id="10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60220" cy="35941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CD511">
    <w:pPr>
      <w:pBdr>
        <w:top w:val="thinThickSmallGap" w:color="622423" w:sz="24" w:space="0"/>
      </w:pBdr>
      <w:jc w:val="right"/>
      <w:rPr>
        <w:rFonts w:ascii="Times New Roman" w:hAnsi="Times New Roman" w:eastAsia="黑体" w:cs="Times New Roman"/>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256BF">
                          <w:pPr>
                            <w:pBdr>
                              <w:top w:val="thinThickSmallGap" w:color="622423" w:sz="24" w:space="0"/>
                            </w:pBdr>
                            <w:jc w:val="right"/>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rPr>
                            <w:t>1</w:t>
                          </w:r>
                          <w:r>
                            <w:rPr>
                              <w:rFonts w:ascii="Times New Roman" w:hAnsi="Times New Roman" w:eastAsia="黑体"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84256BF">
                    <w:pPr>
                      <w:pBdr>
                        <w:top w:val="thinThickSmallGap" w:color="622423" w:sz="24" w:space="0"/>
                      </w:pBdr>
                      <w:jc w:val="right"/>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rPr>
                      <w:t>1</w:t>
                    </w:r>
                    <w:r>
                      <w:rPr>
                        <w:rFonts w:ascii="Times New Roman" w:hAnsi="Times New Roman" w:eastAsia="黑体" w:cs="Times New Roman"/>
                      </w:rPr>
                      <w:fldChar w:fldCharType="end"/>
                    </w:r>
                  </w:p>
                </w:txbxContent>
              </v:textbox>
            </v:shape>
          </w:pict>
        </mc:Fallback>
      </mc:AlternateContent>
    </w:r>
  </w:p>
  <w:p w14:paraId="0EADF054">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CFB7D">
    <w:pPr>
      <w:pBdr>
        <w:top w:val="thinThickSmallGap" w:color="622423" w:sz="24" w:space="0"/>
      </w:pBdr>
      <w:rPr>
        <w:rFonts w:ascii="Times New Roman" w:hAnsi="Times New Roman" w:eastAsia="黑体" w:cs="Times New Roman"/>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2F65CC">
                          <w:pPr>
                            <w:pBdr>
                              <w:top w:val="thinThickSmallGap" w:color="622423" w:sz="24" w:space="0"/>
                            </w:pBdr>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rPr>
                            <w:t>2</w:t>
                          </w:r>
                          <w:r>
                            <w:rPr>
                              <w:rFonts w:ascii="Times New Roman" w:hAnsi="Times New Roman" w:eastAsia="黑体"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E2F65CC">
                    <w:pPr>
                      <w:pBdr>
                        <w:top w:val="thinThickSmallGap" w:color="622423" w:sz="24" w:space="0"/>
                      </w:pBdr>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rPr>
                      <w:t>2</w:t>
                    </w:r>
                    <w:r>
                      <w:rPr>
                        <w:rFonts w:ascii="Times New Roman" w:hAnsi="Times New Roman" w:eastAsia="黑体" w:cs="Times New Roma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3CDCC3C8">
      <w:pPr>
        <w:rPr>
          <w:rFonts w:cs="Times New Roman"/>
        </w:rPr>
      </w:pPr>
      <w:r>
        <w:rPr>
          <w:rFonts w:ascii="宋体" w:hAnsi="宋体" w:eastAsia="宋体" w:cs="Times New Roman"/>
        </w:rPr>
        <w:footnoteRef/>
      </w:r>
      <w:r>
        <w:rPr>
          <w:rFonts w:hint="eastAsia" w:ascii="宋体" w:hAnsi="宋体" w:eastAsia="宋体" w:cs="宋体"/>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C4DC7">
    <w:pPr>
      <w:pBdr>
        <w:bottom w:val="thickThinSmallGap" w:color="622423" w:sz="24" w:space="0"/>
      </w:pBdr>
      <w:jc w:val="left"/>
      <w:rPr>
        <w:rFonts w:ascii="华文新魏" w:hAnsi="宋体" w:eastAsia="华文新魏" w:cs="华文新魏"/>
        <w:sz w:val="18"/>
        <w:szCs w:val="18"/>
      </w:rPr>
    </w:pPr>
    <w:r>
      <w:rPr>
        <w:rFonts w:hint="eastAsia" w:ascii="华文新魏" w:hAnsi="宋体" w:eastAsia="华文新魏" w:cs="华文新魏"/>
        <w:sz w:val="18"/>
        <w:szCs w:val="18"/>
        <w:lang w:eastAsia="zh-CN"/>
      </w:rPr>
      <w:t>云南省昭通市基层防灾能力提升项目（21-30标段）24标段二次</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E2D5E">
    <w:pPr>
      <w:pBdr>
        <w:bottom w:val="thickThinSmallGap" w:color="622423" w:sz="24" w:space="0"/>
      </w:pBdr>
      <w:jc w:val="left"/>
      <w:rPr>
        <w:rFonts w:ascii="华文新魏" w:eastAsia="华文新魏" w:cs="Times New Roman"/>
      </w:rPr>
    </w:pPr>
    <w:r>
      <w:rPr>
        <w:rFonts w:hint="eastAsia" w:ascii="华文新魏" w:hAnsi="宋体" w:eastAsia="华文新魏" w:cs="华文新魏"/>
        <w:sz w:val="18"/>
        <w:szCs w:val="18"/>
      </w:rPr>
      <w:t>镇雄县</w:t>
    </w:r>
    <w:r>
      <w:rPr>
        <w:rFonts w:ascii="华文新魏" w:hAnsi="宋体" w:eastAsia="华文新魏" w:cs="华文新魏"/>
        <w:sz w:val="18"/>
        <w:szCs w:val="18"/>
      </w:rPr>
      <w:t>2024年农村义务教育学生营养改善计划食材（生鲜蔬菜类）采购</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4E04D">
    <w:pPr>
      <w:pBdr>
        <w:bottom w:val="thickThinSmallGap" w:color="622423" w:sz="24" w:space="0"/>
      </w:pBdr>
      <w:jc w:val="left"/>
      <w:rPr>
        <w:rFonts w:hint="eastAsia" w:ascii="宋体" w:hAnsi="宋体" w:eastAsia="宋体" w:cs="宋体"/>
        <w:sz w:val="21"/>
        <w:szCs w:val="21"/>
      </w:rPr>
    </w:pPr>
    <w:r>
      <w:rPr>
        <w:rFonts w:hint="eastAsia" w:ascii="宋体" w:hAnsi="宋体" w:eastAsia="宋体" w:cs="宋体"/>
        <w:sz w:val="21"/>
        <w:szCs w:val="21"/>
        <w:lang w:eastAsia="zh-CN"/>
      </w:rPr>
      <w:t>云南省昭通市基层防灾能力提升项目（21-30标段）24标段二次</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10DCA">
    <w:pPr>
      <w:pBdr>
        <w:bottom w:val="thickThinSmallGap" w:color="622423" w:sz="24" w:space="0"/>
      </w:pBdr>
      <w:jc w:val="left"/>
      <w:rPr>
        <w:rFonts w:hint="eastAsia" w:ascii="宋体" w:hAnsi="宋体" w:eastAsia="宋体" w:cs="宋体"/>
        <w:sz w:val="18"/>
        <w:szCs w:val="18"/>
      </w:rPr>
    </w:pPr>
    <w:r>
      <w:rPr>
        <w:rFonts w:hint="eastAsia" w:ascii="宋体" w:hAnsi="宋体" w:eastAsia="宋体" w:cs="宋体"/>
        <w:sz w:val="18"/>
        <w:szCs w:val="18"/>
        <w:lang w:eastAsia="zh-CN"/>
      </w:rPr>
      <w:t>云南省昭通市基层防灾能力提升项目（21-30标段）24标段二次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8389D">
    <w:pPr>
      <w:pStyle w:val="26"/>
      <w:pBdr>
        <w:bottom w:val="thickThinSmallGap" w:color="622423" w:sz="24" w:space="0"/>
      </w:pBdr>
      <w:jc w:val="left"/>
      <w:rPr>
        <w:rFonts w:ascii="华文行楷" w:eastAsia="华文行楷"/>
      </w:rPr>
    </w:pPr>
    <w:r>
      <w:rPr>
        <w:rFonts w:hint="eastAsia" w:ascii="华文行楷" w:eastAsia="华文行楷"/>
        <w:lang w:eastAsia="zh-CN"/>
      </w:rPr>
      <w:t>云南省昭通市基层防灾能力提升项目（21-30标段）24标段二次</w:t>
    </w:r>
    <w:r>
      <w:rPr>
        <w:rFonts w:ascii="华文行楷" w:eastAsia="华文行楷"/>
      </w:rPr>
      <w:t xml:space="preserve">                       </w:t>
    </w:r>
    <w:r>
      <w:rPr>
        <w:rFonts w:hint="eastAsia" w:ascii="华文行楷" w:eastAsia="华文行楷"/>
      </w:rPr>
      <w:t xml:space="preserve">  </w:t>
    </w:r>
    <w:r>
      <w:rPr>
        <w:rFonts w:ascii="华文行楷" w:eastAsia="华文行楷"/>
      </w:rPr>
      <w:t xml:space="preserve">   </w:t>
    </w:r>
    <w:r>
      <w:rPr>
        <w:rFonts w:hint="eastAsia" w:ascii="华文行楷" w:eastAsia="华文行楷"/>
      </w:rPr>
      <w:t xml:space="preserve"> </w:t>
    </w:r>
    <w:r>
      <w:rPr>
        <w:rFonts w:ascii="华文行楷" w:eastAsia="华文行楷"/>
      </w:rPr>
      <w:t xml:space="preserve">       </w:t>
    </w:r>
    <w:r>
      <w:rPr>
        <w:rFonts w:hint="eastAsia" w:ascii="华文行楷" w:eastAsia="华文行楷"/>
      </w:rPr>
      <w:t xml:space="preserve">    </w:t>
    </w:r>
    <w:r>
      <w:rPr>
        <w:rFonts w:ascii="华文行楷" w:eastAsia="华文行楷"/>
      </w:rPr>
      <w:t xml:space="preserve">    </w:t>
    </w:r>
    <w:r>
      <w:rPr>
        <w:rFonts w:hint="eastAsia" w:ascii="华文行楷" w:eastAsia="华文行楷"/>
      </w:rPr>
      <w:t>招标</w:t>
    </w:r>
    <w:r>
      <w:rPr>
        <w:rFonts w:ascii="华文行楷" w:eastAsia="华文行楷"/>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7A0F6431"/>
    <w:multiLevelType w:val="singleLevel"/>
    <w:tmpl w:val="7A0F6431"/>
    <w:lvl w:ilvl="0" w:tentative="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420"/>
  <w:doNotHyphenateCaps/>
  <w:evenAndOddHeaders w:val="1"/>
  <w:drawingGridHorizontalSpacing w:val="238"/>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iOTc3MGI5YjUwMDRkZDQyMjM3MmM0ZmVkMzYyMmQifQ=="/>
  </w:docVars>
  <w:rsids>
    <w:rsidRoot w:val="00172A27"/>
    <w:rsid w:val="00000963"/>
    <w:rsid w:val="00000A5D"/>
    <w:rsid w:val="000023B1"/>
    <w:rsid w:val="0000245A"/>
    <w:rsid w:val="000040FB"/>
    <w:rsid w:val="00004FE8"/>
    <w:rsid w:val="000056F9"/>
    <w:rsid w:val="000068D2"/>
    <w:rsid w:val="000077C1"/>
    <w:rsid w:val="000107A5"/>
    <w:rsid w:val="00010D89"/>
    <w:rsid w:val="00010E8C"/>
    <w:rsid w:val="00012424"/>
    <w:rsid w:val="000140FC"/>
    <w:rsid w:val="000166E3"/>
    <w:rsid w:val="00020D6D"/>
    <w:rsid w:val="000210F9"/>
    <w:rsid w:val="00023038"/>
    <w:rsid w:val="00023414"/>
    <w:rsid w:val="00023ADA"/>
    <w:rsid w:val="00023CE4"/>
    <w:rsid w:val="00025081"/>
    <w:rsid w:val="000252A2"/>
    <w:rsid w:val="0002554B"/>
    <w:rsid w:val="00033BE9"/>
    <w:rsid w:val="00033C30"/>
    <w:rsid w:val="00033CFD"/>
    <w:rsid w:val="00034E94"/>
    <w:rsid w:val="00034EB6"/>
    <w:rsid w:val="00037331"/>
    <w:rsid w:val="00041344"/>
    <w:rsid w:val="000418AC"/>
    <w:rsid w:val="000433C5"/>
    <w:rsid w:val="00043CFD"/>
    <w:rsid w:val="000446B9"/>
    <w:rsid w:val="0004672F"/>
    <w:rsid w:val="00047AF5"/>
    <w:rsid w:val="00050CAA"/>
    <w:rsid w:val="00050D03"/>
    <w:rsid w:val="00051B60"/>
    <w:rsid w:val="00053554"/>
    <w:rsid w:val="000574E9"/>
    <w:rsid w:val="0006034B"/>
    <w:rsid w:val="000608F5"/>
    <w:rsid w:val="000611EA"/>
    <w:rsid w:val="00061AC9"/>
    <w:rsid w:val="00062CE3"/>
    <w:rsid w:val="000638B6"/>
    <w:rsid w:val="00064E2F"/>
    <w:rsid w:val="00065E50"/>
    <w:rsid w:val="000673FD"/>
    <w:rsid w:val="000700F9"/>
    <w:rsid w:val="00071C69"/>
    <w:rsid w:val="000730B1"/>
    <w:rsid w:val="00073DD4"/>
    <w:rsid w:val="0007453F"/>
    <w:rsid w:val="00074F73"/>
    <w:rsid w:val="00077C1E"/>
    <w:rsid w:val="000809FB"/>
    <w:rsid w:val="00082000"/>
    <w:rsid w:val="00082456"/>
    <w:rsid w:val="000862F4"/>
    <w:rsid w:val="00087473"/>
    <w:rsid w:val="0009026E"/>
    <w:rsid w:val="000918F7"/>
    <w:rsid w:val="000927A4"/>
    <w:rsid w:val="00092C1F"/>
    <w:rsid w:val="00093168"/>
    <w:rsid w:val="00093B4B"/>
    <w:rsid w:val="00094582"/>
    <w:rsid w:val="0009601A"/>
    <w:rsid w:val="00097A1D"/>
    <w:rsid w:val="000A00D2"/>
    <w:rsid w:val="000A382F"/>
    <w:rsid w:val="000A4BD8"/>
    <w:rsid w:val="000A6955"/>
    <w:rsid w:val="000A6EAA"/>
    <w:rsid w:val="000B00BF"/>
    <w:rsid w:val="000B0EA3"/>
    <w:rsid w:val="000B151B"/>
    <w:rsid w:val="000B22AD"/>
    <w:rsid w:val="000B2411"/>
    <w:rsid w:val="000B41FA"/>
    <w:rsid w:val="000B4B77"/>
    <w:rsid w:val="000C0765"/>
    <w:rsid w:val="000C1204"/>
    <w:rsid w:val="000C5664"/>
    <w:rsid w:val="000C6866"/>
    <w:rsid w:val="000C6C05"/>
    <w:rsid w:val="000D007F"/>
    <w:rsid w:val="000D0F64"/>
    <w:rsid w:val="000D251D"/>
    <w:rsid w:val="000D474F"/>
    <w:rsid w:val="000D61A9"/>
    <w:rsid w:val="000D65D4"/>
    <w:rsid w:val="000E11E2"/>
    <w:rsid w:val="000E44AD"/>
    <w:rsid w:val="000E5C1A"/>
    <w:rsid w:val="000E6947"/>
    <w:rsid w:val="000E69CB"/>
    <w:rsid w:val="000F10C3"/>
    <w:rsid w:val="000F1EB8"/>
    <w:rsid w:val="000F2119"/>
    <w:rsid w:val="000F281E"/>
    <w:rsid w:val="000F4832"/>
    <w:rsid w:val="000F4F0D"/>
    <w:rsid w:val="000F5643"/>
    <w:rsid w:val="000F5DA9"/>
    <w:rsid w:val="000F602D"/>
    <w:rsid w:val="000F6D5D"/>
    <w:rsid w:val="00102871"/>
    <w:rsid w:val="00102A97"/>
    <w:rsid w:val="00104E4A"/>
    <w:rsid w:val="001114B7"/>
    <w:rsid w:val="001130E7"/>
    <w:rsid w:val="00116B2A"/>
    <w:rsid w:val="00116E5D"/>
    <w:rsid w:val="001178D4"/>
    <w:rsid w:val="00117CC8"/>
    <w:rsid w:val="00120239"/>
    <w:rsid w:val="00120670"/>
    <w:rsid w:val="00121102"/>
    <w:rsid w:val="00121266"/>
    <w:rsid w:val="00124C0D"/>
    <w:rsid w:val="00125564"/>
    <w:rsid w:val="00125709"/>
    <w:rsid w:val="0012578D"/>
    <w:rsid w:val="00126545"/>
    <w:rsid w:val="0013046C"/>
    <w:rsid w:val="001309C3"/>
    <w:rsid w:val="001312DD"/>
    <w:rsid w:val="00132477"/>
    <w:rsid w:val="001324F3"/>
    <w:rsid w:val="0013463E"/>
    <w:rsid w:val="00137042"/>
    <w:rsid w:val="00140EAE"/>
    <w:rsid w:val="00141CCD"/>
    <w:rsid w:val="00142A41"/>
    <w:rsid w:val="00145465"/>
    <w:rsid w:val="00145D65"/>
    <w:rsid w:val="001504DA"/>
    <w:rsid w:val="0015079B"/>
    <w:rsid w:val="0015238B"/>
    <w:rsid w:val="001555E4"/>
    <w:rsid w:val="00155A14"/>
    <w:rsid w:val="00157CDC"/>
    <w:rsid w:val="00160B2E"/>
    <w:rsid w:val="00160BF1"/>
    <w:rsid w:val="00162799"/>
    <w:rsid w:val="00163891"/>
    <w:rsid w:val="00163B44"/>
    <w:rsid w:val="00165778"/>
    <w:rsid w:val="0016588F"/>
    <w:rsid w:val="001667B5"/>
    <w:rsid w:val="00170E38"/>
    <w:rsid w:val="00171210"/>
    <w:rsid w:val="00172A27"/>
    <w:rsid w:val="00176930"/>
    <w:rsid w:val="00176BF1"/>
    <w:rsid w:val="0018012B"/>
    <w:rsid w:val="00181526"/>
    <w:rsid w:val="001830C6"/>
    <w:rsid w:val="0018588B"/>
    <w:rsid w:val="00185B33"/>
    <w:rsid w:val="0018630F"/>
    <w:rsid w:val="00186C2F"/>
    <w:rsid w:val="00186D79"/>
    <w:rsid w:val="0018767C"/>
    <w:rsid w:val="00190C03"/>
    <w:rsid w:val="0019270D"/>
    <w:rsid w:val="00192ECD"/>
    <w:rsid w:val="0019345A"/>
    <w:rsid w:val="00194468"/>
    <w:rsid w:val="0019492A"/>
    <w:rsid w:val="00195627"/>
    <w:rsid w:val="001956C5"/>
    <w:rsid w:val="00195B62"/>
    <w:rsid w:val="001A115C"/>
    <w:rsid w:val="001A2B06"/>
    <w:rsid w:val="001A31FF"/>
    <w:rsid w:val="001A545B"/>
    <w:rsid w:val="001A56D5"/>
    <w:rsid w:val="001A5E8E"/>
    <w:rsid w:val="001A6D28"/>
    <w:rsid w:val="001A70CB"/>
    <w:rsid w:val="001B0C11"/>
    <w:rsid w:val="001B1BCF"/>
    <w:rsid w:val="001B1E9D"/>
    <w:rsid w:val="001B2935"/>
    <w:rsid w:val="001B3243"/>
    <w:rsid w:val="001B3694"/>
    <w:rsid w:val="001B53D6"/>
    <w:rsid w:val="001B5FB3"/>
    <w:rsid w:val="001B694B"/>
    <w:rsid w:val="001C0492"/>
    <w:rsid w:val="001C3F59"/>
    <w:rsid w:val="001C47AF"/>
    <w:rsid w:val="001C563C"/>
    <w:rsid w:val="001C61B7"/>
    <w:rsid w:val="001C694E"/>
    <w:rsid w:val="001C6A4E"/>
    <w:rsid w:val="001C76AC"/>
    <w:rsid w:val="001D0DE3"/>
    <w:rsid w:val="001D0E30"/>
    <w:rsid w:val="001D16D2"/>
    <w:rsid w:val="001D175A"/>
    <w:rsid w:val="001D1F33"/>
    <w:rsid w:val="001D2BC6"/>
    <w:rsid w:val="001D3E71"/>
    <w:rsid w:val="001D4F4E"/>
    <w:rsid w:val="001D5674"/>
    <w:rsid w:val="001D5D54"/>
    <w:rsid w:val="001D76EE"/>
    <w:rsid w:val="001D78C1"/>
    <w:rsid w:val="001E0E69"/>
    <w:rsid w:val="001E1ED9"/>
    <w:rsid w:val="001E2E18"/>
    <w:rsid w:val="001E30C9"/>
    <w:rsid w:val="001E448E"/>
    <w:rsid w:val="001E449A"/>
    <w:rsid w:val="001E5BC3"/>
    <w:rsid w:val="001E6BE5"/>
    <w:rsid w:val="001F1C0D"/>
    <w:rsid w:val="001F1E8C"/>
    <w:rsid w:val="001F204E"/>
    <w:rsid w:val="001F26CC"/>
    <w:rsid w:val="001F5EB8"/>
    <w:rsid w:val="001F6741"/>
    <w:rsid w:val="002013E1"/>
    <w:rsid w:val="0020445B"/>
    <w:rsid w:val="002073D5"/>
    <w:rsid w:val="00213254"/>
    <w:rsid w:val="002143B7"/>
    <w:rsid w:val="0021619A"/>
    <w:rsid w:val="002161DF"/>
    <w:rsid w:val="002208D6"/>
    <w:rsid w:val="00221A36"/>
    <w:rsid w:val="002227BC"/>
    <w:rsid w:val="002233B2"/>
    <w:rsid w:val="002237FF"/>
    <w:rsid w:val="00223C81"/>
    <w:rsid w:val="00223D75"/>
    <w:rsid w:val="00226D69"/>
    <w:rsid w:val="00227F77"/>
    <w:rsid w:val="00230471"/>
    <w:rsid w:val="00230BD3"/>
    <w:rsid w:val="00232C08"/>
    <w:rsid w:val="002331B7"/>
    <w:rsid w:val="00233D91"/>
    <w:rsid w:val="00235EB9"/>
    <w:rsid w:val="0023630E"/>
    <w:rsid w:val="002372E3"/>
    <w:rsid w:val="00237A44"/>
    <w:rsid w:val="00237A76"/>
    <w:rsid w:val="00237FBC"/>
    <w:rsid w:val="002402E1"/>
    <w:rsid w:val="00240876"/>
    <w:rsid w:val="002408D7"/>
    <w:rsid w:val="00240D5A"/>
    <w:rsid w:val="00241021"/>
    <w:rsid w:val="00242468"/>
    <w:rsid w:val="00244371"/>
    <w:rsid w:val="002471E2"/>
    <w:rsid w:val="00247A85"/>
    <w:rsid w:val="00247E85"/>
    <w:rsid w:val="00250056"/>
    <w:rsid w:val="00250C3B"/>
    <w:rsid w:val="002511B8"/>
    <w:rsid w:val="00253278"/>
    <w:rsid w:val="002552B7"/>
    <w:rsid w:val="0025796F"/>
    <w:rsid w:val="00262154"/>
    <w:rsid w:val="0026222C"/>
    <w:rsid w:val="00262C0E"/>
    <w:rsid w:val="00263B1A"/>
    <w:rsid w:val="00263F05"/>
    <w:rsid w:val="002641D0"/>
    <w:rsid w:val="00266531"/>
    <w:rsid w:val="002665A7"/>
    <w:rsid w:val="00266BD0"/>
    <w:rsid w:val="002678FC"/>
    <w:rsid w:val="00267C70"/>
    <w:rsid w:val="002708D6"/>
    <w:rsid w:val="002723CF"/>
    <w:rsid w:val="0027268C"/>
    <w:rsid w:val="00272923"/>
    <w:rsid w:val="00272A7E"/>
    <w:rsid w:val="0027343C"/>
    <w:rsid w:val="002740C4"/>
    <w:rsid w:val="0027496B"/>
    <w:rsid w:val="00275498"/>
    <w:rsid w:val="00275FA6"/>
    <w:rsid w:val="00276B2E"/>
    <w:rsid w:val="00280BC0"/>
    <w:rsid w:val="00281819"/>
    <w:rsid w:val="00281CBB"/>
    <w:rsid w:val="002829CB"/>
    <w:rsid w:val="002842CB"/>
    <w:rsid w:val="00284461"/>
    <w:rsid w:val="002874BD"/>
    <w:rsid w:val="00290A49"/>
    <w:rsid w:val="00295696"/>
    <w:rsid w:val="00297DF5"/>
    <w:rsid w:val="002A1BBC"/>
    <w:rsid w:val="002A25DA"/>
    <w:rsid w:val="002A3996"/>
    <w:rsid w:val="002A409D"/>
    <w:rsid w:val="002A671B"/>
    <w:rsid w:val="002A6FAA"/>
    <w:rsid w:val="002A7327"/>
    <w:rsid w:val="002B0B14"/>
    <w:rsid w:val="002B5913"/>
    <w:rsid w:val="002B653F"/>
    <w:rsid w:val="002C0173"/>
    <w:rsid w:val="002C02BB"/>
    <w:rsid w:val="002C033D"/>
    <w:rsid w:val="002C206E"/>
    <w:rsid w:val="002C3938"/>
    <w:rsid w:val="002C3CF6"/>
    <w:rsid w:val="002C5798"/>
    <w:rsid w:val="002C61E6"/>
    <w:rsid w:val="002C70B3"/>
    <w:rsid w:val="002C72C6"/>
    <w:rsid w:val="002C768C"/>
    <w:rsid w:val="002D03E9"/>
    <w:rsid w:val="002D43B9"/>
    <w:rsid w:val="002D5493"/>
    <w:rsid w:val="002D5B0D"/>
    <w:rsid w:val="002D76AB"/>
    <w:rsid w:val="002E0C26"/>
    <w:rsid w:val="002E12A7"/>
    <w:rsid w:val="002E163E"/>
    <w:rsid w:val="002E2444"/>
    <w:rsid w:val="002E5573"/>
    <w:rsid w:val="002E57DD"/>
    <w:rsid w:val="002E649C"/>
    <w:rsid w:val="002F07E3"/>
    <w:rsid w:val="002F0AF9"/>
    <w:rsid w:val="002F12DB"/>
    <w:rsid w:val="002F1F65"/>
    <w:rsid w:val="002F2790"/>
    <w:rsid w:val="002F2EEB"/>
    <w:rsid w:val="002F2F18"/>
    <w:rsid w:val="002F3FF5"/>
    <w:rsid w:val="002F69D5"/>
    <w:rsid w:val="002F7901"/>
    <w:rsid w:val="00301507"/>
    <w:rsid w:val="00301BC2"/>
    <w:rsid w:val="0030303E"/>
    <w:rsid w:val="0030357E"/>
    <w:rsid w:val="00303A37"/>
    <w:rsid w:val="0031026D"/>
    <w:rsid w:val="0031283E"/>
    <w:rsid w:val="00312BAB"/>
    <w:rsid w:val="00315908"/>
    <w:rsid w:val="003214DF"/>
    <w:rsid w:val="00322580"/>
    <w:rsid w:val="00323ADF"/>
    <w:rsid w:val="00324409"/>
    <w:rsid w:val="00324DBF"/>
    <w:rsid w:val="00325141"/>
    <w:rsid w:val="003272C3"/>
    <w:rsid w:val="00330024"/>
    <w:rsid w:val="00331672"/>
    <w:rsid w:val="00332123"/>
    <w:rsid w:val="00332B8B"/>
    <w:rsid w:val="00341C18"/>
    <w:rsid w:val="00343E66"/>
    <w:rsid w:val="003446DF"/>
    <w:rsid w:val="00344EC9"/>
    <w:rsid w:val="00345A0A"/>
    <w:rsid w:val="003462B2"/>
    <w:rsid w:val="00346A32"/>
    <w:rsid w:val="0034733A"/>
    <w:rsid w:val="0034751A"/>
    <w:rsid w:val="003476A0"/>
    <w:rsid w:val="0034779E"/>
    <w:rsid w:val="003504E7"/>
    <w:rsid w:val="00351DC3"/>
    <w:rsid w:val="00352176"/>
    <w:rsid w:val="003524B1"/>
    <w:rsid w:val="00352D70"/>
    <w:rsid w:val="003537E2"/>
    <w:rsid w:val="00354812"/>
    <w:rsid w:val="00354B06"/>
    <w:rsid w:val="00354D34"/>
    <w:rsid w:val="00354EBF"/>
    <w:rsid w:val="00355357"/>
    <w:rsid w:val="00356ABB"/>
    <w:rsid w:val="00356E79"/>
    <w:rsid w:val="003575B4"/>
    <w:rsid w:val="003627A0"/>
    <w:rsid w:val="00364AAC"/>
    <w:rsid w:val="003652EA"/>
    <w:rsid w:val="00374B0A"/>
    <w:rsid w:val="00375025"/>
    <w:rsid w:val="00375806"/>
    <w:rsid w:val="00377059"/>
    <w:rsid w:val="003800DC"/>
    <w:rsid w:val="00381264"/>
    <w:rsid w:val="0038361F"/>
    <w:rsid w:val="00383779"/>
    <w:rsid w:val="00384152"/>
    <w:rsid w:val="003848E1"/>
    <w:rsid w:val="00384C30"/>
    <w:rsid w:val="00384C90"/>
    <w:rsid w:val="00386ABC"/>
    <w:rsid w:val="00386B74"/>
    <w:rsid w:val="00390240"/>
    <w:rsid w:val="00391508"/>
    <w:rsid w:val="00392B0C"/>
    <w:rsid w:val="0039523D"/>
    <w:rsid w:val="00395569"/>
    <w:rsid w:val="003979B3"/>
    <w:rsid w:val="00397F97"/>
    <w:rsid w:val="003A1113"/>
    <w:rsid w:val="003A3E57"/>
    <w:rsid w:val="003B0676"/>
    <w:rsid w:val="003B0FE2"/>
    <w:rsid w:val="003B196A"/>
    <w:rsid w:val="003B2701"/>
    <w:rsid w:val="003B2C8E"/>
    <w:rsid w:val="003B3BA9"/>
    <w:rsid w:val="003B4490"/>
    <w:rsid w:val="003B4949"/>
    <w:rsid w:val="003B4BBA"/>
    <w:rsid w:val="003B4F88"/>
    <w:rsid w:val="003B5B14"/>
    <w:rsid w:val="003C059B"/>
    <w:rsid w:val="003C1836"/>
    <w:rsid w:val="003C20F3"/>
    <w:rsid w:val="003C2D63"/>
    <w:rsid w:val="003C2DCC"/>
    <w:rsid w:val="003C3F3C"/>
    <w:rsid w:val="003C4894"/>
    <w:rsid w:val="003C724B"/>
    <w:rsid w:val="003C7B9A"/>
    <w:rsid w:val="003C7C9E"/>
    <w:rsid w:val="003D0AD0"/>
    <w:rsid w:val="003D0FFF"/>
    <w:rsid w:val="003D11A8"/>
    <w:rsid w:val="003D1949"/>
    <w:rsid w:val="003D31CA"/>
    <w:rsid w:val="003D4698"/>
    <w:rsid w:val="003D6796"/>
    <w:rsid w:val="003D6FA2"/>
    <w:rsid w:val="003D77C5"/>
    <w:rsid w:val="003E0735"/>
    <w:rsid w:val="003E15BD"/>
    <w:rsid w:val="003E1D96"/>
    <w:rsid w:val="003E38FA"/>
    <w:rsid w:val="003E4428"/>
    <w:rsid w:val="003E471C"/>
    <w:rsid w:val="003E5B63"/>
    <w:rsid w:val="003E6D17"/>
    <w:rsid w:val="003E7371"/>
    <w:rsid w:val="003E77F9"/>
    <w:rsid w:val="003F2A42"/>
    <w:rsid w:val="003F3907"/>
    <w:rsid w:val="003F3D12"/>
    <w:rsid w:val="003F7077"/>
    <w:rsid w:val="003F7877"/>
    <w:rsid w:val="003F7D66"/>
    <w:rsid w:val="003F7DD9"/>
    <w:rsid w:val="00400389"/>
    <w:rsid w:val="00401833"/>
    <w:rsid w:val="00401F55"/>
    <w:rsid w:val="00402907"/>
    <w:rsid w:val="00404C54"/>
    <w:rsid w:val="00404C62"/>
    <w:rsid w:val="004063B6"/>
    <w:rsid w:val="00406E68"/>
    <w:rsid w:val="004102B1"/>
    <w:rsid w:val="00413F0E"/>
    <w:rsid w:val="004146B8"/>
    <w:rsid w:val="004150CD"/>
    <w:rsid w:val="00416C13"/>
    <w:rsid w:val="00417D35"/>
    <w:rsid w:val="00420860"/>
    <w:rsid w:val="00420EAD"/>
    <w:rsid w:val="004213B6"/>
    <w:rsid w:val="00421631"/>
    <w:rsid w:val="00421648"/>
    <w:rsid w:val="00423471"/>
    <w:rsid w:val="004240B8"/>
    <w:rsid w:val="00424F0F"/>
    <w:rsid w:val="00426131"/>
    <w:rsid w:val="00426A2C"/>
    <w:rsid w:val="004353E2"/>
    <w:rsid w:val="00436539"/>
    <w:rsid w:val="00442FC1"/>
    <w:rsid w:val="00443704"/>
    <w:rsid w:val="00443A03"/>
    <w:rsid w:val="00444E6D"/>
    <w:rsid w:val="004450AB"/>
    <w:rsid w:val="0044595F"/>
    <w:rsid w:val="00447EA2"/>
    <w:rsid w:val="00453D86"/>
    <w:rsid w:val="00454098"/>
    <w:rsid w:val="004550EA"/>
    <w:rsid w:val="00456369"/>
    <w:rsid w:val="004564F5"/>
    <w:rsid w:val="00457689"/>
    <w:rsid w:val="00460EDD"/>
    <w:rsid w:val="004610EB"/>
    <w:rsid w:val="004633FD"/>
    <w:rsid w:val="00465719"/>
    <w:rsid w:val="00465ED2"/>
    <w:rsid w:val="00467444"/>
    <w:rsid w:val="00467FC4"/>
    <w:rsid w:val="00472A90"/>
    <w:rsid w:val="0047683F"/>
    <w:rsid w:val="00476D1B"/>
    <w:rsid w:val="00477096"/>
    <w:rsid w:val="0047748A"/>
    <w:rsid w:val="0048036F"/>
    <w:rsid w:val="00480492"/>
    <w:rsid w:val="00481B69"/>
    <w:rsid w:val="00482AD8"/>
    <w:rsid w:val="00484A9B"/>
    <w:rsid w:val="00491A85"/>
    <w:rsid w:val="00494467"/>
    <w:rsid w:val="004964AA"/>
    <w:rsid w:val="004966E7"/>
    <w:rsid w:val="004A0790"/>
    <w:rsid w:val="004A288D"/>
    <w:rsid w:val="004A3A1B"/>
    <w:rsid w:val="004A628F"/>
    <w:rsid w:val="004A7250"/>
    <w:rsid w:val="004B0691"/>
    <w:rsid w:val="004B06B4"/>
    <w:rsid w:val="004B2B1E"/>
    <w:rsid w:val="004B2CE2"/>
    <w:rsid w:val="004B4C51"/>
    <w:rsid w:val="004B69BB"/>
    <w:rsid w:val="004B77C5"/>
    <w:rsid w:val="004C00D6"/>
    <w:rsid w:val="004C10D6"/>
    <w:rsid w:val="004C244F"/>
    <w:rsid w:val="004C287C"/>
    <w:rsid w:val="004C2EEA"/>
    <w:rsid w:val="004C51E4"/>
    <w:rsid w:val="004C51E8"/>
    <w:rsid w:val="004D04FC"/>
    <w:rsid w:val="004D0906"/>
    <w:rsid w:val="004D09DE"/>
    <w:rsid w:val="004D4BB1"/>
    <w:rsid w:val="004D4E3F"/>
    <w:rsid w:val="004D6200"/>
    <w:rsid w:val="004E0D96"/>
    <w:rsid w:val="004E1B48"/>
    <w:rsid w:val="004E2A83"/>
    <w:rsid w:val="004E33DF"/>
    <w:rsid w:val="004E33FF"/>
    <w:rsid w:val="004E3B70"/>
    <w:rsid w:val="004E67B6"/>
    <w:rsid w:val="004E6A1B"/>
    <w:rsid w:val="004E777C"/>
    <w:rsid w:val="004E7B3D"/>
    <w:rsid w:val="004E7EF9"/>
    <w:rsid w:val="004F0178"/>
    <w:rsid w:val="004F028F"/>
    <w:rsid w:val="004F1A6B"/>
    <w:rsid w:val="004F1C0C"/>
    <w:rsid w:val="004F3142"/>
    <w:rsid w:val="004F399E"/>
    <w:rsid w:val="004F3C8E"/>
    <w:rsid w:val="004F4741"/>
    <w:rsid w:val="004F5015"/>
    <w:rsid w:val="004F57C4"/>
    <w:rsid w:val="004F57DD"/>
    <w:rsid w:val="00500203"/>
    <w:rsid w:val="005033A1"/>
    <w:rsid w:val="005035E3"/>
    <w:rsid w:val="005048A1"/>
    <w:rsid w:val="00505407"/>
    <w:rsid w:val="0051089A"/>
    <w:rsid w:val="005109F0"/>
    <w:rsid w:val="00515660"/>
    <w:rsid w:val="00517E8A"/>
    <w:rsid w:val="005207BB"/>
    <w:rsid w:val="00520C06"/>
    <w:rsid w:val="005231BD"/>
    <w:rsid w:val="005235A1"/>
    <w:rsid w:val="005235BF"/>
    <w:rsid w:val="005236F2"/>
    <w:rsid w:val="005246D6"/>
    <w:rsid w:val="00525835"/>
    <w:rsid w:val="00525F16"/>
    <w:rsid w:val="00527277"/>
    <w:rsid w:val="005309D1"/>
    <w:rsid w:val="00530D7C"/>
    <w:rsid w:val="00531292"/>
    <w:rsid w:val="00531D2E"/>
    <w:rsid w:val="00531DE9"/>
    <w:rsid w:val="00532280"/>
    <w:rsid w:val="005325A4"/>
    <w:rsid w:val="00532AFF"/>
    <w:rsid w:val="0053311F"/>
    <w:rsid w:val="005332BC"/>
    <w:rsid w:val="00534123"/>
    <w:rsid w:val="00534595"/>
    <w:rsid w:val="00535292"/>
    <w:rsid w:val="00542A71"/>
    <w:rsid w:val="00542BBE"/>
    <w:rsid w:val="00543671"/>
    <w:rsid w:val="005459D5"/>
    <w:rsid w:val="0054773C"/>
    <w:rsid w:val="00547F5B"/>
    <w:rsid w:val="00550291"/>
    <w:rsid w:val="00550A28"/>
    <w:rsid w:val="005519E2"/>
    <w:rsid w:val="005525C0"/>
    <w:rsid w:val="005533B1"/>
    <w:rsid w:val="00553AC8"/>
    <w:rsid w:val="00553E35"/>
    <w:rsid w:val="00553EB2"/>
    <w:rsid w:val="005551B7"/>
    <w:rsid w:val="0056142E"/>
    <w:rsid w:val="00561BD8"/>
    <w:rsid w:val="00565797"/>
    <w:rsid w:val="00565A28"/>
    <w:rsid w:val="00565B84"/>
    <w:rsid w:val="00565D57"/>
    <w:rsid w:val="00570A95"/>
    <w:rsid w:val="00570E8D"/>
    <w:rsid w:val="00571FC5"/>
    <w:rsid w:val="005720C2"/>
    <w:rsid w:val="00577701"/>
    <w:rsid w:val="00577EB4"/>
    <w:rsid w:val="00577FB7"/>
    <w:rsid w:val="00580C33"/>
    <w:rsid w:val="00582318"/>
    <w:rsid w:val="00582C96"/>
    <w:rsid w:val="00582F40"/>
    <w:rsid w:val="00583131"/>
    <w:rsid w:val="00584504"/>
    <w:rsid w:val="00584E76"/>
    <w:rsid w:val="00585930"/>
    <w:rsid w:val="00585F0E"/>
    <w:rsid w:val="00586086"/>
    <w:rsid w:val="00586892"/>
    <w:rsid w:val="0058696D"/>
    <w:rsid w:val="005904CC"/>
    <w:rsid w:val="005916DF"/>
    <w:rsid w:val="00591F69"/>
    <w:rsid w:val="00593C93"/>
    <w:rsid w:val="00593EE8"/>
    <w:rsid w:val="00594397"/>
    <w:rsid w:val="005949F0"/>
    <w:rsid w:val="005A1A3A"/>
    <w:rsid w:val="005A277D"/>
    <w:rsid w:val="005A4D46"/>
    <w:rsid w:val="005A5BB9"/>
    <w:rsid w:val="005A7247"/>
    <w:rsid w:val="005A7761"/>
    <w:rsid w:val="005B0D3C"/>
    <w:rsid w:val="005B2F3B"/>
    <w:rsid w:val="005B331D"/>
    <w:rsid w:val="005B4764"/>
    <w:rsid w:val="005B4B67"/>
    <w:rsid w:val="005B70F4"/>
    <w:rsid w:val="005B75B4"/>
    <w:rsid w:val="005C1641"/>
    <w:rsid w:val="005C1A65"/>
    <w:rsid w:val="005C514B"/>
    <w:rsid w:val="005C6CF6"/>
    <w:rsid w:val="005D000D"/>
    <w:rsid w:val="005D1401"/>
    <w:rsid w:val="005D16BF"/>
    <w:rsid w:val="005D1CE0"/>
    <w:rsid w:val="005D21D4"/>
    <w:rsid w:val="005D2BE5"/>
    <w:rsid w:val="005D2E48"/>
    <w:rsid w:val="005D3867"/>
    <w:rsid w:val="005D47E4"/>
    <w:rsid w:val="005D60CA"/>
    <w:rsid w:val="005D6F35"/>
    <w:rsid w:val="005D7585"/>
    <w:rsid w:val="005D7E16"/>
    <w:rsid w:val="005E0829"/>
    <w:rsid w:val="005E0B84"/>
    <w:rsid w:val="005E12C7"/>
    <w:rsid w:val="005E198C"/>
    <w:rsid w:val="005E1C1E"/>
    <w:rsid w:val="005E31BF"/>
    <w:rsid w:val="005E39C0"/>
    <w:rsid w:val="005E52CA"/>
    <w:rsid w:val="005E551E"/>
    <w:rsid w:val="005E5D54"/>
    <w:rsid w:val="005E6D77"/>
    <w:rsid w:val="005E6DB8"/>
    <w:rsid w:val="005E79D6"/>
    <w:rsid w:val="005F07E0"/>
    <w:rsid w:val="005F325D"/>
    <w:rsid w:val="005F37F5"/>
    <w:rsid w:val="005F4B5E"/>
    <w:rsid w:val="005F4FE2"/>
    <w:rsid w:val="005F68D3"/>
    <w:rsid w:val="005F6DA9"/>
    <w:rsid w:val="00600209"/>
    <w:rsid w:val="006015AC"/>
    <w:rsid w:val="00602FDD"/>
    <w:rsid w:val="00605A8F"/>
    <w:rsid w:val="00605F92"/>
    <w:rsid w:val="006064DB"/>
    <w:rsid w:val="00606B81"/>
    <w:rsid w:val="00607DE8"/>
    <w:rsid w:val="00610ED4"/>
    <w:rsid w:val="00612849"/>
    <w:rsid w:val="006131E4"/>
    <w:rsid w:val="00613480"/>
    <w:rsid w:val="00614140"/>
    <w:rsid w:val="00614CC8"/>
    <w:rsid w:val="00614F2B"/>
    <w:rsid w:val="00616C5F"/>
    <w:rsid w:val="00616C8A"/>
    <w:rsid w:val="00617D16"/>
    <w:rsid w:val="0062059D"/>
    <w:rsid w:val="006211FB"/>
    <w:rsid w:val="006214DE"/>
    <w:rsid w:val="006237B8"/>
    <w:rsid w:val="0062548F"/>
    <w:rsid w:val="006263EF"/>
    <w:rsid w:val="0063164E"/>
    <w:rsid w:val="00631EF9"/>
    <w:rsid w:val="00632183"/>
    <w:rsid w:val="00632FB7"/>
    <w:rsid w:val="0063439C"/>
    <w:rsid w:val="00634AEB"/>
    <w:rsid w:val="0063620F"/>
    <w:rsid w:val="0063629E"/>
    <w:rsid w:val="00637082"/>
    <w:rsid w:val="006427AA"/>
    <w:rsid w:val="006464BB"/>
    <w:rsid w:val="00646CFE"/>
    <w:rsid w:val="00651276"/>
    <w:rsid w:val="00653ACA"/>
    <w:rsid w:val="00655080"/>
    <w:rsid w:val="0065634B"/>
    <w:rsid w:val="00660891"/>
    <w:rsid w:val="00660C31"/>
    <w:rsid w:val="00660E62"/>
    <w:rsid w:val="00663033"/>
    <w:rsid w:val="00664DFF"/>
    <w:rsid w:val="00664FB7"/>
    <w:rsid w:val="00666071"/>
    <w:rsid w:val="00670046"/>
    <w:rsid w:val="00671ABD"/>
    <w:rsid w:val="00671B2A"/>
    <w:rsid w:val="0067240A"/>
    <w:rsid w:val="00672B80"/>
    <w:rsid w:val="006742B1"/>
    <w:rsid w:val="00675563"/>
    <w:rsid w:val="006757E8"/>
    <w:rsid w:val="00675FB6"/>
    <w:rsid w:val="00676DBF"/>
    <w:rsid w:val="006773A0"/>
    <w:rsid w:val="0068433E"/>
    <w:rsid w:val="0068461D"/>
    <w:rsid w:val="006853FB"/>
    <w:rsid w:val="00685669"/>
    <w:rsid w:val="0068642E"/>
    <w:rsid w:val="00686B36"/>
    <w:rsid w:val="006941D2"/>
    <w:rsid w:val="006947A2"/>
    <w:rsid w:val="0069542D"/>
    <w:rsid w:val="00696B9E"/>
    <w:rsid w:val="006A07FE"/>
    <w:rsid w:val="006A143F"/>
    <w:rsid w:val="006A19C1"/>
    <w:rsid w:val="006A2A09"/>
    <w:rsid w:val="006A2C0D"/>
    <w:rsid w:val="006A31EA"/>
    <w:rsid w:val="006A32C6"/>
    <w:rsid w:val="006A61D3"/>
    <w:rsid w:val="006A6B87"/>
    <w:rsid w:val="006B427C"/>
    <w:rsid w:val="006B69E2"/>
    <w:rsid w:val="006B7372"/>
    <w:rsid w:val="006C2C59"/>
    <w:rsid w:val="006C3F86"/>
    <w:rsid w:val="006C44A1"/>
    <w:rsid w:val="006C456B"/>
    <w:rsid w:val="006C5CB4"/>
    <w:rsid w:val="006C5CC5"/>
    <w:rsid w:val="006C65D6"/>
    <w:rsid w:val="006C77C7"/>
    <w:rsid w:val="006D0055"/>
    <w:rsid w:val="006D1AC4"/>
    <w:rsid w:val="006D2526"/>
    <w:rsid w:val="006D2BC3"/>
    <w:rsid w:val="006D330F"/>
    <w:rsid w:val="006D33B4"/>
    <w:rsid w:val="006D373E"/>
    <w:rsid w:val="006D501E"/>
    <w:rsid w:val="006D5A64"/>
    <w:rsid w:val="006D5BB2"/>
    <w:rsid w:val="006D631A"/>
    <w:rsid w:val="006D6FAC"/>
    <w:rsid w:val="006D7790"/>
    <w:rsid w:val="006D79B0"/>
    <w:rsid w:val="006D7A5F"/>
    <w:rsid w:val="006E05BA"/>
    <w:rsid w:val="006E0749"/>
    <w:rsid w:val="006E074D"/>
    <w:rsid w:val="006E1899"/>
    <w:rsid w:val="006E2122"/>
    <w:rsid w:val="006E29AD"/>
    <w:rsid w:val="006E3DFC"/>
    <w:rsid w:val="006E6246"/>
    <w:rsid w:val="006E7476"/>
    <w:rsid w:val="006F0E0C"/>
    <w:rsid w:val="006F155D"/>
    <w:rsid w:val="006F2582"/>
    <w:rsid w:val="006F3ACC"/>
    <w:rsid w:val="006F4D21"/>
    <w:rsid w:val="006F5838"/>
    <w:rsid w:val="006F67C3"/>
    <w:rsid w:val="006F7183"/>
    <w:rsid w:val="006F726B"/>
    <w:rsid w:val="006F780E"/>
    <w:rsid w:val="006F79D1"/>
    <w:rsid w:val="00701205"/>
    <w:rsid w:val="00703547"/>
    <w:rsid w:val="00704577"/>
    <w:rsid w:val="00705932"/>
    <w:rsid w:val="00706AA6"/>
    <w:rsid w:val="0070709D"/>
    <w:rsid w:val="00707DF5"/>
    <w:rsid w:val="007100C4"/>
    <w:rsid w:val="00711231"/>
    <w:rsid w:val="00711995"/>
    <w:rsid w:val="00713F6C"/>
    <w:rsid w:val="0071486E"/>
    <w:rsid w:val="0071646C"/>
    <w:rsid w:val="007167BC"/>
    <w:rsid w:val="007172D3"/>
    <w:rsid w:val="00717879"/>
    <w:rsid w:val="007219F2"/>
    <w:rsid w:val="007219FB"/>
    <w:rsid w:val="00722A40"/>
    <w:rsid w:val="00722EEA"/>
    <w:rsid w:val="00723259"/>
    <w:rsid w:val="00724DF1"/>
    <w:rsid w:val="0072568D"/>
    <w:rsid w:val="00727BDE"/>
    <w:rsid w:val="007303DC"/>
    <w:rsid w:val="00730DC8"/>
    <w:rsid w:val="00733492"/>
    <w:rsid w:val="00733F9E"/>
    <w:rsid w:val="00734EE6"/>
    <w:rsid w:val="00740465"/>
    <w:rsid w:val="00740D03"/>
    <w:rsid w:val="007414C9"/>
    <w:rsid w:val="0074259D"/>
    <w:rsid w:val="00744C35"/>
    <w:rsid w:val="0074589D"/>
    <w:rsid w:val="00746D7B"/>
    <w:rsid w:val="00747D83"/>
    <w:rsid w:val="0075041A"/>
    <w:rsid w:val="00750E51"/>
    <w:rsid w:val="007514B8"/>
    <w:rsid w:val="00752358"/>
    <w:rsid w:val="00752395"/>
    <w:rsid w:val="007528F9"/>
    <w:rsid w:val="0075349B"/>
    <w:rsid w:val="00754341"/>
    <w:rsid w:val="007566F7"/>
    <w:rsid w:val="00756BC8"/>
    <w:rsid w:val="00757E2A"/>
    <w:rsid w:val="0076082A"/>
    <w:rsid w:val="00761674"/>
    <w:rsid w:val="0076218F"/>
    <w:rsid w:val="007637F3"/>
    <w:rsid w:val="00763D9C"/>
    <w:rsid w:val="0076450B"/>
    <w:rsid w:val="00764A49"/>
    <w:rsid w:val="0076555B"/>
    <w:rsid w:val="007658FC"/>
    <w:rsid w:val="00766524"/>
    <w:rsid w:val="00767446"/>
    <w:rsid w:val="00767C0E"/>
    <w:rsid w:val="00770C7F"/>
    <w:rsid w:val="00771CAB"/>
    <w:rsid w:val="0077388E"/>
    <w:rsid w:val="00774ED4"/>
    <w:rsid w:val="00775ED0"/>
    <w:rsid w:val="00776181"/>
    <w:rsid w:val="0078027A"/>
    <w:rsid w:val="007823BB"/>
    <w:rsid w:val="00783024"/>
    <w:rsid w:val="00783571"/>
    <w:rsid w:val="007850EC"/>
    <w:rsid w:val="00785CC3"/>
    <w:rsid w:val="0078750C"/>
    <w:rsid w:val="00790548"/>
    <w:rsid w:val="00793546"/>
    <w:rsid w:val="00794DCF"/>
    <w:rsid w:val="007951A8"/>
    <w:rsid w:val="00795753"/>
    <w:rsid w:val="00797469"/>
    <w:rsid w:val="007975B8"/>
    <w:rsid w:val="007979BF"/>
    <w:rsid w:val="00797A6F"/>
    <w:rsid w:val="007A1D44"/>
    <w:rsid w:val="007A21BA"/>
    <w:rsid w:val="007A4B44"/>
    <w:rsid w:val="007A50F6"/>
    <w:rsid w:val="007A61D8"/>
    <w:rsid w:val="007A714E"/>
    <w:rsid w:val="007A7311"/>
    <w:rsid w:val="007A786E"/>
    <w:rsid w:val="007B1492"/>
    <w:rsid w:val="007B3D83"/>
    <w:rsid w:val="007B570B"/>
    <w:rsid w:val="007B5DAD"/>
    <w:rsid w:val="007B71E8"/>
    <w:rsid w:val="007B7504"/>
    <w:rsid w:val="007B7D7A"/>
    <w:rsid w:val="007C2404"/>
    <w:rsid w:val="007C2C59"/>
    <w:rsid w:val="007C352D"/>
    <w:rsid w:val="007C3E2B"/>
    <w:rsid w:val="007C521E"/>
    <w:rsid w:val="007C582F"/>
    <w:rsid w:val="007C5B14"/>
    <w:rsid w:val="007C5F7B"/>
    <w:rsid w:val="007C6DE1"/>
    <w:rsid w:val="007C7D1F"/>
    <w:rsid w:val="007D0004"/>
    <w:rsid w:val="007D0250"/>
    <w:rsid w:val="007D08FF"/>
    <w:rsid w:val="007D14AA"/>
    <w:rsid w:val="007D20B6"/>
    <w:rsid w:val="007D2958"/>
    <w:rsid w:val="007D2BDF"/>
    <w:rsid w:val="007D3624"/>
    <w:rsid w:val="007D5502"/>
    <w:rsid w:val="007D60EF"/>
    <w:rsid w:val="007D7DAB"/>
    <w:rsid w:val="007E0B39"/>
    <w:rsid w:val="007E161F"/>
    <w:rsid w:val="007E2EC8"/>
    <w:rsid w:val="007E41CB"/>
    <w:rsid w:val="007E4812"/>
    <w:rsid w:val="007E5937"/>
    <w:rsid w:val="007E5F2A"/>
    <w:rsid w:val="007E72CA"/>
    <w:rsid w:val="007E7425"/>
    <w:rsid w:val="007F35EA"/>
    <w:rsid w:val="007F54B0"/>
    <w:rsid w:val="007F68DA"/>
    <w:rsid w:val="008033C3"/>
    <w:rsid w:val="00804917"/>
    <w:rsid w:val="00804DEA"/>
    <w:rsid w:val="00805FCC"/>
    <w:rsid w:val="00806CF6"/>
    <w:rsid w:val="00812194"/>
    <w:rsid w:val="00812353"/>
    <w:rsid w:val="0081450A"/>
    <w:rsid w:val="00816B2E"/>
    <w:rsid w:val="00820221"/>
    <w:rsid w:val="00820B84"/>
    <w:rsid w:val="00821312"/>
    <w:rsid w:val="00822CC7"/>
    <w:rsid w:val="00823A37"/>
    <w:rsid w:val="008244FB"/>
    <w:rsid w:val="00824C41"/>
    <w:rsid w:val="00825231"/>
    <w:rsid w:val="008268E5"/>
    <w:rsid w:val="0083278C"/>
    <w:rsid w:val="00832DC6"/>
    <w:rsid w:val="0083312C"/>
    <w:rsid w:val="00834050"/>
    <w:rsid w:val="008355B7"/>
    <w:rsid w:val="0083589D"/>
    <w:rsid w:val="008361B7"/>
    <w:rsid w:val="00836BF1"/>
    <w:rsid w:val="00836DAD"/>
    <w:rsid w:val="0083708B"/>
    <w:rsid w:val="0084070D"/>
    <w:rsid w:val="00840B9C"/>
    <w:rsid w:val="00841404"/>
    <w:rsid w:val="00841709"/>
    <w:rsid w:val="00841F08"/>
    <w:rsid w:val="008422FB"/>
    <w:rsid w:val="00843256"/>
    <w:rsid w:val="0084386C"/>
    <w:rsid w:val="008459D6"/>
    <w:rsid w:val="00850A8F"/>
    <w:rsid w:val="00851539"/>
    <w:rsid w:val="0085264D"/>
    <w:rsid w:val="00853E4D"/>
    <w:rsid w:val="00853FF3"/>
    <w:rsid w:val="008545E7"/>
    <w:rsid w:val="0085466B"/>
    <w:rsid w:val="00854684"/>
    <w:rsid w:val="00854BBB"/>
    <w:rsid w:val="00860BF6"/>
    <w:rsid w:val="00861EBD"/>
    <w:rsid w:val="008628A3"/>
    <w:rsid w:val="008629C2"/>
    <w:rsid w:val="00862DCD"/>
    <w:rsid w:val="008649E2"/>
    <w:rsid w:val="00865718"/>
    <w:rsid w:val="008722F9"/>
    <w:rsid w:val="008724FA"/>
    <w:rsid w:val="00872DEB"/>
    <w:rsid w:val="008737F7"/>
    <w:rsid w:val="0087482D"/>
    <w:rsid w:val="008759A2"/>
    <w:rsid w:val="00877183"/>
    <w:rsid w:val="0088013F"/>
    <w:rsid w:val="008817E0"/>
    <w:rsid w:val="00881B2B"/>
    <w:rsid w:val="00883587"/>
    <w:rsid w:val="008842FD"/>
    <w:rsid w:val="00884467"/>
    <w:rsid w:val="00885D9A"/>
    <w:rsid w:val="00890163"/>
    <w:rsid w:val="00890686"/>
    <w:rsid w:val="0089090B"/>
    <w:rsid w:val="00891229"/>
    <w:rsid w:val="00891927"/>
    <w:rsid w:val="00892252"/>
    <w:rsid w:val="00894960"/>
    <w:rsid w:val="0089544F"/>
    <w:rsid w:val="00895487"/>
    <w:rsid w:val="008968C8"/>
    <w:rsid w:val="008A0991"/>
    <w:rsid w:val="008A1A55"/>
    <w:rsid w:val="008A2B7E"/>
    <w:rsid w:val="008A2E91"/>
    <w:rsid w:val="008A463A"/>
    <w:rsid w:val="008A738B"/>
    <w:rsid w:val="008A7B0F"/>
    <w:rsid w:val="008A7F47"/>
    <w:rsid w:val="008B1670"/>
    <w:rsid w:val="008B16BC"/>
    <w:rsid w:val="008B1777"/>
    <w:rsid w:val="008B50F2"/>
    <w:rsid w:val="008B65FA"/>
    <w:rsid w:val="008B6FBF"/>
    <w:rsid w:val="008C101D"/>
    <w:rsid w:val="008C28AF"/>
    <w:rsid w:val="008C5736"/>
    <w:rsid w:val="008C6C59"/>
    <w:rsid w:val="008D00D1"/>
    <w:rsid w:val="008D0337"/>
    <w:rsid w:val="008D0E81"/>
    <w:rsid w:val="008D1144"/>
    <w:rsid w:val="008D67FF"/>
    <w:rsid w:val="008D7763"/>
    <w:rsid w:val="008D7DA9"/>
    <w:rsid w:val="008E08D1"/>
    <w:rsid w:val="008E09C4"/>
    <w:rsid w:val="008E2F3B"/>
    <w:rsid w:val="008E2FF6"/>
    <w:rsid w:val="008E3893"/>
    <w:rsid w:val="008E3EA3"/>
    <w:rsid w:val="008E3FA2"/>
    <w:rsid w:val="008E6F84"/>
    <w:rsid w:val="008E6FD9"/>
    <w:rsid w:val="008E7815"/>
    <w:rsid w:val="008F03FE"/>
    <w:rsid w:val="008F0D7F"/>
    <w:rsid w:val="008F212C"/>
    <w:rsid w:val="008F21B3"/>
    <w:rsid w:val="008F259B"/>
    <w:rsid w:val="008F4A03"/>
    <w:rsid w:val="008F584E"/>
    <w:rsid w:val="008F5C52"/>
    <w:rsid w:val="008F65B2"/>
    <w:rsid w:val="00901210"/>
    <w:rsid w:val="0090212B"/>
    <w:rsid w:val="00903193"/>
    <w:rsid w:val="00904781"/>
    <w:rsid w:val="009079F6"/>
    <w:rsid w:val="00911C06"/>
    <w:rsid w:val="0091251F"/>
    <w:rsid w:val="00913A59"/>
    <w:rsid w:val="00913B22"/>
    <w:rsid w:val="00915DF4"/>
    <w:rsid w:val="009170C9"/>
    <w:rsid w:val="00922C5A"/>
    <w:rsid w:val="00924353"/>
    <w:rsid w:val="00924733"/>
    <w:rsid w:val="00925125"/>
    <w:rsid w:val="009266ED"/>
    <w:rsid w:val="009278B1"/>
    <w:rsid w:val="00927CEE"/>
    <w:rsid w:val="009311BF"/>
    <w:rsid w:val="0093144D"/>
    <w:rsid w:val="00932178"/>
    <w:rsid w:val="0093369A"/>
    <w:rsid w:val="00933EAF"/>
    <w:rsid w:val="00933FC5"/>
    <w:rsid w:val="0093462C"/>
    <w:rsid w:val="00935672"/>
    <w:rsid w:val="00935BBF"/>
    <w:rsid w:val="0093649E"/>
    <w:rsid w:val="0093739B"/>
    <w:rsid w:val="00937E33"/>
    <w:rsid w:val="00941426"/>
    <w:rsid w:val="00941AE3"/>
    <w:rsid w:val="00941B74"/>
    <w:rsid w:val="00942942"/>
    <w:rsid w:val="00943547"/>
    <w:rsid w:val="00943A9F"/>
    <w:rsid w:val="00944876"/>
    <w:rsid w:val="009460DD"/>
    <w:rsid w:val="0094795D"/>
    <w:rsid w:val="009511F6"/>
    <w:rsid w:val="00952538"/>
    <w:rsid w:val="009542B6"/>
    <w:rsid w:val="00955BC3"/>
    <w:rsid w:val="00957369"/>
    <w:rsid w:val="00960B70"/>
    <w:rsid w:val="0096324F"/>
    <w:rsid w:val="00963DE3"/>
    <w:rsid w:val="009655E4"/>
    <w:rsid w:val="00967923"/>
    <w:rsid w:val="00970470"/>
    <w:rsid w:val="00970643"/>
    <w:rsid w:val="00970912"/>
    <w:rsid w:val="00970A7E"/>
    <w:rsid w:val="00970BBC"/>
    <w:rsid w:val="0097190E"/>
    <w:rsid w:val="009743F0"/>
    <w:rsid w:val="00976E04"/>
    <w:rsid w:val="009778C4"/>
    <w:rsid w:val="00980967"/>
    <w:rsid w:val="00984648"/>
    <w:rsid w:val="00985773"/>
    <w:rsid w:val="00986776"/>
    <w:rsid w:val="00987CA9"/>
    <w:rsid w:val="00990141"/>
    <w:rsid w:val="00990615"/>
    <w:rsid w:val="00991BA1"/>
    <w:rsid w:val="00994283"/>
    <w:rsid w:val="009942F4"/>
    <w:rsid w:val="00995884"/>
    <w:rsid w:val="00996A4E"/>
    <w:rsid w:val="0099755E"/>
    <w:rsid w:val="009A0F6D"/>
    <w:rsid w:val="009A20AB"/>
    <w:rsid w:val="009A29AF"/>
    <w:rsid w:val="009A2C7A"/>
    <w:rsid w:val="009A3C00"/>
    <w:rsid w:val="009A5113"/>
    <w:rsid w:val="009A72CA"/>
    <w:rsid w:val="009B063A"/>
    <w:rsid w:val="009B154D"/>
    <w:rsid w:val="009B1CFA"/>
    <w:rsid w:val="009B23BA"/>
    <w:rsid w:val="009B3671"/>
    <w:rsid w:val="009B4007"/>
    <w:rsid w:val="009B552E"/>
    <w:rsid w:val="009B646A"/>
    <w:rsid w:val="009B6766"/>
    <w:rsid w:val="009B70B0"/>
    <w:rsid w:val="009C03A2"/>
    <w:rsid w:val="009C214F"/>
    <w:rsid w:val="009C238A"/>
    <w:rsid w:val="009C3CBB"/>
    <w:rsid w:val="009C49D2"/>
    <w:rsid w:val="009C6206"/>
    <w:rsid w:val="009C6E70"/>
    <w:rsid w:val="009C6E81"/>
    <w:rsid w:val="009C7350"/>
    <w:rsid w:val="009D05BF"/>
    <w:rsid w:val="009D0766"/>
    <w:rsid w:val="009D5762"/>
    <w:rsid w:val="009D57CA"/>
    <w:rsid w:val="009D5A90"/>
    <w:rsid w:val="009D60EB"/>
    <w:rsid w:val="009D7143"/>
    <w:rsid w:val="009D74AE"/>
    <w:rsid w:val="009E0379"/>
    <w:rsid w:val="009E0600"/>
    <w:rsid w:val="009E1821"/>
    <w:rsid w:val="009E1DAF"/>
    <w:rsid w:val="009E5E7B"/>
    <w:rsid w:val="009E69D8"/>
    <w:rsid w:val="009F0760"/>
    <w:rsid w:val="009F0F2A"/>
    <w:rsid w:val="009F171A"/>
    <w:rsid w:val="009F4F0C"/>
    <w:rsid w:val="009F5F9A"/>
    <w:rsid w:val="00A02FA5"/>
    <w:rsid w:val="00A1321C"/>
    <w:rsid w:val="00A136EC"/>
    <w:rsid w:val="00A138A8"/>
    <w:rsid w:val="00A156AF"/>
    <w:rsid w:val="00A1758B"/>
    <w:rsid w:val="00A215A8"/>
    <w:rsid w:val="00A23B86"/>
    <w:rsid w:val="00A2578B"/>
    <w:rsid w:val="00A25ABA"/>
    <w:rsid w:val="00A30D85"/>
    <w:rsid w:val="00A3184F"/>
    <w:rsid w:val="00A320A5"/>
    <w:rsid w:val="00A32A20"/>
    <w:rsid w:val="00A33BE4"/>
    <w:rsid w:val="00A3579A"/>
    <w:rsid w:val="00A36591"/>
    <w:rsid w:val="00A36A7E"/>
    <w:rsid w:val="00A40336"/>
    <w:rsid w:val="00A4223C"/>
    <w:rsid w:val="00A425C6"/>
    <w:rsid w:val="00A43135"/>
    <w:rsid w:val="00A43592"/>
    <w:rsid w:val="00A4382E"/>
    <w:rsid w:val="00A43890"/>
    <w:rsid w:val="00A43D21"/>
    <w:rsid w:val="00A442C1"/>
    <w:rsid w:val="00A46148"/>
    <w:rsid w:val="00A465E7"/>
    <w:rsid w:val="00A4744A"/>
    <w:rsid w:val="00A509B8"/>
    <w:rsid w:val="00A50AF4"/>
    <w:rsid w:val="00A51D46"/>
    <w:rsid w:val="00A5225B"/>
    <w:rsid w:val="00A52A99"/>
    <w:rsid w:val="00A52F6A"/>
    <w:rsid w:val="00A53844"/>
    <w:rsid w:val="00A53E2D"/>
    <w:rsid w:val="00A544D1"/>
    <w:rsid w:val="00A5540E"/>
    <w:rsid w:val="00A563C9"/>
    <w:rsid w:val="00A61D06"/>
    <w:rsid w:val="00A632CB"/>
    <w:rsid w:val="00A640EB"/>
    <w:rsid w:val="00A644A9"/>
    <w:rsid w:val="00A66E15"/>
    <w:rsid w:val="00A67C3D"/>
    <w:rsid w:val="00A67C4E"/>
    <w:rsid w:val="00A7346C"/>
    <w:rsid w:val="00A7443B"/>
    <w:rsid w:val="00A74DAB"/>
    <w:rsid w:val="00A75D7A"/>
    <w:rsid w:val="00A75D8E"/>
    <w:rsid w:val="00A75E2E"/>
    <w:rsid w:val="00A76992"/>
    <w:rsid w:val="00A76AED"/>
    <w:rsid w:val="00A7701F"/>
    <w:rsid w:val="00A778A8"/>
    <w:rsid w:val="00A80278"/>
    <w:rsid w:val="00A8108E"/>
    <w:rsid w:val="00A811E1"/>
    <w:rsid w:val="00A82D4C"/>
    <w:rsid w:val="00A82DB7"/>
    <w:rsid w:val="00A839DF"/>
    <w:rsid w:val="00A83B30"/>
    <w:rsid w:val="00A843D3"/>
    <w:rsid w:val="00A84A67"/>
    <w:rsid w:val="00A859E9"/>
    <w:rsid w:val="00A85DD5"/>
    <w:rsid w:val="00A865D4"/>
    <w:rsid w:val="00A90FB4"/>
    <w:rsid w:val="00A9162A"/>
    <w:rsid w:val="00A92545"/>
    <w:rsid w:val="00A9377C"/>
    <w:rsid w:val="00A9441D"/>
    <w:rsid w:val="00A9678E"/>
    <w:rsid w:val="00A97277"/>
    <w:rsid w:val="00A9742D"/>
    <w:rsid w:val="00AA0AAE"/>
    <w:rsid w:val="00AA0F04"/>
    <w:rsid w:val="00AA2353"/>
    <w:rsid w:val="00AA344B"/>
    <w:rsid w:val="00AA4C31"/>
    <w:rsid w:val="00AA700D"/>
    <w:rsid w:val="00AA71AA"/>
    <w:rsid w:val="00AA758A"/>
    <w:rsid w:val="00AB0961"/>
    <w:rsid w:val="00AB1CF3"/>
    <w:rsid w:val="00AB2BC7"/>
    <w:rsid w:val="00AB5623"/>
    <w:rsid w:val="00AB5D0F"/>
    <w:rsid w:val="00AB662A"/>
    <w:rsid w:val="00AC28FC"/>
    <w:rsid w:val="00AC4730"/>
    <w:rsid w:val="00AC4891"/>
    <w:rsid w:val="00AC7526"/>
    <w:rsid w:val="00AD0962"/>
    <w:rsid w:val="00AD2300"/>
    <w:rsid w:val="00AD259E"/>
    <w:rsid w:val="00AD4096"/>
    <w:rsid w:val="00AD4120"/>
    <w:rsid w:val="00AD4B0B"/>
    <w:rsid w:val="00AD4BF5"/>
    <w:rsid w:val="00AD51E6"/>
    <w:rsid w:val="00AD5AF0"/>
    <w:rsid w:val="00AD60BF"/>
    <w:rsid w:val="00AD6F70"/>
    <w:rsid w:val="00AE060F"/>
    <w:rsid w:val="00AE0BEE"/>
    <w:rsid w:val="00AE27B5"/>
    <w:rsid w:val="00AE4573"/>
    <w:rsid w:val="00AE4D1B"/>
    <w:rsid w:val="00AE57DF"/>
    <w:rsid w:val="00AE62D5"/>
    <w:rsid w:val="00AE69C1"/>
    <w:rsid w:val="00AE710F"/>
    <w:rsid w:val="00AE7DF3"/>
    <w:rsid w:val="00AF283C"/>
    <w:rsid w:val="00AF5A78"/>
    <w:rsid w:val="00AF6CAF"/>
    <w:rsid w:val="00AF72B4"/>
    <w:rsid w:val="00B00F74"/>
    <w:rsid w:val="00B020EB"/>
    <w:rsid w:val="00B02491"/>
    <w:rsid w:val="00B02FC5"/>
    <w:rsid w:val="00B031CA"/>
    <w:rsid w:val="00B03361"/>
    <w:rsid w:val="00B07EFE"/>
    <w:rsid w:val="00B07F84"/>
    <w:rsid w:val="00B11409"/>
    <w:rsid w:val="00B12B88"/>
    <w:rsid w:val="00B1325F"/>
    <w:rsid w:val="00B1564B"/>
    <w:rsid w:val="00B16937"/>
    <w:rsid w:val="00B16B96"/>
    <w:rsid w:val="00B218CF"/>
    <w:rsid w:val="00B226F1"/>
    <w:rsid w:val="00B23E52"/>
    <w:rsid w:val="00B25B41"/>
    <w:rsid w:val="00B26242"/>
    <w:rsid w:val="00B262B3"/>
    <w:rsid w:val="00B277DA"/>
    <w:rsid w:val="00B30385"/>
    <w:rsid w:val="00B317CB"/>
    <w:rsid w:val="00B31CFF"/>
    <w:rsid w:val="00B31EEF"/>
    <w:rsid w:val="00B327F1"/>
    <w:rsid w:val="00B34B03"/>
    <w:rsid w:val="00B36C49"/>
    <w:rsid w:val="00B36F78"/>
    <w:rsid w:val="00B370DC"/>
    <w:rsid w:val="00B376F0"/>
    <w:rsid w:val="00B40A48"/>
    <w:rsid w:val="00B413DD"/>
    <w:rsid w:val="00B415B2"/>
    <w:rsid w:val="00B42152"/>
    <w:rsid w:val="00B423EF"/>
    <w:rsid w:val="00B43B00"/>
    <w:rsid w:val="00B43BF8"/>
    <w:rsid w:val="00B454B7"/>
    <w:rsid w:val="00B45D07"/>
    <w:rsid w:val="00B46943"/>
    <w:rsid w:val="00B5058E"/>
    <w:rsid w:val="00B50C5A"/>
    <w:rsid w:val="00B51A10"/>
    <w:rsid w:val="00B5236A"/>
    <w:rsid w:val="00B5410D"/>
    <w:rsid w:val="00B550FC"/>
    <w:rsid w:val="00B57425"/>
    <w:rsid w:val="00B607B4"/>
    <w:rsid w:val="00B627D5"/>
    <w:rsid w:val="00B63FD4"/>
    <w:rsid w:val="00B63FEC"/>
    <w:rsid w:val="00B6461A"/>
    <w:rsid w:val="00B65B96"/>
    <w:rsid w:val="00B65C30"/>
    <w:rsid w:val="00B66AEB"/>
    <w:rsid w:val="00B66B5C"/>
    <w:rsid w:val="00B67867"/>
    <w:rsid w:val="00B67CC7"/>
    <w:rsid w:val="00B67F2A"/>
    <w:rsid w:val="00B71299"/>
    <w:rsid w:val="00B744DB"/>
    <w:rsid w:val="00B7475C"/>
    <w:rsid w:val="00B74E0F"/>
    <w:rsid w:val="00B75150"/>
    <w:rsid w:val="00B771A0"/>
    <w:rsid w:val="00B806BA"/>
    <w:rsid w:val="00B80AB7"/>
    <w:rsid w:val="00B81A2C"/>
    <w:rsid w:val="00B81A6E"/>
    <w:rsid w:val="00B81BE1"/>
    <w:rsid w:val="00B83919"/>
    <w:rsid w:val="00B8484B"/>
    <w:rsid w:val="00B853A0"/>
    <w:rsid w:val="00B854A9"/>
    <w:rsid w:val="00B85CE1"/>
    <w:rsid w:val="00B8686B"/>
    <w:rsid w:val="00B87141"/>
    <w:rsid w:val="00B90AFF"/>
    <w:rsid w:val="00B93DD8"/>
    <w:rsid w:val="00B96BE4"/>
    <w:rsid w:val="00B972BA"/>
    <w:rsid w:val="00BA055B"/>
    <w:rsid w:val="00BA1FA2"/>
    <w:rsid w:val="00BA38F3"/>
    <w:rsid w:val="00BA6836"/>
    <w:rsid w:val="00BA761E"/>
    <w:rsid w:val="00BB03F6"/>
    <w:rsid w:val="00BB0671"/>
    <w:rsid w:val="00BB5905"/>
    <w:rsid w:val="00BB597F"/>
    <w:rsid w:val="00BB5D10"/>
    <w:rsid w:val="00BB78DF"/>
    <w:rsid w:val="00BB7ADA"/>
    <w:rsid w:val="00BC07AE"/>
    <w:rsid w:val="00BC1D7D"/>
    <w:rsid w:val="00BC6B51"/>
    <w:rsid w:val="00BC6F2E"/>
    <w:rsid w:val="00BC7C4B"/>
    <w:rsid w:val="00BC7D54"/>
    <w:rsid w:val="00BD1197"/>
    <w:rsid w:val="00BD1902"/>
    <w:rsid w:val="00BD28E3"/>
    <w:rsid w:val="00BD31AE"/>
    <w:rsid w:val="00BD4EF5"/>
    <w:rsid w:val="00BD547B"/>
    <w:rsid w:val="00BE00DB"/>
    <w:rsid w:val="00BE0E8C"/>
    <w:rsid w:val="00BE109C"/>
    <w:rsid w:val="00BE377C"/>
    <w:rsid w:val="00BE4B33"/>
    <w:rsid w:val="00BE591E"/>
    <w:rsid w:val="00BE62FB"/>
    <w:rsid w:val="00BE7150"/>
    <w:rsid w:val="00BF2714"/>
    <w:rsid w:val="00BF3A16"/>
    <w:rsid w:val="00BF4278"/>
    <w:rsid w:val="00BF62A5"/>
    <w:rsid w:val="00C00AA9"/>
    <w:rsid w:val="00C01B89"/>
    <w:rsid w:val="00C02307"/>
    <w:rsid w:val="00C028FC"/>
    <w:rsid w:val="00C02D14"/>
    <w:rsid w:val="00C035D2"/>
    <w:rsid w:val="00C03C3C"/>
    <w:rsid w:val="00C03E44"/>
    <w:rsid w:val="00C0623D"/>
    <w:rsid w:val="00C07473"/>
    <w:rsid w:val="00C0759C"/>
    <w:rsid w:val="00C111A3"/>
    <w:rsid w:val="00C11506"/>
    <w:rsid w:val="00C1189F"/>
    <w:rsid w:val="00C11ADC"/>
    <w:rsid w:val="00C11F64"/>
    <w:rsid w:val="00C13D97"/>
    <w:rsid w:val="00C13FE4"/>
    <w:rsid w:val="00C140A0"/>
    <w:rsid w:val="00C15BA1"/>
    <w:rsid w:val="00C244AC"/>
    <w:rsid w:val="00C25682"/>
    <w:rsid w:val="00C3185B"/>
    <w:rsid w:val="00C31C2E"/>
    <w:rsid w:val="00C34A0C"/>
    <w:rsid w:val="00C35A80"/>
    <w:rsid w:val="00C35C11"/>
    <w:rsid w:val="00C35C1F"/>
    <w:rsid w:val="00C3610D"/>
    <w:rsid w:val="00C3611F"/>
    <w:rsid w:val="00C37381"/>
    <w:rsid w:val="00C4059B"/>
    <w:rsid w:val="00C408DA"/>
    <w:rsid w:val="00C40F32"/>
    <w:rsid w:val="00C41877"/>
    <w:rsid w:val="00C41DD8"/>
    <w:rsid w:val="00C429CB"/>
    <w:rsid w:val="00C42BC0"/>
    <w:rsid w:val="00C4333F"/>
    <w:rsid w:val="00C44F50"/>
    <w:rsid w:val="00C4707E"/>
    <w:rsid w:val="00C4725C"/>
    <w:rsid w:val="00C475F4"/>
    <w:rsid w:val="00C51121"/>
    <w:rsid w:val="00C51564"/>
    <w:rsid w:val="00C5230A"/>
    <w:rsid w:val="00C535BE"/>
    <w:rsid w:val="00C53735"/>
    <w:rsid w:val="00C5646E"/>
    <w:rsid w:val="00C56B19"/>
    <w:rsid w:val="00C60425"/>
    <w:rsid w:val="00C63BCC"/>
    <w:rsid w:val="00C63DE5"/>
    <w:rsid w:val="00C63EEA"/>
    <w:rsid w:val="00C64901"/>
    <w:rsid w:val="00C676DF"/>
    <w:rsid w:val="00C706C0"/>
    <w:rsid w:val="00C707A7"/>
    <w:rsid w:val="00C71199"/>
    <w:rsid w:val="00C71521"/>
    <w:rsid w:val="00C721FC"/>
    <w:rsid w:val="00C72B76"/>
    <w:rsid w:val="00C732F2"/>
    <w:rsid w:val="00C736AC"/>
    <w:rsid w:val="00C742FF"/>
    <w:rsid w:val="00C745A3"/>
    <w:rsid w:val="00C74934"/>
    <w:rsid w:val="00C74F3E"/>
    <w:rsid w:val="00C75144"/>
    <w:rsid w:val="00C763BA"/>
    <w:rsid w:val="00C7742B"/>
    <w:rsid w:val="00C80E7A"/>
    <w:rsid w:val="00C82413"/>
    <w:rsid w:val="00C847C0"/>
    <w:rsid w:val="00C84A6B"/>
    <w:rsid w:val="00C84C82"/>
    <w:rsid w:val="00C8557A"/>
    <w:rsid w:val="00C855EE"/>
    <w:rsid w:val="00C86535"/>
    <w:rsid w:val="00C86C57"/>
    <w:rsid w:val="00C90557"/>
    <w:rsid w:val="00C90C7C"/>
    <w:rsid w:val="00C90E51"/>
    <w:rsid w:val="00C91153"/>
    <w:rsid w:val="00C91FAD"/>
    <w:rsid w:val="00C92957"/>
    <w:rsid w:val="00C929EE"/>
    <w:rsid w:val="00C93A89"/>
    <w:rsid w:val="00C94AC3"/>
    <w:rsid w:val="00C97A24"/>
    <w:rsid w:val="00CA2585"/>
    <w:rsid w:val="00CA2A82"/>
    <w:rsid w:val="00CA4DF3"/>
    <w:rsid w:val="00CA6C8E"/>
    <w:rsid w:val="00CA72A8"/>
    <w:rsid w:val="00CA76CB"/>
    <w:rsid w:val="00CA7ABC"/>
    <w:rsid w:val="00CB11C1"/>
    <w:rsid w:val="00CB1B68"/>
    <w:rsid w:val="00CB1DBF"/>
    <w:rsid w:val="00CB1DED"/>
    <w:rsid w:val="00CB2CDF"/>
    <w:rsid w:val="00CB3983"/>
    <w:rsid w:val="00CB498B"/>
    <w:rsid w:val="00CB4AE0"/>
    <w:rsid w:val="00CB6872"/>
    <w:rsid w:val="00CB6A9B"/>
    <w:rsid w:val="00CC1F6B"/>
    <w:rsid w:val="00CC3243"/>
    <w:rsid w:val="00CC396A"/>
    <w:rsid w:val="00CC5E58"/>
    <w:rsid w:val="00CD0738"/>
    <w:rsid w:val="00CD0A4D"/>
    <w:rsid w:val="00CD1BA4"/>
    <w:rsid w:val="00CD251D"/>
    <w:rsid w:val="00CD63C8"/>
    <w:rsid w:val="00CD7862"/>
    <w:rsid w:val="00CE166D"/>
    <w:rsid w:val="00CE18B4"/>
    <w:rsid w:val="00CE1F4A"/>
    <w:rsid w:val="00CE2D18"/>
    <w:rsid w:val="00CE3A0D"/>
    <w:rsid w:val="00CE462D"/>
    <w:rsid w:val="00CE7467"/>
    <w:rsid w:val="00CF04B5"/>
    <w:rsid w:val="00CF3D04"/>
    <w:rsid w:val="00CF4BF6"/>
    <w:rsid w:val="00CF4E7D"/>
    <w:rsid w:val="00CF6178"/>
    <w:rsid w:val="00CF6480"/>
    <w:rsid w:val="00CF66C1"/>
    <w:rsid w:val="00CF77FF"/>
    <w:rsid w:val="00CF7FA0"/>
    <w:rsid w:val="00D027CE"/>
    <w:rsid w:val="00D0284C"/>
    <w:rsid w:val="00D0308E"/>
    <w:rsid w:val="00D0640A"/>
    <w:rsid w:val="00D0795A"/>
    <w:rsid w:val="00D12A59"/>
    <w:rsid w:val="00D13318"/>
    <w:rsid w:val="00D1360F"/>
    <w:rsid w:val="00D13F4D"/>
    <w:rsid w:val="00D15EF8"/>
    <w:rsid w:val="00D20C87"/>
    <w:rsid w:val="00D21976"/>
    <w:rsid w:val="00D221D4"/>
    <w:rsid w:val="00D22B00"/>
    <w:rsid w:val="00D234D7"/>
    <w:rsid w:val="00D24AA9"/>
    <w:rsid w:val="00D24E91"/>
    <w:rsid w:val="00D25120"/>
    <w:rsid w:val="00D25D3C"/>
    <w:rsid w:val="00D2618A"/>
    <w:rsid w:val="00D262E2"/>
    <w:rsid w:val="00D264BD"/>
    <w:rsid w:val="00D26743"/>
    <w:rsid w:val="00D316F4"/>
    <w:rsid w:val="00D317F8"/>
    <w:rsid w:val="00D31903"/>
    <w:rsid w:val="00D32847"/>
    <w:rsid w:val="00D333DF"/>
    <w:rsid w:val="00D3433E"/>
    <w:rsid w:val="00D35E16"/>
    <w:rsid w:val="00D370AE"/>
    <w:rsid w:val="00D4158F"/>
    <w:rsid w:val="00D4273D"/>
    <w:rsid w:val="00D42852"/>
    <w:rsid w:val="00D43350"/>
    <w:rsid w:val="00D433F6"/>
    <w:rsid w:val="00D45DBD"/>
    <w:rsid w:val="00D46AAF"/>
    <w:rsid w:val="00D47845"/>
    <w:rsid w:val="00D50EC8"/>
    <w:rsid w:val="00D52200"/>
    <w:rsid w:val="00D52375"/>
    <w:rsid w:val="00D5280F"/>
    <w:rsid w:val="00D52EC9"/>
    <w:rsid w:val="00D5304F"/>
    <w:rsid w:val="00D53476"/>
    <w:rsid w:val="00D53E93"/>
    <w:rsid w:val="00D54425"/>
    <w:rsid w:val="00D55394"/>
    <w:rsid w:val="00D57B09"/>
    <w:rsid w:val="00D6018C"/>
    <w:rsid w:val="00D604E8"/>
    <w:rsid w:val="00D609F3"/>
    <w:rsid w:val="00D629B0"/>
    <w:rsid w:val="00D62B7F"/>
    <w:rsid w:val="00D62FDA"/>
    <w:rsid w:val="00D6313B"/>
    <w:rsid w:val="00D632BC"/>
    <w:rsid w:val="00D63F81"/>
    <w:rsid w:val="00D645C9"/>
    <w:rsid w:val="00D6550C"/>
    <w:rsid w:val="00D66B7E"/>
    <w:rsid w:val="00D70924"/>
    <w:rsid w:val="00D70BE4"/>
    <w:rsid w:val="00D71399"/>
    <w:rsid w:val="00D72196"/>
    <w:rsid w:val="00D72E24"/>
    <w:rsid w:val="00D72FA4"/>
    <w:rsid w:val="00D7367D"/>
    <w:rsid w:val="00D753F9"/>
    <w:rsid w:val="00D76C3F"/>
    <w:rsid w:val="00D82129"/>
    <w:rsid w:val="00D82E7E"/>
    <w:rsid w:val="00D84911"/>
    <w:rsid w:val="00D84D2E"/>
    <w:rsid w:val="00D853A8"/>
    <w:rsid w:val="00D87FEA"/>
    <w:rsid w:val="00D90C02"/>
    <w:rsid w:val="00D93B90"/>
    <w:rsid w:val="00D9427C"/>
    <w:rsid w:val="00D94677"/>
    <w:rsid w:val="00DA05BB"/>
    <w:rsid w:val="00DA2DD6"/>
    <w:rsid w:val="00DA3E28"/>
    <w:rsid w:val="00DA4407"/>
    <w:rsid w:val="00DA50DF"/>
    <w:rsid w:val="00DA674F"/>
    <w:rsid w:val="00DA778D"/>
    <w:rsid w:val="00DA78BF"/>
    <w:rsid w:val="00DB2330"/>
    <w:rsid w:val="00DB2535"/>
    <w:rsid w:val="00DB274F"/>
    <w:rsid w:val="00DB394E"/>
    <w:rsid w:val="00DB436A"/>
    <w:rsid w:val="00DB4C4D"/>
    <w:rsid w:val="00DB5E76"/>
    <w:rsid w:val="00DB6F4B"/>
    <w:rsid w:val="00DB6FB9"/>
    <w:rsid w:val="00DB70E7"/>
    <w:rsid w:val="00DC1BB4"/>
    <w:rsid w:val="00DC3461"/>
    <w:rsid w:val="00DC6126"/>
    <w:rsid w:val="00DC7136"/>
    <w:rsid w:val="00DC7329"/>
    <w:rsid w:val="00DD07D9"/>
    <w:rsid w:val="00DD08B8"/>
    <w:rsid w:val="00DD1700"/>
    <w:rsid w:val="00DD2165"/>
    <w:rsid w:val="00DD3084"/>
    <w:rsid w:val="00DD3796"/>
    <w:rsid w:val="00DD4789"/>
    <w:rsid w:val="00DD4F2B"/>
    <w:rsid w:val="00DD67A1"/>
    <w:rsid w:val="00DD6DCA"/>
    <w:rsid w:val="00DD740B"/>
    <w:rsid w:val="00DD7785"/>
    <w:rsid w:val="00DE1903"/>
    <w:rsid w:val="00DE1C81"/>
    <w:rsid w:val="00DE2A58"/>
    <w:rsid w:val="00DE4F85"/>
    <w:rsid w:val="00DE5442"/>
    <w:rsid w:val="00DE63BA"/>
    <w:rsid w:val="00DE7F02"/>
    <w:rsid w:val="00DF0647"/>
    <w:rsid w:val="00DF1244"/>
    <w:rsid w:val="00DF184F"/>
    <w:rsid w:val="00DF2CAC"/>
    <w:rsid w:val="00DF40FE"/>
    <w:rsid w:val="00DF48CD"/>
    <w:rsid w:val="00DF5386"/>
    <w:rsid w:val="00DF70FC"/>
    <w:rsid w:val="00E001E0"/>
    <w:rsid w:val="00E0218D"/>
    <w:rsid w:val="00E036FF"/>
    <w:rsid w:val="00E03CBA"/>
    <w:rsid w:val="00E05235"/>
    <w:rsid w:val="00E05700"/>
    <w:rsid w:val="00E10B9C"/>
    <w:rsid w:val="00E11C45"/>
    <w:rsid w:val="00E12671"/>
    <w:rsid w:val="00E136DD"/>
    <w:rsid w:val="00E13CFA"/>
    <w:rsid w:val="00E15A90"/>
    <w:rsid w:val="00E20C0F"/>
    <w:rsid w:val="00E21256"/>
    <w:rsid w:val="00E215E1"/>
    <w:rsid w:val="00E227F5"/>
    <w:rsid w:val="00E22A2C"/>
    <w:rsid w:val="00E23D87"/>
    <w:rsid w:val="00E2404F"/>
    <w:rsid w:val="00E25353"/>
    <w:rsid w:val="00E303BA"/>
    <w:rsid w:val="00E3046A"/>
    <w:rsid w:val="00E3106D"/>
    <w:rsid w:val="00E31271"/>
    <w:rsid w:val="00E32252"/>
    <w:rsid w:val="00E325CC"/>
    <w:rsid w:val="00E32EFA"/>
    <w:rsid w:val="00E3449A"/>
    <w:rsid w:val="00E357BB"/>
    <w:rsid w:val="00E35C43"/>
    <w:rsid w:val="00E42662"/>
    <w:rsid w:val="00E42DC3"/>
    <w:rsid w:val="00E430CF"/>
    <w:rsid w:val="00E4468A"/>
    <w:rsid w:val="00E46001"/>
    <w:rsid w:val="00E460B8"/>
    <w:rsid w:val="00E47152"/>
    <w:rsid w:val="00E51FF5"/>
    <w:rsid w:val="00E5245A"/>
    <w:rsid w:val="00E5337F"/>
    <w:rsid w:val="00E53FAB"/>
    <w:rsid w:val="00E5531D"/>
    <w:rsid w:val="00E56F81"/>
    <w:rsid w:val="00E60D2F"/>
    <w:rsid w:val="00E62A50"/>
    <w:rsid w:val="00E63682"/>
    <w:rsid w:val="00E6705C"/>
    <w:rsid w:val="00E73339"/>
    <w:rsid w:val="00E73777"/>
    <w:rsid w:val="00E73BC4"/>
    <w:rsid w:val="00E76AA6"/>
    <w:rsid w:val="00E8041A"/>
    <w:rsid w:val="00E81455"/>
    <w:rsid w:val="00E85649"/>
    <w:rsid w:val="00E85AD9"/>
    <w:rsid w:val="00E87B67"/>
    <w:rsid w:val="00E87C70"/>
    <w:rsid w:val="00E87F2E"/>
    <w:rsid w:val="00E90831"/>
    <w:rsid w:val="00E90FE3"/>
    <w:rsid w:val="00E910BB"/>
    <w:rsid w:val="00E91892"/>
    <w:rsid w:val="00E92A58"/>
    <w:rsid w:val="00E937B1"/>
    <w:rsid w:val="00E94924"/>
    <w:rsid w:val="00E94EED"/>
    <w:rsid w:val="00E97100"/>
    <w:rsid w:val="00E9785E"/>
    <w:rsid w:val="00EA0908"/>
    <w:rsid w:val="00EA12D5"/>
    <w:rsid w:val="00EA38EF"/>
    <w:rsid w:val="00EA6660"/>
    <w:rsid w:val="00EA7673"/>
    <w:rsid w:val="00EA78BA"/>
    <w:rsid w:val="00EB292E"/>
    <w:rsid w:val="00EB3F40"/>
    <w:rsid w:val="00EB548A"/>
    <w:rsid w:val="00EB5EAA"/>
    <w:rsid w:val="00EB6BC8"/>
    <w:rsid w:val="00EB7DB6"/>
    <w:rsid w:val="00EC1176"/>
    <w:rsid w:val="00EC2F5F"/>
    <w:rsid w:val="00EC3BAB"/>
    <w:rsid w:val="00EC3D2E"/>
    <w:rsid w:val="00EC4A89"/>
    <w:rsid w:val="00EC6ADE"/>
    <w:rsid w:val="00EC7BBE"/>
    <w:rsid w:val="00ED074C"/>
    <w:rsid w:val="00ED104B"/>
    <w:rsid w:val="00ED3ED9"/>
    <w:rsid w:val="00ED6957"/>
    <w:rsid w:val="00EE00FB"/>
    <w:rsid w:val="00EE2769"/>
    <w:rsid w:val="00EE29D6"/>
    <w:rsid w:val="00EE3439"/>
    <w:rsid w:val="00EE4DF9"/>
    <w:rsid w:val="00EE5082"/>
    <w:rsid w:val="00EE5603"/>
    <w:rsid w:val="00EE7A4D"/>
    <w:rsid w:val="00EF32E6"/>
    <w:rsid w:val="00EF3E05"/>
    <w:rsid w:val="00EF3EE5"/>
    <w:rsid w:val="00EF4F9A"/>
    <w:rsid w:val="00EF5035"/>
    <w:rsid w:val="00EF5109"/>
    <w:rsid w:val="00EF524E"/>
    <w:rsid w:val="00EF52E9"/>
    <w:rsid w:val="00EF79AC"/>
    <w:rsid w:val="00F011CF"/>
    <w:rsid w:val="00F01F0C"/>
    <w:rsid w:val="00F01FC0"/>
    <w:rsid w:val="00F02A4D"/>
    <w:rsid w:val="00F04A90"/>
    <w:rsid w:val="00F052C4"/>
    <w:rsid w:val="00F06D11"/>
    <w:rsid w:val="00F11868"/>
    <w:rsid w:val="00F125A0"/>
    <w:rsid w:val="00F129B6"/>
    <w:rsid w:val="00F13D62"/>
    <w:rsid w:val="00F15439"/>
    <w:rsid w:val="00F15681"/>
    <w:rsid w:val="00F15CBD"/>
    <w:rsid w:val="00F163FE"/>
    <w:rsid w:val="00F17F86"/>
    <w:rsid w:val="00F216D6"/>
    <w:rsid w:val="00F245C9"/>
    <w:rsid w:val="00F256A5"/>
    <w:rsid w:val="00F25FEE"/>
    <w:rsid w:val="00F261D5"/>
    <w:rsid w:val="00F263B0"/>
    <w:rsid w:val="00F27EE6"/>
    <w:rsid w:val="00F3173C"/>
    <w:rsid w:val="00F31B5B"/>
    <w:rsid w:val="00F32FEA"/>
    <w:rsid w:val="00F32FFF"/>
    <w:rsid w:val="00F34846"/>
    <w:rsid w:val="00F35EE7"/>
    <w:rsid w:val="00F37BD4"/>
    <w:rsid w:val="00F42F30"/>
    <w:rsid w:val="00F42F55"/>
    <w:rsid w:val="00F43FE5"/>
    <w:rsid w:val="00F443B4"/>
    <w:rsid w:val="00F455F8"/>
    <w:rsid w:val="00F4579B"/>
    <w:rsid w:val="00F471EF"/>
    <w:rsid w:val="00F47A31"/>
    <w:rsid w:val="00F50D34"/>
    <w:rsid w:val="00F52DD3"/>
    <w:rsid w:val="00F52E83"/>
    <w:rsid w:val="00F534A9"/>
    <w:rsid w:val="00F53755"/>
    <w:rsid w:val="00F539D1"/>
    <w:rsid w:val="00F542E2"/>
    <w:rsid w:val="00F54565"/>
    <w:rsid w:val="00F55FD2"/>
    <w:rsid w:val="00F57337"/>
    <w:rsid w:val="00F60C3E"/>
    <w:rsid w:val="00F62F8C"/>
    <w:rsid w:val="00F650A5"/>
    <w:rsid w:val="00F70BE4"/>
    <w:rsid w:val="00F71A9B"/>
    <w:rsid w:val="00F76F66"/>
    <w:rsid w:val="00F82C47"/>
    <w:rsid w:val="00F84435"/>
    <w:rsid w:val="00F844A2"/>
    <w:rsid w:val="00F8458E"/>
    <w:rsid w:val="00F84A2C"/>
    <w:rsid w:val="00F85C00"/>
    <w:rsid w:val="00F86384"/>
    <w:rsid w:val="00F86ABC"/>
    <w:rsid w:val="00F90AC4"/>
    <w:rsid w:val="00F917B7"/>
    <w:rsid w:val="00F93C75"/>
    <w:rsid w:val="00F94A21"/>
    <w:rsid w:val="00F94E99"/>
    <w:rsid w:val="00F95E5C"/>
    <w:rsid w:val="00FA0740"/>
    <w:rsid w:val="00FA0CD0"/>
    <w:rsid w:val="00FA1286"/>
    <w:rsid w:val="00FA154E"/>
    <w:rsid w:val="00FA1DFE"/>
    <w:rsid w:val="00FA322F"/>
    <w:rsid w:val="00FA451D"/>
    <w:rsid w:val="00FA4F4D"/>
    <w:rsid w:val="00FA603F"/>
    <w:rsid w:val="00FB281F"/>
    <w:rsid w:val="00FB4895"/>
    <w:rsid w:val="00FB4A4E"/>
    <w:rsid w:val="00FB4CEB"/>
    <w:rsid w:val="00FB63B8"/>
    <w:rsid w:val="00FC08BA"/>
    <w:rsid w:val="00FC0A3B"/>
    <w:rsid w:val="00FC0FD7"/>
    <w:rsid w:val="00FC23A1"/>
    <w:rsid w:val="00FC2C83"/>
    <w:rsid w:val="00FC51EE"/>
    <w:rsid w:val="00FC6430"/>
    <w:rsid w:val="00FC6F22"/>
    <w:rsid w:val="00FD0F28"/>
    <w:rsid w:val="00FD1C8F"/>
    <w:rsid w:val="00FD1E8F"/>
    <w:rsid w:val="00FD34B5"/>
    <w:rsid w:val="00FD4275"/>
    <w:rsid w:val="00FD4A44"/>
    <w:rsid w:val="00FD541A"/>
    <w:rsid w:val="00FD5599"/>
    <w:rsid w:val="00FD66E2"/>
    <w:rsid w:val="00FE1093"/>
    <w:rsid w:val="00FE1B2C"/>
    <w:rsid w:val="00FE3074"/>
    <w:rsid w:val="00FE4A83"/>
    <w:rsid w:val="00FE5B0E"/>
    <w:rsid w:val="00FF159D"/>
    <w:rsid w:val="00FF38F1"/>
    <w:rsid w:val="00FF43B2"/>
    <w:rsid w:val="00FF54B9"/>
    <w:rsid w:val="00FF693E"/>
    <w:rsid w:val="00FF7B2C"/>
    <w:rsid w:val="00FF7EE1"/>
    <w:rsid w:val="011C4CE0"/>
    <w:rsid w:val="01815D11"/>
    <w:rsid w:val="018501D7"/>
    <w:rsid w:val="019976DF"/>
    <w:rsid w:val="01B97B51"/>
    <w:rsid w:val="0211605B"/>
    <w:rsid w:val="022E118C"/>
    <w:rsid w:val="023F3C09"/>
    <w:rsid w:val="02494EAB"/>
    <w:rsid w:val="0289105B"/>
    <w:rsid w:val="03254534"/>
    <w:rsid w:val="03552817"/>
    <w:rsid w:val="037E06C9"/>
    <w:rsid w:val="03BF0E42"/>
    <w:rsid w:val="03D36888"/>
    <w:rsid w:val="03FD316C"/>
    <w:rsid w:val="0431192B"/>
    <w:rsid w:val="04805232"/>
    <w:rsid w:val="04BA432B"/>
    <w:rsid w:val="04DB0651"/>
    <w:rsid w:val="04E12A7C"/>
    <w:rsid w:val="055301AF"/>
    <w:rsid w:val="056A5C37"/>
    <w:rsid w:val="05966896"/>
    <w:rsid w:val="05A260BD"/>
    <w:rsid w:val="063F6C05"/>
    <w:rsid w:val="064076F6"/>
    <w:rsid w:val="06535E86"/>
    <w:rsid w:val="066F5387"/>
    <w:rsid w:val="06940870"/>
    <w:rsid w:val="0695777D"/>
    <w:rsid w:val="06E77E7D"/>
    <w:rsid w:val="073118DD"/>
    <w:rsid w:val="07467C81"/>
    <w:rsid w:val="076245A4"/>
    <w:rsid w:val="076430D9"/>
    <w:rsid w:val="080C46B4"/>
    <w:rsid w:val="081569BF"/>
    <w:rsid w:val="08171526"/>
    <w:rsid w:val="084B6CA0"/>
    <w:rsid w:val="08873BD2"/>
    <w:rsid w:val="089F1DC3"/>
    <w:rsid w:val="08AF007A"/>
    <w:rsid w:val="08DC2F7B"/>
    <w:rsid w:val="08EA64E9"/>
    <w:rsid w:val="091664EF"/>
    <w:rsid w:val="09352A8E"/>
    <w:rsid w:val="093D63DB"/>
    <w:rsid w:val="09465332"/>
    <w:rsid w:val="095247CE"/>
    <w:rsid w:val="0965010C"/>
    <w:rsid w:val="097B191A"/>
    <w:rsid w:val="097B1985"/>
    <w:rsid w:val="09E802D7"/>
    <w:rsid w:val="0A286AFD"/>
    <w:rsid w:val="0A970851"/>
    <w:rsid w:val="0A9B00BB"/>
    <w:rsid w:val="0AA819A1"/>
    <w:rsid w:val="0ACF0D68"/>
    <w:rsid w:val="0AD30B97"/>
    <w:rsid w:val="0B85103A"/>
    <w:rsid w:val="0BAA5656"/>
    <w:rsid w:val="0BFE38B9"/>
    <w:rsid w:val="0C96182C"/>
    <w:rsid w:val="0CDE4C19"/>
    <w:rsid w:val="0D110E48"/>
    <w:rsid w:val="0D1351A0"/>
    <w:rsid w:val="0D293496"/>
    <w:rsid w:val="0D2E1D3E"/>
    <w:rsid w:val="0D625C40"/>
    <w:rsid w:val="0D7B1395"/>
    <w:rsid w:val="0DB1640A"/>
    <w:rsid w:val="0DBC5E31"/>
    <w:rsid w:val="0E0115AB"/>
    <w:rsid w:val="0E18129F"/>
    <w:rsid w:val="0E3249F6"/>
    <w:rsid w:val="0E564DD8"/>
    <w:rsid w:val="0E730017"/>
    <w:rsid w:val="0EAD1857"/>
    <w:rsid w:val="0EDF0664"/>
    <w:rsid w:val="0EF71239"/>
    <w:rsid w:val="0EF77148"/>
    <w:rsid w:val="0F135B12"/>
    <w:rsid w:val="0F4F33AD"/>
    <w:rsid w:val="0F762EF7"/>
    <w:rsid w:val="0FEE29F6"/>
    <w:rsid w:val="10175612"/>
    <w:rsid w:val="10205CF2"/>
    <w:rsid w:val="1040753E"/>
    <w:rsid w:val="1044379E"/>
    <w:rsid w:val="105355D0"/>
    <w:rsid w:val="10636E9B"/>
    <w:rsid w:val="106377E6"/>
    <w:rsid w:val="10985E83"/>
    <w:rsid w:val="10A12F4F"/>
    <w:rsid w:val="10AE3848"/>
    <w:rsid w:val="10C64997"/>
    <w:rsid w:val="10E92BE2"/>
    <w:rsid w:val="11494AEB"/>
    <w:rsid w:val="11BA2787"/>
    <w:rsid w:val="121976A7"/>
    <w:rsid w:val="122C3DE0"/>
    <w:rsid w:val="123B1276"/>
    <w:rsid w:val="1293633C"/>
    <w:rsid w:val="129B1E88"/>
    <w:rsid w:val="12D44875"/>
    <w:rsid w:val="12EA4D6C"/>
    <w:rsid w:val="13053966"/>
    <w:rsid w:val="132B2D0A"/>
    <w:rsid w:val="1330400B"/>
    <w:rsid w:val="136B4CAC"/>
    <w:rsid w:val="137C6268"/>
    <w:rsid w:val="137E3EE3"/>
    <w:rsid w:val="13D16840"/>
    <w:rsid w:val="14166FC1"/>
    <w:rsid w:val="14443037"/>
    <w:rsid w:val="14866E6B"/>
    <w:rsid w:val="14BB161A"/>
    <w:rsid w:val="15505B7C"/>
    <w:rsid w:val="15757A4B"/>
    <w:rsid w:val="15D00EEA"/>
    <w:rsid w:val="15FA0A51"/>
    <w:rsid w:val="1630715A"/>
    <w:rsid w:val="1640187C"/>
    <w:rsid w:val="16584589"/>
    <w:rsid w:val="1678174D"/>
    <w:rsid w:val="168A2ED6"/>
    <w:rsid w:val="16DB1293"/>
    <w:rsid w:val="16E25FA5"/>
    <w:rsid w:val="1718244E"/>
    <w:rsid w:val="171A4173"/>
    <w:rsid w:val="17303631"/>
    <w:rsid w:val="1734478B"/>
    <w:rsid w:val="17472494"/>
    <w:rsid w:val="17561A66"/>
    <w:rsid w:val="17811ABB"/>
    <w:rsid w:val="17922547"/>
    <w:rsid w:val="17AC2E19"/>
    <w:rsid w:val="18231030"/>
    <w:rsid w:val="183E68A8"/>
    <w:rsid w:val="18891143"/>
    <w:rsid w:val="188F4B2B"/>
    <w:rsid w:val="189579A7"/>
    <w:rsid w:val="18A52931"/>
    <w:rsid w:val="18C03BCE"/>
    <w:rsid w:val="18D02C5A"/>
    <w:rsid w:val="1919451A"/>
    <w:rsid w:val="191F46F3"/>
    <w:rsid w:val="197C7149"/>
    <w:rsid w:val="199B71C2"/>
    <w:rsid w:val="19AB3C78"/>
    <w:rsid w:val="19FD0337"/>
    <w:rsid w:val="1A0D384B"/>
    <w:rsid w:val="1A162679"/>
    <w:rsid w:val="1A25218F"/>
    <w:rsid w:val="1A2C78E7"/>
    <w:rsid w:val="1A3F0DBB"/>
    <w:rsid w:val="1A7A0AB9"/>
    <w:rsid w:val="1A8A7DAD"/>
    <w:rsid w:val="1AE946D3"/>
    <w:rsid w:val="1AFB1F43"/>
    <w:rsid w:val="1B14457A"/>
    <w:rsid w:val="1B280373"/>
    <w:rsid w:val="1BA0427D"/>
    <w:rsid w:val="1BC53862"/>
    <w:rsid w:val="1BE9654D"/>
    <w:rsid w:val="1C113C5F"/>
    <w:rsid w:val="1C232C24"/>
    <w:rsid w:val="1C492C98"/>
    <w:rsid w:val="1C4B1025"/>
    <w:rsid w:val="1C66500F"/>
    <w:rsid w:val="1C9A7EBC"/>
    <w:rsid w:val="1CA37593"/>
    <w:rsid w:val="1CB85F11"/>
    <w:rsid w:val="1CEF07CD"/>
    <w:rsid w:val="1CF10ED7"/>
    <w:rsid w:val="1D092FBF"/>
    <w:rsid w:val="1D155BB5"/>
    <w:rsid w:val="1D6230C1"/>
    <w:rsid w:val="1DDD0716"/>
    <w:rsid w:val="1E111AF3"/>
    <w:rsid w:val="1E1F1FE0"/>
    <w:rsid w:val="1E3E49F9"/>
    <w:rsid w:val="1E6B1DA2"/>
    <w:rsid w:val="1EB02FA7"/>
    <w:rsid w:val="1F0253BA"/>
    <w:rsid w:val="1F046E55"/>
    <w:rsid w:val="1F206B53"/>
    <w:rsid w:val="1F914451"/>
    <w:rsid w:val="1F93729F"/>
    <w:rsid w:val="1FC93E8D"/>
    <w:rsid w:val="1FE81EA3"/>
    <w:rsid w:val="200C2834"/>
    <w:rsid w:val="202E69F9"/>
    <w:rsid w:val="202E7115"/>
    <w:rsid w:val="207A4F82"/>
    <w:rsid w:val="20C30D1C"/>
    <w:rsid w:val="20C93B3D"/>
    <w:rsid w:val="20D919BC"/>
    <w:rsid w:val="20F609F7"/>
    <w:rsid w:val="219A56BA"/>
    <w:rsid w:val="21F74B95"/>
    <w:rsid w:val="220019DA"/>
    <w:rsid w:val="223A22C0"/>
    <w:rsid w:val="2243467D"/>
    <w:rsid w:val="227D3527"/>
    <w:rsid w:val="22AF202D"/>
    <w:rsid w:val="22EE6CE9"/>
    <w:rsid w:val="232C255C"/>
    <w:rsid w:val="238C4EC0"/>
    <w:rsid w:val="23925395"/>
    <w:rsid w:val="2392582D"/>
    <w:rsid w:val="23AF5CC1"/>
    <w:rsid w:val="23C967AF"/>
    <w:rsid w:val="23F27FE1"/>
    <w:rsid w:val="242B5315"/>
    <w:rsid w:val="2431700F"/>
    <w:rsid w:val="24971029"/>
    <w:rsid w:val="24A2595B"/>
    <w:rsid w:val="24AF068C"/>
    <w:rsid w:val="24C677EB"/>
    <w:rsid w:val="24F26C50"/>
    <w:rsid w:val="25242551"/>
    <w:rsid w:val="25347374"/>
    <w:rsid w:val="255A1483"/>
    <w:rsid w:val="255F059D"/>
    <w:rsid w:val="25792174"/>
    <w:rsid w:val="257C22AF"/>
    <w:rsid w:val="257F173A"/>
    <w:rsid w:val="25832276"/>
    <w:rsid w:val="25B55DE8"/>
    <w:rsid w:val="25D67ADA"/>
    <w:rsid w:val="25EA65B3"/>
    <w:rsid w:val="2610692C"/>
    <w:rsid w:val="261B174E"/>
    <w:rsid w:val="262D27D3"/>
    <w:rsid w:val="262E7C72"/>
    <w:rsid w:val="267A4013"/>
    <w:rsid w:val="26915BBB"/>
    <w:rsid w:val="26D2767C"/>
    <w:rsid w:val="26D56CAD"/>
    <w:rsid w:val="26E727A3"/>
    <w:rsid w:val="27220587"/>
    <w:rsid w:val="27481706"/>
    <w:rsid w:val="27722906"/>
    <w:rsid w:val="27A61F5A"/>
    <w:rsid w:val="27AC50A7"/>
    <w:rsid w:val="27B36CF2"/>
    <w:rsid w:val="27D922A7"/>
    <w:rsid w:val="27F945AE"/>
    <w:rsid w:val="28222D87"/>
    <w:rsid w:val="28304560"/>
    <w:rsid w:val="285C7B2A"/>
    <w:rsid w:val="28701479"/>
    <w:rsid w:val="287D6117"/>
    <w:rsid w:val="289B20E1"/>
    <w:rsid w:val="28F273BC"/>
    <w:rsid w:val="2A432A25"/>
    <w:rsid w:val="2A5805D0"/>
    <w:rsid w:val="2A5C5823"/>
    <w:rsid w:val="2A70086B"/>
    <w:rsid w:val="2A973BBB"/>
    <w:rsid w:val="2A975FAC"/>
    <w:rsid w:val="2ACF6EB9"/>
    <w:rsid w:val="2B0258B4"/>
    <w:rsid w:val="2B042634"/>
    <w:rsid w:val="2B382A1D"/>
    <w:rsid w:val="2B396AD4"/>
    <w:rsid w:val="2B497030"/>
    <w:rsid w:val="2B876FDF"/>
    <w:rsid w:val="2B9357BD"/>
    <w:rsid w:val="2C1E3945"/>
    <w:rsid w:val="2C3B542F"/>
    <w:rsid w:val="2C581EBD"/>
    <w:rsid w:val="2C7F509F"/>
    <w:rsid w:val="2CB767BC"/>
    <w:rsid w:val="2CBF362E"/>
    <w:rsid w:val="2CD1227C"/>
    <w:rsid w:val="2CEB7CC9"/>
    <w:rsid w:val="2CFC6FBE"/>
    <w:rsid w:val="2D1D6B90"/>
    <w:rsid w:val="2D3D3E01"/>
    <w:rsid w:val="2D50045D"/>
    <w:rsid w:val="2DB11BEF"/>
    <w:rsid w:val="2DB2388D"/>
    <w:rsid w:val="2DCB2313"/>
    <w:rsid w:val="2DE469B4"/>
    <w:rsid w:val="2E1F5A81"/>
    <w:rsid w:val="2E7B08FC"/>
    <w:rsid w:val="2E7C386F"/>
    <w:rsid w:val="2E8E3679"/>
    <w:rsid w:val="2E9059D0"/>
    <w:rsid w:val="2E9544A9"/>
    <w:rsid w:val="2EA25C4E"/>
    <w:rsid w:val="2EE5408B"/>
    <w:rsid w:val="2EF9635C"/>
    <w:rsid w:val="2F010B99"/>
    <w:rsid w:val="2F576692"/>
    <w:rsid w:val="2F7D31DD"/>
    <w:rsid w:val="2F841A36"/>
    <w:rsid w:val="2FBB2639"/>
    <w:rsid w:val="2FC62DA8"/>
    <w:rsid w:val="2FD20C7E"/>
    <w:rsid w:val="2FDC4032"/>
    <w:rsid w:val="301A50D0"/>
    <w:rsid w:val="301D7B02"/>
    <w:rsid w:val="302B7D44"/>
    <w:rsid w:val="303C1CF8"/>
    <w:rsid w:val="304A65C1"/>
    <w:rsid w:val="304B29A0"/>
    <w:rsid w:val="30503A16"/>
    <w:rsid w:val="309A6261"/>
    <w:rsid w:val="30CA46DB"/>
    <w:rsid w:val="30CC72F2"/>
    <w:rsid w:val="312E25D8"/>
    <w:rsid w:val="3150022B"/>
    <w:rsid w:val="315D4FD3"/>
    <w:rsid w:val="318F3C7B"/>
    <w:rsid w:val="31A10B0D"/>
    <w:rsid w:val="31A51CA3"/>
    <w:rsid w:val="31B0692E"/>
    <w:rsid w:val="31CB2FC8"/>
    <w:rsid w:val="31DC44BA"/>
    <w:rsid w:val="31EC2F41"/>
    <w:rsid w:val="32043729"/>
    <w:rsid w:val="322E70C9"/>
    <w:rsid w:val="3253482F"/>
    <w:rsid w:val="32706E09"/>
    <w:rsid w:val="32B50B05"/>
    <w:rsid w:val="32B653B6"/>
    <w:rsid w:val="3300748F"/>
    <w:rsid w:val="3319479D"/>
    <w:rsid w:val="3339402F"/>
    <w:rsid w:val="334E339F"/>
    <w:rsid w:val="33686885"/>
    <w:rsid w:val="338107BF"/>
    <w:rsid w:val="33B34B5D"/>
    <w:rsid w:val="342D7516"/>
    <w:rsid w:val="343E2C24"/>
    <w:rsid w:val="34667B13"/>
    <w:rsid w:val="348E71A3"/>
    <w:rsid w:val="349464F6"/>
    <w:rsid w:val="34C61EB9"/>
    <w:rsid w:val="34EF54F3"/>
    <w:rsid w:val="34EF721B"/>
    <w:rsid w:val="34FE4132"/>
    <w:rsid w:val="35313F9C"/>
    <w:rsid w:val="35354863"/>
    <w:rsid w:val="35365EB1"/>
    <w:rsid w:val="35370332"/>
    <w:rsid w:val="358647D1"/>
    <w:rsid w:val="358A38F4"/>
    <w:rsid w:val="35B84885"/>
    <w:rsid w:val="36044203"/>
    <w:rsid w:val="361B12C6"/>
    <w:rsid w:val="3672604E"/>
    <w:rsid w:val="36755480"/>
    <w:rsid w:val="36AB18EF"/>
    <w:rsid w:val="36E02BB1"/>
    <w:rsid w:val="36F46CB4"/>
    <w:rsid w:val="36FA207E"/>
    <w:rsid w:val="3751733A"/>
    <w:rsid w:val="37E41CE7"/>
    <w:rsid w:val="380A1A69"/>
    <w:rsid w:val="380C7580"/>
    <w:rsid w:val="38114C66"/>
    <w:rsid w:val="38173412"/>
    <w:rsid w:val="38201DF1"/>
    <w:rsid w:val="389922EE"/>
    <w:rsid w:val="38A75503"/>
    <w:rsid w:val="38D3005C"/>
    <w:rsid w:val="38E4732A"/>
    <w:rsid w:val="38FB761B"/>
    <w:rsid w:val="39042F32"/>
    <w:rsid w:val="39C15473"/>
    <w:rsid w:val="39F10A33"/>
    <w:rsid w:val="3A1A2077"/>
    <w:rsid w:val="3A1C104D"/>
    <w:rsid w:val="3A2E0753"/>
    <w:rsid w:val="3A6A4418"/>
    <w:rsid w:val="3A8252B8"/>
    <w:rsid w:val="3A8F451A"/>
    <w:rsid w:val="3AA95E95"/>
    <w:rsid w:val="3ABD3C15"/>
    <w:rsid w:val="3AEA5509"/>
    <w:rsid w:val="3B105229"/>
    <w:rsid w:val="3B317355"/>
    <w:rsid w:val="3B521AD8"/>
    <w:rsid w:val="3B7E0429"/>
    <w:rsid w:val="3BB3089B"/>
    <w:rsid w:val="3BCF48EB"/>
    <w:rsid w:val="3BE276A0"/>
    <w:rsid w:val="3C7D6F4F"/>
    <w:rsid w:val="3CA80765"/>
    <w:rsid w:val="3CFE5F5D"/>
    <w:rsid w:val="3D15068B"/>
    <w:rsid w:val="3DC36807"/>
    <w:rsid w:val="3DCA3D00"/>
    <w:rsid w:val="3DDA6A92"/>
    <w:rsid w:val="3E3A79FE"/>
    <w:rsid w:val="3E4E2B2A"/>
    <w:rsid w:val="3E503C9C"/>
    <w:rsid w:val="3E681673"/>
    <w:rsid w:val="3EB167F8"/>
    <w:rsid w:val="3F2563AD"/>
    <w:rsid w:val="3F307C8A"/>
    <w:rsid w:val="3F944B70"/>
    <w:rsid w:val="3F9A134C"/>
    <w:rsid w:val="3FFA1080"/>
    <w:rsid w:val="40122870"/>
    <w:rsid w:val="40190C81"/>
    <w:rsid w:val="40563910"/>
    <w:rsid w:val="40563F28"/>
    <w:rsid w:val="409067C7"/>
    <w:rsid w:val="409B60FD"/>
    <w:rsid w:val="409C654A"/>
    <w:rsid w:val="41427788"/>
    <w:rsid w:val="41580950"/>
    <w:rsid w:val="417B255F"/>
    <w:rsid w:val="41824001"/>
    <w:rsid w:val="41D54DB1"/>
    <w:rsid w:val="41FB5B1A"/>
    <w:rsid w:val="42193DD3"/>
    <w:rsid w:val="422B7AF9"/>
    <w:rsid w:val="4385024B"/>
    <w:rsid w:val="43C87AB4"/>
    <w:rsid w:val="44294B7A"/>
    <w:rsid w:val="442A2AAB"/>
    <w:rsid w:val="44867AD4"/>
    <w:rsid w:val="44C10726"/>
    <w:rsid w:val="44C30BAE"/>
    <w:rsid w:val="44EE1426"/>
    <w:rsid w:val="452E5D88"/>
    <w:rsid w:val="45333A05"/>
    <w:rsid w:val="45551E9B"/>
    <w:rsid w:val="4581216E"/>
    <w:rsid w:val="461F4D66"/>
    <w:rsid w:val="46BA09DE"/>
    <w:rsid w:val="47132DCC"/>
    <w:rsid w:val="472612A1"/>
    <w:rsid w:val="47422F5B"/>
    <w:rsid w:val="475B1027"/>
    <w:rsid w:val="47783DE6"/>
    <w:rsid w:val="47973DF8"/>
    <w:rsid w:val="47C71D2E"/>
    <w:rsid w:val="480D03EB"/>
    <w:rsid w:val="48D83B2D"/>
    <w:rsid w:val="48F41599"/>
    <w:rsid w:val="49402646"/>
    <w:rsid w:val="49584D91"/>
    <w:rsid w:val="499B48DE"/>
    <w:rsid w:val="49BB5D15"/>
    <w:rsid w:val="4A0623E8"/>
    <w:rsid w:val="4A107D83"/>
    <w:rsid w:val="4A4B636D"/>
    <w:rsid w:val="4A586703"/>
    <w:rsid w:val="4A9B4293"/>
    <w:rsid w:val="4AC5320F"/>
    <w:rsid w:val="4ADC0A64"/>
    <w:rsid w:val="4AE64EED"/>
    <w:rsid w:val="4AF42035"/>
    <w:rsid w:val="4B2A483E"/>
    <w:rsid w:val="4BA55F9D"/>
    <w:rsid w:val="4BC62575"/>
    <w:rsid w:val="4BE765BA"/>
    <w:rsid w:val="4C89775B"/>
    <w:rsid w:val="4CE53991"/>
    <w:rsid w:val="4CE66A36"/>
    <w:rsid w:val="4DA55DD0"/>
    <w:rsid w:val="4DA91DD3"/>
    <w:rsid w:val="4DD76B06"/>
    <w:rsid w:val="4E0B7FB7"/>
    <w:rsid w:val="4E1277B0"/>
    <w:rsid w:val="4E346130"/>
    <w:rsid w:val="4E4C5979"/>
    <w:rsid w:val="4E7C2084"/>
    <w:rsid w:val="4EA423EB"/>
    <w:rsid w:val="4EAA39B4"/>
    <w:rsid w:val="4EAC658E"/>
    <w:rsid w:val="4EEE3732"/>
    <w:rsid w:val="4EF90C97"/>
    <w:rsid w:val="4F006D97"/>
    <w:rsid w:val="4F480F7A"/>
    <w:rsid w:val="4FB918E2"/>
    <w:rsid w:val="4FC7008D"/>
    <w:rsid w:val="4FE55FC4"/>
    <w:rsid w:val="5022482D"/>
    <w:rsid w:val="50352445"/>
    <w:rsid w:val="50422D17"/>
    <w:rsid w:val="50731C3A"/>
    <w:rsid w:val="5082091A"/>
    <w:rsid w:val="50845EB0"/>
    <w:rsid w:val="50B84CEF"/>
    <w:rsid w:val="50BE4C2D"/>
    <w:rsid w:val="50D13482"/>
    <w:rsid w:val="50DA7B7A"/>
    <w:rsid w:val="50F659F1"/>
    <w:rsid w:val="511E11A7"/>
    <w:rsid w:val="51680B2D"/>
    <w:rsid w:val="518D3C2F"/>
    <w:rsid w:val="51A8385F"/>
    <w:rsid w:val="51CB3C1B"/>
    <w:rsid w:val="51E47051"/>
    <w:rsid w:val="521722E0"/>
    <w:rsid w:val="52385975"/>
    <w:rsid w:val="526458A5"/>
    <w:rsid w:val="528F2955"/>
    <w:rsid w:val="531113D4"/>
    <w:rsid w:val="531311BD"/>
    <w:rsid w:val="532D0747"/>
    <w:rsid w:val="537327A6"/>
    <w:rsid w:val="53801E4F"/>
    <w:rsid w:val="539F63E5"/>
    <w:rsid w:val="53A81F6C"/>
    <w:rsid w:val="53B7187A"/>
    <w:rsid w:val="54171639"/>
    <w:rsid w:val="54743C06"/>
    <w:rsid w:val="54F7546D"/>
    <w:rsid w:val="5570404A"/>
    <w:rsid w:val="558B17B1"/>
    <w:rsid w:val="55C27C38"/>
    <w:rsid w:val="55CF3F93"/>
    <w:rsid w:val="55E06F25"/>
    <w:rsid w:val="55E61660"/>
    <w:rsid w:val="560627D8"/>
    <w:rsid w:val="56377721"/>
    <w:rsid w:val="563E61A5"/>
    <w:rsid w:val="56615890"/>
    <w:rsid w:val="56C11AF3"/>
    <w:rsid w:val="5711240F"/>
    <w:rsid w:val="572C0070"/>
    <w:rsid w:val="573751BE"/>
    <w:rsid w:val="576676C4"/>
    <w:rsid w:val="57741183"/>
    <w:rsid w:val="577A2F87"/>
    <w:rsid w:val="57987837"/>
    <w:rsid w:val="57A402EF"/>
    <w:rsid w:val="57BF3107"/>
    <w:rsid w:val="57DB271C"/>
    <w:rsid w:val="5820648D"/>
    <w:rsid w:val="583579A6"/>
    <w:rsid w:val="58637D8E"/>
    <w:rsid w:val="586E483B"/>
    <w:rsid w:val="58C82AB4"/>
    <w:rsid w:val="59132A78"/>
    <w:rsid w:val="59483892"/>
    <w:rsid w:val="59786D98"/>
    <w:rsid w:val="59AC2DD5"/>
    <w:rsid w:val="59B3287C"/>
    <w:rsid w:val="59C717FE"/>
    <w:rsid w:val="59E268D4"/>
    <w:rsid w:val="59E65452"/>
    <w:rsid w:val="5A663081"/>
    <w:rsid w:val="5A857729"/>
    <w:rsid w:val="5AA62387"/>
    <w:rsid w:val="5AB839DF"/>
    <w:rsid w:val="5B01367D"/>
    <w:rsid w:val="5B0214E4"/>
    <w:rsid w:val="5B136F0D"/>
    <w:rsid w:val="5B2315B3"/>
    <w:rsid w:val="5BC921D4"/>
    <w:rsid w:val="5C0D09E5"/>
    <w:rsid w:val="5C1D49CE"/>
    <w:rsid w:val="5C3F5881"/>
    <w:rsid w:val="5C4127FF"/>
    <w:rsid w:val="5C51666F"/>
    <w:rsid w:val="5C6824DE"/>
    <w:rsid w:val="5C8F3CBF"/>
    <w:rsid w:val="5CA70749"/>
    <w:rsid w:val="5CB670CD"/>
    <w:rsid w:val="5D005646"/>
    <w:rsid w:val="5D355346"/>
    <w:rsid w:val="5D455DD6"/>
    <w:rsid w:val="5D5C3B7F"/>
    <w:rsid w:val="5D5D1D9C"/>
    <w:rsid w:val="5D86327D"/>
    <w:rsid w:val="5D8F5CF3"/>
    <w:rsid w:val="5DA41116"/>
    <w:rsid w:val="5DA41811"/>
    <w:rsid w:val="5DAD705C"/>
    <w:rsid w:val="5DFC52C0"/>
    <w:rsid w:val="5E1D79D5"/>
    <w:rsid w:val="5E263845"/>
    <w:rsid w:val="5E303F03"/>
    <w:rsid w:val="5E3B6B77"/>
    <w:rsid w:val="5EDC09D0"/>
    <w:rsid w:val="5F11293C"/>
    <w:rsid w:val="5F352513"/>
    <w:rsid w:val="5F667B53"/>
    <w:rsid w:val="5FC768FF"/>
    <w:rsid w:val="5FED1035"/>
    <w:rsid w:val="604B3B4F"/>
    <w:rsid w:val="604C4C33"/>
    <w:rsid w:val="604C7CBE"/>
    <w:rsid w:val="605B1A8E"/>
    <w:rsid w:val="60924BA4"/>
    <w:rsid w:val="61386184"/>
    <w:rsid w:val="61513185"/>
    <w:rsid w:val="617A4B5C"/>
    <w:rsid w:val="61DC1174"/>
    <w:rsid w:val="62033C52"/>
    <w:rsid w:val="620E367A"/>
    <w:rsid w:val="62450503"/>
    <w:rsid w:val="62580B9F"/>
    <w:rsid w:val="627F1628"/>
    <w:rsid w:val="62861BE8"/>
    <w:rsid w:val="62BD667F"/>
    <w:rsid w:val="62DF3EC6"/>
    <w:rsid w:val="62F7046B"/>
    <w:rsid w:val="62FE3160"/>
    <w:rsid w:val="62FF09BD"/>
    <w:rsid w:val="63240741"/>
    <w:rsid w:val="633A5414"/>
    <w:rsid w:val="63AD6B08"/>
    <w:rsid w:val="63EE5729"/>
    <w:rsid w:val="640229B7"/>
    <w:rsid w:val="64076D91"/>
    <w:rsid w:val="64325FAA"/>
    <w:rsid w:val="643805DD"/>
    <w:rsid w:val="64793419"/>
    <w:rsid w:val="64A07383"/>
    <w:rsid w:val="64CC347E"/>
    <w:rsid w:val="64ED3277"/>
    <w:rsid w:val="6509742B"/>
    <w:rsid w:val="65255D2C"/>
    <w:rsid w:val="653E72CE"/>
    <w:rsid w:val="657274B0"/>
    <w:rsid w:val="65E222EB"/>
    <w:rsid w:val="660507CF"/>
    <w:rsid w:val="660B2763"/>
    <w:rsid w:val="66321F8D"/>
    <w:rsid w:val="663463E2"/>
    <w:rsid w:val="66670E41"/>
    <w:rsid w:val="66AC114F"/>
    <w:rsid w:val="67042F1C"/>
    <w:rsid w:val="67137813"/>
    <w:rsid w:val="671C6F7E"/>
    <w:rsid w:val="673A1AB6"/>
    <w:rsid w:val="67736F69"/>
    <w:rsid w:val="67E07A3D"/>
    <w:rsid w:val="67ED3405"/>
    <w:rsid w:val="683D4176"/>
    <w:rsid w:val="684B4803"/>
    <w:rsid w:val="688007EE"/>
    <w:rsid w:val="6880789D"/>
    <w:rsid w:val="6895525B"/>
    <w:rsid w:val="689D2BCD"/>
    <w:rsid w:val="68B14215"/>
    <w:rsid w:val="68B66794"/>
    <w:rsid w:val="691130C1"/>
    <w:rsid w:val="69200D44"/>
    <w:rsid w:val="69504E29"/>
    <w:rsid w:val="69660969"/>
    <w:rsid w:val="69925135"/>
    <w:rsid w:val="699500AE"/>
    <w:rsid w:val="699B6865"/>
    <w:rsid w:val="69D958BF"/>
    <w:rsid w:val="6A0A63F4"/>
    <w:rsid w:val="6A29568D"/>
    <w:rsid w:val="6A444F44"/>
    <w:rsid w:val="6A807B52"/>
    <w:rsid w:val="6AAF6B3C"/>
    <w:rsid w:val="6AC104C9"/>
    <w:rsid w:val="6AE0714C"/>
    <w:rsid w:val="6AF659B8"/>
    <w:rsid w:val="6B12145E"/>
    <w:rsid w:val="6B277F81"/>
    <w:rsid w:val="6B4553EE"/>
    <w:rsid w:val="6B6041A6"/>
    <w:rsid w:val="6BC261CA"/>
    <w:rsid w:val="6BE02E5F"/>
    <w:rsid w:val="6C621A3B"/>
    <w:rsid w:val="6C6E7375"/>
    <w:rsid w:val="6C881035"/>
    <w:rsid w:val="6C8E0523"/>
    <w:rsid w:val="6CA66381"/>
    <w:rsid w:val="6CAA1191"/>
    <w:rsid w:val="6CAC1953"/>
    <w:rsid w:val="6CB07A5E"/>
    <w:rsid w:val="6CB82968"/>
    <w:rsid w:val="6D2938FC"/>
    <w:rsid w:val="6D560F49"/>
    <w:rsid w:val="6D9F6C9E"/>
    <w:rsid w:val="6E027DAF"/>
    <w:rsid w:val="6E4A14CE"/>
    <w:rsid w:val="6E535D18"/>
    <w:rsid w:val="6E784F9E"/>
    <w:rsid w:val="6E87224F"/>
    <w:rsid w:val="6EAE25EB"/>
    <w:rsid w:val="6ED25F21"/>
    <w:rsid w:val="6ED854A5"/>
    <w:rsid w:val="6EE164ED"/>
    <w:rsid w:val="6EFF6107"/>
    <w:rsid w:val="6F281788"/>
    <w:rsid w:val="6F2A7484"/>
    <w:rsid w:val="6F401571"/>
    <w:rsid w:val="6F8B0D26"/>
    <w:rsid w:val="6FA209AA"/>
    <w:rsid w:val="703D1C7D"/>
    <w:rsid w:val="70557428"/>
    <w:rsid w:val="706627F5"/>
    <w:rsid w:val="70D07AB4"/>
    <w:rsid w:val="71481E25"/>
    <w:rsid w:val="714F0A43"/>
    <w:rsid w:val="716437C9"/>
    <w:rsid w:val="716925ED"/>
    <w:rsid w:val="71D972F7"/>
    <w:rsid w:val="72134882"/>
    <w:rsid w:val="721440E8"/>
    <w:rsid w:val="72D514F7"/>
    <w:rsid w:val="730F7A62"/>
    <w:rsid w:val="732E1F2B"/>
    <w:rsid w:val="735B3497"/>
    <w:rsid w:val="73C43C3D"/>
    <w:rsid w:val="73D32CDD"/>
    <w:rsid w:val="73DE21E4"/>
    <w:rsid w:val="73E60902"/>
    <w:rsid w:val="74531068"/>
    <w:rsid w:val="748C1266"/>
    <w:rsid w:val="74917E3D"/>
    <w:rsid w:val="74D65307"/>
    <w:rsid w:val="74D6608D"/>
    <w:rsid w:val="74F75691"/>
    <w:rsid w:val="752B17C0"/>
    <w:rsid w:val="75437485"/>
    <w:rsid w:val="759B2239"/>
    <w:rsid w:val="75B52D28"/>
    <w:rsid w:val="761A65A0"/>
    <w:rsid w:val="7621477C"/>
    <w:rsid w:val="76307CE4"/>
    <w:rsid w:val="76426500"/>
    <w:rsid w:val="76685121"/>
    <w:rsid w:val="767A0272"/>
    <w:rsid w:val="76AB6032"/>
    <w:rsid w:val="76BD6EE7"/>
    <w:rsid w:val="77225253"/>
    <w:rsid w:val="7744200E"/>
    <w:rsid w:val="77480C2D"/>
    <w:rsid w:val="778E2879"/>
    <w:rsid w:val="779E04D0"/>
    <w:rsid w:val="77DA2F50"/>
    <w:rsid w:val="77F7148B"/>
    <w:rsid w:val="7811755F"/>
    <w:rsid w:val="783D7F8D"/>
    <w:rsid w:val="78576C29"/>
    <w:rsid w:val="786431E9"/>
    <w:rsid w:val="78BD3097"/>
    <w:rsid w:val="78E514BF"/>
    <w:rsid w:val="7925792C"/>
    <w:rsid w:val="79262D3D"/>
    <w:rsid w:val="792857C4"/>
    <w:rsid w:val="792F35E5"/>
    <w:rsid w:val="79D21F00"/>
    <w:rsid w:val="79D3665E"/>
    <w:rsid w:val="7A155A95"/>
    <w:rsid w:val="7A296B84"/>
    <w:rsid w:val="7A3012C6"/>
    <w:rsid w:val="7A4F4045"/>
    <w:rsid w:val="7A6452EE"/>
    <w:rsid w:val="7A9C1191"/>
    <w:rsid w:val="7AA66F71"/>
    <w:rsid w:val="7ACB4A94"/>
    <w:rsid w:val="7AE65A86"/>
    <w:rsid w:val="7AFE2C3C"/>
    <w:rsid w:val="7B006599"/>
    <w:rsid w:val="7B140822"/>
    <w:rsid w:val="7B301E3F"/>
    <w:rsid w:val="7B4F46E2"/>
    <w:rsid w:val="7B733713"/>
    <w:rsid w:val="7B9F3CEC"/>
    <w:rsid w:val="7BAA5A1F"/>
    <w:rsid w:val="7BD13B29"/>
    <w:rsid w:val="7BEC2350"/>
    <w:rsid w:val="7C0E7C51"/>
    <w:rsid w:val="7C4D1C08"/>
    <w:rsid w:val="7C8619E3"/>
    <w:rsid w:val="7C895230"/>
    <w:rsid w:val="7D0459C6"/>
    <w:rsid w:val="7D052701"/>
    <w:rsid w:val="7D1B3D2D"/>
    <w:rsid w:val="7D2155E0"/>
    <w:rsid w:val="7D383A33"/>
    <w:rsid w:val="7D50592E"/>
    <w:rsid w:val="7D8E2B19"/>
    <w:rsid w:val="7DB62F24"/>
    <w:rsid w:val="7E182FC5"/>
    <w:rsid w:val="7E234C22"/>
    <w:rsid w:val="7E3B666D"/>
    <w:rsid w:val="7E7B587C"/>
    <w:rsid w:val="7EE42C8C"/>
    <w:rsid w:val="7EF7588D"/>
    <w:rsid w:val="7F2D7A28"/>
    <w:rsid w:val="7F47793B"/>
    <w:rsid w:val="7F543252"/>
    <w:rsid w:val="7F5B707B"/>
    <w:rsid w:val="7FA728CA"/>
    <w:rsid w:val="7FE77D36"/>
    <w:rsid w:val="7FF15DEF"/>
    <w:rsid w:val="7FF6606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9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0"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sdException w:uiPriority="99" w:name="Closing" w:locked="1"/>
    <w:lsdException w:uiPriority="99" w:name="Signature" w:locked="1"/>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uiPriority="99" w:name="Body Text First Indent" w:locked="1"/>
    <w:lsdException w:qFormat="1" w:unhideWhenUsed="0" w:uiPriority="99" w:semiHidden="0" w:name="Body Text First Indent 2"/>
    <w:lsdException w:uiPriority="99" w:name="Note Heading" w:locked="1"/>
    <w:lsdException w:qFormat="1"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0" w:semiHidden="0" w:name="Table Grid"/>
    <w:lsdException w:uiPriority="99" w:name="Table Theme" w:locked="1"/>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等线"/>
      <w:kern w:val="2"/>
      <w:sz w:val="21"/>
      <w:szCs w:val="21"/>
      <w:lang w:val="en-US" w:eastAsia="zh-CN" w:bidi="ar-SA"/>
    </w:rPr>
  </w:style>
  <w:style w:type="paragraph" w:styleId="2">
    <w:name w:val="heading 1"/>
    <w:basedOn w:val="1"/>
    <w:next w:val="1"/>
    <w:link w:val="49"/>
    <w:autoRedefine/>
    <w:qFormat/>
    <w:uiPriority w:val="9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50"/>
    <w:autoRedefine/>
    <w:qFormat/>
    <w:uiPriority w:val="99"/>
    <w:pPr>
      <w:keepNext/>
      <w:keepLines/>
      <w:spacing w:before="260" w:after="260" w:line="416" w:lineRule="auto"/>
      <w:outlineLvl w:val="1"/>
    </w:pPr>
    <w:rPr>
      <w:rFonts w:ascii="等线 Light" w:hAnsi="等线 Light" w:eastAsia="等线 Light" w:cs="等线 Light"/>
      <w:b/>
      <w:bCs/>
      <w:kern w:val="0"/>
      <w:sz w:val="32"/>
      <w:szCs w:val="32"/>
    </w:rPr>
  </w:style>
  <w:style w:type="paragraph" w:styleId="4">
    <w:name w:val="heading 3"/>
    <w:basedOn w:val="1"/>
    <w:next w:val="1"/>
    <w:link w:val="51"/>
    <w:autoRedefine/>
    <w:qFormat/>
    <w:uiPriority w:val="99"/>
    <w:pPr>
      <w:keepNext/>
      <w:keepLines/>
      <w:spacing w:before="260" w:after="260" w:line="416" w:lineRule="auto"/>
      <w:outlineLvl w:val="2"/>
    </w:pPr>
    <w:rPr>
      <w:rFonts w:ascii="Times New Roman" w:hAnsi="Times New Roman" w:eastAsia="宋体" w:cs="Times New Roman"/>
      <w:b/>
      <w:bCs/>
      <w:kern w:val="0"/>
      <w:sz w:val="32"/>
      <w:szCs w:val="32"/>
    </w:rPr>
  </w:style>
  <w:style w:type="paragraph" w:styleId="5">
    <w:name w:val="heading 4"/>
    <w:basedOn w:val="1"/>
    <w:next w:val="1"/>
    <w:link w:val="52"/>
    <w:autoRedefine/>
    <w:qFormat/>
    <w:uiPriority w:val="99"/>
    <w:pPr>
      <w:keepNext/>
      <w:keepLines/>
      <w:spacing w:before="280" w:after="290" w:line="376" w:lineRule="auto"/>
      <w:outlineLvl w:val="3"/>
    </w:pPr>
    <w:rPr>
      <w:rFonts w:ascii="等线 Light" w:hAnsi="等线 Light" w:eastAsia="等线 Light" w:cs="等线 Light"/>
      <w:b/>
      <w:bCs/>
      <w:kern w:val="0"/>
      <w:sz w:val="28"/>
      <w:szCs w:val="28"/>
    </w:rPr>
  </w:style>
  <w:style w:type="paragraph" w:styleId="6">
    <w:name w:val="heading 5"/>
    <w:basedOn w:val="1"/>
    <w:next w:val="1"/>
    <w:link w:val="53"/>
    <w:autoRedefine/>
    <w:qFormat/>
    <w:uiPriority w:val="99"/>
    <w:pPr>
      <w:keepNext/>
      <w:keepLines/>
      <w:spacing w:before="280" w:after="290" w:line="372" w:lineRule="auto"/>
      <w:outlineLvl w:val="4"/>
    </w:pPr>
    <w:rPr>
      <w:rFonts w:ascii="Calibri" w:hAnsi="Calibri" w:eastAsia="宋体" w:cs="Calibri"/>
      <w:b/>
      <w:bCs/>
      <w:kern w:val="0"/>
      <w:sz w:val="28"/>
      <w:szCs w:val="28"/>
    </w:rPr>
  </w:style>
  <w:style w:type="paragraph" w:styleId="7">
    <w:name w:val="heading 6"/>
    <w:basedOn w:val="1"/>
    <w:next w:val="1"/>
    <w:link w:val="54"/>
    <w:autoRedefine/>
    <w:qFormat/>
    <w:uiPriority w:val="99"/>
    <w:pPr>
      <w:keepNext/>
      <w:keepLines/>
      <w:spacing w:before="240" w:after="64" w:line="317" w:lineRule="auto"/>
      <w:outlineLvl w:val="5"/>
    </w:pPr>
    <w:rPr>
      <w:rFonts w:ascii="Cambria" w:hAnsi="Cambria" w:eastAsia="宋体" w:cs="Cambria"/>
      <w:b/>
      <w:bCs/>
      <w:kern w:val="0"/>
      <w:sz w:val="24"/>
      <w:szCs w:val="24"/>
    </w:rPr>
  </w:style>
  <w:style w:type="paragraph" w:styleId="8">
    <w:name w:val="heading 7"/>
    <w:basedOn w:val="1"/>
    <w:next w:val="1"/>
    <w:link w:val="55"/>
    <w:autoRedefine/>
    <w:qFormat/>
    <w:uiPriority w:val="99"/>
    <w:pPr>
      <w:keepNext/>
      <w:keepLines/>
      <w:spacing w:before="240" w:after="64" w:line="317" w:lineRule="auto"/>
      <w:outlineLvl w:val="6"/>
    </w:pPr>
    <w:rPr>
      <w:rFonts w:ascii="Calibri" w:hAnsi="Calibri" w:eastAsia="宋体" w:cs="Calibri"/>
      <w:b/>
      <w:bCs/>
      <w:kern w:val="0"/>
      <w:sz w:val="24"/>
      <w:szCs w:val="24"/>
    </w:rPr>
  </w:style>
  <w:style w:type="paragraph" w:styleId="9">
    <w:name w:val="heading 8"/>
    <w:basedOn w:val="1"/>
    <w:next w:val="1"/>
    <w:link w:val="56"/>
    <w:autoRedefine/>
    <w:qFormat/>
    <w:uiPriority w:val="99"/>
    <w:pPr>
      <w:keepNext/>
      <w:keepLines/>
      <w:spacing w:before="240" w:after="64" w:line="317" w:lineRule="auto"/>
      <w:outlineLvl w:val="7"/>
    </w:pPr>
    <w:rPr>
      <w:rFonts w:ascii="Cambria" w:hAnsi="Cambria" w:eastAsia="宋体" w:cs="Cambria"/>
      <w:kern w:val="0"/>
      <w:sz w:val="24"/>
      <w:szCs w:val="24"/>
    </w:rPr>
  </w:style>
  <w:style w:type="paragraph" w:styleId="10">
    <w:name w:val="heading 9"/>
    <w:basedOn w:val="1"/>
    <w:next w:val="1"/>
    <w:link w:val="57"/>
    <w:autoRedefine/>
    <w:qFormat/>
    <w:uiPriority w:val="99"/>
    <w:pPr>
      <w:keepNext/>
      <w:keepLines/>
      <w:spacing w:before="240" w:after="64" w:line="317" w:lineRule="auto"/>
      <w:outlineLvl w:val="8"/>
    </w:pPr>
    <w:rPr>
      <w:rFonts w:ascii="Cambria" w:hAnsi="Cambria" w:eastAsia="宋体" w:cs="Cambria"/>
      <w:kern w:val="0"/>
      <w:sz w:val="20"/>
      <w:szCs w:val="20"/>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99"/>
    <w:pPr>
      <w:ind w:left="2520" w:leftChars="1200"/>
    </w:pPr>
  </w:style>
  <w:style w:type="paragraph" w:styleId="12">
    <w:name w:val="Normal Indent"/>
    <w:basedOn w:val="1"/>
    <w:autoRedefine/>
    <w:qFormat/>
    <w:uiPriority w:val="99"/>
    <w:pPr>
      <w:adjustRightInd w:val="0"/>
      <w:spacing w:line="360" w:lineRule="atLeast"/>
      <w:ind w:firstLine="482"/>
      <w:textAlignment w:val="baseline"/>
    </w:pPr>
    <w:rPr>
      <w:rFonts w:ascii="Times New Roman" w:hAnsi="Times New Roman" w:eastAsia="宋体" w:cs="Times New Roman"/>
      <w:kern w:val="0"/>
      <w:sz w:val="24"/>
      <w:szCs w:val="24"/>
    </w:rPr>
  </w:style>
  <w:style w:type="paragraph" w:styleId="13">
    <w:name w:val="caption"/>
    <w:basedOn w:val="1"/>
    <w:next w:val="1"/>
    <w:autoRedefine/>
    <w:qFormat/>
    <w:uiPriority w:val="99"/>
    <w:rPr>
      <w:rFonts w:ascii="Cambria" w:hAnsi="Cambria" w:eastAsia="黑体" w:cs="Cambria"/>
      <w:sz w:val="20"/>
      <w:szCs w:val="20"/>
    </w:rPr>
  </w:style>
  <w:style w:type="paragraph" w:styleId="14">
    <w:name w:val="Document Map"/>
    <w:basedOn w:val="1"/>
    <w:link w:val="58"/>
    <w:autoRedefine/>
    <w:qFormat/>
    <w:uiPriority w:val="99"/>
    <w:pPr>
      <w:shd w:val="clear" w:color="auto" w:fill="000080"/>
    </w:pPr>
    <w:rPr>
      <w:rFonts w:ascii="Times New Roman" w:hAnsi="Times New Roman" w:eastAsia="宋体" w:cs="Times New Roman"/>
      <w:kern w:val="0"/>
      <w:sz w:val="20"/>
      <w:szCs w:val="20"/>
      <w:shd w:val="clear" w:color="auto" w:fill="000080"/>
    </w:rPr>
  </w:style>
  <w:style w:type="paragraph" w:styleId="15">
    <w:name w:val="annotation text"/>
    <w:basedOn w:val="1"/>
    <w:link w:val="59"/>
    <w:autoRedefine/>
    <w:qFormat/>
    <w:uiPriority w:val="99"/>
    <w:pPr>
      <w:jc w:val="left"/>
    </w:pPr>
  </w:style>
  <w:style w:type="paragraph" w:styleId="16">
    <w:name w:val="Body Text"/>
    <w:basedOn w:val="1"/>
    <w:next w:val="17"/>
    <w:link w:val="60"/>
    <w:autoRedefine/>
    <w:qFormat/>
    <w:uiPriority w:val="0"/>
    <w:pPr>
      <w:adjustRightInd w:val="0"/>
      <w:spacing w:after="60" w:line="360" w:lineRule="atLeast"/>
      <w:ind w:left="72" w:leftChars="30" w:right="30" w:rightChars="30"/>
      <w:jc w:val="center"/>
      <w:textAlignment w:val="baseline"/>
    </w:pPr>
    <w:rPr>
      <w:rFonts w:ascii="Times New Roman" w:hAnsi="Times New Roman" w:eastAsia="宋体" w:cs="Times New Roman"/>
      <w:kern w:val="0"/>
      <w:sz w:val="20"/>
      <w:szCs w:val="20"/>
    </w:rPr>
  </w:style>
  <w:style w:type="paragraph" w:styleId="17">
    <w:name w:val="toc 5"/>
    <w:basedOn w:val="1"/>
    <w:next w:val="1"/>
    <w:autoRedefine/>
    <w:qFormat/>
    <w:uiPriority w:val="39"/>
    <w:pPr>
      <w:ind w:left="1680" w:leftChars="800"/>
    </w:pPr>
  </w:style>
  <w:style w:type="paragraph" w:styleId="18">
    <w:name w:val="Body Text Indent"/>
    <w:basedOn w:val="1"/>
    <w:link w:val="61"/>
    <w:autoRedefine/>
    <w:qFormat/>
    <w:uiPriority w:val="99"/>
    <w:pPr>
      <w:spacing w:after="120"/>
      <w:ind w:left="420" w:leftChars="200"/>
    </w:pPr>
    <w:rPr>
      <w:rFonts w:ascii="Times New Roman" w:hAnsi="Times New Roman" w:eastAsia="宋体" w:cs="Times New Roman"/>
    </w:rPr>
  </w:style>
  <w:style w:type="paragraph" w:styleId="19">
    <w:name w:val="index 4"/>
    <w:basedOn w:val="1"/>
    <w:next w:val="1"/>
    <w:autoRedefine/>
    <w:qFormat/>
    <w:uiPriority w:val="99"/>
    <w:pPr>
      <w:ind w:left="600" w:leftChars="600"/>
    </w:pPr>
    <w:rPr>
      <w:rFonts w:ascii="Times New Roman" w:hAnsi="Times New Roman" w:eastAsia="宋体" w:cs="Times New Roman"/>
    </w:rPr>
  </w:style>
  <w:style w:type="paragraph" w:styleId="20">
    <w:name w:val="toc 3"/>
    <w:basedOn w:val="1"/>
    <w:next w:val="1"/>
    <w:autoRedefine/>
    <w:qFormat/>
    <w:uiPriority w:val="39"/>
    <w:pPr>
      <w:ind w:left="840" w:leftChars="400"/>
    </w:pPr>
  </w:style>
  <w:style w:type="paragraph" w:styleId="21">
    <w:name w:val="Plain Text"/>
    <w:basedOn w:val="1"/>
    <w:link w:val="62"/>
    <w:autoRedefine/>
    <w:qFormat/>
    <w:uiPriority w:val="0"/>
    <w:rPr>
      <w:rFonts w:ascii="宋体" w:hAnsi="Courier New" w:cs="宋体"/>
      <w:kern w:val="0"/>
      <w:sz w:val="20"/>
      <w:szCs w:val="20"/>
    </w:rPr>
  </w:style>
  <w:style w:type="paragraph" w:styleId="22">
    <w:name w:val="toc 8"/>
    <w:basedOn w:val="1"/>
    <w:next w:val="1"/>
    <w:autoRedefine/>
    <w:qFormat/>
    <w:uiPriority w:val="39"/>
    <w:pPr>
      <w:ind w:left="2940" w:leftChars="1400"/>
    </w:pPr>
  </w:style>
  <w:style w:type="paragraph" w:styleId="23">
    <w:name w:val="Date"/>
    <w:basedOn w:val="1"/>
    <w:next w:val="1"/>
    <w:link w:val="63"/>
    <w:autoRedefine/>
    <w:qFormat/>
    <w:uiPriority w:val="0"/>
    <w:pPr>
      <w:ind w:left="100" w:leftChars="2500"/>
    </w:pPr>
    <w:rPr>
      <w:rFonts w:ascii="宋体" w:hAnsi="Times New Roman" w:eastAsia="宋体" w:cs="宋体"/>
      <w:kern w:val="0"/>
      <w:sz w:val="28"/>
      <w:szCs w:val="28"/>
    </w:rPr>
  </w:style>
  <w:style w:type="paragraph" w:styleId="24">
    <w:name w:val="Balloon Text"/>
    <w:basedOn w:val="1"/>
    <w:link w:val="64"/>
    <w:autoRedefine/>
    <w:qFormat/>
    <w:uiPriority w:val="99"/>
    <w:rPr>
      <w:rFonts w:ascii="宋体" w:hAnsi="Times New Roman" w:eastAsia="宋体" w:cs="宋体"/>
      <w:kern w:val="0"/>
      <w:sz w:val="18"/>
      <w:szCs w:val="18"/>
    </w:rPr>
  </w:style>
  <w:style w:type="paragraph" w:styleId="25">
    <w:name w:val="footer"/>
    <w:basedOn w:val="1"/>
    <w:link w:val="65"/>
    <w:autoRedefine/>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26">
    <w:name w:val="header"/>
    <w:basedOn w:val="1"/>
    <w:link w:val="66"/>
    <w:autoRedefine/>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27">
    <w:name w:val="toc 1"/>
    <w:basedOn w:val="1"/>
    <w:next w:val="1"/>
    <w:autoRedefine/>
    <w:qFormat/>
    <w:uiPriority w:val="39"/>
    <w:pPr>
      <w:tabs>
        <w:tab w:val="right" w:leader="dot" w:pos="9514"/>
      </w:tabs>
      <w:spacing w:line="480" w:lineRule="auto"/>
    </w:pPr>
  </w:style>
  <w:style w:type="paragraph" w:styleId="28">
    <w:name w:val="toc 4"/>
    <w:basedOn w:val="1"/>
    <w:next w:val="1"/>
    <w:autoRedefine/>
    <w:qFormat/>
    <w:uiPriority w:val="39"/>
    <w:pPr>
      <w:ind w:left="1260" w:leftChars="600"/>
    </w:pPr>
  </w:style>
  <w:style w:type="paragraph" w:styleId="29">
    <w:name w:val="Subtitle"/>
    <w:basedOn w:val="1"/>
    <w:next w:val="1"/>
    <w:link w:val="67"/>
    <w:autoRedefine/>
    <w:qFormat/>
    <w:uiPriority w:val="99"/>
    <w:pPr>
      <w:spacing w:before="240" w:after="60" w:line="312" w:lineRule="auto"/>
      <w:jc w:val="center"/>
      <w:outlineLvl w:val="1"/>
    </w:pPr>
    <w:rPr>
      <w:rFonts w:ascii="Cambria" w:hAnsi="Cambria" w:eastAsia="宋体" w:cs="Cambria"/>
      <w:b/>
      <w:bCs/>
      <w:kern w:val="28"/>
      <w:sz w:val="32"/>
      <w:szCs w:val="32"/>
    </w:rPr>
  </w:style>
  <w:style w:type="paragraph" w:styleId="30">
    <w:name w:val="footnote text"/>
    <w:basedOn w:val="1"/>
    <w:link w:val="68"/>
    <w:autoRedefine/>
    <w:qFormat/>
    <w:uiPriority w:val="99"/>
    <w:pPr>
      <w:snapToGrid w:val="0"/>
      <w:jc w:val="left"/>
    </w:pPr>
    <w:rPr>
      <w:rFonts w:ascii="Times New Roman" w:hAnsi="Times New Roman" w:eastAsia="宋体" w:cs="Times New Roman"/>
      <w:sz w:val="18"/>
      <w:szCs w:val="18"/>
    </w:rPr>
  </w:style>
  <w:style w:type="paragraph" w:styleId="31">
    <w:name w:val="toc 6"/>
    <w:basedOn w:val="1"/>
    <w:next w:val="1"/>
    <w:autoRedefine/>
    <w:qFormat/>
    <w:uiPriority w:val="39"/>
    <w:pPr>
      <w:ind w:left="2100" w:leftChars="1000"/>
    </w:pPr>
  </w:style>
  <w:style w:type="paragraph" w:styleId="32">
    <w:name w:val="toc 2"/>
    <w:basedOn w:val="1"/>
    <w:next w:val="1"/>
    <w:autoRedefine/>
    <w:qFormat/>
    <w:uiPriority w:val="39"/>
    <w:pPr>
      <w:ind w:left="420" w:leftChars="200"/>
    </w:pPr>
  </w:style>
  <w:style w:type="paragraph" w:styleId="33">
    <w:name w:val="toc 9"/>
    <w:basedOn w:val="1"/>
    <w:next w:val="1"/>
    <w:autoRedefine/>
    <w:qFormat/>
    <w:uiPriority w:val="39"/>
    <w:pPr>
      <w:ind w:left="3360" w:leftChars="1600"/>
    </w:pPr>
  </w:style>
  <w:style w:type="paragraph" w:styleId="34">
    <w:name w:val="Body Text 2"/>
    <w:basedOn w:val="1"/>
    <w:link w:val="174"/>
    <w:autoRedefine/>
    <w:semiHidden/>
    <w:unhideWhenUsed/>
    <w:qFormat/>
    <w:locked/>
    <w:uiPriority w:val="99"/>
    <w:pPr>
      <w:spacing w:after="120" w:line="480" w:lineRule="auto"/>
    </w:pPr>
  </w:style>
  <w:style w:type="paragraph" w:styleId="35">
    <w:name w:val="Normal (Web)"/>
    <w:basedOn w:val="1"/>
    <w:autoRedefine/>
    <w:qFormat/>
    <w:uiPriority w:val="99"/>
    <w:pPr>
      <w:widowControl/>
      <w:spacing w:before="100" w:beforeAutospacing="1" w:after="100" w:afterAutospacing="1" w:line="320" w:lineRule="atLeast"/>
      <w:jc w:val="left"/>
    </w:pPr>
    <w:rPr>
      <w:rFonts w:ascii="宋体" w:hAnsi="宋体" w:eastAsia="宋体" w:cs="宋体"/>
      <w:kern w:val="0"/>
      <w:sz w:val="18"/>
      <w:szCs w:val="18"/>
    </w:rPr>
  </w:style>
  <w:style w:type="paragraph" w:styleId="36">
    <w:name w:val="Title"/>
    <w:basedOn w:val="1"/>
    <w:next w:val="1"/>
    <w:link w:val="69"/>
    <w:autoRedefine/>
    <w:qFormat/>
    <w:uiPriority w:val="10"/>
    <w:pPr>
      <w:spacing w:before="240" w:after="60"/>
      <w:jc w:val="center"/>
      <w:outlineLvl w:val="0"/>
    </w:pPr>
    <w:rPr>
      <w:rFonts w:ascii="Cambria" w:hAnsi="Cambria" w:eastAsia="宋体" w:cs="Cambria"/>
      <w:b/>
      <w:bCs/>
      <w:kern w:val="0"/>
      <w:sz w:val="32"/>
      <w:szCs w:val="32"/>
    </w:rPr>
  </w:style>
  <w:style w:type="paragraph" w:styleId="37">
    <w:name w:val="annotation subject"/>
    <w:basedOn w:val="15"/>
    <w:next w:val="15"/>
    <w:link w:val="70"/>
    <w:autoRedefine/>
    <w:qFormat/>
    <w:uiPriority w:val="99"/>
    <w:rPr>
      <w:rFonts w:ascii="宋体" w:hAnsi="Times New Roman" w:eastAsia="宋体" w:cs="宋体"/>
      <w:b/>
      <w:bCs/>
      <w:kern w:val="0"/>
      <w:sz w:val="28"/>
      <w:szCs w:val="28"/>
    </w:rPr>
  </w:style>
  <w:style w:type="paragraph" w:styleId="38">
    <w:name w:val="Body Text First Indent 2"/>
    <w:basedOn w:val="18"/>
    <w:link w:val="71"/>
    <w:autoRedefine/>
    <w:qFormat/>
    <w:uiPriority w:val="99"/>
    <w:pPr>
      <w:ind w:firstLine="420" w:firstLineChars="200"/>
    </w:pPr>
  </w:style>
  <w:style w:type="table" w:styleId="40">
    <w:name w:val="Table Grid"/>
    <w:basedOn w:val="3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autoRedefine/>
    <w:qFormat/>
    <w:uiPriority w:val="0"/>
    <w:rPr>
      <w:b/>
      <w:bCs/>
    </w:rPr>
  </w:style>
  <w:style w:type="character" w:styleId="43">
    <w:name w:val="page number"/>
    <w:basedOn w:val="41"/>
    <w:autoRedefine/>
    <w:qFormat/>
    <w:uiPriority w:val="0"/>
  </w:style>
  <w:style w:type="character" w:styleId="44">
    <w:name w:val="FollowedHyperlink"/>
    <w:autoRedefine/>
    <w:semiHidden/>
    <w:unhideWhenUsed/>
    <w:qFormat/>
    <w:locked/>
    <w:uiPriority w:val="99"/>
    <w:rPr>
      <w:color w:val="FF00FF"/>
      <w:u w:val="single"/>
    </w:rPr>
  </w:style>
  <w:style w:type="character" w:styleId="45">
    <w:name w:val="Emphasis"/>
    <w:autoRedefine/>
    <w:qFormat/>
    <w:uiPriority w:val="99"/>
    <w:rPr>
      <w:i/>
      <w:iCs/>
    </w:rPr>
  </w:style>
  <w:style w:type="character" w:styleId="46">
    <w:name w:val="Hyperlink"/>
    <w:autoRedefine/>
    <w:qFormat/>
    <w:uiPriority w:val="99"/>
    <w:rPr>
      <w:color w:val="auto"/>
      <w:u w:val="single"/>
    </w:rPr>
  </w:style>
  <w:style w:type="character" w:styleId="47">
    <w:name w:val="annotation reference"/>
    <w:autoRedefine/>
    <w:qFormat/>
    <w:uiPriority w:val="99"/>
    <w:rPr>
      <w:sz w:val="21"/>
      <w:szCs w:val="21"/>
    </w:rPr>
  </w:style>
  <w:style w:type="character" w:styleId="48">
    <w:name w:val="footnote reference"/>
    <w:autoRedefine/>
    <w:qFormat/>
    <w:uiPriority w:val="99"/>
    <w:rPr>
      <w:vertAlign w:val="superscript"/>
    </w:rPr>
  </w:style>
  <w:style w:type="character" w:customStyle="1" w:styleId="49">
    <w:name w:val="标题 1 字符"/>
    <w:link w:val="2"/>
    <w:autoRedefine/>
    <w:qFormat/>
    <w:locked/>
    <w:uiPriority w:val="99"/>
    <w:rPr>
      <w:b/>
      <w:bCs/>
      <w:kern w:val="44"/>
      <w:sz w:val="44"/>
      <w:szCs w:val="44"/>
    </w:rPr>
  </w:style>
  <w:style w:type="character" w:customStyle="1" w:styleId="50">
    <w:name w:val="标题 2 字符"/>
    <w:link w:val="3"/>
    <w:autoRedefine/>
    <w:qFormat/>
    <w:locked/>
    <w:uiPriority w:val="99"/>
    <w:rPr>
      <w:rFonts w:ascii="等线 Light" w:hAnsi="等线 Light" w:eastAsia="等线 Light" w:cs="等线 Light"/>
      <w:b/>
      <w:bCs/>
      <w:sz w:val="32"/>
      <w:szCs w:val="32"/>
    </w:rPr>
  </w:style>
  <w:style w:type="character" w:customStyle="1" w:styleId="51">
    <w:name w:val="标题 3 字符"/>
    <w:link w:val="4"/>
    <w:autoRedefine/>
    <w:qFormat/>
    <w:locked/>
    <w:uiPriority w:val="99"/>
    <w:rPr>
      <w:b/>
      <w:bCs/>
      <w:sz w:val="32"/>
      <w:szCs w:val="32"/>
    </w:rPr>
  </w:style>
  <w:style w:type="character" w:customStyle="1" w:styleId="52">
    <w:name w:val="标题 4 字符"/>
    <w:link w:val="5"/>
    <w:autoRedefine/>
    <w:qFormat/>
    <w:locked/>
    <w:uiPriority w:val="99"/>
    <w:rPr>
      <w:rFonts w:ascii="等线 Light" w:hAnsi="等线 Light" w:eastAsia="等线 Light" w:cs="等线 Light"/>
      <w:b/>
      <w:bCs/>
      <w:sz w:val="28"/>
      <w:szCs w:val="28"/>
    </w:rPr>
  </w:style>
  <w:style w:type="character" w:customStyle="1" w:styleId="53">
    <w:name w:val="标题 5 字符"/>
    <w:link w:val="6"/>
    <w:autoRedefine/>
    <w:qFormat/>
    <w:locked/>
    <w:uiPriority w:val="99"/>
    <w:rPr>
      <w:rFonts w:ascii="Calibri" w:hAnsi="Calibri" w:eastAsia="宋体" w:cs="Calibri"/>
      <w:b/>
      <w:bCs/>
      <w:sz w:val="28"/>
      <w:szCs w:val="28"/>
    </w:rPr>
  </w:style>
  <w:style w:type="character" w:customStyle="1" w:styleId="54">
    <w:name w:val="标题 6 字符"/>
    <w:link w:val="7"/>
    <w:autoRedefine/>
    <w:qFormat/>
    <w:locked/>
    <w:uiPriority w:val="99"/>
    <w:rPr>
      <w:rFonts w:ascii="Cambria" w:hAnsi="Cambria" w:eastAsia="宋体" w:cs="Cambria"/>
      <w:b/>
      <w:bCs/>
      <w:sz w:val="24"/>
      <w:szCs w:val="24"/>
    </w:rPr>
  </w:style>
  <w:style w:type="character" w:customStyle="1" w:styleId="55">
    <w:name w:val="标题 7 字符"/>
    <w:link w:val="8"/>
    <w:autoRedefine/>
    <w:qFormat/>
    <w:locked/>
    <w:uiPriority w:val="99"/>
    <w:rPr>
      <w:rFonts w:ascii="Calibri" w:hAnsi="Calibri" w:eastAsia="宋体" w:cs="Calibri"/>
      <w:b/>
      <w:bCs/>
      <w:sz w:val="24"/>
      <w:szCs w:val="24"/>
    </w:rPr>
  </w:style>
  <w:style w:type="character" w:customStyle="1" w:styleId="56">
    <w:name w:val="标题 8 字符"/>
    <w:link w:val="9"/>
    <w:autoRedefine/>
    <w:qFormat/>
    <w:locked/>
    <w:uiPriority w:val="99"/>
    <w:rPr>
      <w:rFonts w:ascii="Cambria" w:hAnsi="Cambria" w:eastAsia="宋体" w:cs="Cambria"/>
      <w:sz w:val="24"/>
      <w:szCs w:val="24"/>
    </w:rPr>
  </w:style>
  <w:style w:type="character" w:customStyle="1" w:styleId="57">
    <w:name w:val="标题 9 字符"/>
    <w:link w:val="10"/>
    <w:autoRedefine/>
    <w:qFormat/>
    <w:locked/>
    <w:uiPriority w:val="99"/>
    <w:rPr>
      <w:rFonts w:ascii="Cambria" w:hAnsi="Cambria" w:eastAsia="宋体" w:cs="Cambria"/>
      <w:sz w:val="21"/>
      <w:szCs w:val="21"/>
    </w:rPr>
  </w:style>
  <w:style w:type="character" w:customStyle="1" w:styleId="58">
    <w:name w:val="文档结构图 字符"/>
    <w:link w:val="14"/>
    <w:autoRedefine/>
    <w:qFormat/>
    <w:locked/>
    <w:uiPriority w:val="99"/>
    <w:rPr>
      <w:rFonts w:ascii="Times New Roman" w:hAnsi="Times New Roman" w:cs="Times New Roman"/>
      <w:sz w:val="24"/>
      <w:szCs w:val="24"/>
      <w:shd w:val="clear" w:color="auto" w:fill="000080"/>
    </w:rPr>
  </w:style>
  <w:style w:type="character" w:customStyle="1" w:styleId="59">
    <w:name w:val="批注文字 字符1"/>
    <w:basedOn w:val="41"/>
    <w:link w:val="15"/>
    <w:autoRedefine/>
    <w:semiHidden/>
    <w:qFormat/>
    <w:locked/>
    <w:uiPriority w:val="99"/>
  </w:style>
  <w:style w:type="character" w:customStyle="1" w:styleId="60">
    <w:name w:val="正文文本 字符"/>
    <w:link w:val="16"/>
    <w:autoRedefine/>
    <w:qFormat/>
    <w:locked/>
    <w:uiPriority w:val="0"/>
    <w:rPr>
      <w:rFonts w:ascii="Times New Roman" w:hAnsi="Times New Roman" w:cs="Times New Roman"/>
    </w:rPr>
  </w:style>
  <w:style w:type="character" w:customStyle="1" w:styleId="61">
    <w:name w:val="正文文本缩进 字符"/>
    <w:link w:val="18"/>
    <w:autoRedefine/>
    <w:qFormat/>
    <w:locked/>
    <w:uiPriority w:val="99"/>
    <w:rPr>
      <w:kern w:val="2"/>
      <w:sz w:val="22"/>
      <w:szCs w:val="22"/>
    </w:rPr>
  </w:style>
  <w:style w:type="character" w:customStyle="1" w:styleId="62">
    <w:name w:val="纯文本 字符"/>
    <w:link w:val="21"/>
    <w:autoRedefine/>
    <w:qFormat/>
    <w:uiPriority w:val="0"/>
    <w:rPr>
      <w:rFonts w:ascii="宋体" w:hAnsi="Courier New" w:cs="Courier New"/>
      <w:szCs w:val="21"/>
    </w:rPr>
  </w:style>
  <w:style w:type="character" w:customStyle="1" w:styleId="63">
    <w:name w:val="日期 字符"/>
    <w:link w:val="23"/>
    <w:autoRedefine/>
    <w:qFormat/>
    <w:locked/>
    <w:uiPriority w:val="0"/>
    <w:rPr>
      <w:rFonts w:ascii="宋体" w:hAnsi="Times New Roman" w:cs="宋体"/>
      <w:sz w:val="28"/>
      <w:szCs w:val="28"/>
    </w:rPr>
  </w:style>
  <w:style w:type="character" w:customStyle="1" w:styleId="64">
    <w:name w:val="批注框文本 字符"/>
    <w:link w:val="24"/>
    <w:autoRedefine/>
    <w:qFormat/>
    <w:locked/>
    <w:uiPriority w:val="99"/>
    <w:rPr>
      <w:rFonts w:ascii="宋体" w:hAnsi="Times New Roman" w:cs="宋体"/>
      <w:sz w:val="18"/>
      <w:szCs w:val="18"/>
    </w:rPr>
  </w:style>
  <w:style w:type="character" w:customStyle="1" w:styleId="65">
    <w:name w:val="页脚 字符"/>
    <w:link w:val="25"/>
    <w:autoRedefine/>
    <w:qFormat/>
    <w:locked/>
    <w:uiPriority w:val="99"/>
    <w:rPr>
      <w:sz w:val="18"/>
      <w:szCs w:val="18"/>
    </w:rPr>
  </w:style>
  <w:style w:type="character" w:customStyle="1" w:styleId="66">
    <w:name w:val="页眉 字符"/>
    <w:link w:val="26"/>
    <w:autoRedefine/>
    <w:qFormat/>
    <w:locked/>
    <w:uiPriority w:val="99"/>
    <w:rPr>
      <w:sz w:val="18"/>
      <w:szCs w:val="18"/>
    </w:rPr>
  </w:style>
  <w:style w:type="character" w:customStyle="1" w:styleId="67">
    <w:name w:val="副标题 字符"/>
    <w:link w:val="29"/>
    <w:autoRedefine/>
    <w:qFormat/>
    <w:locked/>
    <w:uiPriority w:val="99"/>
    <w:rPr>
      <w:rFonts w:ascii="Cambria" w:hAnsi="Cambria" w:cs="Cambria"/>
      <w:b/>
      <w:bCs/>
      <w:kern w:val="28"/>
      <w:sz w:val="32"/>
      <w:szCs w:val="32"/>
    </w:rPr>
  </w:style>
  <w:style w:type="character" w:customStyle="1" w:styleId="68">
    <w:name w:val="脚注文本 字符"/>
    <w:link w:val="30"/>
    <w:autoRedefine/>
    <w:qFormat/>
    <w:locked/>
    <w:uiPriority w:val="99"/>
    <w:rPr>
      <w:kern w:val="2"/>
      <w:sz w:val="18"/>
      <w:szCs w:val="18"/>
    </w:rPr>
  </w:style>
  <w:style w:type="character" w:customStyle="1" w:styleId="69">
    <w:name w:val="标题 字符"/>
    <w:link w:val="36"/>
    <w:autoRedefine/>
    <w:qFormat/>
    <w:locked/>
    <w:uiPriority w:val="10"/>
    <w:rPr>
      <w:rFonts w:ascii="Cambria" w:hAnsi="Cambria" w:cs="Cambria"/>
      <w:b/>
      <w:bCs/>
      <w:sz w:val="32"/>
      <w:szCs w:val="32"/>
    </w:rPr>
  </w:style>
  <w:style w:type="character" w:customStyle="1" w:styleId="70">
    <w:name w:val="批注主题 字符"/>
    <w:link w:val="37"/>
    <w:autoRedefine/>
    <w:qFormat/>
    <w:locked/>
    <w:uiPriority w:val="99"/>
    <w:rPr>
      <w:rFonts w:ascii="宋体" w:hAnsi="Times New Roman" w:cs="宋体"/>
      <w:b/>
      <w:bCs/>
      <w:sz w:val="28"/>
      <w:szCs w:val="28"/>
    </w:rPr>
  </w:style>
  <w:style w:type="character" w:customStyle="1" w:styleId="71">
    <w:name w:val="正文文本首行缩进 2 字符"/>
    <w:link w:val="38"/>
    <w:autoRedefine/>
    <w:qFormat/>
    <w:locked/>
    <w:uiPriority w:val="99"/>
    <w:rPr>
      <w:kern w:val="2"/>
      <w:sz w:val="22"/>
      <w:szCs w:val="22"/>
    </w:rPr>
  </w:style>
  <w:style w:type="paragraph" w:customStyle="1" w:styleId="72">
    <w:name w:val="TOC 标题1"/>
    <w:basedOn w:val="2"/>
    <w:next w:val="1"/>
    <w:autoRedefine/>
    <w:qFormat/>
    <w:uiPriority w:val="99"/>
    <w:pPr>
      <w:widowControl/>
      <w:spacing w:before="240" w:after="0" w:line="259" w:lineRule="auto"/>
      <w:jc w:val="left"/>
      <w:outlineLvl w:val="9"/>
    </w:pPr>
    <w:rPr>
      <w:rFonts w:ascii="等线 Light" w:hAnsi="等线 Light" w:eastAsia="等线 Light" w:cs="等线 Light"/>
      <w:b w:val="0"/>
      <w:bCs w:val="0"/>
      <w:color w:val="2F5496"/>
      <w:kern w:val="0"/>
      <w:sz w:val="32"/>
      <w:szCs w:val="32"/>
    </w:rPr>
  </w:style>
  <w:style w:type="character" w:customStyle="1" w:styleId="73">
    <w:name w:val="未处理的提及1"/>
    <w:autoRedefine/>
    <w:qFormat/>
    <w:uiPriority w:val="99"/>
    <w:rPr>
      <w:color w:val="auto"/>
      <w:shd w:val="clear" w:color="auto" w:fill="auto"/>
    </w:rPr>
  </w:style>
  <w:style w:type="character" w:customStyle="1" w:styleId="74">
    <w:name w:val="正文文本 Char1"/>
    <w:autoRedefine/>
    <w:qFormat/>
    <w:uiPriority w:val="99"/>
    <w:rPr>
      <w:kern w:val="2"/>
      <w:sz w:val="22"/>
      <w:szCs w:val="22"/>
    </w:rPr>
  </w:style>
  <w:style w:type="character" w:customStyle="1" w:styleId="75">
    <w:name w:val="Intense Quote Char"/>
    <w:autoRedefine/>
    <w:qFormat/>
    <w:locked/>
    <w:uiPriority w:val="99"/>
    <w:rPr>
      <w:b/>
      <w:bCs/>
      <w:i/>
      <w:iCs/>
      <w:color w:val="4F81BD"/>
    </w:rPr>
  </w:style>
  <w:style w:type="paragraph" w:styleId="76">
    <w:name w:val="Intense Quote"/>
    <w:basedOn w:val="1"/>
    <w:next w:val="1"/>
    <w:link w:val="77"/>
    <w:autoRedefine/>
    <w:qFormat/>
    <w:uiPriority w:val="99"/>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77">
    <w:name w:val="明显引用 字符"/>
    <w:link w:val="76"/>
    <w:autoRedefine/>
    <w:qFormat/>
    <w:uiPriority w:val="99"/>
    <w:rPr>
      <w:rFonts w:ascii="等线" w:hAnsi="等线" w:eastAsia="等线" w:cs="等线"/>
      <w:b/>
      <w:bCs/>
      <w:i/>
      <w:iCs/>
      <w:color w:val="4F81BD"/>
      <w:szCs w:val="21"/>
    </w:rPr>
  </w:style>
  <w:style w:type="character" w:customStyle="1" w:styleId="78">
    <w:name w:val="不明显强调1"/>
    <w:autoRedefine/>
    <w:qFormat/>
    <w:uiPriority w:val="99"/>
    <w:rPr>
      <w:i/>
      <w:iCs/>
      <w:color w:val="808080"/>
    </w:rPr>
  </w:style>
  <w:style w:type="character" w:customStyle="1" w:styleId="79">
    <w:name w:val="标题4 Char Char"/>
    <w:link w:val="80"/>
    <w:autoRedefine/>
    <w:qFormat/>
    <w:locked/>
    <w:uiPriority w:val="99"/>
    <w:rPr>
      <w:rFonts w:ascii="Arial" w:hAnsi="Arial" w:cs="Arial"/>
      <w:b/>
      <w:bCs/>
      <w:sz w:val="32"/>
      <w:szCs w:val="32"/>
    </w:rPr>
  </w:style>
  <w:style w:type="paragraph" w:customStyle="1" w:styleId="80">
    <w:name w:val="标题4"/>
    <w:basedOn w:val="3"/>
    <w:next w:val="19"/>
    <w:link w:val="79"/>
    <w:autoRedefine/>
    <w:qFormat/>
    <w:uiPriority w:val="99"/>
    <w:pPr>
      <w:spacing w:line="413" w:lineRule="auto"/>
    </w:pPr>
    <w:rPr>
      <w:rFonts w:ascii="Arial" w:hAnsi="Arial" w:eastAsia="宋体" w:cs="Arial"/>
      <w:sz w:val="24"/>
      <w:szCs w:val="24"/>
    </w:rPr>
  </w:style>
  <w:style w:type="character" w:customStyle="1" w:styleId="81">
    <w:name w:val="标题5 Char Char"/>
    <w:link w:val="82"/>
    <w:autoRedefine/>
    <w:qFormat/>
    <w:locked/>
    <w:uiPriority w:val="99"/>
    <w:rPr>
      <w:rFonts w:ascii="Arial" w:hAnsi="Arial" w:cs="Arial"/>
      <w:b/>
      <w:bCs/>
      <w:sz w:val="32"/>
      <w:szCs w:val="32"/>
    </w:rPr>
  </w:style>
  <w:style w:type="paragraph" w:customStyle="1" w:styleId="82">
    <w:name w:val="标题5"/>
    <w:basedOn w:val="4"/>
    <w:link w:val="81"/>
    <w:autoRedefine/>
    <w:qFormat/>
    <w:uiPriority w:val="99"/>
    <w:pPr>
      <w:spacing w:line="413" w:lineRule="auto"/>
    </w:pPr>
    <w:rPr>
      <w:rFonts w:ascii="Arial" w:hAnsi="Arial" w:cs="Arial"/>
      <w:sz w:val="24"/>
      <w:szCs w:val="24"/>
    </w:rPr>
  </w:style>
  <w:style w:type="character" w:customStyle="1" w:styleId="83">
    <w:name w:val="明显参考1"/>
    <w:autoRedefine/>
    <w:qFormat/>
    <w:uiPriority w:val="99"/>
    <w:rPr>
      <w:b/>
      <w:bCs/>
      <w:smallCaps/>
      <w:color w:val="auto"/>
      <w:spacing w:val="5"/>
      <w:u w:val="single"/>
    </w:rPr>
  </w:style>
  <w:style w:type="character" w:customStyle="1" w:styleId="84">
    <w:name w:val="书籍标题1"/>
    <w:autoRedefine/>
    <w:qFormat/>
    <w:uiPriority w:val="99"/>
    <w:rPr>
      <w:b/>
      <w:bCs/>
      <w:smallCaps/>
      <w:spacing w:val="5"/>
    </w:rPr>
  </w:style>
  <w:style w:type="character" w:customStyle="1" w:styleId="85">
    <w:name w:val="批注框文本 Char1"/>
    <w:autoRedefine/>
    <w:qFormat/>
    <w:uiPriority w:val="99"/>
    <w:rPr>
      <w:kern w:val="2"/>
      <w:sz w:val="18"/>
      <w:szCs w:val="18"/>
    </w:rPr>
  </w:style>
  <w:style w:type="character" w:customStyle="1" w:styleId="86">
    <w:name w:val="Quote Char"/>
    <w:autoRedefine/>
    <w:qFormat/>
    <w:locked/>
    <w:uiPriority w:val="99"/>
    <w:rPr>
      <w:i/>
      <w:iCs/>
      <w:color w:val="000000"/>
    </w:rPr>
  </w:style>
  <w:style w:type="paragraph" w:styleId="87">
    <w:name w:val="Quote"/>
    <w:basedOn w:val="1"/>
    <w:next w:val="1"/>
    <w:link w:val="88"/>
    <w:autoRedefine/>
    <w:qFormat/>
    <w:uiPriority w:val="99"/>
    <w:rPr>
      <w:rFonts w:ascii="Times New Roman" w:hAnsi="Times New Roman" w:eastAsia="宋体" w:cs="Times New Roman"/>
      <w:i/>
      <w:iCs/>
      <w:color w:val="000000"/>
      <w:kern w:val="0"/>
      <w:sz w:val="20"/>
      <w:szCs w:val="20"/>
    </w:rPr>
  </w:style>
  <w:style w:type="character" w:customStyle="1" w:styleId="88">
    <w:name w:val="引用 字符"/>
    <w:link w:val="87"/>
    <w:autoRedefine/>
    <w:qFormat/>
    <w:uiPriority w:val="99"/>
    <w:rPr>
      <w:rFonts w:ascii="等线" w:hAnsi="等线" w:eastAsia="等线" w:cs="等线"/>
      <w:i/>
      <w:iCs/>
      <w:color w:val="000000"/>
      <w:szCs w:val="21"/>
    </w:rPr>
  </w:style>
  <w:style w:type="character" w:customStyle="1" w:styleId="89">
    <w:name w:val="批注主题 Char1"/>
    <w:autoRedefine/>
    <w:qFormat/>
    <w:uiPriority w:val="99"/>
    <w:rPr>
      <w:b/>
      <w:bCs/>
      <w:kern w:val="2"/>
      <w:sz w:val="22"/>
      <w:szCs w:val="22"/>
    </w:rPr>
  </w:style>
  <w:style w:type="character" w:customStyle="1" w:styleId="90">
    <w:name w:val="日期 Char1"/>
    <w:autoRedefine/>
    <w:qFormat/>
    <w:uiPriority w:val="99"/>
    <w:rPr>
      <w:kern w:val="2"/>
      <w:sz w:val="22"/>
      <w:szCs w:val="22"/>
    </w:rPr>
  </w:style>
  <w:style w:type="character" w:customStyle="1" w:styleId="91">
    <w:name w:val="明显强调1"/>
    <w:autoRedefine/>
    <w:qFormat/>
    <w:uiPriority w:val="99"/>
    <w:rPr>
      <w:b/>
      <w:bCs/>
      <w:i/>
      <w:iCs/>
      <w:color w:val="4F81BD"/>
    </w:rPr>
  </w:style>
  <w:style w:type="character" w:customStyle="1" w:styleId="92">
    <w:name w:val="textcontents"/>
    <w:autoRedefine/>
    <w:qFormat/>
    <w:uiPriority w:val="99"/>
  </w:style>
  <w:style w:type="character" w:customStyle="1" w:styleId="93">
    <w:name w:val="不明显参考1"/>
    <w:autoRedefine/>
    <w:qFormat/>
    <w:uiPriority w:val="99"/>
    <w:rPr>
      <w:smallCaps/>
      <w:color w:val="auto"/>
      <w:u w:val="single"/>
    </w:rPr>
  </w:style>
  <w:style w:type="character" w:customStyle="1" w:styleId="94">
    <w:name w:val="批注文字 Char Char"/>
    <w:autoRedefine/>
    <w:qFormat/>
    <w:uiPriority w:val="99"/>
    <w:rPr>
      <w:rFonts w:ascii="宋体" w:hAnsi="Times New Roman" w:eastAsia="宋体" w:cs="宋体"/>
      <w:sz w:val="20"/>
      <w:szCs w:val="20"/>
    </w:rPr>
  </w:style>
  <w:style w:type="character" w:customStyle="1" w:styleId="95">
    <w:name w:val="批注文字 字符"/>
    <w:autoRedefine/>
    <w:qFormat/>
    <w:uiPriority w:val="99"/>
    <w:rPr>
      <w:kern w:val="2"/>
      <w:sz w:val="22"/>
      <w:szCs w:val="22"/>
    </w:rPr>
  </w:style>
  <w:style w:type="character" w:customStyle="1" w:styleId="96">
    <w:name w:val="文档结构图 Char1"/>
    <w:autoRedefine/>
    <w:qFormat/>
    <w:uiPriority w:val="99"/>
    <w:rPr>
      <w:rFonts w:ascii="宋体" w:cs="宋体"/>
      <w:kern w:val="2"/>
      <w:sz w:val="18"/>
      <w:szCs w:val="18"/>
    </w:rPr>
  </w:style>
  <w:style w:type="paragraph" w:customStyle="1" w:styleId="97">
    <w:name w:val="修订1"/>
    <w:autoRedefine/>
    <w:qFormat/>
    <w:uiPriority w:val="99"/>
    <w:rPr>
      <w:rFonts w:ascii="Times New Roman" w:hAnsi="Times New Roman" w:eastAsia="宋体" w:cs="Times New Roman"/>
      <w:kern w:val="2"/>
      <w:sz w:val="21"/>
      <w:szCs w:val="21"/>
      <w:lang w:val="en-US" w:eastAsia="zh-CN" w:bidi="ar-SA"/>
    </w:rPr>
  </w:style>
  <w:style w:type="paragraph" w:customStyle="1" w:styleId="98">
    <w:name w:val="样式 标题 2 + Times New Roman 四号 非加粗 段前: 5 磅 段后: 0 磅 行距: 固定值 20..."/>
    <w:basedOn w:val="3"/>
    <w:autoRedefine/>
    <w:qFormat/>
    <w:uiPriority w:val="99"/>
    <w:pPr>
      <w:spacing w:before="100" w:after="0" w:line="400" w:lineRule="exact"/>
    </w:pPr>
    <w:rPr>
      <w:rFonts w:ascii="Times New Roman" w:hAnsi="Times New Roman" w:eastAsia="黑体" w:cs="Times New Roman"/>
      <w:b w:val="0"/>
      <w:bCs w:val="0"/>
      <w:sz w:val="28"/>
      <w:szCs w:val="28"/>
    </w:rPr>
  </w:style>
  <w:style w:type="character" w:customStyle="1" w:styleId="99">
    <w:name w:val="批注框文本 字符1"/>
    <w:autoRedefine/>
    <w:semiHidden/>
    <w:qFormat/>
    <w:uiPriority w:val="99"/>
    <w:rPr>
      <w:sz w:val="18"/>
      <w:szCs w:val="18"/>
    </w:rPr>
  </w:style>
  <w:style w:type="character" w:customStyle="1" w:styleId="100">
    <w:name w:val="批注主题 字符1"/>
    <w:autoRedefine/>
    <w:semiHidden/>
    <w:qFormat/>
    <w:uiPriority w:val="99"/>
    <w:rPr>
      <w:b/>
      <w:bCs/>
    </w:rPr>
  </w:style>
  <w:style w:type="character" w:customStyle="1" w:styleId="101">
    <w:name w:val="文档结构图 字符1"/>
    <w:autoRedefine/>
    <w:semiHidden/>
    <w:qFormat/>
    <w:uiPriority w:val="99"/>
    <w:rPr>
      <w:rFonts w:ascii="Microsoft YaHei UI" w:eastAsia="Microsoft YaHei UI" w:cs="Microsoft YaHei UI"/>
      <w:sz w:val="18"/>
      <w:szCs w:val="18"/>
    </w:rPr>
  </w:style>
  <w:style w:type="character" w:customStyle="1" w:styleId="102">
    <w:name w:val="日期 字符1"/>
    <w:autoRedefine/>
    <w:semiHidden/>
    <w:qFormat/>
    <w:uiPriority w:val="99"/>
  </w:style>
  <w:style w:type="character" w:customStyle="1" w:styleId="103">
    <w:name w:val="正文文本 字符1"/>
    <w:autoRedefine/>
    <w:semiHidden/>
    <w:qFormat/>
    <w:uiPriority w:val="99"/>
  </w:style>
  <w:style w:type="character" w:customStyle="1" w:styleId="104">
    <w:name w:val="标题 字符1"/>
    <w:autoRedefine/>
    <w:qFormat/>
    <w:uiPriority w:val="99"/>
    <w:rPr>
      <w:rFonts w:ascii="等线 Light" w:hAnsi="等线 Light" w:eastAsia="等线 Light" w:cs="等线 Light"/>
      <w:b/>
      <w:bCs/>
      <w:sz w:val="32"/>
      <w:szCs w:val="32"/>
    </w:rPr>
  </w:style>
  <w:style w:type="character" w:customStyle="1" w:styleId="105">
    <w:name w:val="副标题 字符1"/>
    <w:autoRedefine/>
    <w:qFormat/>
    <w:uiPriority w:val="99"/>
    <w:rPr>
      <w:b/>
      <w:bCs/>
      <w:kern w:val="28"/>
      <w:sz w:val="32"/>
      <w:szCs w:val="32"/>
    </w:rPr>
  </w:style>
  <w:style w:type="character" w:customStyle="1" w:styleId="106">
    <w:name w:val="明显引用 字符1"/>
    <w:autoRedefine/>
    <w:qFormat/>
    <w:uiPriority w:val="99"/>
    <w:rPr>
      <w:i/>
      <w:iCs/>
      <w:color w:val="auto"/>
    </w:rPr>
  </w:style>
  <w:style w:type="paragraph" w:customStyle="1" w:styleId="107">
    <w:name w:val="样式 标题 3 + (中文) 黑体 小四 非加粗 段前: 7.8 磅 段后: 0 磅 行距: 固定值 20 磅"/>
    <w:basedOn w:val="4"/>
    <w:autoRedefine/>
    <w:qFormat/>
    <w:uiPriority w:val="99"/>
    <w:pPr>
      <w:spacing w:before="0" w:after="0" w:line="400" w:lineRule="exact"/>
    </w:pPr>
    <w:rPr>
      <w:rFonts w:eastAsia="黑体"/>
      <w:b w:val="0"/>
      <w:bCs w:val="0"/>
      <w:sz w:val="24"/>
      <w:szCs w:val="24"/>
    </w:rPr>
  </w:style>
  <w:style w:type="paragraph" w:customStyle="1" w:styleId="108">
    <w:name w:val="空半行"/>
    <w:basedOn w:val="1"/>
    <w:autoRedefine/>
    <w:qFormat/>
    <w:uiPriority w:val="99"/>
    <w:pPr>
      <w:adjustRightInd w:val="0"/>
      <w:spacing w:line="120" w:lineRule="exact"/>
      <w:textAlignment w:val="baseline"/>
    </w:pPr>
    <w:rPr>
      <w:rFonts w:ascii="Times New Roman" w:hAnsi="Times New Roman" w:eastAsia="仿宋_GB2312" w:cs="Times New Roman"/>
      <w:color w:val="FFFFFF"/>
      <w:kern w:val="0"/>
      <w:sz w:val="30"/>
      <w:szCs w:val="30"/>
    </w:rPr>
  </w:style>
  <w:style w:type="paragraph" w:styleId="109">
    <w:name w:val="No Spacing"/>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110">
    <w:name w:val="引用 字符1"/>
    <w:autoRedefine/>
    <w:qFormat/>
    <w:uiPriority w:val="99"/>
    <w:rPr>
      <w:i/>
      <w:iCs/>
      <w:color w:val="auto"/>
    </w:rPr>
  </w:style>
  <w:style w:type="paragraph" w:styleId="111">
    <w:name w:val="List Paragraph"/>
    <w:basedOn w:val="1"/>
    <w:autoRedefine/>
    <w:qFormat/>
    <w:uiPriority w:val="34"/>
    <w:pPr>
      <w:ind w:firstLine="420" w:firstLineChars="200"/>
    </w:pPr>
    <w:rPr>
      <w:rFonts w:ascii="Calibri" w:hAnsi="Calibri" w:eastAsia="宋体" w:cs="Calibri"/>
    </w:rPr>
  </w:style>
  <w:style w:type="paragraph" w:customStyle="1" w:styleId="112">
    <w:name w:val="flNote"/>
    <w:basedOn w:val="1"/>
    <w:autoRedefine/>
    <w:qFormat/>
    <w:uiPriority w:val="99"/>
    <w:pPr>
      <w:adjustRightInd w:val="0"/>
      <w:spacing w:before="320" w:after="160" w:line="360" w:lineRule="atLeast"/>
      <w:jc w:val="center"/>
      <w:textAlignment w:val="baseline"/>
    </w:pPr>
    <w:rPr>
      <w:rFonts w:ascii="Arial" w:hAnsi="Times New Roman" w:eastAsia="黑体" w:cs="Arial"/>
      <w:kern w:val="0"/>
      <w:sz w:val="30"/>
      <w:szCs w:val="30"/>
    </w:rPr>
  </w:style>
  <w:style w:type="table" w:customStyle="1" w:styleId="113">
    <w:name w:val="网格型1"/>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4">
    <w:name w:val="未处理的提及2"/>
    <w:autoRedefine/>
    <w:qFormat/>
    <w:uiPriority w:val="99"/>
    <w:rPr>
      <w:color w:val="auto"/>
      <w:shd w:val="clear" w:color="auto" w:fill="auto"/>
    </w:rPr>
  </w:style>
  <w:style w:type="character" w:customStyle="1" w:styleId="115">
    <w:name w:val="font101"/>
    <w:autoRedefine/>
    <w:qFormat/>
    <w:uiPriority w:val="99"/>
    <w:rPr>
      <w:rFonts w:ascii="宋体" w:hAnsi="宋体" w:eastAsia="宋体" w:cs="宋体"/>
      <w:color w:val="000000"/>
      <w:sz w:val="20"/>
      <w:szCs w:val="20"/>
      <w:u w:val="none"/>
    </w:rPr>
  </w:style>
  <w:style w:type="character" w:customStyle="1" w:styleId="116">
    <w:name w:val="font61"/>
    <w:autoRedefine/>
    <w:qFormat/>
    <w:uiPriority w:val="99"/>
    <w:rPr>
      <w:rFonts w:ascii="宋体" w:hAnsi="宋体" w:eastAsia="宋体" w:cs="宋体"/>
      <w:color w:val="000000"/>
      <w:sz w:val="18"/>
      <w:szCs w:val="18"/>
      <w:u w:val="none"/>
    </w:rPr>
  </w:style>
  <w:style w:type="character" w:customStyle="1" w:styleId="117">
    <w:name w:val="font81"/>
    <w:autoRedefine/>
    <w:qFormat/>
    <w:uiPriority w:val="99"/>
    <w:rPr>
      <w:rFonts w:ascii="宋体" w:hAnsi="宋体" w:eastAsia="宋体" w:cs="宋体"/>
      <w:color w:val="000000"/>
      <w:sz w:val="21"/>
      <w:szCs w:val="21"/>
      <w:u w:val="none"/>
    </w:rPr>
  </w:style>
  <w:style w:type="character" w:customStyle="1" w:styleId="118">
    <w:name w:val="font11"/>
    <w:autoRedefine/>
    <w:qFormat/>
    <w:uiPriority w:val="99"/>
    <w:rPr>
      <w:rFonts w:ascii="宋体" w:hAnsi="宋体" w:eastAsia="宋体" w:cs="宋体"/>
      <w:color w:val="000000"/>
      <w:sz w:val="21"/>
      <w:szCs w:val="21"/>
      <w:u w:val="none"/>
    </w:rPr>
  </w:style>
  <w:style w:type="character" w:customStyle="1" w:styleId="119">
    <w:name w:val="未处理的提及3"/>
    <w:autoRedefine/>
    <w:semiHidden/>
    <w:qFormat/>
    <w:uiPriority w:val="99"/>
    <w:rPr>
      <w:color w:val="auto"/>
      <w:shd w:val="clear" w:color="auto" w:fill="auto"/>
    </w:rPr>
  </w:style>
  <w:style w:type="character" w:styleId="120">
    <w:name w:val="Placeholder Text"/>
    <w:autoRedefine/>
    <w:semiHidden/>
    <w:qFormat/>
    <w:uiPriority w:val="99"/>
    <w:rPr>
      <w:color w:val="808080"/>
    </w:rPr>
  </w:style>
  <w:style w:type="character" w:customStyle="1" w:styleId="121">
    <w:name w:val="未处理的提及4"/>
    <w:autoRedefine/>
    <w:qFormat/>
    <w:uiPriority w:val="99"/>
    <w:rPr>
      <w:color w:val="auto"/>
      <w:shd w:val="clear" w:color="auto" w:fill="auto"/>
    </w:rPr>
  </w:style>
  <w:style w:type="character" w:customStyle="1" w:styleId="122">
    <w:name w:val="NormalCharacter"/>
    <w:autoRedefine/>
    <w:qFormat/>
    <w:uiPriority w:val="0"/>
  </w:style>
  <w:style w:type="paragraph" w:customStyle="1" w:styleId="123">
    <w:name w:val="p12"/>
    <w:basedOn w:val="1"/>
    <w:autoRedefine/>
    <w:qFormat/>
    <w:uiPriority w:val="0"/>
    <w:pPr>
      <w:widowControl/>
      <w:spacing w:before="100" w:beforeAutospacing="1" w:after="100" w:afterAutospacing="1"/>
      <w:jc w:val="left"/>
    </w:pPr>
    <w:rPr>
      <w:rFonts w:ascii="&amp;#23435;&amp;#20307;" w:hAnsi="&amp;#23435;&amp;#20307;" w:eastAsia="宋体" w:cs="Times New Roman"/>
      <w:kern w:val="0"/>
      <w:sz w:val="18"/>
      <w:szCs w:val="18"/>
    </w:rPr>
  </w:style>
  <w:style w:type="character" w:customStyle="1" w:styleId="124">
    <w:name w:val="未处理的提及5"/>
    <w:autoRedefine/>
    <w:unhideWhenUsed/>
    <w:qFormat/>
    <w:uiPriority w:val="99"/>
    <w:rPr>
      <w:color w:val="605E5C"/>
      <w:shd w:val="clear" w:color="auto" w:fill="E1DFDD"/>
    </w:rPr>
  </w:style>
  <w:style w:type="paragraph" w:customStyle="1" w:styleId="125">
    <w:name w:val="Normal_1"/>
    <w:autoRedefine/>
    <w:qFormat/>
    <w:uiPriority w:val="0"/>
    <w:rPr>
      <w:rFonts w:ascii="Times New Roman" w:hAnsi="Times New Roman" w:eastAsia="Times New Roman" w:cs="Times New Roman"/>
      <w:sz w:val="24"/>
      <w:szCs w:val="24"/>
      <w:lang w:val="en-US" w:eastAsia="zh-CN" w:bidi="ar-SA"/>
    </w:rPr>
  </w:style>
  <w:style w:type="character" w:customStyle="1" w:styleId="126">
    <w:name w:val="明显参考2"/>
    <w:autoRedefine/>
    <w:qFormat/>
    <w:uiPriority w:val="32"/>
    <w:rPr>
      <w:b/>
      <w:bCs/>
      <w:smallCaps/>
      <w:color w:val="4F81BD"/>
      <w:spacing w:val="5"/>
    </w:rPr>
  </w:style>
  <w:style w:type="character" w:customStyle="1" w:styleId="127">
    <w:name w:val="未处理的提及6"/>
    <w:autoRedefine/>
    <w:qFormat/>
    <w:uiPriority w:val="99"/>
    <w:rPr>
      <w:color w:val="605E5C"/>
      <w:shd w:val="clear" w:color="auto" w:fill="E1DFDD"/>
    </w:rPr>
  </w:style>
  <w:style w:type="character" w:customStyle="1" w:styleId="128">
    <w:name w:val="未处理的提及7"/>
    <w:autoRedefine/>
    <w:qFormat/>
    <w:uiPriority w:val="99"/>
    <w:rPr>
      <w:color w:val="605E5C"/>
      <w:shd w:val="clear" w:color="auto" w:fill="E1DFDD"/>
    </w:rPr>
  </w:style>
  <w:style w:type="paragraph" w:customStyle="1" w:styleId="129">
    <w:name w:val="中等深浅网格 21"/>
    <w:autoRedefine/>
    <w:qFormat/>
    <w:uiPriority w:val="1"/>
    <w:rPr>
      <w:rFonts w:ascii="Calibri" w:hAnsi="Calibri" w:eastAsia="宋体" w:cs="Times New Roman"/>
      <w:sz w:val="22"/>
      <w:szCs w:val="22"/>
      <w:lang w:val="en-US" w:eastAsia="zh-CN" w:bidi="ar-SA"/>
    </w:rPr>
  </w:style>
  <w:style w:type="paragraph" w:customStyle="1" w:styleId="130">
    <w:name w:val="msonormal"/>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1">
    <w:name w:val="font5"/>
    <w:basedOn w:val="1"/>
    <w:autoRedefine/>
    <w:qFormat/>
    <w:uiPriority w:val="0"/>
    <w:pPr>
      <w:widowControl/>
      <w:spacing w:before="100" w:beforeAutospacing="1" w:after="100" w:afterAutospacing="1"/>
      <w:jc w:val="left"/>
    </w:pPr>
    <w:rPr>
      <w:rFonts w:ascii="宋体" w:hAnsi="宋体" w:eastAsia="宋体" w:cs="宋体"/>
      <w:kern w:val="0"/>
      <w:sz w:val="22"/>
      <w:szCs w:val="22"/>
    </w:rPr>
  </w:style>
  <w:style w:type="paragraph" w:customStyle="1" w:styleId="132">
    <w:name w:val="font6"/>
    <w:basedOn w:val="1"/>
    <w:autoRedefine/>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33">
    <w:name w:val="font7"/>
    <w:basedOn w:val="1"/>
    <w:autoRedefine/>
    <w:qFormat/>
    <w:uiPriority w:val="0"/>
    <w:pPr>
      <w:widowControl/>
      <w:spacing w:before="100" w:beforeAutospacing="1" w:after="100" w:afterAutospacing="1"/>
      <w:jc w:val="left"/>
    </w:pPr>
    <w:rPr>
      <w:rFonts w:ascii="Calibri" w:hAnsi="Calibri" w:eastAsia="宋体" w:cs="Calibri"/>
      <w:kern w:val="0"/>
    </w:rPr>
  </w:style>
  <w:style w:type="paragraph" w:customStyle="1" w:styleId="134">
    <w:name w:val="font8"/>
    <w:basedOn w:val="1"/>
    <w:autoRedefine/>
    <w:qFormat/>
    <w:uiPriority w:val="0"/>
    <w:pPr>
      <w:widowControl/>
      <w:spacing w:before="100" w:beforeAutospacing="1" w:after="100" w:afterAutospacing="1"/>
      <w:jc w:val="left"/>
    </w:pPr>
    <w:rPr>
      <w:rFonts w:ascii="Arial" w:hAnsi="Arial" w:eastAsia="宋体" w:cs="Arial"/>
      <w:color w:val="000000"/>
      <w:kern w:val="0"/>
      <w:sz w:val="22"/>
      <w:szCs w:val="22"/>
    </w:rPr>
  </w:style>
  <w:style w:type="paragraph" w:customStyle="1" w:styleId="135">
    <w:name w:val="font9"/>
    <w:basedOn w:val="1"/>
    <w:autoRedefine/>
    <w:qFormat/>
    <w:uiPriority w:val="0"/>
    <w:pPr>
      <w:widowControl/>
      <w:spacing w:before="100" w:beforeAutospacing="1" w:after="100" w:afterAutospacing="1"/>
      <w:jc w:val="left"/>
    </w:pPr>
    <w:rPr>
      <w:rFonts w:ascii="Verdana" w:hAnsi="Verdana" w:eastAsia="宋体" w:cs="宋体"/>
      <w:kern w:val="0"/>
      <w:sz w:val="18"/>
      <w:szCs w:val="18"/>
    </w:rPr>
  </w:style>
  <w:style w:type="paragraph" w:customStyle="1" w:styleId="136">
    <w:name w:val="xl63"/>
    <w:basedOn w:val="1"/>
    <w:autoRedefine/>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37">
    <w:name w:val="xl6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8">
    <w:name w:val="xl6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9">
    <w:name w:val="xl66"/>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40">
    <w:name w:val="xl67"/>
    <w:basedOn w:val="1"/>
    <w:autoRedefine/>
    <w:qFormat/>
    <w:uiPriority w:val="0"/>
    <w:pPr>
      <w:widowControl/>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41">
    <w:name w:val="xl68"/>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2">
    <w:name w:val="xl6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3">
    <w:name w:val="xl7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4">
    <w:name w:val="xl71"/>
    <w:basedOn w:val="1"/>
    <w:autoRedefine/>
    <w:qFormat/>
    <w:uiPriority w:val="0"/>
    <w:pPr>
      <w:widowControl/>
      <w:shd w:val="clear" w:color="000000" w:fill="FFFFFF"/>
      <w:spacing w:before="100" w:beforeAutospacing="1" w:after="100" w:afterAutospacing="1"/>
      <w:jc w:val="left"/>
    </w:pPr>
    <w:rPr>
      <w:rFonts w:ascii="宋体" w:hAnsi="宋体" w:eastAsia="宋体" w:cs="宋体"/>
      <w:color w:val="FF0000"/>
      <w:kern w:val="0"/>
      <w:sz w:val="24"/>
      <w:szCs w:val="24"/>
    </w:rPr>
  </w:style>
  <w:style w:type="paragraph" w:customStyle="1" w:styleId="145">
    <w:name w:val="xl7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6">
    <w:name w:val="xl7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7">
    <w:name w:val="xl7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48">
    <w:name w:val="xl75"/>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9">
    <w:name w:val="xl76"/>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0">
    <w:name w:val="xl77"/>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1">
    <w:name w:val="xl78"/>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2">
    <w:name w:val="xl79"/>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3">
    <w:name w:val="xl80"/>
    <w:basedOn w:val="1"/>
    <w:autoRedefine/>
    <w:qFormat/>
    <w:uiPriority w:val="0"/>
    <w:pPr>
      <w:widowControl/>
      <w:pBdr>
        <w:top w:val="single" w:color="000000" w:sz="4" w:space="0"/>
        <w:lef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4">
    <w:name w:val="xl81"/>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5">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6">
    <w:name w:val="xl83"/>
    <w:basedOn w:val="1"/>
    <w:autoRedefine/>
    <w:qFormat/>
    <w:uiPriority w:val="0"/>
    <w:pPr>
      <w:widowControl/>
      <w:pBdr>
        <w:top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7">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58">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color w:val="000000"/>
      <w:kern w:val="0"/>
      <w:sz w:val="22"/>
      <w:szCs w:val="22"/>
    </w:rPr>
  </w:style>
  <w:style w:type="paragraph" w:customStyle="1" w:styleId="15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0">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color w:val="000000"/>
      <w:kern w:val="0"/>
      <w:sz w:val="22"/>
      <w:szCs w:val="22"/>
    </w:rPr>
  </w:style>
  <w:style w:type="paragraph" w:customStyle="1" w:styleId="161">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2">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2"/>
      <w:szCs w:val="22"/>
    </w:rPr>
  </w:style>
  <w:style w:type="paragraph" w:customStyle="1" w:styleId="163">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4">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b/>
      <w:bCs/>
      <w:kern w:val="0"/>
      <w:sz w:val="22"/>
      <w:szCs w:val="22"/>
    </w:rPr>
  </w:style>
  <w:style w:type="paragraph" w:customStyle="1" w:styleId="165">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kern w:val="0"/>
      <w:sz w:val="22"/>
      <w:szCs w:val="22"/>
    </w:rPr>
  </w:style>
  <w:style w:type="paragraph" w:customStyle="1" w:styleId="166">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7">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8">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69">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0">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1">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character" w:customStyle="1" w:styleId="172">
    <w:name w:val="fontstyle01"/>
    <w:autoRedefine/>
    <w:qFormat/>
    <w:uiPriority w:val="0"/>
    <w:rPr>
      <w:rFonts w:hint="eastAsia" w:ascii="宋体" w:hAnsi="宋体" w:eastAsia="宋体"/>
      <w:color w:val="000000"/>
      <w:sz w:val="28"/>
      <w:szCs w:val="28"/>
    </w:rPr>
  </w:style>
  <w:style w:type="character" w:customStyle="1" w:styleId="173">
    <w:name w:val="未处理的提及8"/>
    <w:autoRedefine/>
    <w:semiHidden/>
    <w:unhideWhenUsed/>
    <w:qFormat/>
    <w:uiPriority w:val="99"/>
    <w:rPr>
      <w:color w:val="605E5C"/>
      <w:shd w:val="clear" w:color="auto" w:fill="E1DFDD"/>
    </w:rPr>
  </w:style>
  <w:style w:type="character" w:customStyle="1" w:styleId="174">
    <w:name w:val="正文文本 2 字符"/>
    <w:link w:val="34"/>
    <w:autoRedefine/>
    <w:semiHidden/>
    <w:qFormat/>
    <w:uiPriority w:val="99"/>
    <w:rPr>
      <w:rFonts w:ascii="等线" w:hAnsi="等线" w:eastAsia="等线" w:cs="等线"/>
      <w:kern w:val="2"/>
      <w:sz w:val="21"/>
      <w:szCs w:val="21"/>
    </w:rPr>
  </w:style>
  <w:style w:type="character" w:customStyle="1" w:styleId="175">
    <w:name w:val="font21"/>
    <w:autoRedefine/>
    <w:qFormat/>
    <w:uiPriority w:val="0"/>
    <w:rPr>
      <w:rFonts w:hint="eastAsia" w:ascii="宋体" w:hAnsi="宋体" w:eastAsia="宋体" w:cs="宋体"/>
      <w:b/>
      <w:bCs/>
      <w:color w:val="000000"/>
      <w:sz w:val="20"/>
      <w:szCs w:val="20"/>
      <w:u w:val="none"/>
    </w:rPr>
  </w:style>
  <w:style w:type="character" w:customStyle="1" w:styleId="176">
    <w:name w:val="font31"/>
    <w:autoRedefine/>
    <w:qFormat/>
    <w:uiPriority w:val="0"/>
    <w:rPr>
      <w:rFonts w:hint="eastAsia" w:ascii="宋体" w:hAnsi="宋体" w:eastAsia="宋体" w:cs="宋体"/>
      <w:color w:val="000000"/>
      <w:sz w:val="18"/>
      <w:szCs w:val="18"/>
      <w:u w:val="none"/>
    </w:rPr>
  </w:style>
  <w:style w:type="paragraph" w:customStyle="1" w:styleId="177">
    <w:name w:val="列出段落1"/>
    <w:basedOn w:val="1"/>
    <w:autoRedefine/>
    <w:qFormat/>
    <w:uiPriority w:val="34"/>
    <w:pPr>
      <w:ind w:firstLine="420" w:firstLineChars="200"/>
    </w:pPr>
    <w:rPr>
      <w:rFonts w:asciiTheme="minorHAnsi" w:hAnsiTheme="minorHAnsi" w:eastAsiaTheme="minorEastAsia" w:cstheme="minorBidi"/>
      <w:szCs w:val="22"/>
    </w:rPr>
  </w:style>
  <w:style w:type="paragraph" w:customStyle="1" w:styleId="178">
    <w:name w:val="段落"/>
    <w:autoRedefine/>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79">
    <w:name w:val="首行缩进"/>
    <w:basedOn w:val="1"/>
    <w:autoRedefine/>
    <w:qFormat/>
    <w:uiPriority w:val="0"/>
    <w:pPr>
      <w:ind w:firstLine="480" w:firstLineChars="200"/>
    </w:pPr>
    <w:rPr>
      <w:rFonts w:asciiTheme="minorHAnsi" w:hAnsiTheme="minorHAnsi" w:eastAsiaTheme="minorEastAsia" w:cstheme="minorBidi"/>
      <w:szCs w:val="22"/>
      <w:lang w:val="zh-CN"/>
    </w:rPr>
  </w:style>
  <w:style w:type="character" w:customStyle="1" w:styleId="180">
    <w:name w:val="Unresolved Mention"/>
    <w:basedOn w:val="41"/>
    <w:autoRedefine/>
    <w:semiHidden/>
    <w:unhideWhenUsed/>
    <w:qFormat/>
    <w:uiPriority w:val="99"/>
    <w:rPr>
      <w:color w:val="605E5C"/>
      <w:shd w:val="clear" w:color="auto" w:fill="E1DFDD"/>
    </w:rPr>
  </w:style>
  <w:style w:type="character" w:customStyle="1" w:styleId="181">
    <w:name w:val="font71"/>
    <w:basedOn w:val="41"/>
    <w:autoRedefine/>
    <w:qFormat/>
    <w:uiPriority w:val="0"/>
    <w:rPr>
      <w:rFonts w:hint="eastAsia" w:ascii="宋体" w:hAnsi="宋体" w:eastAsia="宋体" w:cs="宋体"/>
      <w:color w:val="000000"/>
      <w:sz w:val="20"/>
      <w:szCs w:val="20"/>
      <w:u w:val="none"/>
    </w:rPr>
  </w:style>
  <w:style w:type="character" w:customStyle="1" w:styleId="182">
    <w:name w:val="font51"/>
    <w:basedOn w:val="41"/>
    <w:autoRedefine/>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FAE7C4-2CC9-4ACB-A1A4-AF6023ABDDA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33053</Words>
  <Characters>35417</Characters>
  <Lines>419</Lines>
  <Paragraphs>118</Paragraphs>
  <TotalTime>56</TotalTime>
  <ScaleCrop>false</ScaleCrop>
  <LinksUpToDate>false</LinksUpToDate>
  <CharactersWithSpaces>38553</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2024-02-28T11:46:00Z</dcterms:created>
  <dc:creator>Zuzu</dc:creator>
  <cp:lastModifiedBy>时雨</cp:lastModifiedBy>
  <cp:lastPrinted>2024-04-23T02:19:00Z</cp:lastPrinted>
  <dcterms:modified xsi:type="dcterms:W3CDTF">2024-06-23T07:16:43Z</dcterms:modified>
  <cp:revision>668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B210E6FBC10D4A3FBACA644F317B4B0F_13</vt:lpwstr>
  </property>
  <property fmtid="{D5CDD505-2E9C-101B-9397-08002B2CF9AE}" pid="3" name="KSOProductBuildVer">
    <vt:lpwstr>2052-12.1.0.17140</vt:lpwstr>
  </property>
</Properties>
</file>